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DF2C2" w14:textId="77777777" w:rsidR="009403BF" w:rsidRPr="001714D7" w:rsidRDefault="009403BF" w:rsidP="005B635B">
      <w:pPr>
        <w:pStyle w:val="Ttulo"/>
        <w:ind w:left="-142" w:right="-4"/>
        <w:rPr>
          <w:rFonts w:ascii="Verdana" w:eastAsia="MS Mincho" w:hAnsi="Verdana"/>
          <w:sz w:val="20"/>
        </w:rPr>
      </w:pPr>
    </w:p>
    <w:p w14:paraId="1696E873" w14:textId="77777777" w:rsidR="009403BF" w:rsidRPr="001714D7" w:rsidRDefault="009403BF" w:rsidP="005B635B">
      <w:pPr>
        <w:pStyle w:val="Ttulo"/>
        <w:ind w:left="-142" w:right="-4"/>
        <w:rPr>
          <w:rFonts w:ascii="Verdana" w:eastAsia="MS Mincho" w:hAnsi="Verdana"/>
          <w:sz w:val="20"/>
        </w:rPr>
      </w:pPr>
    </w:p>
    <w:p w14:paraId="366053CD" w14:textId="77777777" w:rsidR="009403BF" w:rsidRPr="00351298" w:rsidRDefault="009403BF" w:rsidP="005B635B">
      <w:pPr>
        <w:pStyle w:val="Ttulo"/>
        <w:ind w:left="-142" w:right="-4"/>
        <w:rPr>
          <w:rFonts w:ascii="Verdana" w:eastAsia="MS Mincho" w:hAnsi="Verdana"/>
          <w:sz w:val="20"/>
        </w:rPr>
      </w:pPr>
      <w:r w:rsidRPr="00351298">
        <w:rPr>
          <w:rFonts w:ascii="Verdana" w:eastAsia="MS Mincho" w:hAnsi="Verdana"/>
          <w:sz w:val="20"/>
        </w:rPr>
        <w:t>CORTE INTERAMERICANA DE DERECHOS HUMANOS</w:t>
      </w:r>
    </w:p>
    <w:p w14:paraId="287BB904" w14:textId="77777777" w:rsidR="009403BF" w:rsidRPr="00351298" w:rsidRDefault="009403BF" w:rsidP="005B635B">
      <w:pPr>
        <w:pStyle w:val="Ttulo"/>
        <w:ind w:left="708" w:right="-4" w:hanging="708"/>
        <w:rPr>
          <w:rFonts w:ascii="Verdana" w:eastAsia="MS Mincho" w:hAnsi="Verdana"/>
          <w:sz w:val="20"/>
        </w:rPr>
      </w:pPr>
    </w:p>
    <w:p w14:paraId="2D758441" w14:textId="77777777" w:rsidR="009403BF" w:rsidRPr="00351298" w:rsidRDefault="009403BF" w:rsidP="005B635B">
      <w:pPr>
        <w:pStyle w:val="Ttulo"/>
        <w:tabs>
          <w:tab w:val="left" w:pos="7501"/>
        </w:tabs>
        <w:ind w:left="-142" w:right="-4"/>
        <w:rPr>
          <w:rFonts w:ascii="Verdana" w:eastAsia="MS Mincho" w:hAnsi="Verdana"/>
          <w:sz w:val="20"/>
        </w:rPr>
      </w:pPr>
    </w:p>
    <w:p w14:paraId="391D195A" w14:textId="11411A49" w:rsidR="008F1678" w:rsidRPr="00351298" w:rsidRDefault="7DE0602D" w:rsidP="4CE93F3E">
      <w:pPr>
        <w:jc w:val="center"/>
        <w:rPr>
          <w:rFonts w:ascii="Verdana" w:hAnsi="Verdana"/>
          <w:b/>
          <w:bCs/>
          <w:i/>
          <w:iCs/>
          <w:smallCaps/>
          <w:sz w:val="20"/>
          <w:szCs w:val="20"/>
          <w:lang w:eastAsia="es-ES"/>
        </w:rPr>
      </w:pPr>
      <w:r w:rsidRPr="4CE93F3E">
        <w:rPr>
          <w:rFonts w:ascii="Verdana" w:hAnsi="Verdana" w:cs="Verdana Bold"/>
          <w:b/>
          <w:bCs/>
          <w:i/>
          <w:iCs/>
          <w:caps/>
          <w:sz w:val="20"/>
          <w:szCs w:val="20"/>
        </w:rPr>
        <w:t xml:space="preserve">Caso </w:t>
      </w:r>
      <w:r w:rsidR="009916C1" w:rsidRPr="4CE93F3E">
        <w:rPr>
          <w:rFonts w:ascii="Verdana" w:hAnsi="Verdana" w:cs="Verdana Bold"/>
          <w:b/>
          <w:bCs/>
          <w:i/>
          <w:iCs/>
          <w:caps/>
          <w:sz w:val="20"/>
          <w:szCs w:val="20"/>
        </w:rPr>
        <w:t>GARCÍA RODRÍGUEZ</w:t>
      </w:r>
      <w:r w:rsidR="00957E1D" w:rsidRPr="4CE93F3E">
        <w:rPr>
          <w:rFonts w:ascii="Verdana" w:hAnsi="Verdana" w:cs="Verdana Bold"/>
          <w:b/>
          <w:bCs/>
          <w:i/>
          <w:iCs/>
          <w:caps/>
          <w:sz w:val="20"/>
          <w:szCs w:val="20"/>
        </w:rPr>
        <w:t xml:space="preserve"> y otro Vs. México</w:t>
      </w:r>
    </w:p>
    <w:p w14:paraId="2C626B89" w14:textId="77777777" w:rsidR="009403BF" w:rsidRPr="00351298" w:rsidRDefault="009403BF" w:rsidP="005B635B">
      <w:pPr>
        <w:spacing w:after="120"/>
        <w:ind w:right="-4"/>
        <w:jc w:val="center"/>
        <w:rPr>
          <w:rFonts w:ascii="Verdana" w:hAnsi="Verdana" w:cs="Verdana Bold"/>
          <w:b/>
          <w:bCs/>
          <w:i/>
          <w:caps/>
          <w:sz w:val="20"/>
          <w:szCs w:val="20"/>
        </w:rPr>
      </w:pPr>
    </w:p>
    <w:p w14:paraId="26075D47" w14:textId="5A160AA4" w:rsidR="009403BF" w:rsidRPr="00351298" w:rsidRDefault="009403BF" w:rsidP="005B635B">
      <w:pPr>
        <w:pStyle w:val="Ttulo"/>
        <w:ind w:left="-142" w:right="-4"/>
        <w:rPr>
          <w:rFonts w:ascii="Verdana" w:eastAsia="MS Mincho" w:hAnsi="Verdana"/>
          <w:sz w:val="20"/>
        </w:rPr>
      </w:pPr>
      <w:r w:rsidRPr="00351298">
        <w:rPr>
          <w:rFonts w:ascii="Verdana" w:eastAsia="MS Mincho" w:hAnsi="Verdana"/>
          <w:sz w:val="20"/>
        </w:rPr>
        <w:t xml:space="preserve">SENTENCIA </w:t>
      </w:r>
      <w:r w:rsidR="00784CCE" w:rsidRPr="00351298">
        <w:rPr>
          <w:rFonts w:ascii="Verdana" w:eastAsia="MS Mincho" w:hAnsi="Verdana"/>
          <w:sz w:val="20"/>
        </w:rPr>
        <w:t xml:space="preserve">DE </w:t>
      </w:r>
      <w:r w:rsidR="00533B18">
        <w:rPr>
          <w:rFonts w:ascii="Verdana" w:eastAsia="MS Mincho" w:hAnsi="Verdana"/>
          <w:sz w:val="20"/>
        </w:rPr>
        <w:t>25</w:t>
      </w:r>
      <w:r w:rsidR="00533B18" w:rsidRPr="00351298">
        <w:rPr>
          <w:rFonts w:ascii="Verdana" w:eastAsia="MS Mincho" w:hAnsi="Verdana"/>
          <w:sz w:val="20"/>
        </w:rPr>
        <w:t xml:space="preserve"> </w:t>
      </w:r>
      <w:r w:rsidRPr="00351298">
        <w:rPr>
          <w:rFonts w:ascii="Verdana" w:eastAsia="MS Mincho" w:hAnsi="Verdana"/>
          <w:sz w:val="20"/>
        </w:rPr>
        <w:t>DE</w:t>
      </w:r>
      <w:r w:rsidR="00A62821" w:rsidRPr="00351298">
        <w:rPr>
          <w:rFonts w:ascii="Verdana" w:eastAsia="MS Mincho" w:hAnsi="Verdana"/>
          <w:sz w:val="20"/>
        </w:rPr>
        <w:t xml:space="preserve"> </w:t>
      </w:r>
      <w:r w:rsidR="009831EF" w:rsidRPr="00351298">
        <w:rPr>
          <w:rFonts w:ascii="Verdana" w:eastAsia="MS Mincho" w:hAnsi="Verdana"/>
          <w:sz w:val="20"/>
        </w:rPr>
        <w:t xml:space="preserve">ENERO </w:t>
      </w:r>
      <w:r w:rsidR="00435896" w:rsidRPr="00351298">
        <w:rPr>
          <w:rFonts w:ascii="Verdana" w:eastAsia="MS Mincho" w:hAnsi="Verdana"/>
          <w:sz w:val="20"/>
        </w:rPr>
        <w:t xml:space="preserve">DE </w:t>
      </w:r>
      <w:r w:rsidR="00C35A23" w:rsidRPr="00351298">
        <w:rPr>
          <w:rFonts w:ascii="Verdana" w:eastAsia="MS Mincho" w:hAnsi="Verdana"/>
          <w:sz w:val="20"/>
        </w:rPr>
        <w:t>2023</w:t>
      </w:r>
    </w:p>
    <w:p w14:paraId="0392388D" w14:textId="77777777" w:rsidR="009569E6" w:rsidRPr="00351298" w:rsidRDefault="009569E6" w:rsidP="005B635B">
      <w:pPr>
        <w:pStyle w:val="Ttulo"/>
        <w:ind w:right="-4"/>
        <w:jc w:val="both"/>
        <w:rPr>
          <w:rFonts w:ascii="Verdana" w:eastAsia="MS Mincho" w:hAnsi="Verdana"/>
          <w:sz w:val="20"/>
        </w:rPr>
      </w:pPr>
    </w:p>
    <w:p w14:paraId="1B901ED7" w14:textId="1AA32DB1" w:rsidR="009403BF" w:rsidRPr="00351298" w:rsidRDefault="009403BF" w:rsidP="005B635B">
      <w:pPr>
        <w:pStyle w:val="Subttulo"/>
        <w:ind w:left="-142" w:right="-4"/>
        <w:rPr>
          <w:rFonts w:ascii="Verdana" w:hAnsi="Verdana"/>
          <w:sz w:val="20"/>
          <w:szCs w:val="20"/>
        </w:rPr>
      </w:pPr>
      <w:r w:rsidRPr="00351298">
        <w:rPr>
          <w:rFonts w:ascii="Verdana" w:hAnsi="Verdana"/>
          <w:sz w:val="20"/>
          <w:szCs w:val="20"/>
        </w:rPr>
        <w:t>(</w:t>
      </w:r>
      <w:r w:rsidR="00957E1D" w:rsidRPr="00351298">
        <w:rPr>
          <w:rFonts w:ascii="Verdana" w:hAnsi="Verdana"/>
          <w:sz w:val="20"/>
          <w:szCs w:val="20"/>
        </w:rPr>
        <w:t>Excepci</w:t>
      </w:r>
      <w:r w:rsidR="00BD0810">
        <w:rPr>
          <w:rFonts w:ascii="Verdana" w:hAnsi="Verdana"/>
          <w:sz w:val="20"/>
          <w:szCs w:val="20"/>
        </w:rPr>
        <w:t>ones</w:t>
      </w:r>
      <w:r w:rsidR="00957E1D" w:rsidRPr="00351298">
        <w:rPr>
          <w:rFonts w:ascii="Verdana" w:hAnsi="Verdana"/>
          <w:sz w:val="20"/>
          <w:szCs w:val="20"/>
        </w:rPr>
        <w:t xml:space="preserve"> Preliminar</w:t>
      </w:r>
      <w:r w:rsidR="00BD0810">
        <w:rPr>
          <w:rFonts w:ascii="Verdana" w:hAnsi="Verdana"/>
          <w:sz w:val="20"/>
          <w:szCs w:val="20"/>
        </w:rPr>
        <w:t>es</w:t>
      </w:r>
      <w:r w:rsidR="00957E1D" w:rsidRPr="00351298">
        <w:rPr>
          <w:rFonts w:ascii="Verdana" w:hAnsi="Verdana"/>
          <w:sz w:val="20"/>
          <w:szCs w:val="20"/>
        </w:rPr>
        <w:t xml:space="preserve">, </w:t>
      </w:r>
      <w:r w:rsidRPr="00351298">
        <w:rPr>
          <w:rFonts w:ascii="Verdana" w:hAnsi="Verdana"/>
          <w:sz w:val="20"/>
          <w:szCs w:val="20"/>
        </w:rPr>
        <w:t>Fondo, Reparaciones y Costas)</w:t>
      </w:r>
    </w:p>
    <w:p w14:paraId="02FBD8A1" w14:textId="13168F1D" w:rsidR="009403BF" w:rsidRPr="00351298" w:rsidRDefault="009403BF" w:rsidP="005B635B">
      <w:pPr>
        <w:ind w:left="-142" w:right="-4"/>
        <w:rPr>
          <w:rFonts w:ascii="Verdana" w:hAnsi="Verdana"/>
          <w:sz w:val="20"/>
          <w:szCs w:val="20"/>
        </w:rPr>
      </w:pPr>
    </w:p>
    <w:p w14:paraId="5C4CFD96" w14:textId="77777777" w:rsidR="009403BF" w:rsidRPr="00351298" w:rsidRDefault="009403BF" w:rsidP="005B635B">
      <w:pPr>
        <w:ind w:left="-142" w:right="-4"/>
        <w:rPr>
          <w:rFonts w:ascii="Verdana" w:hAnsi="Verdana"/>
          <w:sz w:val="20"/>
          <w:szCs w:val="20"/>
        </w:rPr>
      </w:pPr>
    </w:p>
    <w:p w14:paraId="10A94594" w14:textId="43DD79A7" w:rsidR="008F1678" w:rsidRPr="00351298" w:rsidRDefault="009403BF" w:rsidP="005B635B">
      <w:pPr>
        <w:rPr>
          <w:rFonts w:ascii="Verdana" w:hAnsi="Verdana"/>
          <w:i/>
          <w:sz w:val="20"/>
          <w:szCs w:val="20"/>
        </w:rPr>
      </w:pPr>
      <w:r w:rsidRPr="00351298">
        <w:rPr>
          <w:rFonts w:ascii="Verdana" w:hAnsi="Verdana"/>
          <w:sz w:val="20"/>
          <w:szCs w:val="20"/>
        </w:rPr>
        <w:t xml:space="preserve">En el </w:t>
      </w:r>
      <w:r w:rsidR="00BB15CC" w:rsidRPr="00351298">
        <w:rPr>
          <w:rFonts w:ascii="Verdana" w:hAnsi="Verdana"/>
          <w:sz w:val="20"/>
          <w:szCs w:val="20"/>
        </w:rPr>
        <w:t xml:space="preserve">caso </w:t>
      </w:r>
      <w:r w:rsidR="009916C1" w:rsidRPr="00351298">
        <w:rPr>
          <w:rFonts w:ascii="Verdana" w:hAnsi="Verdana"/>
          <w:i/>
          <w:sz w:val="20"/>
          <w:szCs w:val="20"/>
        </w:rPr>
        <w:t>García Rodríguez</w:t>
      </w:r>
      <w:r w:rsidR="00561EA2" w:rsidRPr="00351298">
        <w:rPr>
          <w:rFonts w:ascii="Verdana" w:hAnsi="Verdana"/>
          <w:i/>
          <w:sz w:val="20"/>
          <w:szCs w:val="20"/>
        </w:rPr>
        <w:t xml:space="preserve"> y otro Vs. México</w:t>
      </w:r>
      <w:r w:rsidR="004B605F" w:rsidRPr="00351298">
        <w:rPr>
          <w:rFonts w:ascii="Verdana" w:hAnsi="Verdana"/>
          <w:i/>
          <w:sz w:val="20"/>
          <w:szCs w:val="20"/>
        </w:rPr>
        <w:t>,</w:t>
      </w:r>
    </w:p>
    <w:p w14:paraId="48DEE953" w14:textId="77777777" w:rsidR="009403BF" w:rsidRPr="00351298" w:rsidRDefault="009403BF" w:rsidP="005B635B">
      <w:pPr>
        <w:ind w:right="-4"/>
        <w:rPr>
          <w:rFonts w:ascii="Verdana" w:hAnsi="Verdana"/>
          <w:sz w:val="20"/>
          <w:szCs w:val="20"/>
        </w:rPr>
      </w:pPr>
    </w:p>
    <w:p w14:paraId="553F4C90" w14:textId="0CD4E330" w:rsidR="009403BF" w:rsidRPr="00351298" w:rsidRDefault="009403BF" w:rsidP="005B635B">
      <w:pPr>
        <w:ind w:right="-4"/>
        <w:jc w:val="both"/>
        <w:rPr>
          <w:rFonts w:ascii="Verdana" w:hAnsi="Verdana"/>
          <w:sz w:val="20"/>
          <w:szCs w:val="20"/>
        </w:rPr>
      </w:pPr>
      <w:r w:rsidRPr="00351298">
        <w:rPr>
          <w:rFonts w:ascii="Verdana" w:hAnsi="Verdana"/>
          <w:sz w:val="20"/>
          <w:szCs w:val="20"/>
        </w:rPr>
        <w:t>la Corte Interamericana de Derechos Humanos (en adelante “la Corte Interamericana”, “la Corte” o “el Tribunal”), integrada por los siguientes Jueces</w:t>
      </w:r>
      <w:r w:rsidR="009E301B" w:rsidRPr="00351298">
        <w:rPr>
          <w:rStyle w:val="Refdenotaalpie"/>
          <w:rFonts w:ascii="Verdana" w:hAnsi="Verdana"/>
          <w:sz w:val="20"/>
        </w:rPr>
        <w:footnoteReference w:customMarkFollows="1" w:id="2"/>
        <w:t>*</w:t>
      </w:r>
      <w:r w:rsidRPr="00351298">
        <w:rPr>
          <w:rFonts w:ascii="Verdana" w:hAnsi="Verdana"/>
          <w:sz w:val="20"/>
          <w:szCs w:val="20"/>
        </w:rPr>
        <w:t>:</w:t>
      </w:r>
    </w:p>
    <w:p w14:paraId="78691EAE" w14:textId="77777777" w:rsidR="009403BF" w:rsidRPr="00351298" w:rsidRDefault="009403BF" w:rsidP="005B635B">
      <w:pPr>
        <w:ind w:right="-4"/>
        <w:rPr>
          <w:rFonts w:ascii="Verdana" w:hAnsi="Verdana"/>
          <w:sz w:val="20"/>
          <w:szCs w:val="20"/>
        </w:rPr>
      </w:pPr>
    </w:p>
    <w:p w14:paraId="2828D852" w14:textId="79A791EA" w:rsidR="00947D50" w:rsidRPr="00351298" w:rsidRDefault="00947D50" w:rsidP="005B635B">
      <w:pPr>
        <w:pStyle w:val="citaindirecta"/>
        <w:ind w:right="-4"/>
        <w:jc w:val="both"/>
        <w:rPr>
          <w:rFonts w:ascii="Verdana" w:hAnsi="Verdana"/>
          <w:sz w:val="20"/>
        </w:rPr>
      </w:pPr>
      <w:r w:rsidRPr="00351298">
        <w:rPr>
          <w:rFonts w:ascii="Verdana" w:hAnsi="Verdana"/>
          <w:sz w:val="20"/>
        </w:rPr>
        <w:t>Ricardo C. Pérez Manrique, Presidente;</w:t>
      </w:r>
    </w:p>
    <w:p w14:paraId="1CF4EC5A" w14:textId="76C060BF" w:rsidR="00947D50" w:rsidRPr="00351298" w:rsidRDefault="00947D50" w:rsidP="00947D50">
      <w:pPr>
        <w:pStyle w:val="citaindirecta"/>
        <w:ind w:right="-4"/>
        <w:jc w:val="both"/>
        <w:rPr>
          <w:rFonts w:ascii="Verdana" w:hAnsi="Verdana"/>
          <w:sz w:val="20"/>
        </w:rPr>
      </w:pPr>
      <w:r w:rsidRPr="00351298">
        <w:rPr>
          <w:rFonts w:ascii="Verdana" w:hAnsi="Verdana"/>
          <w:sz w:val="20"/>
        </w:rPr>
        <w:t xml:space="preserve">Humberto Antonio Sierra Porto, </w:t>
      </w:r>
      <w:r w:rsidR="00CC7429">
        <w:rPr>
          <w:rFonts w:ascii="Verdana" w:hAnsi="Verdana"/>
          <w:sz w:val="20"/>
        </w:rPr>
        <w:t>Juez</w:t>
      </w:r>
      <w:r w:rsidRPr="00351298">
        <w:rPr>
          <w:rFonts w:ascii="Verdana" w:hAnsi="Verdana"/>
          <w:sz w:val="20"/>
        </w:rPr>
        <w:t>;</w:t>
      </w:r>
    </w:p>
    <w:p w14:paraId="40C23648" w14:textId="5169F292" w:rsidR="00561EA2" w:rsidRPr="00351298" w:rsidRDefault="006D25FB" w:rsidP="00561EA2">
      <w:pPr>
        <w:pStyle w:val="citaindirecta"/>
        <w:ind w:right="-4"/>
        <w:jc w:val="both"/>
        <w:rPr>
          <w:rFonts w:ascii="Verdana" w:hAnsi="Verdana"/>
          <w:sz w:val="20"/>
        </w:rPr>
      </w:pPr>
      <w:r w:rsidRPr="00351298">
        <w:rPr>
          <w:rFonts w:ascii="Verdana" w:hAnsi="Verdana"/>
          <w:sz w:val="20"/>
        </w:rPr>
        <w:t>Nancy Hernández López, Jueza</w:t>
      </w:r>
      <w:r w:rsidR="00561EA2" w:rsidRPr="00351298">
        <w:rPr>
          <w:rFonts w:ascii="Verdana" w:hAnsi="Verdana"/>
          <w:sz w:val="20"/>
        </w:rPr>
        <w:t>;</w:t>
      </w:r>
    </w:p>
    <w:p w14:paraId="688B9FEE" w14:textId="312447CA" w:rsidR="006D25FB" w:rsidRPr="00351298" w:rsidRDefault="006D25FB" w:rsidP="00561EA2">
      <w:pPr>
        <w:pStyle w:val="citaindirecta"/>
        <w:ind w:right="-4"/>
        <w:jc w:val="both"/>
        <w:rPr>
          <w:rFonts w:ascii="Verdana" w:hAnsi="Verdana"/>
          <w:sz w:val="20"/>
        </w:rPr>
      </w:pPr>
      <w:r w:rsidRPr="00351298">
        <w:rPr>
          <w:rFonts w:ascii="Verdana" w:hAnsi="Verdana"/>
          <w:sz w:val="20"/>
        </w:rPr>
        <w:t>Verónica Gómez, Jueza;</w:t>
      </w:r>
    </w:p>
    <w:p w14:paraId="57E2EE57" w14:textId="1C978789" w:rsidR="006D25FB" w:rsidRPr="00351298" w:rsidRDefault="006D25FB" w:rsidP="00561EA2">
      <w:pPr>
        <w:pStyle w:val="citaindirecta"/>
        <w:ind w:right="-4"/>
        <w:jc w:val="both"/>
        <w:rPr>
          <w:rFonts w:ascii="Verdana" w:hAnsi="Verdana"/>
          <w:sz w:val="20"/>
        </w:rPr>
      </w:pPr>
      <w:r w:rsidRPr="00351298">
        <w:rPr>
          <w:rFonts w:ascii="Verdana" w:hAnsi="Verdana"/>
          <w:sz w:val="20"/>
        </w:rPr>
        <w:t xml:space="preserve">Patricia Pérez Goldberg, Jueza, y </w:t>
      </w:r>
    </w:p>
    <w:p w14:paraId="752888E2" w14:textId="4FFDC63A" w:rsidR="006D25FB" w:rsidRPr="009D520B" w:rsidRDefault="006D25FB" w:rsidP="00561EA2">
      <w:pPr>
        <w:pStyle w:val="citaindirecta"/>
        <w:ind w:right="-4"/>
        <w:jc w:val="both"/>
        <w:rPr>
          <w:rFonts w:ascii="Verdana" w:hAnsi="Verdana"/>
          <w:sz w:val="20"/>
          <w:lang w:val="es-CR"/>
        </w:rPr>
      </w:pPr>
      <w:r w:rsidRPr="009D520B">
        <w:rPr>
          <w:rFonts w:ascii="Verdana" w:hAnsi="Verdana"/>
          <w:sz w:val="20"/>
          <w:lang w:val="es-CR"/>
        </w:rPr>
        <w:t>Rodrigo</w:t>
      </w:r>
      <w:r w:rsidR="00382DE0" w:rsidRPr="009D520B">
        <w:rPr>
          <w:rFonts w:ascii="Verdana" w:hAnsi="Verdana"/>
          <w:sz w:val="20"/>
          <w:lang w:val="es-CR"/>
        </w:rPr>
        <w:t xml:space="preserve"> </w:t>
      </w:r>
      <w:r w:rsidRPr="009D520B">
        <w:rPr>
          <w:rFonts w:ascii="Verdana" w:hAnsi="Verdana"/>
          <w:sz w:val="20"/>
          <w:lang w:val="es-CR"/>
        </w:rPr>
        <w:t>Mudrovitsch, Juez,</w:t>
      </w:r>
    </w:p>
    <w:p w14:paraId="2C95BA9D" w14:textId="77777777" w:rsidR="00947D50" w:rsidRPr="009D520B" w:rsidRDefault="00947D50" w:rsidP="005B635B">
      <w:pPr>
        <w:pStyle w:val="citaindirecta"/>
        <w:ind w:right="-4"/>
        <w:jc w:val="both"/>
        <w:rPr>
          <w:rFonts w:ascii="Verdana" w:hAnsi="Verdana"/>
          <w:sz w:val="20"/>
          <w:lang w:val="es-CR"/>
        </w:rPr>
      </w:pPr>
    </w:p>
    <w:p w14:paraId="6BA6E6DE" w14:textId="77777777" w:rsidR="009403BF" w:rsidRPr="009D520B" w:rsidRDefault="009403BF" w:rsidP="005B635B">
      <w:pPr>
        <w:ind w:right="-4"/>
        <w:rPr>
          <w:rFonts w:ascii="Verdana" w:hAnsi="Verdana"/>
          <w:sz w:val="20"/>
          <w:szCs w:val="20"/>
        </w:rPr>
      </w:pPr>
    </w:p>
    <w:p w14:paraId="7CF3BADF" w14:textId="79C5C043" w:rsidR="009403BF" w:rsidRPr="00351298" w:rsidRDefault="0023621E" w:rsidP="005B635B">
      <w:pPr>
        <w:ind w:right="-4"/>
        <w:rPr>
          <w:rFonts w:ascii="Verdana" w:hAnsi="Verdana"/>
          <w:sz w:val="20"/>
          <w:szCs w:val="20"/>
        </w:rPr>
      </w:pPr>
      <w:r w:rsidRPr="00351298">
        <w:rPr>
          <w:rFonts w:ascii="Verdana" w:hAnsi="Verdana"/>
          <w:sz w:val="20"/>
          <w:szCs w:val="20"/>
        </w:rPr>
        <w:t>presente</w:t>
      </w:r>
      <w:r w:rsidR="00561EA2" w:rsidRPr="00351298">
        <w:rPr>
          <w:rFonts w:ascii="Verdana" w:hAnsi="Verdana"/>
          <w:sz w:val="20"/>
          <w:szCs w:val="20"/>
        </w:rPr>
        <w:t>s</w:t>
      </w:r>
      <w:r w:rsidR="009403BF" w:rsidRPr="00351298">
        <w:rPr>
          <w:rFonts w:ascii="Verdana" w:hAnsi="Verdana"/>
          <w:sz w:val="20"/>
          <w:szCs w:val="20"/>
        </w:rPr>
        <w:t>, además,</w:t>
      </w:r>
    </w:p>
    <w:p w14:paraId="2D54F054" w14:textId="77777777" w:rsidR="009403BF" w:rsidRPr="00351298" w:rsidRDefault="009403BF" w:rsidP="005B635B">
      <w:pPr>
        <w:ind w:right="-4"/>
        <w:rPr>
          <w:rFonts w:ascii="Verdana" w:hAnsi="Verdana"/>
          <w:sz w:val="20"/>
          <w:szCs w:val="20"/>
        </w:rPr>
      </w:pPr>
    </w:p>
    <w:p w14:paraId="37DAD56F" w14:textId="7ECEDC3F" w:rsidR="00561EA2" w:rsidRPr="00351298" w:rsidRDefault="00561EA2" w:rsidP="005B635B">
      <w:pPr>
        <w:ind w:right="-4" w:firstLine="708"/>
        <w:rPr>
          <w:rFonts w:ascii="Verdana" w:hAnsi="Verdana"/>
          <w:sz w:val="20"/>
          <w:szCs w:val="20"/>
        </w:rPr>
      </w:pPr>
      <w:r w:rsidRPr="00351298">
        <w:rPr>
          <w:rFonts w:ascii="Verdana" w:hAnsi="Verdana"/>
          <w:sz w:val="20"/>
          <w:szCs w:val="20"/>
        </w:rPr>
        <w:t>Pablo Saavedra Alessandri, Secretario, y</w:t>
      </w:r>
    </w:p>
    <w:p w14:paraId="2E948EF9" w14:textId="5EF4DD5C" w:rsidR="009403BF" w:rsidRPr="00351298" w:rsidRDefault="00E043D2" w:rsidP="005B635B">
      <w:pPr>
        <w:ind w:right="-4" w:firstLine="708"/>
        <w:rPr>
          <w:rFonts w:ascii="Verdana" w:hAnsi="Verdana"/>
          <w:sz w:val="20"/>
          <w:szCs w:val="20"/>
        </w:rPr>
      </w:pPr>
      <w:r w:rsidRPr="00351298">
        <w:rPr>
          <w:rFonts w:ascii="Verdana" w:hAnsi="Verdana"/>
          <w:sz w:val="20"/>
          <w:szCs w:val="20"/>
        </w:rPr>
        <w:t>Romina I. Sijniensky, Secretaria Adjunta,</w:t>
      </w:r>
    </w:p>
    <w:p w14:paraId="143DB2BD" w14:textId="77777777" w:rsidR="009403BF" w:rsidRPr="00351298" w:rsidRDefault="009403BF" w:rsidP="005B635B">
      <w:pPr>
        <w:ind w:right="-4"/>
        <w:rPr>
          <w:rFonts w:ascii="Verdana" w:hAnsi="Verdana"/>
          <w:sz w:val="20"/>
          <w:szCs w:val="20"/>
        </w:rPr>
      </w:pPr>
    </w:p>
    <w:p w14:paraId="1DFEACB1" w14:textId="7E323D1B" w:rsidR="009403BF" w:rsidRPr="00351298" w:rsidRDefault="009403BF" w:rsidP="005B635B">
      <w:pPr>
        <w:ind w:right="-4"/>
        <w:jc w:val="both"/>
        <w:rPr>
          <w:rFonts w:ascii="Verdana" w:hAnsi="Verdana"/>
          <w:sz w:val="20"/>
          <w:szCs w:val="20"/>
        </w:rPr>
      </w:pPr>
      <w:r w:rsidRPr="00351298">
        <w:rPr>
          <w:rFonts w:ascii="Verdana" w:hAnsi="Verdana"/>
          <w:sz w:val="20"/>
          <w:szCs w:val="20"/>
        </w:rPr>
        <w:t>de conformidad con los artículos 62.3 y 63.1 de la Convención Americana sobre Derechos Humanos (en adelante, “la Convención Americana” o “la Convención”) y con los artículos 31, 32, 65 y 67 del Reglamento de la Corte (en adelante también “el Reglamento”), dicta la presente Sentencia</w:t>
      </w:r>
      <w:r w:rsidR="00E043D2" w:rsidRPr="00351298">
        <w:rPr>
          <w:rFonts w:ascii="Verdana" w:hAnsi="Verdana"/>
          <w:sz w:val="20"/>
          <w:szCs w:val="20"/>
        </w:rPr>
        <w:t>, que se estructura en el siguiente orden:</w:t>
      </w:r>
    </w:p>
    <w:p w14:paraId="4E33C656" w14:textId="77777777" w:rsidR="009403BF" w:rsidRPr="00351298" w:rsidRDefault="009403BF" w:rsidP="005B635B">
      <w:pPr>
        <w:ind w:right="-4"/>
        <w:rPr>
          <w:rFonts w:ascii="Verdana" w:hAnsi="Verdana"/>
          <w:sz w:val="20"/>
          <w:szCs w:val="20"/>
        </w:rPr>
      </w:pPr>
    </w:p>
    <w:p w14:paraId="334CA863" w14:textId="663F20A5" w:rsidR="00C32DA9" w:rsidRPr="00351298" w:rsidRDefault="00C32DA9" w:rsidP="005B635B">
      <w:pPr>
        <w:pStyle w:val="Ttulo"/>
        <w:spacing w:before="240" w:after="240"/>
        <w:ind w:left="-142" w:right="-46"/>
        <w:rPr>
          <w:rFonts w:ascii="Verdana" w:eastAsia="MS Mincho" w:hAnsi="Verdana"/>
          <w:sz w:val="20"/>
        </w:rPr>
      </w:pPr>
    </w:p>
    <w:p w14:paraId="1ED44A09" w14:textId="77777777" w:rsidR="00382DE0" w:rsidRPr="00351298" w:rsidRDefault="00382DE0" w:rsidP="005B635B">
      <w:pPr>
        <w:pStyle w:val="Ttulo"/>
        <w:spacing w:before="240" w:after="240"/>
        <w:ind w:left="-142" w:right="-46"/>
        <w:rPr>
          <w:rFonts w:ascii="Verdana" w:eastAsia="MS Mincho" w:hAnsi="Verdana"/>
          <w:sz w:val="20"/>
        </w:rPr>
      </w:pPr>
    </w:p>
    <w:p w14:paraId="1EE49AF5" w14:textId="28A59112" w:rsidR="00C32DA9" w:rsidRDefault="00C32DA9" w:rsidP="005B635B">
      <w:pPr>
        <w:pStyle w:val="Ttulo"/>
        <w:spacing w:before="240" w:after="240"/>
        <w:ind w:left="-142" w:right="-46"/>
        <w:rPr>
          <w:rFonts w:ascii="Verdana" w:eastAsia="MS Mincho" w:hAnsi="Verdana"/>
          <w:sz w:val="20"/>
        </w:rPr>
      </w:pPr>
    </w:p>
    <w:p w14:paraId="72BB2AB0" w14:textId="0EF64284" w:rsidR="00DF29C4" w:rsidRDefault="00DF29C4" w:rsidP="005B635B">
      <w:pPr>
        <w:pStyle w:val="Ttulo"/>
        <w:spacing w:before="240" w:after="240"/>
        <w:ind w:left="-142" w:right="-46"/>
        <w:rPr>
          <w:rFonts w:ascii="Verdana" w:eastAsia="MS Mincho" w:hAnsi="Verdana"/>
          <w:sz w:val="20"/>
        </w:rPr>
      </w:pPr>
    </w:p>
    <w:p w14:paraId="18627D73" w14:textId="77777777" w:rsidR="00DF29C4" w:rsidRPr="00351298" w:rsidRDefault="00DF29C4" w:rsidP="005B635B">
      <w:pPr>
        <w:pStyle w:val="Ttulo"/>
        <w:spacing w:before="240" w:after="240"/>
        <w:ind w:left="-142" w:right="-46"/>
        <w:rPr>
          <w:rFonts w:ascii="Verdana" w:eastAsia="MS Mincho" w:hAnsi="Verdana"/>
          <w:sz w:val="20"/>
        </w:rPr>
      </w:pPr>
    </w:p>
    <w:p w14:paraId="43197D4C" w14:textId="738F59CD" w:rsidR="00C32DA9" w:rsidRPr="00351298" w:rsidRDefault="00C32DA9" w:rsidP="005B635B">
      <w:pPr>
        <w:pStyle w:val="Ttulo"/>
        <w:spacing w:before="240" w:after="240"/>
        <w:ind w:left="-142" w:right="-46"/>
        <w:rPr>
          <w:rFonts w:ascii="Verdana" w:eastAsia="MS Mincho" w:hAnsi="Verdana"/>
          <w:sz w:val="20"/>
        </w:rPr>
      </w:pPr>
    </w:p>
    <w:p w14:paraId="5D750F2C" w14:textId="77777777" w:rsidR="00D34019" w:rsidRPr="00351298" w:rsidRDefault="00D34019" w:rsidP="00D34019">
      <w:pPr>
        <w:pStyle w:val="Ttulo"/>
        <w:ind w:left="-142" w:right="-45"/>
        <w:rPr>
          <w:rFonts w:ascii="Verdana" w:eastAsia="MS Mincho" w:hAnsi="Verdana"/>
          <w:sz w:val="20"/>
        </w:rPr>
      </w:pPr>
    </w:p>
    <w:p w14:paraId="63E635C5" w14:textId="3F9A62FC" w:rsidR="007914C4" w:rsidRPr="00297233" w:rsidRDefault="009916C1" w:rsidP="00AC07B6">
      <w:pPr>
        <w:spacing w:after="240"/>
        <w:jc w:val="center"/>
        <w:rPr>
          <w:rFonts w:ascii="Verdana" w:hAnsi="Verdana" w:cs="Verdana Bold"/>
          <w:b/>
          <w:bCs/>
          <w:i/>
          <w:caps/>
          <w:sz w:val="18"/>
          <w:szCs w:val="18"/>
        </w:rPr>
      </w:pPr>
      <w:bookmarkStart w:id="0" w:name="_Toc369989729"/>
      <w:bookmarkStart w:id="1" w:name="_Toc438132269"/>
      <w:bookmarkStart w:id="2" w:name="_Toc288744729"/>
      <w:bookmarkStart w:id="3" w:name="_Toc486693351"/>
      <w:bookmarkStart w:id="4" w:name="_Toc486842767"/>
      <w:bookmarkStart w:id="5" w:name="_Toc486842905"/>
      <w:bookmarkStart w:id="6" w:name="_Toc11166262"/>
      <w:r w:rsidRPr="00297233">
        <w:rPr>
          <w:rFonts w:ascii="Verdana" w:hAnsi="Verdana" w:cs="Verdana Bold"/>
          <w:b/>
          <w:bCs/>
          <w:i/>
          <w:caps/>
          <w:sz w:val="18"/>
          <w:szCs w:val="18"/>
        </w:rPr>
        <w:t>garcía rodríguez</w:t>
      </w:r>
      <w:r w:rsidR="00382DE0" w:rsidRPr="00297233">
        <w:rPr>
          <w:rFonts w:ascii="Verdana" w:hAnsi="Verdana" w:cs="Verdana Bold"/>
          <w:b/>
          <w:bCs/>
          <w:i/>
          <w:caps/>
          <w:sz w:val="18"/>
          <w:szCs w:val="18"/>
        </w:rPr>
        <w:t xml:space="preserve"> y otro Vs. México</w:t>
      </w:r>
      <w:r w:rsidR="007914C4" w:rsidRPr="00297233">
        <w:rPr>
          <w:rFonts w:ascii="Verdana" w:hAnsi="Verdana" w:cs="Verdana Bold"/>
          <w:b/>
          <w:bCs/>
          <w:i/>
          <w:caps/>
          <w:sz w:val="18"/>
          <w:szCs w:val="18"/>
        </w:rPr>
        <w:t xml:space="preserve"> </w:t>
      </w:r>
    </w:p>
    <w:sdt>
      <w:sdtPr>
        <w:rPr>
          <w:rFonts w:ascii="Verdana" w:hAnsi="Verdana"/>
          <w:b/>
          <w:sz w:val="18"/>
          <w:szCs w:val="18"/>
        </w:rPr>
        <w:id w:val="219566276"/>
        <w:docPartObj>
          <w:docPartGallery w:val="Table of Contents"/>
          <w:docPartUnique/>
        </w:docPartObj>
      </w:sdtPr>
      <w:sdtEndPr>
        <w:rPr>
          <w:bCs/>
        </w:rPr>
      </w:sdtEndPr>
      <w:sdtContent>
        <w:p w14:paraId="1AECA0F2" w14:textId="7E85EF86" w:rsidR="007914C4" w:rsidRPr="00297233" w:rsidRDefault="007914C4" w:rsidP="00351298">
          <w:pPr>
            <w:tabs>
              <w:tab w:val="left" w:pos="10065"/>
            </w:tabs>
            <w:spacing w:after="200" w:line="276" w:lineRule="auto"/>
            <w:jc w:val="center"/>
            <w:rPr>
              <w:rFonts w:ascii="Verdana" w:hAnsi="Verdana"/>
              <w:b/>
              <w:sz w:val="18"/>
              <w:szCs w:val="18"/>
            </w:rPr>
          </w:pPr>
          <w:r w:rsidRPr="00297233">
            <w:rPr>
              <w:rFonts w:ascii="Verdana" w:hAnsi="Verdana"/>
              <w:b/>
              <w:sz w:val="18"/>
              <w:szCs w:val="18"/>
            </w:rPr>
            <w:t>Tabla de Contenido</w:t>
          </w:r>
        </w:p>
        <w:p w14:paraId="7BC69B81" w14:textId="047F94F4" w:rsidR="00297233" w:rsidRPr="00297233" w:rsidRDefault="007914C4" w:rsidP="00297233">
          <w:pPr>
            <w:pStyle w:val="TDC1"/>
            <w:ind w:right="49"/>
            <w:rPr>
              <w:rFonts w:ascii="Verdana" w:eastAsiaTheme="minorEastAsia" w:hAnsi="Verdana" w:cstheme="minorBidi"/>
              <w:b w:val="0"/>
              <w:noProof/>
              <w:szCs w:val="18"/>
              <w:lang w:val="es-CR"/>
            </w:rPr>
          </w:pPr>
          <w:r w:rsidRPr="00297233">
            <w:rPr>
              <w:rFonts w:ascii="Verdana" w:hAnsi="Verdana"/>
              <w:bCs/>
              <w:szCs w:val="18"/>
            </w:rPr>
            <w:fldChar w:fldCharType="begin"/>
          </w:r>
          <w:r w:rsidRPr="00297233">
            <w:rPr>
              <w:rFonts w:ascii="Verdana" w:hAnsi="Verdana"/>
              <w:bCs/>
              <w:szCs w:val="18"/>
            </w:rPr>
            <w:instrText xml:space="preserve"> TOC \o "1-3" \h \z \u </w:instrText>
          </w:r>
          <w:r w:rsidRPr="00297233">
            <w:rPr>
              <w:rFonts w:ascii="Verdana" w:hAnsi="Verdana"/>
              <w:bCs/>
              <w:szCs w:val="18"/>
            </w:rPr>
            <w:fldChar w:fldCharType="separate"/>
          </w:r>
          <w:hyperlink w:anchor="_Toc132133878" w:history="1">
            <w:r w:rsidR="00297233" w:rsidRPr="00297233">
              <w:rPr>
                <w:rStyle w:val="Hipervnculo"/>
                <w:rFonts w:ascii="Verdana" w:hAnsi="Verdana"/>
                <w:noProof/>
                <w:szCs w:val="18"/>
                <w:lang w:val="es-ES_tradnl"/>
              </w:rPr>
              <w:t>I. INTRODUCCIÓN DE LA CAUSA Y OBJETO DE LA CONTROVERSIA</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_Toc132133878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sidR="00036BEE">
              <w:rPr>
                <w:rFonts w:ascii="Verdana" w:hAnsi="Verdana"/>
                <w:noProof/>
                <w:webHidden/>
                <w:szCs w:val="18"/>
              </w:rPr>
              <w:t>4</w:t>
            </w:r>
            <w:r w:rsidR="00297233" w:rsidRPr="00297233">
              <w:rPr>
                <w:rFonts w:ascii="Verdana" w:hAnsi="Verdana"/>
                <w:noProof/>
                <w:webHidden/>
                <w:szCs w:val="18"/>
              </w:rPr>
              <w:fldChar w:fldCharType="end"/>
            </w:r>
          </w:hyperlink>
        </w:p>
        <w:p w14:paraId="0D48A6EB" w14:textId="6EC13CAE" w:rsidR="00297233" w:rsidRPr="00297233" w:rsidRDefault="00036BEE" w:rsidP="00297233">
          <w:pPr>
            <w:pStyle w:val="TDC1"/>
            <w:ind w:right="49"/>
            <w:rPr>
              <w:rFonts w:ascii="Verdana" w:eastAsiaTheme="minorEastAsia" w:hAnsi="Verdana" w:cstheme="minorBidi"/>
              <w:b w:val="0"/>
              <w:noProof/>
              <w:szCs w:val="18"/>
              <w:lang w:val="es-CR"/>
            </w:rPr>
          </w:pPr>
          <w:hyperlink w:anchor="_Toc132133879" w:history="1">
            <w:r w:rsidR="00297233" w:rsidRPr="00297233">
              <w:rPr>
                <w:rStyle w:val="Hipervnculo"/>
                <w:rFonts w:ascii="Verdana" w:hAnsi="Verdana"/>
                <w:noProof/>
                <w:szCs w:val="18"/>
                <w:lang w:val="es-ES_tradnl"/>
              </w:rPr>
              <w:t>II. PROCEDIMIENTO ANTE LA CORTE</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_Toc132133879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5</w:t>
            </w:r>
            <w:r w:rsidR="00297233" w:rsidRPr="00297233">
              <w:rPr>
                <w:rFonts w:ascii="Verdana" w:hAnsi="Verdana"/>
                <w:noProof/>
                <w:webHidden/>
                <w:szCs w:val="18"/>
              </w:rPr>
              <w:fldChar w:fldCharType="end"/>
            </w:r>
          </w:hyperlink>
        </w:p>
        <w:p w14:paraId="37382D02" w14:textId="284FD564" w:rsidR="00297233" w:rsidRPr="00297233" w:rsidRDefault="00036BEE" w:rsidP="00297233">
          <w:pPr>
            <w:pStyle w:val="TDC1"/>
            <w:ind w:right="49"/>
            <w:rPr>
              <w:rFonts w:ascii="Verdana" w:eastAsiaTheme="minorEastAsia" w:hAnsi="Verdana" w:cstheme="minorBidi"/>
              <w:b w:val="0"/>
              <w:noProof/>
              <w:szCs w:val="18"/>
              <w:lang w:val="es-CR"/>
            </w:rPr>
          </w:pPr>
          <w:hyperlink w:anchor="_Toc132133880" w:history="1">
            <w:r w:rsidR="00297233" w:rsidRPr="00297233">
              <w:rPr>
                <w:rStyle w:val="Hipervnculo"/>
                <w:rFonts w:ascii="Verdana" w:hAnsi="Verdana"/>
                <w:noProof/>
                <w:szCs w:val="18"/>
                <w:lang w:val="es-ES_tradnl"/>
              </w:rPr>
              <w:t>III. COMPETENCIA</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_Toc132133880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8</w:t>
            </w:r>
            <w:r w:rsidR="00297233" w:rsidRPr="00297233">
              <w:rPr>
                <w:rFonts w:ascii="Verdana" w:hAnsi="Verdana"/>
                <w:noProof/>
                <w:webHidden/>
                <w:szCs w:val="18"/>
              </w:rPr>
              <w:fldChar w:fldCharType="end"/>
            </w:r>
          </w:hyperlink>
        </w:p>
        <w:p w14:paraId="012382F1" w14:textId="1664EF7F" w:rsidR="00297233" w:rsidRPr="00297233" w:rsidRDefault="00036BEE" w:rsidP="00297233">
          <w:pPr>
            <w:pStyle w:val="TDC1"/>
            <w:ind w:right="49"/>
            <w:rPr>
              <w:rFonts w:ascii="Verdana" w:eastAsiaTheme="minorEastAsia" w:hAnsi="Verdana" w:cstheme="minorBidi"/>
              <w:b w:val="0"/>
              <w:noProof/>
              <w:szCs w:val="18"/>
              <w:lang w:val="es-CR"/>
            </w:rPr>
          </w:pPr>
          <w:hyperlink w:anchor="_Toc132133881" w:history="1">
            <w:r w:rsidR="00297233" w:rsidRPr="00297233">
              <w:rPr>
                <w:rStyle w:val="Hipervnculo"/>
                <w:rFonts w:ascii="Verdana" w:hAnsi="Verdana"/>
                <w:noProof/>
                <w:szCs w:val="18"/>
                <w:lang w:val="es-ES_tradnl"/>
              </w:rPr>
              <w:t>IV. EXCEPCIONES PRELIMINARES</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_Toc132133881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8</w:t>
            </w:r>
            <w:r w:rsidR="00297233" w:rsidRPr="00297233">
              <w:rPr>
                <w:rFonts w:ascii="Verdana" w:hAnsi="Verdana"/>
                <w:noProof/>
                <w:webHidden/>
                <w:szCs w:val="18"/>
              </w:rPr>
              <w:fldChar w:fldCharType="end"/>
            </w:r>
          </w:hyperlink>
        </w:p>
        <w:p w14:paraId="4A630987" w14:textId="17B53C7A" w:rsidR="00297233" w:rsidRPr="00297233" w:rsidRDefault="00036BEE">
          <w:pPr>
            <w:pStyle w:val="TDC2"/>
            <w:rPr>
              <w:rFonts w:ascii="Verdana" w:eastAsiaTheme="minorEastAsia" w:hAnsi="Verdana" w:cstheme="minorBidi"/>
              <w:noProof/>
              <w:sz w:val="18"/>
              <w:szCs w:val="18"/>
              <w:lang w:val="es-CR"/>
            </w:rPr>
          </w:pPr>
          <w:hyperlink w:anchor="_Toc132133882" w:history="1">
            <w:r w:rsidR="00297233" w:rsidRPr="00297233">
              <w:rPr>
                <w:rStyle w:val="Hipervnculo"/>
                <w:rFonts w:ascii="Verdana" w:hAnsi="Verdana"/>
                <w:i/>
                <w:noProof/>
                <w:sz w:val="18"/>
                <w:szCs w:val="18"/>
              </w:rPr>
              <w:t>A.</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Excepción preliminar de cosa juzgada internacional</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_Toc132133882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8</w:t>
            </w:r>
            <w:r w:rsidR="00297233" w:rsidRPr="00297233">
              <w:rPr>
                <w:rFonts w:ascii="Verdana" w:hAnsi="Verdana"/>
                <w:noProof/>
                <w:webHidden/>
                <w:sz w:val="18"/>
                <w:szCs w:val="18"/>
              </w:rPr>
              <w:fldChar w:fldCharType="end"/>
            </w:r>
          </w:hyperlink>
        </w:p>
        <w:p w14:paraId="54715FCD" w14:textId="3C5DD942" w:rsidR="00297233" w:rsidRPr="00297233" w:rsidRDefault="00036BEE">
          <w:pPr>
            <w:pStyle w:val="TDC3"/>
            <w:rPr>
              <w:rFonts w:ascii="Verdana" w:eastAsiaTheme="minorEastAsia" w:hAnsi="Verdana" w:cstheme="minorBidi"/>
              <w:noProof/>
              <w:sz w:val="18"/>
              <w:szCs w:val="18"/>
              <w:lang w:val="es-CR"/>
            </w:rPr>
          </w:pPr>
          <w:hyperlink w:anchor="_Toc132133883" w:history="1">
            <w:r w:rsidR="00297233" w:rsidRPr="00297233">
              <w:rPr>
                <w:rStyle w:val="Hipervnculo"/>
                <w:rFonts w:ascii="Verdana" w:hAnsi="Verdana"/>
                <w:noProof/>
                <w:snapToGrid w:val="0"/>
                <w:spacing w:val="-2"/>
                <w:sz w:val="18"/>
                <w:szCs w:val="18"/>
                <w:lang w:eastAsia="es-ES"/>
              </w:rPr>
              <w:t>A.1. Alegatos de las partes y de la Comisión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_Toc132133883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8</w:t>
            </w:r>
            <w:r w:rsidR="00297233" w:rsidRPr="00297233">
              <w:rPr>
                <w:rFonts w:ascii="Verdana" w:hAnsi="Verdana"/>
                <w:noProof/>
                <w:webHidden/>
                <w:sz w:val="18"/>
                <w:szCs w:val="18"/>
              </w:rPr>
              <w:fldChar w:fldCharType="end"/>
            </w:r>
          </w:hyperlink>
        </w:p>
        <w:p w14:paraId="1C752606" w14:textId="66982229" w:rsidR="00297233" w:rsidRPr="00297233" w:rsidRDefault="00036BEE">
          <w:pPr>
            <w:pStyle w:val="TDC3"/>
            <w:rPr>
              <w:rFonts w:ascii="Verdana" w:eastAsiaTheme="minorEastAsia" w:hAnsi="Verdana" w:cstheme="minorBidi"/>
              <w:noProof/>
              <w:sz w:val="18"/>
              <w:szCs w:val="18"/>
              <w:lang w:val="es-CR"/>
            </w:rPr>
          </w:pPr>
          <w:hyperlink w:anchor="_Toc132133884" w:history="1">
            <w:r w:rsidR="00297233" w:rsidRPr="00297233">
              <w:rPr>
                <w:rStyle w:val="Hipervnculo"/>
                <w:rFonts w:ascii="Verdana" w:hAnsi="Verdana"/>
                <w:noProof/>
                <w:snapToGrid w:val="0"/>
                <w:spacing w:val="-2"/>
                <w:sz w:val="18"/>
                <w:szCs w:val="18"/>
                <w:lang w:eastAsia="es-ES"/>
              </w:rPr>
              <w:t>A.2. Consideraciones de la Corte</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_Toc132133884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8</w:t>
            </w:r>
            <w:r w:rsidR="00297233" w:rsidRPr="00297233">
              <w:rPr>
                <w:rFonts w:ascii="Verdana" w:hAnsi="Verdana"/>
                <w:noProof/>
                <w:webHidden/>
                <w:sz w:val="18"/>
                <w:szCs w:val="18"/>
              </w:rPr>
              <w:fldChar w:fldCharType="end"/>
            </w:r>
          </w:hyperlink>
        </w:p>
        <w:p w14:paraId="554072E5" w14:textId="7FB7714F" w:rsidR="00297233" w:rsidRPr="00297233" w:rsidRDefault="00036BEE">
          <w:pPr>
            <w:pStyle w:val="TDC2"/>
            <w:rPr>
              <w:rFonts w:ascii="Verdana" w:eastAsiaTheme="minorEastAsia" w:hAnsi="Verdana" w:cstheme="minorBidi"/>
              <w:noProof/>
              <w:sz w:val="18"/>
              <w:szCs w:val="18"/>
              <w:lang w:val="es-CR"/>
            </w:rPr>
          </w:pPr>
          <w:hyperlink w:anchor="_Toc132133885" w:history="1">
            <w:r w:rsidR="00297233" w:rsidRPr="00297233">
              <w:rPr>
                <w:rStyle w:val="Hipervnculo"/>
                <w:rFonts w:ascii="Verdana" w:hAnsi="Verdana"/>
                <w:i/>
                <w:noProof/>
                <w:sz w:val="18"/>
                <w:szCs w:val="18"/>
              </w:rPr>
              <w:t>B.</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Falta de agotamiento de los recursos internos</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_Toc132133885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9</w:t>
            </w:r>
            <w:r w:rsidR="00297233" w:rsidRPr="00297233">
              <w:rPr>
                <w:rFonts w:ascii="Verdana" w:hAnsi="Verdana"/>
                <w:noProof/>
                <w:webHidden/>
                <w:sz w:val="18"/>
                <w:szCs w:val="18"/>
              </w:rPr>
              <w:fldChar w:fldCharType="end"/>
            </w:r>
          </w:hyperlink>
        </w:p>
        <w:p w14:paraId="2484964E" w14:textId="2825DE64" w:rsidR="00297233" w:rsidRPr="00297233" w:rsidRDefault="00036BEE">
          <w:pPr>
            <w:pStyle w:val="TDC3"/>
            <w:rPr>
              <w:rFonts w:ascii="Verdana" w:eastAsiaTheme="minorEastAsia" w:hAnsi="Verdana" w:cstheme="minorBidi"/>
              <w:noProof/>
              <w:sz w:val="18"/>
              <w:szCs w:val="18"/>
              <w:lang w:val="es-CR"/>
            </w:rPr>
          </w:pPr>
          <w:hyperlink w:anchor="_Toc132133886" w:history="1">
            <w:r w:rsidR="00297233" w:rsidRPr="00297233">
              <w:rPr>
                <w:rStyle w:val="Hipervnculo"/>
                <w:rFonts w:ascii="Verdana" w:hAnsi="Verdana"/>
                <w:noProof/>
                <w:snapToGrid w:val="0"/>
                <w:spacing w:val="-2"/>
                <w:sz w:val="18"/>
                <w:szCs w:val="18"/>
                <w:lang w:eastAsia="es-ES"/>
              </w:rPr>
              <w:t>B.1. Alegatos de las partes y de la Comisión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_Toc132133886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9</w:t>
            </w:r>
            <w:r w:rsidR="00297233" w:rsidRPr="00297233">
              <w:rPr>
                <w:rFonts w:ascii="Verdana" w:hAnsi="Verdana"/>
                <w:noProof/>
                <w:webHidden/>
                <w:sz w:val="18"/>
                <w:szCs w:val="18"/>
              </w:rPr>
              <w:fldChar w:fldCharType="end"/>
            </w:r>
          </w:hyperlink>
        </w:p>
        <w:p w14:paraId="0D870362" w14:textId="2E879DFB" w:rsidR="00297233" w:rsidRPr="00297233" w:rsidRDefault="00036BEE">
          <w:pPr>
            <w:pStyle w:val="TDC3"/>
            <w:rPr>
              <w:rFonts w:ascii="Verdana" w:eastAsiaTheme="minorEastAsia" w:hAnsi="Verdana" w:cstheme="minorBidi"/>
              <w:noProof/>
              <w:sz w:val="18"/>
              <w:szCs w:val="18"/>
              <w:lang w:val="es-CR"/>
            </w:rPr>
          </w:pPr>
          <w:hyperlink w:anchor="_Toc132133887" w:history="1">
            <w:r w:rsidR="00297233" w:rsidRPr="00297233">
              <w:rPr>
                <w:rStyle w:val="Hipervnculo"/>
                <w:rFonts w:ascii="Verdana" w:hAnsi="Verdana"/>
                <w:noProof/>
                <w:snapToGrid w:val="0"/>
                <w:spacing w:val="-2"/>
                <w:sz w:val="18"/>
                <w:szCs w:val="18"/>
                <w:lang w:eastAsia="es-ES"/>
              </w:rPr>
              <w:t>B.2. Consideraciones de la Corte</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_Toc132133887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10</w:t>
            </w:r>
            <w:r w:rsidR="00297233" w:rsidRPr="00297233">
              <w:rPr>
                <w:rFonts w:ascii="Verdana" w:hAnsi="Verdana"/>
                <w:noProof/>
                <w:webHidden/>
                <w:sz w:val="18"/>
                <w:szCs w:val="18"/>
              </w:rPr>
              <w:fldChar w:fldCharType="end"/>
            </w:r>
          </w:hyperlink>
        </w:p>
        <w:p w14:paraId="0F99804D" w14:textId="431A273E" w:rsidR="00297233" w:rsidRPr="00297233" w:rsidRDefault="00036BEE" w:rsidP="00297233">
          <w:pPr>
            <w:pStyle w:val="TDC1"/>
            <w:ind w:right="49"/>
            <w:rPr>
              <w:rFonts w:ascii="Verdana" w:eastAsiaTheme="minorEastAsia" w:hAnsi="Verdana" w:cstheme="minorBidi"/>
              <w:b w:val="0"/>
              <w:noProof/>
              <w:szCs w:val="18"/>
              <w:lang w:val="es-CR"/>
            </w:rPr>
          </w:pPr>
          <w:hyperlink w:anchor="_Toc132133888" w:history="1">
            <w:r w:rsidR="00297233" w:rsidRPr="00297233">
              <w:rPr>
                <w:rStyle w:val="Hipervnculo"/>
                <w:rFonts w:ascii="Verdana" w:hAnsi="Verdana"/>
                <w:noProof/>
                <w:szCs w:val="18"/>
                <w:lang w:val="es-ES_tradnl"/>
              </w:rPr>
              <w:t>V. CONSIDERACIONES PREVIAS</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_Toc132133888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11</w:t>
            </w:r>
            <w:r w:rsidR="00297233" w:rsidRPr="00297233">
              <w:rPr>
                <w:rFonts w:ascii="Verdana" w:hAnsi="Verdana"/>
                <w:noProof/>
                <w:webHidden/>
                <w:szCs w:val="18"/>
              </w:rPr>
              <w:fldChar w:fldCharType="end"/>
            </w:r>
          </w:hyperlink>
        </w:p>
        <w:p w14:paraId="0EDBB835" w14:textId="51812396" w:rsidR="00297233" w:rsidRPr="00297233" w:rsidRDefault="00036BEE">
          <w:pPr>
            <w:pStyle w:val="TDC2"/>
            <w:rPr>
              <w:rFonts w:ascii="Verdana" w:eastAsiaTheme="minorEastAsia" w:hAnsi="Verdana" w:cstheme="minorBidi"/>
              <w:noProof/>
              <w:sz w:val="18"/>
              <w:szCs w:val="18"/>
              <w:lang w:val="es-CR"/>
            </w:rPr>
          </w:pPr>
          <w:hyperlink w:anchor="_Toc132133889" w:history="1">
            <w:r w:rsidR="00297233" w:rsidRPr="00297233">
              <w:rPr>
                <w:rStyle w:val="Hipervnculo"/>
                <w:rFonts w:ascii="Verdana" w:hAnsi="Verdana"/>
                <w:i/>
                <w:noProof/>
                <w:sz w:val="18"/>
                <w:szCs w:val="18"/>
              </w:rPr>
              <w:t>A.</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Alegatos del Estado sobre la admisibilidad de las violaciones a la honra y dignidad (artículo 11 de la Convención Americana)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_Toc132133889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12</w:t>
            </w:r>
            <w:r w:rsidR="00297233" w:rsidRPr="00297233">
              <w:rPr>
                <w:rFonts w:ascii="Verdana" w:hAnsi="Verdana"/>
                <w:noProof/>
                <w:webHidden/>
                <w:sz w:val="18"/>
                <w:szCs w:val="18"/>
              </w:rPr>
              <w:fldChar w:fldCharType="end"/>
            </w:r>
          </w:hyperlink>
        </w:p>
        <w:p w14:paraId="1E367F81" w14:textId="2AD5C8B2" w:rsidR="00297233" w:rsidRPr="00297233" w:rsidRDefault="00036BEE">
          <w:pPr>
            <w:pStyle w:val="TDC3"/>
            <w:rPr>
              <w:rFonts w:ascii="Verdana" w:eastAsiaTheme="minorEastAsia" w:hAnsi="Verdana" w:cstheme="minorBidi"/>
              <w:noProof/>
              <w:sz w:val="18"/>
              <w:szCs w:val="18"/>
              <w:lang w:val="es-CR"/>
            </w:rPr>
          </w:pPr>
          <w:hyperlink w:anchor="_Toc132133890" w:history="1">
            <w:r w:rsidR="00297233" w:rsidRPr="00297233">
              <w:rPr>
                <w:rStyle w:val="Hipervnculo"/>
                <w:rFonts w:ascii="Verdana" w:hAnsi="Verdana"/>
                <w:noProof/>
                <w:snapToGrid w:val="0"/>
                <w:spacing w:val="-2"/>
                <w:sz w:val="18"/>
                <w:szCs w:val="18"/>
                <w:lang w:eastAsia="es-ES"/>
              </w:rPr>
              <w:t>A.1. Alegatos de las partes y de la Comisión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_Toc132133890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12</w:t>
            </w:r>
            <w:r w:rsidR="00297233" w:rsidRPr="00297233">
              <w:rPr>
                <w:rFonts w:ascii="Verdana" w:hAnsi="Verdana"/>
                <w:noProof/>
                <w:webHidden/>
                <w:sz w:val="18"/>
                <w:szCs w:val="18"/>
              </w:rPr>
              <w:fldChar w:fldCharType="end"/>
            </w:r>
          </w:hyperlink>
        </w:p>
        <w:p w14:paraId="2BC63ED2" w14:textId="0147260E" w:rsidR="00297233" w:rsidRPr="00297233" w:rsidRDefault="00036BEE">
          <w:pPr>
            <w:pStyle w:val="TDC3"/>
            <w:rPr>
              <w:rFonts w:ascii="Verdana" w:eastAsiaTheme="minorEastAsia" w:hAnsi="Verdana" w:cstheme="minorBidi"/>
              <w:noProof/>
              <w:sz w:val="18"/>
              <w:szCs w:val="18"/>
              <w:lang w:val="es-CR"/>
            </w:rPr>
          </w:pPr>
          <w:hyperlink w:anchor="_Toc132133891" w:history="1">
            <w:r w:rsidR="00297233" w:rsidRPr="00297233">
              <w:rPr>
                <w:rStyle w:val="Hipervnculo"/>
                <w:rFonts w:ascii="Verdana" w:hAnsi="Verdana"/>
                <w:noProof/>
                <w:snapToGrid w:val="0"/>
                <w:spacing w:val="-2"/>
                <w:sz w:val="18"/>
                <w:szCs w:val="18"/>
                <w:lang w:eastAsia="es-ES"/>
              </w:rPr>
              <w:t>A.2. Consideraciones de la Corte</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_Toc132133891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12</w:t>
            </w:r>
            <w:r w:rsidR="00297233" w:rsidRPr="00297233">
              <w:rPr>
                <w:rFonts w:ascii="Verdana" w:hAnsi="Verdana"/>
                <w:noProof/>
                <w:webHidden/>
                <w:sz w:val="18"/>
                <w:szCs w:val="18"/>
              </w:rPr>
              <w:fldChar w:fldCharType="end"/>
            </w:r>
          </w:hyperlink>
        </w:p>
        <w:p w14:paraId="6F64D8A6" w14:textId="00AA5B09" w:rsidR="00297233" w:rsidRPr="00297233" w:rsidRDefault="00036BEE">
          <w:pPr>
            <w:pStyle w:val="TDC2"/>
            <w:rPr>
              <w:rFonts w:ascii="Verdana" w:eastAsiaTheme="minorEastAsia" w:hAnsi="Verdana" w:cstheme="minorBidi"/>
              <w:noProof/>
              <w:sz w:val="18"/>
              <w:szCs w:val="18"/>
              <w:lang w:val="es-CR"/>
            </w:rPr>
          </w:pPr>
          <w:hyperlink w:anchor="_Toc132133892" w:history="1">
            <w:r w:rsidR="00297233" w:rsidRPr="00297233">
              <w:rPr>
                <w:rStyle w:val="Hipervnculo"/>
                <w:rFonts w:ascii="Verdana" w:hAnsi="Verdana"/>
                <w:i/>
                <w:noProof/>
                <w:sz w:val="18"/>
                <w:szCs w:val="18"/>
              </w:rPr>
              <w:t>B.</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Determinación de las posibles víctimas</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_Toc132133892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12</w:t>
            </w:r>
            <w:r w:rsidR="00297233" w:rsidRPr="00297233">
              <w:rPr>
                <w:rFonts w:ascii="Verdana" w:hAnsi="Verdana"/>
                <w:noProof/>
                <w:webHidden/>
                <w:sz w:val="18"/>
                <w:szCs w:val="18"/>
              </w:rPr>
              <w:fldChar w:fldCharType="end"/>
            </w:r>
          </w:hyperlink>
        </w:p>
        <w:p w14:paraId="0AD85AC2" w14:textId="3748159D" w:rsidR="00297233" w:rsidRPr="00297233" w:rsidRDefault="00036BEE">
          <w:pPr>
            <w:pStyle w:val="TDC3"/>
            <w:rPr>
              <w:rFonts w:ascii="Verdana" w:eastAsiaTheme="minorEastAsia" w:hAnsi="Verdana" w:cstheme="minorBidi"/>
              <w:noProof/>
              <w:sz w:val="18"/>
              <w:szCs w:val="18"/>
              <w:lang w:val="es-CR"/>
            </w:rPr>
          </w:pPr>
          <w:hyperlink w:anchor="_Toc132133893" w:history="1">
            <w:r w:rsidR="00297233" w:rsidRPr="00297233">
              <w:rPr>
                <w:rStyle w:val="Hipervnculo"/>
                <w:rFonts w:ascii="Verdana" w:hAnsi="Verdana"/>
                <w:noProof/>
                <w:snapToGrid w:val="0"/>
                <w:spacing w:val="-2"/>
                <w:sz w:val="18"/>
                <w:szCs w:val="18"/>
                <w:lang w:eastAsia="es-ES"/>
              </w:rPr>
              <w:t>B.1. Alegatos de las partes y de la Comisión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_Toc132133893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12</w:t>
            </w:r>
            <w:r w:rsidR="00297233" w:rsidRPr="00297233">
              <w:rPr>
                <w:rFonts w:ascii="Verdana" w:hAnsi="Verdana"/>
                <w:noProof/>
                <w:webHidden/>
                <w:sz w:val="18"/>
                <w:szCs w:val="18"/>
              </w:rPr>
              <w:fldChar w:fldCharType="end"/>
            </w:r>
          </w:hyperlink>
        </w:p>
        <w:p w14:paraId="291E8118" w14:textId="26B64BF2" w:rsidR="00297233" w:rsidRPr="00297233" w:rsidRDefault="00036BEE">
          <w:pPr>
            <w:pStyle w:val="TDC3"/>
            <w:rPr>
              <w:rFonts w:ascii="Verdana" w:eastAsiaTheme="minorEastAsia" w:hAnsi="Verdana" w:cstheme="minorBidi"/>
              <w:noProof/>
              <w:sz w:val="18"/>
              <w:szCs w:val="18"/>
              <w:lang w:val="es-CR"/>
            </w:rPr>
          </w:pPr>
          <w:hyperlink w:anchor="_Toc132133894" w:history="1">
            <w:r w:rsidR="00297233" w:rsidRPr="00297233">
              <w:rPr>
                <w:rStyle w:val="Hipervnculo"/>
                <w:rFonts w:ascii="Verdana" w:hAnsi="Verdana"/>
                <w:noProof/>
                <w:snapToGrid w:val="0"/>
                <w:spacing w:val="-2"/>
                <w:sz w:val="18"/>
                <w:szCs w:val="18"/>
                <w:lang w:eastAsia="es-ES"/>
              </w:rPr>
              <w:t>B.2. Consideraciones de la Corte</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_Toc132133894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13</w:t>
            </w:r>
            <w:r w:rsidR="00297233" w:rsidRPr="00297233">
              <w:rPr>
                <w:rFonts w:ascii="Verdana" w:hAnsi="Verdana"/>
                <w:noProof/>
                <w:webHidden/>
                <w:sz w:val="18"/>
                <w:szCs w:val="18"/>
              </w:rPr>
              <w:fldChar w:fldCharType="end"/>
            </w:r>
          </w:hyperlink>
        </w:p>
        <w:p w14:paraId="124B4D8A" w14:textId="35117252" w:rsidR="00297233" w:rsidRPr="00297233" w:rsidRDefault="00036BEE">
          <w:pPr>
            <w:pStyle w:val="TDC2"/>
            <w:rPr>
              <w:rFonts w:ascii="Verdana" w:eastAsiaTheme="minorEastAsia" w:hAnsi="Verdana" w:cstheme="minorBidi"/>
              <w:noProof/>
              <w:sz w:val="18"/>
              <w:szCs w:val="18"/>
              <w:lang w:val="es-CR"/>
            </w:rPr>
          </w:pPr>
          <w:hyperlink w:anchor="_Toc132133895" w:history="1">
            <w:r w:rsidR="00297233" w:rsidRPr="00297233">
              <w:rPr>
                <w:rStyle w:val="Hipervnculo"/>
                <w:rFonts w:ascii="Verdana" w:hAnsi="Verdana"/>
                <w:i/>
                <w:noProof/>
                <w:sz w:val="18"/>
                <w:szCs w:val="18"/>
              </w:rPr>
              <w:t>C.</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Sobre los hechos nuevos relacionados con el contexto político</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_Toc132133895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14</w:t>
            </w:r>
            <w:r w:rsidR="00297233" w:rsidRPr="00297233">
              <w:rPr>
                <w:rFonts w:ascii="Verdana" w:hAnsi="Verdana"/>
                <w:noProof/>
                <w:webHidden/>
                <w:sz w:val="18"/>
                <w:szCs w:val="18"/>
              </w:rPr>
              <w:fldChar w:fldCharType="end"/>
            </w:r>
          </w:hyperlink>
        </w:p>
        <w:p w14:paraId="6DEA561C" w14:textId="48C825FD" w:rsidR="00297233" w:rsidRPr="00297233" w:rsidRDefault="00036BEE">
          <w:pPr>
            <w:pStyle w:val="TDC3"/>
            <w:rPr>
              <w:rFonts w:ascii="Verdana" w:eastAsiaTheme="minorEastAsia" w:hAnsi="Verdana" w:cstheme="minorBidi"/>
              <w:noProof/>
              <w:sz w:val="18"/>
              <w:szCs w:val="18"/>
              <w:lang w:val="es-CR"/>
            </w:rPr>
          </w:pPr>
          <w:hyperlink w:anchor="_Toc132133896" w:history="1">
            <w:r w:rsidR="00297233" w:rsidRPr="00297233">
              <w:rPr>
                <w:rStyle w:val="Hipervnculo"/>
                <w:rFonts w:ascii="Verdana" w:hAnsi="Verdana"/>
                <w:noProof/>
                <w:snapToGrid w:val="0"/>
                <w:spacing w:val="-2"/>
                <w:sz w:val="18"/>
                <w:szCs w:val="18"/>
                <w:lang w:eastAsia="es-ES"/>
              </w:rPr>
              <w:t>C.1. Alegatos de las partes y de la Comisión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_Toc132133896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14</w:t>
            </w:r>
            <w:r w:rsidR="00297233" w:rsidRPr="00297233">
              <w:rPr>
                <w:rFonts w:ascii="Verdana" w:hAnsi="Verdana"/>
                <w:noProof/>
                <w:webHidden/>
                <w:sz w:val="18"/>
                <w:szCs w:val="18"/>
              </w:rPr>
              <w:fldChar w:fldCharType="end"/>
            </w:r>
          </w:hyperlink>
        </w:p>
        <w:p w14:paraId="51F66C1A" w14:textId="07420F9A" w:rsidR="00297233" w:rsidRPr="00297233" w:rsidRDefault="00036BEE">
          <w:pPr>
            <w:pStyle w:val="TDC3"/>
            <w:rPr>
              <w:rFonts w:ascii="Verdana" w:eastAsiaTheme="minorEastAsia" w:hAnsi="Verdana" w:cstheme="minorBidi"/>
              <w:noProof/>
              <w:sz w:val="18"/>
              <w:szCs w:val="18"/>
              <w:lang w:val="es-CR"/>
            </w:rPr>
          </w:pPr>
          <w:hyperlink w:anchor="_Toc132133897" w:history="1">
            <w:r w:rsidR="00297233" w:rsidRPr="00297233">
              <w:rPr>
                <w:rStyle w:val="Hipervnculo"/>
                <w:rFonts w:ascii="Verdana" w:hAnsi="Verdana"/>
                <w:noProof/>
                <w:snapToGrid w:val="0"/>
                <w:spacing w:val="-2"/>
                <w:sz w:val="18"/>
                <w:szCs w:val="18"/>
                <w:lang w:eastAsia="es-ES"/>
              </w:rPr>
              <w:t>C.2. Consideraciones de la Corte</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_Toc132133897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14</w:t>
            </w:r>
            <w:r w:rsidR="00297233" w:rsidRPr="00297233">
              <w:rPr>
                <w:rFonts w:ascii="Verdana" w:hAnsi="Verdana"/>
                <w:noProof/>
                <w:webHidden/>
                <w:sz w:val="18"/>
                <w:szCs w:val="18"/>
              </w:rPr>
              <w:fldChar w:fldCharType="end"/>
            </w:r>
          </w:hyperlink>
        </w:p>
        <w:p w14:paraId="759E0C11" w14:textId="6E2163B7" w:rsidR="00297233" w:rsidRPr="00297233" w:rsidRDefault="00036BEE" w:rsidP="00297233">
          <w:pPr>
            <w:pStyle w:val="TDC1"/>
            <w:ind w:right="49"/>
            <w:rPr>
              <w:rFonts w:ascii="Verdana" w:eastAsiaTheme="minorEastAsia" w:hAnsi="Verdana" w:cstheme="minorBidi"/>
              <w:b w:val="0"/>
              <w:noProof/>
              <w:szCs w:val="18"/>
              <w:lang w:val="es-CR"/>
            </w:rPr>
          </w:pPr>
          <w:hyperlink w:anchor="_Toc132133898" w:history="1">
            <w:r w:rsidR="00297233" w:rsidRPr="00297233">
              <w:rPr>
                <w:rStyle w:val="Hipervnculo"/>
                <w:rFonts w:ascii="Verdana" w:hAnsi="Verdana"/>
                <w:noProof/>
                <w:szCs w:val="18"/>
                <w:lang w:val="es-ES_tradnl"/>
              </w:rPr>
              <w:t>VI. PRUEBA</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_Toc132133898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15</w:t>
            </w:r>
            <w:r w:rsidR="00297233" w:rsidRPr="00297233">
              <w:rPr>
                <w:rFonts w:ascii="Verdana" w:hAnsi="Verdana"/>
                <w:noProof/>
                <w:webHidden/>
                <w:szCs w:val="18"/>
              </w:rPr>
              <w:fldChar w:fldCharType="end"/>
            </w:r>
          </w:hyperlink>
        </w:p>
        <w:p w14:paraId="4B41D439" w14:textId="73E7056C" w:rsidR="00297233" w:rsidRPr="00297233" w:rsidRDefault="00036BEE" w:rsidP="00297233">
          <w:pPr>
            <w:pStyle w:val="TDC1"/>
            <w:ind w:right="49"/>
            <w:rPr>
              <w:rFonts w:ascii="Verdana" w:eastAsiaTheme="minorEastAsia" w:hAnsi="Verdana" w:cstheme="minorBidi"/>
              <w:b w:val="0"/>
              <w:noProof/>
              <w:szCs w:val="18"/>
              <w:lang w:val="es-CR"/>
            </w:rPr>
          </w:pPr>
          <w:hyperlink w:anchor="_Toc132133899" w:history="1">
            <w:r w:rsidR="00297233" w:rsidRPr="00297233">
              <w:rPr>
                <w:rStyle w:val="Hipervnculo"/>
                <w:rFonts w:ascii="Verdana" w:hAnsi="Verdana"/>
                <w:noProof/>
                <w:szCs w:val="18"/>
                <w:lang w:val="es-ES_tradnl"/>
              </w:rPr>
              <w:t>VII. HECHOS</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_Toc132133899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16</w:t>
            </w:r>
            <w:r w:rsidR="00297233" w:rsidRPr="00297233">
              <w:rPr>
                <w:rFonts w:ascii="Verdana" w:hAnsi="Verdana"/>
                <w:noProof/>
                <w:webHidden/>
                <w:szCs w:val="18"/>
              </w:rPr>
              <w:fldChar w:fldCharType="end"/>
            </w:r>
          </w:hyperlink>
        </w:p>
        <w:p w14:paraId="377765D9" w14:textId="1252CB32" w:rsidR="00297233" w:rsidRPr="00297233" w:rsidRDefault="00036BEE" w:rsidP="00297233">
          <w:pPr>
            <w:pStyle w:val="TDC2"/>
            <w:rPr>
              <w:rFonts w:ascii="Verdana" w:eastAsiaTheme="minorEastAsia" w:hAnsi="Verdana" w:cstheme="minorBidi"/>
              <w:noProof/>
              <w:sz w:val="18"/>
              <w:szCs w:val="18"/>
              <w:lang w:val="es-CR"/>
            </w:rPr>
          </w:pPr>
          <w:hyperlink w:anchor="_Toc132133900" w:history="1">
            <w:r w:rsidR="00297233" w:rsidRPr="00297233">
              <w:rPr>
                <w:rStyle w:val="Hipervnculo"/>
                <w:rFonts w:ascii="Verdana" w:hAnsi="Verdana"/>
                <w:i/>
                <w:noProof/>
                <w:sz w:val="18"/>
                <w:szCs w:val="18"/>
              </w:rPr>
              <w:t>A.</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Marco normativo relevante</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_Toc132133900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16</w:t>
            </w:r>
            <w:r w:rsidR="00297233" w:rsidRPr="00297233">
              <w:rPr>
                <w:rFonts w:ascii="Verdana" w:hAnsi="Verdana"/>
                <w:noProof/>
                <w:webHidden/>
                <w:sz w:val="18"/>
                <w:szCs w:val="18"/>
              </w:rPr>
              <w:fldChar w:fldCharType="end"/>
            </w:r>
          </w:hyperlink>
        </w:p>
        <w:p w14:paraId="7A8B192F" w14:textId="69D532E9"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01" w:history="1">
            <w:r w:rsidR="00297233" w:rsidRPr="00297233">
              <w:rPr>
                <w:rStyle w:val="Hipervnculo"/>
                <w:rFonts w:ascii="Verdana" w:hAnsi="Verdana"/>
                <w:noProof/>
                <w:snapToGrid w:val="0"/>
                <w:spacing w:val="-2"/>
                <w:sz w:val="18"/>
                <w:szCs w:val="18"/>
                <w:lang w:eastAsia="es-ES"/>
              </w:rPr>
              <w:t>A.1. Sobre la figura del arraigo</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_Toc132133901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16</w:t>
            </w:r>
            <w:r w:rsidR="00297233" w:rsidRPr="00297233">
              <w:rPr>
                <w:rFonts w:ascii="Verdana" w:hAnsi="Verdana"/>
                <w:noProof/>
                <w:webHidden/>
                <w:sz w:val="18"/>
                <w:szCs w:val="18"/>
              </w:rPr>
              <w:fldChar w:fldCharType="end"/>
            </w:r>
          </w:hyperlink>
        </w:p>
        <w:p w14:paraId="45521ABB" w14:textId="63E912AD"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02" w:history="1">
            <w:r w:rsidR="00297233" w:rsidRPr="00297233">
              <w:rPr>
                <w:rStyle w:val="Hipervnculo"/>
                <w:rFonts w:ascii="Verdana" w:hAnsi="Verdana"/>
                <w:noProof/>
                <w:snapToGrid w:val="0"/>
                <w:spacing w:val="-2"/>
                <w:sz w:val="18"/>
                <w:szCs w:val="18"/>
                <w:lang w:eastAsia="es-ES"/>
              </w:rPr>
              <w:t>A.2. Sobre la figura de la prisión preventiva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_Toc132133902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17</w:t>
            </w:r>
            <w:r w:rsidR="00297233" w:rsidRPr="00297233">
              <w:rPr>
                <w:rFonts w:ascii="Verdana" w:hAnsi="Verdana"/>
                <w:noProof/>
                <w:webHidden/>
                <w:sz w:val="18"/>
                <w:szCs w:val="18"/>
              </w:rPr>
              <w:fldChar w:fldCharType="end"/>
            </w:r>
          </w:hyperlink>
        </w:p>
        <w:p w14:paraId="79D85F1B" w14:textId="300C1205"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03" w:history="1">
            <w:r w:rsidR="00297233" w:rsidRPr="00297233">
              <w:rPr>
                <w:rStyle w:val="Hipervnculo"/>
                <w:rFonts w:ascii="Verdana" w:hAnsi="Verdana"/>
                <w:noProof/>
                <w:snapToGrid w:val="0"/>
                <w:spacing w:val="-2"/>
                <w:sz w:val="18"/>
                <w:szCs w:val="18"/>
                <w:lang w:eastAsia="es-ES"/>
              </w:rPr>
              <w:t>A.3. Sobre las normas relacionadas con la aprehensión de una persona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_Toc132133903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19</w:t>
            </w:r>
            <w:r w:rsidR="00297233" w:rsidRPr="00297233">
              <w:rPr>
                <w:rFonts w:ascii="Verdana" w:hAnsi="Verdana"/>
                <w:noProof/>
                <w:webHidden/>
                <w:sz w:val="18"/>
                <w:szCs w:val="18"/>
              </w:rPr>
              <w:fldChar w:fldCharType="end"/>
            </w:r>
          </w:hyperlink>
        </w:p>
        <w:p w14:paraId="7CC59394" w14:textId="01775967" w:rsidR="00297233" w:rsidRPr="00297233" w:rsidRDefault="00036BEE" w:rsidP="00297233">
          <w:pPr>
            <w:pStyle w:val="TDC2"/>
            <w:rPr>
              <w:rFonts w:ascii="Verdana" w:eastAsiaTheme="minorEastAsia" w:hAnsi="Verdana" w:cstheme="minorBidi"/>
              <w:noProof/>
              <w:sz w:val="18"/>
              <w:szCs w:val="18"/>
              <w:lang w:val="es-CR"/>
            </w:rPr>
          </w:pPr>
          <w:hyperlink w:anchor="_Toc132133904" w:history="1">
            <w:r w:rsidR="00297233" w:rsidRPr="00297233">
              <w:rPr>
                <w:rStyle w:val="Hipervnculo"/>
                <w:rFonts w:ascii="Verdana" w:hAnsi="Verdana"/>
                <w:i/>
                <w:noProof/>
                <w:sz w:val="18"/>
                <w:szCs w:val="18"/>
              </w:rPr>
              <w:t>B.</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Sobre Daniel García Rodríguez y Reyes Alpízar Ortiz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_Toc132133904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19</w:t>
            </w:r>
            <w:r w:rsidR="00297233" w:rsidRPr="00297233">
              <w:rPr>
                <w:rFonts w:ascii="Verdana" w:hAnsi="Verdana"/>
                <w:noProof/>
                <w:webHidden/>
                <w:sz w:val="18"/>
                <w:szCs w:val="18"/>
              </w:rPr>
              <w:fldChar w:fldCharType="end"/>
            </w:r>
          </w:hyperlink>
        </w:p>
        <w:p w14:paraId="42BB8FDF" w14:textId="49C6B5EB" w:rsidR="00297233" w:rsidRPr="00297233" w:rsidRDefault="00036BEE" w:rsidP="00297233">
          <w:pPr>
            <w:pStyle w:val="TDC2"/>
            <w:rPr>
              <w:rFonts w:ascii="Verdana" w:eastAsiaTheme="minorEastAsia" w:hAnsi="Verdana" w:cstheme="minorBidi"/>
              <w:noProof/>
              <w:sz w:val="18"/>
              <w:szCs w:val="18"/>
              <w:lang w:val="es-CR"/>
            </w:rPr>
          </w:pPr>
          <w:hyperlink w:anchor="_Toc132133905" w:history="1">
            <w:r w:rsidR="00297233" w:rsidRPr="00297233">
              <w:rPr>
                <w:rStyle w:val="Hipervnculo"/>
                <w:rFonts w:ascii="Verdana" w:hAnsi="Verdana"/>
                <w:i/>
                <w:noProof/>
                <w:sz w:val="18"/>
                <w:szCs w:val="18"/>
              </w:rPr>
              <w:t>C.</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iCs/>
                <w:noProof/>
                <w:sz w:val="18"/>
                <w:szCs w:val="18"/>
              </w:rPr>
              <w:t>La detención, el arraigo y el auto de prisión contra Daniel García Rodríguez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_Toc132133905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19</w:t>
            </w:r>
            <w:r w:rsidR="00297233" w:rsidRPr="00297233">
              <w:rPr>
                <w:rFonts w:ascii="Verdana" w:hAnsi="Verdana"/>
                <w:noProof/>
                <w:webHidden/>
                <w:sz w:val="18"/>
                <w:szCs w:val="18"/>
              </w:rPr>
              <w:fldChar w:fldCharType="end"/>
            </w:r>
          </w:hyperlink>
        </w:p>
        <w:p w14:paraId="308B48A3" w14:textId="4B400192" w:rsidR="00297233" w:rsidRPr="00297233" w:rsidRDefault="00036BEE" w:rsidP="00297233">
          <w:pPr>
            <w:pStyle w:val="TDC2"/>
            <w:rPr>
              <w:rFonts w:ascii="Verdana" w:eastAsiaTheme="minorEastAsia" w:hAnsi="Verdana" w:cstheme="minorBidi"/>
              <w:noProof/>
              <w:sz w:val="18"/>
              <w:szCs w:val="18"/>
              <w:lang w:val="es-CR"/>
            </w:rPr>
          </w:pPr>
          <w:hyperlink w:anchor="_Toc132133906" w:history="1">
            <w:r w:rsidR="00297233" w:rsidRPr="00297233">
              <w:rPr>
                <w:rStyle w:val="Hipervnculo"/>
                <w:rFonts w:ascii="Verdana" w:hAnsi="Verdana"/>
                <w:i/>
                <w:noProof/>
                <w:sz w:val="18"/>
                <w:szCs w:val="18"/>
              </w:rPr>
              <w:t>D.</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La detención, el arraigo y el auto de prisión de Reyes Alpízar Ortiz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_Toc132133906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21</w:t>
            </w:r>
            <w:r w:rsidR="00297233" w:rsidRPr="00297233">
              <w:rPr>
                <w:rFonts w:ascii="Verdana" w:hAnsi="Verdana"/>
                <w:noProof/>
                <w:webHidden/>
                <w:sz w:val="18"/>
                <w:szCs w:val="18"/>
              </w:rPr>
              <w:fldChar w:fldCharType="end"/>
            </w:r>
          </w:hyperlink>
        </w:p>
        <w:p w14:paraId="6A6E5AE5" w14:textId="34F5726F" w:rsidR="00297233" w:rsidRPr="00297233" w:rsidRDefault="00036BEE" w:rsidP="00297233">
          <w:pPr>
            <w:pStyle w:val="TDC2"/>
            <w:rPr>
              <w:rFonts w:ascii="Verdana" w:eastAsiaTheme="minorEastAsia" w:hAnsi="Verdana" w:cstheme="minorBidi"/>
              <w:noProof/>
              <w:sz w:val="18"/>
              <w:szCs w:val="18"/>
              <w:lang w:val="es-CR"/>
            </w:rPr>
          </w:pPr>
          <w:hyperlink w:anchor="_Toc132133907" w:history="1">
            <w:r w:rsidR="00297233" w:rsidRPr="00297233">
              <w:rPr>
                <w:rStyle w:val="Hipervnculo"/>
                <w:rFonts w:ascii="Verdana" w:hAnsi="Verdana"/>
                <w:i/>
                <w:noProof/>
                <w:sz w:val="18"/>
                <w:szCs w:val="18"/>
              </w:rPr>
              <w:t>E.</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El proceso penal y la prisión preventiva de Daniel García Rodríguez y de Reyes Alpízar Ortiz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_Toc132133907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23</w:t>
            </w:r>
            <w:r w:rsidR="00297233" w:rsidRPr="00297233">
              <w:rPr>
                <w:rFonts w:ascii="Verdana" w:hAnsi="Verdana"/>
                <w:noProof/>
                <w:webHidden/>
                <w:sz w:val="18"/>
                <w:szCs w:val="18"/>
              </w:rPr>
              <w:fldChar w:fldCharType="end"/>
            </w:r>
          </w:hyperlink>
        </w:p>
        <w:p w14:paraId="26A2008C" w14:textId="2D67E70D" w:rsidR="00297233" w:rsidRPr="00297233" w:rsidRDefault="00036BEE" w:rsidP="00297233">
          <w:pPr>
            <w:pStyle w:val="TDC2"/>
            <w:rPr>
              <w:rFonts w:ascii="Verdana" w:eastAsiaTheme="minorEastAsia" w:hAnsi="Verdana" w:cstheme="minorBidi"/>
              <w:noProof/>
              <w:sz w:val="18"/>
              <w:szCs w:val="18"/>
              <w:lang w:val="es-CR"/>
            </w:rPr>
          </w:pPr>
          <w:hyperlink w:anchor="_Toc132133908" w:history="1">
            <w:r w:rsidR="00297233" w:rsidRPr="00297233">
              <w:rPr>
                <w:rStyle w:val="Hipervnculo"/>
                <w:rFonts w:ascii="Verdana" w:hAnsi="Verdana"/>
                <w:i/>
                <w:noProof/>
                <w:sz w:val="18"/>
                <w:szCs w:val="18"/>
              </w:rPr>
              <w:t>F.</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Las denuncias por los hechos de tortura que habrían sufrido Reyes Alpízar Ortiz y Daniel García Rodríguez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_Toc132133908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26</w:t>
            </w:r>
            <w:r w:rsidR="00297233" w:rsidRPr="00297233">
              <w:rPr>
                <w:rFonts w:ascii="Verdana" w:hAnsi="Verdana"/>
                <w:noProof/>
                <w:webHidden/>
                <w:sz w:val="18"/>
                <w:szCs w:val="18"/>
              </w:rPr>
              <w:fldChar w:fldCharType="end"/>
            </w:r>
          </w:hyperlink>
        </w:p>
        <w:p w14:paraId="2FFBD047" w14:textId="5590F081"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09" w:history="1">
            <w:r w:rsidR="00297233" w:rsidRPr="00297233">
              <w:rPr>
                <w:rStyle w:val="Hipervnculo"/>
                <w:rFonts w:ascii="Verdana" w:hAnsi="Verdana"/>
                <w:iCs/>
                <w:noProof/>
                <w:sz w:val="18"/>
                <w:szCs w:val="18"/>
                <w:lang w:val="es-ES"/>
              </w:rPr>
              <w:t>F.1. Sobre las denuncias por los hechos de tortura que habrían sufrido Reyes Alpízar Ortiz y Daniel García Rodríguez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_Toc132133909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26</w:t>
            </w:r>
            <w:r w:rsidR="00297233" w:rsidRPr="00297233">
              <w:rPr>
                <w:rFonts w:ascii="Verdana" w:hAnsi="Verdana"/>
                <w:noProof/>
                <w:webHidden/>
                <w:sz w:val="18"/>
                <w:szCs w:val="18"/>
              </w:rPr>
              <w:fldChar w:fldCharType="end"/>
            </w:r>
          </w:hyperlink>
        </w:p>
        <w:p w14:paraId="6A721054" w14:textId="7BF6B914"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10" w:history="1">
            <w:r w:rsidR="00297233" w:rsidRPr="00297233">
              <w:rPr>
                <w:rStyle w:val="Hipervnculo"/>
                <w:rFonts w:ascii="Verdana" w:hAnsi="Verdana"/>
                <w:iCs/>
                <w:noProof/>
                <w:sz w:val="18"/>
                <w:szCs w:val="18"/>
                <w:lang w:val="es-ES"/>
              </w:rPr>
              <w:t>F.2. Sobre las denuncias por los hechos de tortura que habrían sufrido Reyes Alpízar Ortiz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_Toc132133910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31</w:t>
            </w:r>
            <w:r w:rsidR="00297233" w:rsidRPr="00297233">
              <w:rPr>
                <w:rFonts w:ascii="Verdana" w:hAnsi="Verdana"/>
                <w:noProof/>
                <w:webHidden/>
                <w:sz w:val="18"/>
                <w:szCs w:val="18"/>
              </w:rPr>
              <w:fldChar w:fldCharType="end"/>
            </w:r>
          </w:hyperlink>
        </w:p>
        <w:p w14:paraId="34E94CDE" w14:textId="500F489E" w:rsidR="00297233" w:rsidRPr="00297233" w:rsidRDefault="00036BEE" w:rsidP="00297233">
          <w:pPr>
            <w:pStyle w:val="TDC1"/>
            <w:ind w:right="49"/>
            <w:rPr>
              <w:rFonts w:ascii="Verdana" w:eastAsiaTheme="minorEastAsia" w:hAnsi="Verdana" w:cstheme="minorBidi"/>
              <w:b w:val="0"/>
              <w:noProof/>
              <w:szCs w:val="18"/>
              <w:lang w:val="es-CR"/>
            </w:rPr>
          </w:pPr>
          <w:hyperlink w:anchor="_Toc132133911" w:history="1">
            <w:r w:rsidR="00297233" w:rsidRPr="00297233">
              <w:rPr>
                <w:rStyle w:val="Hipervnculo"/>
                <w:rFonts w:ascii="Verdana" w:hAnsi="Verdana"/>
                <w:noProof/>
                <w:szCs w:val="18"/>
                <w:lang w:val="es-ES_tradnl"/>
              </w:rPr>
              <w:t>VIII. FONDO</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_Toc132133911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32</w:t>
            </w:r>
            <w:r w:rsidR="00297233" w:rsidRPr="00297233">
              <w:rPr>
                <w:rFonts w:ascii="Verdana" w:hAnsi="Verdana"/>
                <w:noProof/>
                <w:webHidden/>
                <w:szCs w:val="18"/>
              </w:rPr>
              <w:fldChar w:fldCharType="end"/>
            </w:r>
          </w:hyperlink>
        </w:p>
        <w:p w14:paraId="7536BF21" w14:textId="42750756" w:rsidR="00297233" w:rsidRPr="00297233" w:rsidRDefault="00036BEE" w:rsidP="00297233">
          <w:pPr>
            <w:pStyle w:val="TDC1"/>
            <w:ind w:right="49"/>
            <w:rPr>
              <w:rFonts w:ascii="Verdana" w:eastAsiaTheme="minorEastAsia" w:hAnsi="Verdana" w:cstheme="minorBidi"/>
              <w:b w:val="0"/>
              <w:noProof/>
              <w:szCs w:val="18"/>
              <w:lang w:val="es-CR"/>
            </w:rPr>
          </w:pPr>
          <w:hyperlink w:anchor="_Toc132133912" w:history="1">
            <w:r w:rsidR="00297233" w:rsidRPr="00297233">
              <w:rPr>
                <w:rStyle w:val="Hipervnculo"/>
                <w:rFonts w:ascii="Verdana" w:hAnsi="Verdana"/>
                <w:noProof/>
                <w:szCs w:val="18"/>
                <w:lang w:val="es-ES_tradnl"/>
              </w:rPr>
              <w:t>VIII.1. LOS DERECHOS A LA LIBERTAD PERSONAL Y A LA PRESUNCIÓN DE INOCENCIA EN RELACIÓN CON LA OBLIGACIÓN DE RESPETAR LOS DERECHOS Y CON LA OBLIGACIÓN DE ADOPTAR DISPOSICIONES DE DERECHO INTERNO</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_Toc132133912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33</w:t>
            </w:r>
            <w:r w:rsidR="00297233" w:rsidRPr="00297233">
              <w:rPr>
                <w:rFonts w:ascii="Verdana" w:hAnsi="Verdana"/>
                <w:noProof/>
                <w:webHidden/>
                <w:szCs w:val="18"/>
              </w:rPr>
              <w:fldChar w:fldCharType="end"/>
            </w:r>
          </w:hyperlink>
        </w:p>
        <w:p w14:paraId="504F5710" w14:textId="137C542F" w:rsidR="00297233" w:rsidRPr="00297233" w:rsidRDefault="00036BEE" w:rsidP="00297233">
          <w:pPr>
            <w:pStyle w:val="TDC2"/>
            <w:rPr>
              <w:rFonts w:ascii="Verdana" w:eastAsiaTheme="minorEastAsia" w:hAnsi="Verdana" w:cstheme="minorBidi"/>
              <w:noProof/>
              <w:sz w:val="18"/>
              <w:szCs w:val="18"/>
              <w:lang w:val="es-CR"/>
            </w:rPr>
          </w:pPr>
          <w:hyperlink w:anchor="_Toc132133913" w:history="1">
            <w:r w:rsidR="00297233" w:rsidRPr="00297233">
              <w:rPr>
                <w:rStyle w:val="Hipervnculo"/>
                <w:rFonts w:ascii="Verdana" w:hAnsi="Verdana"/>
                <w:i/>
                <w:noProof/>
                <w:sz w:val="18"/>
                <w:szCs w:val="18"/>
              </w:rPr>
              <w:t>A.</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Alegatos de las partes y la Comisión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_Toc132133913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33</w:t>
            </w:r>
            <w:r w:rsidR="00297233" w:rsidRPr="00297233">
              <w:rPr>
                <w:rFonts w:ascii="Verdana" w:hAnsi="Verdana"/>
                <w:noProof/>
                <w:webHidden/>
                <w:sz w:val="18"/>
                <w:szCs w:val="18"/>
              </w:rPr>
              <w:fldChar w:fldCharType="end"/>
            </w:r>
          </w:hyperlink>
        </w:p>
        <w:p w14:paraId="0ECBE73E" w14:textId="20B3FD73"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14" w:history="1">
            <w:r w:rsidR="00297233" w:rsidRPr="00297233">
              <w:rPr>
                <w:rStyle w:val="Hipervnculo"/>
                <w:rFonts w:ascii="Verdana" w:hAnsi="Verdana"/>
                <w:noProof/>
                <w:snapToGrid w:val="0"/>
                <w:spacing w:val="-2"/>
                <w:sz w:val="18"/>
                <w:szCs w:val="18"/>
                <w:lang w:eastAsia="es-ES"/>
              </w:rPr>
              <w:t>A.1. Derecho a no ser privado de la libertad ilegalmente y el derecho a ser informado sobre las razones de la detención.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_Toc132133914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33</w:t>
            </w:r>
            <w:r w:rsidR="00297233" w:rsidRPr="00297233">
              <w:rPr>
                <w:rFonts w:ascii="Verdana" w:hAnsi="Verdana"/>
                <w:noProof/>
                <w:webHidden/>
                <w:sz w:val="18"/>
                <w:szCs w:val="18"/>
              </w:rPr>
              <w:fldChar w:fldCharType="end"/>
            </w:r>
          </w:hyperlink>
        </w:p>
        <w:p w14:paraId="3F72F49D" w14:textId="3CC99667"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15" w:history="1">
            <w:r w:rsidR="00297233" w:rsidRPr="00297233">
              <w:rPr>
                <w:rStyle w:val="Hipervnculo"/>
                <w:rFonts w:ascii="Verdana" w:hAnsi="Verdana"/>
                <w:noProof/>
                <w:snapToGrid w:val="0"/>
                <w:spacing w:val="-2"/>
                <w:sz w:val="18"/>
                <w:szCs w:val="18"/>
                <w:lang w:eastAsia="es-ES"/>
              </w:rPr>
              <w:t>A.2. Derecho a ser llevado sin demora ante un juez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_Toc132133915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34</w:t>
            </w:r>
            <w:r w:rsidR="00297233" w:rsidRPr="00297233">
              <w:rPr>
                <w:rFonts w:ascii="Verdana" w:hAnsi="Verdana"/>
                <w:noProof/>
                <w:webHidden/>
                <w:sz w:val="18"/>
                <w:szCs w:val="18"/>
              </w:rPr>
              <w:fldChar w:fldCharType="end"/>
            </w:r>
          </w:hyperlink>
        </w:p>
        <w:p w14:paraId="381F02A1" w14:textId="1BABA985"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16" w:history="1">
            <w:r w:rsidR="00297233" w:rsidRPr="00297233">
              <w:rPr>
                <w:rStyle w:val="Hipervnculo"/>
                <w:rFonts w:ascii="Verdana" w:hAnsi="Verdana"/>
                <w:noProof/>
                <w:snapToGrid w:val="0"/>
                <w:spacing w:val="-2"/>
                <w:sz w:val="18"/>
                <w:szCs w:val="18"/>
                <w:lang w:eastAsia="es-ES"/>
              </w:rPr>
              <w:t>A.3. La aplicación de la figura del arraigo y la posterior prisión preventiva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_Toc132133916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34</w:t>
            </w:r>
            <w:r w:rsidR="00297233" w:rsidRPr="00297233">
              <w:rPr>
                <w:rFonts w:ascii="Verdana" w:hAnsi="Verdana"/>
                <w:noProof/>
                <w:webHidden/>
                <w:sz w:val="18"/>
                <w:szCs w:val="18"/>
              </w:rPr>
              <w:fldChar w:fldCharType="end"/>
            </w:r>
          </w:hyperlink>
        </w:p>
        <w:p w14:paraId="18B49AEE" w14:textId="5A16AFD0" w:rsidR="00297233" w:rsidRPr="00297233" w:rsidRDefault="00036BEE" w:rsidP="00297233">
          <w:pPr>
            <w:pStyle w:val="TDC2"/>
            <w:rPr>
              <w:rFonts w:ascii="Verdana" w:eastAsiaTheme="minorEastAsia" w:hAnsi="Verdana" w:cstheme="minorBidi"/>
              <w:noProof/>
              <w:sz w:val="18"/>
              <w:szCs w:val="18"/>
              <w:lang w:val="es-CR"/>
            </w:rPr>
          </w:pPr>
          <w:hyperlink w:anchor="_Toc132133917" w:history="1">
            <w:r w:rsidR="00297233" w:rsidRPr="00297233">
              <w:rPr>
                <w:rStyle w:val="Hipervnculo"/>
                <w:rFonts w:ascii="Verdana" w:hAnsi="Verdana"/>
                <w:i/>
                <w:noProof/>
                <w:sz w:val="18"/>
                <w:szCs w:val="18"/>
              </w:rPr>
              <w:t>B.</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Consideraciones de la Corte</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_Toc132133917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35</w:t>
            </w:r>
            <w:r w:rsidR="00297233" w:rsidRPr="00297233">
              <w:rPr>
                <w:rFonts w:ascii="Verdana" w:hAnsi="Verdana"/>
                <w:noProof/>
                <w:webHidden/>
                <w:sz w:val="18"/>
                <w:szCs w:val="18"/>
              </w:rPr>
              <w:fldChar w:fldCharType="end"/>
            </w:r>
          </w:hyperlink>
        </w:p>
        <w:p w14:paraId="63A85807" w14:textId="12894EAD"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18" w:history="1">
            <w:r w:rsidR="00297233" w:rsidRPr="00297233">
              <w:rPr>
                <w:rStyle w:val="Hipervnculo"/>
                <w:rFonts w:ascii="Verdana" w:hAnsi="Verdana"/>
                <w:noProof/>
                <w:snapToGrid w:val="0"/>
                <w:spacing w:val="-2"/>
                <w:sz w:val="18"/>
                <w:szCs w:val="18"/>
                <w:lang w:eastAsia="es-ES"/>
              </w:rPr>
              <w:t>B.1. El derecho a no ser privado de la libertad ilegalmente y el derecho a ser informado sobre las razones de la detención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_Toc132133918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35</w:t>
            </w:r>
            <w:r w:rsidR="00297233" w:rsidRPr="00297233">
              <w:rPr>
                <w:rFonts w:ascii="Verdana" w:hAnsi="Verdana"/>
                <w:noProof/>
                <w:webHidden/>
                <w:sz w:val="18"/>
                <w:szCs w:val="18"/>
              </w:rPr>
              <w:fldChar w:fldCharType="end"/>
            </w:r>
          </w:hyperlink>
        </w:p>
        <w:p w14:paraId="4C45EDE4" w14:textId="50DB701E"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19" w:history="1">
            <w:r w:rsidR="00297233" w:rsidRPr="00297233">
              <w:rPr>
                <w:rStyle w:val="Hipervnculo"/>
                <w:rFonts w:ascii="Verdana" w:hAnsi="Verdana"/>
                <w:noProof/>
                <w:snapToGrid w:val="0"/>
                <w:spacing w:val="-2"/>
                <w:sz w:val="18"/>
                <w:szCs w:val="18"/>
                <w:lang w:eastAsia="es-ES"/>
              </w:rPr>
              <w:t>B.2. El derecho a ser llevado sin demora ante “un juez u otro un funcionario autorizado por la ley para ejercer funciones judiciales”</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_Toc132133919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38</w:t>
            </w:r>
            <w:r w:rsidR="00297233" w:rsidRPr="00297233">
              <w:rPr>
                <w:rFonts w:ascii="Verdana" w:hAnsi="Verdana"/>
                <w:noProof/>
                <w:webHidden/>
                <w:sz w:val="18"/>
                <w:szCs w:val="18"/>
              </w:rPr>
              <w:fldChar w:fldCharType="end"/>
            </w:r>
          </w:hyperlink>
        </w:p>
        <w:p w14:paraId="31C42C81" w14:textId="148369AD"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20" w:history="1">
            <w:r w:rsidR="00297233" w:rsidRPr="00297233">
              <w:rPr>
                <w:rStyle w:val="Hipervnculo"/>
                <w:rFonts w:ascii="Verdana" w:hAnsi="Verdana"/>
                <w:noProof/>
                <w:snapToGrid w:val="0"/>
                <w:spacing w:val="-2"/>
                <w:sz w:val="18"/>
                <w:szCs w:val="18"/>
                <w:lang w:eastAsia="es-ES"/>
              </w:rPr>
              <w:t>B.3. La aplicación de la figura del arraigo y la posterior prisión preventiva en contra de Daniel García Rodríguez y Reyes Alpízar Ortiz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_Toc132133920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39</w:t>
            </w:r>
            <w:r w:rsidR="00297233" w:rsidRPr="00297233">
              <w:rPr>
                <w:rFonts w:ascii="Verdana" w:hAnsi="Verdana"/>
                <w:noProof/>
                <w:webHidden/>
                <w:sz w:val="18"/>
                <w:szCs w:val="18"/>
              </w:rPr>
              <w:fldChar w:fldCharType="end"/>
            </w:r>
          </w:hyperlink>
        </w:p>
        <w:p w14:paraId="4DEC2130" w14:textId="2BB905A2"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21" w:history="1">
            <w:r w:rsidR="00297233" w:rsidRPr="00297233">
              <w:rPr>
                <w:rStyle w:val="Hipervnculo"/>
                <w:rFonts w:ascii="Verdana" w:hAnsi="Verdana"/>
                <w:noProof/>
                <w:snapToGrid w:val="0"/>
                <w:spacing w:val="-2"/>
                <w:sz w:val="18"/>
                <w:szCs w:val="18"/>
                <w:lang w:eastAsia="es-ES"/>
              </w:rPr>
              <w:t>B.4. Conclusión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_Toc132133921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51</w:t>
            </w:r>
            <w:r w:rsidR="00297233" w:rsidRPr="00297233">
              <w:rPr>
                <w:rFonts w:ascii="Verdana" w:hAnsi="Verdana"/>
                <w:noProof/>
                <w:webHidden/>
                <w:sz w:val="18"/>
                <w:szCs w:val="18"/>
              </w:rPr>
              <w:fldChar w:fldCharType="end"/>
            </w:r>
          </w:hyperlink>
        </w:p>
        <w:p w14:paraId="76C1FD7C" w14:textId="2287E2E8" w:rsidR="00297233" w:rsidRPr="00297233" w:rsidRDefault="00036BEE" w:rsidP="00297233">
          <w:pPr>
            <w:pStyle w:val="TDC1"/>
            <w:ind w:right="49"/>
            <w:rPr>
              <w:rFonts w:ascii="Verdana" w:eastAsiaTheme="minorEastAsia" w:hAnsi="Verdana" w:cstheme="minorBidi"/>
              <w:b w:val="0"/>
              <w:noProof/>
              <w:szCs w:val="18"/>
              <w:lang w:val="es-CR"/>
            </w:rPr>
          </w:pPr>
          <w:hyperlink w:anchor="_Toc132133922" w:history="1">
            <w:r w:rsidR="00297233" w:rsidRPr="00297233">
              <w:rPr>
                <w:rStyle w:val="Hipervnculo"/>
                <w:rFonts w:ascii="Verdana" w:hAnsi="Verdana"/>
                <w:noProof/>
                <w:szCs w:val="18"/>
                <w:lang w:val="es-ES_tradnl"/>
              </w:rPr>
              <w:t>VIII.2. EL DERECHO A LA INTEGRIDAD PERSONAL EN RELACIÓN CON LA OBLIGACIÓN DE RESPETAR LOS DERECHOS Y ARTÍCULOS 1, 6 Y 8 DE LA CONVENCIÓN INTERAMERICANA PARA PREVENIR Y SANCIONAR LA TORTURA</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_Toc132133922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52</w:t>
            </w:r>
            <w:r w:rsidR="00297233" w:rsidRPr="00297233">
              <w:rPr>
                <w:rFonts w:ascii="Verdana" w:hAnsi="Verdana"/>
                <w:noProof/>
                <w:webHidden/>
                <w:szCs w:val="18"/>
              </w:rPr>
              <w:fldChar w:fldCharType="end"/>
            </w:r>
          </w:hyperlink>
        </w:p>
        <w:p w14:paraId="0B267017" w14:textId="152EFF0C" w:rsidR="00297233" w:rsidRPr="00297233" w:rsidRDefault="00036BEE" w:rsidP="00297233">
          <w:pPr>
            <w:pStyle w:val="TDC2"/>
            <w:rPr>
              <w:rFonts w:ascii="Verdana" w:eastAsiaTheme="minorEastAsia" w:hAnsi="Verdana" w:cstheme="minorBidi"/>
              <w:noProof/>
              <w:sz w:val="18"/>
              <w:szCs w:val="18"/>
              <w:lang w:val="es-CR"/>
            </w:rPr>
          </w:pPr>
          <w:hyperlink w:anchor="_Toc132133923" w:history="1">
            <w:r w:rsidR="00297233" w:rsidRPr="00297233">
              <w:rPr>
                <w:rStyle w:val="Hipervnculo"/>
                <w:rFonts w:ascii="Verdana" w:hAnsi="Verdana"/>
                <w:i/>
                <w:noProof/>
                <w:sz w:val="18"/>
                <w:szCs w:val="18"/>
              </w:rPr>
              <w:t>A.</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Alegatos de las partes y de la Comisión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_Toc132133923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52</w:t>
            </w:r>
            <w:r w:rsidR="00297233" w:rsidRPr="00297233">
              <w:rPr>
                <w:rFonts w:ascii="Verdana" w:hAnsi="Verdana"/>
                <w:noProof/>
                <w:webHidden/>
                <w:sz w:val="18"/>
                <w:szCs w:val="18"/>
              </w:rPr>
              <w:fldChar w:fldCharType="end"/>
            </w:r>
          </w:hyperlink>
        </w:p>
        <w:p w14:paraId="5CA6E783" w14:textId="2B2980C7" w:rsidR="00297233" w:rsidRPr="00297233" w:rsidRDefault="00036BEE" w:rsidP="00297233">
          <w:pPr>
            <w:pStyle w:val="TDC2"/>
            <w:rPr>
              <w:rFonts w:ascii="Verdana" w:eastAsiaTheme="minorEastAsia" w:hAnsi="Verdana" w:cstheme="minorBidi"/>
              <w:noProof/>
              <w:sz w:val="18"/>
              <w:szCs w:val="18"/>
              <w:lang w:val="es-CR"/>
            </w:rPr>
          </w:pPr>
          <w:hyperlink w:anchor="_Toc132133924" w:history="1">
            <w:r w:rsidR="00297233" w:rsidRPr="00297233">
              <w:rPr>
                <w:rStyle w:val="Hipervnculo"/>
                <w:rFonts w:ascii="Verdana" w:hAnsi="Verdana"/>
                <w:i/>
                <w:noProof/>
                <w:sz w:val="18"/>
                <w:szCs w:val="18"/>
              </w:rPr>
              <w:t>B.</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Consideraciones de la Corte</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_Toc132133924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53</w:t>
            </w:r>
            <w:r w:rsidR="00297233" w:rsidRPr="00297233">
              <w:rPr>
                <w:rFonts w:ascii="Verdana" w:hAnsi="Verdana"/>
                <w:noProof/>
                <w:webHidden/>
                <w:sz w:val="18"/>
                <w:szCs w:val="18"/>
              </w:rPr>
              <w:fldChar w:fldCharType="end"/>
            </w:r>
          </w:hyperlink>
        </w:p>
        <w:p w14:paraId="0A0C7F89" w14:textId="54EDF482"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25" w:history="1">
            <w:r w:rsidR="00297233" w:rsidRPr="00297233">
              <w:rPr>
                <w:rStyle w:val="Hipervnculo"/>
                <w:rFonts w:ascii="Verdana" w:hAnsi="Verdana"/>
                <w:noProof/>
                <w:snapToGrid w:val="0"/>
                <w:spacing w:val="-2"/>
                <w:sz w:val="18"/>
                <w:szCs w:val="18"/>
                <w:lang w:eastAsia="es-ES"/>
              </w:rPr>
              <w:t>B.1. Las alegadas torturas sufridas por Daniel García Rodríguez y Reyes Alpízar Ortiz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_Toc132133925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55</w:t>
            </w:r>
            <w:r w:rsidR="00297233" w:rsidRPr="00297233">
              <w:rPr>
                <w:rFonts w:ascii="Verdana" w:hAnsi="Verdana"/>
                <w:noProof/>
                <w:webHidden/>
                <w:sz w:val="18"/>
                <w:szCs w:val="18"/>
              </w:rPr>
              <w:fldChar w:fldCharType="end"/>
            </w:r>
          </w:hyperlink>
        </w:p>
        <w:p w14:paraId="1C855050" w14:textId="2A87514C"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26" w:history="1">
            <w:r w:rsidR="00297233" w:rsidRPr="00297233">
              <w:rPr>
                <w:rStyle w:val="Hipervnculo"/>
                <w:rFonts w:ascii="Verdana" w:hAnsi="Verdana"/>
                <w:noProof/>
                <w:snapToGrid w:val="0"/>
                <w:spacing w:val="-2"/>
                <w:sz w:val="18"/>
                <w:szCs w:val="18"/>
                <w:lang w:eastAsia="es-ES"/>
              </w:rPr>
              <w:t>B.2. Las investigaciones sobre los alegados hechos de tortura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_Toc132133926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60</w:t>
            </w:r>
            <w:r w:rsidR="00297233" w:rsidRPr="00297233">
              <w:rPr>
                <w:rFonts w:ascii="Verdana" w:hAnsi="Verdana"/>
                <w:noProof/>
                <w:webHidden/>
                <w:sz w:val="18"/>
                <w:szCs w:val="18"/>
              </w:rPr>
              <w:fldChar w:fldCharType="end"/>
            </w:r>
          </w:hyperlink>
        </w:p>
        <w:p w14:paraId="4166C09D" w14:textId="444B235E" w:rsidR="00297233" w:rsidRPr="00297233" w:rsidRDefault="00036BEE" w:rsidP="00297233">
          <w:pPr>
            <w:pStyle w:val="TDC1"/>
            <w:ind w:right="49"/>
            <w:rPr>
              <w:rFonts w:ascii="Verdana" w:eastAsiaTheme="minorEastAsia" w:hAnsi="Verdana" w:cstheme="minorBidi"/>
              <w:b w:val="0"/>
              <w:noProof/>
              <w:szCs w:val="18"/>
              <w:lang w:val="es-CR"/>
            </w:rPr>
          </w:pPr>
          <w:hyperlink w:anchor="_Toc132133927" w:history="1">
            <w:r w:rsidR="00297233" w:rsidRPr="00297233">
              <w:rPr>
                <w:rStyle w:val="Hipervnculo"/>
                <w:rFonts w:ascii="Verdana" w:hAnsi="Verdana"/>
                <w:noProof/>
                <w:szCs w:val="18"/>
                <w:lang w:val="es-ES_tradnl"/>
              </w:rPr>
              <w:t>VIII.3. DERECHO A LAS GARANTÍAS JUDICIALES EN RELACIÓN CON LA OBLIGACIÓN DE RESPETAR LOS DERECHOS</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_Toc132133927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61</w:t>
            </w:r>
            <w:r w:rsidR="00297233" w:rsidRPr="00297233">
              <w:rPr>
                <w:rFonts w:ascii="Verdana" w:hAnsi="Verdana"/>
                <w:noProof/>
                <w:webHidden/>
                <w:szCs w:val="18"/>
              </w:rPr>
              <w:fldChar w:fldCharType="end"/>
            </w:r>
          </w:hyperlink>
        </w:p>
        <w:p w14:paraId="1DF81FAD" w14:textId="2599289F" w:rsidR="00297233" w:rsidRPr="00297233" w:rsidRDefault="00036BEE" w:rsidP="00297233">
          <w:pPr>
            <w:pStyle w:val="TDC2"/>
            <w:rPr>
              <w:rFonts w:ascii="Verdana" w:eastAsiaTheme="minorEastAsia" w:hAnsi="Verdana" w:cstheme="minorBidi"/>
              <w:noProof/>
              <w:sz w:val="18"/>
              <w:szCs w:val="18"/>
              <w:lang w:val="es-CR"/>
            </w:rPr>
          </w:pPr>
          <w:hyperlink w:anchor="_Toc132133928" w:history="1">
            <w:r w:rsidR="00297233" w:rsidRPr="00297233">
              <w:rPr>
                <w:rStyle w:val="Hipervnculo"/>
                <w:rFonts w:ascii="Verdana" w:hAnsi="Verdana"/>
                <w:i/>
                <w:noProof/>
                <w:sz w:val="18"/>
                <w:szCs w:val="18"/>
              </w:rPr>
              <w:t>A.</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Alegatos de las partes y de la Comisión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_Toc132133928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61</w:t>
            </w:r>
            <w:r w:rsidR="00297233" w:rsidRPr="00297233">
              <w:rPr>
                <w:rFonts w:ascii="Verdana" w:hAnsi="Verdana"/>
                <w:noProof/>
                <w:webHidden/>
                <w:sz w:val="18"/>
                <w:szCs w:val="18"/>
              </w:rPr>
              <w:fldChar w:fldCharType="end"/>
            </w:r>
          </w:hyperlink>
        </w:p>
        <w:p w14:paraId="52E4051D" w14:textId="5799F5E0"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29" w:history="1">
            <w:r w:rsidR="00297233" w:rsidRPr="00297233">
              <w:rPr>
                <w:rStyle w:val="Hipervnculo"/>
                <w:rFonts w:ascii="Verdana" w:hAnsi="Verdana"/>
                <w:noProof/>
                <w:snapToGrid w:val="0"/>
                <w:spacing w:val="-2"/>
                <w:sz w:val="18"/>
                <w:szCs w:val="18"/>
                <w:lang w:eastAsia="es-ES"/>
              </w:rPr>
              <w:t>A.1. La regla de exclusión de prueba obtenida bajo coacción (artículo 8.3 de la Convención Americana)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_Toc132133929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61</w:t>
            </w:r>
            <w:r w:rsidR="00297233" w:rsidRPr="00297233">
              <w:rPr>
                <w:rFonts w:ascii="Verdana" w:hAnsi="Verdana"/>
                <w:noProof/>
                <w:webHidden/>
                <w:sz w:val="18"/>
                <w:szCs w:val="18"/>
              </w:rPr>
              <w:fldChar w:fldCharType="end"/>
            </w:r>
          </w:hyperlink>
        </w:p>
        <w:p w14:paraId="10A51E80" w14:textId="1F679FAF"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30" w:history="1">
            <w:r w:rsidR="00297233" w:rsidRPr="00297233">
              <w:rPr>
                <w:rStyle w:val="Hipervnculo"/>
                <w:rFonts w:ascii="Verdana" w:hAnsi="Verdana"/>
                <w:noProof/>
                <w:snapToGrid w:val="0"/>
                <w:spacing w:val="-2"/>
                <w:sz w:val="18"/>
                <w:szCs w:val="18"/>
                <w:lang w:eastAsia="es-ES"/>
              </w:rPr>
              <w:t>A.2. El Derecho a la defensa (artículo 8.2.d, e y f de la Convención Americana)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_Toc132133930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62</w:t>
            </w:r>
            <w:r w:rsidR="00297233" w:rsidRPr="00297233">
              <w:rPr>
                <w:rFonts w:ascii="Verdana" w:hAnsi="Verdana"/>
                <w:noProof/>
                <w:webHidden/>
                <w:sz w:val="18"/>
                <w:szCs w:val="18"/>
              </w:rPr>
              <w:fldChar w:fldCharType="end"/>
            </w:r>
          </w:hyperlink>
        </w:p>
        <w:p w14:paraId="298FDCBC" w14:textId="0BCBD59E"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31" w:history="1">
            <w:r w:rsidR="00297233" w:rsidRPr="00297233">
              <w:rPr>
                <w:rStyle w:val="Hipervnculo"/>
                <w:rFonts w:ascii="Verdana" w:hAnsi="Verdana"/>
                <w:noProof/>
                <w:snapToGrid w:val="0"/>
                <w:spacing w:val="-2"/>
                <w:sz w:val="18"/>
                <w:szCs w:val="18"/>
                <w:lang w:eastAsia="es-ES"/>
              </w:rPr>
              <w:t>A.2. El derecho a la presunción de inocencia (artículo 8.1 de la Convención Americana)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_Toc132133931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62</w:t>
            </w:r>
            <w:r w:rsidR="00297233" w:rsidRPr="00297233">
              <w:rPr>
                <w:rFonts w:ascii="Verdana" w:hAnsi="Verdana"/>
                <w:noProof/>
                <w:webHidden/>
                <w:sz w:val="18"/>
                <w:szCs w:val="18"/>
              </w:rPr>
              <w:fldChar w:fldCharType="end"/>
            </w:r>
          </w:hyperlink>
        </w:p>
        <w:p w14:paraId="0F13CFAC" w14:textId="0A5D641E"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32" w:history="1">
            <w:r w:rsidR="00297233" w:rsidRPr="00297233">
              <w:rPr>
                <w:rStyle w:val="Hipervnculo"/>
                <w:rFonts w:ascii="Verdana" w:hAnsi="Verdana"/>
                <w:noProof/>
                <w:snapToGrid w:val="0"/>
                <w:spacing w:val="-2"/>
                <w:sz w:val="18"/>
                <w:szCs w:val="18"/>
                <w:lang w:eastAsia="es-ES"/>
              </w:rPr>
              <w:t>A.4. El principio del plazo razonable (artículo 8.1 de la Convención Americana)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_Toc132133932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63</w:t>
            </w:r>
            <w:r w:rsidR="00297233" w:rsidRPr="00297233">
              <w:rPr>
                <w:rFonts w:ascii="Verdana" w:hAnsi="Verdana"/>
                <w:noProof/>
                <w:webHidden/>
                <w:sz w:val="18"/>
                <w:szCs w:val="18"/>
              </w:rPr>
              <w:fldChar w:fldCharType="end"/>
            </w:r>
          </w:hyperlink>
        </w:p>
        <w:p w14:paraId="0612B5E1" w14:textId="2EB1B0C6" w:rsidR="00297233" w:rsidRPr="00297233" w:rsidRDefault="00036BEE" w:rsidP="00297233">
          <w:pPr>
            <w:pStyle w:val="TDC2"/>
            <w:rPr>
              <w:rFonts w:ascii="Verdana" w:eastAsiaTheme="minorEastAsia" w:hAnsi="Verdana" w:cstheme="minorBidi"/>
              <w:noProof/>
              <w:sz w:val="18"/>
              <w:szCs w:val="18"/>
              <w:lang w:val="es-CR"/>
            </w:rPr>
          </w:pPr>
          <w:hyperlink w:anchor="_Toc132133933" w:history="1">
            <w:r w:rsidR="00297233" w:rsidRPr="00297233">
              <w:rPr>
                <w:rStyle w:val="Hipervnculo"/>
                <w:rFonts w:ascii="Verdana" w:hAnsi="Verdana"/>
                <w:i/>
                <w:noProof/>
                <w:sz w:val="18"/>
                <w:szCs w:val="18"/>
              </w:rPr>
              <w:t>B.</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Consideraciones de la Corte</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_Toc132133933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64</w:t>
            </w:r>
            <w:r w:rsidR="00297233" w:rsidRPr="00297233">
              <w:rPr>
                <w:rFonts w:ascii="Verdana" w:hAnsi="Verdana"/>
                <w:noProof/>
                <w:webHidden/>
                <w:sz w:val="18"/>
                <w:szCs w:val="18"/>
              </w:rPr>
              <w:fldChar w:fldCharType="end"/>
            </w:r>
          </w:hyperlink>
        </w:p>
        <w:p w14:paraId="16D83BA7" w14:textId="70AE652B"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34" w:history="1">
            <w:r w:rsidR="00297233" w:rsidRPr="00297233">
              <w:rPr>
                <w:rStyle w:val="Hipervnculo"/>
                <w:rFonts w:ascii="Verdana" w:hAnsi="Verdana"/>
                <w:noProof/>
                <w:snapToGrid w:val="0"/>
                <w:spacing w:val="-2"/>
                <w:sz w:val="18"/>
                <w:szCs w:val="18"/>
                <w:lang w:eastAsia="es-ES"/>
              </w:rPr>
              <w:t>B.1. La regla de la exclusión de los elementos probatorios obtenidos bajo coacción (artículo 8.3 de la Convención Americana)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_Toc132133934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64</w:t>
            </w:r>
            <w:r w:rsidR="00297233" w:rsidRPr="00297233">
              <w:rPr>
                <w:rFonts w:ascii="Verdana" w:hAnsi="Verdana"/>
                <w:noProof/>
                <w:webHidden/>
                <w:sz w:val="18"/>
                <w:szCs w:val="18"/>
              </w:rPr>
              <w:fldChar w:fldCharType="end"/>
            </w:r>
          </w:hyperlink>
        </w:p>
        <w:p w14:paraId="00753104" w14:textId="66F9DBFC"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35" w:history="1">
            <w:r w:rsidR="00297233" w:rsidRPr="00297233">
              <w:rPr>
                <w:rStyle w:val="Hipervnculo"/>
                <w:rFonts w:ascii="Verdana" w:hAnsi="Verdana"/>
                <w:noProof/>
                <w:snapToGrid w:val="0"/>
                <w:spacing w:val="-2"/>
                <w:sz w:val="18"/>
                <w:szCs w:val="18"/>
                <w:lang w:eastAsia="es-ES"/>
              </w:rPr>
              <w:t>B.2. El derecho a la defensa (artículo 8.2.d, e y f de la Convención Americana)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_Toc132133935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66</w:t>
            </w:r>
            <w:r w:rsidR="00297233" w:rsidRPr="00297233">
              <w:rPr>
                <w:rFonts w:ascii="Verdana" w:hAnsi="Verdana"/>
                <w:noProof/>
                <w:webHidden/>
                <w:sz w:val="18"/>
                <w:szCs w:val="18"/>
              </w:rPr>
              <w:fldChar w:fldCharType="end"/>
            </w:r>
          </w:hyperlink>
        </w:p>
        <w:p w14:paraId="2AE61489" w14:textId="3A266FE8"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36" w:history="1">
            <w:r w:rsidR="00297233" w:rsidRPr="00297233">
              <w:rPr>
                <w:rStyle w:val="Hipervnculo"/>
                <w:rFonts w:ascii="Verdana" w:hAnsi="Verdana"/>
                <w:noProof/>
                <w:snapToGrid w:val="0"/>
                <w:spacing w:val="-2"/>
                <w:sz w:val="18"/>
                <w:szCs w:val="18"/>
                <w:lang w:eastAsia="es-ES"/>
              </w:rPr>
              <w:t>B.3. El derecho a la presunción de inocencia (artículo 8.2 de la Convención Americana)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_Toc132133936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69</w:t>
            </w:r>
            <w:r w:rsidR="00297233" w:rsidRPr="00297233">
              <w:rPr>
                <w:rFonts w:ascii="Verdana" w:hAnsi="Verdana"/>
                <w:noProof/>
                <w:webHidden/>
                <w:sz w:val="18"/>
                <w:szCs w:val="18"/>
              </w:rPr>
              <w:fldChar w:fldCharType="end"/>
            </w:r>
          </w:hyperlink>
        </w:p>
        <w:p w14:paraId="57AE9A72" w14:textId="660EC2A3"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37" w:history="1">
            <w:r w:rsidR="00297233" w:rsidRPr="00297233">
              <w:rPr>
                <w:rStyle w:val="Hipervnculo"/>
                <w:rFonts w:ascii="Verdana" w:hAnsi="Verdana"/>
                <w:noProof/>
                <w:snapToGrid w:val="0"/>
                <w:spacing w:val="-2"/>
                <w:sz w:val="18"/>
                <w:szCs w:val="18"/>
                <w:lang w:eastAsia="es-ES"/>
              </w:rPr>
              <w:t>B.4. El principio del plazo razonable del proceso (artículo 8.1 de la Convención Americana)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_Toc132133937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70</w:t>
            </w:r>
            <w:r w:rsidR="00297233" w:rsidRPr="00297233">
              <w:rPr>
                <w:rFonts w:ascii="Verdana" w:hAnsi="Verdana"/>
                <w:noProof/>
                <w:webHidden/>
                <w:sz w:val="18"/>
                <w:szCs w:val="18"/>
              </w:rPr>
              <w:fldChar w:fldCharType="end"/>
            </w:r>
          </w:hyperlink>
        </w:p>
        <w:p w14:paraId="6067E21D" w14:textId="4A354B3C"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38" w:history="1">
            <w:r w:rsidR="00297233" w:rsidRPr="00297233">
              <w:rPr>
                <w:rStyle w:val="Hipervnculo"/>
                <w:rFonts w:ascii="Verdana" w:hAnsi="Verdana"/>
                <w:noProof/>
                <w:snapToGrid w:val="0"/>
                <w:spacing w:val="-2"/>
                <w:sz w:val="18"/>
                <w:szCs w:val="18"/>
                <w:lang w:eastAsia="es-ES"/>
              </w:rPr>
              <w:t>B.5. Conclusión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_Toc132133938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73</w:t>
            </w:r>
            <w:r w:rsidR="00297233" w:rsidRPr="00297233">
              <w:rPr>
                <w:rFonts w:ascii="Verdana" w:hAnsi="Verdana"/>
                <w:noProof/>
                <w:webHidden/>
                <w:sz w:val="18"/>
                <w:szCs w:val="18"/>
              </w:rPr>
              <w:fldChar w:fldCharType="end"/>
            </w:r>
          </w:hyperlink>
        </w:p>
        <w:p w14:paraId="0C5A5AD7" w14:textId="3F918FC5" w:rsidR="00297233" w:rsidRPr="00297233" w:rsidRDefault="00036BEE" w:rsidP="00297233">
          <w:pPr>
            <w:pStyle w:val="TDC1"/>
            <w:ind w:right="49"/>
            <w:rPr>
              <w:rFonts w:ascii="Verdana" w:eastAsiaTheme="minorEastAsia" w:hAnsi="Verdana" w:cstheme="minorBidi"/>
              <w:b w:val="0"/>
              <w:noProof/>
              <w:szCs w:val="18"/>
              <w:lang w:val="es-CR"/>
            </w:rPr>
          </w:pPr>
          <w:hyperlink w:anchor="_Toc132133939" w:history="1">
            <w:r w:rsidR="00297233" w:rsidRPr="00297233">
              <w:rPr>
                <w:rStyle w:val="Hipervnculo"/>
                <w:rFonts w:ascii="Verdana" w:hAnsi="Verdana"/>
                <w:noProof/>
                <w:szCs w:val="18"/>
                <w:lang w:val="es-ES_tradnl"/>
              </w:rPr>
              <w:t>IX. REPARACIONES</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_Toc132133939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73</w:t>
            </w:r>
            <w:r w:rsidR="00297233" w:rsidRPr="00297233">
              <w:rPr>
                <w:rFonts w:ascii="Verdana" w:hAnsi="Verdana"/>
                <w:noProof/>
                <w:webHidden/>
                <w:szCs w:val="18"/>
              </w:rPr>
              <w:fldChar w:fldCharType="end"/>
            </w:r>
          </w:hyperlink>
        </w:p>
        <w:p w14:paraId="015B9797" w14:textId="5294472E" w:rsidR="00297233" w:rsidRPr="00297233" w:rsidRDefault="00036BEE" w:rsidP="00297233">
          <w:pPr>
            <w:pStyle w:val="TDC2"/>
            <w:rPr>
              <w:rFonts w:ascii="Verdana" w:eastAsiaTheme="minorEastAsia" w:hAnsi="Verdana" w:cstheme="minorBidi"/>
              <w:noProof/>
              <w:sz w:val="18"/>
              <w:szCs w:val="18"/>
              <w:lang w:val="es-CR"/>
            </w:rPr>
          </w:pPr>
          <w:hyperlink w:anchor="_Toc132133940" w:history="1">
            <w:r w:rsidR="00297233" w:rsidRPr="00297233">
              <w:rPr>
                <w:rStyle w:val="Hipervnculo"/>
                <w:rFonts w:ascii="Verdana" w:hAnsi="Verdana"/>
                <w:i/>
                <w:noProof/>
                <w:sz w:val="18"/>
                <w:szCs w:val="18"/>
              </w:rPr>
              <w:t>A.</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Parte Lesionada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_Toc132133940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74</w:t>
            </w:r>
            <w:r w:rsidR="00297233" w:rsidRPr="00297233">
              <w:rPr>
                <w:rFonts w:ascii="Verdana" w:hAnsi="Verdana"/>
                <w:noProof/>
                <w:webHidden/>
                <w:sz w:val="18"/>
                <w:szCs w:val="18"/>
              </w:rPr>
              <w:fldChar w:fldCharType="end"/>
            </w:r>
          </w:hyperlink>
        </w:p>
        <w:p w14:paraId="31D33926" w14:textId="278C7592" w:rsidR="00297233" w:rsidRPr="00297233" w:rsidRDefault="00036BEE" w:rsidP="00297233">
          <w:pPr>
            <w:pStyle w:val="TDC2"/>
            <w:rPr>
              <w:rFonts w:ascii="Verdana" w:eastAsiaTheme="minorEastAsia" w:hAnsi="Verdana" w:cstheme="minorBidi"/>
              <w:noProof/>
              <w:sz w:val="18"/>
              <w:szCs w:val="18"/>
              <w:lang w:val="es-CR"/>
            </w:rPr>
          </w:pPr>
          <w:hyperlink w:anchor="_Toc132133941" w:history="1">
            <w:r w:rsidR="00297233" w:rsidRPr="00297233">
              <w:rPr>
                <w:rStyle w:val="Hipervnculo"/>
                <w:rFonts w:ascii="Verdana" w:hAnsi="Verdana"/>
                <w:i/>
                <w:noProof/>
                <w:sz w:val="18"/>
                <w:szCs w:val="18"/>
              </w:rPr>
              <w:t>B.</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Obligación de investigar</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_Toc132133941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74</w:t>
            </w:r>
            <w:r w:rsidR="00297233" w:rsidRPr="00297233">
              <w:rPr>
                <w:rFonts w:ascii="Verdana" w:hAnsi="Verdana"/>
                <w:noProof/>
                <w:webHidden/>
                <w:sz w:val="18"/>
                <w:szCs w:val="18"/>
              </w:rPr>
              <w:fldChar w:fldCharType="end"/>
            </w:r>
          </w:hyperlink>
        </w:p>
        <w:p w14:paraId="0F44309D" w14:textId="23A1B702"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42" w:history="1">
            <w:r w:rsidR="00297233" w:rsidRPr="00297233">
              <w:rPr>
                <w:rStyle w:val="Hipervnculo"/>
                <w:rFonts w:ascii="Verdana" w:hAnsi="Verdana"/>
                <w:noProof/>
                <w:snapToGrid w:val="0"/>
                <w:spacing w:val="-2"/>
                <w:sz w:val="18"/>
                <w:szCs w:val="18"/>
                <w:lang w:eastAsia="es-ES"/>
              </w:rPr>
              <w:t>B.1. Conclusión de la causa penal en contra de Daniel García Rodríguez y Reyes Alpízar Ortiz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_Toc132133942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75</w:t>
            </w:r>
            <w:r w:rsidR="00297233" w:rsidRPr="00297233">
              <w:rPr>
                <w:rFonts w:ascii="Verdana" w:hAnsi="Verdana"/>
                <w:noProof/>
                <w:webHidden/>
                <w:sz w:val="18"/>
                <w:szCs w:val="18"/>
              </w:rPr>
              <w:fldChar w:fldCharType="end"/>
            </w:r>
          </w:hyperlink>
        </w:p>
        <w:p w14:paraId="4609B2CA" w14:textId="43C48CDB"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43" w:history="1">
            <w:r w:rsidR="00297233" w:rsidRPr="00297233">
              <w:rPr>
                <w:rStyle w:val="Hipervnculo"/>
                <w:rFonts w:ascii="Verdana" w:hAnsi="Verdana"/>
                <w:noProof/>
                <w:snapToGrid w:val="0"/>
                <w:spacing w:val="-2"/>
                <w:sz w:val="18"/>
                <w:szCs w:val="18"/>
                <w:lang w:eastAsia="es-ES"/>
              </w:rPr>
              <w:t>B.2. Deber de investigar, procesar y sancionar a los eventuales responsables de los hechos de tortura en perjuicio de Daniel García Rodríguez y Reyes Alpízar Ortiz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_Toc132133943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75</w:t>
            </w:r>
            <w:r w:rsidR="00297233" w:rsidRPr="00297233">
              <w:rPr>
                <w:rFonts w:ascii="Verdana" w:hAnsi="Verdana"/>
                <w:noProof/>
                <w:webHidden/>
                <w:sz w:val="18"/>
                <w:szCs w:val="18"/>
              </w:rPr>
              <w:fldChar w:fldCharType="end"/>
            </w:r>
          </w:hyperlink>
        </w:p>
        <w:p w14:paraId="7D1CD6F8" w14:textId="071F2198"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44" w:history="1">
            <w:r w:rsidR="00297233" w:rsidRPr="00297233">
              <w:rPr>
                <w:rStyle w:val="Hipervnculo"/>
                <w:rFonts w:ascii="Verdana" w:hAnsi="Verdana"/>
                <w:noProof/>
                <w:snapToGrid w:val="0"/>
                <w:spacing w:val="-2"/>
                <w:sz w:val="18"/>
                <w:szCs w:val="18"/>
                <w:lang w:eastAsia="es-ES"/>
              </w:rPr>
              <w:t>B.3. Deber de investigar, procesar y sancionar las demás violaciones a los derechos humanos en perjuicio de Daniel García Rodríguez y Reyes Alpízar Ortiz</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_Toc132133944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76</w:t>
            </w:r>
            <w:r w:rsidR="00297233" w:rsidRPr="00297233">
              <w:rPr>
                <w:rFonts w:ascii="Verdana" w:hAnsi="Verdana"/>
                <w:noProof/>
                <w:webHidden/>
                <w:sz w:val="18"/>
                <w:szCs w:val="18"/>
              </w:rPr>
              <w:fldChar w:fldCharType="end"/>
            </w:r>
          </w:hyperlink>
        </w:p>
        <w:p w14:paraId="566FD9AF" w14:textId="6A5F9714" w:rsidR="00297233" w:rsidRPr="00297233" w:rsidRDefault="00036BEE" w:rsidP="00297233">
          <w:pPr>
            <w:pStyle w:val="TDC2"/>
            <w:rPr>
              <w:rFonts w:ascii="Verdana" w:eastAsiaTheme="minorEastAsia" w:hAnsi="Verdana" w:cstheme="minorBidi"/>
              <w:noProof/>
              <w:sz w:val="18"/>
              <w:szCs w:val="18"/>
              <w:lang w:val="es-CR"/>
            </w:rPr>
          </w:pPr>
          <w:hyperlink w:anchor="_Toc132133945" w:history="1">
            <w:r w:rsidR="00297233" w:rsidRPr="00297233">
              <w:rPr>
                <w:rStyle w:val="Hipervnculo"/>
                <w:rFonts w:ascii="Verdana" w:hAnsi="Verdana"/>
                <w:i/>
                <w:noProof/>
                <w:sz w:val="18"/>
                <w:szCs w:val="18"/>
              </w:rPr>
              <w:t>C.</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Garantías de no repetición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_Toc132133945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76</w:t>
            </w:r>
            <w:r w:rsidR="00297233" w:rsidRPr="00297233">
              <w:rPr>
                <w:rFonts w:ascii="Verdana" w:hAnsi="Verdana"/>
                <w:noProof/>
                <w:webHidden/>
                <w:sz w:val="18"/>
                <w:szCs w:val="18"/>
              </w:rPr>
              <w:fldChar w:fldCharType="end"/>
            </w:r>
          </w:hyperlink>
        </w:p>
        <w:p w14:paraId="1BFEF681" w14:textId="0E909372"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46" w:history="1">
            <w:r w:rsidR="00297233" w:rsidRPr="00297233">
              <w:rPr>
                <w:rStyle w:val="Hipervnculo"/>
                <w:rFonts w:ascii="Verdana" w:hAnsi="Verdana"/>
                <w:noProof/>
                <w:snapToGrid w:val="0"/>
                <w:spacing w:val="-2"/>
                <w:sz w:val="18"/>
                <w:szCs w:val="18"/>
                <w:lang w:eastAsia="es-ES"/>
              </w:rPr>
              <w:t>C.1. Reformas legislativas</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_Toc132133946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76</w:t>
            </w:r>
            <w:r w:rsidR="00297233" w:rsidRPr="00297233">
              <w:rPr>
                <w:rFonts w:ascii="Verdana" w:hAnsi="Verdana"/>
                <w:noProof/>
                <w:webHidden/>
                <w:sz w:val="18"/>
                <w:szCs w:val="18"/>
              </w:rPr>
              <w:fldChar w:fldCharType="end"/>
            </w:r>
          </w:hyperlink>
        </w:p>
        <w:p w14:paraId="1F4363DE" w14:textId="384B200E" w:rsidR="00297233" w:rsidRPr="00297233" w:rsidRDefault="00036BEE" w:rsidP="00297233">
          <w:pPr>
            <w:pStyle w:val="TDC3"/>
            <w:ind w:right="49"/>
            <w:rPr>
              <w:rFonts w:ascii="Verdana" w:eastAsiaTheme="minorEastAsia" w:hAnsi="Verdana" w:cstheme="minorBidi"/>
              <w:noProof/>
              <w:sz w:val="18"/>
              <w:szCs w:val="18"/>
              <w:lang w:val="es-CR"/>
            </w:rPr>
          </w:pPr>
          <w:hyperlink w:anchor="_Toc132133947" w:history="1">
            <w:r w:rsidR="00297233" w:rsidRPr="00297233">
              <w:rPr>
                <w:rStyle w:val="Hipervnculo"/>
                <w:rFonts w:ascii="Verdana" w:hAnsi="Verdana"/>
                <w:noProof/>
                <w:snapToGrid w:val="0"/>
                <w:spacing w:val="-2"/>
                <w:sz w:val="18"/>
                <w:szCs w:val="18"/>
                <w:lang w:eastAsia="es-ES"/>
              </w:rPr>
              <w:t>C.2. Programa de capacitación a los funcionarios de la Subprocuraduría de Justicia de Tlalnepantla</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_Toc132133947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79</w:t>
            </w:r>
            <w:r w:rsidR="00297233" w:rsidRPr="00297233">
              <w:rPr>
                <w:rFonts w:ascii="Verdana" w:hAnsi="Verdana"/>
                <w:noProof/>
                <w:webHidden/>
                <w:sz w:val="18"/>
                <w:szCs w:val="18"/>
              </w:rPr>
              <w:fldChar w:fldCharType="end"/>
            </w:r>
          </w:hyperlink>
        </w:p>
        <w:p w14:paraId="775B0D8B" w14:textId="2FA5311A" w:rsidR="00297233" w:rsidRPr="00297233" w:rsidRDefault="00036BEE" w:rsidP="00297233">
          <w:pPr>
            <w:pStyle w:val="TDC2"/>
            <w:rPr>
              <w:rFonts w:ascii="Verdana" w:eastAsiaTheme="minorEastAsia" w:hAnsi="Verdana" w:cstheme="minorBidi"/>
              <w:noProof/>
              <w:sz w:val="18"/>
              <w:szCs w:val="18"/>
              <w:lang w:val="es-CR"/>
            </w:rPr>
          </w:pPr>
          <w:hyperlink w:anchor="_Toc132133948" w:history="1">
            <w:r w:rsidR="00297233" w:rsidRPr="00297233">
              <w:rPr>
                <w:rStyle w:val="Hipervnculo"/>
                <w:rFonts w:ascii="Verdana" w:hAnsi="Verdana"/>
                <w:i/>
                <w:noProof/>
                <w:sz w:val="18"/>
                <w:szCs w:val="18"/>
              </w:rPr>
              <w:t>D.</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Medida de satisfacción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_Toc132133948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80</w:t>
            </w:r>
            <w:r w:rsidR="00297233" w:rsidRPr="00297233">
              <w:rPr>
                <w:rFonts w:ascii="Verdana" w:hAnsi="Verdana"/>
                <w:noProof/>
                <w:webHidden/>
                <w:sz w:val="18"/>
                <w:szCs w:val="18"/>
              </w:rPr>
              <w:fldChar w:fldCharType="end"/>
            </w:r>
          </w:hyperlink>
        </w:p>
        <w:p w14:paraId="7B237BCA" w14:textId="55DB470F" w:rsidR="00297233" w:rsidRPr="00297233" w:rsidRDefault="00036BEE" w:rsidP="00297233">
          <w:pPr>
            <w:pStyle w:val="TDC2"/>
            <w:rPr>
              <w:rFonts w:ascii="Verdana" w:eastAsiaTheme="minorEastAsia" w:hAnsi="Verdana" w:cstheme="minorBidi"/>
              <w:noProof/>
              <w:sz w:val="18"/>
              <w:szCs w:val="18"/>
              <w:lang w:val="es-CR"/>
            </w:rPr>
          </w:pPr>
          <w:hyperlink w:anchor="_Toc132133949" w:history="1">
            <w:r w:rsidR="00297233" w:rsidRPr="00297233">
              <w:rPr>
                <w:rStyle w:val="Hipervnculo"/>
                <w:rFonts w:ascii="Verdana" w:hAnsi="Verdana"/>
                <w:i/>
                <w:noProof/>
                <w:sz w:val="18"/>
                <w:szCs w:val="18"/>
              </w:rPr>
              <w:t>E.</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Medidas de rehabilitación</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_Toc132133949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80</w:t>
            </w:r>
            <w:r w:rsidR="00297233" w:rsidRPr="00297233">
              <w:rPr>
                <w:rFonts w:ascii="Verdana" w:hAnsi="Verdana"/>
                <w:noProof/>
                <w:webHidden/>
                <w:sz w:val="18"/>
                <w:szCs w:val="18"/>
              </w:rPr>
              <w:fldChar w:fldCharType="end"/>
            </w:r>
          </w:hyperlink>
        </w:p>
        <w:p w14:paraId="1B50DC9C" w14:textId="7283C0B1" w:rsidR="00297233" w:rsidRPr="00297233" w:rsidRDefault="00036BEE" w:rsidP="00297233">
          <w:pPr>
            <w:pStyle w:val="TDC2"/>
            <w:rPr>
              <w:rFonts w:ascii="Verdana" w:eastAsiaTheme="minorEastAsia" w:hAnsi="Verdana" w:cstheme="minorBidi"/>
              <w:noProof/>
              <w:sz w:val="18"/>
              <w:szCs w:val="18"/>
              <w:lang w:val="es-CR"/>
            </w:rPr>
          </w:pPr>
          <w:hyperlink w:anchor="_Toc132133950" w:history="1">
            <w:r w:rsidR="00297233" w:rsidRPr="00297233">
              <w:rPr>
                <w:rStyle w:val="Hipervnculo"/>
                <w:rFonts w:ascii="Verdana" w:hAnsi="Verdana"/>
                <w:i/>
                <w:noProof/>
                <w:sz w:val="18"/>
                <w:szCs w:val="18"/>
              </w:rPr>
              <w:t>F.</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Otras Medidas solicitadas</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_Toc132133950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81</w:t>
            </w:r>
            <w:r w:rsidR="00297233" w:rsidRPr="00297233">
              <w:rPr>
                <w:rFonts w:ascii="Verdana" w:hAnsi="Verdana"/>
                <w:noProof/>
                <w:webHidden/>
                <w:sz w:val="18"/>
                <w:szCs w:val="18"/>
              </w:rPr>
              <w:fldChar w:fldCharType="end"/>
            </w:r>
          </w:hyperlink>
        </w:p>
        <w:p w14:paraId="082C19A1" w14:textId="41447AA2" w:rsidR="00297233" w:rsidRPr="00297233" w:rsidRDefault="00036BEE" w:rsidP="00297233">
          <w:pPr>
            <w:pStyle w:val="TDC2"/>
            <w:rPr>
              <w:rFonts w:ascii="Verdana" w:eastAsiaTheme="minorEastAsia" w:hAnsi="Verdana" w:cstheme="minorBidi"/>
              <w:noProof/>
              <w:sz w:val="18"/>
              <w:szCs w:val="18"/>
              <w:lang w:val="es-CR"/>
            </w:rPr>
          </w:pPr>
          <w:hyperlink w:anchor="_Toc132133951" w:history="1">
            <w:r w:rsidR="00297233" w:rsidRPr="00297233">
              <w:rPr>
                <w:rStyle w:val="Hipervnculo"/>
                <w:rFonts w:ascii="Verdana" w:hAnsi="Verdana"/>
                <w:i/>
                <w:noProof/>
                <w:sz w:val="18"/>
                <w:szCs w:val="18"/>
              </w:rPr>
              <w:t>G.</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Indemnizaciones compensatorias</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_Toc132133951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82</w:t>
            </w:r>
            <w:r w:rsidR="00297233" w:rsidRPr="00297233">
              <w:rPr>
                <w:rFonts w:ascii="Verdana" w:hAnsi="Verdana"/>
                <w:noProof/>
                <w:webHidden/>
                <w:sz w:val="18"/>
                <w:szCs w:val="18"/>
              </w:rPr>
              <w:fldChar w:fldCharType="end"/>
            </w:r>
          </w:hyperlink>
        </w:p>
        <w:p w14:paraId="1EDFD782" w14:textId="4BCCB266" w:rsidR="00297233" w:rsidRPr="00297233" w:rsidRDefault="00036BEE" w:rsidP="00297233">
          <w:pPr>
            <w:pStyle w:val="TDC2"/>
            <w:rPr>
              <w:rFonts w:ascii="Verdana" w:eastAsiaTheme="minorEastAsia" w:hAnsi="Verdana" w:cstheme="minorBidi"/>
              <w:noProof/>
              <w:sz w:val="18"/>
              <w:szCs w:val="18"/>
              <w:lang w:val="es-CR"/>
            </w:rPr>
          </w:pPr>
          <w:hyperlink w:anchor="_Toc132133952" w:history="1">
            <w:r w:rsidR="00297233" w:rsidRPr="00297233">
              <w:rPr>
                <w:rStyle w:val="Hipervnculo"/>
                <w:rFonts w:ascii="Verdana" w:hAnsi="Verdana"/>
                <w:i/>
                <w:noProof/>
                <w:sz w:val="18"/>
                <w:szCs w:val="18"/>
              </w:rPr>
              <w:t>H.</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Costas y gastos</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_Toc132133952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84</w:t>
            </w:r>
            <w:r w:rsidR="00297233" w:rsidRPr="00297233">
              <w:rPr>
                <w:rFonts w:ascii="Verdana" w:hAnsi="Verdana"/>
                <w:noProof/>
                <w:webHidden/>
                <w:sz w:val="18"/>
                <w:szCs w:val="18"/>
              </w:rPr>
              <w:fldChar w:fldCharType="end"/>
            </w:r>
          </w:hyperlink>
        </w:p>
        <w:p w14:paraId="0C5B5B8A" w14:textId="1078D72E" w:rsidR="00297233" w:rsidRPr="00297233" w:rsidRDefault="00036BEE" w:rsidP="00297233">
          <w:pPr>
            <w:pStyle w:val="TDC2"/>
            <w:rPr>
              <w:rFonts w:ascii="Verdana" w:eastAsiaTheme="minorEastAsia" w:hAnsi="Verdana" w:cstheme="minorBidi"/>
              <w:noProof/>
              <w:sz w:val="18"/>
              <w:szCs w:val="18"/>
              <w:lang w:val="es-CR"/>
            </w:rPr>
          </w:pPr>
          <w:hyperlink w:anchor="_Toc132133953" w:history="1">
            <w:r w:rsidR="00297233" w:rsidRPr="00297233">
              <w:rPr>
                <w:rStyle w:val="Hipervnculo"/>
                <w:rFonts w:ascii="Verdana" w:hAnsi="Verdana"/>
                <w:i/>
                <w:noProof/>
                <w:sz w:val="18"/>
                <w:szCs w:val="18"/>
              </w:rPr>
              <w:t>I.</w:t>
            </w:r>
            <w:r w:rsidR="00297233" w:rsidRPr="00297233">
              <w:rPr>
                <w:rFonts w:ascii="Verdana" w:eastAsiaTheme="minorEastAsia" w:hAnsi="Verdana" w:cstheme="minorBidi"/>
                <w:noProof/>
                <w:sz w:val="18"/>
                <w:szCs w:val="18"/>
                <w:lang w:val="es-CR"/>
              </w:rPr>
              <w:tab/>
            </w:r>
            <w:r w:rsidR="00297233" w:rsidRPr="00297233">
              <w:rPr>
                <w:rStyle w:val="Hipervnculo"/>
                <w:rFonts w:ascii="Verdana" w:hAnsi="Verdana"/>
                <w:i/>
                <w:noProof/>
                <w:sz w:val="18"/>
                <w:szCs w:val="18"/>
              </w:rPr>
              <w:t>Modalidad de cumplimiento de los pagos ordenados</w:t>
            </w:r>
            <w:r w:rsidR="00297233" w:rsidRPr="00297233">
              <w:rPr>
                <w:rFonts w:ascii="Verdana" w:hAnsi="Verdana"/>
                <w:noProof/>
                <w:webHidden/>
                <w:sz w:val="18"/>
                <w:szCs w:val="18"/>
              </w:rPr>
              <w:tab/>
            </w:r>
            <w:r w:rsidR="00297233" w:rsidRPr="00297233">
              <w:rPr>
                <w:rFonts w:ascii="Verdana" w:hAnsi="Verdana"/>
                <w:noProof/>
                <w:webHidden/>
                <w:sz w:val="18"/>
                <w:szCs w:val="18"/>
              </w:rPr>
              <w:fldChar w:fldCharType="begin"/>
            </w:r>
            <w:r w:rsidR="00297233" w:rsidRPr="00297233">
              <w:rPr>
                <w:rFonts w:ascii="Verdana" w:hAnsi="Verdana"/>
                <w:noProof/>
                <w:webHidden/>
                <w:sz w:val="18"/>
                <w:szCs w:val="18"/>
              </w:rPr>
              <w:instrText xml:space="preserve"> PAGEREF _Toc132133953 \h </w:instrText>
            </w:r>
            <w:r w:rsidR="00297233" w:rsidRPr="00297233">
              <w:rPr>
                <w:rFonts w:ascii="Verdana" w:hAnsi="Verdana"/>
                <w:noProof/>
                <w:webHidden/>
                <w:sz w:val="18"/>
                <w:szCs w:val="18"/>
              </w:rPr>
            </w:r>
            <w:r w:rsidR="00297233" w:rsidRPr="00297233">
              <w:rPr>
                <w:rFonts w:ascii="Verdana" w:hAnsi="Verdana"/>
                <w:noProof/>
                <w:webHidden/>
                <w:sz w:val="18"/>
                <w:szCs w:val="18"/>
              </w:rPr>
              <w:fldChar w:fldCharType="separate"/>
            </w:r>
            <w:r>
              <w:rPr>
                <w:rFonts w:ascii="Verdana" w:hAnsi="Verdana"/>
                <w:noProof/>
                <w:webHidden/>
                <w:sz w:val="18"/>
                <w:szCs w:val="18"/>
              </w:rPr>
              <w:t>85</w:t>
            </w:r>
            <w:r w:rsidR="00297233" w:rsidRPr="00297233">
              <w:rPr>
                <w:rFonts w:ascii="Verdana" w:hAnsi="Verdana"/>
                <w:noProof/>
                <w:webHidden/>
                <w:sz w:val="18"/>
                <w:szCs w:val="18"/>
              </w:rPr>
              <w:fldChar w:fldCharType="end"/>
            </w:r>
          </w:hyperlink>
        </w:p>
        <w:p w14:paraId="27D37149" w14:textId="696C3DF3" w:rsidR="00297233" w:rsidRPr="00297233" w:rsidRDefault="00036BEE" w:rsidP="00297233">
          <w:pPr>
            <w:pStyle w:val="TDC1"/>
            <w:ind w:right="49"/>
            <w:rPr>
              <w:rFonts w:ascii="Verdana" w:eastAsiaTheme="minorEastAsia" w:hAnsi="Verdana" w:cstheme="minorBidi"/>
              <w:b w:val="0"/>
              <w:noProof/>
              <w:szCs w:val="18"/>
              <w:lang w:val="es-CR"/>
            </w:rPr>
          </w:pPr>
          <w:hyperlink w:anchor="_Toc132133954" w:history="1">
            <w:r w:rsidR="00297233" w:rsidRPr="00297233">
              <w:rPr>
                <w:rStyle w:val="Hipervnculo"/>
                <w:rFonts w:ascii="Verdana" w:hAnsi="Verdana"/>
                <w:noProof/>
                <w:szCs w:val="18"/>
              </w:rPr>
              <w:t>X. PUNTOS RESOLUTIVOS</w:t>
            </w:r>
            <w:r w:rsidR="00297233" w:rsidRPr="00297233">
              <w:rPr>
                <w:rFonts w:ascii="Verdana" w:hAnsi="Verdana"/>
                <w:noProof/>
                <w:webHidden/>
                <w:szCs w:val="18"/>
              </w:rPr>
              <w:tab/>
            </w:r>
            <w:r w:rsidR="00297233" w:rsidRPr="00297233">
              <w:rPr>
                <w:rFonts w:ascii="Verdana" w:hAnsi="Verdana"/>
                <w:noProof/>
                <w:webHidden/>
                <w:szCs w:val="18"/>
              </w:rPr>
              <w:fldChar w:fldCharType="begin"/>
            </w:r>
            <w:r w:rsidR="00297233" w:rsidRPr="00297233">
              <w:rPr>
                <w:rFonts w:ascii="Verdana" w:hAnsi="Verdana"/>
                <w:noProof/>
                <w:webHidden/>
                <w:szCs w:val="18"/>
              </w:rPr>
              <w:instrText xml:space="preserve"> PAGEREF _Toc132133954 \h </w:instrText>
            </w:r>
            <w:r w:rsidR="00297233" w:rsidRPr="00297233">
              <w:rPr>
                <w:rFonts w:ascii="Verdana" w:hAnsi="Verdana"/>
                <w:noProof/>
                <w:webHidden/>
                <w:szCs w:val="18"/>
              </w:rPr>
            </w:r>
            <w:r w:rsidR="00297233" w:rsidRPr="00297233">
              <w:rPr>
                <w:rFonts w:ascii="Verdana" w:hAnsi="Verdana"/>
                <w:noProof/>
                <w:webHidden/>
                <w:szCs w:val="18"/>
              </w:rPr>
              <w:fldChar w:fldCharType="separate"/>
            </w:r>
            <w:r>
              <w:rPr>
                <w:rFonts w:ascii="Verdana" w:hAnsi="Verdana"/>
                <w:noProof/>
                <w:webHidden/>
                <w:szCs w:val="18"/>
              </w:rPr>
              <w:t>86</w:t>
            </w:r>
            <w:r w:rsidR="00297233" w:rsidRPr="00297233">
              <w:rPr>
                <w:rFonts w:ascii="Verdana" w:hAnsi="Verdana"/>
                <w:noProof/>
                <w:webHidden/>
                <w:szCs w:val="18"/>
              </w:rPr>
              <w:fldChar w:fldCharType="end"/>
            </w:r>
          </w:hyperlink>
        </w:p>
        <w:p w14:paraId="39C886D6" w14:textId="4BCF2D40" w:rsidR="00AC07B6" w:rsidRPr="00297233" w:rsidRDefault="007914C4" w:rsidP="00351298">
          <w:pPr>
            <w:tabs>
              <w:tab w:val="right" w:leader="dot" w:pos="10065"/>
            </w:tabs>
            <w:rPr>
              <w:rFonts w:ascii="Verdana" w:hAnsi="Verdana"/>
              <w:sz w:val="18"/>
              <w:szCs w:val="18"/>
            </w:rPr>
          </w:pPr>
          <w:r w:rsidRPr="00297233">
            <w:rPr>
              <w:rFonts w:ascii="Verdana" w:hAnsi="Verdana"/>
              <w:b/>
              <w:bCs/>
              <w:sz w:val="18"/>
              <w:szCs w:val="18"/>
            </w:rPr>
            <w:fldChar w:fldCharType="end"/>
          </w:r>
        </w:p>
      </w:sdtContent>
    </w:sdt>
    <w:p w14:paraId="5E392A73" w14:textId="65841BF7" w:rsidR="00F807E5" w:rsidRPr="00351298" w:rsidRDefault="00FC2BD9" w:rsidP="00F807E5">
      <w:pPr>
        <w:pStyle w:val="Ttulo1"/>
        <w:ind w:right="-4"/>
        <w:rPr>
          <w:rFonts w:ascii="Verdana" w:hAnsi="Verdana"/>
          <w:sz w:val="20"/>
          <w:lang w:val="es-ES_tradnl"/>
        </w:rPr>
      </w:pPr>
      <w:r w:rsidRPr="00351298">
        <w:rPr>
          <w:rFonts w:ascii="Verdana" w:hAnsi="Verdana"/>
          <w:sz w:val="18"/>
          <w:szCs w:val="18"/>
        </w:rPr>
        <w:br w:type="page"/>
      </w:r>
      <w:bookmarkStart w:id="7" w:name="_Toc132133878"/>
      <w:r w:rsidR="00C6683F" w:rsidRPr="00351298">
        <w:rPr>
          <w:rFonts w:ascii="Verdana" w:hAnsi="Verdana"/>
          <w:sz w:val="20"/>
          <w:lang w:val="es-ES_tradnl"/>
        </w:rPr>
        <w:lastRenderedPageBreak/>
        <w:t>I</w:t>
      </w:r>
      <w:r w:rsidR="00C6683F" w:rsidRPr="00351298">
        <w:rPr>
          <w:rFonts w:ascii="Verdana" w:hAnsi="Verdana"/>
          <w:color w:val="FDE9D9" w:themeColor="accent6" w:themeTint="33"/>
          <w:sz w:val="20"/>
          <w:lang w:val="es-ES_tradnl"/>
        </w:rPr>
        <w:t>.</w:t>
      </w:r>
      <w:r w:rsidR="00C6683F" w:rsidRPr="00351298">
        <w:rPr>
          <w:rFonts w:ascii="Verdana" w:hAnsi="Verdana"/>
          <w:sz w:val="20"/>
          <w:lang w:val="es-ES_tradnl"/>
        </w:rPr>
        <w:br/>
      </w:r>
      <w:r w:rsidR="009569E6" w:rsidRPr="00351298">
        <w:rPr>
          <w:rFonts w:ascii="Verdana" w:hAnsi="Verdana"/>
          <w:sz w:val="20"/>
          <w:lang w:val="es-ES_tradnl"/>
        </w:rPr>
        <w:t>INTRODUCCIÓN DE LA CAUSA Y OBJETO DE LA CONTROVERSIA</w:t>
      </w:r>
      <w:bookmarkEnd w:id="0"/>
      <w:bookmarkEnd w:id="1"/>
      <w:bookmarkEnd w:id="2"/>
      <w:bookmarkEnd w:id="3"/>
      <w:bookmarkEnd w:id="4"/>
      <w:bookmarkEnd w:id="5"/>
      <w:bookmarkEnd w:id="6"/>
      <w:bookmarkEnd w:id="7"/>
    </w:p>
    <w:p w14:paraId="591BD2DA" w14:textId="6F73ED6E" w:rsidR="00BD41B0" w:rsidRPr="009D520B" w:rsidRDefault="00BD41B0" w:rsidP="4650A6C9">
      <w:pPr>
        <w:pStyle w:val="Prrafodelista"/>
        <w:numPr>
          <w:ilvl w:val="0"/>
          <w:numId w:val="2"/>
        </w:numPr>
        <w:spacing w:before="120" w:after="120"/>
        <w:ind w:left="0" w:right="-6" w:firstLine="0"/>
        <w:jc w:val="both"/>
        <w:rPr>
          <w:rFonts w:ascii="Verdana" w:hAnsi="Verdana"/>
          <w:sz w:val="20"/>
          <w:szCs w:val="20"/>
        </w:rPr>
      </w:pPr>
      <w:bookmarkStart w:id="8" w:name="_Ref363651855"/>
      <w:r w:rsidRPr="009D520B">
        <w:rPr>
          <w:rFonts w:ascii="Verdana" w:hAnsi="Verdana"/>
          <w:i/>
          <w:sz w:val="20"/>
          <w:szCs w:val="20"/>
        </w:rPr>
        <w:t>El caso sometido a la Corte.</w:t>
      </w:r>
      <w:r w:rsidRPr="009D520B">
        <w:rPr>
          <w:rFonts w:ascii="Verdana" w:hAnsi="Verdana"/>
          <w:sz w:val="20"/>
          <w:szCs w:val="20"/>
        </w:rPr>
        <w:t xml:space="preserve"> – </w:t>
      </w:r>
      <w:r w:rsidR="0044174B" w:rsidRPr="009D520B">
        <w:rPr>
          <w:rFonts w:ascii="Verdana" w:hAnsi="Verdana"/>
          <w:sz w:val="20"/>
          <w:szCs w:val="20"/>
        </w:rPr>
        <w:t>El 6 de mayo de 2021 la Comisión Interamericana de Derechos Humanos (en adelante “la Comisión Interamericana” o “la Comisión”) sometió a la jurisdicción de la Corte el caso “Daniel García Rodríguez y Reyes Alpízar Ort</w:t>
      </w:r>
      <w:r w:rsidR="007C78FA" w:rsidRPr="009D520B">
        <w:rPr>
          <w:rFonts w:ascii="Verdana" w:hAnsi="Verdana"/>
          <w:sz w:val="20"/>
          <w:szCs w:val="20"/>
        </w:rPr>
        <w:t>i</w:t>
      </w:r>
      <w:r w:rsidR="0044174B" w:rsidRPr="009D520B">
        <w:rPr>
          <w:rFonts w:ascii="Verdana" w:hAnsi="Verdana"/>
          <w:sz w:val="20"/>
          <w:szCs w:val="20"/>
        </w:rPr>
        <w:t xml:space="preserve">z respecto de los </w:t>
      </w:r>
      <w:r w:rsidR="0044174B" w:rsidRPr="009D520B">
        <w:rPr>
          <w:rFonts w:ascii="Verdana" w:eastAsiaTheme="minorHAnsi" w:hAnsi="Verdana" w:cs="Verdana"/>
          <w:sz w:val="20"/>
          <w:szCs w:val="20"/>
          <w:lang w:eastAsia="en-US"/>
        </w:rPr>
        <w:t>Estados Unidos Mexicanos” (en adelante “el Estado” o “México”). La Comisión indicó que el caso se relaciona</w:t>
      </w:r>
      <w:r w:rsidR="006C7EDB" w:rsidRPr="009D520B">
        <w:rPr>
          <w:rFonts w:ascii="Verdana" w:eastAsiaTheme="minorHAnsi" w:hAnsi="Verdana" w:cs="Verdana"/>
          <w:sz w:val="20"/>
          <w:szCs w:val="20"/>
          <w:lang w:eastAsia="en-US"/>
        </w:rPr>
        <w:t xml:space="preserve"> </w:t>
      </w:r>
      <w:r w:rsidR="0044174B" w:rsidRPr="009D520B">
        <w:rPr>
          <w:rFonts w:ascii="Verdana" w:eastAsiaTheme="minorHAnsi" w:hAnsi="Verdana" w:cs="Verdana"/>
          <w:sz w:val="20"/>
          <w:szCs w:val="20"/>
          <w:lang w:eastAsia="en-US"/>
        </w:rPr>
        <w:t>con la responsabilidad internacional del Estado por las alegadas torturas, violaciones a las garantías judiciales, a la presunción de inocencia y a la libertad personal en contra de Daniel García Rodríguez y Reyes Alpízar Ortiz, quienes permanecieron en prisión preventiva por más de 17 años. Alegó que habrían sido detenid</w:t>
      </w:r>
      <w:r w:rsidR="000076C6">
        <w:rPr>
          <w:rFonts w:ascii="Verdana" w:eastAsiaTheme="minorHAnsi" w:hAnsi="Verdana" w:cs="Verdana"/>
          <w:sz w:val="20"/>
          <w:szCs w:val="20"/>
          <w:lang w:eastAsia="en-US"/>
        </w:rPr>
        <w:t>o</w:t>
      </w:r>
      <w:r w:rsidR="0044174B" w:rsidRPr="009D520B">
        <w:rPr>
          <w:rFonts w:ascii="Verdana" w:eastAsiaTheme="minorHAnsi" w:hAnsi="Verdana" w:cs="Verdana"/>
          <w:sz w:val="20"/>
          <w:szCs w:val="20"/>
          <w:lang w:eastAsia="en-US"/>
        </w:rPr>
        <w:t xml:space="preserve">s sin una orden judicial expedida con anterioridad y que solo conocieron formalmente las razones de </w:t>
      </w:r>
      <w:r w:rsidR="000076C6">
        <w:rPr>
          <w:rFonts w:ascii="Verdana" w:eastAsiaTheme="minorHAnsi" w:hAnsi="Verdana" w:cs="Verdana"/>
          <w:sz w:val="20"/>
          <w:szCs w:val="20"/>
          <w:lang w:eastAsia="en-US"/>
        </w:rPr>
        <w:t>su detención</w:t>
      </w:r>
      <w:r w:rsidR="002E5A46">
        <w:rPr>
          <w:rFonts w:ascii="Verdana" w:eastAsiaTheme="minorHAnsi" w:hAnsi="Verdana" w:cs="Verdana"/>
          <w:sz w:val="20"/>
          <w:szCs w:val="20"/>
          <w:lang w:eastAsia="en-US"/>
        </w:rPr>
        <w:t xml:space="preserve"> </w:t>
      </w:r>
      <w:r w:rsidR="0044174B" w:rsidRPr="009D520B">
        <w:rPr>
          <w:rFonts w:ascii="Verdana" w:eastAsiaTheme="minorHAnsi" w:hAnsi="Verdana" w:cs="Verdana"/>
          <w:sz w:val="20"/>
          <w:szCs w:val="20"/>
          <w:lang w:eastAsia="en-US"/>
        </w:rPr>
        <w:t xml:space="preserve">cuando fueron puestos a disposición de un juez, respectivamente </w:t>
      </w:r>
      <w:r w:rsidR="00395596">
        <w:rPr>
          <w:rFonts w:ascii="Verdana" w:eastAsiaTheme="minorHAnsi" w:hAnsi="Verdana" w:cs="Verdana"/>
          <w:sz w:val="20"/>
          <w:szCs w:val="20"/>
          <w:lang w:eastAsia="en-US"/>
        </w:rPr>
        <w:t>47</w:t>
      </w:r>
      <w:r w:rsidR="0044174B" w:rsidRPr="009D520B">
        <w:rPr>
          <w:rFonts w:ascii="Verdana" w:eastAsiaTheme="minorHAnsi" w:hAnsi="Verdana" w:cs="Verdana"/>
          <w:sz w:val="20"/>
          <w:szCs w:val="20"/>
          <w:lang w:eastAsia="en-US"/>
        </w:rPr>
        <w:t xml:space="preserve"> y 34 días luego de su privación de libertad. Además, estableció que la aplicación de la figura del arraigo constitu</w:t>
      </w:r>
      <w:r w:rsidR="002D0744" w:rsidRPr="009D520B">
        <w:rPr>
          <w:rFonts w:ascii="Verdana" w:eastAsiaTheme="minorHAnsi" w:hAnsi="Verdana" w:cs="Verdana"/>
          <w:sz w:val="20"/>
          <w:szCs w:val="20"/>
          <w:lang w:eastAsia="en-US"/>
        </w:rPr>
        <w:t>yó</w:t>
      </w:r>
      <w:r w:rsidR="0044174B" w:rsidRPr="009D520B">
        <w:rPr>
          <w:rFonts w:ascii="Verdana" w:eastAsiaTheme="minorHAnsi" w:hAnsi="Verdana" w:cs="Verdana"/>
          <w:sz w:val="20"/>
          <w:szCs w:val="20"/>
          <w:lang w:eastAsia="en-US"/>
        </w:rPr>
        <w:t xml:space="preserve"> una medida de carácter punitivo y no cautelar, y por lo tanto una privación de la libertad arbitraria y violatoria </w:t>
      </w:r>
      <w:r w:rsidR="007E64C1" w:rsidRPr="009D520B">
        <w:rPr>
          <w:rFonts w:ascii="Verdana" w:eastAsiaTheme="minorHAnsi" w:hAnsi="Verdana" w:cs="Verdana"/>
          <w:sz w:val="20"/>
          <w:szCs w:val="20"/>
          <w:lang w:eastAsia="en-US"/>
        </w:rPr>
        <w:t>de la</w:t>
      </w:r>
      <w:r w:rsidR="0044174B" w:rsidRPr="009D520B">
        <w:rPr>
          <w:rFonts w:ascii="Verdana" w:eastAsiaTheme="minorHAnsi" w:hAnsi="Verdana" w:cs="Verdana"/>
          <w:sz w:val="20"/>
          <w:szCs w:val="20"/>
          <w:lang w:eastAsia="en-US"/>
        </w:rPr>
        <w:t xml:space="preserve"> presunción de inocencia. Asimismo, </w:t>
      </w:r>
      <w:r w:rsidR="007E64C1" w:rsidRPr="009D520B">
        <w:rPr>
          <w:rFonts w:ascii="Verdana" w:eastAsiaTheme="minorHAnsi" w:hAnsi="Verdana" w:cs="Verdana"/>
          <w:sz w:val="20"/>
          <w:szCs w:val="20"/>
          <w:lang w:eastAsia="en-US"/>
        </w:rPr>
        <w:t xml:space="preserve">arguyó </w:t>
      </w:r>
      <w:r w:rsidR="0044174B" w:rsidRPr="009D520B">
        <w:rPr>
          <w:rFonts w:ascii="Verdana" w:eastAsiaTheme="minorHAnsi" w:hAnsi="Verdana" w:cs="Verdana"/>
          <w:sz w:val="20"/>
          <w:szCs w:val="20"/>
          <w:lang w:eastAsia="en-US"/>
        </w:rPr>
        <w:t xml:space="preserve">que la prisión preventiva posterior al arraigo, la cual se extendió por </w:t>
      </w:r>
      <w:r w:rsidR="00996C66">
        <w:rPr>
          <w:rFonts w:ascii="Verdana" w:eastAsiaTheme="minorHAnsi" w:hAnsi="Verdana" w:cs="Verdana"/>
          <w:sz w:val="20"/>
          <w:szCs w:val="20"/>
          <w:lang w:eastAsia="en-US"/>
        </w:rPr>
        <w:t>17</w:t>
      </w:r>
      <w:r w:rsidR="0044174B" w:rsidRPr="009D520B">
        <w:rPr>
          <w:rFonts w:ascii="Verdana" w:eastAsiaTheme="minorHAnsi" w:hAnsi="Verdana" w:cs="Verdana"/>
          <w:sz w:val="20"/>
          <w:szCs w:val="20"/>
          <w:lang w:eastAsia="en-US"/>
        </w:rPr>
        <w:t xml:space="preserve"> años, resultó arbitraria. Del mismo modo,</w:t>
      </w:r>
      <w:r w:rsidR="4650A6C9" w:rsidRPr="4650A6C9">
        <w:rPr>
          <w:rFonts w:ascii="Verdana" w:eastAsiaTheme="minorEastAsia" w:hAnsi="Verdana" w:cs="Verdana"/>
          <w:sz w:val="20"/>
          <w:szCs w:val="20"/>
          <w:lang w:eastAsia="en-US"/>
        </w:rPr>
        <w:t xml:space="preserve"> </w:t>
      </w:r>
      <w:r w:rsidR="002C1A9B">
        <w:rPr>
          <w:rFonts w:ascii="Verdana" w:eastAsiaTheme="minorEastAsia" w:hAnsi="Verdana" w:cs="Verdana"/>
          <w:sz w:val="20"/>
          <w:szCs w:val="20"/>
          <w:lang w:eastAsia="en-US"/>
        </w:rPr>
        <w:t>agregó</w:t>
      </w:r>
      <w:r w:rsidR="4650A6C9" w:rsidRPr="4650A6C9">
        <w:rPr>
          <w:rFonts w:ascii="Verdana" w:eastAsiaTheme="minorEastAsia" w:hAnsi="Verdana" w:cs="Verdana"/>
          <w:sz w:val="20"/>
          <w:szCs w:val="20"/>
          <w:lang w:eastAsia="en-US"/>
        </w:rPr>
        <w:t xml:space="preserve"> que</w:t>
      </w:r>
      <w:r w:rsidR="0044174B" w:rsidRPr="009D520B">
        <w:rPr>
          <w:rFonts w:ascii="Verdana" w:eastAsiaTheme="minorHAnsi" w:hAnsi="Verdana" w:cs="Verdana"/>
          <w:sz w:val="20"/>
          <w:szCs w:val="20"/>
          <w:lang w:eastAsia="en-US"/>
        </w:rPr>
        <w:t xml:space="preserve"> el Estado habría violado la regla de exclusión de prueba obtenida bajo coacción</w:t>
      </w:r>
      <w:r w:rsidR="00A915AA" w:rsidRPr="009D520B">
        <w:rPr>
          <w:rFonts w:ascii="Verdana" w:eastAsiaTheme="minorHAnsi" w:hAnsi="Verdana" w:cs="Verdana"/>
          <w:sz w:val="20"/>
          <w:szCs w:val="20"/>
          <w:lang w:eastAsia="en-US"/>
        </w:rPr>
        <w:t>,</w:t>
      </w:r>
      <w:r w:rsidR="002D0744" w:rsidRPr="009D520B">
        <w:rPr>
          <w:rFonts w:ascii="Verdana" w:eastAsiaTheme="minorHAnsi" w:hAnsi="Verdana" w:cs="Verdana"/>
          <w:sz w:val="20"/>
          <w:szCs w:val="20"/>
          <w:lang w:eastAsia="en-US"/>
        </w:rPr>
        <w:t xml:space="preserve"> </w:t>
      </w:r>
      <w:r w:rsidR="0044174B" w:rsidRPr="009D520B">
        <w:rPr>
          <w:rFonts w:ascii="Verdana" w:eastAsiaTheme="minorHAnsi" w:hAnsi="Verdana" w:cs="Verdana"/>
          <w:sz w:val="20"/>
          <w:szCs w:val="20"/>
          <w:lang w:eastAsia="en-US"/>
        </w:rPr>
        <w:t xml:space="preserve">el derecho de defensa, el principio de presunción de inocencia, así como el principio del plazo razonable </w:t>
      </w:r>
      <w:r w:rsidR="00A915AA" w:rsidRPr="009D520B">
        <w:rPr>
          <w:rFonts w:ascii="Verdana" w:eastAsiaTheme="minorHAnsi" w:hAnsi="Verdana" w:cs="Verdana"/>
          <w:sz w:val="20"/>
          <w:szCs w:val="20"/>
          <w:lang w:eastAsia="en-US"/>
        </w:rPr>
        <w:t>en el marco del proceso penal.</w:t>
      </w:r>
      <w:r w:rsidR="0044174B" w:rsidRPr="009D520B">
        <w:rPr>
          <w:rFonts w:ascii="Verdana" w:eastAsiaTheme="minorHAnsi" w:hAnsi="Verdana" w:cs="Verdana"/>
          <w:sz w:val="20"/>
          <w:szCs w:val="20"/>
          <w:lang w:eastAsia="en-US"/>
        </w:rPr>
        <w:t xml:space="preserve"> </w:t>
      </w:r>
      <w:r w:rsidR="002A78C2">
        <w:rPr>
          <w:rFonts w:ascii="Verdana" w:eastAsiaTheme="minorHAnsi" w:hAnsi="Verdana" w:cs="Verdana"/>
          <w:sz w:val="20"/>
          <w:szCs w:val="20"/>
          <w:lang w:eastAsia="en-US"/>
        </w:rPr>
        <w:br/>
      </w:r>
    </w:p>
    <w:p w14:paraId="17DE5AD1" w14:textId="1EB32193" w:rsidR="00070CFE" w:rsidRPr="00351298" w:rsidRDefault="006F5C6B" w:rsidP="005B635B">
      <w:pPr>
        <w:pStyle w:val="Prrafodelista"/>
        <w:numPr>
          <w:ilvl w:val="0"/>
          <w:numId w:val="2"/>
        </w:numPr>
        <w:spacing w:before="120" w:after="120"/>
        <w:ind w:left="0" w:right="-6" w:firstLine="0"/>
        <w:contextualSpacing w:val="0"/>
        <w:jc w:val="both"/>
        <w:rPr>
          <w:rFonts w:ascii="Verdana" w:hAnsi="Verdana"/>
          <w:sz w:val="20"/>
          <w:szCs w:val="20"/>
        </w:rPr>
      </w:pPr>
      <w:r w:rsidRPr="00351298">
        <w:rPr>
          <w:rFonts w:ascii="Verdana" w:hAnsi="Verdana"/>
          <w:i/>
          <w:sz w:val="20"/>
          <w:szCs w:val="20"/>
        </w:rPr>
        <w:t xml:space="preserve">Trámite ante la Comisión. </w:t>
      </w:r>
      <w:r w:rsidRPr="00351298">
        <w:rPr>
          <w:rFonts w:ascii="Verdana" w:hAnsi="Verdana"/>
          <w:sz w:val="20"/>
          <w:szCs w:val="20"/>
        </w:rPr>
        <w:t>– El trámite ante la Comisión fue el siguiente:</w:t>
      </w:r>
      <w:bookmarkEnd w:id="8"/>
    </w:p>
    <w:p w14:paraId="484EC7BC" w14:textId="0CAEAB71" w:rsidR="006F5C6B" w:rsidRPr="00351298" w:rsidRDefault="006F5C6B" w:rsidP="005B635B">
      <w:pPr>
        <w:pStyle w:val="Prrafodelista"/>
        <w:numPr>
          <w:ilvl w:val="1"/>
          <w:numId w:val="1"/>
        </w:numPr>
        <w:spacing w:before="120" w:after="120"/>
        <w:ind w:left="284" w:right="-6" w:firstLine="0"/>
        <w:contextualSpacing w:val="0"/>
        <w:jc w:val="both"/>
        <w:rPr>
          <w:rFonts w:ascii="Verdana" w:hAnsi="Verdana"/>
          <w:sz w:val="20"/>
          <w:szCs w:val="20"/>
        </w:rPr>
      </w:pPr>
      <w:r w:rsidRPr="00351298">
        <w:rPr>
          <w:rFonts w:ascii="Verdana" w:hAnsi="Verdana"/>
          <w:i/>
          <w:sz w:val="20"/>
          <w:szCs w:val="20"/>
        </w:rPr>
        <w:t>Petición. –</w:t>
      </w:r>
      <w:r w:rsidRPr="00351298">
        <w:rPr>
          <w:rFonts w:ascii="Verdana" w:hAnsi="Verdana"/>
          <w:sz w:val="20"/>
          <w:szCs w:val="20"/>
        </w:rPr>
        <w:t xml:space="preserve"> </w:t>
      </w:r>
      <w:r w:rsidR="005935A4" w:rsidRPr="00351298">
        <w:rPr>
          <w:rFonts w:ascii="Verdana" w:hAnsi="Verdana"/>
          <w:sz w:val="20"/>
          <w:szCs w:val="20"/>
        </w:rPr>
        <w:t xml:space="preserve">El </w:t>
      </w:r>
      <w:r w:rsidR="00B47B30" w:rsidRPr="00351298">
        <w:rPr>
          <w:rFonts w:ascii="Verdana" w:hAnsi="Verdana"/>
          <w:sz w:val="20"/>
          <w:szCs w:val="20"/>
        </w:rPr>
        <w:t>16 de febrero y 17 de abril de 2007</w:t>
      </w:r>
      <w:r w:rsidR="005935A4" w:rsidRPr="00351298">
        <w:rPr>
          <w:rFonts w:ascii="Verdana" w:hAnsi="Verdana"/>
          <w:sz w:val="20"/>
          <w:szCs w:val="20"/>
        </w:rPr>
        <w:t xml:space="preserve">, la Comisión recibió la petición inicial, </w:t>
      </w:r>
      <w:r w:rsidR="007A2D0F" w:rsidRPr="00351298">
        <w:rPr>
          <w:rFonts w:ascii="Verdana" w:hAnsi="Verdana"/>
          <w:sz w:val="20"/>
          <w:szCs w:val="20"/>
        </w:rPr>
        <w:t xml:space="preserve">la cual fue </w:t>
      </w:r>
      <w:r w:rsidR="005935A4" w:rsidRPr="00351298">
        <w:rPr>
          <w:rFonts w:ascii="Verdana" w:hAnsi="Verdana"/>
          <w:sz w:val="20"/>
          <w:szCs w:val="20"/>
        </w:rPr>
        <w:t xml:space="preserve">presentada </w:t>
      </w:r>
      <w:r w:rsidR="00461694" w:rsidRPr="00351298">
        <w:rPr>
          <w:rFonts w:ascii="Verdana" w:hAnsi="Verdana"/>
          <w:sz w:val="20"/>
          <w:szCs w:val="20"/>
        </w:rPr>
        <w:t xml:space="preserve">por </w:t>
      </w:r>
      <w:r w:rsidR="00B47B30" w:rsidRPr="00351298">
        <w:rPr>
          <w:rFonts w:ascii="Verdana" w:hAnsi="Verdana"/>
          <w:sz w:val="20"/>
          <w:szCs w:val="20"/>
        </w:rPr>
        <w:t>Daniel García Rodríguez</w:t>
      </w:r>
      <w:r w:rsidR="00053304">
        <w:rPr>
          <w:rStyle w:val="Refdenotaalpie"/>
          <w:rFonts w:ascii="Verdana" w:hAnsi="Verdana"/>
          <w:sz w:val="20"/>
        </w:rPr>
        <w:footnoteReference w:id="3"/>
      </w:r>
      <w:r w:rsidR="00B47B30" w:rsidRPr="00351298">
        <w:rPr>
          <w:rFonts w:ascii="Verdana" w:hAnsi="Verdana"/>
          <w:sz w:val="20"/>
          <w:szCs w:val="20"/>
        </w:rPr>
        <w:t xml:space="preserve">. </w:t>
      </w:r>
    </w:p>
    <w:p w14:paraId="11515FE6" w14:textId="69B5A3F5" w:rsidR="005D7A49" w:rsidRPr="009D520B" w:rsidRDefault="005935A4" w:rsidP="005B635B">
      <w:pPr>
        <w:pStyle w:val="Prrafodelista"/>
        <w:numPr>
          <w:ilvl w:val="1"/>
          <w:numId w:val="1"/>
        </w:numPr>
        <w:spacing w:before="120" w:after="120"/>
        <w:ind w:left="284" w:right="-6" w:firstLine="0"/>
        <w:contextualSpacing w:val="0"/>
        <w:jc w:val="both"/>
        <w:rPr>
          <w:rFonts w:ascii="Verdana" w:hAnsi="Verdana"/>
          <w:sz w:val="20"/>
          <w:szCs w:val="20"/>
        </w:rPr>
      </w:pPr>
      <w:r w:rsidRPr="00351298">
        <w:rPr>
          <w:rFonts w:ascii="Verdana" w:hAnsi="Verdana"/>
          <w:i/>
          <w:sz w:val="20"/>
          <w:szCs w:val="20"/>
          <w:lang w:val="es-ES"/>
        </w:rPr>
        <w:t xml:space="preserve">Informes de Admisibilidad y de Fondo. – </w:t>
      </w:r>
      <w:r w:rsidRPr="00351298">
        <w:rPr>
          <w:rFonts w:ascii="Verdana" w:hAnsi="Verdana"/>
          <w:sz w:val="20"/>
          <w:szCs w:val="20"/>
          <w:lang w:val="es-ES"/>
        </w:rPr>
        <w:t xml:space="preserve">El </w:t>
      </w:r>
      <w:r w:rsidR="00461694" w:rsidRPr="00351298">
        <w:rPr>
          <w:rFonts w:ascii="Verdana" w:hAnsi="Verdana"/>
          <w:sz w:val="20"/>
          <w:szCs w:val="20"/>
          <w:lang w:val="es-ES"/>
        </w:rPr>
        <w:t>2</w:t>
      </w:r>
      <w:r w:rsidR="00B47B30" w:rsidRPr="00351298">
        <w:rPr>
          <w:rFonts w:ascii="Verdana" w:hAnsi="Verdana"/>
          <w:sz w:val="20"/>
          <w:szCs w:val="20"/>
          <w:lang w:val="es-ES"/>
        </w:rPr>
        <w:t>5</w:t>
      </w:r>
      <w:r w:rsidR="00461694" w:rsidRPr="00351298">
        <w:rPr>
          <w:rFonts w:ascii="Verdana" w:hAnsi="Verdana"/>
          <w:sz w:val="20"/>
          <w:szCs w:val="20"/>
          <w:lang w:val="es-ES"/>
        </w:rPr>
        <w:t xml:space="preserve"> de </w:t>
      </w:r>
      <w:r w:rsidR="00B47B30" w:rsidRPr="00351298">
        <w:rPr>
          <w:rFonts w:ascii="Verdana" w:hAnsi="Verdana"/>
          <w:sz w:val="20"/>
          <w:szCs w:val="20"/>
          <w:lang w:val="es-ES"/>
        </w:rPr>
        <w:t>mayo</w:t>
      </w:r>
      <w:r w:rsidR="00461694" w:rsidRPr="00351298">
        <w:rPr>
          <w:rFonts w:ascii="Verdana" w:hAnsi="Verdana"/>
          <w:sz w:val="20"/>
          <w:szCs w:val="20"/>
          <w:lang w:val="es-ES"/>
        </w:rPr>
        <w:t xml:space="preserve"> de </w:t>
      </w:r>
      <w:r w:rsidR="00B47B30" w:rsidRPr="00351298">
        <w:rPr>
          <w:rFonts w:ascii="Verdana" w:hAnsi="Verdana"/>
          <w:sz w:val="20"/>
          <w:szCs w:val="20"/>
          <w:lang w:val="es-ES"/>
        </w:rPr>
        <w:t>2017</w:t>
      </w:r>
      <w:r w:rsidRPr="00351298">
        <w:rPr>
          <w:rFonts w:ascii="Verdana" w:hAnsi="Verdana"/>
          <w:sz w:val="20"/>
          <w:szCs w:val="20"/>
          <w:lang w:val="es-ES"/>
        </w:rPr>
        <w:t xml:space="preserve"> y </w:t>
      </w:r>
      <w:r w:rsidR="00461694" w:rsidRPr="00351298">
        <w:rPr>
          <w:rFonts w:ascii="Verdana" w:hAnsi="Verdana"/>
          <w:sz w:val="20"/>
          <w:szCs w:val="20"/>
          <w:lang w:val="es-ES"/>
        </w:rPr>
        <w:t xml:space="preserve">el </w:t>
      </w:r>
      <w:r w:rsidR="00437135" w:rsidRPr="00351298">
        <w:rPr>
          <w:rFonts w:ascii="Verdana" w:hAnsi="Verdana"/>
          <w:sz w:val="20"/>
          <w:szCs w:val="20"/>
          <w:lang w:val="es-ES"/>
        </w:rPr>
        <w:t xml:space="preserve">3 de marzo </w:t>
      </w:r>
      <w:r w:rsidR="00B8145C" w:rsidRPr="00351298">
        <w:rPr>
          <w:rFonts w:ascii="Verdana" w:hAnsi="Verdana"/>
          <w:sz w:val="20"/>
          <w:szCs w:val="20"/>
          <w:lang w:val="es-ES"/>
        </w:rPr>
        <w:t>de</w:t>
      </w:r>
      <w:r w:rsidR="00461694" w:rsidRPr="00351298">
        <w:rPr>
          <w:rFonts w:ascii="Verdana" w:hAnsi="Verdana"/>
          <w:sz w:val="20"/>
          <w:szCs w:val="20"/>
          <w:lang w:val="es-ES"/>
        </w:rPr>
        <w:t xml:space="preserve"> </w:t>
      </w:r>
      <w:r w:rsidR="00437135" w:rsidRPr="00351298">
        <w:rPr>
          <w:rFonts w:ascii="Verdana" w:hAnsi="Verdana"/>
          <w:sz w:val="20"/>
          <w:szCs w:val="20"/>
          <w:lang w:val="es-ES"/>
        </w:rPr>
        <w:t>2020</w:t>
      </w:r>
      <w:r w:rsidRPr="00351298">
        <w:rPr>
          <w:rFonts w:ascii="Verdana" w:hAnsi="Verdana"/>
          <w:position w:val="1"/>
          <w:sz w:val="20"/>
          <w:szCs w:val="20"/>
          <w:lang w:val="es-ES"/>
        </w:rPr>
        <w:t xml:space="preserve">, la Comisión aprobó, respectivamente, el Informe de </w:t>
      </w:r>
      <w:r w:rsidRPr="00351298">
        <w:rPr>
          <w:rFonts w:ascii="Verdana" w:hAnsi="Verdana"/>
          <w:sz w:val="20"/>
          <w:szCs w:val="20"/>
          <w:lang w:val="es-ES"/>
        </w:rPr>
        <w:t>Admisibilidad No.</w:t>
      </w:r>
      <w:r w:rsidRPr="00351298">
        <w:rPr>
          <w:rFonts w:ascii="Verdana" w:hAnsi="Verdana"/>
          <w:spacing w:val="-9"/>
          <w:sz w:val="20"/>
          <w:szCs w:val="20"/>
          <w:lang w:val="es-ES"/>
        </w:rPr>
        <w:t xml:space="preserve"> </w:t>
      </w:r>
      <w:r w:rsidR="00B8145C" w:rsidRPr="00351298">
        <w:rPr>
          <w:rFonts w:ascii="Verdana" w:hAnsi="Verdana"/>
          <w:spacing w:val="-9"/>
          <w:sz w:val="20"/>
          <w:szCs w:val="20"/>
          <w:lang w:val="es-ES"/>
        </w:rPr>
        <w:t>68</w:t>
      </w:r>
      <w:r w:rsidRPr="00351298">
        <w:rPr>
          <w:rFonts w:ascii="Verdana" w:hAnsi="Verdana"/>
          <w:sz w:val="20"/>
          <w:szCs w:val="20"/>
          <w:lang w:val="es-ES"/>
        </w:rPr>
        <w:t>/</w:t>
      </w:r>
      <w:r w:rsidR="00B8145C" w:rsidRPr="00351298">
        <w:rPr>
          <w:rFonts w:ascii="Verdana" w:hAnsi="Verdana"/>
          <w:sz w:val="20"/>
          <w:szCs w:val="20"/>
          <w:lang w:val="es-ES"/>
        </w:rPr>
        <w:t>17</w:t>
      </w:r>
      <w:r w:rsidRPr="00351298">
        <w:rPr>
          <w:rFonts w:ascii="Verdana" w:hAnsi="Verdana"/>
          <w:spacing w:val="-5"/>
          <w:sz w:val="20"/>
          <w:szCs w:val="20"/>
          <w:lang w:val="es-ES"/>
        </w:rPr>
        <w:t xml:space="preserve"> </w:t>
      </w:r>
      <w:r w:rsidRPr="00351298">
        <w:rPr>
          <w:rFonts w:ascii="Verdana" w:hAnsi="Verdana"/>
          <w:position w:val="1"/>
          <w:sz w:val="20"/>
          <w:szCs w:val="20"/>
          <w:lang w:val="es-ES"/>
        </w:rPr>
        <w:t>(en</w:t>
      </w:r>
      <w:r w:rsidRPr="00351298">
        <w:rPr>
          <w:rFonts w:ascii="Verdana" w:hAnsi="Verdana"/>
          <w:spacing w:val="-4"/>
          <w:position w:val="1"/>
          <w:sz w:val="20"/>
          <w:szCs w:val="20"/>
          <w:lang w:val="es-ES"/>
        </w:rPr>
        <w:t xml:space="preserve"> </w:t>
      </w:r>
      <w:r w:rsidRPr="00351298">
        <w:rPr>
          <w:rFonts w:ascii="Verdana" w:hAnsi="Verdana"/>
          <w:position w:val="1"/>
          <w:sz w:val="20"/>
          <w:szCs w:val="20"/>
          <w:lang w:val="es-ES"/>
        </w:rPr>
        <w:t>adelante</w:t>
      </w:r>
      <w:r w:rsidRPr="00351298">
        <w:rPr>
          <w:rFonts w:ascii="Verdana" w:hAnsi="Verdana"/>
          <w:spacing w:val="-4"/>
          <w:position w:val="1"/>
          <w:sz w:val="20"/>
          <w:szCs w:val="20"/>
          <w:lang w:val="es-ES"/>
        </w:rPr>
        <w:t xml:space="preserve"> </w:t>
      </w:r>
      <w:r w:rsidRPr="00351298">
        <w:rPr>
          <w:rFonts w:ascii="Verdana" w:hAnsi="Verdana"/>
          <w:position w:val="1"/>
          <w:sz w:val="20"/>
          <w:szCs w:val="20"/>
          <w:lang w:val="es-ES"/>
        </w:rPr>
        <w:t>“Informe</w:t>
      </w:r>
      <w:r w:rsidRPr="00351298">
        <w:rPr>
          <w:rFonts w:ascii="Verdana" w:hAnsi="Verdana"/>
          <w:spacing w:val="-5"/>
          <w:position w:val="1"/>
          <w:sz w:val="20"/>
          <w:szCs w:val="20"/>
          <w:lang w:val="es-ES"/>
        </w:rPr>
        <w:t xml:space="preserve"> </w:t>
      </w:r>
      <w:r w:rsidRPr="00351298">
        <w:rPr>
          <w:rFonts w:ascii="Verdana" w:hAnsi="Verdana"/>
          <w:position w:val="1"/>
          <w:sz w:val="20"/>
          <w:szCs w:val="20"/>
          <w:lang w:val="es-ES"/>
        </w:rPr>
        <w:t>de</w:t>
      </w:r>
      <w:r w:rsidRPr="00351298">
        <w:rPr>
          <w:rFonts w:ascii="Verdana" w:hAnsi="Verdana"/>
          <w:spacing w:val="-6"/>
          <w:position w:val="1"/>
          <w:sz w:val="20"/>
          <w:szCs w:val="20"/>
          <w:lang w:val="es-ES"/>
        </w:rPr>
        <w:t xml:space="preserve"> </w:t>
      </w:r>
      <w:r w:rsidRPr="00351298">
        <w:rPr>
          <w:rFonts w:ascii="Verdana" w:hAnsi="Verdana"/>
          <w:iCs/>
          <w:sz w:val="20"/>
          <w:szCs w:val="20"/>
          <w:lang w:val="es-ES"/>
        </w:rPr>
        <w:t>Admisibilidad</w:t>
      </w:r>
      <w:r w:rsidRPr="00351298">
        <w:rPr>
          <w:rFonts w:ascii="Verdana" w:hAnsi="Verdana"/>
          <w:position w:val="1"/>
          <w:sz w:val="20"/>
          <w:szCs w:val="20"/>
          <w:lang w:val="es-ES"/>
        </w:rPr>
        <w:t>”) en el que concluyó que la petición era admisible,</w:t>
      </w:r>
      <w:r w:rsidRPr="00351298">
        <w:rPr>
          <w:rFonts w:ascii="Verdana" w:hAnsi="Verdana"/>
          <w:spacing w:val="-6"/>
          <w:position w:val="1"/>
          <w:sz w:val="20"/>
          <w:szCs w:val="20"/>
          <w:lang w:val="es-ES"/>
        </w:rPr>
        <w:t xml:space="preserve"> </w:t>
      </w:r>
      <w:r w:rsidRPr="00351298">
        <w:rPr>
          <w:rFonts w:ascii="Verdana" w:hAnsi="Verdana"/>
          <w:position w:val="1"/>
          <w:sz w:val="20"/>
          <w:szCs w:val="20"/>
          <w:lang w:val="es-ES"/>
        </w:rPr>
        <w:t>y</w:t>
      </w:r>
      <w:r w:rsidRPr="00351298">
        <w:rPr>
          <w:rFonts w:ascii="Verdana" w:hAnsi="Verdana"/>
          <w:spacing w:val="-3"/>
          <w:position w:val="1"/>
          <w:sz w:val="20"/>
          <w:szCs w:val="20"/>
          <w:lang w:val="es-ES"/>
        </w:rPr>
        <w:t xml:space="preserve"> </w:t>
      </w:r>
      <w:r w:rsidRPr="00351298">
        <w:rPr>
          <w:rFonts w:ascii="Verdana" w:hAnsi="Verdana"/>
          <w:position w:val="1"/>
          <w:sz w:val="20"/>
          <w:szCs w:val="20"/>
          <w:lang w:val="es-ES"/>
        </w:rPr>
        <w:t>el</w:t>
      </w:r>
      <w:r w:rsidRPr="00351298">
        <w:rPr>
          <w:rFonts w:ascii="Verdana" w:hAnsi="Verdana"/>
          <w:spacing w:val="-2"/>
          <w:position w:val="1"/>
          <w:sz w:val="20"/>
          <w:szCs w:val="20"/>
          <w:lang w:val="es-ES"/>
        </w:rPr>
        <w:t xml:space="preserve"> </w:t>
      </w:r>
      <w:r w:rsidRPr="00351298">
        <w:rPr>
          <w:rFonts w:ascii="Verdana" w:hAnsi="Verdana"/>
          <w:position w:val="1"/>
          <w:sz w:val="20"/>
          <w:szCs w:val="20"/>
          <w:lang w:val="es-ES"/>
        </w:rPr>
        <w:t>Informe</w:t>
      </w:r>
      <w:r w:rsidRPr="00351298">
        <w:rPr>
          <w:rFonts w:ascii="Verdana" w:hAnsi="Verdana"/>
          <w:spacing w:val="-5"/>
          <w:position w:val="1"/>
          <w:sz w:val="20"/>
          <w:szCs w:val="20"/>
          <w:lang w:val="es-ES"/>
        </w:rPr>
        <w:t xml:space="preserve"> </w:t>
      </w:r>
      <w:r w:rsidRPr="00351298">
        <w:rPr>
          <w:rFonts w:ascii="Verdana" w:hAnsi="Verdana"/>
          <w:position w:val="1"/>
          <w:sz w:val="20"/>
          <w:szCs w:val="20"/>
          <w:lang w:val="es-ES"/>
        </w:rPr>
        <w:t>de</w:t>
      </w:r>
      <w:r w:rsidRPr="00351298">
        <w:rPr>
          <w:rFonts w:ascii="Verdana" w:hAnsi="Verdana"/>
          <w:spacing w:val="-6"/>
          <w:position w:val="1"/>
          <w:sz w:val="20"/>
          <w:szCs w:val="20"/>
          <w:lang w:val="es-ES"/>
        </w:rPr>
        <w:t xml:space="preserve"> </w:t>
      </w:r>
      <w:r w:rsidRPr="009D520B">
        <w:rPr>
          <w:rFonts w:ascii="Verdana" w:hAnsi="Verdana"/>
          <w:position w:val="1"/>
          <w:sz w:val="20"/>
          <w:szCs w:val="20"/>
          <w:lang w:val="es-ES"/>
        </w:rPr>
        <w:t>Fondo</w:t>
      </w:r>
      <w:r w:rsidRPr="009D520B">
        <w:rPr>
          <w:rFonts w:ascii="Verdana" w:hAnsi="Verdana"/>
          <w:spacing w:val="-3"/>
          <w:position w:val="1"/>
          <w:sz w:val="20"/>
          <w:szCs w:val="20"/>
          <w:lang w:val="es-ES"/>
        </w:rPr>
        <w:t xml:space="preserve"> </w:t>
      </w:r>
      <w:r w:rsidRPr="009D520B">
        <w:rPr>
          <w:rFonts w:ascii="Verdana" w:hAnsi="Verdana"/>
          <w:position w:val="1"/>
          <w:sz w:val="20"/>
          <w:szCs w:val="20"/>
          <w:lang w:val="es-ES"/>
        </w:rPr>
        <w:t>No.</w:t>
      </w:r>
      <w:r w:rsidRPr="009D520B">
        <w:rPr>
          <w:rFonts w:ascii="Verdana" w:hAnsi="Verdana"/>
          <w:spacing w:val="-5"/>
          <w:position w:val="1"/>
          <w:sz w:val="20"/>
          <w:szCs w:val="20"/>
          <w:lang w:val="es-ES"/>
        </w:rPr>
        <w:t xml:space="preserve"> </w:t>
      </w:r>
      <w:r w:rsidR="00461694" w:rsidRPr="009D520B">
        <w:rPr>
          <w:rFonts w:ascii="Verdana" w:hAnsi="Verdana"/>
          <w:position w:val="1"/>
          <w:sz w:val="20"/>
          <w:szCs w:val="20"/>
          <w:lang w:val="es-ES"/>
        </w:rPr>
        <w:t>1</w:t>
      </w:r>
      <w:r w:rsidR="00B8145C" w:rsidRPr="009D520B">
        <w:rPr>
          <w:rFonts w:ascii="Verdana" w:hAnsi="Verdana"/>
          <w:position w:val="1"/>
          <w:sz w:val="20"/>
          <w:szCs w:val="20"/>
          <w:lang w:val="es-ES"/>
        </w:rPr>
        <w:t>3</w:t>
      </w:r>
      <w:r w:rsidRPr="009D520B">
        <w:rPr>
          <w:rFonts w:ascii="Verdana" w:hAnsi="Verdana"/>
          <w:position w:val="1"/>
          <w:sz w:val="20"/>
          <w:szCs w:val="20"/>
          <w:lang w:val="es-ES"/>
        </w:rPr>
        <w:t>/</w:t>
      </w:r>
      <w:r w:rsidR="00B8145C" w:rsidRPr="009D520B">
        <w:rPr>
          <w:rFonts w:ascii="Verdana" w:hAnsi="Verdana"/>
          <w:position w:val="1"/>
          <w:sz w:val="20"/>
          <w:szCs w:val="20"/>
          <w:lang w:val="es-ES"/>
        </w:rPr>
        <w:t>20</w:t>
      </w:r>
      <w:r w:rsidRPr="009D520B">
        <w:rPr>
          <w:rFonts w:ascii="Verdana" w:hAnsi="Verdana"/>
          <w:sz w:val="20"/>
          <w:szCs w:val="20"/>
          <w:lang w:val="es-ES"/>
        </w:rPr>
        <w:t xml:space="preserve"> (en adelante “Informe de Fondo”), en el cual </w:t>
      </w:r>
      <w:bookmarkStart w:id="9" w:name="_Hlk120608997"/>
      <w:r w:rsidRPr="009D520B">
        <w:rPr>
          <w:rFonts w:ascii="Verdana" w:hAnsi="Verdana"/>
          <w:sz w:val="20"/>
          <w:szCs w:val="20"/>
          <w:lang w:val="es-ES"/>
        </w:rPr>
        <w:t>llegó a</w:t>
      </w:r>
      <w:r w:rsidR="00DC30A6" w:rsidRPr="009D520B">
        <w:rPr>
          <w:rFonts w:ascii="Verdana" w:hAnsi="Verdana"/>
          <w:sz w:val="20"/>
          <w:szCs w:val="20"/>
          <w:lang w:val="es-ES"/>
        </w:rPr>
        <w:t xml:space="preserve"> determinadas</w:t>
      </w:r>
      <w:r w:rsidRPr="009D520B">
        <w:rPr>
          <w:rFonts w:ascii="Verdana" w:hAnsi="Verdana"/>
          <w:sz w:val="20"/>
          <w:szCs w:val="20"/>
          <w:lang w:val="es-ES"/>
        </w:rPr>
        <w:t xml:space="preserve"> conclusiones y formuló recomendaciones al</w:t>
      </w:r>
      <w:r w:rsidRPr="009D520B">
        <w:rPr>
          <w:rFonts w:ascii="Verdana" w:hAnsi="Verdana"/>
          <w:spacing w:val="3"/>
          <w:sz w:val="20"/>
          <w:szCs w:val="20"/>
          <w:lang w:val="es-ES"/>
        </w:rPr>
        <w:t xml:space="preserve"> </w:t>
      </w:r>
      <w:r w:rsidRPr="009D520B">
        <w:rPr>
          <w:rFonts w:ascii="Verdana" w:hAnsi="Verdana"/>
          <w:sz w:val="20"/>
          <w:szCs w:val="20"/>
          <w:lang w:val="es-ES"/>
        </w:rPr>
        <w:t>Estado</w:t>
      </w:r>
      <w:bookmarkEnd w:id="9"/>
      <w:r w:rsidRPr="009D520B">
        <w:rPr>
          <w:rFonts w:ascii="Verdana" w:hAnsi="Verdana"/>
          <w:sz w:val="20"/>
          <w:szCs w:val="20"/>
          <w:lang w:val="es-ES"/>
        </w:rPr>
        <w:t xml:space="preserve">. </w:t>
      </w:r>
    </w:p>
    <w:p w14:paraId="7E8CEA2F" w14:textId="0DD3EEBE" w:rsidR="0022634D" w:rsidRPr="009D520B" w:rsidRDefault="00375DA4" w:rsidP="0022634D">
      <w:pPr>
        <w:pStyle w:val="Prrafodelista"/>
        <w:numPr>
          <w:ilvl w:val="1"/>
          <w:numId w:val="1"/>
        </w:numPr>
        <w:spacing w:before="120" w:after="120"/>
        <w:ind w:left="284" w:right="-6" w:firstLine="0"/>
        <w:contextualSpacing w:val="0"/>
        <w:jc w:val="both"/>
        <w:rPr>
          <w:rFonts w:ascii="Verdana" w:hAnsi="Verdana"/>
          <w:sz w:val="20"/>
          <w:szCs w:val="20"/>
        </w:rPr>
      </w:pPr>
      <w:r w:rsidRPr="009D520B">
        <w:rPr>
          <w:rFonts w:ascii="Verdana" w:hAnsi="Verdana"/>
          <w:i/>
          <w:sz w:val="20"/>
          <w:szCs w:val="20"/>
        </w:rPr>
        <w:t xml:space="preserve">Notificación al Estado. – </w:t>
      </w:r>
      <w:r w:rsidR="005935A4" w:rsidRPr="009D520B">
        <w:rPr>
          <w:rFonts w:ascii="Verdana" w:hAnsi="Verdana"/>
          <w:sz w:val="20"/>
          <w:szCs w:val="20"/>
        </w:rPr>
        <w:t>La Comisión notificó al Estado el Informe No. 1</w:t>
      </w:r>
      <w:r w:rsidR="00B8145C" w:rsidRPr="009D520B">
        <w:rPr>
          <w:rFonts w:ascii="Verdana" w:hAnsi="Verdana"/>
          <w:sz w:val="20"/>
          <w:szCs w:val="20"/>
        </w:rPr>
        <w:t>3</w:t>
      </w:r>
      <w:r w:rsidR="005935A4" w:rsidRPr="009D520B">
        <w:rPr>
          <w:rFonts w:ascii="Verdana" w:hAnsi="Verdana"/>
          <w:sz w:val="20"/>
          <w:szCs w:val="20"/>
        </w:rPr>
        <w:t>/</w:t>
      </w:r>
      <w:r w:rsidR="00B8145C" w:rsidRPr="009D520B">
        <w:rPr>
          <w:rFonts w:ascii="Verdana" w:hAnsi="Verdana"/>
          <w:sz w:val="20"/>
          <w:szCs w:val="20"/>
        </w:rPr>
        <w:t>20</w:t>
      </w:r>
      <w:r w:rsidR="005935A4" w:rsidRPr="009D520B">
        <w:rPr>
          <w:rFonts w:ascii="Verdana" w:hAnsi="Verdana"/>
          <w:sz w:val="20"/>
          <w:szCs w:val="20"/>
        </w:rPr>
        <w:t xml:space="preserve"> mediante comunicación de </w:t>
      </w:r>
      <w:r w:rsidR="00B8145C" w:rsidRPr="009D520B">
        <w:rPr>
          <w:rFonts w:ascii="Verdana" w:hAnsi="Verdana"/>
          <w:sz w:val="20"/>
          <w:szCs w:val="20"/>
        </w:rPr>
        <w:t>6</w:t>
      </w:r>
      <w:r w:rsidR="00C96E7F" w:rsidRPr="009D520B">
        <w:rPr>
          <w:rFonts w:ascii="Verdana" w:hAnsi="Verdana"/>
          <w:sz w:val="20"/>
          <w:szCs w:val="20"/>
        </w:rPr>
        <w:t xml:space="preserve"> de </w:t>
      </w:r>
      <w:r w:rsidR="00B8145C" w:rsidRPr="009D520B">
        <w:rPr>
          <w:rFonts w:ascii="Verdana" w:hAnsi="Verdana"/>
          <w:sz w:val="20"/>
          <w:szCs w:val="20"/>
        </w:rPr>
        <w:t>mayo</w:t>
      </w:r>
      <w:r w:rsidR="00C96E7F" w:rsidRPr="009D520B">
        <w:rPr>
          <w:rFonts w:ascii="Verdana" w:hAnsi="Verdana"/>
          <w:sz w:val="20"/>
          <w:szCs w:val="20"/>
        </w:rPr>
        <w:t xml:space="preserve"> de </w:t>
      </w:r>
      <w:r w:rsidR="00B8145C" w:rsidRPr="009D520B">
        <w:rPr>
          <w:rFonts w:ascii="Verdana" w:hAnsi="Verdana"/>
          <w:sz w:val="20"/>
          <w:szCs w:val="20"/>
        </w:rPr>
        <w:t>202</w:t>
      </w:r>
      <w:r w:rsidR="00437135" w:rsidRPr="009D520B">
        <w:rPr>
          <w:rFonts w:ascii="Verdana" w:hAnsi="Verdana"/>
          <w:sz w:val="20"/>
          <w:szCs w:val="20"/>
        </w:rPr>
        <w:t>0</w:t>
      </w:r>
      <w:r w:rsidR="005935A4" w:rsidRPr="009D520B">
        <w:rPr>
          <w:rFonts w:ascii="Verdana" w:hAnsi="Verdana"/>
          <w:sz w:val="20"/>
          <w:szCs w:val="20"/>
        </w:rPr>
        <w:t xml:space="preserve"> </w:t>
      </w:r>
      <w:r w:rsidR="00D6599A" w:rsidRPr="00D6599A">
        <w:rPr>
          <w:rFonts w:ascii="Verdana" w:hAnsi="Verdana"/>
          <w:sz w:val="20"/>
          <w:szCs w:val="20"/>
        </w:rPr>
        <w:t>otorgándole un plazo de dos meses para informar sobre el cumplimiento de las recomendaciones</w:t>
      </w:r>
      <w:r w:rsidR="005935A4" w:rsidRPr="009D520B">
        <w:rPr>
          <w:rFonts w:ascii="Verdana" w:hAnsi="Verdana"/>
          <w:sz w:val="20"/>
          <w:szCs w:val="20"/>
        </w:rPr>
        <w:t xml:space="preserve">. </w:t>
      </w:r>
    </w:p>
    <w:p w14:paraId="06C10B31" w14:textId="13FF7022" w:rsidR="00BD41B0" w:rsidRPr="009D520B" w:rsidRDefault="00BD41B0" w:rsidP="00BD41B0">
      <w:pPr>
        <w:pStyle w:val="Prrafodelista"/>
        <w:numPr>
          <w:ilvl w:val="0"/>
          <w:numId w:val="2"/>
        </w:numPr>
        <w:spacing w:before="120" w:after="120"/>
        <w:ind w:left="0" w:right="-6" w:firstLine="0"/>
        <w:contextualSpacing w:val="0"/>
        <w:jc w:val="both"/>
        <w:rPr>
          <w:rFonts w:ascii="Verdana" w:hAnsi="Verdana"/>
          <w:sz w:val="20"/>
          <w:szCs w:val="20"/>
          <w:lang w:val="es-ES"/>
        </w:rPr>
      </w:pPr>
      <w:r w:rsidRPr="009D520B">
        <w:rPr>
          <w:rFonts w:ascii="Verdana" w:hAnsi="Verdana"/>
          <w:i/>
          <w:sz w:val="20"/>
          <w:szCs w:val="20"/>
          <w:lang w:val="es-ES"/>
        </w:rPr>
        <w:t xml:space="preserve">Sometimiento a la Corte. – </w:t>
      </w:r>
      <w:r w:rsidRPr="009D520B">
        <w:rPr>
          <w:rFonts w:ascii="Verdana" w:hAnsi="Verdana"/>
          <w:sz w:val="20"/>
          <w:szCs w:val="20"/>
          <w:lang w:val="es-ES"/>
        </w:rPr>
        <w:t xml:space="preserve">El 6 de </w:t>
      </w:r>
      <w:r w:rsidRPr="009D520B">
        <w:rPr>
          <w:rFonts w:ascii="Verdana" w:hAnsi="Verdana"/>
          <w:sz w:val="20"/>
          <w:szCs w:val="20"/>
        </w:rPr>
        <w:t>mayo</w:t>
      </w:r>
      <w:r w:rsidRPr="009D520B">
        <w:rPr>
          <w:rFonts w:ascii="Verdana" w:hAnsi="Verdana"/>
          <w:sz w:val="20"/>
          <w:szCs w:val="20"/>
          <w:lang w:val="es-ES"/>
        </w:rPr>
        <w:t xml:space="preserve"> de 2021</w:t>
      </w:r>
      <w:r w:rsidRPr="009D520B">
        <w:rPr>
          <w:rFonts w:ascii="Verdana" w:hAnsi="Verdana"/>
          <w:spacing w:val="2"/>
          <w:sz w:val="20"/>
          <w:szCs w:val="20"/>
          <w:lang w:val="es-ES"/>
        </w:rPr>
        <w:t xml:space="preserve">, la Comisión sometió </w:t>
      </w:r>
      <w:r w:rsidRPr="009D520B">
        <w:rPr>
          <w:rFonts w:ascii="Verdana" w:hAnsi="Verdana"/>
          <w:sz w:val="20"/>
          <w:szCs w:val="20"/>
          <w:lang w:val="es-ES"/>
        </w:rPr>
        <w:t xml:space="preserve">el </w:t>
      </w:r>
      <w:r w:rsidRPr="009D520B">
        <w:rPr>
          <w:rFonts w:ascii="Verdana" w:hAnsi="Verdana"/>
          <w:spacing w:val="2"/>
          <w:sz w:val="20"/>
          <w:szCs w:val="20"/>
          <w:lang w:val="es-ES"/>
        </w:rPr>
        <w:t xml:space="preserve">caso </w:t>
      </w:r>
      <w:r w:rsidRPr="009D520B">
        <w:rPr>
          <w:rFonts w:ascii="Verdana" w:hAnsi="Verdana"/>
          <w:sz w:val="20"/>
          <w:szCs w:val="20"/>
          <w:lang w:val="es-ES"/>
        </w:rPr>
        <w:t xml:space="preserve">a la </w:t>
      </w:r>
      <w:r w:rsidRPr="009D520B">
        <w:rPr>
          <w:rFonts w:ascii="Verdana" w:hAnsi="Verdana"/>
          <w:spacing w:val="2"/>
          <w:sz w:val="20"/>
          <w:szCs w:val="20"/>
          <w:lang w:val="es-ES"/>
        </w:rPr>
        <w:t xml:space="preserve">Corte respecto </w:t>
      </w:r>
      <w:r w:rsidRPr="009D520B">
        <w:rPr>
          <w:rFonts w:ascii="Verdana" w:hAnsi="Verdana"/>
          <w:sz w:val="20"/>
          <w:szCs w:val="20"/>
          <w:lang w:val="es-ES"/>
        </w:rPr>
        <w:t xml:space="preserve">a </w:t>
      </w:r>
      <w:r w:rsidRPr="009D520B">
        <w:rPr>
          <w:rFonts w:ascii="Verdana" w:hAnsi="Verdana"/>
          <w:spacing w:val="2"/>
          <w:sz w:val="20"/>
          <w:szCs w:val="20"/>
          <w:lang w:val="es-ES"/>
        </w:rPr>
        <w:t xml:space="preserve">los hechos </w:t>
      </w:r>
      <w:r w:rsidRPr="009D520B">
        <w:rPr>
          <w:rFonts w:ascii="Verdana" w:hAnsi="Verdana"/>
          <w:sz w:val="20"/>
          <w:szCs w:val="20"/>
          <w:lang w:val="es-ES"/>
        </w:rPr>
        <w:t xml:space="preserve">y </w:t>
      </w:r>
      <w:r w:rsidRPr="009D520B">
        <w:rPr>
          <w:rFonts w:ascii="Verdana" w:hAnsi="Verdana"/>
          <w:spacing w:val="2"/>
          <w:sz w:val="20"/>
          <w:szCs w:val="20"/>
          <w:lang w:val="es-ES"/>
        </w:rPr>
        <w:t xml:space="preserve">violaciones de derechos humanos descritos </w:t>
      </w:r>
      <w:r w:rsidRPr="009D520B">
        <w:rPr>
          <w:rFonts w:ascii="Verdana" w:hAnsi="Verdana"/>
          <w:sz w:val="20"/>
          <w:szCs w:val="20"/>
          <w:lang w:val="es-ES"/>
        </w:rPr>
        <w:t xml:space="preserve">en el </w:t>
      </w:r>
      <w:r w:rsidRPr="009D520B">
        <w:rPr>
          <w:rFonts w:ascii="Verdana" w:hAnsi="Verdana"/>
          <w:spacing w:val="2"/>
          <w:sz w:val="20"/>
          <w:szCs w:val="20"/>
          <w:lang w:val="es-ES"/>
        </w:rPr>
        <w:t xml:space="preserve">Informe </w:t>
      </w:r>
      <w:r w:rsidRPr="009D520B">
        <w:rPr>
          <w:rFonts w:ascii="Verdana" w:hAnsi="Verdana"/>
          <w:sz w:val="20"/>
          <w:szCs w:val="20"/>
          <w:lang w:val="es-ES"/>
        </w:rPr>
        <w:t xml:space="preserve">de Fondo tomando en cuenta las recomendaciones que </w:t>
      </w:r>
      <w:r w:rsidR="00D6599A" w:rsidRPr="009D520B">
        <w:rPr>
          <w:rFonts w:ascii="Verdana" w:hAnsi="Verdana"/>
          <w:sz w:val="20"/>
          <w:szCs w:val="20"/>
          <w:lang w:val="es-ES"/>
        </w:rPr>
        <w:t>permanec</w:t>
      </w:r>
      <w:r w:rsidR="00D6599A">
        <w:rPr>
          <w:rFonts w:ascii="Verdana" w:hAnsi="Verdana"/>
          <w:sz w:val="20"/>
          <w:szCs w:val="20"/>
          <w:lang w:val="es-ES"/>
        </w:rPr>
        <w:t>ían</w:t>
      </w:r>
      <w:r w:rsidRPr="009D520B">
        <w:rPr>
          <w:rFonts w:ascii="Verdana" w:hAnsi="Verdana"/>
          <w:sz w:val="20"/>
          <w:szCs w:val="20"/>
          <w:lang w:val="es-ES"/>
        </w:rPr>
        <w:t xml:space="preserve"> incumplidas, así como “la necesidad de justicia para las </w:t>
      </w:r>
      <w:r w:rsidR="00996C66">
        <w:rPr>
          <w:rFonts w:ascii="Verdana" w:hAnsi="Verdana"/>
          <w:sz w:val="20"/>
          <w:szCs w:val="20"/>
          <w:lang w:val="es-ES"/>
        </w:rPr>
        <w:t xml:space="preserve">[presuntas] </w:t>
      </w:r>
      <w:r w:rsidRPr="009D520B">
        <w:rPr>
          <w:rFonts w:ascii="Verdana" w:hAnsi="Verdana"/>
          <w:sz w:val="20"/>
          <w:szCs w:val="20"/>
          <w:lang w:val="es-ES"/>
        </w:rPr>
        <w:t>víctimas y la voluntad expresada por la parte peticionaria”</w:t>
      </w:r>
      <w:r w:rsidRPr="009D520B">
        <w:rPr>
          <w:rFonts w:ascii="Verdana" w:hAnsi="Verdana"/>
          <w:spacing w:val="2"/>
          <w:sz w:val="20"/>
          <w:szCs w:val="20"/>
          <w:lang w:val="es-ES"/>
        </w:rPr>
        <w:t>.</w:t>
      </w:r>
    </w:p>
    <w:p w14:paraId="5241E3DE" w14:textId="7108F952" w:rsidR="005935A4" w:rsidRPr="009D520B" w:rsidRDefault="005935A4" w:rsidP="00A76163">
      <w:pPr>
        <w:pStyle w:val="Prrafodelista"/>
        <w:numPr>
          <w:ilvl w:val="0"/>
          <w:numId w:val="2"/>
        </w:numPr>
        <w:spacing w:before="120" w:after="120"/>
        <w:ind w:left="0" w:right="-6" w:firstLine="0"/>
        <w:contextualSpacing w:val="0"/>
        <w:jc w:val="both"/>
        <w:rPr>
          <w:rFonts w:ascii="Verdana" w:hAnsi="Verdana"/>
          <w:sz w:val="20"/>
          <w:szCs w:val="20"/>
          <w:lang w:val="es-ES"/>
        </w:rPr>
      </w:pPr>
      <w:r w:rsidRPr="009D520B">
        <w:rPr>
          <w:rFonts w:ascii="Verdana" w:hAnsi="Verdana"/>
          <w:i/>
          <w:sz w:val="20"/>
          <w:szCs w:val="20"/>
          <w:lang w:val="es-ES"/>
        </w:rPr>
        <w:t xml:space="preserve">Solicitudes de la Comisión. – </w:t>
      </w:r>
      <w:r w:rsidRPr="009D520B">
        <w:rPr>
          <w:rFonts w:ascii="Verdana" w:hAnsi="Verdana"/>
          <w:sz w:val="20"/>
          <w:szCs w:val="20"/>
          <w:lang w:val="es-ES"/>
        </w:rPr>
        <w:t>Con base en lo anterior, la Comisión Interamericana solicitó a este Tribunal que concluyera y declarar</w:t>
      </w:r>
      <w:r w:rsidR="00F807E5" w:rsidRPr="009D520B">
        <w:rPr>
          <w:rFonts w:ascii="Verdana" w:hAnsi="Verdana"/>
          <w:sz w:val="20"/>
          <w:szCs w:val="20"/>
          <w:lang w:val="es-ES"/>
        </w:rPr>
        <w:t>a</w:t>
      </w:r>
      <w:r w:rsidRPr="009D520B">
        <w:rPr>
          <w:rFonts w:ascii="Verdana" w:hAnsi="Verdana"/>
          <w:sz w:val="20"/>
          <w:szCs w:val="20"/>
          <w:lang w:val="es-ES"/>
        </w:rPr>
        <w:t xml:space="preserve"> la responsabilidad internacional del</w:t>
      </w:r>
      <w:r w:rsidRPr="009D520B">
        <w:rPr>
          <w:rFonts w:ascii="Verdana" w:hAnsi="Verdana"/>
          <w:spacing w:val="-35"/>
          <w:sz w:val="20"/>
          <w:szCs w:val="20"/>
          <w:lang w:val="es-ES"/>
        </w:rPr>
        <w:t xml:space="preserve"> </w:t>
      </w:r>
      <w:r w:rsidRPr="009D520B">
        <w:rPr>
          <w:rFonts w:ascii="Verdana" w:hAnsi="Verdana"/>
          <w:sz w:val="20"/>
          <w:szCs w:val="20"/>
          <w:lang w:val="es-ES"/>
        </w:rPr>
        <w:t>Estado por</w:t>
      </w:r>
      <w:r w:rsidRPr="009D520B">
        <w:rPr>
          <w:rFonts w:ascii="Verdana" w:hAnsi="Verdana"/>
          <w:spacing w:val="-11"/>
          <w:sz w:val="20"/>
          <w:szCs w:val="20"/>
          <w:lang w:val="es-ES"/>
        </w:rPr>
        <w:t xml:space="preserve"> </w:t>
      </w:r>
      <w:r w:rsidR="005C579A" w:rsidRPr="009D520B">
        <w:rPr>
          <w:rFonts w:ascii="Verdana" w:hAnsi="Verdana" w:cs="Arial"/>
          <w:sz w:val="20"/>
          <w:szCs w:val="20"/>
          <w:lang w:val="es-ES_tradnl"/>
        </w:rPr>
        <w:t>la violación de los artículos 5.1</w:t>
      </w:r>
      <w:r w:rsidR="00996C66">
        <w:rPr>
          <w:rFonts w:ascii="Verdana" w:hAnsi="Verdana" w:cs="Arial"/>
          <w:sz w:val="20"/>
          <w:szCs w:val="20"/>
          <w:lang w:val="es-ES_tradnl"/>
        </w:rPr>
        <w:t>,</w:t>
      </w:r>
      <w:r w:rsidR="005C579A" w:rsidRPr="009D520B">
        <w:rPr>
          <w:rFonts w:ascii="Verdana" w:hAnsi="Verdana" w:cs="Arial"/>
          <w:sz w:val="20"/>
          <w:szCs w:val="20"/>
          <w:lang w:val="es-ES_tradnl"/>
        </w:rPr>
        <w:t xml:space="preserve"> 5.2</w:t>
      </w:r>
      <w:r w:rsidR="00996C66">
        <w:rPr>
          <w:rFonts w:ascii="Verdana" w:hAnsi="Verdana" w:cs="Arial"/>
          <w:sz w:val="20"/>
          <w:szCs w:val="20"/>
          <w:lang w:val="es-ES_tradnl"/>
        </w:rPr>
        <w:t>,</w:t>
      </w:r>
      <w:r w:rsidR="005C579A" w:rsidRPr="009D520B">
        <w:rPr>
          <w:rFonts w:ascii="Verdana" w:hAnsi="Verdana" w:cs="Arial"/>
          <w:sz w:val="20"/>
          <w:szCs w:val="20"/>
          <w:lang w:val="es-ES_tradnl"/>
        </w:rPr>
        <w:t xml:space="preserve"> 7.1</w:t>
      </w:r>
      <w:r w:rsidR="00996C66">
        <w:rPr>
          <w:rFonts w:ascii="Verdana" w:hAnsi="Verdana" w:cs="Arial"/>
          <w:sz w:val="20"/>
          <w:szCs w:val="20"/>
          <w:lang w:val="es-ES_tradnl"/>
        </w:rPr>
        <w:t>,</w:t>
      </w:r>
      <w:r w:rsidR="005C579A" w:rsidRPr="009D520B">
        <w:rPr>
          <w:rFonts w:ascii="Verdana" w:hAnsi="Verdana" w:cs="Arial"/>
          <w:sz w:val="20"/>
          <w:szCs w:val="20"/>
          <w:lang w:val="es-ES_tradnl"/>
        </w:rPr>
        <w:t xml:space="preserve"> 7.2</w:t>
      </w:r>
      <w:r w:rsidR="00996C66">
        <w:rPr>
          <w:rFonts w:ascii="Verdana" w:hAnsi="Verdana" w:cs="Arial"/>
          <w:sz w:val="20"/>
          <w:szCs w:val="20"/>
          <w:lang w:val="es-ES_tradnl"/>
        </w:rPr>
        <w:t>,</w:t>
      </w:r>
      <w:r w:rsidR="005C579A" w:rsidRPr="009D520B">
        <w:rPr>
          <w:rFonts w:ascii="Verdana" w:hAnsi="Verdana" w:cs="Arial"/>
          <w:sz w:val="20"/>
          <w:szCs w:val="20"/>
          <w:lang w:val="es-ES_tradnl"/>
        </w:rPr>
        <w:t xml:space="preserve"> 7.3</w:t>
      </w:r>
      <w:r w:rsidR="00996C66">
        <w:rPr>
          <w:rFonts w:ascii="Verdana" w:hAnsi="Verdana" w:cs="Arial"/>
          <w:sz w:val="20"/>
          <w:szCs w:val="20"/>
          <w:lang w:val="es-ES_tradnl"/>
        </w:rPr>
        <w:t>,</w:t>
      </w:r>
      <w:r w:rsidR="005C579A" w:rsidRPr="009D520B">
        <w:rPr>
          <w:rFonts w:ascii="Verdana" w:hAnsi="Verdana" w:cs="Arial"/>
          <w:sz w:val="20"/>
          <w:szCs w:val="20"/>
          <w:lang w:val="es-ES_tradnl"/>
        </w:rPr>
        <w:t xml:space="preserve"> 7.4</w:t>
      </w:r>
      <w:r w:rsidR="00996C66">
        <w:rPr>
          <w:rFonts w:ascii="Verdana" w:hAnsi="Verdana" w:cs="Arial"/>
          <w:sz w:val="20"/>
          <w:szCs w:val="20"/>
          <w:lang w:val="es-ES_tradnl"/>
        </w:rPr>
        <w:t>,</w:t>
      </w:r>
      <w:r w:rsidR="005C579A" w:rsidRPr="009D520B">
        <w:rPr>
          <w:rFonts w:ascii="Verdana" w:hAnsi="Verdana" w:cs="Arial"/>
          <w:sz w:val="20"/>
          <w:szCs w:val="20"/>
          <w:lang w:val="es-ES_tradnl"/>
        </w:rPr>
        <w:t xml:space="preserve"> 7.5</w:t>
      </w:r>
      <w:r w:rsidR="00996C66">
        <w:rPr>
          <w:rFonts w:ascii="Verdana" w:hAnsi="Verdana" w:cs="Arial"/>
          <w:sz w:val="20"/>
          <w:szCs w:val="20"/>
          <w:lang w:val="es-ES_tradnl"/>
        </w:rPr>
        <w:t>,</w:t>
      </w:r>
      <w:r w:rsidR="005C579A" w:rsidRPr="009D520B">
        <w:rPr>
          <w:rFonts w:ascii="Verdana" w:hAnsi="Verdana" w:cs="Arial"/>
          <w:sz w:val="20"/>
          <w:szCs w:val="20"/>
          <w:lang w:val="es-ES_tradnl"/>
        </w:rPr>
        <w:t xml:space="preserve"> 7.6</w:t>
      </w:r>
      <w:r w:rsidR="00261E3D">
        <w:rPr>
          <w:rFonts w:ascii="Verdana" w:hAnsi="Verdana" w:cs="Arial"/>
          <w:sz w:val="20"/>
          <w:szCs w:val="20"/>
          <w:lang w:val="es-ES_tradnl"/>
        </w:rPr>
        <w:t xml:space="preserve">, </w:t>
      </w:r>
      <w:r w:rsidR="005C579A" w:rsidRPr="009D520B">
        <w:rPr>
          <w:rFonts w:ascii="Verdana" w:hAnsi="Verdana" w:cs="Arial"/>
          <w:sz w:val="20"/>
          <w:szCs w:val="20"/>
          <w:lang w:val="es-ES_tradnl"/>
        </w:rPr>
        <w:t>8.1</w:t>
      </w:r>
      <w:r w:rsidR="00996C66">
        <w:rPr>
          <w:rFonts w:ascii="Verdana" w:hAnsi="Verdana" w:cs="Arial"/>
          <w:sz w:val="20"/>
          <w:szCs w:val="20"/>
          <w:lang w:val="es-ES_tradnl"/>
        </w:rPr>
        <w:t>,</w:t>
      </w:r>
      <w:r w:rsidR="005C579A" w:rsidRPr="009D520B">
        <w:rPr>
          <w:rFonts w:ascii="Verdana" w:hAnsi="Verdana" w:cs="Arial"/>
          <w:sz w:val="20"/>
          <w:szCs w:val="20"/>
          <w:lang w:val="es-ES_tradnl"/>
        </w:rPr>
        <w:t xml:space="preserve"> 8.2</w:t>
      </w:r>
      <w:r w:rsidR="00996C66">
        <w:rPr>
          <w:rFonts w:ascii="Verdana" w:hAnsi="Verdana" w:cs="Arial"/>
          <w:sz w:val="20"/>
          <w:szCs w:val="20"/>
          <w:lang w:val="es-ES_tradnl"/>
        </w:rPr>
        <w:t>,</w:t>
      </w:r>
      <w:r w:rsidR="005C579A" w:rsidRPr="009D520B">
        <w:rPr>
          <w:rFonts w:ascii="Verdana" w:hAnsi="Verdana" w:cs="Arial"/>
          <w:sz w:val="20"/>
          <w:szCs w:val="20"/>
          <w:lang w:val="es-ES_tradnl"/>
        </w:rPr>
        <w:t xml:space="preserve"> 8.2.d</w:t>
      </w:r>
      <w:r w:rsidR="001A3736">
        <w:rPr>
          <w:rFonts w:ascii="Verdana" w:hAnsi="Verdana" w:cs="Arial"/>
          <w:sz w:val="20"/>
          <w:szCs w:val="20"/>
          <w:lang w:val="es-ES_tradnl"/>
        </w:rPr>
        <w:t>,</w:t>
      </w:r>
      <w:r w:rsidR="005C579A" w:rsidRPr="009D520B">
        <w:rPr>
          <w:rFonts w:ascii="Verdana" w:hAnsi="Verdana" w:cs="Arial"/>
          <w:sz w:val="20"/>
          <w:szCs w:val="20"/>
          <w:lang w:val="es-ES_tradnl"/>
        </w:rPr>
        <w:t xml:space="preserve"> </w:t>
      </w:r>
      <w:r w:rsidR="00D6599A">
        <w:rPr>
          <w:rFonts w:ascii="Verdana" w:hAnsi="Verdana" w:cs="Arial"/>
          <w:sz w:val="20"/>
          <w:szCs w:val="20"/>
          <w:lang w:val="es-ES_tradnl"/>
        </w:rPr>
        <w:t>8.2.</w:t>
      </w:r>
      <w:r w:rsidR="005C579A" w:rsidRPr="009D520B">
        <w:rPr>
          <w:rFonts w:ascii="Verdana" w:hAnsi="Verdana" w:cs="Arial"/>
          <w:sz w:val="20"/>
          <w:szCs w:val="20"/>
          <w:lang w:val="es-ES_tradnl"/>
        </w:rPr>
        <w:t xml:space="preserve">e y </w:t>
      </w:r>
      <w:r w:rsidR="00D6599A">
        <w:rPr>
          <w:rFonts w:ascii="Verdana" w:hAnsi="Verdana" w:cs="Arial"/>
          <w:sz w:val="20"/>
          <w:szCs w:val="20"/>
          <w:lang w:val="es-ES_tradnl"/>
        </w:rPr>
        <w:t>8.2.</w:t>
      </w:r>
      <w:r w:rsidR="005C579A" w:rsidRPr="009D520B">
        <w:rPr>
          <w:rFonts w:ascii="Verdana" w:hAnsi="Verdana" w:cs="Arial"/>
          <w:sz w:val="20"/>
          <w:szCs w:val="20"/>
          <w:lang w:val="es-ES_tradnl"/>
        </w:rPr>
        <w:t>f</w:t>
      </w:r>
      <w:r w:rsidR="00996C66">
        <w:rPr>
          <w:rFonts w:ascii="Verdana" w:hAnsi="Verdana" w:cs="Arial"/>
          <w:sz w:val="20"/>
          <w:szCs w:val="20"/>
          <w:lang w:val="es-ES_tradnl"/>
        </w:rPr>
        <w:t>,</w:t>
      </w:r>
      <w:r w:rsidR="001A3736">
        <w:rPr>
          <w:rFonts w:ascii="Verdana" w:hAnsi="Verdana" w:cs="Arial"/>
          <w:sz w:val="20"/>
          <w:szCs w:val="20"/>
          <w:lang w:val="es-ES_tradnl"/>
        </w:rPr>
        <w:t xml:space="preserve"> </w:t>
      </w:r>
      <w:r w:rsidR="005C579A" w:rsidRPr="009D520B">
        <w:rPr>
          <w:rFonts w:ascii="Verdana" w:hAnsi="Verdana" w:cs="Arial"/>
          <w:sz w:val="20"/>
          <w:szCs w:val="20"/>
          <w:lang w:val="es-ES_tradnl"/>
        </w:rPr>
        <w:t>8.3, y 25 de la Convención Americana sobre Derechos Humanos, en relación con las obligaciones establecidas en los artículos 1.1 y 2 del mismo instrumento, y de los artículos 1, 6 y 8 de la Convención Interamericana para Prevenir y Sancionar la Tortura, en perjuicio de las presuntas víctimas</w:t>
      </w:r>
      <w:r w:rsidR="00374BDB">
        <w:rPr>
          <w:rFonts w:ascii="Verdana" w:hAnsi="Verdana" w:cs="Arial"/>
          <w:sz w:val="20"/>
          <w:szCs w:val="20"/>
          <w:lang w:val="es-ES_tradnl"/>
        </w:rPr>
        <w:t xml:space="preserve">. </w:t>
      </w:r>
      <w:r w:rsidR="00CA5EC6">
        <w:rPr>
          <w:rFonts w:ascii="Verdana" w:hAnsi="Verdana" w:cs="Arial"/>
          <w:sz w:val="20"/>
          <w:szCs w:val="20"/>
          <w:lang w:val="es-ES_tradnl"/>
        </w:rPr>
        <w:t>Solicitó</w:t>
      </w:r>
      <w:r w:rsidR="00D6599A">
        <w:rPr>
          <w:rFonts w:ascii="Verdana" w:hAnsi="Verdana" w:cs="Arial"/>
          <w:sz w:val="20"/>
          <w:szCs w:val="20"/>
          <w:lang w:val="es-ES_tradnl"/>
        </w:rPr>
        <w:t>,</w:t>
      </w:r>
      <w:r w:rsidR="00CA5EC6">
        <w:rPr>
          <w:rFonts w:ascii="Verdana" w:hAnsi="Verdana" w:cs="Arial"/>
          <w:sz w:val="20"/>
          <w:szCs w:val="20"/>
          <w:lang w:val="es-ES_tradnl"/>
        </w:rPr>
        <w:t xml:space="preserve"> asimismo</w:t>
      </w:r>
      <w:r w:rsidR="00D6599A">
        <w:rPr>
          <w:rFonts w:ascii="Verdana" w:hAnsi="Verdana" w:cs="Arial"/>
          <w:sz w:val="20"/>
          <w:szCs w:val="20"/>
          <w:lang w:val="es-ES_tradnl"/>
        </w:rPr>
        <w:t>,</w:t>
      </w:r>
      <w:r w:rsidR="00CA5EC6">
        <w:rPr>
          <w:rFonts w:ascii="Verdana" w:hAnsi="Verdana" w:cs="Arial"/>
          <w:sz w:val="20"/>
          <w:szCs w:val="20"/>
          <w:lang w:val="es-ES_tradnl"/>
        </w:rPr>
        <w:t xml:space="preserve"> que se ordenen</w:t>
      </w:r>
      <w:r w:rsidR="00D272F6" w:rsidRPr="009D520B">
        <w:rPr>
          <w:rFonts w:ascii="Verdana" w:hAnsi="Verdana"/>
          <w:spacing w:val="-10"/>
          <w:sz w:val="20"/>
          <w:szCs w:val="20"/>
          <w:lang w:val="es-ES"/>
        </w:rPr>
        <w:t xml:space="preserve"> </w:t>
      </w:r>
      <w:r w:rsidR="00CA5EC6">
        <w:rPr>
          <w:rFonts w:ascii="Verdana" w:hAnsi="Verdana"/>
          <w:spacing w:val="-10"/>
          <w:sz w:val="20"/>
          <w:szCs w:val="20"/>
          <w:lang w:val="es-ES"/>
        </w:rPr>
        <w:t xml:space="preserve">determinadas </w:t>
      </w:r>
      <w:r w:rsidRPr="009D520B">
        <w:rPr>
          <w:rFonts w:ascii="Verdana" w:hAnsi="Verdana"/>
          <w:sz w:val="20"/>
          <w:szCs w:val="20"/>
          <w:lang w:val="es-ES"/>
        </w:rPr>
        <w:t>medidas de reparación. Este Tribunal nota</w:t>
      </w:r>
      <w:r w:rsidR="00737B20" w:rsidRPr="009D520B">
        <w:rPr>
          <w:rFonts w:ascii="Verdana" w:hAnsi="Verdana"/>
          <w:sz w:val="20"/>
          <w:szCs w:val="20"/>
          <w:lang w:val="es-ES"/>
        </w:rPr>
        <w:t xml:space="preserve">, con profunda preocupación, </w:t>
      </w:r>
      <w:r w:rsidR="006779C6" w:rsidRPr="009D520B">
        <w:rPr>
          <w:rFonts w:ascii="Verdana" w:hAnsi="Verdana"/>
          <w:sz w:val="20"/>
          <w:szCs w:val="20"/>
          <w:lang w:val="es-ES"/>
        </w:rPr>
        <w:t>que,</w:t>
      </w:r>
      <w:r w:rsidRPr="009D520B">
        <w:rPr>
          <w:rFonts w:ascii="Verdana" w:hAnsi="Verdana"/>
          <w:sz w:val="20"/>
          <w:szCs w:val="20"/>
          <w:lang w:val="es-ES"/>
        </w:rPr>
        <w:t xml:space="preserve"> entre la presentación de la petición inicial ante la Comisión y el sometimiento del caso ante la Corte, han transcurrido casi </w:t>
      </w:r>
      <w:r w:rsidR="00B60961" w:rsidRPr="009D520B">
        <w:rPr>
          <w:rFonts w:ascii="Verdana" w:hAnsi="Verdana"/>
          <w:sz w:val="20"/>
          <w:szCs w:val="20"/>
          <w:lang w:val="es-ES"/>
        </w:rPr>
        <w:t>14</w:t>
      </w:r>
      <w:r w:rsidRPr="009D520B">
        <w:rPr>
          <w:rFonts w:ascii="Verdana" w:hAnsi="Verdana"/>
          <w:sz w:val="20"/>
          <w:szCs w:val="20"/>
          <w:lang w:val="es-ES"/>
        </w:rPr>
        <w:t xml:space="preserve"> años.</w:t>
      </w:r>
    </w:p>
    <w:p w14:paraId="394216C2" w14:textId="77777777" w:rsidR="00473A82" w:rsidRPr="009D520B" w:rsidRDefault="00C6683F" w:rsidP="005B635B">
      <w:pPr>
        <w:pStyle w:val="Ttulo1"/>
        <w:ind w:right="-4"/>
        <w:rPr>
          <w:rFonts w:ascii="Verdana" w:hAnsi="Verdana"/>
          <w:sz w:val="20"/>
          <w:lang w:val="es-ES_tradnl"/>
        </w:rPr>
      </w:pPr>
      <w:bookmarkStart w:id="10" w:name="_Toc359314415"/>
      <w:bookmarkStart w:id="11" w:name="_Toc361671572"/>
      <w:bookmarkStart w:id="12" w:name="_Toc361671992"/>
      <w:bookmarkStart w:id="13" w:name="_Toc361732789"/>
      <w:bookmarkStart w:id="14" w:name="_Toc361732832"/>
      <w:bookmarkStart w:id="15" w:name="_Toc362456863"/>
      <w:bookmarkStart w:id="16" w:name="_Toc365021392"/>
      <w:bookmarkStart w:id="17" w:name="_Toc369076778"/>
      <w:bookmarkStart w:id="18" w:name="_Toc369989362"/>
      <w:bookmarkStart w:id="19" w:name="_Toc369989449"/>
      <w:bookmarkStart w:id="20" w:name="_Toc369989730"/>
      <w:bookmarkStart w:id="21" w:name="_Toc438132270"/>
      <w:bookmarkStart w:id="22" w:name="_Toc311128156"/>
      <w:bookmarkStart w:id="23" w:name="_Toc311128353"/>
      <w:bookmarkStart w:id="24" w:name="_Toc486693352"/>
      <w:bookmarkStart w:id="25" w:name="_Toc486842768"/>
      <w:bookmarkStart w:id="26" w:name="_Toc486842906"/>
      <w:bookmarkStart w:id="27" w:name="_Toc11166263"/>
      <w:bookmarkStart w:id="28" w:name="_Toc132133879"/>
      <w:r w:rsidRPr="009D520B">
        <w:rPr>
          <w:rFonts w:ascii="Verdana" w:hAnsi="Verdana"/>
          <w:sz w:val="20"/>
          <w:lang w:val="es-ES_tradnl"/>
        </w:rPr>
        <w:lastRenderedPageBreak/>
        <w:t>II</w:t>
      </w:r>
      <w:r w:rsidRPr="009D520B">
        <w:rPr>
          <w:rFonts w:ascii="Verdana" w:hAnsi="Verdana"/>
          <w:color w:val="FDE9D9" w:themeColor="accent6" w:themeTint="33"/>
          <w:sz w:val="20"/>
          <w:lang w:val="es-ES_tradnl"/>
        </w:rPr>
        <w:t>.</w:t>
      </w:r>
      <w:r w:rsidRPr="009D520B">
        <w:rPr>
          <w:rFonts w:ascii="Verdana" w:hAnsi="Verdana"/>
          <w:sz w:val="20"/>
          <w:lang w:val="es-ES_tradnl"/>
        </w:rPr>
        <w:br/>
      </w:r>
      <w:r w:rsidR="00473A82" w:rsidRPr="009D520B">
        <w:rPr>
          <w:rFonts w:ascii="Verdana" w:hAnsi="Verdana"/>
          <w:sz w:val="20"/>
          <w:lang w:val="es-ES_tradnl"/>
        </w:rPr>
        <w:t>PROCEDIMIENTO ANTE LA CORTE</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02B13F2D" w14:textId="072CDEB8" w:rsidR="00A23AD4" w:rsidRPr="009D520B" w:rsidRDefault="00A23AD4" w:rsidP="005B635B">
      <w:pPr>
        <w:pStyle w:val="Estilo1"/>
        <w:numPr>
          <w:ilvl w:val="0"/>
          <w:numId w:val="2"/>
        </w:numPr>
        <w:tabs>
          <w:tab w:val="left" w:pos="0"/>
        </w:tabs>
        <w:spacing w:before="120"/>
        <w:ind w:left="0" w:right="-4" w:firstLine="0"/>
        <w:jc w:val="both"/>
        <w:rPr>
          <w:rFonts w:ascii="Verdana" w:hAnsi="Verdana"/>
          <w:sz w:val="20"/>
          <w:szCs w:val="20"/>
          <w:lang w:val="es-ES"/>
        </w:rPr>
      </w:pPr>
      <w:r w:rsidRPr="009D520B">
        <w:rPr>
          <w:rFonts w:ascii="Verdana" w:hAnsi="Verdana"/>
          <w:sz w:val="20"/>
          <w:szCs w:val="20"/>
          <w:lang w:val="es-ES"/>
        </w:rPr>
        <w:t>Notificación</w:t>
      </w:r>
      <w:r w:rsidRPr="009D520B">
        <w:rPr>
          <w:rFonts w:ascii="Verdana" w:hAnsi="Verdana"/>
          <w:spacing w:val="-5"/>
          <w:sz w:val="20"/>
          <w:szCs w:val="20"/>
          <w:lang w:val="es-ES"/>
        </w:rPr>
        <w:t xml:space="preserve"> </w:t>
      </w:r>
      <w:r w:rsidRPr="009D520B">
        <w:rPr>
          <w:rFonts w:ascii="Verdana" w:hAnsi="Verdana"/>
          <w:sz w:val="20"/>
          <w:szCs w:val="20"/>
          <w:lang w:val="es-ES"/>
        </w:rPr>
        <w:t>al</w:t>
      </w:r>
      <w:r w:rsidRPr="009D520B">
        <w:rPr>
          <w:rFonts w:ascii="Verdana" w:hAnsi="Verdana"/>
          <w:spacing w:val="-7"/>
          <w:sz w:val="20"/>
          <w:szCs w:val="20"/>
          <w:lang w:val="es-ES"/>
        </w:rPr>
        <w:t xml:space="preserve"> </w:t>
      </w:r>
      <w:r w:rsidRPr="009D520B">
        <w:rPr>
          <w:rFonts w:ascii="Verdana" w:hAnsi="Verdana"/>
          <w:sz w:val="20"/>
          <w:szCs w:val="20"/>
          <w:lang w:val="es-ES"/>
        </w:rPr>
        <w:t xml:space="preserve">Estado </w:t>
      </w:r>
      <w:r w:rsidR="009B6D47" w:rsidRPr="009D520B">
        <w:rPr>
          <w:rFonts w:ascii="Verdana" w:hAnsi="Verdana"/>
          <w:sz w:val="20"/>
          <w:szCs w:val="20"/>
          <w:lang w:val="es-ES"/>
        </w:rPr>
        <w:t xml:space="preserve">y </w:t>
      </w:r>
      <w:r w:rsidRPr="009D520B">
        <w:rPr>
          <w:rFonts w:ascii="Verdana" w:hAnsi="Verdana"/>
          <w:sz w:val="20"/>
          <w:szCs w:val="20"/>
          <w:lang w:val="es-ES"/>
        </w:rPr>
        <w:t>a los representantes</w:t>
      </w:r>
      <w:r w:rsidRPr="009D520B">
        <w:rPr>
          <w:rStyle w:val="Refdenotaalpie"/>
          <w:rFonts w:ascii="Verdana" w:hAnsi="Verdana"/>
          <w:sz w:val="20"/>
          <w:lang w:val="es-ES"/>
        </w:rPr>
        <w:footnoteReference w:id="4"/>
      </w:r>
      <w:r w:rsidRPr="009D520B">
        <w:rPr>
          <w:rFonts w:ascii="Verdana" w:hAnsi="Verdana"/>
          <w:sz w:val="20"/>
          <w:szCs w:val="20"/>
          <w:lang w:val="es-ES"/>
        </w:rPr>
        <w:t>.</w:t>
      </w:r>
      <w:r w:rsidRPr="009D520B">
        <w:rPr>
          <w:rFonts w:ascii="Verdana" w:hAnsi="Verdana"/>
          <w:spacing w:val="-6"/>
          <w:sz w:val="20"/>
          <w:szCs w:val="20"/>
          <w:lang w:val="es-ES"/>
        </w:rPr>
        <w:t xml:space="preserve"> </w:t>
      </w:r>
      <w:r w:rsidRPr="009D520B">
        <w:rPr>
          <w:rFonts w:ascii="Verdana" w:hAnsi="Verdana"/>
          <w:sz w:val="20"/>
          <w:szCs w:val="20"/>
          <w:lang w:val="es-ES"/>
        </w:rPr>
        <w:t xml:space="preserve">– </w:t>
      </w:r>
      <w:r w:rsidRPr="009D520B">
        <w:rPr>
          <w:rFonts w:ascii="Verdana" w:hAnsi="Verdana"/>
          <w:i w:val="0"/>
          <w:iCs/>
          <w:sz w:val="20"/>
          <w:szCs w:val="20"/>
          <w:lang w:val="es-ES"/>
        </w:rPr>
        <w:t xml:space="preserve">El </w:t>
      </w:r>
      <w:r w:rsidRPr="009D520B">
        <w:rPr>
          <w:rFonts w:ascii="Verdana" w:hAnsi="Verdana"/>
          <w:i w:val="0"/>
          <w:iCs/>
          <w:sz w:val="20"/>
          <w:szCs w:val="20"/>
        </w:rPr>
        <w:t>sometimiento</w:t>
      </w:r>
      <w:r w:rsidRPr="009D520B">
        <w:rPr>
          <w:rFonts w:ascii="Verdana" w:hAnsi="Verdana"/>
          <w:i w:val="0"/>
          <w:iCs/>
          <w:sz w:val="20"/>
          <w:szCs w:val="20"/>
          <w:lang w:val="es-ES"/>
        </w:rPr>
        <w:t xml:space="preserve"> del caso fue notificado al Estado y a los representantes mediante comunicación de</w:t>
      </w:r>
      <w:r w:rsidR="000B677A" w:rsidRPr="009D520B">
        <w:rPr>
          <w:rFonts w:ascii="Verdana" w:hAnsi="Verdana"/>
          <w:i w:val="0"/>
          <w:iCs/>
          <w:sz w:val="20"/>
          <w:szCs w:val="20"/>
          <w:lang w:val="es-ES"/>
        </w:rPr>
        <w:t xml:space="preserve"> 24 de agosto de 2021</w:t>
      </w:r>
      <w:r w:rsidRPr="009D520B">
        <w:rPr>
          <w:rFonts w:ascii="Verdana" w:hAnsi="Verdana"/>
          <w:i w:val="0"/>
          <w:iCs/>
          <w:sz w:val="20"/>
          <w:szCs w:val="20"/>
          <w:lang w:val="es-ES"/>
        </w:rPr>
        <w:t>.</w:t>
      </w:r>
      <w:r w:rsidRPr="009D520B">
        <w:rPr>
          <w:rFonts w:ascii="Verdana" w:hAnsi="Verdana"/>
          <w:sz w:val="20"/>
          <w:szCs w:val="20"/>
          <w:lang w:val="es-ES"/>
        </w:rPr>
        <w:t xml:space="preserve"> </w:t>
      </w:r>
    </w:p>
    <w:p w14:paraId="4C5423F9" w14:textId="725A92D8" w:rsidR="00A23AD4" w:rsidRPr="009D520B" w:rsidRDefault="00A23AD4" w:rsidP="005B635B">
      <w:pPr>
        <w:pStyle w:val="Estilo1"/>
        <w:numPr>
          <w:ilvl w:val="0"/>
          <w:numId w:val="2"/>
        </w:numPr>
        <w:tabs>
          <w:tab w:val="left" w:pos="0"/>
        </w:tabs>
        <w:spacing w:before="120"/>
        <w:ind w:left="0" w:right="-4" w:firstLine="0"/>
        <w:jc w:val="both"/>
        <w:rPr>
          <w:rFonts w:ascii="Verdana" w:hAnsi="Verdana"/>
          <w:i w:val="0"/>
          <w:sz w:val="20"/>
          <w:szCs w:val="20"/>
          <w:lang w:val="es-ES"/>
        </w:rPr>
      </w:pPr>
      <w:r w:rsidRPr="009D520B">
        <w:rPr>
          <w:rFonts w:ascii="Verdana" w:hAnsi="Verdana"/>
          <w:sz w:val="20"/>
          <w:szCs w:val="20"/>
          <w:lang w:val="es-ES"/>
        </w:rPr>
        <w:t xml:space="preserve">Escrito de solicitudes, argumentos y pruebas. </w:t>
      </w:r>
      <w:r w:rsidRPr="009D520B">
        <w:rPr>
          <w:rFonts w:ascii="Verdana" w:hAnsi="Verdana"/>
          <w:i w:val="0"/>
          <w:iCs/>
          <w:sz w:val="20"/>
          <w:szCs w:val="20"/>
          <w:lang w:val="es-ES"/>
        </w:rPr>
        <w:t>–</w:t>
      </w:r>
      <w:r w:rsidRPr="009D520B">
        <w:rPr>
          <w:rFonts w:ascii="Verdana" w:hAnsi="Verdana"/>
          <w:i w:val="0"/>
          <w:iCs/>
          <w:sz w:val="20"/>
          <w:szCs w:val="20"/>
          <w:lang w:val="es-CR"/>
        </w:rPr>
        <w:t xml:space="preserve"> </w:t>
      </w:r>
      <w:r w:rsidR="00735935" w:rsidRPr="009D520B">
        <w:rPr>
          <w:rFonts w:ascii="Verdana" w:hAnsi="Verdana"/>
          <w:i w:val="0"/>
          <w:iCs/>
          <w:sz w:val="20"/>
          <w:szCs w:val="20"/>
          <w:lang w:val="es-CR"/>
        </w:rPr>
        <w:t>El</w:t>
      </w:r>
      <w:r w:rsidRPr="009D520B">
        <w:rPr>
          <w:rFonts w:ascii="Verdana" w:hAnsi="Verdana"/>
          <w:i w:val="0"/>
          <w:iCs/>
          <w:sz w:val="20"/>
          <w:szCs w:val="20"/>
          <w:lang w:val="es-CR"/>
        </w:rPr>
        <w:t xml:space="preserve"> día </w:t>
      </w:r>
      <w:r w:rsidR="007A421D">
        <w:rPr>
          <w:rFonts w:ascii="Verdana" w:hAnsi="Verdana"/>
          <w:i w:val="0"/>
          <w:iCs/>
          <w:sz w:val="20"/>
          <w:szCs w:val="20"/>
          <w:lang w:val="es-CR"/>
        </w:rPr>
        <w:t>23</w:t>
      </w:r>
      <w:r w:rsidR="007A421D" w:rsidRPr="009D520B">
        <w:rPr>
          <w:rFonts w:ascii="Verdana" w:hAnsi="Verdana"/>
          <w:i w:val="0"/>
          <w:iCs/>
          <w:sz w:val="20"/>
          <w:szCs w:val="20"/>
          <w:lang w:val="es-CR"/>
        </w:rPr>
        <w:t xml:space="preserve"> </w:t>
      </w:r>
      <w:r w:rsidR="00735935" w:rsidRPr="009D520B">
        <w:rPr>
          <w:rFonts w:ascii="Verdana" w:hAnsi="Verdana"/>
          <w:i w:val="0"/>
          <w:iCs/>
          <w:sz w:val="20"/>
          <w:szCs w:val="20"/>
          <w:lang w:val="es-CR"/>
        </w:rPr>
        <w:t xml:space="preserve">de </w:t>
      </w:r>
      <w:r w:rsidR="009F21CC" w:rsidRPr="009D520B">
        <w:rPr>
          <w:rFonts w:ascii="Verdana" w:hAnsi="Verdana"/>
          <w:i w:val="0"/>
          <w:iCs/>
          <w:sz w:val="20"/>
          <w:szCs w:val="20"/>
          <w:lang w:val="es-CR"/>
        </w:rPr>
        <w:t>noviembre</w:t>
      </w:r>
      <w:r w:rsidR="00735935" w:rsidRPr="009D520B">
        <w:rPr>
          <w:rFonts w:ascii="Verdana" w:hAnsi="Verdana"/>
          <w:i w:val="0"/>
          <w:iCs/>
          <w:sz w:val="20"/>
          <w:szCs w:val="20"/>
          <w:lang w:val="es-CR"/>
        </w:rPr>
        <w:t xml:space="preserve"> de 2021</w:t>
      </w:r>
      <w:r w:rsidRPr="009D520B">
        <w:rPr>
          <w:rFonts w:ascii="Verdana" w:hAnsi="Verdana"/>
          <w:i w:val="0"/>
          <w:iCs/>
          <w:sz w:val="20"/>
          <w:szCs w:val="20"/>
          <w:lang w:val="es-CR"/>
        </w:rPr>
        <w:t xml:space="preserve">, los representantes presentaron su escrito de </w:t>
      </w:r>
      <w:r w:rsidRPr="009D520B">
        <w:rPr>
          <w:rFonts w:ascii="Verdana" w:hAnsi="Verdana"/>
          <w:i w:val="0"/>
          <w:iCs/>
          <w:sz w:val="20"/>
          <w:szCs w:val="20"/>
          <w:lang w:val="es-ES"/>
        </w:rPr>
        <w:t>solicitudes</w:t>
      </w:r>
      <w:r w:rsidRPr="009D520B">
        <w:rPr>
          <w:rFonts w:ascii="Verdana" w:hAnsi="Verdana"/>
          <w:i w:val="0"/>
          <w:iCs/>
          <w:sz w:val="20"/>
          <w:szCs w:val="20"/>
          <w:lang w:val="es-CR"/>
        </w:rPr>
        <w:t xml:space="preserve">, argumentos y pruebas (en adelante “escrito de solicitudes y argumentos”), en los términos de los artículos 25 y 40 del Reglamento de la Corte. Los representantes coincidieron con lo </w:t>
      </w:r>
      <w:r w:rsidR="000E55ED" w:rsidRPr="009D520B">
        <w:rPr>
          <w:rFonts w:ascii="Verdana" w:hAnsi="Verdana"/>
          <w:i w:val="0"/>
          <w:iCs/>
          <w:sz w:val="20"/>
          <w:szCs w:val="20"/>
          <w:lang w:val="es-CR"/>
        </w:rPr>
        <w:t>planteado</w:t>
      </w:r>
      <w:r w:rsidRPr="009D520B">
        <w:rPr>
          <w:rFonts w:ascii="Verdana" w:hAnsi="Verdana"/>
          <w:i w:val="0"/>
          <w:iCs/>
          <w:sz w:val="20"/>
          <w:szCs w:val="20"/>
          <w:lang w:val="es-CR"/>
        </w:rPr>
        <w:t xml:space="preserve"> por la Comisión, complementaron su línea argumentativa</w:t>
      </w:r>
      <w:r w:rsidR="00144A3D" w:rsidRPr="009D520B">
        <w:rPr>
          <w:rFonts w:ascii="Verdana" w:hAnsi="Verdana"/>
          <w:i w:val="0"/>
          <w:iCs/>
          <w:sz w:val="20"/>
          <w:szCs w:val="20"/>
          <w:lang w:val="es-CR"/>
        </w:rPr>
        <w:t>, alegaron nuevas violaciones a la Convención Americana</w:t>
      </w:r>
      <w:r w:rsidR="00E62382">
        <w:rPr>
          <w:rStyle w:val="Refdenotaalpie"/>
          <w:rFonts w:ascii="Verdana" w:hAnsi="Verdana"/>
          <w:i w:val="0"/>
          <w:iCs/>
          <w:sz w:val="20"/>
          <w:lang w:val="es-CR"/>
        </w:rPr>
        <w:footnoteReference w:id="5"/>
      </w:r>
      <w:r w:rsidRPr="009D520B">
        <w:rPr>
          <w:rFonts w:ascii="Verdana" w:hAnsi="Verdana"/>
          <w:i w:val="0"/>
          <w:iCs/>
          <w:sz w:val="20"/>
          <w:szCs w:val="20"/>
          <w:lang w:val="es-CR"/>
        </w:rPr>
        <w:t xml:space="preserve"> y propusieron reparaciones específicas. </w:t>
      </w:r>
    </w:p>
    <w:p w14:paraId="23FE583F" w14:textId="6D48D581" w:rsidR="00F26F4F" w:rsidRPr="00D04822" w:rsidRDefault="00A23AD4" w:rsidP="00F26F4F">
      <w:pPr>
        <w:pStyle w:val="Estilo1"/>
        <w:numPr>
          <w:ilvl w:val="0"/>
          <w:numId w:val="2"/>
        </w:numPr>
        <w:tabs>
          <w:tab w:val="left" w:pos="0"/>
        </w:tabs>
        <w:spacing w:before="120"/>
        <w:ind w:left="0" w:right="-4" w:firstLine="0"/>
        <w:jc w:val="both"/>
        <w:rPr>
          <w:rFonts w:ascii="Verdana" w:hAnsi="Verdana"/>
          <w:i w:val="0"/>
          <w:iCs/>
          <w:sz w:val="20"/>
          <w:szCs w:val="20"/>
          <w:lang w:val="es-ES"/>
        </w:rPr>
      </w:pPr>
      <w:r w:rsidRPr="00351298">
        <w:rPr>
          <w:rFonts w:ascii="Verdana" w:hAnsi="Verdana"/>
          <w:sz w:val="20"/>
          <w:szCs w:val="20"/>
          <w:lang w:val="es-ES"/>
        </w:rPr>
        <w:t>Escrito</w:t>
      </w:r>
      <w:r w:rsidRPr="00351298">
        <w:rPr>
          <w:rFonts w:ascii="Verdana" w:hAnsi="Verdana"/>
          <w:spacing w:val="-18"/>
          <w:sz w:val="20"/>
          <w:szCs w:val="20"/>
          <w:lang w:val="es-ES"/>
        </w:rPr>
        <w:t xml:space="preserve"> </w:t>
      </w:r>
      <w:r w:rsidRPr="00351298">
        <w:rPr>
          <w:rFonts w:ascii="Verdana" w:hAnsi="Verdana"/>
          <w:sz w:val="20"/>
          <w:szCs w:val="20"/>
          <w:lang w:val="es-ES"/>
        </w:rPr>
        <w:t>de</w:t>
      </w:r>
      <w:r w:rsidRPr="00351298">
        <w:rPr>
          <w:rFonts w:ascii="Verdana" w:hAnsi="Verdana"/>
          <w:spacing w:val="-14"/>
          <w:sz w:val="20"/>
          <w:szCs w:val="20"/>
          <w:lang w:val="es-ES"/>
        </w:rPr>
        <w:t xml:space="preserve"> </w:t>
      </w:r>
      <w:r w:rsidRPr="00351298">
        <w:rPr>
          <w:rFonts w:ascii="Verdana" w:hAnsi="Verdana"/>
          <w:sz w:val="20"/>
          <w:szCs w:val="20"/>
          <w:lang w:val="es-ES"/>
        </w:rPr>
        <w:t>Contestación</w:t>
      </w:r>
      <w:r w:rsidRPr="00351298">
        <w:rPr>
          <w:rStyle w:val="Refdenotaalpie"/>
          <w:rFonts w:ascii="Verdana" w:hAnsi="Verdana"/>
          <w:i w:val="0"/>
          <w:iCs/>
          <w:sz w:val="20"/>
          <w:lang w:val="es-ES"/>
        </w:rPr>
        <w:footnoteReference w:id="6"/>
      </w:r>
      <w:r w:rsidRPr="00351298">
        <w:rPr>
          <w:rFonts w:ascii="Verdana" w:hAnsi="Verdana"/>
          <w:i w:val="0"/>
          <w:iCs/>
          <w:sz w:val="20"/>
          <w:szCs w:val="20"/>
          <w:lang w:val="es-ES"/>
        </w:rPr>
        <w:t>.</w:t>
      </w:r>
      <w:r w:rsidRPr="00351298">
        <w:rPr>
          <w:rFonts w:ascii="Verdana" w:hAnsi="Verdana"/>
          <w:i w:val="0"/>
          <w:iCs/>
          <w:spacing w:val="-16"/>
          <w:sz w:val="20"/>
          <w:szCs w:val="20"/>
          <w:lang w:val="es-ES"/>
        </w:rPr>
        <w:t xml:space="preserve"> </w:t>
      </w:r>
      <w:r w:rsidR="00735935" w:rsidRPr="00351298">
        <w:rPr>
          <w:rFonts w:ascii="Verdana" w:hAnsi="Verdana"/>
          <w:i w:val="0"/>
          <w:iCs/>
          <w:sz w:val="20"/>
          <w:szCs w:val="20"/>
          <w:lang w:val="es-ES"/>
        </w:rPr>
        <w:t>–</w:t>
      </w:r>
      <w:r w:rsidRPr="00351298">
        <w:rPr>
          <w:rFonts w:ascii="Verdana" w:hAnsi="Verdana"/>
          <w:i w:val="0"/>
          <w:iCs/>
          <w:spacing w:val="-16"/>
          <w:sz w:val="20"/>
          <w:szCs w:val="20"/>
          <w:lang w:val="es-ES"/>
        </w:rPr>
        <w:t xml:space="preserve"> </w:t>
      </w:r>
      <w:r w:rsidR="00735935" w:rsidRPr="00351298">
        <w:rPr>
          <w:rFonts w:ascii="Verdana" w:hAnsi="Verdana"/>
          <w:i w:val="0"/>
          <w:iCs/>
          <w:spacing w:val="-16"/>
          <w:sz w:val="20"/>
          <w:szCs w:val="20"/>
          <w:lang w:val="es-ES"/>
        </w:rPr>
        <w:t xml:space="preserve">El </w:t>
      </w:r>
      <w:r w:rsidR="00A6581B">
        <w:rPr>
          <w:rFonts w:ascii="Verdana" w:hAnsi="Verdana"/>
          <w:i w:val="0"/>
          <w:iCs/>
          <w:sz w:val="20"/>
          <w:szCs w:val="20"/>
          <w:lang w:val="es-ES"/>
        </w:rPr>
        <w:t>30</w:t>
      </w:r>
      <w:r w:rsidR="00A6581B" w:rsidRPr="00351298">
        <w:rPr>
          <w:rFonts w:ascii="Verdana" w:hAnsi="Verdana"/>
          <w:i w:val="0"/>
          <w:iCs/>
          <w:sz w:val="20"/>
          <w:szCs w:val="20"/>
          <w:lang w:val="es-ES"/>
        </w:rPr>
        <w:t xml:space="preserve"> </w:t>
      </w:r>
      <w:r w:rsidR="00735935" w:rsidRPr="00351298">
        <w:rPr>
          <w:rFonts w:ascii="Verdana" w:hAnsi="Verdana"/>
          <w:i w:val="0"/>
          <w:iCs/>
          <w:sz w:val="20"/>
          <w:szCs w:val="20"/>
          <w:lang w:val="es-ES"/>
        </w:rPr>
        <w:t xml:space="preserve">de </w:t>
      </w:r>
      <w:r w:rsidR="002936D4">
        <w:rPr>
          <w:rFonts w:ascii="Verdana" w:hAnsi="Verdana"/>
          <w:i w:val="0"/>
          <w:iCs/>
          <w:sz w:val="20"/>
          <w:szCs w:val="20"/>
          <w:lang w:val="es-ES"/>
        </w:rPr>
        <w:t>marzo</w:t>
      </w:r>
      <w:r w:rsidR="002936D4" w:rsidRPr="00351298">
        <w:rPr>
          <w:rFonts w:ascii="Verdana" w:hAnsi="Verdana"/>
          <w:i w:val="0"/>
          <w:iCs/>
          <w:sz w:val="20"/>
          <w:szCs w:val="20"/>
          <w:lang w:val="es-ES"/>
        </w:rPr>
        <w:t xml:space="preserve"> </w:t>
      </w:r>
      <w:r w:rsidR="00735935" w:rsidRPr="00351298">
        <w:rPr>
          <w:rFonts w:ascii="Verdana" w:hAnsi="Verdana"/>
          <w:i w:val="0"/>
          <w:iCs/>
          <w:sz w:val="20"/>
          <w:szCs w:val="20"/>
          <w:lang w:val="es-ES"/>
        </w:rPr>
        <w:t>de 2022</w:t>
      </w:r>
      <w:r w:rsidRPr="00351298">
        <w:rPr>
          <w:rFonts w:ascii="Verdana" w:hAnsi="Verdana"/>
          <w:i w:val="0"/>
          <w:iCs/>
          <w:sz w:val="20"/>
          <w:szCs w:val="20"/>
          <w:lang w:val="es-ES"/>
        </w:rPr>
        <w:t>,</w:t>
      </w:r>
      <w:r w:rsidRPr="00351298">
        <w:rPr>
          <w:rFonts w:ascii="Verdana" w:hAnsi="Verdana"/>
          <w:i w:val="0"/>
          <w:iCs/>
          <w:spacing w:val="-17"/>
          <w:sz w:val="20"/>
          <w:szCs w:val="20"/>
          <w:lang w:val="es-ES"/>
        </w:rPr>
        <w:t xml:space="preserve"> </w:t>
      </w:r>
      <w:r w:rsidR="00735935" w:rsidRPr="00351298">
        <w:rPr>
          <w:rFonts w:ascii="Verdana" w:hAnsi="Verdana"/>
          <w:i w:val="0"/>
          <w:iCs/>
          <w:sz w:val="20"/>
          <w:szCs w:val="20"/>
          <w:lang w:val="es-ES"/>
        </w:rPr>
        <w:t>el Estado</w:t>
      </w:r>
      <w:r w:rsidRPr="00351298">
        <w:rPr>
          <w:rFonts w:ascii="Verdana" w:hAnsi="Verdana"/>
          <w:i w:val="0"/>
          <w:iCs/>
          <w:sz w:val="20"/>
          <w:szCs w:val="20"/>
          <w:lang w:val="es-ES"/>
        </w:rPr>
        <w:t xml:space="preserve"> presentó su escrito de </w:t>
      </w:r>
      <w:r w:rsidRPr="00351298">
        <w:rPr>
          <w:rFonts w:ascii="Verdana" w:hAnsi="Verdana"/>
          <w:i w:val="0"/>
          <w:iCs/>
          <w:spacing w:val="7"/>
          <w:sz w:val="20"/>
          <w:szCs w:val="20"/>
          <w:lang w:val="es-ES"/>
        </w:rPr>
        <w:t xml:space="preserve">contestación </w:t>
      </w:r>
      <w:r w:rsidRPr="00351298">
        <w:rPr>
          <w:rFonts w:ascii="Verdana" w:hAnsi="Verdana"/>
          <w:i w:val="0"/>
          <w:iCs/>
          <w:spacing w:val="3"/>
          <w:sz w:val="20"/>
          <w:szCs w:val="20"/>
          <w:lang w:val="es-ES"/>
        </w:rPr>
        <w:t xml:space="preserve">al </w:t>
      </w:r>
      <w:r w:rsidRPr="00351298">
        <w:rPr>
          <w:rFonts w:ascii="Verdana" w:hAnsi="Verdana"/>
          <w:i w:val="0"/>
          <w:iCs/>
          <w:spacing w:val="7"/>
          <w:sz w:val="20"/>
          <w:szCs w:val="20"/>
          <w:lang w:val="es-ES"/>
        </w:rPr>
        <w:t xml:space="preserve">sometimiento </w:t>
      </w:r>
      <w:r w:rsidRPr="00351298">
        <w:rPr>
          <w:rFonts w:ascii="Verdana" w:hAnsi="Verdana"/>
          <w:i w:val="0"/>
          <w:iCs/>
          <w:spacing w:val="5"/>
          <w:sz w:val="20"/>
          <w:szCs w:val="20"/>
          <w:lang w:val="es-ES"/>
        </w:rPr>
        <w:t xml:space="preserve">del </w:t>
      </w:r>
      <w:r w:rsidRPr="00351298">
        <w:rPr>
          <w:rFonts w:ascii="Verdana" w:hAnsi="Verdana"/>
          <w:i w:val="0"/>
          <w:iCs/>
          <w:spacing w:val="6"/>
          <w:sz w:val="20"/>
          <w:szCs w:val="20"/>
          <w:lang w:val="es-ES"/>
        </w:rPr>
        <w:t xml:space="preserve">caso </w:t>
      </w:r>
      <w:r w:rsidRPr="00351298">
        <w:rPr>
          <w:rFonts w:ascii="Verdana" w:hAnsi="Verdana"/>
          <w:i w:val="0"/>
          <w:iCs/>
          <w:sz w:val="20"/>
          <w:szCs w:val="20"/>
          <w:lang w:val="es-ES"/>
        </w:rPr>
        <w:t xml:space="preserve">y </w:t>
      </w:r>
      <w:r w:rsidRPr="00351298">
        <w:rPr>
          <w:rFonts w:ascii="Verdana" w:hAnsi="Verdana"/>
          <w:i w:val="0"/>
          <w:iCs/>
          <w:spacing w:val="7"/>
          <w:sz w:val="20"/>
          <w:szCs w:val="20"/>
          <w:lang w:val="es-ES"/>
        </w:rPr>
        <w:t xml:space="preserve">observaciones </w:t>
      </w:r>
      <w:r w:rsidRPr="00351298">
        <w:rPr>
          <w:rFonts w:ascii="Verdana" w:hAnsi="Verdana"/>
          <w:i w:val="0"/>
          <w:iCs/>
          <w:spacing w:val="3"/>
          <w:sz w:val="20"/>
          <w:szCs w:val="20"/>
          <w:lang w:val="es-ES"/>
        </w:rPr>
        <w:t xml:space="preserve">al </w:t>
      </w:r>
      <w:r w:rsidRPr="00351298">
        <w:rPr>
          <w:rFonts w:ascii="Verdana" w:hAnsi="Verdana"/>
          <w:i w:val="0"/>
          <w:iCs/>
          <w:spacing w:val="6"/>
          <w:sz w:val="20"/>
          <w:szCs w:val="20"/>
          <w:lang w:val="es-ES"/>
        </w:rPr>
        <w:t xml:space="preserve">escrito </w:t>
      </w:r>
      <w:r w:rsidRPr="00351298">
        <w:rPr>
          <w:rFonts w:ascii="Verdana" w:hAnsi="Verdana"/>
          <w:i w:val="0"/>
          <w:iCs/>
          <w:spacing w:val="5"/>
          <w:sz w:val="20"/>
          <w:szCs w:val="20"/>
          <w:lang w:val="es-ES"/>
        </w:rPr>
        <w:t xml:space="preserve">de </w:t>
      </w:r>
      <w:r w:rsidRPr="00351298">
        <w:rPr>
          <w:rFonts w:ascii="Verdana" w:hAnsi="Verdana"/>
          <w:i w:val="0"/>
          <w:iCs/>
          <w:spacing w:val="7"/>
          <w:sz w:val="20"/>
          <w:szCs w:val="20"/>
          <w:lang w:val="es-ES"/>
        </w:rPr>
        <w:t xml:space="preserve">solicitudes </w:t>
      </w:r>
      <w:r w:rsidRPr="00351298">
        <w:rPr>
          <w:rFonts w:ascii="Verdana" w:hAnsi="Verdana"/>
          <w:i w:val="0"/>
          <w:iCs/>
          <w:sz w:val="20"/>
          <w:szCs w:val="20"/>
          <w:lang w:val="es-ES"/>
        </w:rPr>
        <w:t xml:space="preserve">y </w:t>
      </w:r>
      <w:r w:rsidRPr="00351298">
        <w:rPr>
          <w:rFonts w:ascii="Verdana" w:hAnsi="Verdana"/>
          <w:i w:val="0"/>
          <w:iCs/>
          <w:spacing w:val="7"/>
          <w:sz w:val="20"/>
          <w:szCs w:val="20"/>
          <w:lang w:val="es-ES"/>
        </w:rPr>
        <w:t xml:space="preserve">argumentos </w:t>
      </w:r>
      <w:r w:rsidRPr="00351298">
        <w:rPr>
          <w:rFonts w:ascii="Verdana" w:hAnsi="Verdana"/>
          <w:i w:val="0"/>
          <w:iCs/>
          <w:sz w:val="20"/>
          <w:szCs w:val="20"/>
          <w:lang w:val="es-ES"/>
        </w:rPr>
        <w:t xml:space="preserve">(en adelante “escrito de contestación”) </w:t>
      </w:r>
      <w:r w:rsidR="00735935" w:rsidRPr="00351298">
        <w:rPr>
          <w:rFonts w:ascii="Verdana" w:hAnsi="Verdana"/>
          <w:i w:val="0"/>
          <w:iCs/>
          <w:sz w:val="20"/>
          <w:szCs w:val="20"/>
          <w:lang w:val="es-CR"/>
        </w:rPr>
        <w:t xml:space="preserve">en los términos de los artículos 25 y </w:t>
      </w:r>
      <w:r w:rsidR="00AB4C46" w:rsidRPr="00351298">
        <w:rPr>
          <w:rFonts w:ascii="Verdana" w:hAnsi="Verdana"/>
          <w:i w:val="0"/>
          <w:iCs/>
          <w:sz w:val="20"/>
          <w:szCs w:val="20"/>
          <w:lang w:val="es-CR"/>
        </w:rPr>
        <w:t>41</w:t>
      </w:r>
      <w:r w:rsidR="00735935" w:rsidRPr="00351298">
        <w:rPr>
          <w:rFonts w:ascii="Verdana" w:hAnsi="Verdana"/>
          <w:i w:val="0"/>
          <w:iCs/>
          <w:sz w:val="20"/>
          <w:szCs w:val="20"/>
          <w:lang w:val="es-CR"/>
        </w:rPr>
        <w:t xml:space="preserve"> del Reglamento de la Corte. En dicho escrito, el Estado interpuso </w:t>
      </w:r>
      <w:r w:rsidR="009F21CC" w:rsidRPr="00C84C1E">
        <w:rPr>
          <w:rFonts w:ascii="Verdana" w:hAnsi="Verdana"/>
          <w:i w:val="0"/>
          <w:iCs/>
          <w:sz w:val="20"/>
          <w:szCs w:val="20"/>
          <w:lang w:val="es-CR"/>
        </w:rPr>
        <w:t>cinco</w:t>
      </w:r>
      <w:r w:rsidR="00AF15A0" w:rsidRPr="00351298">
        <w:rPr>
          <w:rFonts w:ascii="Verdana" w:hAnsi="Verdana"/>
          <w:i w:val="0"/>
          <w:iCs/>
          <w:sz w:val="20"/>
          <w:szCs w:val="20"/>
          <w:lang w:val="es-CR"/>
        </w:rPr>
        <w:t xml:space="preserve"> </w:t>
      </w:r>
      <w:r w:rsidR="00735935" w:rsidRPr="00351298">
        <w:rPr>
          <w:rFonts w:ascii="Verdana" w:hAnsi="Verdana"/>
          <w:i w:val="0"/>
          <w:iCs/>
          <w:sz w:val="20"/>
          <w:szCs w:val="20"/>
          <w:lang w:val="es-CR"/>
        </w:rPr>
        <w:t>excepciones preliminares y se opuso a las violaciones alegadas y a las medidas de reparación pr</w:t>
      </w:r>
      <w:r w:rsidR="003A07A8" w:rsidRPr="00351298">
        <w:rPr>
          <w:rFonts w:ascii="Verdana" w:hAnsi="Verdana"/>
          <w:i w:val="0"/>
          <w:iCs/>
          <w:sz w:val="20"/>
          <w:szCs w:val="20"/>
          <w:lang w:val="es-CR"/>
        </w:rPr>
        <w:t>o</w:t>
      </w:r>
      <w:r w:rsidR="00735935" w:rsidRPr="00351298">
        <w:rPr>
          <w:rFonts w:ascii="Verdana" w:hAnsi="Verdana"/>
          <w:i w:val="0"/>
          <w:iCs/>
          <w:sz w:val="20"/>
          <w:szCs w:val="20"/>
          <w:lang w:val="es-CR"/>
        </w:rPr>
        <w:t>puestas</w:t>
      </w:r>
      <w:r w:rsidR="00AB4C46" w:rsidRPr="00351298">
        <w:rPr>
          <w:rFonts w:ascii="Verdana" w:hAnsi="Verdana"/>
          <w:i w:val="0"/>
          <w:iCs/>
          <w:sz w:val="20"/>
          <w:szCs w:val="20"/>
          <w:lang w:val="es-CR"/>
        </w:rPr>
        <w:t>.</w:t>
      </w:r>
    </w:p>
    <w:p w14:paraId="1EB259DF" w14:textId="7E94EE73" w:rsidR="00A6581B" w:rsidRPr="00351298" w:rsidRDefault="00A6581B" w:rsidP="00F26F4F">
      <w:pPr>
        <w:pStyle w:val="Estilo1"/>
        <w:numPr>
          <w:ilvl w:val="0"/>
          <w:numId w:val="2"/>
        </w:numPr>
        <w:tabs>
          <w:tab w:val="left" w:pos="0"/>
        </w:tabs>
        <w:spacing w:before="120"/>
        <w:ind w:left="0" w:right="-4" w:firstLine="0"/>
        <w:jc w:val="both"/>
        <w:rPr>
          <w:rFonts w:ascii="Verdana" w:hAnsi="Verdana"/>
          <w:i w:val="0"/>
          <w:iCs/>
          <w:sz w:val="20"/>
          <w:szCs w:val="20"/>
          <w:lang w:val="es-ES"/>
        </w:rPr>
      </w:pPr>
      <w:r>
        <w:rPr>
          <w:rFonts w:ascii="Verdana" w:hAnsi="Verdana"/>
          <w:sz w:val="20"/>
          <w:szCs w:val="20"/>
          <w:lang w:val="es-ES"/>
        </w:rPr>
        <w:t>Observaciones a las excepciones preliminares.</w:t>
      </w:r>
      <w:r w:rsidR="00D6599A">
        <w:rPr>
          <w:rFonts w:ascii="Verdana" w:hAnsi="Verdana"/>
          <w:sz w:val="20"/>
          <w:szCs w:val="20"/>
          <w:lang w:val="es-ES"/>
        </w:rPr>
        <w:t xml:space="preserve"> </w:t>
      </w:r>
      <w:r w:rsidR="00D6599A" w:rsidRPr="00351298">
        <w:rPr>
          <w:rFonts w:ascii="Verdana" w:hAnsi="Verdana"/>
          <w:i w:val="0"/>
          <w:iCs/>
          <w:sz w:val="20"/>
          <w:szCs w:val="20"/>
          <w:lang w:val="es-ES"/>
        </w:rPr>
        <w:t>–</w:t>
      </w:r>
      <w:r w:rsidR="00D6599A">
        <w:rPr>
          <w:rFonts w:ascii="Verdana" w:hAnsi="Verdana"/>
          <w:i w:val="0"/>
          <w:iCs/>
          <w:sz w:val="20"/>
          <w:szCs w:val="20"/>
          <w:lang w:val="es-ES"/>
        </w:rPr>
        <w:t xml:space="preserve"> </w:t>
      </w:r>
      <w:r>
        <w:rPr>
          <w:rFonts w:ascii="Verdana" w:hAnsi="Verdana"/>
          <w:i w:val="0"/>
          <w:iCs/>
          <w:sz w:val="20"/>
          <w:szCs w:val="20"/>
          <w:lang w:val="es-ES"/>
        </w:rPr>
        <w:t>Los 21 y de mayo de 2022 los representantes y las Comisión presentaron, respectivamente, sus observaciones a las excepciones preliminares presentadas por el Estado.</w:t>
      </w:r>
    </w:p>
    <w:p w14:paraId="77FBE69C" w14:textId="33F21C46" w:rsidR="00F26F4F" w:rsidRPr="00351298" w:rsidRDefault="00F26F4F" w:rsidP="00F26F4F">
      <w:pPr>
        <w:pStyle w:val="Estilo1"/>
        <w:numPr>
          <w:ilvl w:val="0"/>
          <w:numId w:val="2"/>
        </w:numPr>
        <w:tabs>
          <w:tab w:val="left" w:pos="0"/>
        </w:tabs>
        <w:spacing w:before="120"/>
        <w:ind w:left="0" w:right="-4" w:firstLine="0"/>
        <w:jc w:val="both"/>
        <w:rPr>
          <w:rFonts w:ascii="Verdana" w:hAnsi="Verdana"/>
          <w:i w:val="0"/>
          <w:sz w:val="20"/>
          <w:szCs w:val="20"/>
          <w:lang w:val="es-ES"/>
        </w:rPr>
      </w:pPr>
      <w:r w:rsidRPr="00351298">
        <w:rPr>
          <w:rFonts w:ascii="Verdana" w:hAnsi="Verdana"/>
          <w:sz w:val="20"/>
          <w:szCs w:val="20"/>
          <w:lang w:val="es-ES"/>
        </w:rPr>
        <w:t xml:space="preserve">Medidas Provisionales. </w:t>
      </w:r>
      <w:r w:rsidRPr="6E159DF8">
        <w:rPr>
          <w:rFonts w:ascii="Verdana" w:hAnsi="Verdana"/>
          <w:i w:val="0"/>
          <w:sz w:val="20"/>
          <w:szCs w:val="20"/>
          <w:lang w:val="es-ES"/>
        </w:rPr>
        <w:t>–</w:t>
      </w:r>
      <w:r w:rsidR="00BF314C" w:rsidRPr="6E159DF8">
        <w:rPr>
          <w:rFonts w:ascii="Verdana" w:hAnsi="Verdana"/>
          <w:i w:val="0"/>
          <w:sz w:val="20"/>
          <w:szCs w:val="20"/>
          <w:lang w:val="es-ES"/>
        </w:rPr>
        <w:t xml:space="preserve"> Mediante Resolución de </w:t>
      </w:r>
      <w:r w:rsidR="00BF314C" w:rsidRPr="6E159DF8">
        <w:rPr>
          <w:rFonts w:ascii="Verdana" w:eastAsiaTheme="minorEastAsia" w:hAnsi="Verdana" w:cs="Verdana"/>
          <w:i w:val="0"/>
          <w:sz w:val="20"/>
          <w:szCs w:val="20"/>
          <w:lang w:eastAsia="en-US"/>
        </w:rPr>
        <w:t>25 de agosto de 2022</w:t>
      </w:r>
      <w:r w:rsidR="00BF314C" w:rsidRPr="6E159DF8">
        <w:rPr>
          <w:rFonts w:ascii="Verdana" w:hAnsi="Verdana"/>
          <w:i w:val="0"/>
          <w:sz w:val="20"/>
          <w:szCs w:val="20"/>
          <w:lang w:val="es-ES"/>
        </w:rPr>
        <w:t xml:space="preserve">, la Corte rechazó una solicitud de medidas provisionales presentada </w:t>
      </w:r>
      <w:r w:rsidR="00A75D69" w:rsidRPr="6E159DF8">
        <w:rPr>
          <w:rFonts w:ascii="Verdana" w:hAnsi="Verdana"/>
          <w:i w:val="0"/>
          <w:sz w:val="20"/>
          <w:szCs w:val="20"/>
          <w:lang w:val="es-ES"/>
        </w:rPr>
        <w:t xml:space="preserve">por </w:t>
      </w:r>
      <w:r w:rsidR="00BF314C" w:rsidRPr="6E159DF8">
        <w:rPr>
          <w:rFonts w:ascii="Verdana" w:hAnsi="Verdana"/>
          <w:i w:val="0"/>
          <w:sz w:val="20"/>
          <w:szCs w:val="20"/>
          <w:lang w:val="es-ES"/>
        </w:rPr>
        <w:t>los representantes de las presuntas víctimas el 14 de mayo de 2022</w:t>
      </w:r>
      <w:r w:rsidR="00430C6D" w:rsidRPr="6E159DF8">
        <w:rPr>
          <w:rStyle w:val="Refdenotaalpie"/>
          <w:rFonts w:ascii="Verdana" w:eastAsiaTheme="minorEastAsia" w:hAnsi="Verdana"/>
          <w:i w:val="0"/>
          <w:sz w:val="20"/>
          <w:lang w:eastAsia="en-US"/>
        </w:rPr>
        <w:footnoteReference w:id="7"/>
      </w:r>
      <w:r w:rsidR="004550EE" w:rsidRPr="6E159DF8">
        <w:rPr>
          <w:rFonts w:ascii="Verdana" w:eastAsiaTheme="minorEastAsia" w:hAnsi="Verdana" w:cs="Verdana"/>
          <w:i w:val="0"/>
          <w:sz w:val="20"/>
          <w:szCs w:val="20"/>
          <w:lang w:eastAsia="en-US"/>
        </w:rPr>
        <w:t>.</w:t>
      </w:r>
    </w:p>
    <w:p w14:paraId="4541F259" w14:textId="1E33B578" w:rsidR="007A4658" w:rsidRPr="00351298" w:rsidRDefault="007A4658" w:rsidP="00F26F4F">
      <w:pPr>
        <w:pStyle w:val="Estilo1"/>
        <w:numPr>
          <w:ilvl w:val="0"/>
          <w:numId w:val="2"/>
        </w:numPr>
        <w:tabs>
          <w:tab w:val="left" w:pos="0"/>
        </w:tabs>
        <w:spacing w:before="120"/>
        <w:ind w:left="0" w:right="-4" w:firstLine="0"/>
        <w:jc w:val="both"/>
        <w:rPr>
          <w:rFonts w:ascii="Verdana" w:hAnsi="Verdana"/>
          <w:i w:val="0"/>
          <w:sz w:val="20"/>
          <w:szCs w:val="20"/>
          <w:lang w:val="es-ES"/>
        </w:rPr>
      </w:pPr>
      <w:r w:rsidRPr="00351298">
        <w:rPr>
          <w:rFonts w:ascii="Verdana" w:hAnsi="Verdana"/>
          <w:sz w:val="20"/>
          <w:szCs w:val="20"/>
          <w:lang w:val="es-ES"/>
        </w:rPr>
        <w:t xml:space="preserve">Prueba superviniente. – </w:t>
      </w:r>
      <w:r w:rsidR="00A6581B">
        <w:rPr>
          <w:rFonts w:ascii="Verdana" w:hAnsi="Verdana"/>
          <w:i w:val="0"/>
          <w:sz w:val="20"/>
          <w:szCs w:val="20"/>
          <w:lang w:val="es-ES"/>
        </w:rPr>
        <w:t>E</w:t>
      </w:r>
      <w:r w:rsidRPr="6E159DF8">
        <w:rPr>
          <w:rFonts w:ascii="Verdana" w:hAnsi="Verdana"/>
          <w:i w:val="0"/>
          <w:sz w:val="20"/>
          <w:szCs w:val="20"/>
          <w:lang w:val="es-ES"/>
        </w:rPr>
        <w:t xml:space="preserve">l 24 de agosto de 2022, </w:t>
      </w:r>
      <w:r w:rsidR="00A75D69" w:rsidRPr="6E159DF8">
        <w:rPr>
          <w:rFonts w:ascii="Verdana" w:hAnsi="Verdana"/>
          <w:i w:val="0"/>
          <w:sz w:val="20"/>
          <w:szCs w:val="20"/>
          <w:lang w:val="es-ES"/>
        </w:rPr>
        <w:t>l</w:t>
      </w:r>
      <w:r w:rsidRPr="6E159DF8">
        <w:rPr>
          <w:rFonts w:ascii="Verdana" w:hAnsi="Verdana"/>
          <w:i w:val="0"/>
          <w:sz w:val="20"/>
          <w:szCs w:val="20"/>
          <w:lang w:val="es-ES"/>
        </w:rPr>
        <w:t xml:space="preserve">os representantes remitieron la sentencia </w:t>
      </w:r>
      <w:r w:rsidR="0044174B" w:rsidRPr="6E159DF8">
        <w:rPr>
          <w:rFonts w:ascii="Verdana" w:hAnsi="Verdana"/>
          <w:i w:val="0"/>
          <w:sz w:val="20"/>
          <w:szCs w:val="20"/>
          <w:lang w:val="es-ES"/>
        </w:rPr>
        <w:t xml:space="preserve">del </w:t>
      </w:r>
      <w:bookmarkStart w:id="29" w:name="_Hlk118470762"/>
      <w:r w:rsidR="00A75D69" w:rsidRPr="6E159DF8">
        <w:rPr>
          <w:rFonts w:ascii="Verdana" w:hAnsi="Verdana"/>
          <w:i w:val="0"/>
          <w:sz w:val="20"/>
          <w:szCs w:val="20"/>
          <w:lang w:val="es-ES"/>
        </w:rPr>
        <w:t>Juzgado Penal del Distrito Judicial de Tlalnepantla</w:t>
      </w:r>
      <w:bookmarkEnd w:id="29"/>
      <w:r w:rsidRPr="6E159DF8">
        <w:rPr>
          <w:rFonts w:ascii="Verdana" w:hAnsi="Verdana"/>
          <w:i w:val="0"/>
          <w:sz w:val="20"/>
          <w:szCs w:val="20"/>
          <w:lang w:val="es-ES"/>
        </w:rPr>
        <w:t>, emitida el 12 de mayo de 2022, en contra de los señores Daniel García y Reyes Alpízar, en calidad de prueba superviniente</w:t>
      </w:r>
      <w:r w:rsidR="00196A88" w:rsidRPr="6E159DF8">
        <w:rPr>
          <w:rStyle w:val="Refdenotaalpie"/>
          <w:rFonts w:ascii="Verdana" w:eastAsiaTheme="minorEastAsia" w:hAnsi="Verdana"/>
          <w:i w:val="0"/>
          <w:sz w:val="20"/>
          <w:lang w:eastAsia="en-US"/>
        </w:rPr>
        <w:footnoteReference w:id="8"/>
      </w:r>
      <w:r w:rsidR="00196A88" w:rsidRPr="6E159DF8">
        <w:rPr>
          <w:rFonts w:ascii="Verdana" w:hAnsi="Verdana"/>
          <w:i w:val="0"/>
          <w:sz w:val="20"/>
          <w:szCs w:val="20"/>
          <w:lang w:val="es-ES"/>
        </w:rPr>
        <w:t>.</w:t>
      </w:r>
      <w:r w:rsidRPr="6E159DF8">
        <w:rPr>
          <w:rFonts w:ascii="Verdana" w:hAnsi="Verdana"/>
          <w:i w:val="0"/>
          <w:sz w:val="20"/>
          <w:szCs w:val="20"/>
          <w:lang w:val="es-ES"/>
        </w:rPr>
        <w:t xml:space="preserve"> </w:t>
      </w:r>
      <w:r w:rsidRPr="00351298">
        <w:rPr>
          <w:rFonts w:ascii="Verdana" w:hAnsi="Verdana"/>
          <w:sz w:val="20"/>
          <w:szCs w:val="20"/>
          <w:lang w:val="es-ES"/>
        </w:rPr>
        <w:t xml:space="preserve"> </w:t>
      </w:r>
    </w:p>
    <w:p w14:paraId="6421EDC0" w14:textId="3B942B7C" w:rsidR="00A6280E" w:rsidRPr="00351298" w:rsidRDefault="00A23AD4" w:rsidP="00A6280E">
      <w:pPr>
        <w:pStyle w:val="Estilo1"/>
        <w:numPr>
          <w:ilvl w:val="0"/>
          <w:numId w:val="2"/>
        </w:numPr>
        <w:tabs>
          <w:tab w:val="left" w:pos="0"/>
        </w:tabs>
        <w:spacing w:before="120"/>
        <w:ind w:left="0" w:right="-4" w:firstLine="0"/>
        <w:jc w:val="both"/>
        <w:rPr>
          <w:rFonts w:ascii="Verdana" w:hAnsi="Verdana"/>
          <w:sz w:val="20"/>
          <w:szCs w:val="20"/>
          <w:lang w:val="es-ES"/>
        </w:rPr>
      </w:pPr>
      <w:r w:rsidRPr="00351298">
        <w:rPr>
          <w:rFonts w:ascii="Verdana" w:hAnsi="Verdana"/>
          <w:sz w:val="20"/>
          <w:szCs w:val="20"/>
          <w:lang w:val="es-ES"/>
        </w:rPr>
        <w:lastRenderedPageBreak/>
        <w:t xml:space="preserve">Audiencia Pública. </w:t>
      </w:r>
      <w:r w:rsidRPr="6E159DF8">
        <w:rPr>
          <w:rFonts w:ascii="Verdana" w:hAnsi="Verdana"/>
          <w:i w:val="0"/>
          <w:sz w:val="20"/>
          <w:szCs w:val="20"/>
          <w:lang w:val="es-ES"/>
        </w:rPr>
        <w:t xml:space="preserve">– </w:t>
      </w:r>
      <w:r w:rsidR="004353CC" w:rsidRPr="6E159DF8">
        <w:rPr>
          <w:rFonts w:ascii="Verdana" w:hAnsi="Verdana"/>
          <w:i w:val="0"/>
          <w:sz w:val="20"/>
          <w:szCs w:val="20"/>
          <w:lang w:val="es-ES"/>
        </w:rPr>
        <w:t>El</w:t>
      </w:r>
      <w:r w:rsidRPr="6E159DF8">
        <w:rPr>
          <w:rFonts w:ascii="Verdana" w:hAnsi="Verdana"/>
          <w:i w:val="0"/>
          <w:sz w:val="20"/>
          <w:szCs w:val="20"/>
          <w:lang w:val="es-ES"/>
        </w:rPr>
        <w:t xml:space="preserve"> </w:t>
      </w:r>
      <w:r w:rsidR="00984519" w:rsidRPr="6E159DF8">
        <w:rPr>
          <w:rFonts w:ascii="Verdana" w:hAnsi="Verdana"/>
          <w:i w:val="0"/>
          <w:sz w:val="20"/>
          <w:szCs w:val="20"/>
          <w:lang w:val="es-ES"/>
        </w:rPr>
        <w:t xml:space="preserve">6 </w:t>
      </w:r>
      <w:r w:rsidR="00AB4C46" w:rsidRPr="6E159DF8">
        <w:rPr>
          <w:rFonts w:ascii="Verdana" w:hAnsi="Verdana"/>
          <w:i w:val="0"/>
          <w:sz w:val="20"/>
          <w:szCs w:val="20"/>
          <w:lang w:val="es-ES"/>
        </w:rPr>
        <w:t xml:space="preserve">de </w:t>
      </w:r>
      <w:r w:rsidR="00984519" w:rsidRPr="6E159DF8">
        <w:rPr>
          <w:rFonts w:ascii="Verdana" w:hAnsi="Verdana"/>
          <w:i w:val="0"/>
          <w:sz w:val="20"/>
          <w:szCs w:val="20"/>
          <w:lang w:val="es-ES"/>
        </w:rPr>
        <w:t>julio</w:t>
      </w:r>
      <w:r w:rsidRPr="6E159DF8">
        <w:rPr>
          <w:rFonts w:ascii="Verdana" w:hAnsi="Verdana"/>
          <w:i w:val="0"/>
          <w:sz w:val="20"/>
          <w:szCs w:val="20"/>
          <w:lang w:val="es-ES"/>
        </w:rPr>
        <w:t xml:space="preserve"> de 202</w:t>
      </w:r>
      <w:r w:rsidR="00AB4C46" w:rsidRPr="6E159DF8">
        <w:rPr>
          <w:rFonts w:ascii="Verdana" w:hAnsi="Verdana"/>
          <w:i w:val="0"/>
          <w:sz w:val="20"/>
          <w:szCs w:val="20"/>
          <w:lang w:val="es-ES"/>
        </w:rPr>
        <w:t>2</w:t>
      </w:r>
      <w:r w:rsidRPr="6E159DF8">
        <w:rPr>
          <w:rStyle w:val="Refdenotaalpie"/>
          <w:rFonts w:ascii="Verdana" w:hAnsi="Verdana"/>
          <w:i w:val="0"/>
          <w:sz w:val="20"/>
          <w:lang w:val="es-ES"/>
        </w:rPr>
        <w:footnoteReference w:id="9"/>
      </w:r>
      <w:r w:rsidRPr="6E159DF8">
        <w:rPr>
          <w:rFonts w:ascii="Verdana" w:hAnsi="Verdana"/>
          <w:i w:val="0"/>
          <w:sz w:val="20"/>
          <w:szCs w:val="20"/>
          <w:lang w:val="es-ES"/>
        </w:rPr>
        <w:t xml:space="preserve">, </w:t>
      </w:r>
      <w:r w:rsidR="0044174B" w:rsidRPr="6E159DF8">
        <w:rPr>
          <w:rFonts w:ascii="Verdana" w:hAnsi="Verdana"/>
          <w:i w:val="0"/>
          <w:sz w:val="20"/>
          <w:szCs w:val="20"/>
          <w:lang w:val="es-ES"/>
        </w:rPr>
        <w:t xml:space="preserve">el Presidente de la Corte convocó a las partes y a la Comisión a una audiencia pública sobre las excepciones preliminares y eventuales fondo, reparaciones y costas. Mediante </w:t>
      </w:r>
      <w:r w:rsidR="0044174B" w:rsidRPr="6E159DF8">
        <w:rPr>
          <w:rFonts w:ascii="Verdana" w:hAnsi="Verdana"/>
          <w:i w:val="0"/>
          <w:sz w:val="20"/>
          <w:szCs w:val="20"/>
        </w:rPr>
        <w:t xml:space="preserve">dicha Resolución, se convocó a declarar en la audiencia pública a </w:t>
      </w:r>
      <w:r w:rsidR="00883CEA" w:rsidRPr="6E159DF8">
        <w:rPr>
          <w:rFonts w:ascii="Verdana" w:hAnsi="Verdana"/>
          <w:i w:val="0"/>
          <w:sz w:val="20"/>
          <w:szCs w:val="20"/>
        </w:rPr>
        <w:t xml:space="preserve">una </w:t>
      </w:r>
      <w:r w:rsidR="0044174B" w:rsidRPr="6E159DF8">
        <w:rPr>
          <w:rFonts w:ascii="Verdana" w:hAnsi="Verdana"/>
          <w:i w:val="0"/>
          <w:sz w:val="20"/>
          <w:szCs w:val="20"/>
        </w:rPr>
        <w:t>presunta víctima,</w:t>
      </w:r>
      <w:r w:rsidR="00C84C1E">
        <w:rPr>
          <w:rFonts w:ascii="Verdana" w:hAnsi="Verdana"/>
          <w:i w:val="0"/>
          <w:sz w:val="20"/>
          <w:szCs w:val="20"/>
        </w:rPr>
        <w:t xml:space="preserve"> y</w:t>
      </w:r>
      <w:r w:rsidR="0044174B" w:rsidRPr="6E159DF8">
        <w:rPr>
          <w:rFonts w:ascii="Verdana" w:hAnsi="Verdana"/>
          <w:i w:val="0"/>
          <w:sz w:val="20"/>
          <w:szCs w:val="20"/>
        </w:rPr>
        <w:t xml:space="preserve"> un perito propuesto por los representantes</w:t>
      </w:r>
      <w:r w:rsidR="00C84C1E" w:rsidRPr="00F437EC">
        <w:rPr>
          <w:rStyle w:val="Refdenotaalpie"/>
          <w:rFonts w:ascii="Verdana" w:hAnsi="Verdana"/>
          <w:i w:val="0"/>
          <w:iCs/>
          <w:sz w:val="20"/>
        </w:rPr>
        <w:footnoteReference w:id="10"/>
      </w:r>
      <w:r w:rsidR="00A6581B">
        <w:rPr>
          <w:rFonts w:ascii="Verdana" w:hAnsi="Verdana"/>
          <w:i w:val="0"/>
          <w:sz w:val="20"/>
          <w:szCs w:val="20"/>
        </w:rPr>
        <w:t>.</w:t>
      </w:r>
      <w:r w:rsidR="0044174B" w:rsidRPr="6E159DF8">
        <w:rPr>
          <w:rFonts w:ascii="Verdana" w:hAnsi="Verdana"/>
          <w:i w:val="0"/>
          <w:sz w:val="20"/>
          <w:szCs w:val="20"/>
        </w:rPr>
        <w:t xml:space="preserve"> </w:t>
      </w:r>
      <w:r w:rsidR="00A6581B">
        <w:rPr>
          <w:rFonts w:ascii="Verdana" w:hAnsi="Verdana"/>
          <w:i w:val="0"/>
          <w:sz w:val="20"/>
          <w:szCs w:val="20"/>
        </w:rPr>
        <w:t>A</w:t>
      </w:r>
      <w:r w:rsidR="0044174B" w:rsidRPr="6E159DF8">
        <w:rPr>
          <w:rFonts w:ascii="Verdana" w:hAnsi="Verdana"/>
          <w:i w:val="0"/>
          <w:sz w:val="20"/>
          <w:szCs w:val="20"/>
        </w:rPr>
        <w:t>dicionalmente, se ordenó recibir las declaraciones rendidas ante fedatario público (</w:t>
      </w:r>
      <w:r w:rsidR="0044174B" w:rsidRPr="00351298">
        <w:rPr>
          <w:rFonts w:ascii="Verdana" w:hAnsi="Verdana"/>
          <w:sz w:val="20"/>
          <w:szCs w:val="20"/>
        </w:rPr>
        <w:t>affidavit</w:t>
      </w:r>
      <w:r w:rsidR="0044174B" w:rsidRPr="6E159DF8">
        <w:rPr>
          <w:rFonts w:ascii="Verdana" w:hAnsi="Verdana"/>
          <w:i w:val="0"/>
          <w:sz w:val="20"/>
          <w:szCs w:val="20"/>
        </w:rPr>
        <w:t xml:space="preserve">) de </w:t>
      </w:r>
      <w:r w:rsidR="00883CEA" w:rsidRPr="6E159DF8">
        <w:rPr>
          <w:rFonts w:ascii="Verdana" w:hAnsi="Verdana"/>
          <w:i w:val="0"/>
          <w:sz w:val="20"/>
          <w:szCs w:val="20"/>
        </w:rPr>
        <w:t xml:space="preserve">la otra </w:t>
      </w:r>
      <w:r w:rsidR="0044174B" w:rsidRPr="6E159DF8">
        <w:rPr>
          <w:rFonts w:ascii="Verdana" w:hAnsi="Verdana"/>
          <w:i w:val="0"/>
          <w:sz w:val="20"/>
          <w:szCs w:val="20"/>
        </w:rPr>
        <w:t>presunta víctima</w:t>
      </w:r>
      <w:r w:rsidR="00883CEA" w:rsidRPr="6E159DF8">
        <w:rPr>
          <w:rFonts w:ascii="Verdana" w:hAnsi="Verdana"/>
          <w:i w:val="0"/>
          <w:sz w:val="20"/>
          <w:szCs w:val="20"/>
        </w:rPr>
        <w:t>, de cuatro de sus familiares</w:t>
      </w:r>
      <w:r w:rsidR="0044174B" w:rsidRPr="6E159DF8">
        <w:rPr>
          <w:rFonts w:ascii="Verdana" w:hAnsi="Verdana"/>
          <w:i w:val="0"/>
          <w:sz w:val="20"/>
          <w:szCs w:val="20"/>
        </w:rPr>
        <w:t xml:space="preserve">, </w:t>
      </w:r>
      <w:r w:rsidR="00883CEA" w:rsidRPr="6E159DF8">
        <w:rPr>
          <w:rFonts w:ascii="Verdana" w:hAnsi="Verdana"/>
          <w:i w:val="0"/>
          <w:sz w:val="20"/>
          <w:szCs w:val="20"/>
        </w:rPr>
        <w:t xml:space="preserve">de </w:t>
      </w:r>
      <w:r w:rsidR="0044174B" w:rsidRPr="6E159DF8">
        <w:rPr>
          <w:rFonts w:ascii="Verdana" w:hAnsi="Verdana"/>
          <w:i w:val="0"/>
          <w:sz w:val="20"/>
          <w:szCs w:val="20"/>
        </w:rPr>
        <w:t xml:space="preserve">dos testigos </w:t>
      </w:r>
      <w:r w:rsidR="00C84C1E">
        <w:rPr>
          <w:rFonts w:ascii="Verdana" w:hAnsi="Verdana"/>
          <w:i w:val="0"/>
          <w:sz w:val="20"/>
          <w:szCs w:val="20"/>
        </w:rPr>
        <w:t>ofrecidos por el Estado, un perito ofrecido por el Estado y un perito ofrecido por la Comisión</w:t>
      </w:r>
      <w:r w:rsidR="00C84C1E" w:rsidRPr="00F437EC">
        <w:rPr>
          <w:rStyle w:val="Refdenotaalpie"/>
          <w:rFonts w:ascii="Verdana" w:hAnsi="Verdana"/>
          <w:i w:val="0"/>
          <w:iCs/>
          <w:sz w:val="20"/>
        </w:rPr>
        <w:footnoteReference w:id="11"/>
      </w:r>
      <w:r w:rsidR="008B73FA" w:rsidRPr="6E159DF8">
        <w:rPr>
          <w:rFonts w:ascii="Verdana" w:hAnsi="Verdana"/>
          <w:i w:val="0"/>
          <w:sz w:val="20"/>
          <w:szCs w:val="20"/>
        </w:rPr>
        <w:t xml:space="preserve">. </w:t>
      </w:r>
      <w:r w:rsidR="00883CEA" w:rsidRPr="6E159DF8">
        <w:rPr>
          <w:rFonts w:ascii="Verdana" w:hAnsi="Verdana"/>
          <w:i w:val="0"/>
          <w:sz w:val="20"/>
          <w:szCs w:val="20"/>
          <w:lang w:val="es-ES"/>
        </w:rPr>
        <w:t xml:space="preserve">Por </w:t>
      </w:r>
      <w:r w:rsidR="0044174B" w:rsidRPr="6E159DF8">
        <w:rPr>
          <w:rFonts w:ascii="Verdana" w:hAnsi="Verdana"/>
          <w:i w:val="0"/>
          <w:sz w:val="20"/>
          <w:szCs w:val="20"/>
          <w:lang w:val="es-ES"/>
        </w:rPr>
        <w:t>Resolución de 27 de julio de 2022</w:t>
      </w:r>
      <w:r w:rsidR="00DC1649" w:rsidRPr="6E159DF8">
        <w:rPr>
          <w:rStyle w:val="Refdenotaalpie"/>
          <w:rFonts w:ascii="Verdana" w:hAnsi="Verdana"/>
          <w:i w:val="0"/>
          <w:sz w:val="20"/>
          <w:lang w:val="es-ES"/>
        </w:rPr>
        <w:footnoteReference w:id="12"/>
      </w:r>
      <w:r w:rsidR="008B73FA" w:rsidRPr="6E159DF8">
        <w:rPr>
          <w:rFonts w:ascii="Verdana" w:hAnsi="Verdana"/>
          <w:i w:val="0"/>
          <w:sz w:val="20"/>
          <w:szCs w:val="20"/>
          <w:lang w:val="es-ES"/>
        </w:rPr>
        <w:t xml:space="preserve"> </w:t>
      </w:r>
      <w:r w:rsidR="0044174B" w:rsidRPr="6E159DF8">
        <w:rPr>
          <w:rFonts w:ascii="Verdana" w:hAnsi="Verdana"/>
          <w:i w:val="0"/>
          <w:sz w:val="20"/>
          <w:szCs w:val="20"/>
          <w:lang w:val="es-ES"/>
        </w:rPr>
        <w:t>se ordenó</w:t>
      </w:r>
      <w:r w:rsidR="0044174B" w:rsidRPr="6E159DF8">
        <w:rPr>
          <w:rFonts w:ascii="Verdana" w:hAnsi="Verdana"/>
          <w:i w:val="0"/>
          <w:sz w:val="20"/>
          <w:szCs w:val="20"/>
        </w:rPr>
        <w:t xml:space="preserve"> cambiar la modalidad de la declaración pericial de Rogelio Arturo Bárcena Zubieta, para que fuese recibida durante la audiencia pública, y se ordenó recabar el peritaje de Jorge Ulises Carmona mediante declaración ante fedatario público</w:t>
      </w:r>
      <w:r w:rsidR="00E95DF5" w:rsidRPr="00D04822">
        <w:rPr>
          <w:rStyle w:val="Refdenotaalpie"/>
          <w:rFonts w:ascii="Verdana" w:hAnsi="Verdana"/>
          <w:i w:val="0"/>
          <w:iCs/>
          <w:sz w:val="20"/>
        </w:rPr>
        <w:footnoteReference w:id="13"/>
      </w:r>
      <w:r w:rsidR="00E000A9" w:rsidRPr="6E159DF8">
        <w:rPr>
          <w:rFonts w:ascii="Verdana" w:hAnsi="Verdana"/>
          <w:i w:val="0"/>
          <w:sz w:val="20"/>
          <w:szCs w:val="20"/>
          <w:lang w:val="es-ES"/>
        </w:rPr>
        <w:t xml:space="preserve">. </w:t>
      </w:r>
      <w:r w:rsidR="0044174B" w:rsidRPr="6E159DF8">
        <w:rPr>
          <w:rFonts w:ascii="Verdana" w:hAnsi="Verdana"/>
          <w:i w:val="0"/>
          <w:sz w:val="20"/>
          <w:szCs w:val="20"/>
          <w:lang w:val="es-ES"/>
        </w:rPr>
        <w:t xml:space="preserve">La audiencia pública se celebró el 26 de agosto de 2022, durante el 150° </w:t>
      </w:r>
      <w:r w:rsidR="00D6599A" w:rsidRPr="6E159DF8">
        <w:rPr>
          <w:rFonts w:ascii="Verdana" w:hAnsi="Verdana"/>
          <w:i w:val="0"/>
          <w:sz w:val="20"/>
          <w:szCs w:val="20"/>
          <w:lang w:val="es-ES"/>
        </w:rPr>
        <w:t>Período Ordinario</w:t>
      </w:r>
      <w:r w:rsidR="00D6599A" w:rsidRPr="6E159DF8">
        <w:rPr>
          <w:rFonts w:ascii="Verdana" w:hAnsi="Verdana"/>
          <w:i w:val="0"/>
          <w:spacing w:val="-35"/>
          <w:sz w:val="20"/>
          <w:szCs w:val="20"/>
          <w:lang w:val="es-ES"/>
        </w:rPr>
        <w:t xml:space="preserve"> </w:t>
      </w:r>
      <w:r w:rsidR="00D6599A" w:rsidRPr="6E159DF8">
        <w:rPr>
          <w:rFonts w:ascii="Verdana" w:hAnsi="Verdana"/>
          <w:i w:val="0"/>
          <w:sz w:val="20"/>
          <w:szCs w:val="20"/>
          <w:lang w:val="es-ES"/>
        </w:rPr>
        <w:t xml:space="preserve">de Sesiones de la Corte, </w:t>
      </w:r>
      <w:r w:rsidR="00D6599A">
        <w:rPr>
          <w:rFonts w:ascii="Verdana" w:hAnsi="Verdana"/>
          <w:i w:val="0"/>
          <w:sz w:val="20"/>
          <w:szCs w:val="20"/>
          <w:lang w:val="es-ES"/>
        </w:rPr>
        <w:t>que se llevó a cabo en la ciudad de Brasilia</w:t>
      </w:r>
      <w:r w:rsidR="00D6599A" w:rsidRPr="6E159DF8">
        <w:rPr>
          <w:rFonts w:ascii="Verdana" w:hAnsi="Verdana"/>
          <w:i w:val="0"/>
          <w:sz w:val="20"/>
          <w:szCs w:val="20"/>
          <w:lang w:val="es-ES"/>
        </w:rPr>
        <w:t xml:space="preserve">, </w:t>
      </w:r>
      <w:r w:rsidR="00D6599A">
        <w:rPr>
          <w:rFonts w:ascii="Verdana" w:hAnsi="Verdana"/>
          <w:i w:val="0"/>
          <w:sz w:val="20"/>
          <w:szCs w:val="20"/>
          <w:lang w:val="es-ES"/>
        </w:rPr>
        <w:t xml:space="preserve">República Federativa de </w:t>
      </w:r>
      <w:r w:rsidR="00D6599A" w:rsidRPr="6E159DF8">
        <w:rPr>
          <w:rFonts w:ascii="Verdana" w:hAnsi="Verdana"/>
          <w:i w:val="0"/>
          <w:sz w:val="20"/>
          <w:szCs w:val="20"/>
          <w:lang w:val="es-ES"/>
        </w:rPr>
        <w:t>Brasil</w:t>
      </w:r>
      <w:r w:rsidR="00AE3CC1" w:rsidRPr="6E159DF8">
        <w:rPr>
          <w:rStyle w:val="Refdenotaalpie"/>
          <w:rFonts w:ascii="Verdana" w:hAnsi="Verdana"/>
          <w:i w:val="0"/>
          <w:sz w:val="20"/>
          <w:lang w:val="es-ES"/>
        </w:rPr>
        <w:footnoteReference w:id="14"/>
      </w:r>
      <w:r w:rsidR="00AE3CC1" w:rsidRPr="6E159DF8">
        <w:rPr>
          <w:rFonts w:ascii="Verdana" w:hAnsi="Verdana"/>
          <w:i w:val="0"/>
          <w:sz w:val="20"/>
          <w:szCs w:val="20"/>
          <w:lang w:val="es-ES"/>
        </w:rPr>
        <w:t>.</w:t>
      </w:r>
    </w:p>
    <w:p w14:paraId="01EBC193" w14:textId="34337D12" w:rsidR="00A23AD4" w:rsidRPr="00351298" w:rsidRDefault="0044174B" w:rsidP="00A6280E">
      <w:pPr>
        <w:pStyle w:val="Estilo1"/>
        <w:numPr>
          <w:ilvl w:val="0"/>
          <w:numId w:val="2"/>
        </w:numPr>
        <w:tabs>
          <w:tab w:val="left" w:pos="0"/>
        </w:tabs>
        <w:spacing w:before="120"/>
        <w:ind w:left="0" w:right="-4" w:firstLine="0"/>
        <w:jc w:val="both"/>
        <w:rPr>
          <w:rFonts w:ascii="Verdana" w:hAnsi="Verdana"/>
          <w:sz w:val="20"/>
          <w:szCs w:val="20"/>
          <w:lang w:val="es-ES"/>
        </w:rPr>
      </w:pPr>
      <w:r w:rsidRPr="00351298">
        <w:rPr>
          <w:rFonts w:ascii="Verdana" w:hAnsi="Verdana"/>
          <w:sz w:val="20"/>
          <w:szCs w:val="20"/>
          <w:lang w:val="es-ES"/>
        </w:rPr>
        <w:t xml:space="preserve">Amici curiae. </w:t>
      </w:r>
      <w:r w:rsidRPr="6E159DF8">
        <w:rPr>
          <w:rFonts w:ascii="Verdana" w:hAnsi="Verdana"/>
          <w:i w:val="0"/>
          <w:sz w:val="20"/>
          <w:szCs w:val="20"/>
          <w:lang w:val="es-ES"/>
        </w:rPr>
        <w:t xml:space="preserve">– El Tribunal recibió 18 escritos en calidad de </w:t>
      </w:r>
      <w:r w:rsidRPr="00351298">
        <w:rPr>
          <w:rFonts w:ascii="Verdana" w:hAnsi="Verdana"/>
          <w:sz w:val="20"/>
          <w:szCs w:val="20"/>
          <w:lang w:val="es-ES"/>
        </w:rPr>
        <w:t>amicus curiae</w:t>
      </w:r>
      <w:r w:rsidRPr="6E159DF8">
        <w:rPr>
          <w:rFonts w:ascii="Verdana" w:hAnsi="Verdana"/>
          <w:i w:val="0"/>
          <w:sz w:val="20"/>
          <w:szCs w:val="20"/>
          <w:lang w:val="es-ES"/>
        </w:rPr>
        <w:t xml:space="preserve"> presentados por: 1) el Instituto Federal de Defensoría Pública</w:t>
      </w:r>
      <w:r w:rsidRPr="6E159DF8">
        <w:rPr>
          <w:rStyle w:val="Refdenotaalpie"/>
          <w:rFonts w:ascii="Verdana" w:hAnsi="Verdana"/>
          <w:i w:val="0"/>
          <w:sz w:val="20"/>
          <w:lang w:val="es-ES"/>
        </w:rPr>
        <w:footnoteReference w:id="15"/>
      </w:r>
      <w:r w:rsidRPr="6E159DF8">
        <w:rPr>
          <w:rFonts w:ascii="Verdana" w:hAnsi="Verdana"/>
          <w:i w:val="0"/>
          <w:sz w:val="20"/>
          <w:szCs w:val="20"/>
          <w:lang w:val="es-ES"/>
        </w:rPr>
        <w:t>; 2) Alfonso Jaime Martínez Lazcano</w:t>
      </w:r>
      <w:r w:rsidRPr="6E159DF8">
        <w:rPr>
          <w:rStyle w:val="Refdenotaalpie"/>
          <w:rFonts w:ascii="Verdana" w:hAnsi="Verdana"/>
          <w:i w:val="0"/>
          <w:sz w:val="20"/>
          <w:lang w:val="es-ES"/>
        </w:rPr>
        <w:footnoteReference w:id="16"/>
      </w:r>
      <w:r w:rsidRPr="6E159DF8">
        <w:rPr>
          <w:rFonts w:ascii="Verdana" w:hAnsi="Verdana"/>
          <w:i w:val="0"/>
          <w:sz w:val="20"/>
          <w:szCs w:val="20"/>
          <w:lang w:val="es-ES"/>
        </w:rPr>
        <w:t>; 3) Pedro Tamés Fernández</w:t>
      </w:r>
      <w:r w:rsidRPr="6E159DF8">
        <w:rPr>
          <w:rStyle w:val="Refdenotaalpie"/>
          <w:rFonts w:ascii="Verdana" w:hAnsi="Verdana"/>
          <w:i w:val="0"/>
          <w:sz w:val="20"/>
          <w:lang w:val="es-ES"/>
        </w:rPr>
        <w:footnoteReference w:id="17"/>
      </w:r>
      <w:r w:rsidRPr="6E159DF8">
        <w:rPr>
          <w:rFonts w:ascii="Verdana" w:hAnsi="Verdana"/>
          <w:i w:val="0"/>
          <w:sz w:val="20"/>
          <w:szCs w:val="20"/>
          <w:lang w:val="es-ES"/>
        </w:rPr>
        <w:t>; 4) la Comisión Mexicana de Defensa y Promoción de los Derechos Humanos y el Instituto de Justicia Procesal Penal A.C. (IJPP)</w:t>
      </w:r>
      <w:r w:rsidRPr="6E159DF8">
        <w:rPr>
          <w:rStyle w:val="Refdenotaalpie"/>
          <w:rFonts w:ascii="Verdana" w:hAnsi="Verdana"/>
          <w:i w:val="0"/>
          <w:sz w:val="20"/>
          <w:lang w:val="es-ES"/>
        </w:rPr>
        <w:footnoteReference w:id="18"/>
      </w:r>
      <w:r w:rsidRPr="6E159DF8">
        <w:rPr>
          <w:rFonts w:ascii="Verdana" w:hAnsi="Verdana"/>
          <w:i w:val="0"/>
          <w:sz w:val="20"/>
          <w:szCs w:val="20"/>
          <w:lang w:val="es-ES"/>
        </w:rPr>
        <w:t>; 5) Rommel Sánchez Rodríguez</w:t>
      </w:r>
      <w:r w:rsidRPr="6E159DF8">
        <w:rPr>
          <w:rStyle w:val="Refdenotaalpie"/>
          <w:rFonts w:ascii="Verdana" w:hAnsi="Verdana"/>
          <w:i w:val="0"/>
          <w:sz w:val="20"/>
          <w:lang w:val="es-ES"/>
        </w:rPr>
        <w:footnoteReference w:id="19"/>
      </w:r>
      <w:r w:rsidRPr="6E159DF8">
        <w:rPr>
          <w:rFonts w:ascii="Verdana" w:hAnsi="Verdana"/>
          <w:i w:val="0"/>
          <w:sz w:val="20"/>
          <w:szCs w:val="20"/>
          <w:lang w:val="es-ES"/>
        </w:rPr>
        <w:t xml:space="preserve">; 6) el </w:t>
      </w:r>
      <w:r w:rsidRPr="6E159DF8">
        <w:rPr>
          <w:rFonts w:ascii="Verdana" w:hAnsi="Verdana"/>
          <w:i w:val="0"/>
          <w:sz w:val="20"/>
          <w:szCs w:val="20"/>
          <w:lang w:val="es-ES"/>
        </w:rPr>
        <w:lastRenderedPageBreak/>
        <w:t>Observatorio del Sistema Interamericano de Derechos Humanos</w:t>
      </w:r>
      <w:r w:rsidRPr="6E159DF8">
        <w:rPr>
          <w:rStyle w:val="Refdenotaalpie"/>
          <w:rFonts w:ascii="Verdana" w:hAnsi="Verdana"/>
          <w:i w:val="0"/>
          <w:sz w:val="20"/>
          <w:lang w:val="es-ES"/>
        </w:rPr>
        <w:footnoteReference w:id="20"/>
      </w:r>
      <w:r w:rsidRPr="6E159DF8">
        <w:rPr>
          <w:rFonts w:ascii="Verdana" w:hAnsi="Verdana"/>
          <w:i w:val="0"/>
          <w:sz w:val="20"/>
          <w:szCs w:val="20"/>
          <w:lang w:val="es-ES"/>
        </w:rPr>
        <w:t>; 7) Renace Capítulo San Luis Potosí A.C.</w:t>
      </w:r>
      <w:r w:rsidRPr="6E159DF8">
        <w:rPr>
          <w:rStyle w:val="Refdenotaalpie"/>
          <w:rFonts w:ascii="Verdana" w:hAnsi="Verdana"/>
          <w:i w:val="0"/>
          <w:sz w:val="20"/>
          <w:lang w:val="es-ES"/>
        </w:rPr>
        <w:footnoteReference w:id="21"/>
      </w:r>
      <w:r w:rsidRPr="6E159DF8">
        <w:rPr>
          <w:rFonts w:ascii="Verdana" w:hAnsi="Verdana"/>
          <w:i w:val="0"/>
          <w:sz w:val="20"/>
          <w:szCs w:val="20"/>
          <w:lang w:val="es-ES"/>
        </w:rPr>
        <w:t>; 8) Sergio Villa Ramos</w:t>
      </w:r>
      <w:r w:rsidRPr="6E159DF8">
        <w:rPr>
          <w:rStyle w:val="Refdenotaalpie"/>
          <w:rFonts w:ascii="Verdana" w:hAnsi="Verdana"/>
          <w:i w:val="0"/>
          <w:sz w:val="20"/>
          <w:lang w:val="es-ES"/>
        </w:rPr>
        <w:footnoteReference w:id="22"/>
      </w:r>
      <w:r w:rsidRPr="6E159DF8">
        <w:rPr>
          <w:rFonts w:ascii="Verdana" w:hAnsi="Verdana"/>
          <w:i w:val="0"/>
          <w:sz w:val="20"/>
          <w:szCs w:val="20"/>
          <w:lang w:val="es-ES"/>
        </w:rPr>
        <w:t>; 9) el Seminario Permanente de Derechos Humanos de la Universidad Nacional Autónoma de México</w:t>
      </w:r>
      <w:r w:rsidRPr="6E159DF8">
        <w:rPr>
          <w:rStyle w:val="Refdenotaalpie"/>
          <w:rFonts w:ascii="Verdana" w:hAnsi="Verdana"/>
          <w:i w:val="0"/>
          <w:sz w:val="20"/>
          <w:lang w:val="es-ES"/>
        </w:rPr>
        <w:footnoteReference w:id="23"/>
      </w:r>
      <w:r w:rsidRPr="6E159DF8">
        <w:rPr>
          <w:rFonts w:ascii="Verdana" w:hAnsi="Verdana"/>
          <w:i w:val="0"/>
          <w:sz w:val="20"/>
          <w:szCs w:val="20"/>
          <w:lang w:val="es-ES"/>
        </w:rPr>
        <w:t>; 10) Sofía Margarita Miranda y Jorge Adrián Cruz</w:t>
      </w:r>
      <w:r w:rsidRPr="6E159DF8">
        <w:rPr>
          <w:rStyle w:val="Refdenotaalpie"/>
          <w:rFonts w:ascii="Verdana" w:hAnsi="Verdana"/>
          <w:i w:val="0"/>
          <w:sz w:val="20"/>
          <w:lang w:val="es-ES"/>
        </w:rPr>
        <w:footnoteReference w:id="24"/>
      </w:r>
      <w:r w:rsidRPr="6E159DF8">
        <w:rPr>
          <w:rFonts w:ascii="Verdana" w:hAnsi="Verdana"/>
          <w:i w:val="0"/>
          <w:sz w:val="20"/>
          <w:szCs w:val="20"/>
          <w:lang w:val="es-ES"/>
        </w:rPr>
        <w:t>; 11) Emmanuel Medina Zepeda</w:t>
      </w:r>
      <w:r w:rsidRPr="6E159DF8">
        <w:rPr>
          <w:rStyle w:val="Refdenotaalpie"/>
          <w:rFonts w:ascii="Verdana" w:hAnsi="Verdana"/>
          <w:i w:val="0"/>
          <w:sz w:val="20"/>
          <w:lang w:val="es-ES"/>
        </w:rPr>
        <w:footnoteReference w:id="25"/>
      </w:r>
      <w:r w:rsidRPr="6E159DF8">
        <w:rPr>
          <w:rFonts w:ascii="Verdana" w:hAnsi="Verdana"/>
          <w:i w:val="0"/>
          <w:sz w:val="20"/>
          <w:szCs w:val="20"/>
          <w:lang w:val="es-ES"/>
        </w:rPr>
        <w:t>; 12) Intersecta Organización para la Igualdad A.C.</w:t>
      </w:r>
      <w:r w:rsidRPr="6E159DF8">
        <w:rPr>
          <w:rStyle w:val="Refdenotaalpie"/>
          <w:rFonts w:ascii="Verdana" w:hAnsi="Verdana"/>
          <w:i w:val="0"/>
          <w:sz w:val="20"/>
          <w:lang w:val="es-ES"/>
        </w:rPr>
        <w:footnoteReference w:id="26"/>
      </w:r>
      <w:r w:rsidRPr="6E159DF8">
        <w:rPr>
          <w:rFonts w:ascii="Verdana" w:hAnsi="Verdana"/>
          <w:i w:val="0"/>
          <w:sz w:val="20"/>
          <w:szCs w:val="20"/>
          <w:lang w:val="es-ES"/>
        </w:rPr>
        <w:t>; 13) Innocence Project Argentina</w:t>
      </w:r>
      <w:r w:rsidRPr="6E159DF8">
        <w:rPr>
          <w:rStyle w:val="Refdenotaalpie"/>
          <w:rFonts w:ascii="Verdana" w:hAnsi="Verdana"/>
          <w:i w:val="0"/>
          <w:sz w:val="20"/>
          <w:lang w:val="es-ES"/>
        </w:rPr>
        <w:footnoteReference w:id="27"/>
      </w:r>
      <w:r w:rsidRPr="6E159DF8">
        <w:rPr>
          <w:rFonts w:ascii="Verdana" w:hAnsi="Verdana"/>
          <w:i w:val="0"/>
          <w:sz w:val="20"/>
          <w:szCs w:val="20"/>
          <w:lang w:val="es-ES"/>
        </w:rPr>
        <w:t>; 14) la Comisión de Derechos Humanos de la Ciudad de México</w:t>
      </w:r>
      <w:r w:rsidRPr="6E159DF8">
        <w:rPr>
          <w:rStyle w:val="Refdenotaalpie"/>
          <w:rFonts w:ascii="Verdana" w:hAnsi="Verdana"/>
          <w:i w:val="0"/>
          <w:sz w:val="20"/>
          <w:lang w:val="es-ES"/>
        </w:rPr>
        <w:footnoteReference w:id="28"/>
      </w:r>
      <w:r w:rsidRPr="6E159DF8">
        <w:rPr>
          <w:rFonts w:ascii="Verdana" w:hAnsi="Verdana"/>
          <w:i w:val="0"/>
          <w:sz w:val="20"/>
          <w:szCs w:val="20"/>
          <w:lang w:val="es-ES"/>
        </w:rPr>
        <w:t>; 15) la Clínica Jurídica Minerva Calderón</w:t>
      </w:r>
      <w:r w:rsidRPr="6E159DF8">
        <w:rPr>
          <w:rStyle w:val="Refdenotaalpie"/>
          <w:rFonts w:ascii="Verdana" w:hAnsi="Verdana"/>
          <w:i w:val="0"/>
          <w:sz w:val="20"/>
          <w:lang w:val="es-ES"/>
        </w:rPr>
        <w:footnoteReference w:id="29"/>
      </w:r>
      <w:r w:rsidRPr="6E159DF8">
        <w:rPr>
          <w:rFonts w:ascii="Verdana" w:hAnsi="Verdana"/>
          <w:i w:val="0"/>
          <w:sz w:val="20"/>
          <w:szCs w:val="20"/>
          <w:lang w:val="es-ES"/>
        </w:rPr>
        <w:t>; 16) el Centro de Intervención Pedagógica para la justicia Social Margarita Neri A.C.</w:t>
      </w:r>
      <w:r w:rsidRPr="6E159DF8">
        <w:rPr>
          <w:rStyle w:val="Refdenotaalpie"/>
          <w:rFonts w:ascii="Verdana" w:hAnsi="Verdana"/>
          <w:i w:val="0"/>
          <w:sz w:val="20"/>
          <w:lang w:val="es-ES"/>
        </w:rPr>
        <w:footnoteReference w:id="30"/>
      </w:r>
      <w:r w:rsidRPr="6E159DF8">
        <w:rPr>
          <w:rFonts w:ascii="Verdana" w:hAnsi="Verdana"/>
          <w:i w:val="0"/>
          <w:sz w:val="20"/>
          <w:szCs w:val="20"/>
          <w:lang w:val="es-ES"/>
        </w:rPr>
        <w:t>; 17) el Centro de Derechos Humanos Miguel Agustín Pro Juárez</w:t>
      </w:r>
      <w:r w:rsidRPr="6E159DF8">
        <w:rPr>
          <w:rStyle w:val="Refdenotaalpie"/>
          <w:rFonts w:ascii="Verdana" w:hAnsi="Verdana"/>
          <w:i w:val="0"/>
          <w:sz w:val="20"/>
          <w:lang w:val="es-ES"/>
        </w:rPr>
        <w:footnoteReference w:id="31"/>
      </w:r>
      <w:r w:rsidR="00A6581B">
        <w:rPr>
          <w:rFonts w:ascii="Verdana" w:hAnsi="Verdana"/>
          <w:i w:val="0"/>
          <w:sz w:val="20"/>
          <w:szCs w:val="20"/>
          <w:lang w:val="es-ES"/>
        </w:rPr>
        <w:t>,</w:t>
      </w:r>
      <w:r w:rsidRPr="6E159DF8">
        <w:rPr>
          <w:rFonts w:ascii="Verdana" w:hAnsi="Verdana"/>
          <w:i w:val="0"/>
          <w:sz w:val="20"/>
          <w:szCs w:val="20"/>
          <w:lang w:val="es-ES"/>
        </w:rPr>
        <w:t xml:space="preserve"> y 18) Roberto Borges Zurita</w:t>
      </w:r>
      <w:r w:rsidRPr="6E159DF8">
        <w:rPr>
          <w:rStyle w:val="Refdenotaalpie"/>
          <w:rFonts w:ascii="Verdana" w:hAnsi="Verdana"/>
          <w:i w:val="0"/>
          <w:sz w:val="20"/>
          <w:lang w:val="es-ES"/>
        </w:rPr>
        <w:footnoteReference w:id="32"/>
      </w:r>
      <w:r w:rsidR="000A447F" w:rsidRPr="6E159DF8">
        <w:rPr>
          <w:rFonts w:ascii="Verdana" w:hAnsi="Verdana"/>
          <w:i w:val="0"/>
          <w:sz w:val="20"/>
          <w:szCs w:val="20"/>
          <w:lang w:val="es-ES"/>
        </w:rPr>
        <w:t>.</w:t>
      </w:r>
    </w:p>
    <w:p w14:paraId="2E4D1569" w14:textId="2FBB4E45" w:rsidR="00A23AD4" w:rsidRPr="00351298" w:rsidRDefault="00D6599A" w:rsidP="005B635B">
      <w:pPr>
        <w:pStyle w:val="Estilo1"/>
        <w:numPr>
          <w:ilvl w:val="0"/>
          <w:numId w:val="2"/>
        </w:numPr>
        <w:tabs>
          <w:tab w:val="left" w:pos="0"/>
        </w:tabs>
        <w:spacing w:before="120"/>
        <w:ind w:left="0" w:right="-4" w:firstLine="0"/>
        <w:jc w:val="both"/>
        <w:rPr>
          <w:rFonts w:ascii="Verdana" w:hAnsi="Verdana"/>
          <w:i w:val="0"/>
          <w:iCs/>
          <w:sz w:val="20"/>
          <w:szCs w:val="20"/>
          <w:lang w:val="es-ES"/>
        </w:rPr>
      </w:pPr>
      <w:r w:rsidRPr="00351298">
        <w:rPr>
          <w:rFonts w:ascii="Verdana" w:hAnsi="Verdana"/>
          <w:sz w:val="20"/>
          <w:szCs w:val="20"/>
          <w:lang w:val="es-ES"/>
        </w:rPr>
        <w:t>Alegatos</w:t>
      </w:r>
      <w:r w:rsidRPr="00351298">
        <w:rPr>
          <w:rFonts w:ascii="Verdana" w:hAnsi="Verdana"/>
          <w:spacing w:val="-18"/>
          <w:sz w:val="20"/>
          <w:szCs w:val="20"/>
          <w:lang w:val="es-ES"/>
        </w:rPr>
        <w:t xml:space="preserve"> </w:t>
      </w:r>
      <w:r w:rsidRPr="00351298">
        <w:rPr>
          <w:rFonts w:ascii="Verdana" w:hAnsi="Verdana"/>
          <w:sz w:val="20"/>
          <w:szCs w:val="20"/>
          <w:lang w:val="es-ES"/>
        </w:rPr>
        <w:t>y</w:t>
      </w:r>
      <w:r w:rsidRPr="00351298">
        <w:rPr>
          <w:rFonts w:ascii="Verdana" w:hAnsi="Verdana"/>
          <w:spacing w:val="-17"/>
          <w:sz w:val="20"/>
          <w:szCs w:val="20"/>
          <w:lang w:val="es-ES"/>
        </w:rPr>
        <w:t xml:space="preserve"> </w:t>
      </w:r>
      <w:r w:rsidRPr="00351298">
        <w:rPr>
          <w:rFonts w:ascii="Verdana" w:hAnsi="Verdana"/>
          <w:sz w:val="20"/>
          <w:szCs w:val="20"/>
          <w:lang w:val="es-ES"/>
        </w:rPr>
        <w:t>observaciones</w:t>
      </w:r>
      <w:r w:rsidRPr="00351298">
        <w:rPr>
          <w:rFonts w:ascii="Verdana" w:hAnsi="Verdana"/>
          <w:spacing w:val="-17"/>
          <w:sz w:val="20"/>
          <w:szCs w:val="20"/>
          <w:lang w:val="es-ES"/>
        </w:rPr>
        <w:t xml:space="preserve"> </w:t>
      </w:r>
      <w:r w:rsidRPr="00351298">
        <w:rPr>
          <w:rFonts w:ascii="Verdana" w:hAnsi="Verdana"/>
          <w:sz w:val="20"/>
          <w:szCs w:val="20"/>
          <w:lang w:val="es-ES"/>
        </w:rPr>
        <w:t>finales</w:t>
      </w:r>
      <w:r w:rsidRPr="00351298">
        <w:rPr>
          <w:rFonts w:ascii="Verdana" w:hAnsi="Verdana"/>
          <w:spacing w:val="-18"/>
          <w:sz w:val="20"/>
          <w:szCs w:val="20"/>
          <w:lang w:val="es-ES"/>
        </w:rPr>
        <w:t xml:space="preserve"> </w:t>
      </w:r>
      <w:r w:rsidRPr="00351298">
        <w:rPr>
          <w:rFonts w:ascii="Verdana" w:hAnsi="Verdana"/>
          <w:sz w:val="20"/>
          <w:szCs w:val="20"/>
          <w:lang w:val="es-ES"/>
        </w:rPr>
        <w:t>escritos</w:t>
      </w:r>
      <w:r w:rsidRPr="00351298">
        <w:rPr>
          <w:rFonts w:ascii="Verdana" w:hAnsi="Verdana"/>
          <w:i w:val="0"/>
          <w:iCs/>
          <w:sz w:val="20"/>
          <w:szCs w:val="20"/>
          <w:lang w:val="es-ES"/>
        </w:rPr>
        <w:t>.</w:t>
      </w:r>
      <w:r w:rsidRPr="00351298">
        <w:rPr>
          <w:rFonts w:ascii="Verdana" w:hAnsi="Verdana"/>
          <w:i w:val="0"/>
          <w:iCs/>
          <w:spacing w:val="-17"/>
          <w:sz w:val="20"/>
          <w:szCs w:val="20"/>
          <w:lang w:val="es-ES"/>
        </w:rPr>
        <w:t xml:space="preserve"> </w:t>
      </w:r>
      <w:r w:rsidRPr="00351298">
        <w:rPr>
          <w:rFonts w:ascii="Verdana" w:hAnsi="Verdana"/>
          <w:i w:val="0"/>
          <w:iCs/>
          <w:sz w:val="20"/>
          <w:szCs w:val="20"/>
          <w:lang w:val="es-ES"/>
        </w:rPr>
        <w:t>–</w:t>
      </w:r>
      <w:r w:rsidRPr="00351298">
        <w:rPr>
          <w:rFonts w:ascii="Verdana" w:hAnsi="Verdana"/>
          <w:i w:val="0"/>
          <w:iCs/>
          <w:spacing w:val="-17"/>
          <w:sz w:val="20"/>
          <w:szCs w:val="20"/>
          <w:lang w:val="es-ES"/>
        </w:rPr>
        <w:t xml:space="preserve"> </w:t>
      </w:r>
      <w:r w:rsidRPr="00351298">
        <w:rPr>
          <w:rFonts w:ascii="Verdana" w:hAnsi="Verdana"/>
          <w:i w:val="0"/>
          <w:iCs/>
          <w:sz w:val="20"/>
          <w:szCs w:val="20"/>
          <w:lang w:val="es-ES"/>
        </w:rPr>
        <w:t>El</w:t>
      </w:r>
      <w:r w:rsidRPr="00351298">
        <w:rPr>
          <w:rFonts w:ascii="Verdana" w:hAnsi="Verdana"/>
          <w:i w:val="0"/>
          <w:iCs/>
          <w:spacing w:val="-16"/>
          <w:sz w:val="20"/>
          <w:szCs w:val="20"/>
          <w:lang w:val="es-ES"/>
        </w:rPr>
        <w:t xml:space="preserve"> </w:t>
      </w:r>
      <w:r w:rsidRPr="00351298">
        <w:rPr>
          <w:rFonts w:ascii="Verdana" w:hAnsi="Verdana"/>
          <w:i w:val="0"/>
          <w:iCs/>
          <w:sz w:val="20"/>
          <w:szCs w:val="20"/>
          <w:lang w:val="es-ES"/>
        </w:rPr>
        <w:t>29</w:t>
      </w:r>
      <w:r w:rsidRPr="00351298">
        <w:rPr>
          <w:rFonts w:ascii="Verdana" w:hAnsi="Verdana"/>
          <w:i w:val="0"/>
          <w:iCs/>
          <w:spacing w:val="-19"/>
          <w:sz w:val="20"/>
          <w:szCs w:val="20"/>
          <w:lang w:val="es-ES"/>
        </w:rPr>
        <w:t xml:space="preserve"> </w:t>
      </w:r>
      <w:r w:rsidRPr="00351298">
        <w:rPr>
          <w:rFonts w:ascii="Verdana" w:hAnsi="Verdana"/>
          <w:i w:val="0"/>
          <w:iCs/>
          <w:sz w:val="20"/>
          <w:szCs w:val="20"/>
          <w:lang w:val="es-ES"/>
        </w:rPr>
        <w:t>de</w:t>
      </w:r>
      <w:r w:rsidRPr="00351298">
        <w:rPr>
          <w:rFonts w:ascii="Verdana" w:hAnsi="Verdana"/>
          <w:i w:val="0"/>
          <w:iCs/>
          <w:spacing w:val="-18"/>
          <w:sz w:val="20"/>
          <w:szCs w:val="20"/>
          <w:lang w:val="es-ES"/>
        </w:rPr>
        <w:t xml:space="preserve"> </w:t>
      </w:r>
      <w:r w:rsidRPr="00351298">
        <w:rPr>
          <w:rFonts w:ascii="Verdana" w:hAnsi="Verdana"/>
          <w:i w:val="0"/>
          <w:iCs/>
          <w:sz w:val="20"/>
          <w:szCs w:val="20"/>
          <w:lang w:val="es-ES"/>
        </w:rPr>
        <w:t>septiembre</w:t>
      </w:r>
      <w:r w:rsidRPr="00351298">
        <w:rPr>
          <w:rFonts w:ascii="Verdana" w:hAnsi="Verdana"/>
          <w:i w:val="0"/>
          <w:iCs/>
          <w:spacing w:val="-20"/>
          <w:sz w:val="20"/>
          <w:szCs w:val="20"/>
          <w:lang w:val="es-ES"/>
        </w:rPr>
        <w:t xml:space="preserve"> </w:t>
      </w:r>
      <w:r w:rsidRPr="00351298">
        <w:rPr>
          <w:rFonts w:ascii="Verdana" w:hAnsi="Verdana"/>
          <w:i w:val="0"/>
          <w:iCs/>
          <w:sz w:val="20"/>
          <w:szCs w:val="20"/>
          <w:lang w:val="es-ES"/>
        </w:rPr>
        <w:t>de</w:t>
      </w:r>
      <w:r w:rsidRPr="00351298">
        <w:rPr>
          <w:rFonts w:ascii="Verdana" w:hAnsi="Verdana"/>
          <w:i w:val="0"/>
          <w:iCs/>
          <w:spacing w:val="-19"/>
          <w:sz w:val="20"/>
          <w:szCs w:val="20"/>
          <w:lang w:val="es-ES"/>
        </w:rPr>
        <w:t xml:space="preserve"> </w:t>
      </w:r>
      <w:r w:rsidRPr="00351298">
        <w:rPr>
          <w:rFonts w:ascii="Verdana" w:hAnsi="Verdana"/>
          <w:i w:val="0"/>
          <w:iCs/>
          <w:sz w:val="20"/>
          <w:szCs w:val="20"/>
          <w:lang w:val="es-ES"/>
        </w:rPr>
        <w:t>2022</w:t>
      </w:r>
      <w:r w:rsidRPr="00351298">
        <w:rPr>
          <w:rFonts w:ascii="Verdana" w:hAnsi="Verdana"/>
          <w:i w:val="0"/>
          <w:iCs/>
          <w:spacing w:val="-16"/>
          <w:sz w:val="20"/>
          <w:szCs w:val="20"/>
          <w:lang w:val="es-ES"/>
        </w:rPr>
        <w:t xml:space="preserve"> </w:t>
      </w:r>
      <w:r w:rsidRPr="00351298">
        <w:rPr>
          <w:rFonts w:ascii="Verdana" w:hAnsi="Verdana"/>
          <w:i w:val="0"/>
          <w:iCs/>
          <w:sz w:val="20"/>
          <w:szCs w:val="20"/>
          <w:lang w:val="es-ES"/>
        </w:rPr>
        <w:t>la</w:t>
      </w:r>
      <w:r w:rsidRPr="00351298">
        <w:rPr>
          <w:rFonts w:ascii="Verdana" w:hAnsi="Verdana"/>
          <w:i w:val="0"/>
          <w:iCs/>
          <w:spacing w:val="-16"/>
          <w:sz w:val="20"/>
          <w:szCs w:val="20"/>
          <w:lang w:val="es-ES"/>
        </w:rPr>
        <w:t xml:space="preserve"> </w:t>
      </w:r>
      <w:r w:rsidRPr="00351298">
        <w:rPr>
          <w:rFonts w:ascii="Verdana" w:hAnsi="Verdana"/>
          <w:i w:val="0"/>
          <w:iCs/>
          <w:sz w:val="20"/>
          <w:szCs w:val="20"/>
          <w:lang w:val="es-ES"/>
        </w:rPr>
        <w:t>Comisión</w:t>
      </w:r>
      <w:r w:rsidRPr="00351298">
        <w:rPr>
          <w:rFonts w:ascii="Verdana" w:hAnsi="Verdana"/>
          <w:i w:val="0"/>
          <w:iCs/>
          <w:spacing w:val="-17"/>
          <w:sz w:val="20"/>
          <w:szCs w:val="20"/>
          <w:lang w:val="es-ES"/>
        </w:rPr>
        <w:t xml:space="preserve"> </w:t>
      </w:r>
      <w:r w:rsidRPr="00351298">
        <w:rPr>
          <w:rFonts w:ascii="Verdana" w:hAnsi="Verdana"/>
          <w:i w:val="0"/>
          <w:iCs/>
          <w:sz w:val="20"/>
          <w:szCs w:val="20"/>
          <w:lang w:val="es-ES"/>
        </w:rPr>
        <w:t xml:space="preserve">presentó sus observaciones finales escritas, </w:t>
      </w:r>
      <w:r>
        <w:rPr>
          <w:rFonts w:ascii="Verdana" w:hAnsi="Verdana"/>
          <w:i w:val="0"/>
          <w:iCs/>
          <w:sz w:val="20"/>
          <w:szCs w:val="20"/>
          <w:lang w:val="es-ES"/>
        </w:rPr>
        <w:t xml:space="preserve">y </w:t>
      </w:r>
      <w:r w:rsidRPr="00351298">
        <w:rPr>
          <w:rFonts w:ascii="Verdana" w:hAnsi="Verdana"/>
          <w:i w:val="0"/>
          <w:iCs/>
          <w:sz w:val="20"/>
          <w:szCs w:val="20"/>
          <w:lang w:val="es-ES"/>
        </w:rPr>
        <w:t>el Estado y los representantes sus</w:t>
      </w:r>
      <w:r w:rsidRPr="00351298">
        <w:rPr>
          <w:rFonts w:ascii="Verdana" w:hAnsi="Verdana"/>
          <w:i w:val="0"/>
          <w:iCs/>
          <w:spacing w:val="-40"/>
          <w:sz w:val="20"/>
          <w:szCs w:val="20"/>
          <w:lang w:val="es-ES"/>
        </w:rPr>
        <w:t xml:space="preserve"> </w:t>
      </w:r>
      <w:r w:rsidRPr="00351298">
        <w:rPr>
          <w:rFonts w:ascii="Verdana" w:hAnsi="Verdana"/>
          <w:i w:val="0"/>
          <w:iCs/>
          <w:sz w:val="20"/>
          <w:szCs w:val="20"/>
          <w:lang w:val="es-ES"/>
        </w:rPr>
        <w:t>alegatos finales</w:t>
      </w:r>
      <w:r w:rsidRPr="00351298">
        <w:rPr>
          <w:rFonts w:ascii="Verdana" w:hAnsi="Verdana"/>
          <w:i w:val="0"/>
          <w:iCs/>
          <w:spacing w:val="-5"/>
          <w:sz w:val="20"/>
          <w:szCs w:val="20"/>
          <w:lang w:val="es-ES"/>
        </w:rPr>
        <w:t xml:space="preserve"> </w:t>
      </w:r>
      <w:r w:rsidRPr="00351298">
        <w:rPr>
          <w:rFonts w:ascii="Verdana" w:hAnsi="Verdana"/>
          <w:i w:val="0"/>
          <w:iCs/>
          <w:sz w:val="20"/>
          <w:szCs w:val="20"/>
          <w:lang w:val="es-ES"/>
        </w:rPr>
        <w:t>escritos.</w:t>
      </w:r>
      <w:r w:rsidRPr="00351298">
        <w:rPr>
          <w:rFonts w:ascii="Verdana" w:hAnsi="Verdana"/>
          <w:sz w:val="20"/>
          <w:szCs w:val="20"/>
          <w:lang w:val="es-ES"/>
        </w:rPr>
        <w:t xml:space="preserve"> </w:t>
      </w:r>
      <w:r w:rsidRPr="00351298">
        <w:rPr>
          <w:rFonts w:ascii="Verdana" w:hAnsi="Verdana"/>
          <w:i w:val="0"/>
          <w:iCs/>
          <w:sz w:val="20"/>
          <w:szCs w:val="20"/>
          <w:lang w:val="es-ES"/>
        </w:rPr>
        <w:t xml:space="preserve">El 17 de octubre de 2022 los representantes remitieron sus observaciones a los anexos presentados por el Estado en sus alegatos finales escritos, el Estado presentó sus observaciones </w:t>
      </w:r>
      <w:r w:rsidRPr="00351298">
        <w:rPr>
          <w:rFonts w:ascii="Verdana" w:hAnsi="Verdana"/>
          <w:i w:val="0"/>
          <w:iCs/>
          <w:sz w:val="20"/>
          <w:szCs w:val="20"/>
          <w:lang w:val="es-ES"/>
        </w:rPr>
        <w:lastRenderedPageBreak/>
        <w:t>respecto de los anexos a los alegatos finales escritos de los representantes, y la Comisión manifestó no tener observaciones a los anexos a los alegatos finales de los escritos presentados por las partes</w:t>
      </w:r>
      <w:r w:rsidR="009A56EE" w:rsidRPr="00351298">
        <w:rPr>
          <w:rFonts w:ascii="Verdana" w:hAnsi="Verdana"/>
          <w:i w:val="0"/>
          <w:iCs/>
          <w:sz w:val="20"/>
          <w:szCs w:val="20"/>
          <w:lang w:val="es-ES"/>
        </w:rPr>
        <w:t xml:space="preserve">. </w:t>
      </w:r>
    </w:p>
    <w:p w14:paraId="685E8BB3" w14:textId="1563F88A" w:rsidR="00A23AD4" w:rsidRPr="00801E61" w:rsidRDefault="00A23AD4" w:rsidP="00801E61">
      <w:pPr>
        <w:pStyle w:val="Estilo1"/>
        <w:numPr>
          <w:ilvl w:val="0"/>
          <w:numId w:val="2"/>
        </w:numPr>
        <w:tabs>
          <w:tab w:val="left" w:pos="0"/>
        </w:tabs>
        <w:spacing w:before="120"/>
        <w:ind w:left="0" w:right="-4" w:firstLine="0"/>
        <w:jc w:val="both"/>
        <w:rPr>
          <w:rFonts w:ascii="Verdana" w:hAnsi="Verdana"/>
          <w:sz w:val="20"/>
          <w:szCs w:val="20"/>
          <w:lang w:val="es-ES"/>
        </w:rPr>
      </w:pPr>
      <w:r w:rsidRPr="00351298">
        <w:rPr>
          <w:rFonts w:ascii="Verdana" w:hAnsi="Verdana"/>
          <w:sz w:val="20"/>
          <w:szCs w:val="20"/>
          <w:lang w:val="es-ES"/>
        </w:rPr>
        <w:t>Deliberación del presente caso</w:t>
      </w:r>
      <w:r w:rsidRPr="00351298">
        <w:rPr>
          <w:rFonts w:ascii="Verdana" w:hAnsi="Verdana"/>
          <w:i w:val="0"/>
          <w:iCs/>
          <w:sz w:val="20"/>
          <w:szCs w:val="20"/>
          <w:lang w:val="es-ES"/>
        </w:rPr>
        <w:t xml:space="preserve">. – La Corte </w:t>
      </w:r>
      <w:r w:rsidR="0050575D" w:rsidRPr="00351298">
        <w:rPr>
          <w:rFonts w:ascii="Verdana" w:hAnsi="Verdana"/>
          <w:i w:val="0"/>
          <w:iCs/>
          <w:sz w:val="20"/>
          <w:szCs w:val="20"/>
          <w:lang w:val="es-ES"/>
        </w:rPr>
        <w:t>inició</w:t>
      </w:r>
      <w:r w:rsidR="00023DAD" w:rsidRPr="00351298">
        <w:rPr>
          <w:rFonts w:ascii="Verdana" w:hAnsi="Verdana"/>
          <w:i w:val="0"/>
          <w:iCs/>
          <w:sz w:val="20"/>
          <w:szCs w:val="20"/>
          <w:lang w:val="es-ES"/>
        </w:rPr>
        <w:t xml:space="preserve"> la </w:t>
      </w:r>
      <w:r w:rsidRPr="00351298">
        <w:rPr>
          <w:rFonts w:ascii="Verdana" w:hAnsi="Verdana"/>
          <w:i w:val="0"/>
          <w:iCs/>
          <w:sz w:val="20"/>
          <w:szCs w:val="20"/>
          <w:lang w:val="es-ES"/>
        </w:rPr>
        <w:t>deliber</w:t>
      </w:r>
      <w:r w:rsidR="00023DAD" w:rsidRPr="00351298">
        <w:rPr>
          <w:rFonts w:ascii="Verdana" w:hAnsi="Verdana"/>
          <w:i w:val="0"/>
          <w:iCs/>
          <w:sz w:val="20"/>
          <w:szCs w:val="20"/>
          <w:lang w:val="es-ES"/>
        </w:rPr>
        <w:t>ación de</w:t>
      </w:r>
      <w:r w:rsidRPr="00351298">
        <w:rPr>
          <w:rFonts w:ascii="Verdana" w:hAnsi="Verdana"/>
          <w:i w:val="0"/>
          <w:iCs/>
          <w:sz w:val="20"/>
          <w:szCs w:val="20"/>
          <w:lang w:val="es-ES"/>
        </w:rPr>
        <w:t xml:space="preserve"> la presente Sentencia</w:t>
      </w:r>
      <w:r w:rsidR="00801E61">
        <w:rPr>
          <w:rFonts w:ascii="Verdana" w:hAnsi="Verdana"/>
          <w:i w:val="0"/>
          <w:iCs/>
          <w:sz w:val="20"/>
          <w:szCs w:val="20"/>
          <w:lang w:val="es-ES"/>
        </w:rPr>
        <w:t>, en forma virtual,</w:t>
      </w:r>
      <w:r w:rsidRPr="00351298">
        <w:rPr>
          <w:rFonts w:ascii="Verdana" w:hAnsi="Verdana"/>
          <w:i w:val="0"/>
          <w:iCs/>
          <w:sz w:val="20"/>
          <w:szCs w:val="20"/>
          <w:lang w:val="es-ES"/>
        </w:rPr>
        <w:t xml:space="preserve"> </w:t>
      </w:r>
      <w:r w:rsidR="00023DAD" w:rsidRPr="00351298">
        <w:rPr>
          <w:rFonts w:ascii="Verdana" w:hAnsi="Verdana"/>
          <w:i w:val="0"/>
          <w:iCs/>
          <w:sz w:val="20"/>
          <w:szCs w:val="20"/>
          <w:lang w:val="es-ES"/>
        </w:rPr>
        <w:t>el</w:t>
      </w:r>
      <w:r w:rsidRPr="00351298">
        <w:rPr>
          <w:rFonts w:ascii="Verdana" w:hAnsi="Verdana"/>
          <w:i w:val="0"/>
          <w:iCs/>
          <w:sz w:val="20"/>
          <w:szCs w:val="20"/>
          <w:lang w:val="es-ES"/>
        </w:rPr>
        <w:t xml:space="preserve"> </w:t>
      </w:r>
      <w:r w:rsidR="008D5E6A" w:rsidRPr="00351298">
        <w:rPr>
          <w:rFonts w:ascii="Verdana" w:hAnsi="Verdana"/>
          <w:i w:val="0"/>
          <w:iCs/>
          <w:sz w:val="20"/>
          <w:szCs w:val="20"/>
          <w:lang w:val="es-ES"/>
        </w:rPr>
        <w:t xml:space="preserve">23 </w:t>
      </w:r>
      <w:r w:rsidRPr="00351298">
        <w:rPr>
          <w:rFonts w:ascii="Verdana" w:hAnsi="Verdana"/>
          <w:i w:val="0"/>
          <w:iCs/>
          <w:sz w:val="20"/>
          <w:szCs w:val="20"/>
          <w:lang w:val="es-ES"/>
        </w:rPr>
        <w:t xml:space="preserve">de </w:t>
      </w:r>
      <w:r w:rsidR="005759F3" w:rsidRPr="00351298">
        <w:rPr>
          <w:rFonts w:ascii="Verdana" w:hAnsi="Verdana"/>
          <w:i w:val="0"/>
          <w:iCs/>
          <w:sz w:val="20"/>
          <w:szCs w:val="20"/>
          <w:lang w:val="es-ES"/>
        </w:rPr>
        <w:t xml:space="preserve">enero </w:t>
      </w:r>
      <w:r w:rsidRPr="00351298">
        <w:rPr>
          <w:rFonts w:ascii="Verdana" w:hAnsi="Verdana"/>
          <w:i w:val="0"/>
          <w:iCs/>
          <w:sz w:val="20"/>
          <w:szCs w:val="20"/>
          <w:lang w:val="es-ES"/>
        </w:rPr>
        <w:t>de</w:t>
      </w:r>
      <w:r w:rsidRPr="00351298">
        <w:rPr>
          <w:rFonts w:ascii="Verdana" w:hAnsi="Verdana"/>
          <w:i w:val="0"/>
          <w:iCs/>
          <w:spacing w:val="-14"/>
          <w:sz w:val="20"/>
          <w:szCs w:val="20"/>
          <w:lang w:val="es-ES"/>
        </w:rPr>
        <w:t xml:space="preserve"> </w:t>
      </w:r>
      <w:r w:rsidR="005759F3" w:rsidRPr="00351298">
        <w:rPr>
          <w:rFonts w:ascii="Verdana" w:hAnsi="Verdana"/>
          <w:i w:val="0"/>
          <w:iCs/>
          <w:sz w:val="20"/>
          <w:szCs w:val="20"/>
          <w:lang w:val="es-ES"/>
        </w:rPr>
        <w:t>2023</w:t>
      </w:r>
      <w:r w:rsidR="00801E61">
        <w:rPr>
          <w:rFonts w:ascii="Verdana" w:hAnsi="Verdana"/>
          <w:i w:val="0"/>
          <w:iCs/>
          <w:sz w:val="20"/>
          <w:szCs w:val="20"/>
          <w:lang w:val="es-ES"/>
        </w:rPr>
        <w:t>, durante el 155 Período Ordinario d</w:t>
      </w:r>
      <w:r w:rsidR="00801E61" w:rsidRPr="00801E61">
        <w:rPr>
          <w:rFonts w:ascii="Verdana" w:hAnsi="Verdana"/>
          <w:i w:val="0"/>
          <w:iCs/>
          <w:sz w:val="20"/>
          <w:szCs w:val="20"/>
          <w:lang w:val="es-ES"/>
        </w:rPr>
        <w:t>e Se</w:t>
      </w:r>
      <w:r w:rsidR="00801E61">
        <w:rPr>
          <w:rFonts w:ascii="Verdana" w:hAnsi="Verdana"/>
          <w:i w:val="0"/>
          <w:iCs/>
          <w:sz w:val="20"/>
          <w:szCs w:val="20"/>
          <w:lang w:val="es-ES"/>
        </w:rPr>
        <w:t>siones</w:t>
      </w:r>
      <w:r w:rsidRPr="00801E61">
        <w:rPr>
          <w:rFonts w:ascii="Verdana" w:hAnsi="Verdana"/>
          <w:i w:val="0"/>
          <w:iCs/>
          <w:sz w:val="20"/>
          <w:szCs w:val="20"/>
          <w:lang w:val="es-ES"/>
        </w:rPr>
        <w:t>.</w:t>
      </w:r>
    </w:p>
    <w:p w14:paraId="1E98EDA5" w14:textId="6EFB25AB" w:rsidR="00465DF7" w:rsidRPr="00465DF7" w:rsidRDefault="0076005D" w:rsidP="00D04822">
      <w:pPr>
        <w:pStyle w:val="Ttulo1"/>
      </w:pPr>
      <w:bookmarkStart w:id="30" w:name="_Toc132133880"/>
      <w:r w:rsidRPr="00843568">
        <w:rPr>
          <w:rFonts w:ascii="Verdana" w:hAnsi="Verdana"/>
          <w:sz w:val="20"/>
          <w:lang w:val="es-ES_tradnl"/>
        </w:rPr>
        <w:t>III</w:t>
      </w:r>
      <w:r w:rsidR="006C2FAE" w:rsidRPr="00843568">
        <w:rPr>
          <w:rFonts w:ascii="Verdana" w:hAnsi="Verdana"/>
          <w:caps w:val="0"/>
          <w:color w:val="FDE9D9" w:themeColor="accent6" w:themeTint="33"/>
          <w:sz w:val="20"/>
          <w:lang w:val="es-ES_tradnl"/>
        </w:rPr>
        <w:t>.</w:t>
      </w:r>
      <w:r w:rsidR="006C2FAE" w:rsidRPr="00843568">
        <w:rPr>
          <w:rFonts w:ascii="Verdana" w:hAnsi="Verdana"/>
          <w:sz w:val="20"/>
          <w:lang w:val="es-ES_tradnl"/>
        </w:rPr>
        <w:br/>
      </w:r>
      <w:r w:rsidRPr="00843568">
        <w:rPr>
          <w:rFonts w:ascii="Verdana" w:hAnsi="Verdana"/>
          <w:sz w:val="20"/>
          <w:lang w:val="es-ES_tradnl"/>
        </w:rPr>
        <w:t>COMPETENCIA</w:t>
      </w:r>
      <w:bookmarkEnd w:id="30"/>
    </w:p>
    <w:p w14:paraId="5468580C" w14:textId="4E29E5C0" w:rsidR="000C450D" w:rsidRPr="00351298" w:rsidRDefault="0076005D" w:rsidP="000C450D">
      <w:pPr>
        <w:pStyle w:val="Estilo1"/>
        <w:numPr>
          <w:ilvl w:val="0"/>
          <w:numId w:val="2"/>
        </w:numPr>
        <w:tabs>
          <w:tab w:val="left" w:pos="0"/>
        </w:tabs>
        <w:spacing w:before="120"/>
        <w:ind w:left="0" w:right="-4" w:firstLine="0"/>
        <w:jc w:val="both"/>
        <w:rPr>
          <w:rFonts w:ascii="Verdana" w:hAnsi="Verdana"/>
          <w:i w:val="0"/>
          <w:iCs/>
          <w:spacing w:val="-5"/>
          <w:sz w:val="20"/>
          <w:szCs w:val="20"/>
          <w:lang w:val="es-CR"/>
        </w:rPr>
      </w:pPr>
      <w:r w:rsidRPr="00351298">
        <w:rPr>
          <w:rFonts w:ascii="Verdana" w:hAnsi="Verdana"/>
          <w:i w:val="0"/>
          <w:iCs/>
          <w:sz w:val="20"/>
          <w:szCs w:val="20"/>
          <w:lang w:val="es-ES"/>
        </w:rPr>
        <w:t>La</w:t>
      </w:r>
      <w:r w:rsidRPr="00351298">
        <w:rPr>
          <w:rFonts w:ascii="Verdana" w:hAnsi="Verdana"/>
          <w:i w:val="0"/>
          <w:iCs/>
          <w:spacing w:val="-17"/>
          <w:sz w:val="20"/>
          <w:szCs w:val="20"/>
          <w:lang w:val="es-ES"/>
        </w:rPr>
        <w:t xml:space="preserve"> </w:t>
      </w:r>
      <w:r w:rsidRPr="00351298">
        <w:rPr>
          <w:rFonts w:ascii="Verdana" w:hAnsi="Verdana"/>
          <w:i w:val="0"/>
          <w:iCs/>
          <w:sz w:val="20"/>
          <w:szCs w:val="20"/>
          <w:lang w:val="es-ES"/>
        </w:rPr>
        <w:t>Corte</w:t>
      </w:r>
      <w:r w:rsidRPr="00351298">
        <w:rPr>
          <w:rFonts w:ascii="Verdana" w:hAnsi="Verdana"/>
          <w:i w:val="0"/>
          <w:iCs/>
          <w:spacing w:val="-5"/>
          <w:sz w:val="20"/>
          <w:szCs w:val="20"/>
          <w:lang w:val="es-CR"/>
        </w:rPr>
        <w:t xml:space="preserve"> </w:t>
      </w:r>
      <w:r w:rsidRPr="00351298">
        <w:rPr>
          <w:rFonts w:ascii="Verdana" w:hAnsi="Verdana"/>
          <w:i w:val="0"/>
          <w:iCs/>
          <w:sz w:val="20"/>
          <w:szCs w:val="20"/>
          <w:lang w:val="es-CR"/>
        </w:rPr>
        <w:t>es</w:t>
      </w:r>
      <w:r w:rsidRPr="00351298">
        <w:rPr>
          <w:rFonts w:ascii="Verdana" w:hAnsi="Verdana"/>
          <w:i w:val="0"/>
          <w:iCs/>
          <w:spacing w:val="-7"/>
          <w:sz w:val="20"/>
          <w:szCs w:val="20"/>
          <w:lang w:val="es-CR"/>
        </w:rPr>
        <w:t xml:space="preserve"> </w:t>
      </w:r>
      <w:r w:rsidRPr="00351298">
        <w:rPr>
          <w:rFonts w:ascii="Verdana" w:hAnsi="Verdana"/>
          <w:i w:val="0"/>
          <w:iCs/>
          <w:sz w:val="20"/>
          <w:szCs w:val="20"/>
          <w:lang w:val="es-CR"/>
        </w:rPr>
        <w:t>competente</w:t>
      </w:r>
      <w:r w:rsidRPr="00351298">
        <w:rPr>
          <w:rFonts w:ascii="Verdana" w:hAnsi="Verdana"/>
          <w:i w:val="0"/>
          <w:iCs/>
          <w:spacing w:val="-5"/>
          <w:sz w:val="20"/>
          <w:szCs w:val="20"/>
          <w:lang w:val="es-CR"/>
        </w:rPr>
        <w:t xml:space="preserve"> </w:t>
      </w:r>
      <w:r w:rsidRPr="00351298">
        <w:rPr>
          <w:rFonts w:ascii="Verdana" w:hAnsi="Verdana"/>
          <w:i w:val="0"/>
          <w:iCs/>
          <w:sz w:val="20"/>
          <w:szCs w:val="20"/>
          <w:lang w:val="es-CR"/>
        </w:rPr>
        <w:t>para</w:t>
      </w:r>
      <w:r w:rsidRPr="00351298">
        <w:rPr>
          <w:rFonts w:ascii="Verdana" w:hAnsi="Verdana"/>
          <w:i w:val="0"/>
          <w:iCs/>
          <w:spacing w:val="-6"/>
          <w:sz w:val="20"/>
          <w:szCs w:val="20"/>
          <w:lang w:val="es-CR"/>
        </w:rPr>
        <w:t xml:space="preserve"> </w:t>
      </w:r>
      <w:r w:rsidRPr="00351298">
        <w:rPr>
          <w:rFonts w:ascii="Verdana" w:hAnsi="Verdana"/>
          <w:i w:val="0"/>
          <w:iCs/>
          <w:sz w:val="20"/>
          <w:szCs w:val="20"/>
          <w:lang w:val="es-CR"/>
        </w:rPr>
        <w:t>conocer</w:t>
      </w:r>
      <w:r w:rsidRPr="00351298">
        <w:rPr>
          <w:rFonts w:ascii="Verdana" w:hAnsi="Verdana"/>
          <w:i w:val="0"/>
          <w:iCs/>
          <w:spacing w:val="-5"/>
          <w:sz w:val="20"/>
          <w:szCs w:val="20"/>
          <w:lang w:val="es-CR"/>
        </w:rPr>
        <w:t xml:space="preserve"> </w:t>
      </w:r>
      <w:r w:rsidRPr="00351298">
        <w:rPr>
          <w:rFonts w:ascii="Verdana" w:hAnsi="Verdana"/>
          <w:i w:val="0"/>
          <w:iCs/>
          <w:sz w:val="20"/>
          <w:szCs w:val="20"/>
          <w:lang w:val="es-CR"/>
        </w:rPr>
        <w:t>el</w:t>
      </w:r>
      <w:r w:rsidRPr="00351298">
        <w:rPr>
          <w:rFonts w:ascii="Verdana" w:hAnsi="Verdana"/>
          <w:i w:val="0"/>
          <w:iCs/>
          <w:spacing w:val="-6"/>
          <w:sz w:val="20"/>
          <w:szCs w:val="20"/>
          <w:lang w:val="es-CR"/>
        </w:rPr>
        <w:t xml:space="preserve"> </w:t>
      </w:r>
      <w:r w:rsidRPr="00351298">
        <w:rPr>
          <w:rFonts w:ascii="Verdana" w:hAnsi="Verdana"/>
          <w:i w:val="0"/>
          <w:iCs/>
          <w:sz w:val="20"/>
          <w:szCs w:val="20"/>
          <w:lang w:val="es-CR"/>
        </w:rPr>
        <w:t>presente</w:t>
      </w:r>
      <w:r w:rsidRPr="00351298">
        <w:rPr>
          <w:rFonts w:ascii="Verdana" w:hAnsi="Verdana"/>
          <w:i w:val="0"/>
          <w:iCs/>
          <w:spacing w:val="-8"/>
          <w:sz w:val="20"/>
          <w:szCs w:val="20"/>
          <w:lang w:val="es-CR"/>
        </w:rPr>
        <w:t xml:space="preserve"> </w:t>
      </w:r>
      <w:r w:rsidRPr="00351298">
        <w:rPr>
          <w:rFonts w:ascii="Verdana" w:hAnsi="Verdana"/>
          <w:i w:val="0"/>
          <w:iCs/>
          <w:sz w:val="20"/>
          <w:szCs w:val="20"/>
          <w:lang w:val="es-CR"/>
        </w:rPr>
        <w:t>caso,</w:t>
      </w:r>
      <w:r w:rsidRPr="00351298">
        <w:rPr>
          <w:rFonts w:ascii="Verdana" w:hAnsi="Verdana"/>
          <w:i w:val="0"/>
          <w:iCs/>
          <w:spacing w:val="-6"/>
          <w:sz w:val="20"/>
          <w:szCs w:val="20"/>
          <w:lang w:val="es-CR"/>
        </w:rPr>
        <w:t xml:space="preserve"> </w:t>
      </w:r>
      <w:r w:rsidRPr="00351298">
        <w:rPr>
          <w:rFonts w:ascii="Verdana" w:hAnsi="Verdana"/>
          <w:i w:val="0"/>
          <w:iCs/>
          <w:sz w:val="20"/>
          <w:szCs w:val="20"/>
          <w:lang w:val="es-CR"/>
        </w:rPr>
        <w:t>en</w:t>
      </w:r>
      <w:r w:rsidRPr="00351298">
        <w:rPr>
          <w:rFonts w:ascii="Verdana" w:hAnsi="Verdana"/>
          <w:i w:val="0"/>
          <w:iCs/>
          <w:spacing w:val="-5"/>
          <w:sz w:val="20"/>
          <w:szCs w:val="20"/>
          <w:lang w:val="es-CR"/>
        </w:rPr>
        <w:t xml:space="preserve"> </w:t>
      </w:r>
      <w:r w:rsidRPr="00351298">
        <w:rPr>
          <w:rFonts w:ascii="Verdana" w:hAnsi="Verdana"/>
          <w:i w:val="0"/>
          <w:iCs/>
          <w:sz w:val="20"/>
          <w:szCs w:val="20"/>
          <w:lang w:val="es-CR"/>
        </w:rPr>
        <w:t>los</w:t>
      </w:r>
      <w:r w:rsidRPr="00351298">
        <w:rPr>
          <w:rFonts w:ascii="Verdana" w:hAnsi="Verdana"/>
          <w:i w:val="0"/>
          <w:iCs/>
          <w:spacing w:val="-7"/>
          <w:sz w:val="20"/>
          <w:szCs w:val="20"/>
          <w:lang w:val="es-CR"/>
        </w:rPr>
        <w:t xml:space="preserve"> </w:t>
      </w:r>
      <w:r w:rsidRPr="00351298">
        <w:rPr>
          <w:rFonts w:ascii="Verdana" w:hAnsi="Verdana"/>
          <w:i w:val="0"/>
          <w:iCs/>
          <w:sz w:val="20"/>
          <w:szCs w:val="20"/>
          <w:lang w:val="es-CR"/>
        </w:rPr>
        <w:t>términos</w:t>
      </w:r>
      <w:r w:rsidRPr="00351298">
        <w:rPr>
          <w:rFonts w:ascii="Verdana" w:hAnsi="Verdana"/>
          <w:i w:val="0"/>
          <w:iCs/>
          <w:spacing w:val="-5"/>
          <w:sz w:val="20"/>
          <w:szCs w:val="20"/>
          <w:lang w:val="es-CR"/>
        </w:rPr>
        <w:t xml:space="preserve"> </w:t>
      </w:r>
      <w:r w:rsidRPr="00351298">
        <w:rPr>
          <w:rFonts w:ascii="Verdana" w:hAnsi="Verdana"/>
          <w:i w:val="0"/>
          <w:iCs/>
          <w:sz w:val="20"/>
          <w:szCs w:val="20"/>
          <w:lang w:val="es-CR"/>
        </w:rPr>
        <w:t>del</w:t>
      </w:r>
      <w:r w:rsidRPr="00351298">
        <w:rPr>
          <w:rFonts w:ascii="Verdana" w:hAnsi="Verdana"/>
          <w:i w:val="0"/>
          <w:iCs/>
          <w:spacing w:val="-6"/>
          <w:sz w:val="20"/>
          <w:szCs w:val="20"/>
          <w:lang w:val="es-CR"/>
        </w:rPr>
        <w:t xml:space="preserve"> </w:t>
      </w:r>
      <w:r w:rsidRPr="00351298">
        <w:rPr>
          <w:rFonts w:ascii="Verdana" w:hAnsi="Verdana"/>
          <w:i w:val="0"/>
          <w:iCs/>
          <w:sz w:val="20"/>
          <w:szCs w:val="20"/>
          <w:lang w:val="es-CR"/>
        </w:rPr>
        <w:t>artículo</w:t>
      </w:r>
      <w:r w:rsidRPr="00351298">
        <w:rPr>
          <w:rFonts w:ascii="Verdana" w:hAnsi="Verdana"/>
          <w:i w:val="0"/>
          <w:iCs/>
          <w:spacing w:val="-8"/>
          <w:sz w:val="20"/>
          <w:szCs w:val="20"/>
          <w:lang w:val="es-CR"/>
        </w:rPr>
        <w:t xml:space="preserve"> </w:t>
      </w:r>
      <w:r w:rsidRPr="00351298">
        <w:rPr>
          <w:rFonts w:ascii="Verdana" w:hAnsi="Verdana"/>
          <w:i w:val="0"/>
          <w:iCs/>
          <w:sz w:val="20"/>
          <w:szCs w:val="20"/>
          <w:lang w:val="es-CR"/>
        </w:rPr>
        <w:t xml:space="preserve">62.3 de la </w:t>
      </w:r>
      <w:r w:rsidRPr="00351298">
        <w:rPr>
          <w:rFonts w:ascii="Verdana" w:hAnsi="Verdana"/>
          <w:i w:val="0"/>
          <w:iCs/>
          <w:sz w:val="20"/>
          <w:szCs w:val="20"/>
          <w:lang w:val="es-ES"/>
        </w:rPr>
        <w:t>Convención</w:t>
      </w:r>
      <w:r w:rsidRPr="00351298">
        <w:rPr>
          <w:rFonts w:ascii="Verdana" w:hAnsi="Verdana"/>
          <w:i w:val="0"/>
          <w:iCs/>
          <w:sz w:val="20"/>
          <w:szCs w:val="20"/>
          <w:lang w:val="es-CR"/>
        </w:rPr>
        <w:t xml:space="preserve">, </w:t>
      </w:r>
      <w:r w:rsidR="00B8622B" w:rsidRPr="00351298">
        <w:rPr>
          <w:rFonts w:ascii="Verdana" w:hAnsi="Verdana"/>
          <w:i w:val="0"/>
          <w:iCs/>
          <w:sz w:val="20"/>
          <w:szCs w:val="20"/>
          <w:lang w:val="es-CR"/>
        </w:rPr>
        <w:t>debido a</w:t>
      </w:r>
      <w:r w:rsidRPr="00351298">
        <w:rPr>
          <w:rFonts w:ascii="Verdana" w:hAnsi="Verdana"/>
          <w:i w:val="0"/>
          <w:iCs/>
          <w:sz w:val="20"/>
          <w:szCs w:val="20"/>
          <w:lang w:val="es-CR"/>
        </w:rPr>
        <w:t xml:space="preserve"> que </w:t>
      </w:r>
      <w:r w:rsidR="00854AE6" w:rsidRPr="00351298">
        <w:rPr>
          <w:rFonts w:ascii="Verdana" w:hAnsi="Verdana"/>
          <w:i w:val="0"/>
          <w:iCs/>
          <w:sz w:val="20"/>
          <w:szCs w:val="20"/>
          <w:lang w:val="es-CR"/>
        </w:rPr>
        <w:t>México</w:t>
      </w:r>
      <w:r w:rsidRPr="00351298">
        <w:rPr>
          <w:rFonts w:ascii="Verdana" w:hAnsi="Verdana"/>
          <w:i w:val="0"/>
          <w:iCs/>
          <w:sz w:val="20"/>
          <w:szCs w:val="20"/>
          <w:lang w:val="es-CR"/>
        </w:rPr>
        <w:t xml:space="preserve"> es Estado Parte de la Convención Americana desde el </w:t>
      </w:r>
      <w:r w:rsidR="00854AE6" w:rsidRPr="00351298">
        <w:rPr>
          <w:rFonts w:ascii="Verdana" w:hAnsi="Verdana"/>
          <w:i w:val="0"/>
          <w:iCs/>
          <w:sz w:val="20"/>
          <w:szCs w:val="20"/>
          <w:lang w:val="es-CR"/>
        </w:rPr>
        <w:t>24</w:t>
      </w:r>
      <w:r w:rsidRPr="00351298">
        <w:rPr>
          <w:rFonts w:ascii="Verdana" w:hAnsi="Verdana"/>
          <w:i w:val="0"/>
          <w:iCs/>
          <w:sz w:val="20"/>
          <w:szCs w:val="20"/>
          <w:lang w:val="es-CR"/>
        </w:rPr>
        <w:t xml:space="preserve"> de </w:t>
      </w:r>
      <w:r w:rsidR="00854AE6" w:rsidRPr="00351298">
        <w:rPr>
          <w:rFonts w:ascii="Verdana" w:hAnsi="Verdana"/>
          <w:i w:val="0"/>
          <w:iCs/>
          <w:sz w:val="20"/>
          <w:szCs w:val="20"/>
          <w:lang w:val="es-CR"/>
        </w:rPr>
        <w:t>marzo</w:t>
      </w:r>
      <w:r w:rsidRPr="00351298">
        <w:rPr>
          <w:rFonts w:ascii="Verdana" w:hAnsi="Verdana"/>
          <w:i w:val="0"/>
          <w:iCs/>
          <w:sz w:val="20"/>
          <w:szCs w:val="20"/>
          <w:lang w:val="es-CR"/>
        </w:rPr>
        <w:t xml:space="preserve"> de </w:t>
      </w:r>
      <w:r w:rsidR="00854AE6" w:rsidRPr="00351298">
        <w:rPr>
          <w:rFonts w:ascii="Verdana" w:hAnsi="Verdana"/>
          <w:i w:val="0"/>
          <w:iCs/>
          <w:sz w:val="20"/>
          <w:szCs w:val="20"/>
          <w:lang w:val="es-CR"/>
        </w:rPr>
        <w:t>1981</w:t>
      </w:r>
      <w:r w:rsidRPr="00351298">
        <w:rPr>
          <w:rFonts w:ascii="Verdana" w:hAnsi="Verdana"/>
          <w:i w:val="0"/>
          <w:iCs/>
          <w:sz w:val="20"/>
          <w:szCs w:val="20"/>
          <w:lang w:val="es-CR"/>
        </w:rPr>
        <w:t xml:space="preserve"> y </w:t>
      </w:r>
      <w:r w:rsidRPr="00351298">
        <w:rPr>
          <w:rFonts w:ascii="Verdana" w:hAnsi="Verdana"/>
          <w:i w:val="0"/>
          <w:iCs/>
          <w:sz w:val="20"/>
          <w:szCs w:val="20"/>
          <w:lang w:val="es-ES"/>
        </w:rPr>
        <w:t>reconoció</w:t>
      </w:r>
      <w:r w:rsidRPr="00351298">
        <w:rPr>
          <w:rFonts w:ascii="Verdana" w:hAnsi="Verdana"/>
          <w:i w:val="0"/>
          <w:iCs/>
          <w:sz w:val="20"/>
          <w:szCs w:val="20"/>
          <w:lang w:val="es-CR"/>
        </w:rPr>
        <w:t xml:space="preserve"> la competencia contenciosa de la Corte </w:t>
      </w:r>
      <w:r w:rsidR="00854AE6" w:rsidRPr="00351298">
        <w:rPr>
          <w:rFonts w:ascii="Verdana" w:hAnsi="Verdana"/>
          <w:i w:val="0"/>
          <w:iCs/>
          <w:sz w:val="20"/>
          <w:szCs w:val="20"/>
          <w:lang w:val="es-CR"/>
        </w:rPr>
        <w:t>el 16 de diciembre de 1998</w:t>
      </w:r>
      <w:r w:rsidRPr="00351298">
        <w:rPr>
          <w:rFonts w:ascii="Verdana" w:hAnsi="Verdana"/>
          <w:i w:val="0"/>
          <w:iCs/>
          <w:sz w:val="20"/>
          <w:szCs w:val="20"/>
          <w:lang w:val="es-CR"/>
        </w:rPr>
        <w:t>.</w:t>
      </w:r>
      <w:r w:rsidR="001C59E8" w:rsidRPr="00351298">
        <w:rPr>
          <w:rFonts w:ascii="Verdana" w:hAnsi="Verdana"/>
          <w:i w:val="0"/>
          <w:iCs/>
          <w:sz w:val="20"/>
          <w:szCs w:val="20"/>
          <w:lang w:val="es-CR"/>
        </w:rPr>
        <w:t xml:space="preserve"> </w:t>
      </w:r>
      <w:r w:rsidR="000A5F63" w:rsidRPr="00351298">
        <w:rPr>
          <w:rFonts w:ascii="Verdana" w:hAnsi="Verdana"/>
          <w:i w:val="0"/>
          <w:iCs/>
          <w:sz w:val="20"/>
          <w:szCs w:val="20"/>
          <w:lang w:val="es-CR"/>
        </w:rPr>
        <w:t>Asimismo, México ratificó la Convención Interamericana para Prevenir y Sancionar la Tortura (en adelante también “CIPST”) el 11 de febrero de 1987 y depositó el instrumento de ratificación el 22 de junio de 1987</w:t>
      </w:r>
      <w:r w:rsidR="001C59E8" w:rsidRPr="00351298">
        <w:rPr>
          <w:rFonts w:ascii="Verdana" w:hAnsi="Verdana"/>
          <w:i w:val="0"/>
          <w:iCs/>
          <w:sz w:val="20"/>
          <w:szCs w:val="20"/>
          <w:lang w:val="es-CR"/>
        </w:rPr>
        <w:t>.</w:t>
      </w:r>
    </w:p>
    <w:p w14:paraId="1E90CBB1" w14:textId="737116AD" w:rsidR="0085104D" w:rsidRPr="00351298" w:rsidRDefault="00C84E7A" w:rsidP="0085104D">
      <w:pPr>
        <w:pStyle w:val="Ttulo1"/>
        <w:rPr>
          <w:rFonts w:ascii="Verdana" w:hAnsi="Verdana"/>
          <w:caps w:val="0"/>
          <w:sz w:val="20"/>
          <w:lang w:val="es-ES_tradnl"/>
        </w:rPr>
      </w:pPr>
      <w:bookmarkStart w:id="31" w:name="_Toc132133881"/>
      <w:r w:rsidRPr="00351298">
        <w:rPr>
          <w:rFonts w:ascii="Verdana" w:hAnsi="Verdana"/>
          <w:caps w:val="0"/>
          <w:sz w:val="20"/>
          <w:lang w:val="es-ES_tradnl"/>
        </w:rPr>
        <w:t>IV</w:t>
      </w:r>
      <w:r w:rsidR="00CB6E94" w:rsidRPr="00351298">
        <w:rPr>
          <w:rFonts w:ascii="Verdana" w:hAnsi="Verdana"/>
          <w:caps w:val="0"/>
          <w:color w:val="FDE9D9" w:themeColor="accent6" w:themeTint="33"/>
          <w:sz w:val="20"/>
          <w:lang w:val="es-ES_tradnl"/>
        </w:rPr>
        <w:t>.</w:t>
      </w:r>
      <w:r w:rsidR="0085104D" w:rsidRPr="00351298">
        <w:rPr>
          <w:rFonts w:ascii="Verdana" w:hAnsi="Verdana"/>
          <w:caps w:val="0"/>
          <w:sz w:val="20"/>
          <w:lang w:val="es-ES_tradnl"/>
        </w:rPr>
        <w:br/>
      </w:r>
      <w:r w:rsidR="009278E6" w:rsidRPr="00351298">
        <w:rPr>
          <w:rFonts w:ascii="Verdana" w:hAnsi="Verdana"/>
          <w:caps w:val="0"/>
          <w:sz w:val="20"/>
          <w:lang w:val="es-ES_tradnl"/>
        </w:rPr>
        <w:t>EXCEPCIONES PRELIMINARES</w:t>
      </w:r>
      <w:bookmarkEnd w:id="31"/>
    </w:p>
    <w:p w14:paraId="6740F517" w14:textId="05FBD119" w:rsidR="00AB0FA2" w:rsidRPr="00351298" w:rsidRDefault="0057158D" w:rsidP="00AB0FA2">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351298">
        <w:rPr>
          <w:rFonts w:ascii="Verdana" w:hAnsi="Verdana"/>
          <w:i w:val="0"/>
          <w:iCs/>
          <w:sz w:val="20"/>
          <w:szCs w:val="20"/>
        </w:rPr>
        <w:t>En</w:t>
      </w:r>
      <w:r w:rsidRPr="00351298">
        <w:rPr>
          <w:rFonts w:ascii="Verdana" w:hAnsi="Verdana"/>
          <w:i w:val="0"/>
          <w:iCs/>
          <w:spacing w:val="-8"/>
          <w:sz w:val="20"/>
          <w:szCs w:val="20"/>
        </w:rPr>
        <w:t xml:space="preserve"> </w:t>
      </w:r>
      <w:r w:rsidRPr="00351298">
        <w:rPr>
          <w:rFonts w:ascii="Verdana" w:hAnsi="Verdana"/>
          <w:i w:val="0"/>
          <w:iCs/>
          <w:sz w:val="20"/>
          <w:szCs w:val="20"/>
        </w:rPr>
        <w:t>el</w:t>
      </w:r>
      <w:r w:rsidRPr="00351298">
        <w:rPr>
          <w:rFonts w:ascii="Verdana" w:hAnsi="Verdana"/>
          <w:i w:val="0"/>
          <w:iCs/>
          <w:spacing w:val="-6"/>
          <w:sz w:val="20"/>
          <w:szCs w:val="20"/>
        </w:rPr>
        <w:t xml:space="preserve"> </w:t>
      </w:r>
      <w:r w:rsidRPr="00351298">
        <w:rPr>
          <w:rFonts w:ascii="Verdana" w:hAnsi="Verdana"/>
          <w:sz w:val="20"/>
          <w:szCs w:val="20"/>
        </w:rPr>
        <w:t>sub</w:t>
      </w:r>
      <w:r w:rsidRPr="00351298">
        <w:rPr>
          <w:rFonts w:ascii="Verdana" w:hAnsi="Verdana"/>
          <w:spacing w:val="-8"/>
          <w:sz w:val="20"/>
          <w:szCs w:val="20"/>
        </w:rPr>
        <w:t xml:space="preserve"> </w:t>
      </w:r>
      <w:r w:rsidR="00D6599A">
        <w:rPr>
          <w:rFonts w:ascii="Verdana" w:hAnsi="Verdana"/>
          <w:sz w:val="20"/>
          <w:szCs w:val="20"/>
        </w:rPr>
        <w:t>j</w:t>
      </w:r>
      <w:r w:rsidRPr="00351298">
        <w:rPr>
          <w:rFonts w:ascii="Verdana" w:hAnsi="Verdana"/>
          <w:sz w:val="20"/>
          <w:szCs w:val="20"/>
        </w:rPr>
        <w:t>udice</w:t>
      </w:r>
      <w:r w:rsidR="00E54746" w:rsidRPr="00351298">
        <w:rPr>
          <w:rFonts w:ascii="Verdana" w:hAnsi="Verdana"/>
          <w:i w:val="0"/>
          <w:iCs/>
          <w:spacing w:val="-7"/>
          <w:sz w:val="20"/>
          <w:szCs w:val="20"/>
        </w:rPr>
        <w:t xml:space="preserve">, </w:t>
      </w:r>
      <w:r w:rsidRPr="00351298">
        <w:rPr>
          <w:rFonts w:ascii="Verdana" w:hAnsi="Verdana"/>
          <w:i w:val="0"/>
          <w:iCs/>
          <w:sz w:val="20"/>
          <w:szCs w:val="20"/>
        </w:rPr>
        <w:t>el</w:t>
      </w:r>
      <w:r w:rsidRPr="00351298">
        <w:rPr>
          <w:rFonts w:ascii="Verdana" w:hAnsi="Verdana"/>
          <w:i w:val="0"/>
          <w:iCs/>
          <w:spacing w:val="-6"/>
          <w:sz w:val="20"/>
          <w:szCs w:val="20"/>
        </w:rPr>
        <w:t xml:space="preserve"> </w:t>
      </w:r>
      <w:r w:rsidRPr="00351298">
        <w:rPr>
          <w:rFonts w:ascii="Verdana" w:hAnsi="Verdana"/>
          <w:b/>
          <w:bCs/>
          <w:sz w:val="20"/>
          <w:szCs w:val="20"/>
        </w:rPr>
        <w:t>Estado</w:t>
      </w:r>
      <w:r w:rsidRPr="00351298">
        <w:rPr>
          <w:rFonts w:ascii="Verdana" w:hAnsi="Verdana"/>
          <w:i w:val="0"/>
          <w:iCs/>
          <w:spacing w:val="-11"/>
          <w:sz w:val="20"/>
          <w:szCs w:val="20"/>
        </w:rPr>
        <w:t xml:space="preserve"> </w:t>
      </w:r>
      <w:r w:rsidRPr="00351298">
        <w:rPr>
          <w:rFonts w:ascii="Verdana" w:hAnsi="Verdana"/>
          <w:i w:val="0"/>
          <w:iCs/>
          <w:sz w:val="20"/>
          <w:szCs w:val="20"/>
        </w:rPr>
        <w:t>presentó</w:t>
      </w:r>
      <w:r w:rsidRPr="00351298">
        <w:rPr>
          <w:rFonts w:ascii="Verdana" w:hAnsi="Verdana"/>
          <w:i w:val="0"/>
          <w:iCs/>
          <w:spacing w:val="-8"/>
          <w:sz w:val="20"/>
          <w:szCs w:val="20"/>
        </w:rPr>
        <w:t xml:space="preserve"> </w:t>
      </w:r>
      <w:r w:rsidR="00D71DE9" w:rsidRPr="00351298">
        <w:rPr>
          <w:rFonts w:ascii="Verdana" w:hAnsi="Verdana"/>
          <w:i w:val="0"/>
          <w:iCs/>
          <w:spacing w:val="-8"/>
          <w:sz w:val="20"/>
          <w:szCs w:val="20"/>
        </w:rPr>
        <w:t xml:space="preserve">cinco </w:t>
      </w:r>
      <w:r w:rsidR="00985CBE" w:rsidRPr="00351298">
        <w:rPr>
          <w:rFonts w:ascii="Verdana" w:hAnsi="Verdana"/>
          <w:i w:val="0"/>
          <w:iCs/>
          <w:sz w:val="20"/>
          <w:szCs w:val="20"/>
        </w:rPr>
        <w:t>excepciones preliminares</w:t>
      </w:r>
      <w:r w:rsidR="00E54746" w:rsidRPr="00351298">
        <w:rPr>
          <w:rFonts w:ascii="Verdana" w:hAnsi="Verdana"/>
          <w:i w:val="0"/>
          <w:iCs/>
          <w:sz w:val="20"/>
          <w:szCs w:val="20"/>
        </w:rPr>
        <w:t>,</w:t>
      </w:r>
      <w:r w:rsidR="00985CBE" w:rsidRPr="00351298">
        <w:rPr>
          <w:rFonts w:ascii="Verdana" w:hAnsi="Verdana"/>
          <w:i w:val="0"/>
          <w:iCs/>
          <w:sz w:val="20"/>
          <w:szCs w:val="20"/>
        </w:rPr>
        <w:t xml:space="preserve"> </w:t>
      </w:r>
      <w:r w:rsidR="00D71DE9" w:rsidRPr="00351298">
        <w:rPr>
          <w:rFonts w:ascii="Verdana" w:hAnsi="Verdana"/>
          <w:i w:val="0"/>
          <w:iCs/>
          <w:sz w:val="20"/>
          <w:szCs w:val="20"/>
        </w:rPr>
        <w:t xml:space="preserve">de las cuales dos </w:t>
      </w:r>
      <w:r w:rsidR="00E54746" w:rsidRPr="00351298">
        <w:rPr>
          <w:rFonts w:ascii="Verdana" w:hAnsi="Verdana"/>
          <w:i w:val="0"/>
          <w:iCs/>
          <w:sz w:val="20"/>
          <w:szCs w:val="20"/>
        </w:rPr>
        <w:t>serán</w:t>
      </w:r>
      <w:r w:rsidR="00985CBE" w:rsidRPr="00351298">
        <w:rPr>
          <w:rFonts w:ascii="Verdana" w:hAnsi="Verdana"/>
          <w:i w:val="0"/>
          <w:iCs/>
          <w:sz w:val="20"/>
          <w:szCs w:val="20"/>
        </w:rPr>
        <w:t xml:space="preserve"> analizadas en </w:t>
      </w:r>
      <w:r w:rsidR="00D71DE9" w:rsidRPr="00351298">
        <w:rPr>
          <w:rFonts w:ascii="Verdana" w:hAnsi="Verdana"/>
          <w:i w:val="0"/>
          <w:iCs/>
          <w:sz w:val="20"/>
          <w:szCs w:val="20"/>
        </w:rPr>
        <w:t xml:space="preserve">el presente acápite en </w:t>
      </w:r>
      <w:r w:rsidR="00985CBE" w:rsidRPr="00351298">
        <w:rPr>
          <w:rFonts w:ascii="Verdana" w:hAnsi="Verdana"/>
          <w:i w:val="0"/>
          <w:iCs/>
          <w:sz w:val="20"/>
          <w:szCs w:val="20"/>
        </w:rPr>
        <w:t>e</w:t>
      </w:r>
      <w:r w:rsidR="00E54746" w:rsidRPr="00351298">
        <w:rPr>
          <w:rFonts w:ascii="Verdana" w:hAnsi="Verdana"/>
          <w:i w:val="0"/>
          <w:iCs/>
          <w:sz w:val="20"/>
          <w:szCs w:val="20"/>
        </w:rPr>
        <w:t xml:space="preserve">ste </w:t>
      </w:r>
      <w:r w:rsidR="00985CBE" w:rsidRPr="00351298">
        <w:rPr>
          <w:rFonts w:ascii="Verdana" w:hAnsi="Verdana"/>
          <w:i w:val="0"/>
          <w:iCs/>
          <w:sz w:val="20"/>
          <w:szCs w:val="20"/>
        </w:rPr>
        <w:t xml:space="preserve">orden: </w:t>
      </w:r>
      <w:r w:rsidR="000A5F63" w:rsidRPr="00351298">
        <w:rPr>
          <w:rFonts w:ascii="Verdana" w:hAnsi="Verdana"/>
          <w:i w:val="0"/>
          <w:sz w:val="20"/>
          <w:szCs w:val="20"/>
        </w:rPr>
        <w:t>a) excepción preliminar de cosa juzgada internacional, y b) excepción preliminar de falta de agotamiento de los recursos internos</w:t>
      </w:r>
      <w:r w:rsidR="00D71DE9" w:rsidRPr="00351298">
        <w:rPr>
          <w:rFonts w:ascii="Verdana" w:hAnsi="Verdana"/>
          <w:i w:val="0"/>
          <w:iCs/>
          <w:sz w:val="20"/>
          <w:szCs w:val="20"/>
        </w:rPr>
        <w:t>. Las tres restantes serán analizadas como consideraciones previas</w:t>
      </w:r>
      <w:r w:rsidR="00C135E9">
        <w:rPr>
          <w:rFonts w:ascii="Verdana" w:hAnsi="Verdana"/>
          <w:i w:val="0"/>
          <w:iCs/>
          <w:sz w:val="20"/>
          <w:szCs w:val="20"/>
        </w:rPr>
        <w:t xml:space="preserve"> (</w:t>
      </w:r>
      <w:r w:rsidR="00C135E9" w:rsidRPr="00D04822">
        <w:rPr>
          <w:rFonts w:ascii="Verdana" w:hAnsi="Verdana"/>
          <w:sz w:val="20"/>
          <w:szCs w:val="20"/>
        </w:rPr>
        <w:t>infra</w:t>
      </w:r>
      <w:r w:rsidR="00C135E9">
        <w:rPr>
          <w:rFonts w:ascii="Verdana" w:hAnsi="Verdana"/>
          <w:i w:val="0"/>
          <w:iCs/>
          <w:sz w:val="20"/>
          <w:szCs w:val="20"/>
        </w:rPr>
        <w:t xml:space="preserve"> Capítulo V)</w:t>
      </w:r>
      <w:r w:rsidR="00D71DE9" w:rsidRPr="00351298">
        <w:rPr>
          <w:rFonts w:ascii="Verdana" w:hAnsi="Verdana"/>
          <w:i w:val="0"/>
          <w:iCs/>
          <w:sz w:val="20"/>
          <w:szCs w:val="20"/>
        </w:rPr>
        <w:t>.</w:t>
      </w:r>
    </w:p>
    <w:p w14:paraId="512A014B" w14:textId="7111947B" w:rsidR="00AB0FA2" w:rsidRPr="00351298" w:rsidRDefault="00FB09BC" w:rsidP="004603BD">
      <w:pPr>
        <w:pStyle w:val="Ttulo2"/>
        <w:numPr>
          <w:ilvl w:val="0"/>
          <w:numId w:val="13"/>
        </w:numPr>
        <w:spacing w:before="240" w:after="240"/>
        <w:rPr>
          <w:rFonts w:ascii="Verdana" w:hAnsi="Verdana"/>
          <w:b w:val="0"/>
          <w:bCs w:val="0"/>
          <w:i/>
          <w:color w:val="auto"/>
          <w:sz w:val="20"/>
          <w:szCs w:val="20"/>
        </w:rPr>
      </w:pPr>
      <w:bookmarkStart w:id="32" w:name="_Toc132133882"/>
      <w:r w:rsidRPr="00351298">
        <w:rPr>
          <w:rFonts w:ascii="Verdana" w:hAnsi="Verdana"/>
          <w:b w:val="0"/>
          <w:bCs w:val="0"/>
          <w:i/>
          <w:color w:val="auto"/>
          <w:sz w:val="20"/>
          <w:szCs w:val="20"/>
        </w:rPr>
        <w:t>Excepción preliminar de c</w:t>
      </w:r>
      <w:r w:rsidR="00AB0FA2" w:rsidRPr="00351298">
        <w:rPr>
          <w:rFonts w:ascii="Verdana" w:hAnsi="Verdana"/>
          <w:b w:val="0"/>
          <w:bCs w:val="0"/>
          <w:i/>
          <w:color w:val="auto"/>
          <w:sz w:val="20"/>
          <w:szCs w:val="20"/>
        </w:rPr>
        <w:t>osa juzgada</w:t>
      </w:r>
      <w:r w:rsidRPr="00351298">
        <w:rPr>
          <w:rFonts w:ascii="Verdana" w:hAnsi="Verdana"/>
          <w:b w:val="0"/>
          <w:bCs w:val="0"/>
          <w:i/>
          <w:color w:val="auto"/>
          <w:sz w:val="20"/>
          <w:szCs w:val="20"/>
        </w:rPr>
        <w:t xml:space="preserve"> internacional</w:t>
      </w:r>
      <w:bookmarkEnd w:id="32"/>
      <w:r w:rsidRPr="00351298">
        <w:rPr>
          <w:rFonts w:ascii="Verdana" w:hAnsi="Verdana"/>
          <w:b w:val="0"/>
          <w:bCs w:val="0"/>
          <w:i/>
          <w:color w:val="auto"/>
          <w:sz w:val="20"/>
          <w:szCs w:val="20"/>
        </w:rPr>
        <w:t xml:space="preserve"> </w:t>
      </w:r>
    </w:p>
    <w:p w14:paraId="4B9EFA4A" w14:textId="78924379" w:rsidR="00AB0FA2" w:rsidRPr="00351298" w:rsidRDefault="00AB0FA2" w:rsidP="00D73463">
      <w:pPr>
        <w:pStyle w:val="Ttulo3"/>
        <w:spacing w:before="240" w:after="240"/>
        <w:ind w:left="567"/>
        <w:jc w:val="both"/>
        <w:rPr>
          <w:rFonts w:ascii="Verdana" w:hAnsi="Verdana"/>
          <w:snapToGrid w:val="0"/>
          <w:spacing w:val="-2"/>
          <w:sz w:val="20"/>
          <w:szCs w:val="20"/>
          <w:lang w:eastAsia="es-ES"/>
        </w:rPr>
      </w:pPr>
      <w:r w:rsidRPr="00351298">
        <w:rPr>
          <w:rFonts w:ascii="Verdana" w:hAnsi="Verdana"/>
          <w:b w:val="0"/>
          <w:snapToGrid w:val="0"/>
          <w:spacing w:val="-2"/>
          <w:sz w:val="20"/>
          <w:szCs w:val="20"/>
          <w:lang w:eastAsia="es-ES"/>
        </w:rPr>
        <w:tab/>
      </w:r>
      <w:bookmarkStart w:id="33" w:name="_Toc132133883"/>
      <w:r w:rsidRPr="00351298">
        <w:rPr>
          <w:rFonts w:ascii="Verdana" w:hAnsi="Verdana"/>
          <w:b w:val="0"/>
          <w:snapToGrid w:val="0"/>
          <w:spacing w:val="-2"/>
          <w:sz w:val="20"/>
          <w:szCs w:val="20"/>
          <w:lang w:eastAsia="es-ES"/>
        </w:rPr>
        <w:t>A.1. Alegatos de las partes y de la Comisión</w:t>
      </w:r>
      <w:bookmarkEnd w:id="33"/>
    </w:p>
    <w:p w14:paraId="53BC7D0D" w14:textId="6564FD10" w:rsidR="00AB0FA2" w:rsidRPr="009D520B" w:rsidRDefault="000A5F63" w:rsidP="00AB0FA2">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351298">
        <w:rPr>
          <w:rFonts w:ascii="Verdana" w:eastAsiaTheme="minorHAnsi" w:hAnsi="Verdana" w:cs="Verdana"/>
          <w:i w:val="0"/>
          <w:iCs/>
          <w:sz w:val="20"/>
          <w:szCs w:val="20"/>
          <w:lang w:eastAsia="en-US"/>
        </w:rPr>
        <w:t xml:space="preserve">El </w:t>
      </w:r>
      <w:r w:rsidRPr="00351298">
        <w:rPr>
          <w:rFonts w:ascii="Verdana-BoldItalic" w:eastAsiaTheme="minorHAnsi" w:hAnsi="Verdana-BoldItalic" w:cs="Verdana-BoldItalic"/>
          <w:b/>
          <w:bCs/>
          <w:sz w:val="20"/>
          <w:szCs w:val="20"/>
          <w:lang w:eastAsia="en-US"/>
        </w:rPr>
        <w:t>Estado</w:t>
      </w:r>
      <w:r w:rsidRPr="00351298">
        <w:rPr>
          <w:rFonts w:ascii="Verdana-BoldItalic" w:eastAsiaTheme="minorHAnsi" w:hAnsi="Verdana-BoldItalic" w:cs="Verdana-BoldItalic"/>
          <w:b/>
          <w:bCs/>
          <w:i w:val="0"/>
          <w:iCs/>
          <w:sz w:val="20"/>
          <w:szCs w:val="20"/>
          <w:lang w:eastAsia="en-US"/>
        </w:rPr>
        <w:t xml:space="preserve"> </w:t>
      </w:r>
      <w:r w:rsidRPr="00351298">
        <w:rPr>
          <w:rFonts w:ascii="Verdana" w:eastAsiaTheme="minorHAnsi" w:hAnsi="Verdana" w:cs="Verdana"/>
          <w:i w:val="0"/>
          <w:iCs/>
          <w:sz w:val="20"/>
          <w:szCs w:val="20"/>
          <w:lang w:eastAsia="en-US"/>
        </w:rPr>
        <w:t>hizo referencia a la existencia de la opinión 66/2017 del Grupo de Trabajo de la Organización de las Naciones Unidas sobre Detenciones Arbitrarias (</w:t>
      </w:r>
      <w:r w:rsidR="00C135E9">
        <w:rPr>
          <w:rFonts w:ascii="Verdana" w:eastAsiaTheme="minorHAnsi" w:hAnsi="Verdana" w:cs="Verdana"/>
          <w:i w:val="0"/>
          <w:iCs/>
          <w:sz w:val="20"/>
          <w:szCs w:val="20"/>
          <w:lang w:eastAsia="en-US"/>
        </w:rPr>
        <w:t>en adelante también “</w:t>
      </w:r>
      <w:r w:rsidRPr="00351298">
        <w:rPr>
          <w:rFonts w:ascii="Verdana" w:eastAsiaTheme="minorHAnsi" w:hAnsi="Verdana" w:cs="Verdana"/>
          <w:i w:val="0"/>
          <w:iCs/>
          <w:sz w:val="20"/>
          <w:szCs w:val="20"/>
          <w:lang w:eastAsia="en-US"/>
        </w:rPr>
        <w:t>GTDA</w:t>
      </w:r>
      <w:r w:rsidR="00C135E9">
        <w:rPr>
          <w:rFonts w:ascii="Verdana" w:eastAsiaTheme="minorHAnsi" w:hAnsi="Verdana" w:cs="Verdana"/>
          <w:i w:val="0"/>
          <w:iCs/>
          <w:sz w:val="20"/>
          <w:szCs w:val="20"/>
          <w:lang w:eastAsia="en-US"/>
        </w:rPr>
        <w:t>”</w:t>
      </w:r>
      <w:r w:rsidRPr="00351298">
        <w:rPr>
          <w:rFonts w:ascii="Verdana" w:eastAsiaTheme="minorHAnsi" w:hAnsi="Verdana" w:cs="Verdana"/>
          <w:i w:val="0"/>
          <w:iCs/>
          <w:sz w:val="20"/>
          <w:szCs w:val="20"/>
          <w:lang w:eastAsia="en-US"/>
        </w:rPr>
        <w:t xml:space="preserve">), adoptada el 16 de octubre de 2017. Sostuvo que los hechos, los sujetos activos y los pasivos del presente caso, son los mismos que se contemplaron en </w:t>
      </w:r>
      <w:r w:rsidR="00C135E9">
        <w:rPr>
          <w:rFonts w:ascii="Verdana" w:eastAsiaTheme="minorHAnsi" w:hAnsi="Verdana" w:cs="Verdana"/>
          <w:i w:val="0"/>
          <w:iCs/>
          <w:sz w:val="20"/>
          <w:szCs w:val="20"/>
          <w:lang w:eastAsia="en-US"/>
        </w:rPr>
        <w:t>aquel</w:t>
      </w:r>
      <w:r w:rsidR="00C135E9" w:rsidRPr="00351298">
        <w:rPr>
          <w:rFonts w:ascii="Verdana" w:eastAsiaTheme="minorHAnsi" w:hAnsi="Verdana" w:cs="Verdana"/>
          <w:i w:val="0"/>
          <w:iCs/>
          <w:sz w:val="20"/>
          <w:szCs w:val="20"/>
          <w:lang w:eastAsia="en-US"/>
        </w:rPr>
        <w:t xml:space="preserve"> </w:t>
      </w:r>
      <w:r w:rsidRPr="00351298">
        <w:rPr>
          <w:rFonts w:ascii="Verdana" w:eastAsiaTheme="minorHAnsi" w:hAnsi="Verdana" w:cs="Verdana"/>
          <w:i w:val="0"/>
          <w:iCs/>
          <w:sz w:val="20"/>
          <w:szCs w:val="20"/>
          <w:lang w:eastAsia="en-US"/>
        </w:rPr>
        <w:t>procedimiento. Agregó que</w:t>
      </w:r>
      <w:r w:rsidR="00DD33C6">
        <w:rPr>
          <w:rFonts w:ascii="Verdana" w:eastAsiaTheme="minorHAnsi" w:hAnsi="Verdana" w:cs="Verdana"/>
          <w:i w:val="0"/>
          <w:iCs/>
          <w:sz w:val="20"/>
          <w:szCs w:val="20"/>
          <w:lang w:eastAsia="en-US"/>
        </w:rPr>
        <w:t>,</w:t>
      </w:r>
      <w:r w:rsidRPr="00351298">
        <w:rPr>
          <w:rFonts w:ascii="Verdana" w:eastAsiaTheme="minorHAnsi" w:hAnsi="Verdana" w:cs="Verdana"/>
          <w:i w:val="0"/>
          <w:iCs/>
          <w:sz w:val="20"/>
          <w:szCs w:val="20"/>
          <w:lang w:eastAsia="en-US"/>
        </w:rPr>
        <w:t xml:space="preserve"> en atención a la solicitud del GTDA de ejecutar </w:t>
      </w:r>
      <w:r w:rsidRPr="009D520B">
        <w:rPr>
          <w:rFonts w:ascii="Verdana" w:eastAsiaTheme="minorHAnsi" w:hAnsi="Verdana" w:cs="Verdana"/>
          <w:i w:val="0"/>
          <w:iCs/>
          <w:sz w:val="20"/>
          <w:szCs w:val="20"/>
          <w:lang w:eastAsia="en-US"/>
        </w:rPr>
        <w:t>acciones para reparar la situación de Daniel García y Reyes Alpízar, el 23 de agosto de 2019 fueron liberados como consecuencia de una decisión de conmutación de medida cautelar de prisión preventiva por una de libertad restrictiva. Con base en lo anterior, afirmó que la Corte no debería entrar al estudio de las violaciones alegadas en el presente caso, dado que fue</w:t>
      </w:r>
      <w:r w:rsidR="00C9313B" w:rsidRPr="009D520B">
        <w:rPr>
          <w:rFonts w:ascii="Verdana" w:eastAsiaTheme="minorHAnsi" w:hAnsi="Verdana" w:cs="Verdana"/>
          <w:i w:val="0"/>
          <w:iCs/>
          <w:sz w:val="20"/>
          <w:szCs w:val="20"/>
          <w:lang w:eastAsia="en-US"/>
        </w:rPr>
        <w:t>ron</w:t>
      </w:r>
      <w:r w:rsidRPr="009D520B">
        <w:rPr>
          <w:rFonts w:ascii="Verdana" w:eastAsiaTheme="minorHAnsi" w:hAnsi="Verdana" w:cs="Verdana"/>
          <w:i w:val="0"/>
          <w:iCs/>
          <w:sz w:val="20"/>
          <w:szCs w:val="20"/>
          <w:lang w:eastAsia="en-US"/>
        </w:rPr>
        <w:t xml:space="preserve"> resuelt</w:t>
      </w:r>
      <w:r w:rsidR="00C9313B" w:rsidRPr="009D520B">
        <w:rPr>
          <w:rFonts w:ascii="Verdana" w:eastAsiaTheme="minorHAnsi" w:hAnsi="Verdana" w:cs="Verdana"/>
          <w:i w:val="0"/>
          <w:iCs/>
          <w:sz w:val="20"/>
          <w:szCs w:val="20"/>
          <w:lang w:eastAsia="en-US"/>
        </w:rPr>
        <w:t>as</w:t>
      </w:r>
      <w:r w:rsidRPr="009D520B">
        <w:rPr>
          <w:rFonts w:ascii="Verdana" w:eastAsiaTheme="minorHAnsi" w:hAnsi="Verdana" w:cs="Verdana"/>
          <w:i w:val="0"/>
          <w:iCs/>
          <w:sz w:val="20"/>
          <w:szCs w:val="20"/>
          <w:lang w:eastAsia="en-US"/>
        </w:rPr>
        <w:t xml:space="preserve"> por otro mecanismo internacional</w:t>
      </w:r>
      <w:r w:rsidR="00860C08" w:rsidRPr="009D520B">
        <w:rPr>
          <w:rFonts w:ascii="Verdana" w:eastAsiaTheme="minorHAnsi" w:hAnsi="Verdana" w:cs="Verdana"/>
          <w:i w:val="0"/>
          <w:iCs/>
          <w:sz w:val="20"/>
          <w:szCs w:val="20"/>
          <w:lang w:eastAsia="en-US"/>
        </w:rPr>
        <w:t>.</w:t>
      </w:r>
    </w:p>
    <w:p w14:paraId="14889672" w14:textId="24EEB45F" w:rsidR="00AB0FA2" w:rsidRPr="009D520B" w:rsidRDefault="00233A69" w:rsidP="00AB0FA2">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eastAsiaTheme="minorHAnsi" w:hAnsi="Verdana" w:cs="Verdana"/>
          <w:i w:val="0"/>
          <w:iCs/>
          <w:sz w:val="20"/>
          <w:szCs w:val="20"/>
          <w:lang w:eastAsia="en-US"/>
        </w:rPr>
        <w:t xml:space="preserve">Frente a esta excepción preliminar, la </w:t>
      </w:r>
      <w:r w:rsidRPr="009D520B">
        <w:rPr>
          <w:rFonts w:ascii="Verdana-BoldItalic" w:eastAsiaTheme="minorHAnsi" w:hAnsi="Verdana-BoldItalic" w:cs="Verdana-BoldItalic"/>
          <w:b/>
          <w:bCs/>
          <w:sz w:val="20"/>
          <w:szCs w:val="20"/>
          <w:lang w:eastAsia="en-US"/>
        </w:rPr>
        <w:t>Comisión</w:t>
      </w:r>
      <w:r w:rsidRPr="009D520B">
        <w:rPr>
          <w:rFonts w:ascii="Verdana-BoldItalic" w:eastAsiaTheme="minorHAnsi" w:hAnsi="Verdana-BoldItalic" w:cs="Verdana-BoldItalic"/>
          <w:i w:val="0"/>
          <w:iCs/>
          <w:sz w:val="20"/>
          <w:szCs w:val="20"/>
          <w:lang w:eastAsia="en-US"/>
        </w:rPr>
        <w:t xml:space="preserve"> </w:t>
      </w:r>
      <w:r w:rsidR="00016F7B" w:rsidRPr="009D520B">
        <w:rPr>
          <w:rFonts w:ascii="Verdana-BoldItalic" w:eastAsiaTheme="minorHAnsi" w:hAnsi="Verdana-BoldItalic" w:cs="Verdana-BoldItalic"/>
          <w:i w:val="0"/>
          <w:iCs/>
          <w:sz w:val="20"/>
          <w:szCs w:val="20"/>
          <w:lang w:eastAsia="en-US"/>
        </w:rPr>
        <w:t xml:space="preserve">y los </w:t>
      </w:r>
      <w:r w:rsidR="00016F7B" w:rsidRPr="009D520B">
        <w:rPr>
          <w:rFonts w:ascii="Verdana-BoldItalic" w:eastAsiaTheme="minorHAnsi" w:hAnsi="Verdana-BoldItalic" w:cs="Verdana-BoldItalic"/>
          <w:b/>
          <w:bCs/>
          <w:sz w:val="20"/>
          <w:szCs w:val="20"/>
          <w:lang w:eastAsia="en-US"/>
        </w:rPr>
        <w:t>representantes</w:t>
      </w:r>
      <w:r w:rsidR="00016F7B" w:rsidRPr="009D520B">
        <w:rPr>
          <w:rFonts w:ascii="Verdana-BoldItalic" w:eastAsiaTheme="minorHAnsi" w:hAnsi="Verdana-BoldItalic" w:cs="Verdana-BoldItalic"/>
          <w:b/>
          <w:bCs/>
          <w:i w:val="0"/>
          <w:iCs/>
          <w:sz w:val="20"/>
          <w:szCs w:val="20"/>
          <w:lang w:eastAsia="en-US"/>
        </w:rPr>
        <w:t xml:space="preserve"> </w:t>
      </w:r>
      <w:r w:rsidRPr="009D520B">
        <w:rPr>
          <w:rFonts w:ascii="Verdana-BoldItalic" w:eastAsiaTheme="minorHAnsi" w:hAnsi="Verdana-BoldItalic" w:cs="Verdana-BoldItalic"/>
          <w:i w:val="0"/>
          <w:iCs/>
          <w:sz w:val="20"/>
          <w:szCs w:val="20"/>
          <w:lang w:eastAsia="en-US"/>
        </w:rPr>
        <w:t>aleg</w:t>
      </w:r>
      <w:r w:rsidR="00016F7B" w:rsidRPr="009D520B">
        <w:rPr>
          <w:rFonts w:ascii="Verdana-BoldItalic" w:eastAsiaTheme="minorHAnsi" w:hAnsi="Verdana-BoldItalic" w:cs="Verdana-BoldItalic"/>
          <w:i w:val="0"/>
          <w:iCs/>
          <w:sz w:val="20"/>
          <w:szCs w:val="20"/>
          <w:lang w:eastAsia="en-US"/>
        </w:rPr>
        <w:t>aron</w:t>
      </w:r>
      <w:r w:rsidRPr="009D520B">
        <w:rPr>
          <w:rFonts w:ascii="Verdana-BoldItalic" w:eastAsiaTheme="minorHAnsi" w:hAnsi="Verdana-BoldItalic" w:cs="Verdana-BoldItalic"/>
          <w:i w:val="0"/>
          <w:iCs/>
          <w:sz w:val="20"/>
          <w:szCs w:val="20"/>
          <w:lang w:eastAsia="en-US"/>
        </w:rPr>
        <w:t xml:space="preserve"> que los mandatos del GTDA difieren de aquellos del Sistema Interamericano</w:t>
      </w:r>
      <w:r w:rsidR="00DA5B94" w:rsidRPr="009D520B">
        <w:rPr>
          <w:rFonts w:ascii="Verdana-BoldItalic" w:eastAsiaTheme="minorHAnsi" w:hAnsi="Verdana-BoldItalic" w:cs="Verdana-BoldItalic"/>
          <w:i w:val="0"/>
          <w:iCs/>
          <w:sz w:val="20"/>
          <w:szCs w:val="20"/>
          <w:lang w:eastAsia="en-US"/>
        </w:rPr>
        <w:t>,</w:t>
      </w:r>
      <w:r w:rsidR="00BD3E7F" w:rsidRPr="009D520B">
        <w:rPr>
          <w:rFonts w:ascii="Verdana-BoldItalic" w:eastAsiaTheme="minorHAnsi" w:hAnsi="Verdana-BoldItalic" w:cs="Verdana-BoldItalic"/>
          <w:i w:val="0"/>
          <w:iCs/>
          <w:sz w:val="20"/>
          <w:szCs w:val="20"/>
          <w:lang w:eastAsia="en-US"/>
        </w:rPr>
        <w:t xml:space="preserve"> </w:t>
      </w:r>
      <w:r w:rsidRPr="009D520B">
        <w:rPr>
          <w:rFonts w:ascii="Verdana-BoldItalic" w:eastAsiaTheme="minorHAnsi" w:hAnsi="Verdana-BoldItalic" w:cs="Verdana-BoldItalic"/>
          <w:i w:val="0"/>
          <w:iCs/>
          <w:sz w:val="20"/>
          <w:szCs w:val="20"/>
          <w:lang w:eastAsia="en-US"/>
        </w:rPr>
        <w:t>que los hechos y violaciones que abarcan son disímiles</w:t>
      </w:r>
      <w:r w:rsidR="00A915AA" w:rsidRPr="009D520B">
        <w:rPr>
          <w:rFonts w:ascii="Verdana-BoldItalic" w:eastAsiaTheme="minorHAnsi" w:hAnsi="Verdana-BoldItalic" w:cs="Verdana-BoldItalic"/>
          <w:i w:val="0"/>
          <w:iCs/>
          <w:sz w:val="20"/>
          <w:szCs w:val="20"/>
          <w:lang w:eastAsia="en-US"/>
        </w:rPr>
        <w:t xml:space="preserve"> </w:t>
      </w:r>
      <w:r w:rsidRPr="009D520B">
        <w:rPr>
          <w:rFonts w:ascii="Verdana-BoldItalic" w:eastAsiaTheme="minorHAnsi" w:hAnsi="Verdana-BoldItalic" w:cs="Verdana-BoldItalic"/>
          <w:i w:val="0"/>
          <w:iCs/>
          <w:sz w:val="20"/>
          <w:szCs w:val="20"/>
          <w:lang w:eastAsia="en-US"/>
        </w:rPr>
        <w:t>y que la naturaleza de las decisiones de ambos órganos es distinta</w:t>
      </w:r>
      <w:r w:rsidR="00DD33C6">
        <w:rPr>
          <w:rFonts w:ascii="Verdana-BoldItalic" w:eastAsiaTheme="minorHAnsi" w:hAnsi="Verdana-BoldItalic" w:cs="Verdana-BoldItalic"/>
          <w:i w:val="0"/>
          <w:iCs/>
          <w:sz w:val="20"/>
          <w:szCs w:val="20"/>
          <w:lang w:eastAsia="en-US"/>
        </w:rPr>
        <w:t>,</w:t>
      </w:r>
      <w:r w:rsidRPr="009D520B">
        <w:rPr>
          <w:rFonts w:ascii="Verdana-BoldItalic" w:eastAsiaTheme="minorHAnsi" w:hAnsi="Verdana-BoldItalic" w:cs="Verdana-BoldItalic"/>
          <w:i w:val="0"/>
          <w:iCs/>
          <w:sz w:val="20"/>
          <w:szCs w:val="20"/>
          <w:lang w:eastAsia="en-US"/>
        </w:rPr>
        <w:t xml:space="preserve"> toda vez que las sentencias de la Corte son vinculantes</w:t>
      </w:r>
      <w:r w:rsidRPr="009D520B">
        <w:rPr>
          <w:rFonts w:ascii="Verdana" w:eastAsiaTheme="minorHAnsi" w:hAnsi="Verdana" w:cs="Verdana"/>
          <w:i w:val="0"/>
          <w:iCs/>
          <w:sz w:val="20"/>
          <w:szCs w:val="20"/>
          <w:lang w:eastAsia="en-US"/>
        </w:rPr>
        <w:t xml:space="preserve">. De igual modo </w:t>
      </w:r>
      <w:r w:rsidR="00016F7B" w:rsidRPr="009D520B">
        <w:rPr>
          <w:rFonts w:ascii="Verdana" w:eastAsiaTheme="minorHAnsi" w:hAnsi="Verdana" w:cs="Verdana"/>
          <w:i w:val="0"/>
          <w:iCs/>
          <w:sz w:val="20"/>
          <w:szCs w:val="20"/>
          <w:lang w:eastAsia="en-US"/>
        </w:rPr>
        <w:t xml:space="preserve">arguyeron </w:t>
      </w:r>
      <w:r w:rsidRPr="009D520B">
        <w:rPr>
          <w:rFonts w:ascii="Verdana" w:eastAsiaTheme="minorHAnsi" w:hAnsi="Verdana" w:cs="Verdana"/>
          <w:i w:val="0"/>
          <w:iCs/>
          <w:sz w:val="20"/>
          <w:szCs w:val="20"/>
          <w:lang w:eastAsia="en-US"/>
        </w:rPr>
        <w:t>que</w:t>
      </w:r>
      <w:r w:rsidR="00DD33C6">
        <w:rPr>
          <w:rFonts w:ascii="Verdana" w:eastAsiaTheme="minorHAnsi" w:hAnsi="Verdana" w:cs="Verdana"/>
          <w:i w:val="0"/>
          <w:iCs/>
          <w:sz w:val="20"/>
          <w:szCs w:val="20"/>
          <w:lang w:eastAsia="en-US"/>
        </w:rPr>
        <w:t>,</w:t>
      </w:r>
      <w:r w:rsidRPr="009D520B">
        <w:rPr>
          <w:rFonts w:ascii="Verdana" w:eastAsiaTheme="minorHAnsi" w:hAnsi="Verdana" w:cs="Verdana"/>
          <w:i w:val="0"/>
          <w:iCs/>
          <w:sz w:val="20"/>
          <w:szCs w:val="20"/>
          <w:lang w:eastAsia="en-US"/>
        </w:rPr>
        <w:t xml:space="preserve"> existen diversos aspectos de hechos y de derecho alegados por las presuntas víctimas no incorporados en la decisión del </w:t>
      </w:r>
      <w:r w:rsidR="00C135E9">
        <w:rPr>
          <w:rFonts w:ascii="Verdana" w:eastAsiaTheme="minorHAnsi" w:hAnsi="Verdana" w:cs="Verdana"/>
          <w:i w:val="0"/>
          <w:iCs/>
          <w:sz w:val="20"/>
          <w:szCs w:val="20"/>
          <w:lang w:eastAsia="en-US"/>
        </w:rPr>
        <w:t>GTDA</w:t>
      </w:r>
      <w:r w:rsidRPr="009D520B">
        <w:rPr>
          <w:rFonts w:ascii="Verdana" w:eastAsiaTheme="minorHAnsi" w:hAnsi="Verdana" w:cs="Verdana"/>
          <w:i w:val="0"/>
          <w:iCs/>
          <w:sz w:val="20"/>
          <w:szCs w:val="20"/>
          <w:lang w:eastAsia="en-US"/>
        </w:rPr>
        <w:t xml:space="preserve">. </w:t>
      </w:r>
      <w:r w:rsidR="00016F7B" w:rsidRPr="009D520B">
        <w:rPr>
          <w:rFonts w:ascii="Verdana" w:eastAsiaTheme="minorHAnsi" w:hAnsi="Verdana" w:cs="Verdana"/>
          <w:i w:val="0"/>
          <w:iCs/>
          <w:sz w:val="20"/>
          <w:szCs w:val="20"/>
          <w:lang w:eastAsia="en-US"/>
        </w:rPr>
        <w:t xml:space="preserve">Agregaron </w:t>
      </w:r>
      <w:r w:rsidRPr="009D520B">
        <w:rPr>
          <w:rFonts w:ascii="Verdana" w:eastAsiaTheme="minorHAnsi" w:hAnsi="Verdana" w:cs="Verdana"/>
          <w:i w:val="0"/>
          <w:iCs/>
          <w:sz w:val="20"/>
          <w:szCs w:val="20"/>
          <w:lang w:eastAsia="en-US"/>
        </w:rPr>
        <w:t xml:space="preserve">asimismo que el Informe de Fondo identificó una serie de violaciones a los derechos de las presuntas víctimas que tuvieron lugar con posterioridad a la </w:t>
      </w:r>
      <w:r w:rsidR="00A915AA" w:rsidRPr="009D520B">
        <w:rPr>
          <w:rFonts w:ascii="Verdana" w:eastAsiaTheme="minorHAnsi" w:hAnsi="Verdana" w:cs="Verdana"/>
          <w:i w:val="0"/>
          <w:iCs/>
          <w:sz w:val="20"/>
          <w:szCs w:val="20"/>
          <w:lang w:eastAsia="en-US"/>
        </w:rPr>
        <w:t>o</w:t>
      </w:r>
      <w:r w:rsidRPr="009D520B">
        <w:rPr>
          <w:rFonts w:ascii="Verdana" w:eastAsiaTheme="minorHAnsi" w:hAnsi="Verdana" w:cs="Verdana"/>
          <w:i w:val="0"/>
          <w:iCs/>
          <w:sz w:val="20"/>
          <w:szCs w:val="20"/>
          <w:lang w:eastAsia="en-US"/>
        </w:rPr>
        <w:t>pinión 66/2017 del GTDA y que, por consiguiente, no fueron analizadas por ese órgano</w:t>
      </w:r>
      <w:r w:rsidR="00AB0FA2" w:rsidRPr="009D520B">
        <w:rPr>
          <w:rFonts w:ascii="Verdana" w:eastAsiaTheme="minorHAnsi" w:hAnsi="Verdana" w:cs="Verdana"/>
          <w:i w:val="0"/>
          <w:iCs/>
          <w:sz w:val="20"/>
          <w:szCs w:val="20"/>
          <w:lang w:eastAsia="en-US"/>
        </w:rPr>
        <w:t>.</w:t>
      </w:r>
    </w:p>
    <w:p w14:paraId="55F976F7" w14:textId="56020D5A" w:rsidR="00871FCE" w:rsidRPr="00351298" w:rsidRDefault="00871FCE" w:rsidP="00D73463">
      <w:pPr>
        <w:pStyle w:val="Ttulo3"/>
        <w:spacing w:before="240" w:after="240"/>
        <w:ind w:left="567"/>
        <w:jc w:val="both"/>
        <w:rPr>
          <w:rFonts w:ascii="Verdana" w:hAnsi="Verdana"/>
          <w:snapToGrid w:val="0"/>
          <w:spacing w:val="-2"/>
          <w:sz w:val="20"/>
          <w:szCs w:val="20"/>
          <w:lang w:eastAsia="es-ES"/>
        </w:rPr>
      </w:pPr>
      <w:bookmarkStart w:id="34" w:name="_Toc132133884"/>
      <w:r w:rsidRPr="009D520B">
        <w:rPr>
          <w:rFonts w:ascii="Verdana" w:hAnsi="Verdana"/>
          <w:b w:val="0"/>
          <w:snapToGrid w:val="0"/>
          <w:spacing w:val="-2"/>
          <w:sz w:val="20"/>
          <w:szCs w:val="20"/>
          <w:lang w:eastAsia="es-ES"/>
        </w:rPr>
        <w:t>A.2. Consideraciones de la Corte</w:t>
      </w:r>
      <w:bookmarkEnd w:id="34"/>
    </w:p>
    <w:p w14:paraId="70AC12F6" w14:textId="48B75500" w:rsidR="00871FCE" w:rsidRPr="00351298" w:rsidRDefault="00314FF1" w:rsidP="00871FCE">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3BF92891">
        <w:rPr>
          <w:rFonts w:ascii="Verdana" w:hAnsi="Verdana"/>
          <w:i w:val="0"/>
          <w:sz w:val="20"/>
          <w:szCs w:val="20"/>
          <w:lang w:val="es-CR"/>
        </w:rPr>
        <w:t xml:space="preserve">En lo que se refiere a la excepción preliminar por cosa juzgada internacional, el Tribunal recuerda que el </w:t>
      </w:r>
      <w:r w:rsidRPr="3BF92891">
        <w:rPr>
          <w:rFonts w:ascii="Verdana" w:hAnsi="Verdana"/>
          <w:i w:val="0"/>
          <w:sz w:val="20"/>
          <w:szCs w:val="20"/>
        </w:rPr>
        <w:t xml:space="preserve">artículo 47.d de la Convención Americana establece que: “[l]a Comisión declarará </w:t>
      </w:r>
      <w:r w:rsidRPr="3BF92891">
        <w:rPr>
          <w:rFonts w:ascii="Verdana" w:hAnsi="Verdana"/>
          <w:i w:val="0"/>
          <w:sz w:val="20"/>
          <w:szCs w:val="20"/>
        </w:rPr>
        <w:lastRenderedPageBreak/>
        <w:t>inadmisible toda petición o comunicación presentada de acuerdo con los artículos 44 o 45 cuando: […] d) sea sustancialmente la reproducción de petición o comunicación anterior ya examinada por la Comisión u otro organismo internacional”. Esta Corte ha establecido que la expresión “sustancialmente la misma” significa que debe existir identidad entre los casos. Para que exista dicha identidad se requiere la presencia de tres elementos, a saber: que las partes sean las mismas, que el objeto sea el mismo y que la base legal sea idéntica</w:t>
      </w:r>
      <w:r w:rsidR="00DA017B" w:rsidRPr="3BF92891">
        <w:rPr>
          <w:rStyle w:val="Refdenotaalpie"/>
          <w:rFonts w:ascii="Verdana" w:hAnsi="Verdana"/>
          <w:i w:val="0"/>
          <w:sz w:val="20"/>
        </w:rPr>
        <w:footnoteReference w:id="33"/>
      </w:r>
      <w:r w:rsidR="00EB0745" w:rsidRPr="3BF92891">
        <w:rPr>
          <w:rFonts w:ascii="Verdana" w:hAnsi="Verdana"/>
          <w:i w:val="0"/>
          <w:sz w:val="20"/>
          <w:szCs w:val="20"/>
        </w:rPr>
        <w:t>.</w:t>
      </w:r>
    </w:p>
    <w:p w14:paraId="5EBF87EC" w14:textId="6BE8338F" w:rsidR="00DA017B" w:rsidRPr="009D520B" w:rsidRDefault="00314FF1" w:rsidP="00A37E11">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hAnsi="Verdana"/>
          <w:i w:val="0"/>
          <w:iCs/>
          <w:sz w:val="20"/>
          <w:szCs w:val="20"/>
        </w:rPr>
        <w:t xml:space="preserve">En el presente caso, el Estado hizo referencia a la opinión 66/2017 del GTDA, adoptada </w:t>
      </w:r>
      <w:r w:rsidR="00962F65" w:rsidRPr="009D520B">
        <w:rPr>
          <w:rFonts w:ascii="Verdana" w:hAnsi="Verdana"/>
          <w:i w:val="0"/>
          <w:iCs/>
          <w:sz w:val="20"/>
          <w:szCs w:val="20"/>
        </w:rPr>
        <w:t xml:space="preserve">el </w:t>
      </w:r>
      <w:r w:rsidRPr="009D520B">
        <w:rPr>
          <w:rFonts w:ascii="Verdana" w:hAnsi="Verdana"/>
          <w:i w:val="0"/>
          <w:iCs/>
          <w:sz w:val="20"/>
          <w:szCs w:val="20"/>
        </w:rPr>
        <w:t>16 de octubre de 2017 y presentó esta excepción considerando que</w:t>
      </w:r>
      <w:r w:rsidR="0056483C" w:rsidRPr="009D520B">
        <w:rPr>
          <w:rFonts w:ascii="Verdana" w:hAnsi="Verdana"/>
          <w:i w:val="0"/>
          <w:iCs/>
          <w:sz w:val="20"/>
          <w:szCs w:val="20"/>
        </w:rPr>
        <w:t xml:space="preserve"> el referido dictamen</w:t>
      </w:r>
      <w:r w:rsidRPr="009D520B">
        <w:rPr>
          <w:rFonts w:ascii="Verdana" w:hAnsi="Verdana"/>
          <w:i w:val="0"/>
          <w:iCs/>
          <w:sz w:val="20"/>
          <w:szCs w:val="20"/>
        </w:rPr>
        <w:t xml:space="preserve"> </w:t>
      </w:r>
      <w:r w:rsidR="00917361" w:rsidRPr="009D520B">
        <w:rPr>
          <w:rFonts w:ascii="Verdana" w:hAnsi="Verdana"/>
          <w:i w:val="0"/>
          <w:iCs/>
          <w:sz w:val="20"/>
          <w:szCs w:val="20"/>
        </w:rPr>
        <w:t>versa sobre</w:t>
      </w:r>
      <w:r w:rsidR="00137654" w:rsidRPr="009D520B">
        <w:rPr>
          <w:rFonts w:ascii="Verdana" w:hAnsi="Verdana"/>
          <w:i w:val="0"/>
          <w:iCs/>
          <w:sz w:val="20"/>
          <w:szCs w:val="20"/>
        </w:rPr>
        <w:t xml:space="preserve"> </w:t>
      </w:r>
      <w:r w:rsidRPr="009D520B">
        <w:rPr>
          <w:rFonts w:ascii="Verdana" w:eastAsiaTheme="minorHAnsi" w:hAnsi="Verdana" w:cs="Verdana"/>
          <w:i w:val="0"/>
          <w:iCs/>
          <w:sz w:val="20"/>
          <w:szCs w:val="20"/>
          <w:lang w:eastAsia="en-US"/>
        </w:rPr>
        <w:t>los mismos hechos y sujetos que aquellos que figuran en el presente caso</w:t>
      </w:r>
      <w:r w:rsidR="000F0622" w:rsidRPr="009D520B">
        <w:rPr>
          <w:rFonts w:ascii="Verdana" w:eastAsiaTheme="minorHAnsi" w:hAnsi="Verdana" w:cs="Verdana"/>
          <w:i w:val="0"/>
          <w:iCs/>
          <w:sz w:val="20"/>
          <w:szCs w:val="20"/>
          <w:lang w:eastAsia="en-US"/>
        </w:rPr>
        <w:t xml:space="preserve">. </w:t>
      </w:r>
    </w:p>
    <w:p w14:paraId="40B00CBC" w14:textId="2891651B" w:rsidR="000F0622" w:rsidRPr="00727354" w:rsidRDefault="00233A6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40DDB40B">
        <w:rPr>
          <w:rFonts w:ascii="Verdana" w:eastAsiaTheme="minorEastAsia" w:hAnsi="Verdana" w:cs="Verdana"/>
          <w:i w:val="0"/>
          <w:sz w:val="20"/>
          <w:szCs w:val="20"/>
          <w:lang w:eastAsia="en-US"/>
        </w:rPr>
        <w:t>Al respecto est</w:t>
      </w:r>
      <w:r w:rsidR="00F443DC" w:rsidRPr="40DDB40B">
        <w:rPr>
          <w:rFonts w:ascii="Verdana" w:eastAsiaTheme="minorEastAsia" w:hAnsi="Verdana" w:cs="Verdana"/>
          <w:i w:val="0"/>
          <w:sz w:val="20"/>
          <w:szCs w:val="20"/>
          <w:lang w:eastAsia="en-US"/>
        </w:rPr>
        <w:t>e</w:t>
      </w:r>
      <w:r w:rsidRPr="40DDB40B">
        <w:rPr>
          <w:rFonts w:ascii="Verdana" w:eastAsiaTheme="minorEastAsia" w:hAnsi="Verdana" w:cs="Verdana"/>
          <w:i w:val="0"/>
          <w:sz w:val="20"/>
          <w:szCs w:val="20"/>
          <w:lang w:eastAsia="en-US"/>
        </w:rPr>
        <w:t xml:space="preserve"> </w:t>
      </w:r>
      <w:r w:rsidR="00F443DC" w:rsidRPr="40DDB40B">
        <w:rPr>
          <w:rFonts w:ascii="Verdana" w:eastAsiaTheme="minorEastAsia" w:hAnsi="Verdana" w:cs="Verdana"/>
          <w:i w:val="0"/>
          <w:sz w:val="20"/>
          <w:szCs w:val="20"/>
          <w:lang w:eastAsia="en-US"/>
        </w:rPr>
        <w:t>Tribunal</w:t>
      </w:r>
      <w:r w:rsidRPr="40DDB40B">
        <w:rPr>
          <w:rFonts w:ascii="Verdana" w:eastAsiaTheme="minorEastAsia" w:hAnsi="Verdana" w:cs="Verdana"/>
          <w:i w:val="0"/>
          <w:sz w:val="20"/>
          <w:szCs w:val="20"/>
          <w:lang w:eastAsia="en-US"/>
        </w:rPr>
        <w:t xml:space="preserve"> nota que: </w:t>
      </w:r>
      <w:r w:rsidR="00C135E9" w:rsidRPr="00C135E9">
        <w:rPr>
          <w:rFonts w:ascii="Verdana" w:eastAsiaTheme="minorEastAsia" w:hAnsi="Verdana" w:cs="Verdana"/>
          <w:i w:val="0"/>
          <w:sz w:val="20"/>
          <w:szCs w:val="20"/>
          <w:lang w:eastAsia="en-US"/>
        </w:rPr>
        <w:t xml:space="preserve">a) </w:t>
      </w:r>
      <w:r w:rsidR="008856E9" w:rsidRPr="00D04822">
        <w:rPr>
          <w:rFonts w:ascii="Verdana" w:hAnsi="Verdana"/>
          <w:i w:val="0"/>
          <w:sz w:val="20"/>
          <w:szCs w:val="20"/>
        </w:rPr>
        <w:t xml:space="preserve">el </w:t>
      </w:r>
      <w:r w:rsidR="00727354" w:rsidRPr="00D04822">
        <w:rPr>
          <w:rFonts w:ascii="Verdana" w:hAnsi="Verdana"/>
          <w:i w:val="0"/>
          <w:sz w:val="20"/>
          <w:szCs w:val="20"/>
        </w:rPr>
        <w:t>Grupo de Trabajo sobre Detenciones Arbitrarias de Naciones Unidas</w:t>
      </w:r>
      <w:r w:rsidR="008856E9" w:rsidRPr="00D04822">
        <w:rPr>
          <w:rFonts w:ascii="Verdana" w:hAnsi="Verdana"/>
          <w:i w:val="0"/>
          <w:sz w:val="20"/>
          <w:szCs w:val="20"/>
        </w:rPr>
        <w:t xml:space="preserve"> y </w:t>
      </w:r>
      <w:r w:rsidR="00F443DC" w:rsidRPr="00D04822">
        <w:rPr>
          <w:rFonts w:ascii="Verdana" w:hAnsi="Verdana"/>
          <w:i w:val="0"/>
          <w:sz w:val="20"/>
          <w:szCs w:val="20"/>
        </w:rPr>
        <w:t>la Corte</w:t>
      </w:r>
      <w:r w:rsidR="008856E9" w:rsidRPr="00D04822">
        <w:rPr>
          <w:rFonts w:ascii="Verdana" w:hAnsi="Verdana"/>
          <w:i w:val="0"/>
          <w:sz w:val="20"/>
          <w:szCs w:val="20"/>
        </w:rPr>
        <w:t xml:space="preserve"> Interamerican</w:t>
      </w:r>
      <w:r w:rsidR="00F443DC" w:rsidRPr="00D04822">
        <w:rPr>
          <w:rFonts w:ascii="Verdana" w:hAnsi="Verdana"/>
          <w:i w:val="0"/>
          <w:sz w:val="20"/>
          <w:szCs w:val="20"/>
        </w:rPr>
        <w:t>a</w:t>
      </w:r>
      <w:r w:rsidR="005971D0" w:rsidRPr="00D04822">
        <w:rPr>
          <w:rFonts w:ascii="Verdana" w:hAnsi="Verdana"/>
          <w:i w:val="0"/>
          <w:sz w:val="20"/>
          <w:szCs w:val="20"/>
        </w:rPr>
        <w:t>,</w:t>
      </w:r>
      <w:r w:rsidR="008856E9" w:rsidRPr="00D04822">
        <w:rPr>
          <w:rFonts w:ascii="Verdana" w:hAnsi="Verdana"/>
          <w:i w:val="0"/>
          <w:sz w:val="20"/>
          <w:szCs w:val="20"/>
        </w:rPr>
        <w:t xml:space="preserve"> son órganos de distinta naturaleza, que emiten </w:t>
      </w:r>
      <w:r w:rsidR="005971D0" w:rsidRPr="00D04822">
        <w:rPr>
          <w:rFonts w:ascii="Verdana" w:hAnsi="Verdana"/>
          <w:i w:val="0"/>
          <w:sz w:val="20"/>
          <w:szCs w:val="20"/>
        </w:rPr>
        <w:t>decisiones de índole diferente</w:t>
      </w:r>
      <w:r w:rsidR="00030FC5" w:rsidRPr="00D04822">
        <w:rPr>
          <w:rFonts w:ascii="Verdana" w:hAnsi="Verdana"/>
          <w:i w:val="0"/>
          <w:sz w:val="20"/>
          <w:szCs w:val="20"/>
        </w:rPr>
        <w:t>, especialmente en el área de reparación del daño causado por violaciones a los derechos humanos</w:t>
      </w:r>
      <w:r w:rsidR="00727354" w:rsidRPr="00C135E9">
        <w:rPr>
          <w:rFonts w:ascii="Verdana" w:hAnsi="Verdana"/>
          <w:i w:val="0"/>
          <w:sz w:val="20"/>
          <w:szCs w:val="20"/>
        </w:rPr>
        <w:t xml:space="preserve">; </w:t>
      </w:r>
      <w:r w:rsidR="00727354" w:rsidRPr="00D04822">
        <w:rPr>
          <w:rFonts w:ascii="Verdana" w:eastAsiaTheme="minorEastAsia" w:hAnsi="Verdana" w:cs="Verdana"/>
          <w:i w:val="0"/>
          <w:sz w:val="20"/>
          <w:szCs w:val="20"/>
          <w:lang w:eastAsia="en-US"/>
        </w:rPr>
        <w:t>b</w:t>
      </w:r>
      <w:r w:rsidRPr="00C135E9">
        <w:rPr>
          <w:rFonts w:ascii="Verdana" w:eastAsiaTheme="minorEastAsia" w:hAnsi="Verdana" w:cs="Verdana"/>
          <w:i w:val="0"/>
          <w:sz w:val="20"/>
          <w:szCs w:val="20"/>
          <w:lang w:eastAsia="en-US"/>
        </w:rPr>
        <w:t>) la opinión del GTDA no presenta la misma base fáctica que la del presente caso</w:t>
      </w:r>
      <w:r w:rsidR="008476DE" w:rsidRPr="00C135E9">
        <w:rPr>
          <w:rFonts w:ascii="Verdana" w:eastAsiaTheme="minorEastAsia" w:hAnsi="Verdana" w:cs="Verdana"/>
          <w:i w:val="0"/>
          <w:sz w:val="20"/>
          <w:szCs w:val="20"/>
          <w:lang w:eastAsia="en-US"/>
        </w:rPr>
        <w:t>. En efecto, algunos hechos</w:t>
      </w:r>
      <w:r w:rsidR="000819FF" w:rsidRPr="00C135E9">
        <w:rPr>
          <w:rFonts w:ascii="Verdana" w:eastAsiaTheme="minorEastAsia" w:hAnsi="Verdana" w:cs="Verdana"/>
          <w:i w:val="0"/>
          <w:sz w:val="20"/>
          <w:szCs w:val="20"/>
          <w:lang w:eastAsia="en-US"/>
        </w:rPr>
        <w:t xml:space="preserve"> que son alegados por la Comisión y los representantes</w:t>
      </w:r>
      <w:r w:rsidR="008476DE" w:rsidRPr="00C135E9">
        <w:rPr>
          <w:rFonts w:ascii="Verdana" w:eastAsiaTheme="minorEastAsia" w:hAnsi="Verdana" w:cs="Verdana"/>
          <w:i w:val="0"/>
          <w:sz w:val="20"/>
          <w:szCs w:val="20"/>
          <w:lang w:eastAsia="en-US"/>
        </w:rPr>
        <w:t xml:space="preserve"> ocurrieron con posterioridad a la decisión del GTDA</w:t>
      </w:r>
      <w:r w:rsidR="00727354" w:rsidRPr="00C135E9">
        <w:rPr>
          <w:rFonts w:ascii="Verdana" w:eastAsiaTheme="minorEastAsia" w:hAnsi="Verdana" w:cs="Verdana"/>
          <w:i w:val="0"/>
          <w:sz w:val="20"/>
          <w:szCs w:val="20"/>
          <w:lang w:eastAsia="en-US"/>
        </w:rPr>
        <w:t xml:space="preserve">, </w:t>
      </w:r>
      <w:r w:rsidR="009010F3" w:rsidRPr="00C135E9">
        <w:rPr>
          <w:rFonts w:ascii="Verdana" w:eastAsiaTheme="minorEastAsia" w:hAnsi="Verdana" w:cs="Verdana"/>
          <w:i w:val="0"/>
          <w:sz w:val="20"/>
          <w:szCs w:val="20"/>
          <w:lang w:eastAsia="en-US"/>
        </w:rPr>
        <w:t>y varios alegatos de hecho y de derecho presentados por los representantes en este caso no fueron analizados por el GTDA en su opinión 66/2017</w:t>
      </w:r>
      <w:r w:rsidR="009010F3" w:rsidRPr="00C135E9">
        <w:rPr>
          <w:rStyle w:val="Refdenotaalpie"/>
          <w:rFonts w:ascii="Verdana" w:eastAsiaTheme="minorEastAsia" w:hAnsi="Verdana"/>
          <w:i w:val="0"/>
          <w:sz w:val="20"/>
          <w:lang w:eastAsia="en-US"/>
        </w:rPr>
        <w:footnoteReference w:id="34"/>
      </w:r>
      <w:r w:rsidR="009010F3" w:rsidRPr="00C135E9">
        <w:rPr>
          <w:rFonts w:ascii="Verdana" w:eastAsiaTheme="minorEastAsia" w:hAnsi="Verdana" w:cs="Verdana"/>
          <w:i w:val="0"/>
          <w:sz w:val="20"/>
          <w:szCs w:val="20"/>
          <w:lang w:eastAsia="en-US"/>
        </w:rPr>
        <w:t xml:space="preserve"> (</w:t>
      </w:r>
      <w:r w:rsidR="009010F3" w:rsidRPr="00C135E9">
        <w:rPr>
          <w:rFonts w:ascii="Verdana" w:eastAsiaTheme="minorEastAsia" w:hAnsi="Verdana" w:cs="Verdana"/>
          <w:sz w:val="20"/>
          <w:szCs w:val="20"/>
          <w:lang w:eastAsia="en-US"/>
        </w:rPr>
        <w:t>supra</w:t>
      </w:r>
      <w:r w:rsidR="009010F3" w:rsidRPr="00C135E9">
        <w:rPr>
          <w:rFonts w:ascii="Verdana" w:eastAsiaTheme="minorEastAsia" w:hAnsi="Verdana" w:cs="Verdana"/>
          <w:i w:val="0"/>
          <w:sz w:val="20"/>
          <w:szCs w:val="20"/>
          <w:lang w:eastAsia="en-US"/>
        </w:rPr>
        <w:t xml:space="preserve"> párr. </w:t>
      </w:r>
      <w:r w:rsidR="00C135E9">
        <w:rPr>
          <w:rFonts w:ascii="Verdana" w:eastAsiaTheme="minorEastAsia" w:hAnsi="Verdana" w:cs="Verdana"/>
          <w:i w:val="0"/>
          <w:sz w:val="20"/>
          <w:szCs w:val="20"/>
          <w:lang w:eastAsia="en-US"/>
        </w:rPr>
        <w:t>18</w:t>
      </w:r>
      <w:r w:rsidR="009010F3" w:rsidRPr="00C135E9">
        <w:rPr>
          <w:rFonts w:ascii="Verdana" w:eastAsiaTheme="minorEastAsia" w:hAnsi="Verdana" w:cs="Verdana"/>
          <w:i w:val="0"/>
          <w:sz w:val="20"/>
          <w:szCs w:val="20"/>
          <w:lang w:eastAsia="en-US"/>
        </w:rPr>
        <w:t xml:space="preserve">), </w:t>
      </w:r>
      <w:r w:rsidRPr="00C135E9">
        <w:rPr>
          <w:rFonts w:ascii="Verdana" w:eastAsiaTheme="minorEastAsia" w:hAnsi="Verdana" w:cs="Verdana"/>
          <w:i w:val="0"/>
          <w:sz w:val="20"/>
          <w:szCs w:val="20"/>
          <w:lang w:eastAsia="en-US"/>
        </w:rPr>
        <w:t xml:space="preserve">y </w:t>
      </w:r>
      <w:r w:rsidR="009010F3" w:rsidRPr="00C135E9">
        <w:rPr>
          <w:rFonts w:ascii="Verdana" w:eastAsiaTheme="minorEastAsia" w:hAnsi="Verdana" w:cs="Verdana"/>
          <w:i w:val="0"/>
          <w:sz w:val="20"/>
          <w:szCs w:val="20"/>
          <w:lang w:eastAsia="en-US"/>
        </w:rPr>
        <w:t>c</w:t>
      </w:r>
      <w:r w:rsidRPr="00C135E9">
        <w:rPr>
          <w:rFonts w:ascii="Verdana" w:eastAsiaTheme="minorEastAsia" w:hAnsi="Verdana" w:cs="Verdana"/>
          <w:i w:val="0"/>
          <w:sz w:val="20"/>
          <w:szCs w:val="20"/>
          <w:lang w:eastAsia="en-US"/>
        </w:rPr>
        <w:t>)</w:t>
      </w:r>
      <w:r w:rsidR="0088121D" w:rsidRPr="00C135E9">
        <w:rPr>
          <w:rFonts w:ascii="Verdana" w:eastAsiaTheme="minorEastAsia" w:hAnsi="Verdana" w:cs="Verdana"/>
          <w:i w:val="0"/>
          <w:sz w:val="20"/>
          <w:szCs w:val="20"/>
          <w:lang w:eastAsia="en-US"/>
        </w:rPr>
        <w:t xml:space="preserve"> </w:t>
      </w:r>
      <w:r w:rsidR="0088121D" w:rsidRPr="00D04822">
        <w:rPr>
          <w:rFonts w:ascii="Verdana" w:eastAsiaTheme="minorEastAsia" w:hAnsi="Verdana" w:cs="Verdana"/>
          <w:i w:val="0"/>
          <w:sz w:val="20"/>
          <w:szCs w:val="20"/>
          <w:lang w:eastAsia="en-US"/>
        </w:rPr>
        <w:t>además,</w:t>
      </w:r>
      <w:r w:rsidRPr="00D04822">
        <w:rPr>
          <w:rFonts w:ascii="Verdana" w:eastAsiaTheme="minorEastAsia" w:hAnsi="Verdana" w:cs="Verdana"/>
          <w:i w:val="0"/>
          <w:sz w:val="20"/>
          <w:szCs w:val="20"/>
          <w:lang w:eastAsia="en-US"/>
        </w:rPr>
        <w:t xml:space="preserve"> </w:t>
      </w:r>
      <w:r w:rsidR="009010F3" w:rsidRPr="00D04822">
        <w:rPr>
          <w:rFonts w:ascii="Verdana" w:eastAsiaTheme="minorEastAsia" w:hAnsi="Verdana" w:cs="Verdana"/>
          <w:i w:val="0"/>
          <w:sz w:val="20"/>
          <w:szCs w:val="20"/>
          <w:lang w:eastAsia="en-US"/>
        </w:rPr>
        <w:t xml:space="preserve">la base normativa sobre la cual la Corte toma sus decisiones </w:t>
      </w:r>
      <w:r w:rsidR="0077142A" w:rsidRPr="00D04822">
        <w:rPr>
          <w:rFonts w:ascii="Verdana" w:eastAsiaTheme="minorEastAsia" w:hAnsi="Verdana" w:cs="Verdana"/>
          <w:i w:val="0"/>
          <w:sz w:val="20"/>
          <w:szCs w:val="20"/>
          <w:lang w:eastAsia="en-US"/>
        </w:rPr>
        <w:t>se refiere a</w:t>
      </w:r>
      <w:r w:rsidR="009010F3" w:rsidRPr="00D04822">
        <w:rPr>
          <w:rFonts w:ascii="Verdana" w:eastAsiaTheme="minorEastAsia" w:hAnsi="Verdana" w:cs="Verdana"/>
          <w:i w:val="0"/>
          <w:sz w:val="20"/>
          <w:szCs w:val="20"/>
          <w:lang w:eastAsia="en-US"/>
        </w:rPr>
        <w:t xml:space="preserve"> los Tratados del Sistema Interamericano de Derechos Humanos, mientras que </w:t>
      </w:r>
      <w:r w:rsidRPr="00D04822">
        <w:rPr>
          <w:rFonts w:ascii="Verdana" w:eastAsiaTheme="minorEastAsia" w:hAnsi="Verdana" w:cs="Verdana"/>
          <w:i w:val="0"/>
          <w:sz w:val="20"/>
          <w:szCs w:val="20"/>
          <w:lang w:eastAsia="en-US"/>
        </w:rPr>
        <w:t xml:space="preserve">el GTDA </w:t>
      </w:r>
      <w:r w:rsidR="009010F3" w:rsidRPr="00D04822">
        <w:rPr>
          <w:rFonts w:ascii="Verdana" w:eastAsiaTheme="minorEastAsia" w:hAnsi="Verdana" w:cs="Verdana"/>
          <w:i w:val="0"/>
          <w:sz w:val="20"/>
          <w:szCs w:val="20"/>
          <w:lang w:eastAsia="en-US"/>
        </w:rPr>
        <w:t>analiza la responsabilidad de los Estado</w:t>
      </w:r>
      <w:r w:rsidR="00D6599A">
        <w:rPr>
          <w:rFonts w:ascii="Verdana" w:eastAsiaTheme="minorEastAsia" w:hAnsi="Verdana" w:cs="Verdana"/>
          <w:i w:val="0"/>
          <w:sz w:val="20"/>
          <w:szCs w:val="20"/>
          <w:lang w:eastAsia="en-US"/>
        </w:rPr>
        <w:t>s</w:t>
      </w:r>
      <w:r w:rsidR="009010F3" w:rsidRPr="00D04822">
        <w:rPr>
          <w:rFonts w:ascii="Verdana" w:eastAsiaTheme="minorEastAsia" w:hAnsi="Verdana" w:cs="Verdana"/>
          <w:i w:val="0"/>
          <w:sz w:val="20"/>
          <w:szCs w:val="20"/>
          <w:lang w:eastAsia="en-US"/>
        </w:rPr>
        <w:t xml:space="preserve"> con base en instrumentos del Sistema Universal de Naciones Unidas</w:t>
      </w:r>
      <w:r w:rsidR="006A351E" w:rsidRPr="00C135E9">
        <w:rPr>
          <w:rStyle w:val="Refdenotaalpie"/>
          <w:rFonts w:ascii="Verdana" w:hAnsi="Verdana"/>
          <w:i w:val="0"/>
          <w:sz w:val="20"/>
        </w:rPr>
        <w:footnoteReference w:id="35"/>
      </w:r>
      <w:r w:rsidR="00555D72" w:rsidRPr="00C135E9">
        <w:rPr>
          <w:rFonts w:ascii="Verdana" w:eastAsiaTheme="minorEastAsia" w:hAnsi="Verdana" w:cs="Verdana"/>
          <w:i w:val="0"/>
          <w:sz w:val="20"/>
          <w:szCs w:val="20"/>
          <w:lang w:eastAsia="en-US"/>
        </w:rPr>
        <w:t>.</w:t>
      </w:r>
      <w:r w:rsidR="008D5E6A" w:rsidRPr="40DDB40B">
        <w:rPr>
          <w:rFonts w:ascii="Verdana" w:eastAsiaTheme="minorEastAsia" w:hAnsi="Verdana" w:cs="Verdana"/>
          <w:i w:val="0"/>
          <w:sz w:val="20"/>
          <w:szCs w:val="20"/>
          <w:lang w:eastAsia="en-US"/>
        </w:rPr>
        <w:t xml:space="preserve"> </w:t>
      </w:r>
      <w:r w:rsidR="00030FC5" w:rsidRPr="40DDB40B">
        <w:rPr>
          <w:rFonts w:ascii="Verdana" w:eastAsiaTheme="minorEastAsia" w:hAnsi="Verdana" w:cs="Verdana"/>
          <w:i w:val="0"/>
          <w:sz w:val="20"/>
          <w:szCs w:val="20"/>
          <w:lang w:eastAsia="en-US"/>
        </w:rPr>
        <w:t>Por lo tanto,</w:t>
      </w:r>
      <w:r w:rsidR="00C135E9">
        <w:rPr>
          <w:rFonts w:ascii="Verdana" w:eastAsiaTheme="minorEastAsia" w:hAnsi="Verdana" w:cs="Verdana"/>
          <w:i w:val="0"/>
          <w:sz w:val="20"/>
          <w:szCs w:val="20"/>
          <w:lang w:eastAsia="en-US"/>
        </w:rPr>
        <w:t xml:space="preserve"> por esos motivos,</w:t>
      </w:r>
      <w:r w:rsidR="00030FC5" w:rsidRPr="40DDB40B">
        <w:rPr>
          <w:rFonts w:ascii="Verdana" w:eastAsiaTheme="minorEastAsia" w:hAnsi="Verdana" w:cs="Verdana"/>
          <w:i w:val="0"/>
          <w:sz w:val="20"/>
          <w:szCs w:val="20"/>
          <w:lang w:eastAsia="en-US"/>
        </w:rPr>
        <w:t xml:space="preserve"> corresponde concluir que en el presente caso no se vulneró la norma sobre duplicidad internacional prevista en el artículo 47.d de la Convención Americana.  </w:t>
      </w:r>
    </w:p>
    <w:p w14:paraId="496948B7" w14:textId="409E7779" w:rsidR="00DC42AF" w:rsidRPr="00351298" w:rsidRDefault="00DC42AF" w:rsidP="00A37E11">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351298">
        <w:rPr>
          <w:rFonts w:ascii="Verdana" w:eastAsiaTheme="minorHAnsi" w:hAnsi="Verdana" w:cs="Verdana"/>
          <w:i w:val="0"/>
          <w:iCs/>
          <w:sz w:val="20"/>
          <w:szCs w:val="20"/>
          <w:lang w:eastAsia="en-US"/>
        </w:rPr>
        <w:t>Por las consideraciones anteriores, la Corte desestima la presente excepción preliminar.</w:t>
      </w:r>
    </w:p>
    <w:p w14:paraId="14AB0293" w14:textId="57A6DBA9" w:rsidR="009D04B6" w:rsidRPr="00351298" w:rsidRDefault="009D04B6" w:rsidP="00D73463">
      <w:pPr>
        <w:pStyle w:val="Ttulo2"/>
        <w:numPr>
          <w:ilvl w:val="0"/>
          <w:numId w:val="13"/>
        </w:numPr>
        <w:spacing w:before="240" w:after="240"/>
        <w:rPr>
          <w:rFonts w:ascii="Verdana" w:hAnsi="Verdana"/>
          <w:sz w:val="20"/>
          <w:szCs w:val="20"/>
        </w:rPr>
      </w:pPr>
      <w:bookmarkStart w:id="35" w:name="_Toc132133885"/>
      <w:r w:rsidRPr="00351298">
        <w:rPr>
          <w:rFonts w:ascii="Verdana" w:hAnsi="Verdana"/>
          <w:b w:val="0"/>
          <w:bCs w:val="0"/>
          <w:i/>
          <w:color w:val="auto"/>
          <w:sz w:val="20"/>
          <w:szCs w:val="20"/>
        </w:rPr>
        <w:t>Falta de agotamiento de los recursos internos</w:t>
      </w:r>
      <w:bookmarkEnd w:id="35"/>
      <w:r w:rsidRPr="00351298">
        <w:rPr>
          <w:rFonts w:ascii="Verdana" w:hAnsi="Verdana"/>
          <w:b w:val="0"/>
          <w:bCs w:val="0"/>
          <w:i/>
          <w:color w:val="auto"/>
          <w:sz w:val="20"/>
          <w:szCs w:val="20"/>
        </w:rPr>
        <w:t xml:space="preserve"> </w:t>
      </w:r>
    </w:p>
    <w:p w14:paraId="4ECD4E97" w14:textId="0D7D4DBA" w:rsidR="0064370E" w:rsidRPr="00351298" w:rsidRDefault="009D04B6" w:rsidP="00D73463">
      <w:pPr>
        <w:pStyle w:val="Ttulo3"/>
        <w:spacing w:before="240" w:after="240"/>
        <w:ind w:left="567"/>
        <w:jc w:val="both"/>
        <w:rPr>
          <w:rFonts w:ascii="Verdana" w:hAnsi="Verdana"/>
          <w:snapToGrid w:val="0"/>
          <w:spacing w:val="-2"/>
          <w:sz w:val="20"/>
          <w:szCs w:val="20"/>
          <w:lang w:eastAsia="es-ES"/>
        </w:rPr>
      </w:pPr>
      <w:bookmarkStart w:id="36" w:name="_Toc132133886"/>
      <w:r w:rsidRPr="00351298">
        <w:rPr>
          <w:rFonts w:ascii="Verdana" w:hAnsi="Verdana"/>
          <w:b w:val="0"/>
          <w:snapToGrid w:val="0"/>
          <w:spacing w:val="-2"/>
          <w:sz w:val="20"/>
          <w:szCs w:val="20"/>
          <w:lang w:eastAsia="es-ES"/>
        </w:rPr>
        <w:t>B</w:t>
      </w:r>
      <w:r w:rsidR="0064370E" w:rsidRPr="00351298">
        <w:rPr>
          <w:rFonts w:ascii="Verdana" w:hAnsi="Verdana"/>
          <w:b w:val="0"/>
          <w:snapToGrid w:val="0"/>
          <w:spacing w:val="-2"/>
          <w:sz w:val="20"/>
          <w:szCs w:val="20"/>
          <w:lang w:eastAsia="es-ES"/>
        </w:rPr>
        <w:t>.1. Alegatos de las partes y de la Comisión</w:t>
      </w:r>
      <w:bookmarkEnd w:id="36"/>
    </w:p>
    <w:p w14:paraId="674B2F14" w14:textId="35231EC3" w:rsidR="009F7B74" w:rsidRPr="009D520B" w:rsidRDefault="001D4F93" w:rsidP="007D7AED">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351298">
        <w:rPr>
          <w:rFonts w:ascii="Verdana" w:eastAsia="Cambria" w:hAnsi="Verdana" w:cs="Cambria"/>
          <w:i w:val="0"/>
          <w:iCs/>
          <w:sz w:val="20"/>
          <w:szCs w:val="20"/>
          <w:lang w:val="es-ES_tradnl"/>
        </w:rPr>
        <w:t>El</w:t>
      </w:r>
      <w:r w:rsidRPr="00351298">
        <w:rPr>
          <w:rFonts w:ascii="Verdana" w:eastAsia="Cambria" w:hAnsi="Verdana" w:cs="Cambria"/>
          <w:sz w:val="20"/>
          <w:szCs w:val="20"/>
          <w:lang w:val="es-ES_tradnl"/>
        </w:rPr>
        <w:t xml:space="preserve"> </w:t>
      </w:r>
      <w:r w:rsidRPr="00D04822">
        <w:rPr>
          <w:rFonts w:ascii="Verdana" w:eastAsia="Cambria" w:hAnsi="Verdana" w:cs="Cambria"/>
          <w:b/>
          <w:bCs/>
          <w:iCs/>
          <w:sz w:val="20"/>
          <w:szCs w:val="20"/>
          <w:lang w:val="es-ES_tradnl"/>
        </w:rPr>
        <w:t>Estado</w:t>
      </w:r>
      <w:r w:rsidRPr="00351298">
        <w:rPr>
          <w:rFonts w:ascii="Verdana" w:eastAsia="Cambria" w:hAnsi="Verdana" w:cs="Cambria"/>
          <w:i w:val="0"/>
          <w:sz w:val="20"/>
          <w:szCs w:val="20"/>
          <w:lang w:val="es-ES_tradnl"/>
        </w:rPr>
        <w:t xml:space="preserve"> </w:t>
      </w:r>
      <w:r w:rsidR="0083466E" w:rsidRPr="00351298">
        <w:rPr>
          <w:rFonts w:ascii="Verdana" w:eastAsia="Cambria" w:hAnsi="Verdana" w:cs="Cambria"/>
          <w:i w:val="0"/>
          <w:sz w:val="20"/>
          <w:szCs w:val="20"/>
          <w:lang w:val="es-ES_tradnl"/>
        </w:rPr>
        <w:t xml:space="preserve">alegó </w:t>
      </w:r>
      <w:r w:rsidRPr="00351298">
        <w:rPr>
          <w:rFonts w:ascii="Verdana" w:eastAsia="Cambria" w:hAnsi="Verdana" w:cs="Cambria"/>
          <w:i w:val="0"/>
          <w:sz w:val="20"/>
          <w:szCs w:val="20"/>
          <w:lang w:val="es-ES_tradnl"/>
        </w:rPr>
        <w:t>que las presuntas víctimas y su representación no agotaron los recursos internos</w:t>
      </w:r>
      <w:r w:rsidR="00C16B41" w:rsidRPr="00351298">
        <w:rPr>
          <w:rFonts w:ascii="Verdana" w:eastAsia="Cambria" w:hAnsi="Verdana" w:cs="Cambria"/>
          <w:i w:val="0"/>
          <w:sz w:val="20"/>
          <w:szCs w:val="20"/>
          <w:lang w:val="es-ES_tradnl"/>
        </w:rPr>
        <w:t xml:space="preserve"> </w:t>
      </w:r>
      <w:r w:rsidRPr="00351298">
        <w:rPr>
          <w:rFonts w:ascii="Verdana" w:eastAsia="Cambria" w:hAnsi="Verdana" w:cs="Cambria"/>
          <w:i w:val="0"/>
          <w:sz w:val="20"/>
          <w:szCs w:val="20"/>
          <w:lang w:val="es-ES_tradnl"/>
        </w:rPr>
        <w:t>puesto que</w:t>
      </w:r>
      <w:r w:rsidR="00C135E9">
        <w:rPr>
          <w:rFonts w:ascii="Verdana" w:eastAsia="Cambria" w:hAnsi="Verdana" w:cs="Cambria"/>
          <w:i w:val="0"/>
          <w:sz w:val="20"/>
          <w:szCs w:val="20"/>
          <w:lang w:val="es-ES_tradnl"/>
        </w:rPr>
        <w:t>,</w:t>
      </w:r>
      <w:r w:rsidRPr="00351298">
        <w:rPr>
          <w:rFonts w:ascii="Verdana" w:eastAsia="Cambria" w:hAnsi="Verdana" w:cs="Cambria"/>
          <w:i w:val="0"/>
          <w:sz w:val="20"/>
          <w:szCs w:val="20"/>
          <w:lang w:val="es-ES_tradnl"/>
        </w:rPr>
        <w:t xml:space="preserve"> </w:t>
      </w:r>
      <w:r w:rsidR="00A8742A" w:rsidRPr="00351298">
        <w:rPr>
          <w:rFonts w:ascii="Verdana" w:eastAsia="Cambria" w:hAnsi="Verdana" w:cs="Cambria"/>
          <w:i w:val="0"/>
          <w:sz w:val="20"/>
          <w:szCs w:val="20"/>
          <w:lang w:val="es-ES_tradnl"/>
        </w:rPr>
        <w:t xml:space="preserve">en </w:t>
      </w:r>
      <w:r w:rsidR="00C16B41" w:rsidRPr="00351298">
        <w:rPr>
          <w:rFonts w:ascii="Verdana" w:eastAsia="Cambria" w:hAnsi="Verdana" w:cs="Cambria"/>
          <w:i w:val="0"/>
          <w:sz w:val="20"/>
          <w:szCs w:val="20"/>
          <w:lang w:val="es-ES_tradnl"/>
        </w:rPr>
        <w:t>este asunto</w:t>
      </w:r>
      <w:r w:rsidR="00C135E9">
        <w:rPr>
          <w:rFonts w:ascii="Verdana" w:eastAsia="Cambria" w:hAnsi="Verdana" w:cs="Cambria"/>
          <w:i w:val="0"/>
          <w:sz w:val="20"/>
          <w:szCs w:val="20"/>
          <w:lang w:val="es-ES_tradnl"/>
        </w:rPr>
        <w:t>,</w:t>
      </w:r>
      <w:r w:rsidRPr="00351298">
        <w:rPr>
          <w:rFonts w:ascii="Verdana" w:eastAsia="Cambria" w:hAnsi="Verdana" w:cs="Cambria"/>
          <w:i w:val="0"/>
          <w:sz w:val="20"/>
          <w:szCs w:val="20"/>
          <w:lang w:val="es-ES_tradnl"/>
        </w:rPr>
        <w:t xml:space="preserve"> </w:t>
      </w:r>
      <w:r w:rsidR="00C135E9">
        <w:rPr>
          <w:rFonts w:ascii="Verdana" w:eastAsia="Cambria" w:hAnsi="Verdana" w:cs="Cambria"/>
          <w:i w:val="0"/>
          <w:sz w:val="20"/>
          <w:szCs w:val="20"/>
          <w:lang w:val="es-ES_tradnl"/>
        </w:rPr>
        <w:t>los tribunales internos no se han pronunciado</w:t>
      </w:r>
      <w:r w:rsidRPr="00351298">
        <w:rPr>
          <w:rFonts w:ascii="Verdana" w:eastAsia="Cambria" w:hAnsi="Verdana" w:cs="Cambria"/>
          <w:i w:val="0"/>
          <w:sz w:val="20"/>
          <w:szCs w:val="20"/>
          <w:lang w:val="es-ES_tradnl"/>
        </w:rPr>
        <w:t xml:space="preserve"> </w:t>
      </w:r>
      <w:r w:rsidR="00C135E9">
        <w:rPr>
          <w:rFonts w:ascii="Verdana" w:eastAsia="Cambria" w:hAnsi="Verdana" w:cs="Cambria"/>
          <w:i w:val="0"/>
          <w:sz w:val="20"/>
          <w:szCs w:val="20"/>
          <w:lang w:val="es-ES_tradnl"/>
        </w:rPr>
        <w:t>sobre</w:t>
      </w:r>
      <w:r w:rsidRPr="00351298">
        <w:rPr>
          <w:rFonts w:ascii="Verdana" w:eastAsia="Cambria" w:hAnsi="Verdana" w:cs="Cambria"/>
          <w:i w:val="0"/>
          <w:sz w:val="20"/>
          <w:szCs w:val="20"/>
          <w:lang w:val="es-ES_tradnl"/>
        </w:rPr>
        <w:t xml:space="preserve"> el recurso de apelación contra la sentencia de </w:t>
      </w:r>
      <w:r w:rsidR="00C135E9">
        <w:rPr>
          <w:rFonts w:ascii="Verdana" w:eastAsia="Cambria" w:hAnsi="Verdana" w:cs="Cambria"/>
          <w:i w:val="0"/>
          <w:sz w:val="20"/>
          <w:szCs w:val="20"/>
          <w:lang w:val="es-ES_tradnl"/>
        </w:rPr>
        <w:t xml:space="preserve">condena de </w:t>
      </w:r>
      <w:r w:rsidRPr="00351298">
        <w:rPr>
          <w:rFonts w:ascii="Verdana" w:eastAsia="Cambria" w:hAnsi="Verdana" w:cs="Cambria"/>
          <w:i w:val="0"/>
          <w:sz w:val="20"/>
          <w:szCs w:val="20"/>
          <w:lang w:val="es-ES_tradnl"/>
        </w:rPr>
        <w:t>12 de mayo de 2022</w:t>
      </w:r>
      <w:r w:rsidR="00C135E9">
        <w:rPr>
          <w:rFonts w:ascii="Verdana" w:eastAsia="Cambria" w:hAnsi="Verdana" w:cs="Cambria"/>
          <w:i w:val="0"/>
          <w:sz w:val="20"/>
          <w:szCs w:val="20"/>
          <w:lang w:val="es-ES_tradnl"/>
        </w:rPr>
        <w:t xml:space="preserve"> pronunciada contra Daniel García Rodríguez y Reyes Alpízar Ortiz (</w:t>
      </w:r>
      <w:r w:rsidR="00C135E9" w:rsidRPr="00D04822">
        <w:rPr>
          <w:rFonts w:ascii="Verdana" w:eastAsia="Cambria" w:hAnsi="Verdana" w:cs="Cambria"/>
          <w:iCs/>
          <w:sz w:val="20"/>
          <w:szCs w:val="20"/>
          <w:lang w:val="es-ES_tradnl"/>
        </w:rPr>
        <w:t>supra</w:t>
      </w:r>
      <w:r w:rsidR="00C135E9">
        <w:rPr>
          <w:rFonts w:ascii="Verdana" w:eastAsia="Cambria" w:hAnsi="Verdana" w:cs="Cambria"/>
          <w:i w:val="0"/>
          <w:sz w:val="20"/>
          <w:szCs w:val="20"/>
          <w:lang w:val="es-ES_tradnl"/>
        </w:rPr>
        <w:t xml:space="preserve"> párr. 10)</w:t>
      </w:r>
      <w:r w:rsidRPr="00351298">
        <w:rPr>
          <w:rFonts w:ascii="Verdana" w:eastAsia="Cambria" w:hAnsi="Verdana" w:cs="Cambria"/>
          <w:i w:val="0"/>
          <w:sz w:val="20"/>
          <w:szCs w:val="20"/>
          <w:lang w:val="es-ES_tradnl"/>
        </w:rPr>
        <w:t>. Agregó q</w:t>
      </w:r>
      <w:r w:rsidR="007D7AED" w:rsidRPr="00351298">
        <w:rPr>
          <w:rFonts w:ascii="Verdana" w:eastAsia="Cambria" w:hAnsi="Verdana" w:cs="Cambria"/>
          <w:i w:val="0"/>
          <w:sz w:val="20"/>
          <w:szCs w:val="20"/>
          <w:lang w:val="es-ES_tradnl"/>
        </w:rPr>
        <w:t xml:space="preserve">ue, luego de agotado ese recurso, las presuntas víctimas </w:t>
      </w:r>
      <w:r w:rsidRPr="00351298">
        <w:rPr>
          <w:rFonts w:ascii="Verdana" w:eastAsia="Cambria" w:hAnsi="Verdana" w:cs="Cambria"/>
          <w:i w:val="0"/>
          <w:sz w:val="20"/>
          <w:szCs w:val="20"/>
          <w:lang w:val="es-ES_tradnl"/>
        </w:rPr>
        <w:t xml:space="preserve">aún contarían con el recurso correspondiente al juicio de amparo directo. </w:t>
      </w:r>
      <w:r w:rsidR="00C16B41" w:rsidRPr="00351298">
        <w:rPr>
          <w:rFonts w:ascii="Verdana" w:eastAsia="Cambria" w:hAnsi="Verdana" w:cs="Cambria"/>
          <w:i w:val="0"/>
          <w:sz w:val="20"/>
          <w:szCs w:val="20"/>
          <w:lang w:val="es-ES_tradnl"/>
        </w:rPr>
        <w:t>Sostuvo</w:t>
      </w:r>
      <w:r w:rsidRPr="00351298">
        <w:rPr>
          <w:rFonts w:ascii="Verdana" w:eastAsia="Cambria" w:hAnsi="Verdana" w:cs="Cambria"/>
          <w:i w:val="0"/>
          <w:sz w:val="20"/>
          <w:szCs w:val="20"/>
          <w:lang w:val="es-ES_tradnl"/>
        </w:rPr>
        <w:t xml:space="preserve"> que este alegato se refería a las </w:t>
      </w:r>
      <w:r w:rsidR="00314FF1" w:rsidRPr="00351298">
        <w:rPr>
          <w:rFonts w:ascii="Verdana" w:eastAsia="Cambria" w:hAnsi="Verdana" w:cs="Cambria"/>
          <w:i w:val="0"/>
          <w:sz w:val="20"/>
          <w:szCs w:val="20"/>
          <w:lang w:val="es-ES_tradnl"/>
        </w:rPr>
        <w:t xml:space="preserve">presuntas </w:t>
      </w:r>
      <w:r w:rsidRPr="00351298">
        <w:rPr>
          <w:rFonts w:ascii="Verdana" w:eastAsia="Cambria" w:hAnsi="Verdana" w:cs="Cambria"/>
          <w:i w:val="0"/>
          <w:sz w:val="20"/>
          <w:szCs w:val="20"/>
          <w:lang w:val="es-ES_tradnl"/>
        </w:rPr>
        <w:t xml:space="preserve">violaciones al debido proceso en el proceso penal y a los </w:t>
      </w:r>
      <w:r w:rsidR="00C16B41" w:rsidRPr="00351298">
        <w:rPr>
          <w:rFonts w:ascii="Verdana" w:eastAsia="Cambria" w:hAnsi="Verdana" w:cs="Cambria"/>
          <w:i w:val="0"/>
          <w:sz w:val="20"/>
          <w:szCs w:val="20"/>
          <w:lang w:val="es-ES_tradnl"/>
        </w:rPr>
        <w:t>argüidos</w:t>
      </w:r>
      <w:r w:rsidRPr="00351298">
        <w:rPr>
          <w:rFonts w:ascii="Verdana" w:eastAsia="Cambria" w:hAnsi="Verdana" w:cs="Cambria"/>
          <w:i w:val="0"/>
          <w:sz w:val="20"/>
          <w:szCs w:val="20"/>
          <w:lang w:val="es-ES_tradnl"/>
        </w:rPr>
        <w:t xml:space="preserve"> hechos de tortura. </w:t>
      </w:r>
      <w:r w:rsidR="00016F7B" w:rsidRPr="00351298">
        <w:rPr>
          <w:rFonts w:ascii="Verdana" w:eastAsia="Cambria" w:hAnsi="Verdana" w:cs="Cambria"/>
          <w:i w:val="0"/>
          <w:iCs/>
          <w:sz w:val="20"/>
          <w:szCs w:val="20"/>
          <w:lang w:val="es-ES_tradnl"/>
        </w:rPr>
        <w:t>I</w:t>
      </w:r>
      <w:r w:rsidRPr="00351298">
        <w:rPr>
          <w:rFonts w:ascii="Verdana" w:eastAsia="Cambria" w:hAnsi="Verdana" w:cs="Cambria"/>
          <w:i w:val="0"/>
          <w:iCs/>
          <w:sz w:val="20"/>
          <w:szCs w:val="20"/>
          <w:lang w:val="es-ES_tradnl"/>
        </w:rPr>
        <w:t xml:space="preserve">ndicó </w:t>
      </w:r>
      <w:r w:rsidR="00314FF1" w:rsidRPr="00351298">
        <w:rPr>
          <w:rFonts w:ascii="Verdana" w:eastAsia="Cambria" w:hAnsi="Verdana" w:cs="Cambria"/>
          <w:i w:val="0"/>
          <w:iCs/>
          <w:sz w:val="20"/>
          <w:szCs w:val="20"/>
          <w:lang w:val="es-ES_tradnl"/>
        </w:rPr>
        <w:t xml:space="preserve">además </w:t>
      </w:r>
      <w:r w:rsidRPr="00351298">
        <w:rPr>
          <w:rFonts w:ascii="Verdana" w:eastAsia="Cambria" w:hAnsi="Verdana" w:cs="Cambria"/>
          <w:i w:val="0"/>
          <w:iCs/>
          <w:sz w:val="20"/>
          <w:szCs w:val="20"/>
          <w:lang w:val="es-ES_tradnl"/>
        </w:rPr>
        <w:t xml:space="preserve">que la dilación en </w:t>
      </w:r>
      <w:r w:rsidR="00314FF1" w:rsidRPr="00351298">
        <w:rPr>
          <w:rFonts w:ascii="Verdana" w:eastAsia="Cambria" w:hAnsi="Verdana" w:cs="Cambria"/>
          <w:i w:val="0"/>
          <w:iCs/>
          <w:sz w:val="20"/>
          <w:szCs w:val="20"/>
          <w:lang w:val="es-ES_tradnl"/>
        </w:rPr>
        <w:t>la causa</w:t>
      </w:r>
      <w:r w:rsidRPr="00351298">
        <w:rPr>
          <w:rFonts w:ascii="Verdana" w:eastAsia="Cambria" w:hAnsi="Verdana" w:cs="Cambria"/>
          <w:i w:val="0"/>
          <w:iCs/>
          <w:sz w:val="20"/>
          <w:szCs w:val="20"/>
          <w:lang w:val="es-ES_tradnl"/>
        </w:rPr>
        <w:t xml:space="preserve"> penal no es atribuible al Estado</w:t>
      </w:r>
      <w:r w:rsidR="00314FF1" w:rsidRPr="00351298">
        <w:rPr>
          <w:rFonts w:ascii="Verdana" w:eastAsia="Cambria" w:hAnsi="Verdana" w:cs="Cambria"/>
          <w:i w:val="0"/>
          <w:iCs/>
          <w:sz w:val="20"/>
          <w:szCs w:val="20"/>
          <w:lang w:val="es-ES_tradnl"/>
        </w:rPr>
        <w:t xml:space="preserve">, por lo cual no se presentaría una hipótesis de excepción al agotamiento de los recursos internos por una demora injustificada en la </w:t>
      </w:r>
      <w:r w:rsidR="00314FF1" w:rsidRPr="009D520B">
        <w:rPr>
          <w:rFonts w:ascii="Verdana" w:eastAsia="Cambria" w:hAnsi="Verdana" w:cs="Cambria"/>
          <w:i w:val="0"/>
          <w:iCs/>
          <w:sz w:val="20"/>
          <w:szCs w:val="20"/>
          <w:lang w:val="es-ES_tradnl"/>
        </w:rPr>
        <w:t>decisión sobre los mencionados recursos</w:t>
      </w:r>
      <w:r w:rsidR="00C16B41" w:rsidRPr="009D520B">
        <w:rPr>
          <w:rFonts w:ascii="Verdana" w:eastAsia="Cambria" w:hAnsi="Verdana" w:cs="Cambria"/>
          <w:i w:val="0"/>
          <w:iCs/>
          <w:sz w:val="20"/>
          <w:szCs w:val="20"/>
          <w:lang w:val="es-ES_tradnl"/>
        </w:rPr>
        <w:t xml:space="preserve">. </w:t>
      </w:r>
    </w:p>
    <w:p w14:paraId="4DEC7EA8" w14:textId="6DC9B135" w:rsidR="0064370E" w:rsidRPr="00C135E9" w:rsidRDefault="00314FF1" w:rsidP="00C135E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eastAsia="Cambria" w:hAnsi="Verdana" w:cs="Cambria"/>
          <w:i w:val="0"/>
          <w:iCs/>
          <w:sz w:val="20"/>
          <w:szCs w:val="20"/>
          <w:lang w:val="es-ES_tradnl"/>
        </w:rPr>
        <w:t xml:space="preserve">En lo que respecta la </w:t>
      </w:r>
      <w:r w:rsidR="0088121D" w:rsidRPr="00C135E9">
        <w:rPr>
          <w:rFonts w:ascii="Verdana" w:eastAsia="Cambria" w:hAnsi="Verdana" w:cs="Cambria"/>
          <w:i w:val="0"/>
          <w:iCs/>
          <w:sz w:val="20"/>
          <w:szCs w:val="20"/>
          <w:lang w:val="es-ES_tradnl"/>
        </w:rPr>
        <w:t>Convención Interamericana para Prevenir y Sancionar la Tortura</w:t>
      </w:r>
      <w:r w:rsidRPr="00C135E9">
        <w:rPr>
          <w:rFonts w:ascii="Verdana" w:eastAsia="Cambria" w:hAnsi="Verdana" w:cs="Cambria"/>
          <w:i w:val="0"/>
          <w:iCs/>
          <w:sz w:val="20"/>
          <w:szCs w:val="20"/>
          <w:lang w:val="es-ES_tradnl"/>
        </w:rPr>
        <w:t>, expuso que ese instrumento no establece supuestos de excepción para la regla del agotamiento de recursos internos, como sí lo hace la Convención</w:t>
      </w:r>
      <w:r w:rsidR="0088121D" w:rsidRPr="00C135E9">
        <w:rPr>
          <w:rFonts w:ascii="Verdana" w:eastAsia="Cambria" w:hAnsi="Verdana" w:cs="Cambria"/>
          <w:i w:val="0"/>
          <w:iCs/>
          <w:sz w:val="20"/>
          <w:szCs w:val="20"/>
          <w:lang w:val="es-ES_tradnl"/>
        </w:rPr>
        <w:t xml:space="preserve"> </w:t>
      </w:r>
      <w:r w:rsidR="000819FF" w:rsidRPr="00C135E9">
        <w:rPr>
          <w:rFonts w:ascii="Verdana" w:eastAsia="Cambria" w:hAnsi="Verdana" w:cs="Cambria"/>
          <w:i w:val="0"/>
          <w:iCs/>
          <w:sz w:val="20"/>
          <w:szCs w:val="20"/>
          <w:lang w:val="es-ES_tradnl"/>
        </w:rPr>
        <w:t xml:space="preserve">Americana </w:t>
      </w:r>
      <w:r w:rsidRPr="00C135E9">
        <w:rPr>
          <w:rFonts w:ascii="Verdana" w:eastAsia="Cambria" w:hAnsi="Verdana" w:cs="Cambria"/>
          <w:i w:val="0"/>
          <w:iCs/>
          <w:sz w:val="20"/>
          <w:szCs w:val="20"/>
          <w:lang w:val="es-ES_tradnl"/>
        </w:rPr>
        <w:t xml:space="preserve">en su artículo 46, y que la </w:t>
      </w:r>
      <w:r w:rsidRPr="00C135E9">
        <w:rPr>
          <w:rFonts w:ascii="Verdana" w:eastAsia="Cambria" w:hAnsi="Verdana" w:cs="Cambria"/>
          <w:i w:val="0"/>
          <w:iCs/>
          <w:sz w:val="20"/>
          <w:szCs w:val="20"/>
          <w:lang w:val="es-ES_tradnl"/>
        </w:rPr>
        <w:lastRenderedPageBreak/>
        <w:t>investigación por los supuestos actos de tortura concluyó oficialmente el 21 de mayo de 2021</w:t>
      </w:r>
      <w:r w:rsidR="00D034F7" w:rsidRPr="00C135E9">
        <w:rPr>
          <w:rFonts w:ascii="Verdana" w:eastAsia="Cambria" w:hAnsi="Verdana" w:cs="Cambria"/>
          <w:i w:val="0"/>
          <w:iCs/>
          <w:sz w:val="20"/>
          <w:szCs w:val="20"/>
          <w:lang w:val="es-ES_tradnl"/>
        </w:rPr>
        <w:t>, es decir en una</w:t>
      </w:r>
      <w:r w:rsidRPr="00C135E9">
        <w:rPr>
          <w:rFonts w:ascii="Verdana" w:eastAsia="Cambria" w:hAnsi="Verdana" w:cs="Cambria"/>
          <w:i w:val="0"/>
          <w:iCs/>
          <w:sz w:val="20"/>
          <w:szCs w:val="20"/>
          <w:lang w:val="es-ES_tradnl"/>
        </w:rPr>
        <w:t xml:space="preserve"> fecha posterior a la presentación de la petición inicial </w:t>
      </w:r>
      <w:r w:rsidR="00D034F7" w:rsidRPr="00C135E9">
        <w:rPr>
          <w:rFonts w:ascii="Verdana" w:eastAsia="Cambria" w:hAnsi="Verdana" w:cs="Cambria"/>
          <w:i w:val="0"/>
          <w:iCs/>
          <w:sz w:val="20"/>
          <w:szCs w:val="20"/>
          <w:lang w:val="es-ES_tradnl"/>
        </w:rPr>
        <w:t xml:space="preserve">y </w:t>
      </w:r>
      <w:r w:rsidRPr="00C135E9">
        <w:rPr>
          <w:rFonts w:ascii="Verdana" w:eastAsia="Cambria" w:hAnsi="Verdana" w:cs="Cambria"/>
          <w:i w:val="0"/>
          <w:iCs/>
          <w:sz w:val="20"/>
          <w:szCs w:val="20"/>
          <w:lang w:val="es-ES_tradnl"/>
        </w:rPr>
        <w:t>a la emisión de los Informes de Admisibilidad y de Fondo. Sostuvo que la Comisión omitió tomar en cuenta que la investigación por los presuntos alegatos de tortura se encontraba aún activa y las presuntas víctimas continuaron ejerciendo los recursos internos contra falencias en la investigación, incluso después de la determinación sobre la admisibilidad de la petición</w:t>
      </w:r>
      <w:r w:rsidR="001D4F93" w:rsidRPr="00C135E9">
        <w:rPr>
          <w:rFonts w:ascii="Verdana" w:eastAsia="Cambria" w:hAnsi="Verdana" w:cs="Cambria"/>
          <w:i w:val="0"/>
          <w:iCs/>
          <w:sz w:val="20"/>
          <w:szCs w:val="20"/>
          <w:lang w:val="es-ES_tradnl"/>
        </w:rPr>
        <w:t>.</w:t>
      </w:r>
    </w:p>
    <w:p w14:paraId="692D5EFB" w14:textId="0B23B06B" w:rsidR="00DA7C05" w:rsidRPr="0064310B" w:rsidRDefault="00314FF1" w:rsidP="00DA7C05">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 xml:space="preserve">La </w:t>
      </w:r>
      <w:r w:rsidRPr="009D520B">
        <w:rPr>
          <w:rFonts w:ascii="Verdana" w:eastAsia="Cambria" w:hAnsi="Verdana" w:cs="Cambria"/>
          <w:b/>
          <w:bCs/>
          <w:sz w:val="20"/>
          <w:szCs w:val="20"/>
          <w:lang w:val="es-ES_tradnl"/>
        </w:rPr>
        <w:t>Comisión</w:t>
      </w:r>
      <w:r w:rsidRPr="009D520B">
        <w:rPr>
          <w:rFonts w:ascii="Verdana" w:eastAsia="Cambria" w:hAnsi="Verdana" w:cs="Cambria"/>
          <w:i w:val="0"/>
          <w:iCs/>
          <w:sz w:val="20"/>
          <w:szCs w:val="20"/>
          <w:lang w:val="es-ES_tradnl"/>
        </w:rPr>
        <w:t xml:space="preserve"> consideró que en este caso </w:t>
      </w:r>
      <w:r w:rsidR="00232BC3" w:rsidRPr="009D520B">
        <w:rPr>
          <w:rFonts w:ascii="Verdana" w:eastAsia="Cambria" w:hAnsi="Verdana" w:cs="Cambria"/>
          <w:i w:val="0"/>
          <w:iCs/>
          <w:sz w:val="20"/>
          <w:szCs w:val="20"/>
          <w:lang w:val="es-ES_tradnl"/>
        </w:rPr>
        <w:t xml:space="preserve">se configura </w:t>
      </w:r>
      <w:r w:rsidRPr="009D520B">
        <w:rPr>
          <w:rFonts w:ascii="Verdana" w:eastAsia="Cambria" w:hAnsi="Verdana" w:cs="Cambria"/>
          <w:i w:val="0"/>
          <w:iCs/>
          <w:sz w:val="20"/>
          <w:szCs w:val="20"/>
          <w:lang w:val="es-ES_tradnl"/>
        </w:rPr>
        <w:t>la excepción al agotamiento de los recursos internos contemplada en el artículo 46.2.c de la Convención Americana</w:t>
      </w:r>
      <w:r w:rsidR="00E12EC0" w:rsidRPr="009D520B">
        <w:rPr>
          <w:rFonts w:ascii="Verdana" w:eastAsia="Cambria" w:hAnsi="Verdana" w:cs="Cambria"/>
          <w:i w:val="0"/>
          <w:iCs/>
          <w:sz w:val="20"/>
          <w:szCs w:val="20"/>
          <w:lang w:val="es-ES_tradnl"/>
        </w:rPr>
        <w:t xml:space="preserve"> respecto del proceso penal</w:t>
      </w:r>
      <w:r w:rsidR="00E12EC0" w:rsidRPr="009D520B">
        <w:rPr>
          <w:rStyle w:val="Refdenotaalpie"/>
          <w:rFonts w:ascii="Verdana" w:eastAsia="Cambria" w:hAnsi="Verdana"/>
          <w:i w:val="0"/>
          <w:iCs/>
          <w:sz w:val="20"/>
          <w:lang w:val="es-ES_tradnl"/>
        </w:rPr>
        <w:footnoteReference w:id="36"/>
      </w:r>
      <w:r w:rsidR="00E12EC0" w:rsidRPr="009D520B">
        <w:rPr>
          <w:rFonts w:ascii="Verdana" w:eastAsia="Cambria" w:hAnsi="Verdana" w:cs="Cambria"/>
          <w:i w:val="0"/>
          <w:iCs/>
          <w:sz w:val="20"/>
          <w:szCs w:val="20"/>
          <w:lang w:val="es-ES_tradnl"/>
        </w:rPr>
        <w:t xml:space="preserve"> y de los alegados hechos de tortura</w:t>
      </w:r>
      <w:r w:rsidR="00E12EC0" w:rsidRPr="009D520B">
        <w:rPr>
          <w:rStyle w:val="Refdenotaalpie"/>
          <w:rFonts w:ascii="Verdana" w:eastAsia="Cambria" w:hAnsi="Verdana"/>
          <w:i w:val="0"/>
          <w:iCs/>
          <w:sz w:val="20"/>
          <w:lang w:val="es-ES_tradnl"/>
        </w:rPr>
        <w:footnoteReference w:id="37"/>
      </w:r>
      <w:r w:rsidRPr="009D520B">
        <w:rPr>
          <w:rFonts w:ascii="Verdana" w:eastAsia="Cambria" w:hAnsi="Verdana" w:cs="Cambria"/>
          <w:i w:val="0"/>
          <w:iCs/>
          <w:sz w:val="20"/>
          <w:szCs w:val="20"/>
          <w:lang w:val="es-ES_tradnl"/>
        </w:rPr>
        <w:t xml:space="preserve">. Con relación a la violación del derecho a la libertad personal por la duración excesiva de la prisión preventiva, sostuvo que García Rodríguez y Reyes Alpízar presentaron múltiples amparos contra el auto formal de prisión y que también solicitaron un control difuso de convencionalidad </w:t>
      </w:r>
      <w:r w:rsidRPr="009D520B">
        <w:rPr>
          <w:rFonts w:ascii="Verdana" w:eastAsia="Cambria" w:hAnsi="Verdana" w:cs="Cambria"/>
          <w:sz w:val="20"/>
          <w:szCs w:val="20"/>
          <w:lang w:val="es-ES_tradnl"/>
        </w:rPr>
        <w:t>ex officio</w:t>
      </w:r>
      <w:r w:rsidRPr="009D520B">
        <w:rPr>
          <w:rFonts w:ascii="Verdana" w:eastAsia="Cambria" w:hAnsi="Verdana" w:cs="Cambria"/>
          <w:i w:val="0"/>
          <w:iCs/>
          <w:sz w:val="20"/>
          <w:szCs w:val="20"/>
          <w:lang w:val="es-ES_tradnl"/>
        </w:rPr>
        <w:t xml:space="preserve"> respecto de las actuaciones del juzgado y fiscalía intervinientes</w:t>
      </w:r>
      <w:r w:rsidR="001138EC" w:rsidRPr="009D520B">
        <w:rPr>
          <w:rFonts w:ascii="Verdana" w:eastAsia="Cambria" w:hAnsi="Verdana" w:cs="Cambria"/>
          <w:i w:val="0"/>
          <w:iCs/>
          <w:sz w:val="20"/>
          <w:szCs w:val="20"/>
          <w:lang w:val="es-ES_tradnl"/>
        </w:rPr>
        <w:t xml:space="preserve">, </w:t>
      </w:r>
      <w:r w:rsidRPr="0064310B">
        <w:rPr>
          <w:rFonts w:ascii="Verdana" w:eastAsia="Cambria" w:hAnsi="Verdana" w:cs="Cambria"/>
          <w:i w:val="0"/>
          <w:iCs/>
          <w:sz w:val="20"/>
          <w:szCs w:val="20"/>
          <w:lang w:val="es-ES_tradnl"/>
        </w:rPr>
        <w:t>sin que dichos remedios hayan sido eficaces para resolver la situación denunciada</w:t>
      </w:r>
      <w:r w:rsidR="00B47088" w:rsidRPr="0064310B">
        <w:rPr>
          <w:rFonts w:ascii="Verdana" w:eastAsia="Cambria" w:hAnsi="Verdana" w:cs="Cambria"/>
          <w:i w:val="0"/>
          <w:iCs/>
          <w:sz w:val="20"/>
          <w:szCs w:val="20"/>
          <w:lang w:val="es-ES_tradnl"/>
        </w:rPr>
        <w:t xml:space="preserve">. </w:t>
      </w:r>
    </w:p>
    <w:p w14:paraId="00B9A41A" w14:textId="0189CCA9" w:rsidR="004B0076" w:rsidRPr="00137654" w:rsidRDefault="53D38EDD" w:rsidP="53D38EDD">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hAnsi="Verdana"/>
          <w:i w:val="0"/>
          <w:sz w:val="20"/>
          <w:szCs w:val="20"/>
        </w:rPr>
      </w:pPr>
      <w:r w:rsidRPr="53D38EDD">
        <w:rPr>
          <w:rFonts w:ascii="Verdana" w:eastAsia="Calibri" w:hAnsi="Verdana" w:cs="Verdana"/>
          <w:i w:val="0"/>
          <w:sz w:val="20"/>
          <w:szCs w:val="20"/>
          <w:lang w:eastAsia="en-US"/>
        </w:rPr>
        <w:t xml:space="preserve">Los </w:t>
      </w:r>
      <w:r w:rsidRPr="53D38EDD">
        <w:rPr>
          <w:rFonts w:ascii="Verdana-BoldItalic" w:eastAsia="Calibri" w:hAnsi="Verdana-BoldItalic" w:cs="Verdana-BoldItalic"/>
          <w:b/>
          <w:bCs/>
          <w:sz w:val="20"/>
          <w:szCs w:val="20"/>
          <w:lang w:eastAsia="en-US"/>
        </w:rPr>
        <w:t>representantes</w:t>
      </w:r>
      <w:r w:rsidRPr="53D38EDD">
        <w:rPr>
          <w:rFonts w:ascii="Verdana-BoldItalic" w:eastAsia="Calibri" w:hAnsi="Verdana-BoldItalic" w:cs="Verdana-BoldItalic"/>
          <w:b/>
          <w:bCs/>
          <w:i w:val="0"/>
          <w:sz w:val="20"/>
          <w:szCs w:val="20"/>
          <w:lang w:eastAsia="en-US"/>
        </w:rPr>
        <w:t xml:space="preserve"> </w:t>
      </w:r>
      <w:r w:rsidRPr="53D38EDD">
        <w:rPr>
          <w:rFonts w:ascii="Verdana" w:eastAsia="Calibri" w:hAnsi="Verdana" w:cs="Verdana"/>
          <w:i w:val="0"/>
          <w:sz w:val="20"/>
          <w:szCs w:val="20"/>
          <w:lang w:eastAsia="en-US"/>
        </w:rPr>
        <w:t>solicitaron que se desestime esta excepción que se relaciona con la dilación del proceso, la cual, según el Estado, se debería a la conducta procesal de las presuntas víctimas. Consideraron que ello no solamente es contrario a los criterios establecidos por esta Corte, sino, además, que tal afirmación no se ajusta a la verdad de los hechos y es en sí misma revictimizante. Agregaron, que los alegados recursos disponibles por el Estado no han sido efectivos en su vertiente material, ya que por 17 años imposibilitaron alternativas al encarcelamiento, impidieron el derecho a un juicio justo -con las garantías del debido proceso y con la exclusión de pruebas ilícitas- y no fueron efectivos ni atendieron al plazo razonable en la investigación de la tortura. A su vez, consideraron incongruente que las presuntas víctimas todavía deban agotar otros recursos, cuando ha quedado probado que, a lo largo de 20 años, el sistema de justicia y la multiplicidad de recursos incoados han resultado ineficaces e inadecuados. Sobre el alegato de la falta de agotamiento de recursos internos respecto de la CIPST, adujeron que, según jurisprudencia reiterada de la Corte, el análisis de la responsabilidad internacional por violación a la integridad personal a partir del artículo 5 de la Convención</w:t>
      </w:r>
      <w:r w:rsidR="00C135E9">
        <w:rPr>
          <w:rFonts w:ascii="Verdana" w:eastAsia="Calibri" w:hAnsi="Verdana" w:cs="Verdana"/>
          <w:i w:val="0"/>
          <w:sz w:val="20"/>
          <w:szCs w:val="20"/>
          <w:lang w:eastAsia="en-US"/>
        </w:rPr>
        <w:t xml:space="preserve"> Americana,</w:t>
      </w:r>
      <w:r w:rsidRPr="53D38EDD">
        <w:rPr>
          <w:rFonts w:ascii="Verdana" w:eastAsia="Calibri" w:hAnsi="Verdana" w:cs="Verdana"/>
          <w:i w:val="0"/>
          <w:sz w:val="20"/>
          <w:szCs w:val="20"/>
          <w:lang w:eastAsia="en-US"/>
        </w:rPr>
        <w:t xml:space="preserve"> se realiza de manera conjunta con los artículos 1, 6 y 8 de la CIPST. </w:t>
      </w:r>
    </w:p>
    <w:p w14:paraId="5977982D" w14:textId="77777777" w:rsidR="004B0076" w:rsidRPr="00351298" w:rsidRDefault="00534651" w:rsidP="00D73463">
      <w:pPr>
        <w:pStyle w:val="Ttulo3"/>
        <w:spacing w:before="240" w:after="240"/>
        <w:ind w:left="567"/>
        <w:jc w:val="both"/>
        <w:rPr>
          <w:rFonts w:ascii="Verdana" w:hAnsi="Verdana"/>
          <w:snapToGrid w:val="0"/>
          <w:spacing w:val="-2"/>
          <w:sz w:val="20"/>
          <w:szCs w:val="20"/>
          <w:lang w:eastAsia="es-ES"/>
        </w:rPr>
      </w:pPr>
      <w:bookmarkStart w:id="37" w:name="_Toc132133887"/>
      <w:r w:rsidRPr="00351298">
        <w:rPr>
          <w:rFonts w:ascii="Verdana" w:hAnsi="Verdana"/>
          <w:b w:val="0"/>
          <w:snapToGrid w:val="0"/>
          <w:spacing w:val="-2"/>
          <w:sz w:val="20"/>
          <w:szCs w:val="20"/>
          <w:lang w:eastAsia="es-ES"/>
        </w:rPr>
        <w:t>B.2. Consideraciones de la Corte</w:t>
      </w:r>
      <w:bookmarkEnd w:id="37"/>
    </w:p>
    <w:p w14:paraId="096D421E" w14:textId="1E7D2499" w:rsidR="00BA7F47" w:rsidRPr="00351298" w:rsidRDefault="00DA6C49" w:rsidP="00D73463">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sz w:val="20"/>
          <w:szCs w:val="20"/>
          <w:lang w:val="es-CR"/>
        </w:rPr>
      </w:pPr>
      <w:r w:rsidRPr="6E159DF8">
        <w:rPr>
          <w:rFonts w:ascii="Verdana" w:hAnsi="Verdana"/>
          <w:i w:val="0"/>
          <w:sz w:val="20"/>
          <w:szCs w:val="20"/>
        </w:rPr>
        <w:t>El</w:t>
      </w:r>
      <w:r w:rsidRPr="6E159DF8">
        <w:rPr>
          <w:rFonts w:ascii="Verdana" w:hAnsi="Verdana"/>
          <w:i w:val="0"/>
          <w:spacing w:val="-18"/>
          <w:sz w:val="20"/>
          <w:szCs w:val="20"/>
        </w:rPr>
        <w:t xml:space="preserve"> </w:t>
      </w:r>
      <w:r w:rsidRPr="6E159DF8">
        <w:rPr>
          <w:rFonts w:ascii="Verdana" w:hAnsi="Verdana"/>
          <w:i w:val="0"/>
          <w:sz w:val="20"/>
          <w:szCs w:val="20"/>
        </w:rPr>
        <w:t>artículo</w:t>
      </w:r>
      <w:r w:rsidRPr="6E159DF8">
        <w:rPr>
          <w:rFonts w:ascii="Verdana" w:hAnsi="Verdana"/>
          <w:i w:val="0"/>
          <w:spacing w:val="-18"/>
          <w:sz w:val="20"/>
          <w:szCs w:val="20"/>
        </w:rPr>
        <w:t xml:space="preserve"> </w:t>
      </w:r>
      <w:r w:rsidRPr="6E159DF8">
        <w:rPr>
          <w:rFonts w:ascii="Verdana" w:hAnsi="Verdana"/>
          <w:i w:val="0"/>
          <w:sz w:val="20"/>
          <w:szCs w:val="20"/>
        </w:rPr>
        <w:t>46.1.a)</w:t>
      </w:r>
      <w:r w:rsidRPr="6E159DF8">
        <w:rPr>
          <w:rFonts w:ascii="Verdana" w:hAnsi="Verdana"/>
          <w:i w:val="0"/>
          <w:spacing w:val="-17"/>
          <w:sz w:val="20"/>
          <w:szCs w:val="20"/>
        </w:rPr>
        <w:t xml:space="preserve"> </w:t>
      </w:r>
      <w:r w:rsidRPr="6E159DF8">
        <w:rPr>
          <w:rFonts w:ascii="Verdana" w:hAnsi="Verdana"/>
          <w:i w:val="0"/>
          <w:sz w:val="20"/>
          <w:szCs w:val="20"/>
        </w:rPr>
        <w:t>de</w:t>
      </w:r>
      <w:r w:rsidRPr="6E159DF8">
        <w:rPr>
          <w:rFonts w:ascii="Verdana" w:hAnsi="Verdana"/>
          <w:i w:val="0"/>
          <w:spacing w:val="-18"/>
          <w:sz w:val="20"/>
          <w:szCs w:val="20"/>
        </w:rPr>
        <w:t xml:space="preserve"> </w:t>
      </w:r>
      <w:r w:rsidRPr="6E159DF8">
        <w:rPr>
          <w:rFonts w:ascii="Verdana" w:hAnsi="Verdana"/>
          <w:i w:val="0"/>
          <w:sz w:val="20"/>
          <w:szCs w:val="20"/>
        </w:rPr>
        <w:t>la</w:t>
      </w:r>
      <w:r w:rsidRPr="6E159DF8">
        <w:rPr>
          <w:rFonts w:ascii="Verdana" w:hAnsi="Verdana"/>
          <w:i w:val="0"/>
          <w:spacing w:val="-17"/>
          <w:sz w:val="20"/>
          <w:szCs w:val="20"/>
        </w:rPr>
        <w:t xml:space="preserve"> </w:t>
      </w:r>
      <w:r w:rsidRPr="6E159DF8">
        <w:rPr>
          <w:rFonts w:ascii="Verdana" w:hAnsi="Verdana"/>
          <w:i w:val="0"/>
          <w:sz w:val="20"/>
          <w:szCs w:val="20"/>
        </w:rPr>
        <w:t>Convención</w:t>
      </w:r>
      <w:r w:rsidRPr="6E159DF8">
        <w:rPr>
          <w:rFonts w:ascii="Verdana" w:hAnsi="Verdana"/>
          <w:i w:val="0"/>
          <w:spacing w:val="-18"/>
          <w:sz w:val="20"/>
          <w:szCs w:val="20"/>
        </w:rPr>
        <w:t xml:space="preserve"> </w:t>
      </w:r>
      <w:r w:rsidRPr="6E159DF8">
        <w:rPr>
          <w:rFonts w:ascii="Verdana" w:hAnsi="Verdana"/>
          <w:i w:val="0"/>
          <w:sz w:val="20"/>
          <w:szCs w:val="20"/>
        </w:rPr>
        <w:t>Americana</w:t>
      </w:r>
      <w:r w:rsidRPr="6E159DF8">
        <w:rPr>
          <w:rFonts w:ascii="Verdana" w:hAnsi="Verdana"/>
          <w:i w:val="0"/>
          <w:spacing w:val="-18"/>
          <w:sz w:val="20"/>
          <w:szCs w:val="20"/>
        </w:rPr>
        <w:t xml:space="preserve"> </w:t>
      </w:r>
      <w:r w:rsidRPr="6E159DF8">
        <w:rPr>
          <w:rFonts w:ascii="Verdana" w:hAnsi="Verdana"/>
          <w:i w:val="0"/>
          <w:sz w:val="20"/>
          <w:szCs w:val="20"/>
        </w:rPr>
        <w:t>dispone</w:t>
      </w:r>
      <w:r w:rsidRPr="6E159DF8">
        <w:rPr>
          <w:rFonts w:ascii="Verdana" w:hAnsi="Verdana"/>
          <w:i w:val="0"/>
          <w:spacing w:val="-17"/>
          <w:sz w:val="20"/>
          <w:szCs w:val="20"/>
        </w:rPr>
        <w:t xml:space="preserve"> </w:t>
      </w:r>
      <w:r w:rsidRPr="6E159DF8">
        <w:rPr>
          <w:rFonts w:ascii="Verdana" w:hAnsi="Verdana"/>
          <w:i w:val="0"/>
          <w:sz w:val="20"/>
          <w:szCs w:val="20"/>
        </w:rPr>
        <w:t>que,</w:t>
      </w:r>
      <w:r w:rsidRPr="6E159DF8">
        <w:rPr>
          <w:rFonts w:ascii="Verdana" w:hAnsi="Verdana"/>
          <w:i w:val="0"/>
          <w:spacing w:val="-18"/>
          <w:sz w:val="20"/>
          <w:szCs w:val="20"/>
        </w:rPr>
        <w:t xml:space="preserve"> </w:t>
      </w:r>
      <w:r w:rsidRPr="6E159DF8">
        <w:rPr>
          <w:rFonts w:ascii="Verdana" w:hAnsi="Verdana"/>
          <w:i w:val="0"/>
          <w:sz w:val="20"/>
          <w:szCs w:val="20"/>
        </w:rPr>
        <w:t>para</w:t>
      </w:r>
      <w:r w:rsidRPr="6E159DF8">
        <w:rPr>
          <w:rFonts w:ascii="Verdana" w:hAnsi="Verdana"/>
          <w:i w:val="0"/>
          <w:spacing w:val="-17"/>
          <w:sz w:val="20"/>
          <w:szCs w:val="20"/>
        </w:rPr>
        <w:t xml:space="preserve"> </w:t>
      </w:r>
      <w:r w:rsidRPr="6E159DF8">
        <w:rPr>
          <w:rFonts w:ascii="Verdana" w:hAnsi="Verdana"/>
          <w:i w:val="0"/>
          <w:sz w:val="20"/>
          <w:szCs w:val="20"/>
        </w:rPr>
        <w:t>determinar</w:t>
      </w:r>
      <w:r w:rsidRPr="6E159DF8">
        <w:rPr>
          <w:rFonts w:ascii="Verdana" w:hAnsi="Verdana"/>
          <w:i w:val="0"/>
          <w:spacing w:val="-18"/>
          <w:sz w:val="20"/>
          <w:szCs w:val="20"/>
        </w:rPr>
        <w:t xml:space="preserve"> </w:t>
      </w:r>
      <w:r w:rsidRPr="6E159DF8">
        <w:rPr>
          <w:rFonts w:ascii="Verdana" w:hAnsi="Verdana"/>
          <w:i w:val="0"/>
          <w:sz w:val="20"/>
          <w:szCs w:val="20"/>
        </w:rPr>
        <w:t>la</w:t>
      </w:r>
      <w:r w:rsidRPr="6E159DF8">
        <w:rPr>
          <w:rFonts w:ascii="Verdana" w:hAnsi="Verdana"/>
          <w:i w:val="0"/>
          <w:spacing w:val="-17"/>
          <w:sz w:val="20"/>
          <w:szCs w:val="20"/>
        </w:rPr>
        <w:t xml:space="preserve"> </w:t>
      </w:r>
      <w:r w:rsidRPr="6E159DF8">
        <w:rPr>
          <w:rFonts w:ascii="Verdana" w:hAnsi="Verdana"/>
          <w:i w:val="0"/>
          <w:sz w:val="20"/>
          <w:szCs w:val="20"/>
        </w:rPr>
        <w:t>admisibilidad</w:t>
      </w:r>
      <w:r w:rsidRPr="6E159DF8">
        <w:rPr>
          <w:rFonts w:ascii="Verdana" w:hAnsi="Verdana"/>
          <w:i w:val="0"/>
          <w:spacing w:val="-18"/>
          <w:sz w:val="20"/>
          <w:szCs w:val="20"/>
        </w:rPr>
        <w:t xml:space="preserve"> </w:t>
      </w:r>
      <w:r w:rsidRPr="6E159DF8">
        <w:rPr>
          <w:rFonts w:ascii="Verdana" w:hAnsi="Verdana"/>
          <w:i w:val="0"/>
          <w:sz w:val="20"/>
          <w:szCs w:val="20"/>
        </w:rPr>
        <w:t>de una petición o comunicación presentada ante la Comisión de conformidad con los artículos</w:t>
      </w:r>
      <w:r w:rsidRPr="6E159DF8">
        <w:rPr>
          <w:rFonts w:ascii="Verdana" w:hAnsi="Verdana"/>
          <w:i w:val="0"/>
          <w:spacing w:val="-7"/>
          <w:sz w:val="20"/>
          <w:szCs w:val="20"/>
        </w:rPr>
        <w:t xml:space="preserve"> </w:t>
      </w:r>
      <w:r w:rsidRPr="6E159DF8">
        <w:rPr>
          <w:rFonts w:ascii="Verdana" w:hAnsi="Verdana"/>
          <w:i w:val="0"/>
          <w:sz w:val="20"/>
          <w:szCs w:val="20"/>
        </w:rPr>
        <w:t>44</w:t>
      </w:r>
      <w:r w:rsidRPr="6E159DF8">
        <w:rPr>
          <w:rFonts w:ascii="Verdana" w:hAnsi="Verdana"/>
          <w:i w:val="0"/>
          <w:spacing w:val="-6"/>
          <w:sz w:val="20"/>
          <w:szCs w:val="20"/>
        </w:rPr>
        <w:t xml:space="preserve"> </w:t>
      </w:r>
      <w:r w:rsidRPr="6E159DF8">
        <w:rPr>
          <w:rFonts w:ascii="Verdana" w:hAnsi="Verdana"/>
          <w:i w:val="0"/>
          <w:sz w:val="20"/>
          <w:szCs w:val="20"/>
        </w:rPr>
        <w:t>o</w:t>
      </w:r>
      <w:r w:rsidRPr="6E159DF8">
        <w:rPr>
          <w:rFonts w:ascii="Verdana" w:hAnsi="Verdana"/>
          <w:i w:val="0"/>
          <w:spacing w:val="-7"/>
          <w:sz w:val="20"/>
          <w:szCs w:val="20"/>
        </w:rPr>
        <w:t xml:space="preserve"> </w:t>
      </w:r>
      <w:r w:rsidRPr="6E159DF8">
        <w:rPr>
          <w:rFonts w:ascii="Verdana" w:hAnsi="Verdana"/>
          <w:i w:val="0"/>
          <w:sz w:val="20"/>
          <w:szCs w:val="20"/>
        </w:rPr>
        <w:t>45</w:t>
      </w:r>
      <w:r w:rsidRPr="6E159DF8">
        <w:rPr>
          <w:rFonts w:ascii="Verdana" w:hAnsi="Verdana"/>
          <w:i w:val="0"/>
          <w:spacing w:val="-8"/>
          <w:sz w:val="20"/>
          <w:szCs w:val="20"/>
        </w:rPr>
        <w:t xml:space="preserve"> </w:t>
      </w:r>
      <w:r w:rsidRPr="6E159DF8">
        <w:rPr>
          <w:rFonts w:ascii="Verdana" w:hAnsi="Verdana"/>
          <w:i w:val="0"/>
          <w:sz w:val="20"/>
          <w:szCs w:val="20"/>
        </w:rPr>
        <w:t>de</w:t>
      </w:r>
      <w:r w:rsidRPr="6E159DF8">
        <w:rPr>
          <w:rFonts w:ascii="Verdana" w:hAnsi="Verdana"/>
          <w:i w:val="0"/>
          <w:spacing w:val="-7"/>
          <w:sz w:val="20"/>
          <w:szCs w:val="20"/>
        </w:rPr>
        <w:t xml:space="preserve"> </w:t>
      </w:r>
      <w:r w:rsidRPr="6E159DF8">
        <w:rPr>
          <w:rFonts w:ascii="Verdana" w:hAnsi="Verdana"/>
          <w:i w:val="0"/>
          <w:sz w:val="20"/>
          <w:szCs w:val="20"/>
        </w:rPr>
        <w:t>ese instrumento,</w:t>
      </w:r>
      <w:r w:rsidRPr="6E159DF8">
        <w:rPr>
          <w:rFonts w:ascii="Verdana" w:hAnsi="Verdana"/>
          <w:i w:val="0"/>
          <w:spacing w:val="-7"/>
          <w:sz w:val="20"/>
          <w:szCs w:val="20"/>
        </w:rPr>
        <w:t xml:space="preserve"> </w:t>
      </w:r>
      <w:r w:rsidRPr="6E159DF8">
        <w:rPr>
          <w:rFonts w:ascii="Verdana" w:hAnsi="Verdana"/>
          <w:i w:val="0"/>
          <w:sz w:val="20"/>
          <w:szCs w:val="20"/>
        </w:rPr>
        <w:t>es</w:t>
      </w:r>
      <w:r w:rsidRPr="6E159DF8">
        <w:rPr>
          <w:rFonts w:ascii="Verdana" w:hAnsi="Verdana"/>
          <w:i w:val="0"/>
          <w:spacing w:val="-9"/>
          <w:sz w:val="20"/>
          <w:szCs w:val="20"/>
        </w:rPr>
        <w:t xml:space="preserve"> </w:t>
      </w:r>
      <w:r w:rsidRPr="6E159DF8">
        <w:rPr>
          <w:rFonts w:ascii="Verdana" w:hAnsi="Verdana"/>
          <w:i w:val="0"/>
          <w:sz w:val="20"/>
          <w:szCs w:val="20"/>
        </w:rPr>
        <w:t>necesario</w:t>
      </w:r>
      <w:r w:rsidRPr="6E159DF8">
        <w:rPr>
          <w:rFonts w:ascii="Verdana" w:hAnsi="Verdana"/>
          <w:i w:val="0"/>
          <w:spacing w:val="-7"/>
          <w:sz w:val="20"/>
          <w:szCs w:val="20"/>
        </w:rPr>
        <w:t xml:space="preserve"> </w:t>
      </w:r>
      <w:r w:rsidRPr="6E159DF8">
        <w:rPr>
          <w:rFonts w:ascii="Verdana" w:hAnsi="Verdana"/>
          <w:i w:val="0"/>
          <w:sz w:val="20"/>
          <w:szCs w:val="20"/>
        </w:rPr>
        <w:t>que</w:t>
      </w:r>
      <w:r w:rsidRPr="6E159DF8">
        <w:rPr>
          <w:rFonts w:ascii="Verdana" w:hAnsi="Verdana"/>
          <w:i w:val="0"/>
          <w:spacing w:val="-7"/>
          <w:sz w:val="20"/>
          <w:szCs w:val="20"/>
        </w:rPr>
        <w:t xml:space="preserve"> </w:t>
      </w:r>
      <w:r w:rsidRPr="6E159DF8">
        <w:rPr>
          <w:rFonts w:ascii="Verdana" w:hAnsi="Verdana"/>
          <w:i w:val="0"/>
          <w:sz w:val="20"/>
          <w:szCs w:val="20"/>
        </w:rPr>
        <w:t>se</w:t>
      </w:r>
      <w:r w:rsidRPr="6E159DF8">
        <w:rPr>
          <w:rFonts w:ascii="Verdana" w:hAnsi="Verdana"/>
          <w:i w:val="0"/>
          <w:spacing w:val="-9"/>
          <w:sz w:val="20"/>
          <w:szCs w:val="20"/>
        </w:rPr>
        <w:t xml:space="preserve"> </w:t>
      </w:r>
      <w:r w:rsidRPr="6E159DF8">
        <w:rPr>
          <w:rFonts w:ascii="Verdana" w:hAnsi="Verdana"/>
          <w:i w:val="0"/>
          <w:sz w:val="20"/>
          <w:szCs w:val="20"/>
        </w:rPr>
        <w:t>hayan</w:t>
      </w:r>
      <w:r w:rsidRPr="6E159DF8">
        <w:rPr>
          <w:rFonts w:ascii="Verdana" w:hAnsi="Verdana"/>
          <w:i w:val="0"/>
          <w:spacing w:val="-5"/>
          <w:sz w:val="20"/>
          <w:szCs w:val="20"/>
        </w:rPr>
        <w:t xml:space="preserve"> </w:t>
      </w:r>
      <w:r w:rsidRPr="6E159DF8">
        <w:rPr>
          <w:rFonts w:ascii="Verdana" w:hAnsi="Verdana"/>
          <w:i w:val="0"/>
          <w:sz w:val="20"/>
          <w:szCs w:val="20"/>
        </w:rPr>
        <w:t>interpuesto</w:t>
      </w:r>
      <w:r w:rsidRPr="6E159DF8">
        <w:rPr>
          <w:rFonts w:ascii="Verdana" w:hAnsi="Verdana"/>
          <w:i w:val="0"/>
          <w:spacing w:val="-7"/>
          <w:sz w:val="20"/>
          <w:szCs w:val="20"/>
        </w:rPr>
        <w:t xml:space="preserve"> </w:t>
      </w:r>
      <w:r w:rsidRPr="6E159DF8">
        <w:rPr>
          <w:rFonts w:ascii="Verdana" w:hAnsi="Verdana"/>
          <w:i w:val="0"/>
          <w:sz w:val="20"/>
          <w:szCs w:val="20"/>
        </w:rPr>
        <w:t>y</w:t>
      </w:r>
      <w:r w:rsidRPr="6E159DF8">
        <w:rPr>
          <w:rFonts w:ascii="Verdana" w:hAnsi="Verdana"/>
          <w:i w:val="0"/>
          <w:spacing w:val="-7"/>
          <w:sz w:val="20"/>
          <w:szCs w:val="20"/>
        </w:rPr>
        <w:t xml:space="preserve"> </w:t>
      </w:r>
      <w:r w:rsidRPr="6E159DF8">
        <w:rPr>
          <w:rFonts w:ascii="Verdana" w:hAnsi="Verdana"/>
          <w:i w:val="0"/>
          <w:sz w:val="20"/>
          <w:szCs w:val="20"/>
        </w:rPr>
        <w:t>agotado</w:t>
      </w:r>
      <w:r w:rsidRPr="6E159DF8">
        <w:rPr>
          <w:rFonts w:ascii="Verdana" w:hAnsi="Verdana"/>
          <w:i w:val="0"/>
          <w:spacing w:val="-7"/>
          <w:sz w:val="20"/>
          <w:szCs w:val="20"/>
        </w:rPr>
        <w:t xml:space="preserve"> </w:t>
      </w:r>
      <w:r w:rsidRPr="6E159DF8">
        <w:rPr>
          <w:rFonts w:ascii="Verdana" w:hAnsi="Verdana"/>
          <w:i w:val="0"/>
          <w:sz w:val="20"/>
          <w:szCs w:val="20"/>
        </w:rPr>
        <w:t>los</w:t>
      </w:r>
      <w:r w:rsidRPr="6E159DF8">
        <w:rPr>
          <w:rFonts w:ascii="Verdana" w:hAnsi="Verdana"/>
          <w:i w:val="0"/>
          <w:spacing w:val="-5"/>
          <w:sz w:val="20"/>
          <w:szCs w:val="20"/>
        </w:rPr>
        <w:t xml:space="preserve"> </w:t>
      </w:r>
      <w:r w:rsidRPr="6E159DF8">
        <w:rPr>
          <w:rFonts w:ascii="Verdana" w:hAnsi="Verdana"/>
          <w:i w:val="0"/>
          <w:sz w:val="20"/>
          <w:szCs w:val="20"/>
        </w:rPr>
        <w:t>recursos</w:t>
      </w:r>
      <w:r w:rsidRPr="6E159DF8">
        <w:rPr>
          <w:rFonts w:ascii="Verdana" w:hAnsi="Verdana"/>
          <w:i w:val="0"/>
          <w:spacing w:val="-7"/>
          <w:sz w:val="20"/>
          <w:szCs w:val="20"/>
        </w:rPr>
        <w:t xml:space="preserve"> </w:t>
      </w:r>
      <w:r w:rsidRPr="6E159DF8">
        <w:rPr>
          <w:rFonts w:ascii="Verdana" w:hAnsi="Verdana"/>
          <w:i w:val="0"/>
          <w:sz w:val="20"/>
          <w:szCs w:val="20"/>
        </w:rPr>
        <w:t>de la</w:t>
      </w:r>
      <w:r w:rsidRPr="6E159DF8">
        <w:rPr>
          <w:rFonts w:ascii="Verdana" w:hAnsi="Verdana"/>
          <w:i w:val="0"/>
          <w:spacing w:val="-15"/>
          <w:sz w:val="20"/>
          <w:szCs w:val="20"/>
        </w:rPr>
        <w:t xml:space="preserve"> </w:t>
      </w:r>
      <w:r w:rsidRPr="6E159DF8">
        <w:rPr>
          <w:rFonts w:ascii="Verdana" w:hAnsi="Verdana"/>
          <w:i w:val="0"/>
          <w:sz w:val="20"/>
          <w:szCs w:val="20"/>
        </w:rPr>
        <w:t>jurisdicción</w:t>
      </w:r>
      <w:r w:rsidRPr="6E159DF8">
        <w:rPr>
          <w:rFonts w:ascii="Verdana" w:hAnsi="Verdana"/>
          <w:i w:val="0"/>
          <w:spacing w:val="-15"/>
          <w:sz w:val="20"/>
          <w:szCs w:val="20"/>
        </w:rPr>
        <w:t xml:space="preserve"> </w:t>
      </w:r>
      <w:r w:rsidRPr="6E159DF8">
        <w:rPr>
          <w:rFonts w:ascii="Verdana" w:hAnsi="Verdana"/>
          <w:i w:val="0"/>
          <w:sz w:val="20"/>
          <w:szCs w:val="20"/>
        </w:rPr>
        <w:t>interna,</w:t>
      </w:r>
      <w:r w:rsidRPr="6E159DF8">
        <w:rPr>
          <w:rFonts w:ascii="Verdana" w:hAnsi="Verdana"/>
          <w:i w:val="0"/>
          <w:spacing w:val="-14"/>
          <w:sz w:val="20"/>
          <w:szCs w:val="20"/>
        </w:rPr>
        <w:t xml:space="preserve"> </w:t>
      </w:r>
      <w:r w:rsidRPr="6E159DF8">
        <w:rPr>
          <w:rFonts w:ascii="Verdana" w:hAnsi="Verdana"/>
          <w:i w:val="0"/>
          <w:sz w:val="20"/>
          <w:szCs w:val="20"/>
        </w:rPr>
        <w:t>según</w:t>
      </w:r>
      <w:r w:rsidRPr="6E159DF8">
        <w:rPr>
          <w:rFonts w:ascii="Verdana" w:hAnsi="Verdana"/>
          <w:i w:val="0"/>
          <w:spacing w:val="-15"/>
          <w:sz w:val="20"/>
          <w:szCs w:val="20"/>
        </w:rPr>
        <w:t xml:space="preserve"> </w:t>
      </w:r>
      <w:r w:rsidRPr="6E159DF8">
        <w:rPr>
          <w:rFonts w:ascii="Verdana" w:hAnsi="Verdana"/>
          <w:i w:val="0"/>
          <w:sz w:val="20"/>
          <w:szCs w:val="20"/>
        </w:rPr>
        <w:t>los</w:t>
      </w:r>
      <w:r w:rsidRPr="6E159DF8">
        <w:rPr>
          <w:rFonts w:ascii="Verdana" w:hAnsi="Verdana"/>
          <w:i w:val="0"/>
          <w:spacing w:val="-14"/>
          <w:sz w:val="20"/>
          <w:szCs w:val="20"/>
        </w:rPr>
        <w:t xml:space="preserve"> </w:t>
      </w:r>
      <w:r w:rsidRPr="6E159DF8">
        <w:rPr>
          <w:rFonts w:ascii="Verdana" w:hAnsi="Verdana"/>
          <w:i w:val="0"/>
          <w:sz w:val="20"/>
          <w:szCs w:val="20"/>
        </w:rPr>
        <w:t>principios</w:t>
      </w:r>
      <w:r w:rsidRPr="6E159DF8">
        <w:rPr>
          <w:rFonts w:ascii="Verdana" w:hAnsi="Verdana"/>
          <w:i w:val="0"/>
          <w:spacing w:val="-14"/>
          <w:sz w:val="20"/>
          <w:szCs w:val="20"/>
        </w:rPr>
        <w:t xml:space="preserve"> </w:t>
      </w:r>
      <w:r w:rsidRPr="6E159DF8">
        <w:rPr>
          <w:rFonts w:ascii="Verdana" w:hAnsi="Verdana"/>
          <w:i w:val="0"/>
          <w:sz w:val="20"/>
          <w:szCs w:val="20"/>
        </w:rPr>
        <w:t>del</w:t>
      </w:r>
      <w:r w:rsidRPr="6E159DF8">
        <w:rPr>
          <w:rFonts w:ascii="Verdana" w:hAnsi="Verdana"/>
          <w:i w:val="0"/>
          <w:spacing w:val="-13"/>
          <w:sz w:val="20"/>
          <w:szCs w:val="20"/>
        </w:rPr>
        <w:t xml:space="preserve"> </w:t>
      </w:r>
      <w:r w:rsidRPr="6E159DF8">
        <w:rPr>
          <w:rFonts w:ascii="Verdana" w:hAnsi="Verdana"/>
          <w:i w:val="0"/>
          <w:sz w:val="20"/>
          <w:szCs w:val="20"/>
        </w:rPr>
        <w:t>Derecho</w:t>
      </w:r>
      <w:r w:rsidRPr="6E159DF8">
        <w:rPr>
          <w:rFonts w:ascii="Verdana" w:hAnsi="Verdana"/>
          <w:i w:val="0"/>
          <w:spacing w:val="-16"/>
          <w:sz w:val="20"/>
          <w:szCs w:val="20"/>
        </w:rPr>
        <w:t xml:space="preserve"> </w:t>
      </w:r>
      <w:r w:rsidRPr="6E159DF8">
        <w:rPr>
          <w:rFonts w:ascii="Verdana" w:hAnsi="Verdana"/>
          <w:i w:val="0"/>
          <w:sz w:val="20"/>
          <w:szCs w:val="20"/>
        </w:rPr>
        <w:t>Internacional</w:t>
      </w:r>
      <w:r w:rsidRPr="6E159DF8">
        <w:rPr>
          <w:rFonts w:ascii="Verdana" w:hAnsi="Verdana"/>
          <w:i w:val="0"/>
          <w:spacing w:val="-15"/>
          <w:sz w:val="20"/>
          <w:szCs w:val="20"/>
        </w:rPr>
        <w:t xml:space="preserve"> </w:t>
      </w:r>
      <w:r w:rsidRPr="6E159DF8">
        <w:rPr>
          <w:rFonts w:ascii="Verdana" w:hAnsi="Verdana"/>
          <w:i w:val="0"/>
          <w:sz w:val="20"/>
          <w:szCs w:val="20"/>
        </w:rPr>
        <w:t>generalmente</w:t>
      </w:r>
      <w:r w:rsidRPr="6E159DF8">
        <w:rPr>
          <w:rFonts w:ascii="Verdana" w:hAnsi="Verdana"/>
          <w:i w:val="0"/>
          <w:spacing w:val="-14"/>
          <w:sz w:val="20"/>
          <w:szCs w:val="20"/>
        </w:rPr>
        <w:t xml:space="preserve"> </w:t>
      </w:r>
      <w:r w:rsidRPr="6E159DF8">
        <w:rPr>
          <w:rFonts w:ascii="Verdana" w:hAnsi="Verdana"/>
          <w:i w:val="0"/>
          <w:sz w:val="20"/>
          <w:szCs w:val="20"/>
        </w:rPr>
        <w:t>reconocidos</w:t>
      </w:r>
      <w:r w:rsidR="00DA7C05" w:rsidRPr="6E159DF8">
        <w:rPr>
          <w:rStyle w:val="Refdenotaalpie"/>
          <w:rFonts w:ascii="Verdana" w:hAnsi="Verdana"/>
          <w:i w:val="0"/>
          <w:sz w:val="20"/>
          <w:lang w:val="es-CR"/>
        </w:rPr>
        <w:footnoteReference w:id="38"/>
      </w:r>
      <w:r w:rsidR="00DA7C05" w:rsidRPr="6E159DF8">
        <w:rPr>
          <w:rFonts w:ascii="Verdana" w:hAnsi="Verdana"/>
          <w:i w:val="0"/>
          <w:sz w:val="20"/>
          <w:szCs w:val="20"/>
        </w:rPr>
        <w:t>.</w:t>
      </w:r>
      <w:r w:rsidR="00DA7C05" w:rsidRPr="6E159DF8">
        <w:rPr>
          <w:rFonts w:ascii="Verdana" w:hAnsi="Verdana"/>
          <w:i w:val="0"/>
          <w:spacing w:val="-14"/>
          <w:sz w:val="20"/>
          <w:szCs w:val="20"/>
        </w:rPr>
        <w:t xml:space="preserve"> </w:t>
      </w:r>
      <w:r w:rsidR="00DA7C05" w:rsidRPr="6E159DF8">
        <w:rPr>
          <w:rFonts w:ascii="Verdana" w:hAnsi="Verdana"/>
          <w:i w:val="0"/>
          <w:sz w:val="20"/>
          <w:szCs w:val="20"/>
        </w:rPr>
        <w:t xml:space="preserve">Lo anterior, sin embargo, supone que no sólo deben existir formalmente esos recursos, sino también </w:t>
      </w:r>
      <w:r w:rsidR="00DA7C05" w:rsidRPr="6E159DF8">
        <w:rPr>
          <w:rFonts w:ascii="Verdana" w:hAnsi="Verdana"/>
          <w:i w:val="0"/>
          <w:spacing w:val="-2"/>
          <w:sz w:val="20"/>
          <w:szCs w:val="20"/>
        </w:rPr>
        <w:lastRenderedPageBreak/>
        <w:t>deben</w:t>
      </w:r>
      <w:r w:rsidR="00DA7C05" w:rsidRPr="6E159DF8">
        <w:rPr>
          <w:rFonts w:ascii="Verdana" w:hAnsi="Verdana"/>
          <w:i w:val="0"/>
          <w:spacing w:val="-8"/>
          <w:sz w:val="20"/>
          <w:szCs w:val="20"/>
        </w:rPr>
        <w:t xml:space="preserve"> </w:t>
      </w:r>
      <w:r w:rsidR="00DA7C05" w:rsidRPr="6E159DF8">
        <w:rPr>
          <w:rFonts w:ascii="Verdana" w:hAnsi="Verdana"/>
          <w:i w:val="0"/>
          <w:spacing w:val="-2"/>
          <w:sz w:val="20"/>
          <w:szCs w:val="20"/>
        </w:rPr>
        <w:t>ser</w:t>
      </w:r>
      <w:r w:rsidR="00DA7C05" w:rsidRPr="6E159DF8">
        <w:rPr>
          <w:rFonts w:ascii="Verdana" w:hAnsi="Verdana"/>
          <w:i w:val="0"/>
          <w:spacing w:val="-10"/>
          <w:sz w:val="20"/>
          <w:szCs w:val="20"/>
        </w:rPr>
        <w:t xml:space="preserve"> </w:t>
      </w:r>
      <w:r w:rsidR="00DA7C05" w:rsidRPr="6E159DF8">
        <w:rPr>
          <w:rFonts w:ascii="Verdana" w:hAnsi="Verdana"/>
          <w:i w:val="0"/>
          <w:spacing w:val="-2"/>
          <w:sz w:val="20"/>
          <w:szCs w:val="20"/>
        </w:rPr>
        <w:t>adecuados</w:t>
      </w:r>
      <w:r w:rsidR="00DA7C05" w:rsidRPr="6E159DF8">
        <w:rPr>
          <w:rFonts w:ascii="Verdana" w:hAnsi="Verdana"/>
          <w:i w:val="0"/>
          <w:spacing w:val="-10"/>
          <w:sz w:val="20"/>
          <w:szCs w:val="20"/>
        </w:rPr>
        <w:t xml:space="preserve"> </w:t>
      </w:r>
      <w:r w:rsidR="00DA7C05" w:rsidRPr="6E159DF8">
        <w:rPr>
          <w:rFonts w:ascii="Verdana" w:hAnsi="Verdana"/>
          <w:i w:val="0"/>
          <w:spacing w:val="-2"/>
          <w:sz w:val="20"/>
          <w:szCs w:val="20"/>
        </w:rPr>
        <w:t>y</w:t>
      </w:r>
      <w:r w:rsidR="00DA7C05" w:rsidRPr="6E159DF8">
        <w:rPr>
          <w:rFonts w:ascii="Verdana" w:hAnsi="Verdana"/>
          <w:i w:val="0"/>
          <w:spacing w:val="-10"/>
          <w:sz w:val="20"/>
          <w:szCs w:val="20"/>
        </w:rPr>
        <w:t xml:space="preserve"> </w:t>
      </w:r>
      <w:r w:rsidR="00DA7C05" w:rsidRPr="6E159DF8">
        <w:rPr>
          <w:rFonts w:ascii="Verdana" w:hAnsi="Verdana"/>
          <w:i w:val="0"/>
          <w:spacing w:val="-2"/>
          <w:sz w:val="20"/>
          <w:szCs w:val="20"/>
        </w:rPr>
        <w:t>efectivos,</w:t>
      </w:r>
      <w:r w:rsidR="00DA7C05" w:rsidRPr="6E159DF8">
        <w:rPr>
          <w:rFonts w:ascii="Verdana" w:hAnsi="Verdana"/>
          <w:i w:val="0"/>
          <w:spacing w:val="-10"/>
          <w:sz w:val="20"/>
          <w:szCs w:val="20"/>
        </w:rPr>
        <w:t xml:space="preserve"> </w:t>
      </w:r>
      <w:r w:rsidR="00DA7C05" w:rsidRPr="6E159DF8">
        <w:rPr>
          <w:rFonts w:ascii="Verdana" w:hAnsi="Verdana"/>
          <w:i w:val="0"/>
          <w:spacing w:val="-2"/>
          <w:sz w:val="20"/>
          <w:szCs w:val="20"/>
        </w:rPr>
        <w:t>como</w:t>
      </w:r>
      <w:r w:rsidR="00DA7C05" w:rsidRPr="6E159DF8">
        <w:rPr>
          <w:rFonts w:ascii="Verdana" w:hAnsi="Verdana"/>
          <w:i w:val="0"/>
          <w:spacing w:val="-10"/>
          <w:sz w:val="20"/>
          <w:szCs w:val="20"/>
        </w:rPr>
        <w:t xml:space="preserve"> </w:t>
      </w:r>
      <w:r w:rsidR="00DA7C05" w:rsidRPr="6E159DF8">
        <w:rPr>
          <w:rFonts w:ascii="Verdana" w:hAnsi="Verdana"/>
          <w:i w:val="0"/>
          <w:spacing w:val="-2"/>
          <w:sz w:val="20"/>
          <w:szCs w:val="20"/>
        </w:rPr>
        <w:t>resulta</w:t>
      </w:r>
      <w:r w:rsidR="00DA7C05" w:rsidRPr="6E159DF8">
        <w:rPr>
          <w:rFonts w:ascii="Verdana" w:hAnsi="Verdana"/>
          <w:i w:val="0"/>
          <w:spacing w:val="-11"/>
          <w:sz w:val="20"/>
          <w:szCs w:val="20"/>
        </w:rPr>
        <w:t xml:space="preserve"> </w:t>
      </w:r>
      <w:r w:rsidR="00DA7C05" w:rsidRPr="6E159DF8">
        <w:rPr>
          <w:rFonts w:ascii="Verdana" w:hAnsi="Verdana"/>
          <w:i w:val="0"/>
          <w:spacing w:val="-2"/>
          <w:sz w:val="20"/>
          <w:szCs w:val="20"/>
        </w:rPr>
        <w:t>de</w:t>
      </w:r>
      <w:r w:rsidR="00DA7C05" w:rsidRPr="6E159DF8">
        <w:rPr>
          <w:rFonts w:ascii="Verdana" w:hAnsi="Verdana"/>
          <w:i w:val="0"/>
          <w:spacing w:val="-13"/>
          <w:sz w:val="20"/>
          <w:szCs w:val="20"/>
        </w:rPr>
        <w:t xml:space="preserve"> </w:t>
      </w:r>
      <w:r w:rsidR="00DA7C05" w:rsidRPr="6E159DF8">
        <w:rPr>
          <w:rFonts w:ascii="Verdana" w:hAnsi="Verdana"/>
          <w:i w:val="0"/>
          <w:spacing w:val="-2"/>
          <w:sz w:val="20"/>
          <w:szCs w:val="20"/>
        </w:rPr>
        <w:t>las</w:t>
      </w:r>
      <w:r w:rsidR="00DA7C05" w:rsidRPr="6E159DF8">
        <w:rPr>
          <w:rFonts w:ascii="Verdana" w:hAnsi="Verdana"/>
          <w:i w:val="0"/>
          <w:spacing w:val="-10"/>
          <w:sz w:val="20"/>
          <w:szCs w:val="20"/>
        </w:rPr>
        <w:t xml:space="preserve"> </w:t>
      </w:r>
      <w:r w:rsidR="00DA7C05" w:rsidRPr="6E159DF8">
        <w:rPr>
          <w:rFonts w:ascii="Verdana" w:hAnsi="Verdana"/>
          <w:i w:val="0"/>
          <w:spacing w:val="-2"/>
          <w:sz w:val="20"/>
          <w:szCs w:val="20"/>
        </w:rPr>
        <w:t>excepciones</w:t>
      </w:r>
      <w:r w:rsidR="00DA7C05" w:rsidRPr="6E159DF8">
        <w:rPr>
          <w:rFonts w:ascii="Verdana" w:hAnsi="Verdana"/>
          <w:i w:val="0"/>
          <w:spacing w:val="-10"/>
          <w:sz w:val="20"/>
          <w:szCs w:val="20"/>
        </w:rPr>
        <w:t xml:space="preserve"> </w:t>
      </w:r>
      <w:r w:rsidR="00DA7C05" w:rsidRPr="6E159DF8">
        <w:rPr>
          <w:rFonts w:ascii="Verdana" w:hAnsi="Verdana"/>
          <w:i w:val="0"/>
          <w:spacing w:val="-2"/>
          <w:sz w:val="20"/>
          <w:szCs w:val="20"/>
        </w:rPr>
        <w:t>contempladas</w:t>
      </w:r>
      <w:r w:rsidR="00DA7C05" w:rsidRPr="6E159DF8">
        <w:rPr>
          <w:rFonts w:ascii="Verdana" w:hAnsi="Verdana"/>
          <w:i w:val="0"/>
          <w:spacing w:val="-8"/>
          <w:sz w:val="20"/>
          <w:szCs w:val="20"/>
        </w:rPr>
        <w:t xml:space="preserve"> </w:t>
      </w:r>
      <w:r w:rsidR="00DA7C05" w:rsidRPr="6E159DF8">
        <w:rPr>
          <w:rFonts w:ascii="Verdana" w:hAnsi="Verdana"/>
          <w:i w:val="0"/>
          <w:spacing w:val="-2"/>
          <w:sz w:val="20"/>
          <w:szCs w:val="20"/>
        </w:rPr>
        <w:t>en</w:t>
      </w:r>
      <w:r w:rsidR="00DA7C05" w:rsidRPr="6E159DF8">
        <w:rPr>
          <w:rFonts w:ascii="Verdana" w:hAnsi="Verdana"/>
          <w:i w:val="0"/>
          <w:spacing w:val="-8"/>
          <w:sz w:val="20"/>
          <w:szCs w:val="20"/>
        </w:rPr>
        <w:t xml:space="preserve"> </w:t>
      </w:r>
      <w:r w:rsidR="00DA7C05" w:rsidRPr="6E159DF8">
        <w:rPr>
          <w:rFonts w:ascii="Verdana" w:hAnsi="Verdana"/>
          <w:i w:val="0"/>
          <w:spacing w:val="-2"/>
          <w:sz w:val="20"/>
          <w:szCs w:val="20"/>
        </w:rPr>
        <w:t>el</w:t>
      </w:r>
      <w:r w:rsidR="00DA7C05" w:rsidRPr="6E159DF8">
        <w:rPr>
          <w:rFonts w:ascii="Verdana" w:hAnsi="Verdana"/>
          <w:i w:val="0"/>
          <w:spacing w:val="-9"/>
          <w:sz w:val="20"/>
          <w:szCs w:val="20"/>
        </w:rPr>
        <w:t xml:space="preserve"> </w:t>
      </w:r>
      <w:r w:rsidR="00DA7C05" w:rsidRPr="6E159DF8">
        <w:rPr>
          <w:rFonts w:ascii="Verdana" w:hAnsi="Verdana"/>
          <w:i w:val="0"/>
          <w:spacing w:val="-2"/>
          <w:sz w:val="20"/>
          <w:szCs w:val="20"/>
        </w:rPr>
        <w:t>artículo</w:t>
      </w:r>
      <w:r w:rsidR="00DA7C05" w:rsidRPr="6E159DF8">
        <w:rPr>
          <w:rFonts w:ascii="Verdana" w:hAnsi="Verdana"/>
          <w:i w:val="0"/>
          <w:spacing w:val="-10"/>
          <w:sz w:val="20"/>
          <w:szCs w:val="20"/>
        </w:rPr>
        <w:t xml:space="preserve"> </w:t>
      </w:r>
      <w:r w:rsidR="00DA7C05" w:rsidRPr="6E159DF8">
        <w:rPr>
          <w:rFonts w:ascii="Verdana" w:hAnsi="Verdana"/>
          <w:i w:val="0"/>
          <w:spacing w:val="-2"/>
          <w:sz w:val="20"/>
          <w:szCs w:val="20"/>
        </w:rPr>
        <w:t>46.2</w:t>
      </w:r>
      <w:r w:rsidR="00DA7C05" w:rsidRPr="6E159DF8">
        <w:rPr>
          <w:rFonts w:ascii="Verdana" w:hAnsi="Verdana"/>
          <w:i w:val="0"/>
          <w:spacing w:val="-11"/>
          <w:sz w:val="20"/>
          <w:szCs w:val="20"/>
        </w:rPr>
        <w:t xml:space="preserve"> </w:t>
      </w:r>
      <w:r w:rsidR="00DA7C05" w:rsidRPr="6E159DF8">
        <w:rPr>
          <w:rFonts w:ascii="Verdana" w:hAnsi="Verdana"/>
          <w:i w:val="0"/>
          <w:spacing w:val="-2"/>
          <w:sz w:val="20"/>
          <w:szCs w:val="20"/>
        </w:rPr>
        <w:t xml:space="preserve">de </w:t>
      </w:r>
      <w:r w:rsidR="00DA7C05" w:rsidRPr="6E159DF8">
        <w:rPr>
          <w:rFonts w:ascii="Verdana" w:hAnsi="Verdana"/>
          <w:i w:val="0"/>
          <w:sz w:val="20"/>
          <w:szCs w:val="20"/>
        </w:rPr>
        <w:t>la Convención</w:t>
      </w:r>
      <w:r w:rsidR="00DA7C05" w:rsidRPr="6E159DF8">
        <w:rPr>
          <w:rStyle w:val="Refdenotaalpie"/>
          <w:rFonts w:ascii="Verdana" w:hAnsi="Verdana"/>
          <w:i w:val="0"/>
          <w:sz w:val="20"/>
          <w:lang w:val="es-CR"/>
        </w:rPr>
        <w:footnoteReference w:id="39"/>
      </w:r>
      <w:r w:rsidR="00DA7C05" w:rsidRPr="6E159DF8">
        <w:rPr>
          <w:rFonts w:ascii="Verdana" w:hAnsi="Verdana"/>
          <w:i w:val="0"/>
          <w:sz w:val="20"/>
          <w:szCs w:val="20"/>
        </w:rPr>
        <w:t xml:space="preserve">. </w:t>
      </w:r>
      <w:r w:rsidRPr="6E159DF8">
        <w:rPr>
          <w:rFonts w:ascii="Verdana" w:hAnsi="Verdana"/>
          <w:i w:val="0"/>
          <w:sz w:val="20"/>
          <w:szCs w:val="20"/>
          <w:lang w:val="es-CR"/>
        </w:rPr>
        <w:t xml:space="preserve">En particular, el Tribunal </w:t>
      </w:r>
      <w:r w:rsidR="00C135E9">
        <w:rPr>
          <w:rFonts w:ascii="Verdana" w:hAnsi="Verdana"/>
          <w:i w:val="0"/>
          <w:sz w:val="20"/>
          <w:szCs w:val="20"/>
          <w:lang w:val="es-CR"/>
        </w:rPr>
        <w:t>recuerda</w:t>
      </w:r>
      <w:r w:rsidR="00C135E9" w:rsidRPr="6E159DF8">
        <w:rPr>
          <w:rFonts w:ascii="Verdana" w:hAnsi="Verdana"/>
          <w:i w:val="0"/>
          <w:sz w:val="20"/>
          <w:szCs w:val="20"/>
          <w:lang w:val="es-CR"/>
        </w:rPr>
        <w:t xml:space="preserve"> </w:t>
      </w:r>
      <w:r w:rsidRPr="6E159DF8">
        <w:rPr>
          <w:rFonts w:ascii="Verdana" w:hAnsi="Verdana"/>
          <w:i w:val="0"/>
          <w:sz w:val="20"/>
          <w:szCs w:val="20"/>
          <w:lang w:val="es-CR"/>
        </w:rPr>
        <w:t>que el artículo 46.2.c de la Convención indica que las disposiciones sobre agotamiento de los recursos internos no se aplicarán cuando “haya retardo injustificado en la decisión sobre los mencionados recursos”</w:t>
      </w:r>
      <w:r w:rsidR="00BA7F47" w:rsidRPr="6E159DF8">
        <w:rPr>
          <w:rFonts w:ascii="Verdana" w:hAnsi="Verdana"/>
          <w:i w:val="0"/>
          <w:sz w:val="20"/>
          <w:szCs w:val="20"/>
          <w:lang w:val="es-CR"/>
        </w:rPr>
        <w:t>.</w:t>
      </w:r>
    </w:p>
    <w:p w14:paraId="4233133A" w14:textId="1BD83CAE" w:rsidR="00DA6C49" w:rsidRPr="00351298" w:rsidRDefault="00F307CD" w:rsidP="00DA6C4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bCs/>
          <w:i w:val="0"/>
          <w:iCs/>
          <w:sz w:val="20"/>
          <w:szCs w:val="20"/>
          <w:lang w:val="es-CR"/>
        </w:rPr>
      </w:pPr>
      <w:r w:rsidRPr="00351298">
        <w:rPr>
          <w:rFonts w:ascii="Verdana" w:hAnsi="Verdana"/>
          <w:i w:val="0"/>
          <w:sz w:val="20"/>
          <w:szCs w:val="20"/>
          <w:lang w:val="es-CR"/>
        </w:rPr>
        <w:t xml:space="preserve">En </w:t>
      </w:r>
      <w:r w:rsidRPr="00351298">
        <w:rPr>
          <w:rFonts w:ascii="Verdana" w:hAnsi="Verdana"/>
          <w:bCs/>
          <w:i w:val="0"/>
          <w:iCs/>
          <w:sz w:val="20"/>
          <w:szCs w:val="20"/>
          <w:lang w:val="es-CR"/>
        </w:rPr>
        <w:t>relación</w:t>
      </w:r>
      <w:r w:rsidRPr="00351298">
        <w:rPr>
          <w:rFonts w:ascii="Verdana" w:hAnsi="Verdana"/>
          <w:i w:val="0"/>
          <w:sz w:val="20"/>
          <w:szCs w:val="20"/>
          <w:lang w:val="es-CR"/>
        </w:rPr>
        <w:t xml:space="preserve"> con la excepción </w:t>
      </w:r>
      <w:r w:rsidRPr="0064310B">
        <w:rPr>
          <w:rFonts w:ascii="Verdana" w:hAnsi="Verdana"/>
          <w:i w:val="0"/>
          <w:sz w:val="20"/>
          <w:szCs w:val="20"/>
          <w:lang w:val="es-CR"/>
        </w:rPr>
        <w:t>preliminar presentada por el Estado, la Corte advierte que la sentencia de primera instancia en contra de las presuntas víctimas fue emitida el 12 de mayo de 2022, es decir, casi 20 años después de haber sido privadas de libertad. Según indicó el Estado, esa decisión judicial no agotaría los recursos internos puesto que aun quedaría abierta la vía de la apelación y</w:t>
      </w:r>
      <w:r>
        <w:rPr>
          <w:rFonts w:ascii="Verdana" w:hAnsi="Verdana"/>
          <w:i w:val="0"/>
          <w:sz w:val="20"/>
          <w:szCs w:val="20"/>
          <w:lang w:val="es-CR"/>
        </w:rPr>
        <w:t>,</w:t>
      </w:r>
      <w:r w:rsidRPr="0064310B">
        <w:rPr>
          <w:rFonts w:ascii="Verdana" w:hAnsi="Verdana"/>
          <w:i w:val="0"/>
          <w:sz w:val="20"/>
          <w:szCs w:val="20"/>
          <w:lang w:val="es-CR"/>
        </w:rPr>
        <w:t xml:space="preserve"> luego de ello</w:t>
      </w:r>
      <w:r>
        <w:rPr>
          <w:rFonts w:ascii="Verdana" w:hAnsi="Verdana"/>
          <w:i w:val="0"/>
          <w:sz w:val="20"/>
          <w:szCs w:val="20"/>
          <w:lang w:val="es-CR"/>
        </w:rPr>
        <w:t>,</w:t>
      </w:r>
      <w:r w:rsidRPr="0064310B">
        <w:rPr>
          <w:rFonts w:ascii="Verdana" w:hAnsi="Verdana"/>
          <w:i w:val="0"/>
          <w:sz w:val="20"/>
          <w:szCs w:val="20"/>
          <w:lang w:val="es-CR"/>
        </w:rPr>
        <w:t xml:space="preserve"> el amparo indirecto. Asimismo, la investigación por supuestos actos de tortura concluyó oficialmente recién el 21 de mayo de 2021 (</w:t>
      </w:r>
      <w:r w:rsidRPr="0064310B">
        <w:rPr>
          <w:rFonts w:ascii="Verdana" w:hAnsi="Verdana"/>
          <w:iCs/>
          <w:sz w:val="20"/>
          <w:szCs w:val="20"/>
          <w:lang w:val="es-CR"/>
        </w:rPr>
        <w:t>supra</w:t>
      </w:r>
      <w:r w:rsidRPr="0064310B">
        <w:rPr>
          <w:rFonts w:ascii="Verdana" w:hAnsi="Verdana"/>
          <w:i w:val="0"/>
          <w:sz w:val="20"/>
          <w:szCs w:val="20"/>
          <w:lang w:val="es-CR"/>
        </w:rPr>
        <w:t xml:space="preserve"> párr. </w:t>
      </w:r>
      <w:r>
        <w:rPr>
          <w:rFonts w:ascii="Verdana" w:hAnsi="Verdana"/>
          <w:i w:val="0"/>
          <w:sz w:val="20"/>
          <w:szCs w:val="20"/>
          <w:lang w:val="es-CR"/>
        </w:rPr>
        <w:t>24</w:t>
      </w:r>
      <w:r w:rsidRPr="0064310B">
        <w:rPr>
          <w:rFonts w:ascii="Verdana" w:hAnsi="Verdana"/>
          <w:i w:val="0"/>
          <w:sz w:val="20"/>
          <w:szCs w:val="20"/>
          <w:lang w:val="es-CR"/>
        </w:rPr>
        <w:t>). Para este Tribunal, resulta evidente que las dos décadas que han tardado las autoridades internas en pronunciarse en el marco del proceso penal interno al cual estaban sometidas las presuntas víctimas del caso, constituye una tardanza injustificada en los términos del artículo 46.2.c) de la Convención que autoriza para exceptuar el agotamiento de recursos establecido en el artículo 46.1.a) del mismo instrumento. Lo anterior con mayor razón aún si se considera que, de acuerdo a lo alegado por el Estado, aún quedan recursos por agotar como el de apelación</w:t>
      </w:r>
      <w:r w:rsidRPr="00351298">
        <w:rPr>
          <w:rFonts w:ascii="Verdana" w:hAnsi="Verdana"/>
          <w:i w:val="0"/>
          <w:sz w:val="20"/>
          <w:szCs w:val="20"/>
          <w:lang w:val="es-CR"/>
        </w:rPr>
        <w:t xml:space="preserve"> y</w:t>
      </w:r>
      <w:r>
        <w:rPr>
          <w:rFonts w:ascii="Verdana" w:hAnsi="Verdana"/>
          <w:i w:val="0"/>
          <w:sz w:val="20"/>
          <w:szCs w:val="20"/>
          <w:lang w:val="es-CR"/>
        </w:rPr>
        <w:t>,</w:t>
      </w:r>
      <w:r w:rsidRPr="00351298">
        <w:rPr>
          <w:rFonts w:ascii="Verdana" w:hAnsi="Verdana"/>
          <w:i w:val="0"/>
          <w:sz w:val="20"/>
          <w:szCs w:val="20"/>
          <w:lang w:val="es-CR"/>
        </w:rPr>
        <w:t xml:space="preserve"> posteriormente</w:t>
      </w:r>
      <w:r>
        <w:rPr>
          <w:rFonts w:ascii="Verdana" w:hAnsi="Verdana"/>
          <w:i w:val="0"/>
          <w:sz w:val="20"/>
          <w:szCs w:val="20"/>
          <w:lang w:val="es-CR"/>
        </w:rPr>
        <w:t>,</w:t>
      </w:r>
      <w:r w:rsidRPr="00351298">
        <w:rPr>
          <w:rFonts w:ascii="Verdana" w:hAnsi="Verdana"/>
          <w:i w:val="0"/>
          <w:sz w:val="20"/>
          <w:szCs w:val="20"/>
          <w:lang w:val="es-CR"/>
        </w:rPr>
        <w:t xml:space="preserve"> el amparo indirecto</w:t>
      </w:r>
      <w:r w:rsidR="00DA6C49" w:rsidRPr="00351298">
        <w:rPr>
          <w:rFonts w:ascii="Verdana" w:hAnsi="Verdana"/>
          <w:i w:val="0"/>
          <w:sz w:val="20"/>
          <w:szCs w:val="20"/>
          <w:lang w:val="es-CR"/>
        </w:rPr>
        <w:t xml:space="preserve"> (</w:t>
      </w:r>
      <w:r w:rsidR="00DA6C49" w:rsidRPr="00351298">
        <w:rPr>
          <w:rFonts w:ascii="Verdana" w:hAnsi="Verdana"/>
          <w:iCs/>
          <w:sz w:val="20"/>
          <w:szCs w:val="20"/>
          <w:lang w:val="es-CR"/>
        </w:rPr>
        <w:t>supra</w:t>
      </w:r>
      <w:r w:rsidR="00DA6C49" w:rsidRPr="00351298">
        <w:rPr>
          <w:rFonts w:ascii="Verdana" w:hAnsi="Verdana"/>
          <w:i w:val="0"/>
          <w:sz w:val="20"/>
          <w:szCs w:val="20"/>
          <w:lang w:val="es-CR"/>
        </w:rPr>
        <w:t xml:space="preserve"> párr. </w:t>
      </w:r>
      <w:r w:rsidR="00C135E9">
        <w:rPr>
          <w:rFonts w:ascii="Verdana" w:hAnsi="Verdana"/>
          <w:i w:val="0"/>
          <w:sz w:val="20"/>
          <w:szCs w:val="20"/>
          <w:lang w:val="es-CR"/>
        </w:rPr>
        <w:t>23</w:t>
      </w:r>
      <w:r w:rsidR="00DA6C49" w:rsidRPr="00351298">
        <w:rPr>
          <w:rFonts w:ascii="Verdana" w:hAnsi="Verdana"/>
          <w:i w:val="0"/>
          <w:sz w:val="20"/>
          <w:szCs w:val="20"/>
          <w:lang w:val="es-CR"/>
        </w:rPr>
        <w:t xml:space="preserve">). </w:t>
      </w:r>
    </w:p>
    <w:p w14:paraId="1BCE4A31" w14:textId="54A88D67" w:rsidR="00DC5DA0" w:rsidRPr="00351298" w:rsidRDefault="00F307CD" w:rsidP="53D38EDD">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hAnsi="Verdana"/>
          <w:i w:val="0"/>
          <w:sz w:val="20"/>
          <w:szCs w:val="20"/>
          <w:lang w:val="es-CR"/>
        </w:rPr>
      </w:pPr>
      <w:r w:rsidRPr="53D38EDD">
        <w:rPr>
          <w:rFonts w:ascii="Verdana" w:hAnsi="Verdana"/>
          <w:i w:val="0"/>
          <w:sz w:val="20"/>
          <w:szCs w:val="20"/>
          <w:lang w:val="es-CR"/>
        </w:rPr>
        <w:t xml:space="preserve">Por último, en lo que respecta </w:t>
      </w:r>
      <w:r>
        <w:rPr>
          <w:rFonts w:ascii="Verdana" w:hAnsi="Verdana"/>
          <w:i w:val="0"/>
          <w:sz w:val="20"/>
          <w:szCs w:val="20"/>
          <w:lang w:val="es-CR"/>
        </w:rPr>
        <w:t>a</w:t>
      </w:r>
      <w:r w:rsidRPr="53D38EDD">
        <w:rPr>
          <w:rFonts w:ascii="Verdana" w:hAnsi="Verdana"/>
          <w:i w:val="0"/>
          <w:sz w:val="20"/>
          <w:szCs w:val="20"/>
          <w:lang w:val="es-CR"/>
        </w:rPr>
        <w:t>l alegato del Estado según el cual la CIPST no establece excepciones de forma expresa al requisito del agotamiento de recursos internos, esta Corte recuerda que la Convención Americana es el instrumento que regula el procedimiento para que un caso contencioso sea analizado por la Comisión y</w:t>
      </w:r>
      <w:r>
        <w:rPr>
          <w:rFonts w:ascii="Verdana" w:hAnsi="Verdana"/>
          <w:i w:val="0"/>
          <w:sz w:val="20"/>
          <w:szCs w:val="20"/>
          <w:lang w:val="es-CR"/>
        </w:rPr>
        <w:t>,</w:t>
      </w:r>
      <w:r w:rsidRPr="53D38EDD">
        <w:rPr>
          <w:rFonts w:ascii="Verdana" w:hAnsi="Verdana"/>
          <w:i w:val="0"/>
          <w:sz w:val="20"/>
          <w:szCs w:val="20"/>
          <w:lang w:val="es-CR"/>
        </w:rPr>
        <w:t xml:space="preserve"> eventualmente</w:t>
      </w:r>
      <w:r>
        <w:rPr>
          <w:rFonts w:ascii="Verdana" w:hAnsi="Verdana"/>
          <w:i w:val="0"/>
          <w:sz w:val="20"/>
          <w:szCs w:val="20"/>
          <w:lang w:val="es-CR"/>
        </w:rPr>
        <w:t>,</w:t>
      </w:r>
      <w:r w:rsidRPr="53D38EDD">
        <w:rPr>
          <w:rFonts w:ascii="Verdana" w:hAnsi="Verdana"/>
          <w:i w:val="0"/>
          <w:sz w:val="20"/>
          <w:szCs w:val="20"/>
          <w:lang w:val="es-CR"/>
        </w:rPr>
        <w:t xml:space="preserve"> para su sometimiento a la Corte en el marco de su competencia contenciosa. Por su parte, el artículo 8 del CIPST indica que “[u]na vez agotado el ordenamiento jurídico interno del respectivo Estado y los recursos que éste prevé, el caso podrá ser sometido a instancias internacionales cuya competencia haya sido aceptada por ese Estado” y el artículo 16 </w:t>
      </w:r>
      <w:r>
        <w:rPr>
          <w:rFonts w:ascii="Verdana" w:hAnsi="Verdana"/>
          <w:i w:val="0"/>
          <w:sz w:val="20"/>
          <w:szCs w:val="20"/>
          <w:lang w:val="es-CR"/>
        </w:rPr>
        <w:t>señala</w:t>
      </w:r>
      <w:r w:rsidRPr="53D38EDD">
        <w:rPr>
          <w:rFonts w:ascii="Verdana" w:hAnsi="Verdana"/>
          <w:i w:val="0"/>
          <w:sz w:val="20"/>
          <w:szCs w:val="20"/>
          <w:lang w:val="es-CR"/>
        </w:rPr>
        <w:t xml:space="preserve"> que lo establecido en la CIPST “deja a salvo lo dispuesto por la Convención Americana sobre Derechos Humanos, por otras convenciones sobre la materia y por el Estatuto de la Comisión Interamericana de Derechos Humanos respecto del delito de tortura”. En ese sentido, la Corte Interamericana suele efectuar el análisis de la responsabilidad internacional del Estado por violación a la integridad personal por alegados hechos de tortura, a partir del artículo 5 de la Convención de manera conjunta con los artículos 1, 6 y 8 de la CIPST. De acuerdo con lo anterior, es razonable inferir que la regulación del procedimiento contencioso ante los órganos del Sistema Interamericano para que estos conozcan sobre eventuales vulneraciones a la CIPST es el previsto en la Convención Americana, la cual, naturalmente, comprende las disposiciones sobre agotamiento de recursos internos y las excepciones a las mismas</w:t>
      </w:r>
      <w:r w:rsidR="53D38EDD" w:rsidRPr="53D38EDD">
        <w:rPr>
          <w:rFonts w:ascii="Verdana" w:hAnsi="Verdana"/>
          <w:i w:val="0"/>
          <w:sz w:val="20"/>
          <w:szCs w:val="20"/>
          <w:lang w:val="es-CR"/>
        </w:rPr>
        <w:t xml:space="preserve">. </w:t>
      </w:r>
    </w:p>
    <w:p w14:paraId="0A619EFD" w14:textId="25D81696" w:rsidR="00F87ADE" w:rsidRPr="00351298" w:rsidRDefault="00C77769" w:rsidP="00C7776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351298">
        <w:rPr>
          <w:rFonts w:ascii="Verdana" w:eastAsiaTheme="minorHAnsi" w:hAnsi="Verdana" w:cs="Verdana"/>
          <w:i w:val="0"/>
          <w:iCs/>
          <w:sz w:val="20"/>
          <w:szCs w:val="20"/>
          <w:lang w:eastAsia="en-US"/>
        </w:rPr>
        <w:t>Por las consideraciones anteriores, la Corte desestima la presente excepción preliminar.</w:t>
      </w:r>
    </w:p>
    <w:p w14:paraId="72B09B36" w14:textId="6EE6A6D5" w:rsidR="004E0FD5" w:rsidRPr="00351298" w:rsidRDefault="004E0FD5" w:rsidP="004E0FD5">
      <w:pPr>
        <w:pStyle w:val="Ttulo1"/>
        <w:rPr>
          <w:rFonts w:ascii="Verdana" w:hAnsi="Verdana"/>
          <w:caps w:val="0"/>
          <w:sz w:val="20"/>
          <w:lang w:val="es-ES_tradnl"/>
        </w:rPr>
      </w:pPr>
      <w:bookmarkStart w:id="38" w:name="_Toc132133888"/>
      <w:r w:rsidRPr="00351298">
        <w:rPr>
          <w:rFonts w:ascii="Verdana" w:hAnsi="Verdana"/>
          <w:caps w:val="0"/>
          <w:sz w:val="20"/>
          <w:lang w:val="es-ES_tradnl"/>
        </w:rPr>
        <w:t>V</w:t>
      </w:r>
      <w:r w:rsidR="00CB6E94" w:rsidRPr="00351298">
        <w:rPr>
          <w:rFonts w:ascii="Verdana" w:hAnsi="Verdana"/>
          <w:caps w:val="0"/>
          <w:color w:val="FDE9D9" w:themeColor="accent6" w:themeTint="33"/>
          <w:sz w:val="20"/>
          <w:lang w:val="es-ES_tradnl"/>
        </w:rPr>
        <w:t>.</w:t>
      </w:r>
      <w:r w:rsidRPr="00351298">
        <w:rPr>
          <w:rFonts w:ascii="Verdana" w:hAnsi="Verdana"/>
          <w:caps w:val="0"/>
          <w:sz w:val="20"/>
          <w:lang w:val="es-ES_tradnl"/>
        </w:rPr>
        <w:br/>
        <w:t>CONSIDERACIONES PREVIAS</w:t>
      </w:r>
      <w:bookmarkEnd w:id="38"/>
    </w:p>
    <w:p w14:paraId="72179108" w14:textId="5BC1AE65" w:rsidR="00C77769" w:rsidRPr="00351298" w:rsidRDefault="00F307CD" w:rsidP="00F7182D">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351298">
        <w:rPr>
          <w:rFonts w:ascii="Verdana" w:hAnsi="Verdana"/>
          <w:i w:val="0"/>
          <w:iCs/>
          <w:sz w:val="20"/>
          <w:szCs w:val="20"/>
        </w:rPr>
        <w:t>El</w:t>
      </w:r>
      <w:r w:rsidRPr="00351298">
        <w:rPr>
          <w:rFonts w:ascii="Verdana" w:hAnsi="Verdana"/>
          <w:i w:val="0"/>
          <w:iCs/>
          <w:spacing w:val="-6"/>
          <w:sz w:val="20"/>
          <w:szCs w:val="20"/>
        </w:rPr>
        <w:t xml:space="preserve"> </w:t>
      </w:r>
      <w:r w:rsidRPr="00351298">
        <w:rPr>
          <w:rFonts w:ascii="Verdana" w:hAnsi="Verdana"/>
          <w:b/>
          <w:bCs/>
          <w:sz w:val="20"/>
          <w:szCs w:val="20"/>
        </w:rPr>
        <w:t>Estado</w:t>
      </w:r>
      <w:r w:rsidRPr="00351298">
        <w:rPr>
          <w:rFonts w:ascii="Verdana" w:hAnsi="Verdana"/>
          <w:i w:val="0"/>
          <w:iCs/>
          <w:spacing w:val="-11"/>
          <w:sz w:val="20"/>
          <w:szCs w:val="20"/>
        </w:rPr>
        <w:t xml:space="preserve"> </w:t>
      </w:r>
      <w:r w:rsidRPr="00351298">
        <w:rPr>
          <w:rFonts w:ascii="Verdana" w:hAnsi="Verdana"/>
          <w:i w:val="0"/>
          <w:iCs/>
          <w:sz w:val="20"/>
          <w:szCs w:val="20"/>
        </w:rPr>
        <w:t>presentó</w:t>
      </w:r>
      <w:r w:rsidRPr="00351298">
        <w:rPr>
          <w:rFonts w:ascii="Verdana" w:hAnsi="Verdana"/>
          <w:i w:val="0"/>
          <w:iCs/>
          <w:spacing w:val="-8"/>
          <w:sz w:val="20"/>
          <w:szCs w:val="20"/>
        </w:rPr>
        <w:t xml:space="preserve"> </w:t>
      </w:r>
      <w:r w:rsidRPr="00351298">
        <w:rPr>
          <w:rFonts w:ascii="Verdana" w:hAnsi="Verdana"/>
          <w:i w:val="0"/>
          <w:iCs/>
          <w:spacing w:val="-7"/>
          <w:sz w:val="20"/>
          <w:szCs w:val="20"/>
        </w:rPr>
        <w:t xml:space="preserve">una </w:t>
      </w:r>
      <w:r w:rsidRPr="00351298">
        <w:rPr>
          <w:rFonts w:ascii="Verdana" w:hAnsi="Verdana"/>
          <w:i w:val="0"/>
          <w:iCs/>
          <w:sz w:val="20"/>
          <w:szCs w:val="20"/>
        </w:rPr>
        <w:t>excepción</w:t>
      </w:r>
      <w:r w:rsidRPr="00351298">
        <w:rPr>
          <w:rFonts w:ascii="Verdana" w:hAnsi="Verdana"/>
          <w:i w:val="0"/>
          <w:iCs/>
          <w:spacing w:val="-8"/>
          <w:sz w:val="20"/>
          <w:szCs w:val="20"/>
        </w:rPr>
        <w:t xml:space="preserve"> </w:t>
      </w:r>
      <w:r w:rsidRPr="00351298">
        <w:rPr>
          <w:rFonts w:ascii="Verdana" w:hAnsi="Verdana"/>
          <w:i w:val="0"/>
          <w:iCs/>
          <w:sz w:val="20"/>
          <w:szCs w:val="20"/>
        </w:rPr>
        <w:t>preliminar</w:t>
      </w:r>
      <w:r w:rsidRPr="00351298">
        <w:rPr>
          <w:rFonts w:ascii="Verdana" w:hAnsi="Verdana"/>
          <w:i w:val="0"/>
          <w:iCs/>
          <w:spacing w:val="-9"/>
          <w:sz w:val="20"/>
          <w:szCs w:val="20"/>
        </w:rPr>
        <w:t xml:space="preserve"> </w:t>
      </w:r>
      <w:r w:rsidRPr="00351298">
        <w:rPr>
          <w:rFonts w:ascii="Verdana" w:hAnsi="Verdana"/>
          <w:i w:val="0"/>
          <w:iCs/>
          <w:sz w:val="20"/>
          <w:szCs w:val="20"/>
        </w:rPr>
        <w:t>relacionada con</w:t>
      </w:r>
      <w:r>
        <w:rPr>
          <w:rFonts w:ascii="Verdana" w:hAnsi="Verdana"/>
          <w:i w:val="0"/>
          <w:iCs/>
          <w:sz w:val="20"/>
          <w:szCs w:val="20"/>
        </w:rPr>
        <w:t xml:space="preserve"> la</w:t>
      </w:r>
      <w:r w:rsidRPr="00351298">
        <w:rPr>
          <w:rFonts w:ascii="Verdana" w:hAnsi="Verdana"/>
          <w:i w:val="0"/>
          <w:iCs/>
          <w:spacing w:val="-9"/>
          <w:sz w:val="20"/>
          <w:szCs w:val="20"/>
        </w:rPr>
        <w:t xml:space="preserve"> </w:t>
      </w:r>
      <w:r w:rsidRPr="00351298">
        <w:rPr>
          <w:rFonts w:ascii="Verdana" w:hAnsi="Verdana"/>
          <w:i w:val="0"/>
          <w:iCs/>
          <w:sz w:val="20"/>
          <w:szCs w:val="20"/>
        </w:rPr>
        <w:t>“</w:t>
      </w:r>
      <w:r>
        <w:rPr>
          <w:rFonts w:ascii="Verdana" w:hAnsi="Verdana"/>
          <w:i w:val="0"/>
          <w:iCs/>
          <w:sz w:val="20"/>
          <w:szCs w:val="20"/>
        </w:rPr>
        <w:t>i</w:t>
      </w:r>
      <w:r w:rsidRPr="00351298">
        <w:rPr>
          <w:rFonts w:ascii="Verdana" w:hAnsi="Verdana"/>
          <w:i w:val="0"/>
          <w:iCs/>
          <w:sz w:val="20"/>
          <w:szCs w:val="20"/>
        </w:rPr>
        <w:t>nadmisibilidad de las alegadas violaciones a la dignidad y honra”. Sostuvo</w:t>
      </w:r>
      <w:r>
        <w:rPr>
          <w:rFonts w:ascii="Verdana" w:hAnsi="Verdana"/>
          <w:i w:val="0"/>
          <w:iCs/>
          <w:sz w:val="20"/>
          <w:szCs w:val="20"/>
        </w:rPr>
        <w:t>,</w:t>
      </w:r>
      <w:r w:rsidRPr="00351298">
        <w:rPr>
          <w:rFonts w:ascii="Verdana" w:hAnsi="Verdana"/>
          <w:i w:val="0"/>
          <w:iCs/>
          <w:sz w:val="20"/>
          <w:szCs w:val="20"/>
        </w:rPr>
        <w:t xml:space="preserve"> en particular</w:t>
      </w:r>
      <w:r>
        <w:rPr>
          <w:rFonts w:ascii="Verdana" w:hAnsi="Verdana"/>
          <w:i w:val="0"/>
          <w:iCs/>
          <w:sz w:val="20"/>
          <w:szCs w:val="20"/>
        </w:rPr>
        <w:t>,</w:t>
      </w:r>
      <w:r w:rsidRPr="00351298">
        <w:rPr>
          <w:rFonts w:ascii="Verdana" w:hAnsi="Verdana"/>
          <w:i w:val="0"/>
          <w:iCs/>
          <w:sz w:val="20"/>
          <w:szCs w:val="20"/>
        </w:rPr>
        <w:t xml:space="preserve"> que la Comisión Interamericana no consideró que el Estado hubiese violado esos derechos en el Informe de Fondo, pero </w:t>
      </w:r>
      <w:r>
        <w:rPr>
          <w:rFonts w:ascii="Verdana" w:hAnsi="Verdana"/>
          <w:i w:val="0"/>
          <w:iCs/>
          <w:sz w:val="20"/>
          <w:szCs w:val="20"/>
        </w:rPr>
        <w:t xml:space="preserve">que </w:t>
      </w:r>
      <w:r w:rsidRPr="00351298">
        <w:rPr>
          <w:rFonts w:ascii="Verdana" w:hAnsi="Verdana"/>
          <w:i w:val="0"/>
          <w:iCs/>
          <w:sz w:val="20"/>
          <w:szCs w:val="20"/>
        </w:rPr>
        <w:t>los representantes de las presuntas víctimas alegaron esta violación en el escrito de solicitudes y argumentos. Asimismo, presentó excepciones preliminares sobre la determinación de las posibles víctimas</w:t>
      </w:r>
      <w:r>
        <w:rPr>
          <w:rFonts w:ascii="Verdana" w:hAnsi="Verdana"/>
          <w:i w:val="0"/>
          <w:iCs/>
          <w:sz w:val="20"/>
          <w:szCs w:val="20"/>
        </w:rPr>
        <w:t>,</w:t>
      </w:r>
      <w:r w:rsidRPr="00351298">
        <w:rPr>
          <w:rFonts w:ascii="Verdana" w:hAnsi="Verdana"/>
          <w:i w:val="0"/>
          <w:iCs/>
          <w:sz w:val="20"/>
          <w:szCs w:val="20"/>
        </w:rPr>
        <w:t xml:space="preserve"> y otra respecto de la determinación sobre los hechos y otras alegadas </w:t>
      </w:r>
      <w:r w:rsidRPr="00351298">
        <w:rPr>
          <w:rFonts w:ascii="Verdana" w:hAnsi="Verdana"/>
          <w:i w:val="0"/>
          <w:iCs/>
          <w:sz w:val="20"/>
          <w:szCs w:val="20"/>
        </w:rPr>
        <w:lastRenderedPageBreak/>
        <w:t>violaciones</w:t>
      </w:r>
      <w:r w:rsidR="000D499D" w:rsidRPr="00351298">
        <w:rPr>
          <w:rFonts w:ascii="Verdana" w:hAnsi="Verdana"/>
          <w:i w:val="0"/>
          <w:iCs/>
          <w:sz w:val="20"/>
          <w:szCs w:val="20"/>
        </w:rPr>
        <w:t>.</w:t>
      </w:r>
    </w:p>
    <w:p w14:paraId="6682FD95" w14:textId="680CD95E" w:rsidR="00F7182D" w:rsidRPr="009D520B" w:rsidRDefault="00204975" w:rsidP="00D73463">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hAnsi="Verdana"/>
          <w:i w:val="0"/>
          <w:iCs/>
          <w:spacing w:val="-3"/>
          <w:sz w:val="20"/>
          <w:szCs w:val="20"/>
        </w:rPr>
        <w:t>La Corte nota que,</w:t>
      </w:r>
      <w:r w:rsidR="000819FF" w:rsidRPr="009D520B">
        <w:rPr>
          <w:rFonts w:ascii="Verdana" w:hAnsi="Verdana"/>
          <w:i w:val="0"/>
          <w:iCs/>
          <w:spacing w:val="-3"/>
          <w:sz w:val="20"/>
          <w:szCs w:val="20"/>
        </w:rPr>
        <w:t xml:space="preserve"> de conformidad con su jurisprudencia reiterada, </w:t>
      </w:r>
      <w:r w:rsidRPr="009D520B">
        <w:rPr>
          <w:rFonts w:ascii="Verdana" w:hAnsi="Verdana"/>
          <w:i w:val="0"/>
          <w:iCs/>
          <w:spacing w:val="-3"/>
          <w:sz w:val="20"/>
          <w:szCs w:val="20"/>
        </w:rPr>
        <w:t xml:space="preserve">estos alegatos </w:t>
      </w:r>
      <w:r w:rsidR="000819FF" w:rsidRPr="009D520B">
        <w:rPr>
          <w:rFonts w:ascii="Verdana" w:hAnsi="Verdana"/>
          <w:i w:val="0"/>
          <w:iCs/>
          <w:spacing w:val="-3"/>
          <w:sz w:val="20"/>
          <w:szCs w:val="20"/>
        </w:rPr>
        <w:t xml:space="preserve">no constituyen excepciones preliminares </w:t>
      </w:r>
      <w:r w:rsidRPr="009D520B">
        <w:rPr>
          <w:rFonts w:ascii="Verdana" w:hAnsi="Verdana"/>
          <w:i w:val="0"/>
          <w:iCs/>
          <w:spacing w:val="-3"/>
          <w:sz w:val="20"/>
          <w:szCs w:val="20"/>
        </w:rPr>
        <w:t>puesto</w:t>
      </w:r>
      <w:r w:rsidR="000819FF" w:rsidRPr="009D520B">
        <w:rPr>
          <w:rFonts w:ascii="Verdana" w:hAnsi="Verdana"/>
          <w:i w:val="0"/>
          <w:iCs/>
          <w:spacing w:val="-3"/>
          <w:sz w:val="20"/>
          <w:szCs w:val="20"/>
        </w:rPr>
        <w:t xml:space="preserve"> que su análisis no puede resultar en la inadmisibilidad del caso</w:t>
      </w:r>
      <w:r w:rsidRPr="009D520B">
        <w:rPr>
          <w:rFonts w:ascii="Verdana" w:hAnsi="Verdana"/>
          <w:i w:val="0"/>
          <w:iCs/>
          <w:spacing w:val="-3"/>
          <w:sz w:val="20"/>
          <w:szCs w:val="20"/>
        </w:rPr>
        <w:t xml:space="preserve">. </w:t>
      </w:r>
      <w:r w:rsidR="000D499D" w:rsidRPr="009D520B">
        <w:rPr>
          <w:rFonts w:ascii="Verdana" w:hAnsi="Verdana"/>
          <w:i w:val="0"/>
          <w:iCs/>
          <w:spacing w:val="-3"/>
          <w:sz w:val="20"/>
          <w:szCs w:val="20"/>
        </w:rPr>
        <w:t xml:space="preserve">A </w:t>
      </w:r>
      <w:r w:rsidR="00941AD5" w:rsidRPr="009D520B">
        <w:rPr>
          <w:rFonts w:ascii="Verdana" w:hAnsi="Verdana"/>
          <w:i w:val="0"/>
          <w:iCs/>
          <w:spacing w:val="-3"/>
          <w:sz w:val="20"/>
          <w:szCs w:val="20"/>
        </w:rPr>
        <w:t>continuación,</w:t>
      </w:r>
      <w:r w:rsidR="000D499D" w:rsidRPr="009D520B">
        <w:rPr>
          <w:rFonts w:ascii="Verdana" w:hAnsi="Verdana"/>
          <w:i w:val="0"/>
          <w:iCs/>
          <w:spacing w:val="-3"/>
          <w:sz w:val="20"/>
          <w:szCs w:val="20"/>
        </w:rPr>
        <w:t xml:space="preserve"> el Tribunal se referirá a esas alegaciones en el siguiente orden: a)</w:t>
      </w:r>
      <w:r w:rsidR="00F7182D" w:rsidRPr="009D520B">
        <w:rPr>
          <w:rFonts w:ascii="Verdana" w:hAnsi="Verdana"/>
          <w:i w:val="0"/>
          <w:iCs/>
          <w:spacing w:val="-3"/>
          <w:sz w:val="20"/>
          <w:szCs w:val="20"/>
        </w:rPr>
        <w:t xml:space="preserve"> </w:t>
      </w:r>
      <w:r w:rsidR="00E46366" w:rsidRPr="009D520B">
        <w:rPr>
          <w:rFonts w:ascii="Verdana" w:hAnsi="Verdana"/>
          <w:i w:val="0"/>
          <w:iCs/>
          <w:spacing w:val="-3"/>
          <w:sz w:val="20"/>
          <w:szCs w:val="20"/>
        </w:rPr>
        <w:t>alegatos del Estado</w:t>
      </w:r>
      <w:r w:rsidR="00F7182D" w:rsidRPr="009D520B">
        <w:rPr>
          <w:rFonts w:ascii="Verdana" w:hAnsi="Verdana"/>
          <w:i w:val="0"/>
          <w:iCs/>
          <w:spacing w:val="-3"/>
          <w:sz w:val="20"/>
          <w:szCs w:val="20"/>
        </w:rPr>
        <w:t xml:space="preserve"> </w:t>
      </w:r>
      <w:r w:rsidR="00E46366" w:rsidRPr="009D520B">
        <w:rPr>
          <w:rFonts w:ascii="Verdana" w:hAnsi="Verdana"/>
          <w:i w:val="0"/>
          <w:iCs/>
          <w:spacing w:val="-3"/>
          <w:sz w:val="20"/>
          <w:szCs w:val="20"/>
        </w:rPr>
        <w:t>sobre la admisibilidad de las</w:t>
      </w:r>
      <w:r w:rsidR="00F7182D" w:rsidRPr="009D520B">
        <w:rPr>
          <w:rFonts w:ascii="Verdana" w:hAnsi="Verdana"/>
          <w:i w:val="0"/>
          <w:iCs/>
          <w:spacing w:val="-3"/>
          <w:sz w:val="20"/>
          <w:szCs w:val="20"/>
        </w:rPr>
        <w:t xml:space="preserve"> violaciones a la honra y a la dignidad; </w:t>
      </w:r>
      <w:r w:rsidR="007D21FC" w:rsidRPr="009D520B">
        <w:rPr>
          <w:rFonts w:ascii="Verdana" w:hAnsi="Verdana"/>
          <w:i w:val="0"/>
          <w:iCs/>
          <w:spacing w:val="-3"/>
          <w:sz w:val="20"/>
          <w:szCs w:val="20"/>
        </w:rPr>
        <w:t>b</w:t>
      </w:r>
      <w:r w:rsidR="00F7182D" w:rsidRPr="009D520B">
        <w:rPr>
          <w:rFonts w:ascii="Verdana" w:hAnsi="Verdana"/>
          <w:i w:val="0"/>
          <w:iCs/>
          <w:spacing w:val="-3"/>
          <w:sz w:val="20"/>
          <w:szCs w:val="20"/>
        </w:rPr>
        <w:t>) determinación de las posibles víctimas</w:t>
      </w:r>
      <w:r w:rsidR="008C5B93" w:rsidRPr="009D520B">
        <w:rPr>
          <w:rFonts w:ascii="Verdana" w:hAnsi="Verdana"/>
          <w:i w:val="0"/>
          <w:iCs/>
          <w:spacing w:val="-3"/>
          <w:sz w:val="20"/>
          <w:szCs w:val="20"/>
        </w:rPr>
        <w:t>, y</w:t>
      </w:r>
      <w:r w:rsidR="009D520B" w:rsidRPr="009D520B">
        <w:rPr>
          <w:rFonts w:ascii="Verdana" w:hAnsi="Verdana"/>
          <w:i w:val="0"/>
          <w:iCs/>
          <w:spacing w:val="-3"/>
          <w:sz w:val="20"/>
          <w:szCs w:val="20"/>
        </w:rPr>
        <w:t xml:space="preserve"> </w:t>
      </w:r>
      <w:r w:rsidR="00D8704B" w:rsidRPr="009D520B">
        <w:rPr>
          <w:rFonts w:ascii="Verdana" w:hAnsi="Verdana"/>
          <w:i w:val="0"/>
          <w:iCs/>
          <w:spacing w:val="-3"/>
          <w:sz w:val="20"/>
          <w:szCs w:val="20"/>
        </w:rPr>
        <w:t>c)</w:t>
      </w:r>
      <w:r w:rsidR="008C5B93" w:rsidRPr="009D520B">
        <w:rPr>
          <w:rFonts w:ascii="Verdana" w:hAnsi="Verdana"/>
          <w:i w:val="0"/>
          <w:iCs/>
          <w:spacing w:val="-3"/>
          <w:sz w:val="20"/>
          <w:szCs w:val="20"/>
        </w:rPr>
        <w:t xml:space="preserve"> </w:t>
      </w:r>
      <w:r w:rsidR="00BD49B9" w:rsidRPr="009D520B">
        <w:rPr>
          <w:rFonts w:ascii="Verdana" w:hAnsi="Verdana"/>
          <w:i w:val="0"/>
          <w:iCs/>
          <w:spacing w:val="-3"/>
          <w:sz w:val="20"/>
          <w:szCs w:val="20"/>
        </w:rPr>
        <w:t>sobre</w:t>
      </w:r>
      <w:r w:rsidR="007D21FC" w:rsidRPr="009D520B">
        <w:rPr>
          <w:rFonts w:ascii="Verdana" w:hAnsi="Verdana"/>
          <w:i w:val="0"/>
          <w:iCs/>
          <w:spacing w:val="-3"/>
          <w:sz w:val="20"/>
          <w:szCs w:val="20"/>
        </w:rPr>
        <w:t xml:space="preserve"> los hechos nuevos relacionados con el contexto político</w:t>
      </w:r>
      <w:r w:rsidR="00F7182D" w:rsidRPr="009D520B">
        <w:rPr>
          <w:rFonts w:ascii="Verdana" w:hAnsi="Verdana"/>
          <w:i w:val="0"/>
          <w:iCs/>
          <w:spacing w:val="-3"/>
          <w:sz w:val="20"/>
          <w:szCs w:val="20"/>
        </w:rPr>
        <w:t>.</w:t>
      </w:r>
    </w:p>
    <w:p w14:paraId="5717A5C2" w14:textId="5059E4CC" w:rsidR="00F7182D" w:rsidRPr="00351298" w:rsidRDefault="00E46366" w:rsidP="00F2066E">
      <w:pPr>
        <w:pStyle w:val="Ttulo2"/>
        <w:numPr>
          <w:ilvl w:val="0"/>
          <w:numId w:val="20"/>
        </w:numPr>
        <w:spacing w:before="240" w:after="240"/>
        <w:jc w:val="both"/>
        <w:rPr>
          <w:rFonts w:ascii="Verdana" w:hAnsi="Verdana"/>
          <w:i/>
          <w:sz w:val="20"/>
          <w:szCs w:val="20"/>
        </w:rPr>
      </w:pPr>
      <w:bookmarkStart w:id="39" w:name="_Toc132133889"/>
      <w:r>
        <w:rPr>
          <w:rFonts w:ascii="Verdana" w:hAnsi="Verdana"/>
          <w:b w:val="0"/>
          <w:bCs w:val="0"/>
          <w:i/>
          <w:color w:val="auto"/>
          <w:sz w:val="20"/>
          <w:szCs w:val="20"/>
        </w:rPr>
        <w:t>A</w:t>
      </w:r>
      <w:r w:rsidRPr="00E46366">
        <w:rPr>
          <w:rFonts w:ascii="Verdana" w:hAnsi="Verdana"/>
          <w:b w:val="0"/>
          <w:bCs w:val="0"/>
          <w:i/>
          <w:color w:val="auto"/>
          <w:sz w:val="20"/>
          <w:szCs w:val="20"/>
        </w:rPr>
        <w:t>legatos del Estado sobre la admisibilidad de las</w:t>
      </w:r>
      <w:r w:rsidR="00F7182D" w:rsidRPr="00351298">
        <w:rPr>
          <w:rFonts w:ascii="Verdana" w:hAnsi="Verdana"/>
          <w:b w:val="0"/>
          <w:bCs w:val="0"/>
          <w:i/>
          <w:color w:val="auto"/>
          <w:sz w:val="20"/>
          <w:szCs w:val="20"/>
        </w:rPr>
        <w:t xml:space="preserve"> violaciones a la </w:t>
      </w:r>
      <w:r w:rsidR="00F2066E">
        <w:rPr>
          <w:rFonts w:ascii="Verdana" w:hAnsi="Verdana"/>
          <w:b w:val="0"/>
          <w:bCs w:val="0"/>
          <w:i/>
          <w:color w:val="auto"/>
          <w:sz w:val="20"/>
          <w:szCs w:val="20"/>
        </w:rPr>
        <w:t>honra y dignidad</w:t>
      </w:r>
      <w:r w:rsidR="00F7182D" w:rsidRPr="00351298">
        <w:rPr>
          <w:rFonts w:ascii="Verdana" w:hAnsi="Verdana"/>
          <w:b w:val="0"/>
          <w:bCs w:val="0"/>
          <w:i/>
          <w:color w:val="auto"/>
          <w:sz w:val="20"/>
          <w:szCs w:val="20"/>
        </w:rPr>
        <w:t xml:space="preserve"> (artículo 11</w:t>
      </w:r>
      <w:r w:rsidR="00875291">
        <w:rPr>
          <w:rFonts w:ascii="Verdana" w:hAnsi="Verdana"/>
          <w:b w:val="0"/>
          <w:bCs w:val="0"/>
          <w:i/>
          <w:color w:val="auto"/>
          <w:sz w:val="20"/>
          <w:szCs w:val="20"/>
        </w:rPr>
        <w:t xml:space="preserve"> de la Convención Americana</w:t>
      </w:r>
      <w:r w:rsidR="00F7182D" w:rsidRPr="00351298">
        <w:rPr>
          <w:rFonts w:ascii="Verdana" w:hAnsi="Verdana"/>
          <w:b w:val="0"/>
          <w:bCs w:val="0"/>
          <w:i/>
          <w:color w:val="auto"/>
          <w:sz w:val="20"/>
          <w:szCs w:val="20"/>
        </w:rPr>
        <w:t>)</w:t>
      </w:r>
      <w:bookmarkEnd w:id="39"/>
    </w:p>
    <w:p w14:paraId="413EE51C" w14:textId="5D235260" w:rsidR="00F7182D" w:rsidRPr="00351298" w:rsidRDefault="00F7182D" w:rsidP="00F7182D">
      <w:pPr>
        <w:pStyle w:val="Ttulo3"/>
        <w:spacing w:before="240" w:after="240"/>
        <w:ind w:left="567"/>
        <w:jc w:val="both"/>
        <w:rPr>
          <w:rFonts w:ascii="Verdana" w:hAnsi="Verdana"/>
          <w:snapToGrid w:val="0"/>
          <w:spacing w:val="-2"/>
          <w:sz w:val="20"/>
          <w:szCs w:val="20"/>
          <w:lang w:eastAsia="es-ES"/>
        </w:rPr>
      </w:pPr>
      <w:bookmarkStart w:id="40" w:name="_Toc132133890"/>
      <w:r w:rsidRPr="00351298">
        <w:rPr>
          <w:rFonts w:ascii="Verdana" w:hAnsi="Verdana"/>
          <w:b w:val="0"/>
          <w:snapToGrid w:val="0"/>
          <w:spacing w:val="-2"/>
          <w:sz w:val="20"/>
          <w:szCs w:val="20"/>
          <w:lang w:eastAsia="es-ES"/>
        </w:rPr>
        <w:t>A.1. Alegatos de las partes y de la Comisión</w:t>
      </w:r>
      <w:bookmarkEnd w:id="40"/>
    </w:p>
    <w:p w14:paraId="24E830A6" w14:textId="4E0434E1" w:rsidR="00F7182D" w:rsidRPr="00351298" w:rsidRDefault="00F7182D" w:rsidP="00F7182D">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351298">
        <w:rPr>
          <w:rFonts w:ascii="Verdana" w:eastAsia="Cambria" w:hAnsi="Verdana" w:cs="Cambria"/>
          <w:i w:val="0"/>
          <w:iCs/>
          <w:sz w:val="20"/>
          <w:szCs w:val="20"/>
          <w:lang w:val="es-ES_tradnl"/>
        </w:rPr>
        <w:t xml:space="preserve">El </w:t>
      </w:r>
      <w:r w:rsidRPr="00351298">
        <w:rPr>
          <w:rFonts w:ascii="Verdana" w:eastAsia="Cambria" w:hAnsi="Verdana" w:cs="Cambria"/>
          <w:b/>
          <w:bCs/>
          <w:sz w:val="20"/>
          <w:szCs w:val="20"/>
          <w:lang w:val="es-ES_tradnl"/>
        </w:rPr>
        <w:t>Estado</w:t>
      </w:r>
      <w:r w:rsidRPr="00351298">
        <w:rPr>
          <w:rFonts w:ascii="Verdana" w:eastAsia="Cambria" w:hAnsi="Verdana" w:cs="Cambria"/>
          <w:i w:val="0"/>
          <w:iCs/>
          <w:sz w:val="20"/>
          <w:szCs w:val="20"/>
          <w:lang w:val="es-ES_tradnl"/>
        </w:rPr>
        <w:t xml:space="preserve"> consideró que la Corte no debería proceder con el análisis de las alegadas violaciones a</w:t>
      </w:r>
      <w:r w:rsidR="00A00FD3">
        <w:rPr>
          <w:rFonts w:ascii="Verdana" w:eastAsia="Cambria" w:hAnsi="Verdana" w:cs="Cambria"/>
          <w:i w:val="0"/>
          <w:iCs/>
          <w:sz w:val="20"/>
          <w:szCs w:val="20"/>
          <w:lang w:val="es-ES_tradnl"/>
        </w:rPr>
        <w:t xml:space="preserve">l artículo 11 de la Convención Americana </w:t>
      </w:r>
      <w:r w:rsidRPr="00351298">
        <w:rPr>
          <w:rFonts w:ascii="Verdana" w:eastAsia="Cambria" w:hAnsi="Verdana" w:cs="Cambria"/>
          <w:i w:val="0"/>
          <w:iCs/>
          <w:sz w:val="20"/>
          <w:szCs w:val="20"/>
          <w:lang w:val="es-ES_tradnl"/>
        </w:rPr>
        <w:t>en contra de Daniel García Rodríguez y Reyes Alpízar Ort</w:t>
      </w:r>
      <w:r w:rsidR="007250F1" w:rsidRPr="00351298">
        <w:rPr>
          <w:rFonts w:ascii="Verdana" w:eastAsia="Cambria" w:hAnsi="Verdana" w:cs="Cambria"/>
          <w:i w:val="0"/>
          <w:iCs/>
          <w:sz w:val="20"/>
          <w:szCs w:val="20"/>
          <w:lang w:val="es-ES_tradnl"/>
        </w:rPr>
        <w:t>i</w:t>
      </w:r>
      <w:r w:rsidRPr="00351298">
        <w:rPr>
          <w:rFonts w:ascii="Verdana" w:eastAsia="Cambria" w:hAnsi="Verdana" w:cs="Cambria"/>
          <w:i w:val="0"/>
          <w:iCs/>
          <w:sz w:val="20"/>
          <w:szCs w:val="20"/>
          <w:lang w:val="es-ES_tradnl"/>
        </w:rPr>
        <w:t>z, acerca de las cuales la Comisión no había encontrado elementos para una probable responsabilidad del Estado mexicano.</w:t>
      </w:r>
    </w:p>
    <w:p w14:paraId="7A9F2319" w14:textId="46C4E0B7" w:rsidR="00F7182D" w:rsidRPr="009D520B" w:rsidRDefault="00F2066E" w:rsidP="00F7182D">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eastAsia="Cambria" w:hAnsi="Verdana" w:cs="Cambria"/>
          <w:i w:val="0"/>
          <w:iCs/>
          <w:sz w:val="20"/>
          <w:szCs w:val="20"/>
          <w:lang w:val="es-ES_tradnl"/>
        </w:rPr>
        <w:t xml:space="preserve">La </w:t>
      </w:r>
      <w:r w:rsidRPr="009D520B">
        <w:rPr>
          <w:rFonts w:ascii="Verdana" w:eastAsia="Cambria" w:hAnsi="Verdana" w:cs="Cambria"/>
          <w:b/>
          <w:bCs/>
          <w:sz w:val="20"/>
          <w:szCs w:val="20"/>
          <w:lang w:val="es-ES_tradnl"/>
        </w:rPr>
        <w:t>Comisión</w:t>
      </w:r>
      <w:r w:rsidRPr="009D520B">
        <w:rPr>
          <w:rFonts w:ascii="Verdana" w:eastAsia="Cambria" w:hAnsi="Verdana" w:cs="Cambria"/>
          <w:i w:val="0"/>
          <w:iCs/>
          <w:sz w:val="20"/>
          <w:szCs w:val="20"/>
          <w:lang w:val="es-ES_tradnl"/>
        </w:rPr>
        <w:t xml:space="preserve"> y los </w:t>
      </w:r>
      <w:r w:rsidRPr="009D520B">
        <w:rPr>
          <w:rFonts w:ascii="Verdana" w:eastAsia="Cambria" w:hAnsi="Verdana" w:cs="Cambria"/>
          <w:b/>
          <w:bCs/>
          <w:sz w:val="20"/>
          <w:szCs w:val="20"/>
          <w:lang w:val="es-ES_tradnl"/>
        </w:rPr>
        <w:t>representantes</w:t>
      </w:r>
      <w:r w:rsidRPr="009D520B">
        <w:rPr>
          <w:rFonts w:ascii="Verdana" w:eastAsia="Cambria" w:hAnsi="Verdana" w:cs="Cambria"/>
          <w:i w:val="0"/>
          <w:iCs/>
          <w:sz w:val="20"/>
          <w:szCs w:val="20"/>
          <w:lang w:val="es-ES_tradnl"/>
        </w:rPr>
        <w:t xml:space="preserve"> recordaron que los representantes tienen autonomía respecto del informe de admisibilidad y del informe de fondo para formular alegaciones sobre diversas violaciones a derechos humanos, siempre y cuando estas se basen en el marco fáctico del </w:t>
      </w:r>
      <w:r>
        <w:rPr>
          <w:rFonts w:ascii="Verdana" w:eastAsia="Cambria" w:hAnsi="Verdana" w:cs="Cambria"/>
          <w:i w:val="0"/>
          <w:iCs/>
          <w:sz w:val="20"/>
          <w:szCs w:val="20"/>
          <w:lang w:val="es-ES_tradnl"/>
        </w:rPr>
        <w:t>I</w:t>
      </w:r>
      <w:r w:rsidRPr="009D520B">
        <w:rPr>
          <w:rFonts w:ascii="Verdana" w:eastAsia="Cambria" w:hAnsi="Verdana" w:cs="Cambria"/>
          <w:i w:val="0"/>
          <w:iCs/>
          <w:sz w:val="20"/>
          <w:szCs w:val="20"/>
          <w:lang w:val="es-ES_tradnl"/>
        </w:rPr>
        <w:t xml:space="preserve">nforme de </w:t>
      </w:r>
      <w:r>
        <w:rPr>
          <w:rFonts w:ascii="Verdana" w:eastAsia="Cambria" w:hAnsi="Verdana" w:cs="Cambria"/>
          <w:i w:val="0"/>
          <w:iCs/>
          <w:sz w:val="20"/>
          <w:szCs w:val="20"/>
          <w:lang w:val="es-ES_tradnl"/>
        </w:rPr>
        <w:t>F</w:t>
      </w:r>
      <w:r w:rsidRPr="009D520B">
        <w:rPr>
          <w:rFonts w:ascii="Verdana" w:eastAsia="Cambria" w:hAnsi="Verdana" w:cs="Cambria"/>
          <w:i w:val="0"/>
          <w:iCs/>
          <w:sz w:val="20"/>
          <w:szCs w:val="20"/>
          <w:lang w:val="es-ES_tradnl"/>
        </w:rPr>
        <w:t xml:space="preserve">ondo. Entendieron que los hechos invocados como violatorios del artículo 11 de la Convención </w:t>
      </w:r>
      <w:r>
        <w:rPr>
          <w:rFonts w:ascii="Verdana" w:eastAsia="Cambria" w:hAnsi="Verdana" w:cs="Cambria"/>
          <w:i w:val="0"/>
          <w:iCs/>
          <w:sz w:val="20"/>
          <w:szCs w:val="20"/>
          <w:lang w:val="es-ES_tradnl"/>
        </w:rPr>
        <w:t xml:space="preserve">Americana </w:t>
      </w:r>
      <w:r w:rsidRPr="009D520B">
        <w:rPr>
          <w:rFonts w:ascii="Verdana" w:eastAsia="Cambria" w:hAnsi="Verdana" w:cs="Cambria"/>
          <w:i w:val="0"/>
          <w:iCs/>
          <w:sz w:val="20"/>
          <w:szCs w:val="20"/>
          <w:lang w:val="es-ES_tradnl"/>
        </w:rPr>
        <w:t>se encuentran incluidos dentro del marco fáctico del caso, tal como fue desarrollado en el Informe de Fondo No. 13/20</w:t>
      </w:r>
      <w:r w:rsidR="00F7182D" w:rsidRPr="009D520B">
        <w:rPr>
          <w:rFonts w:ascii="Verdana" w:eastAsia="Cambria" w:hAnsi="Verdana" w:cs="Cambria"/>
          <w:i w:val="0"/>
          <w:iCs/>
          <w:sz w:val="20"/>
          <w:szCs w:val="20"/>
          <w:lang w:val="es-ES_tradnl"/>
        </w:rPr>
        <w:t>.</w:t>
      </w:r>
    </w:p>
    <w:p w14:paraId="4BAA1334" w14:textId="26C7B1CF" w:rsidR="00F7182D" w:rsidRPr="00351298" w:rsidRDefault="00F7182D" w:rsidP="00F7182D">
      <w:pPr>
        <w:pStyle w:val="Ttulo3"/>
        <w:spacing w:before="240" w:after="240"/>
        <w:ind w:left="567"/>
        <w:jc w:val="both"/>
        <w:rPr>
          <w:rFonts w:ascii="Verdana" w:hAnsi="Verdana"/>
          <w:snapToGrid w:val="0"/>
          <w:spacing w:val="-2"/>
          <w:sz w:val="20"/>
          <w:szCs w:val="20"/>
          <w:lang w:eastAsia="es-ES"/>
        </w:rPr>
      </w:pPr>
      <w:bookmarkStart w:id="41" w:name="_Toc132133891"/>
      <w:r w:rsidRPr="00351298">
        <w:rPr>
          <w:rFonts w:ascii="Verdana" w:hAnsi="Verdana"/>
          <w:b w:val="0"/>
          <w:snapToGrid w:val="0"/>
          <w:spacing w:val="-2"/>
          <w:sz w:val="20"/>
          <w:szCs w:val="20"/>
          <w:lang w:eastAsia="es-ES"/>
        </w:rPr>
        <w:t>A.2. Consideraciones de la Corte</w:t>
      </w:r>
      <w:bookmarkEnd w:id="41"/>
    </w:p>
    <w:p w14:paraId="56813464" w14:textId="52AB8C3E" w:rsidR="0052289C" w:rsidRPr="009D520B" w:rsidRDefault="00F7182D" w:rsidP="0052289C">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6E159DF8">
        <w:rPr>
          <w:rFonts w:ascii="Verdana" w:hAnsi="Verdana"/>
          <w:i w:val="0"/>
          <w:sz w:val="20"/>
          <w:szCs w:val="20"/>
          <w:lang w:val="es-CR"/>
        </w:rPr>
        <w:t>Con relación a lo anterior, el Tribunal recuerda su jurisprudencia constante según la cual las presuntas víctimas y sus representantes pueden invocar la violación de derechos distintos a los comprendidos en el Informe de Fondo, siempre que se mantengan dentro del marco fáctico definido por la Comisión</w:t>
      </w:r>
      <w:r w:rsidRPr="6E159DF8">
        <w:rPr>
          <w:rStyle w:val="Refdenotaalpie"/>
          <w:rFonts w:ascii="Verdana" w:hAnsi="Verdana"/>
          <w:i w:val="0"/>
          <w:sz w:val="20"/>
          <w:lang w:val="es-CR"/>
        </w:rPr>
        <w:footnoteReference w:id="40"/>
      </w:r>
      <w:r w:rsidRPr="6E159DF8">
        <w:rPr>
          <w:rFonts w:ascii="Verdana" w:hAnsi="Verdana"/>
          <w:i w:val="0"/>
          <w:sz w:val="20"/>
          <w:szCs w:val="20"/>
          <w:lang w:val="es-CR"/>
        </w:rPr>
        <w:t xml:space="preserve">. En el presente caso, el marco fáctico </w:t>
      </w:r>
      <w:r w:rsidR="00A64F91" w:rsidRPr="6E159DF8">
        <w:rPr>
          <w:rFonts w:ascii="Verdana" w:hAnsi="Verdana"/>
          <w:i w:val="0"/>
          <w:sz w:val="20"/>
          <w:szCs w:val="20"/>
          <w:lang w:val="es-CR"/>
        </w:rPr>
        <w:t xml:space="preserve">incluye </w:t>
      </w:r>
      <w:r w:rsidRPr="6E159DF8">
        <w:rPr>
          <w:rFonts w:ascii="Verdana" w:hAnsi="Verdana"/>
          <w:i w:val="0"/>
          <w:sz w:val="20"/>
          <w:szCs w:val="20"/>
          <w:lang w:val="es-CR"/>
        </w:rPr>
        <w:t xml:space="preserve">los hechos </w:t>
      </w:r>
      <w:r w:rsidR="009146A9" w:rsidRPr="6E159DF8">
        <w:rPr>
          <w:rFonts w:ascii="Verdana" w:hAnsi="Verdana"/>
          <w:i w:val="0"/>
          <w:sz w:val="20"/>
          <w:szCs w:val="20"/>
          <w:lang w:val="es-CR"/>
        </w:rPr>
        <w:t>que sustentan las alegadas violaciones al derech</w:t>
      </w:r>
      <w:r w:rsidR="00D12327" w:rsidRPr="6E159DF8">
        <w:rPr>
          <w:rFonts w:ascii="Verdana" w:hAnsi="Verdana"/>
          <w:i w:val="0"/>
          <w:sz w:val="20"/>
          <w:szCs w:val="20"/>
          <w:lang w:val="es-CR"/>
        </w:rPr>
        <w:t>o</w:t>
      </w:r>
      <w:r w:rsidR="009146A9" w:rsidRPr="6E159DF8">
        <w:rPr>
          <w:rFonts w:ascii="Verdana" w:hAnsi="Verdana"/>
          <w:i w:val="0"/>
          <w:sz w:val="20"/>
          <w:szCs w:val="20"/>
          <w:lang w:val="es-CR"/>
        </w:rPr>
        <w:t xml:space="preserve"> a la </w:t>
      </w:r>
      <w:r w:rsidR="00F2066E">
        <w:rPr>
          <w:rFonts w:ascii="Verdana" w:hAnsi="Verdana"/>
          <w:i w:val="0"/>
          <w:sz w:val="20"/>
          <w:szCs w:val="20"/>
          <w:lang w:val="es-CR"/>
        </w:rPr>
        <w:t>honra y dignidad</w:t>
      </w:r>
      <w:r w:rsidR="009146A9" w:rsidRPr="6E159DF8">
        <w:rPr>
          <w:rFonts w:ascii="Verdana" w:hAnsi="Verdana"/>
          <w:i w:val="0"/>
          <w:sz w:val="20"/>
          <w:szCs w:val="20"/>
          <w:lang w:val="es-CR"/>
        </w:rPr>
        <w:t xml:space="preserve">, contenido en el artículo 11 de la Convención Americana, </w:t>
      </w:r>
      <w:r w:rsidRPr="6E159DF8">
        <w:rPr>
          <w:rFonts w:ascii="Verdana" w:hAnsi="Verdana"/>
          <w:i w:val="0"/>
          <w:sz w:val="20"/>
          <w:szCs w:val="20"/>
          <w:lang w:val="es-CR"/>
        </w:rPr>
        <w:t>en perjuicio de las presuntas víctimas, en consecuencia, el alegato del Estado resulta improcedente</w:t>
      </w:r>
      <w:r w:rsidR="00817812" w:rsidRPr="6E159DF8">
        <w:rPr>
          <w:rStyle w:val="Refdenotaalpie"/>
          <w:rFonts w:ascii="Verdana" w:hAnsi="Verdana"/>
          <w:i w:val="0"/>
          <w:sz w:val="20"/>
          <w:lang w:val="es-CR"/>
        </w:rPr>
        <w:footnoteReference w:id="41"/>
      </w:r>
      <w:r w:rsidR="00204975" w:rsidRPr="6E159DF8">
        <w:rPr>
          <w:rFonts w:ascii="Verdana" w:hAnsi="Verdana"/>
          <w:i w:val="0"/>
          <w:sz w:val="20"/>
          <w:szCs w:val="20"/>
          <w:lang w:val="es-CR"/>
        </w:rPr>
        <w:t xml:space="preserve">. </w:t>
      </w:r>
    </w:p>
    <w:p w14:paraId="6941436F" w14:textId="74375941" w:rsidR="004E0FD5" w:rsidRPr="00351298" w:rsidRDefault="004E0FD5" w:rsidP="00D73463">
      <w:pPr>
        <w:pStyle w:val="Ttulo2"/>
        <w:numPr>
          <w:ilvl w:val="0"/>
          <w:numId w:val="20"/>
        </w:numPr>
        <w:spacing w:before="240" w:after="240"/>
        <w:rPr>
          <w:rFonts w:ascii="Verdana" w:hAnsi="Verdana"/>
          <w:sz w:val="20"/>
          <w:szCs w:val="20"/>
        </w:rPr>
      </w:pPr>
      <w:bookmarkStart w:id="42" w:name="_Toc132133892"/>
      <w:r w:rsidRPr="00351298">
        <w:rPr>
          <w:rFonts w:ascii="Verdana" w:hAnsi="Verdana"/>
          <w:b w:val="0"/>
          <w:bCs w:val="0"/>
          <w:i/>
          <w:color w:val="auto"/>
          <w:sz w:val="20"/>
          <w:szCs w:val="20"/>
        </w:rPr>
        <w:t>Determinación de las posibles víctimas</w:t>
      </w:r>
      <w:bookmarkEnd w:id="42"/>
    </w:p>
    <w:p w14:paraId="07C4DE55" w14:textId="65632B07" w:rsidR="004E0FD5" w:rsidRPr="009D520B" w:rsidRDefault="00D25F3D" w:rsidP="00D73463">
      <w:pPr>
        <w:pStyle w:val="Ttulo3"/>
        <w:spacing w:before="240" w:after="240"/>
        <w:ind w:left="567"/>
        <w:jc w:val="both"/>
        <w:rPr>
          <w:rFonts w:ascii="Verdana" w:hAnsi="Verdana"/>
          <w:snapToGrid w:val="0"/>
          <w:spacing w:val="-2"/>
          <w:sz w:val="20"/>
          <w:szCs w:val="20"/>
          <w:lang w:eastAsia="es-ES"/>
        </w:rPr>
      </w:pPr>
      <w:bookmarkStart w:id="43" w:name="_Toc132133893"/>
      <w:r w:rsidRPr="00351298">
        <w:rPr>
          <w:rFonts w:ascii="Verdana" w:hAnsi="Verdana"/>
          <w:b w:val="0"/>
          <w:snapToGrid w:val="0"/>
          <w:spacing w:val="-2"/>
          <w:sz w:val="20"/>
          <w:szCs w:val="20"/>
          <w:lang w:eastAsia="es-ES"/>
        </w:rPr>
        <w:t>B</w:t>
      </w:r>
      <w:r w:rsidR="004E0FD5" w:rsidRPr="00351298">
        <w:rPr>
          <w:rFonts w:ascii="Verdana" w:hAnsi="Verdana"/>
          <w:b w:val="0"/>
          <w:snapToGrid w:val="0"/>
          <w:spacing w:val="-2"/>
          <w:sz w:val="20"/>
          <w:szCs w:val="20"/>
          <w:lang w:eastAsia="es-ES"/>
        </w:rPr>
        <w:t xml:space="preserve">.1. Alegatos de </w:t>
      </w:r>
      <w:r w:rsidR="004E0FD5" w:rsidRPr="009D520B">
        <w:rPr>
          <w:rFonts w:ascii="Verdana" w:hAnsi="Verdana"/>
          <w:b w:val="0"/>
          <w:snapToGrid w:val="0"/>
          <w:spacing w:val="-2"/>
          <w:sz w:val="20"/>
          <w:szCs w:val="20"/>
          <w:lang w:eastAsia="es-ES"/>
        </w:rPr>
        <w:t>las par</w:t>
      </w:r>
      <w:r w:rsidR="003F64D7" w:rsidRPr="009D520B">
        <w:rPr>
          <w:rFonts w:ascii="Verdana" w:hAnsi="Verdana"/>
          <w:b w:val="0"/>
          <w:snapToGrid w:val="0"/>
          <w:spacing w:val="-2"/>
          <w:sz w:val="20"/>
          <w:szCs w:val="20"/>
          <w:lang w:eastAsia="es-ES"/>
        </w:rPr>
        <w:t>tes</w:t>
      </w:r>
      <w:r w:rsidR="004E0FD5" w:rsidRPr="009D520B">
        <w:rPr>
          <w:rFonts w:ascii="Verdana" w:hAnsi="Verdana"/>
          <w:b w:val="0"/>
          <w:snapToGrid w:val="0"/>
          <w:spacing w:val="-2"/>
          <w:sz w:val="20"/>
          <w:szCs w:val="20"/>
          <w:lang w:eastAsia="es-ES"/>
        </w:rPr>
        <w:t xml:space="preserve"> y de la Comisión</w:t>
      </w:r>
      <w:bookmarkEnd w:id="43"/>
      <w:r w:rsidR="004E0FD5" w:rsidRPr="009D520B">
        <w:rPr>
          <w:rFonts w:ascii="Verdana" w:hAnsi="Verdana"/>
          <w:b w:val="0"/>
          <w:snapToGrid w:val="0"/>
          <w:spacing w:val="-2"/>
          <w:sz w:val="20"/>
          <w:szCs w:val="20"/>
          <w:lang w:eastAsia="es-ES"/>
        </w:rPr>
        <w:t xml:space="preserve"> </w:t>
      </w:r>
    </w:p>
    <w:p w14:paraId="269210A9" w14:textId="6C5AE8FA" w:rsidR="004E0FD5" w:rsidRPr="009D520B" w:rsidRDefault="004E0FD5" w:rsidP="004E0FD5">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eastAsia="Cambria" w:hAnsi="Verdana" w:cs="Cambria"/>
          <w:i w:val="0"/>
          <w:iCs/>
          <w:sz w:val="20"/>
          <w:szCs w:val="20"/>
          <w:lang w:val="es-ES_tradnl"/>
        </w:rPr>
        <w:t xml:space="preserve">El </w:t>
      </w:r>
      <w:r w:rsidRPr="009D520B">
        <w:rPr>
          <w:rFonts w:ascii="Verdana" w:eastAsia="Cambria" w:hAnsi="Verdana" w:cs="Cambria"/>
          <w:b/>
          <w:bCs/>
          <w:sz w:val="20"/>
          <w:szCs w:val="20"/>
          <w:lang w:val="es-ES_tradnl"/>
        </w:rPr>
        <w:t>Estado</w:t>
      </w:r>
      <w:r w:rsidRPr="009D520B">
        <w:rPr>
          <w:rFonts w:ascii="Verdana" w:eastAsia="Cambria" w:hAnsi="Verdana" w:cs="Cambria"/>
          <w:i w:val="0"/>
          <w:iCs/>
          <w:sz w:val="20"/>
          <w:szCs w:val="20"/>
          <w:lang w:val="es-ES_tradnl"/>
        </w:rPr>
        <w:t xml:space="preserve"> solicitó </w:t>
      </w:r>
      <w:r w:rsidR="00875291">
        <w:rPr>
          <w:rFonts w:ascii="Verdana" w:eastAsia="Cambria" w:hAnsi="Verdana" w:cs="Cambria"/>
          <w:i w:val="0"/>
          <w:iCs/>
          <w:sz w:val="20"/>
          <w:szCs w:val="20"/>
          <w:lang w:val="es-ES_tradnl"/>
        </w:rPr>
        <w:t>a</w:t>
      </w:r>
      <w:r w:rsidR="00875291" w:rsidRPr="009D520B">
        <w:rPr>
          <w:rFonts w:ascii="Verdana" w:eastAsia="Cambria" w:hAnsi="Verdana" w:cs="Cambria"/>
          <w:i w:val="0"/>
          <w:iCs/>
          <w:sz w:val="20"/>
          <w:szCs w:val="20"/>
          <w:lang w:val="es-ES_tradnl"/>
        </w:rPr>
        <w:t xml:space="preserve"> </w:t>
      </w:r>
      <w:r w:rsidRPr="009D520B">
        <w:rPr>
          <w:rFonts w:ascii="Verdana" w:eastAsia="Cambria" w:hAnsi="Verdana" w:cs="Cambria"/>
          <w:i w:val="0"/>
          <w:iCs/>
          <w:sz w:val="20"/>
          <w:szCs w:val="20"/>
          <w:lang w:val="es-ES_tradnl"/>
        </w:rPr>
        <w:t xml:space="preserve">la Corte </w:t>
      </w:r>
      <w:r w:rsidR="00875291">
        <w:rPr>
          <w:rFonts w:ascii="Verdana" w:eastAsia="Cambria" w:hAnsi="Verdana" w:cs="Cambria"/>
          <w:i w:val="0"/>
          <w:iCs/>
          <w:sz w:val="20"/>
          <w:szCs w:val="20"/>
          <w:lang w:val="es-ES_tradnl"/>
        </w:rPr>
        <w:t xml:space="preserve">que </w:t>
      </w:r>
      <w:r w:rsidRPr="009D520B">
        <w:rPr>
          <w:rFonts w:ascii="Verdana" w:eastAsia="Cambria" w:hAnsi="Verdana" w:cs="Cambria"/>
          <w:i w:val="0"/>
          <w:iCs/>
          <w:sz w:val="20"/>
          <w:szCs w:val="20"/>
          <w:lang w:val="es-ES_tradnl"/>
        </w:rPr>
        <w:t>no proceda con el estudio de las violaciones alegadas por los representantes, en perjuicio de las personas que la Comisión no identificó como víctimas del caso</w:t>
      </w:r>
      <w:r w:rsidR="00875291">
        <w:rPr>
          <w:rFonts w:ascii="Verdana" w:eastAsia="Cambria" w:hAnsi="Verdana" w:cs="Cambria"/>
          <w:i w:val="0"/>
          <w:iCs/>
          <w:sz w:val="20"/>
          <w:szCs w:val="20"/>
          <w:lang w:val="es-ES_tradnl"/>
        </w:rPr>
        <w:t xml:space="preserve"> en el Informe de Fondo</w:t>
      </w:r>
      <w:r w:rsidRPr="009D520B">
        <w:rPr>
          <w:rFonts w:ascii="Verdana" w:eastAsia="Cambria" w:hAnsi="Verdana" w:cs="Cambria"/>
          <w:i w:val="0"/>
          <w:iCs/>
          <w:sz w:val="20"/>
          <w:szCs w:val="20"/>
          <w:lang w:val="es-ES_tradnl"/>
        </w:rPr>
        <w:t xml:space="preserve">. </w:t>
      </w:r>
      <w:r w:rsidR="00D25F3D" w:rsidRPr="009D520B">
        <w:rPr>
          <w:rFonts w:ascii="Verdana" w:eastAsia="Cambria" w:hAnsi="Verdana" w:cs="Cambria"/>
          <w:i w:val="0"/>
          <w:iCs/>
          <w:sz w:val="20"/>
          <w:szCs w:val="20"/>
          <w:lang w:val="es-ES_tradnl"/>
        </w:rPr>
        <w:t>Se refirió en particular a</w:t>
      </w:r>
      <w:r w:rsidRPr="009D520B">
        <w:rPr>
          <w:rFonts w:ascii="Verdana" w:eastAsia="Cambria" w:hAnsi="Verdana" w:cs="Cambria"/>
          <w:i w:val="0"/>
          <w:iCs/>
          <w:sz w:val="20"/>
          <w:szCs w:val="20"/>
          <w:lang w:val="es-ES_tradnl"/>
        </w:rPr>
        <w:t xml:space="preserve">l examen de las posibles violaciones al derecho a la integridad personal, honra y dignidad de los familiares de </w:t>
      </w:r>
      <w:r w:rsidR="00D25F3D" w:rsidRPr="009D520B">
        <w:rPr>
          <w:rFonts w:ascii="Verdana" w:eastAsia="Cambria" w:hAnsi="Verdana" w:cs="Cambria"/>
          <w:i w:val="0"/>
          <w:iCs/>
          <w:sz w:val="20"/>
          <w:szCs w:val="20"/>
          <w:lang w:val="es-ES_tradnl"/>
        </w:rPr>
        <w:t>las presuntas víctimas</w:t>
      </w:r>
      <w:r w:rsidRPr="009D520B">
        <w:rPr>
          <w:rFonts w:ascii="Verdana" w:eastAsia="Cambria" w:hAnsi="Verdana" w:cs="Cambria"/>
          <w:i w:val="0"/>
          <w:iCs/>
          <w:sz w:val="20"/>
          <w:szCs w:val="20"/>
          <w:lang w:val="es-ES_tradnl"/>
        </w:rPr>
        <w:t xml:space="preserve"> peticionarios, y de las posibles violaciones a los derechos de libertad personal, garantías y protección judiciales de Isaías García Godínez, Martín Moreno Rodríguez y Elvia Moreno Rodríguez.</w:t>
      </w:r>
    </w:p>
    <w:p w14:paraId="4C95FC8F" w14:textId="7ADBFB43" w:rsidR="004E0FD5" w:rsidRPr="00351298" w:rsidRDefault="00F2066E" w:rsidP="004E0FD5">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eastAsia="Cambria" w:hAnsi="Verdana" w:cs="Cambria"/>
          <w:i w:val="0"/>
          <w:iCs/>
          <w:sz w:val="20"/>
          <w:szCs w:val="20"/>
          <w:lang w:val="es-ES_tradnl"/>
        </w:rPr>
        <w:t xml:space="preserve">Los </w:t>
      </w:r>
      <w:r w:rsidRPr="00D04822">
        <w:rPr>
          <w:rFonts w:ascii="Verdana" w:eastAsia="Cambria" w:hAnsi="Verdana" w:cs="Cambria"/>
          <w:b/>
          <w:bCs/>
          <w:sz w:val="20"/>
          <w:szCs w:val="20"/>
          <w:lang w:val="es-ES_tradnl"/>
        </w:rPr>
        <w:t>representantes</w:t>
      </w:r>
      <w:r w:rsidRPr="009D520B">
        <w:rPr>
          <w:rFonts w:ascii="Verdana" w:eastAsia="Cambria" w:hAnsi="Verdana" w:cs="Cambria"/>
          <w:i w:val="0"/>
          <w:iCs/>
          <w:sz w:val="20"/>
          <w:szCs w:val="20"/>
          <w:lang w:val="es-ES_tradnl"/>
        </w:rPr>
        <w:t xml:space="preserve"> indicaron que la exclusión de dichas víctimas se debió a un error </w:t>
      </w:r>
      <w:r w:rsidRPr="009D520B">
        <w:rPr>
          <w:rFonts w:ascii="Verdana" w:eastAsia="Cambria" w:hAnsi="Verdana" w:cs="Cambria"/>
          <w:i w:val="0"/>
          <w:iCs/>
          <w:sz w:val="20"/>
          <w:szCs w:val="20"/>
          <w:lang w:val="es-ES_tradnl"/>
        </w:rPr>
        <w:lastRenderedPageBreak/>
        <w:t xml:space="preserve">material de la Comisión; consideraron que, en el presente caso, concurren los requisitos para que estas sean consideradas como víctimas. Asimismo, solicitaron a la Corte efectuar un control de las decisiones de ese órgano relacionadas con las presuntas víctimas del caso. Además, indicaron que la exclusión de </w:t>
      </w:r>
      <w:r>
        <w:rPr>
          <w:rFonts w:ascii="Verdana" w:eastAsia="Cambria" w:hAnsi="Verdana" w:cs="Cambria"/>
          <w:i w:val="0"/>
          <w:iCs/>
          <w:sz w:val="20"/>
          <w:szCs w:val="20"/>
          <w:lang w:val="es-ES_tradnl"/>
        </w:rPr>
        <w:t xml:space="preserve">presuntas </w:t>
      </w:r>
      <w:r w:rsidRPr="009D520B">
        <w:rPr>
          <w:rFonts w:ascii="Verdana" w:eastAsia="Cambria" w:hAnsi="Verdana" w:cs="Cambria"/>
          <w:i w:val="0"/>
          <w:iCs/>
          <w:sz w:val="20"/>
          <w:szCs w:val="20"/>
          <w:lang w:val="es-ES_tradnl"/>
        </w:rPr>
        <w:t xml:space="preserve">víctimas en el Informe de Fondo no impide </w:t>
      </w:r>
      <w:r>
        <w:rPr>
          <w:rFonts w:ascii="Verdana" w:eastAsia="Cambria" w:hAnsi="Verdana" w:cs="Cambria"/>
          <w:i w:val="0"/>
          <w:iCs/>
          <w:sz w:val="20"/>
          <w:szCs w:val="20"/>
          <w:lang w:val="es-ES_tradnl"/>
        </w:rPr>
        <w:t>que las mismas sean consideradas</w:t>
      </w:r>
      <w:r w:rsidRPr="009D520B">
        <w:rPr>
          <w:rFonts w:ascii="Verdana" w:eastAsia="Cambria" w:hAnsi="Verdana" w:cs="Cambria"/>
          <w:i w:val="0"/>
          <w:iCs/>
          <w:sz w:val="20"/>
          <w:szCs w:val="20"/>
          <w:lang w:val="es-ES_tradnl"/>
        </w:rPr>
        <w:t xml:space="preserve"> como tales en el procedimiento ante la Corte. En adición, se refirieron a la posibilidad de reconocimiento de otras </w:t>
      </w:r>
      <w:r>
        <w:rPr>
          <w:rFonts w:ascii="Verdana" w:eastAsia="Cambria" w:hAnsi="Verdana" w:cs="Cambria"/>
          <w:i w:val="0"/>
          <w:iCs/>
          <w:sz w:val="20"/>
          <w:szCs w:val="20"/>
          <w:lang w:val="es-ES_tradnl"/>
        </w:rPr>
        <w:t xml:space="preserve">presuntas </w:t>
      </w:r>
      <w:r w:rsidRPr="009D520B">
        <w:rPr>
          <w:rFonts w:ascii="Verdana" w:eastAsia="Cambria" w:hAnsi="Verdana" w:cs="Cambria"/>
          <w:i w:val="0"/>
          <w:iCs/>
          <w:sz w:val="20"/>
          <w:szCs w:val="20"/>
          <w:lang w:val="es-ES_tradnl"/>
        </w:rPr>
        <w:t xml:space="preserve">víctimas </w:t>
      </w:r>
      <w:r w:rsidRPr="009D520B">
        <w:rPr>
          <w:rFonts w:ascii="Verdana" w:eastAsia="Cambria" w:hAnsi="Verdana" w:cs="Cambria"/>
          <w:sz w:val="20"/>
          <w:szCs w:val="20"/>
          <w:lang w:val="es-ES_tradnl"/>
        </w:rPr>
        <w:t xml:space="preserve">motu proprio </w:t>
      </w:r>
      <w:r w:rsidRPr="009D520B">
        <w:rPr>
          <w:rFonts w:ascii="Verdana" w:eastAsia="Cambria" w:hAnsi="Verdana" w:cs="Cambria"/>
          <w:i w:val="0"/>
          <w:iCs/>
          <w:sz w:val="20"/>
          <w:szCs w:val="20"/>
          <w:lang w:val="es-ES_tradnl"/>
        </w:rPr>
        <w:t>por el Estado mexicano, lo cual se podría dar</w:t>
      </w:r>
      <w:r w:rsidRPr="00351298">
        <w:rPr>
          <w:rFonts w:ascii="Verdana" w:eastAsia="Cambria" w:hAnsi="Verdana" w:cs="Cambria"/>
          <w:i w:val="0"/>
          <w:iCs/>
          <w:sz w:val="20"/>
          <w:szCs w:val="20"/>
          <w:lang w:val="es-ES_tradnl"/>
        </w:rPr>
        <w:t xml:space="preserve"> como resultado de las diversas reuniones de diálogo y acercamiento, entre los representantes y el Estado, con la finalidad de avanzar en la construcción de diversos acuerdos relacionados con la sustanciación del caso. La </w:t>
      </w:r>
      <w:r w:rsidRPr="00351298">
        <w:rPr>
          <w:rFonts w:ascii="Verdana" w:eastAsia="Cambria" w:hAnsi="Verdana" w:cs="Cambria"/>
          <w:b/>
          <w:bCs/>
          <w:sz w:val="20"/>
          <w:szCs w:val="20"/>
          <w:lang w:val="es-ES_tradnl"/>
        </w:rPr>
        <w:t>Comisión</w:t>
      </w:r>
      <w:r w:rsidRPr="00351298">
        <w:rPr>
          <w:rFonts w:ascii="Verdana" w:eastAsia="Cambria" w:hAnsi="Verdana" w:cs="Cambria"/>
          <w:i w:val="0"/>
          <w:iCs/>
          <w:sz w:val="20"/>
          <w:szCs w:val="20"/>
          <w:lang w:val="es-ES_tradnl"/>
        </w:rPr>
        <w:t xml:space="preserve"> no presentó alegatos sobre este punto</w:t>
      </w:r>
      <w:r w:rsidR="00D25F3D" w:rsidRPr="00351298">
        <w:rPr>
          <w:rFonts w:ascii="Verdana" w:eastAsia="Cambria" w:hAnsi="Verdana" w:cs="Cambria"/>
          <w:i w:val="0"/>
          <w:iCs/>
          <w:sz w:val="20"/>
          <w:szCs w:val="20"/>
          <w:lang w:val="es-ES_tradnl"/>
        </w:rPr>
        <w:t>.</w:t>
      </w:r>
    </w:p>
    <w:p w14:paraId="3106D9A2" w14:textId="7A2C648A" w:rsidR="004E0FD5" w:rsidRPr="00351298" w:rsidRDefault="00D25F3D" w:rsidP="00D73463">
      <w:pPr>
        <w:pStyle w:val="Ttulo3"/>
        <w:spacing w:before="240" w:after="240"/>
        <w:ind w:left="567"/>
        <w:jc w:val="both"/>
        <w:rPr>
          <w:rFonts w:ascii="Verdana" w:hAnsi="Verdana"/>
          <w:snapToGrid w:val="0"/>
          <w:spacing w:val="-2"/>
          <w:sz w:val="20"/>
          <w:szCs w:val="20"/>
          <w:lang w:eastAsia="es-ES"/>
        </w:rPr>
      </w:pPr>
      <w:bookmarkStart w:id="44" w:name="_Toc132133894"/>
      <w:r w:rsidRPr="00351298">
        <w:rPr>
          <w:rFonts w:ascii="Verdana" w:hAnsi="Verdana"/>
          <w:b w:val="0"/>
          <w:snapToGrid w:val="0"/>
          <w:spacing w:val="-2"/>
          <w:sz w:val="20"/>
          <w:szCs w:val="20"/>
          <w:lang w:eastAsia="es-ES"/>
        </w:rPr>
        <w:t>B</w:t>
      </w:r>
      <w:r w:rsidR="004E0FD5" w:rsidRPr="00351298">
        <w:rPr>
          <w:rFonts w:ascii="Verdana" w:hAnsi="Verdana"/>
          <w:b w:val="0"/>
          <w:snapToGrid w:val="0"/>
          <w:spacing w:val="-2"/>
          <w:sz w:val="20"/>
          <w:szCs w:val="20"/>
          <w:lang w:eastAsia="es-ES"/>
        </w:rPr>
        <w:t>.2. Consideraciones de la Corte</w:t>
      </w:r>
      <w:bookmarkEnd w:id="44"/>
    </w:p>
    <w:p w14:paraId="28134D86" w14:textId="215122CA" w:rsidR="00CC69DB" w:rsidRPr="009D520B" w:rsidRDefault="00F2066E" w:rsidP="00CC69DB">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351298">
        <w:rPr>
          <w:rFonts w:ascii="Verdana" w:eastAsia="Cambria" w:hAnsi="Verdana" w:cs="Cambria"/>
          <w:i w:val="0"/>
          <w:iCs/>
          <w:sz w:val="20"/>
          <w:szCs w:val="20"/>
          <w:lang w:val="es-ES_tradnl"/>
        </w:rPr>
        <w:t>En el presente caso</w:t>
      </w:r>
      <w:r>
        <w:rPr>
          <w:rFonts w:ascii="Verdana" w:eastAsia="Cambria" w:hAnsi="Verdana" w:cs="Cambria"/>
          <w:i w:val="0"/>
          <w:iCs/>
          <w:sz w:val="20"/>
          <w:szCs w:val="20"/>
          <w:lang w:val="es-ES_tradnl"/>
        </w:rPr>
        <w:t>, la Corte nota que</w:t>
      </w:r>
      <w:r w:rsidRPr="00351298">
        <w:rPr>
          <w:rFonts w:ascii="Verdana" w:eastAsia="Cambria" w:hAnsi="Verdana" w:cs="Cambria"/>
          <w:i w:val="0"/>
          <w:iCs/>
          <w:sz w:val="20"/>
          <w:szCs w:val="20"/>
          <w:lang w:val="es-ES_tradnl"/>
        </w:rPr>
        <w:t xml:space="preserve">, en su Informe de Fondo, la Comisión identificó como presuntas víctimas del caso a Daniel García Rodríguez y Reyes Alpízar Ortiz. </w:t>
      </w:r>
      <w:r>
        <w:rPr>
          <w:rFonts w:ascii="Verdana" w:eastAsia="Cambria" w:hAnsi="Verdana" w:cs="Cambria"/>
          <w:i w:val="0"/>
          <w:iCs/>
          <w:sz w:val="20"/>
          <w:szCs w:val="20"/>
          <w:lang w:val="es-ES_tradnl"/>
        </w:rPr>
        <w:t>Por su parte, l</w:t>
      </w:r>
      <w:r w:rsidRPr="00351298">
        <w:rPr>
          <w:rFonts w:ascii="Verdana" w:eastAsia="Cambria" w:hAnsi="Verdana" w:cs="Cambria"/>
          <w:i w:val="0"/>
          <w:iCs/>
          <w:sz w:val="20"/>
          <w:szCs w:val="20"/>
          <w:lang w:val="es-ES_tradnl"/>
        </w:rPr>
        <w:t xml:space="preserve">os representantes indicaron que también serían víctimas del caso </w:t>
      </w:r>
      <w:r w:rsidRPr="009D520B">
        <w:rPr>
          <w:rFonts w:ascii="Verdana" w:eastAsia="Cambria" w:hAnsi="Verdana" w:cs="Cambria"/>
          <w:i w:val="0"/>
          <w:iCs/>
          <w:sz w:val="20"/>
          <w:szCs w:val="20"/>
          <w:lang w:val="es-ES_tradnl"/>
        </w:rPr>
        <w:t>los familiares de Daniel García Rodríguez y Reyes Alpízar Ortiz así como Isaías García Godínez, Martín Moreno Rodríguez y Elvia Moreno Rodríguez</w:t>
      </w:r>
      <w:r w:rsidR="00CC69DB" w:rsidRPr="009D520B">
        <w:rPr>
          <w:rFonts w:ascii="Verdana" w:eastAsia="Cambria" w:hAnsi="Verdana" w:cs="Cambria"/>
          <w:i w:val="0"/>
          <w:iCs/>
          <w:sz w:val="20"/>
          <w:szCs w:val="20"/>
          <w:lang w:val="es-ES_tradnl"/>
        </w:rPr>
        <w:t>.</w:t>
      </w:r>
    </w:p>
    <w:p w14:paraId="3AC55BD7" w14:textId="24A28D56" w:rsidR="004E1063" w:rsidRPr="009D520B" w:rsidRDefault="004E1063" w:rsidP="00CC69DB">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3BF92891">
        <w:rPr>
          <w:rFonts w:ascii="Verdana" w:hAnsi="Verdana"/>
          <w:i w:val="0"/>
          <w:sz w:val="20"/>
          <w:szCs w:val="20"/>
          <w:lang w:val="es-ES" w:eastAsia="es-ES"/>
        </w:rPr>
        <w:t xml:space="preserve">Con </w:t>
      </w:r>
      <w:r w:rsidRPr="3BF92891">
        <w:rPr>
          <w:rFonts w:ascii="Verdana" w:hAnsi="Verdana"/>
          <w:i w:val="0"/>
          <w:sz w:val="20"/>
          <w:szCs w:val="20"/>
          <w:lang w:val="es-AR"/>
        </w:rPr>
        <w:t>relación</w:t>
      </w:r>
      <w:r w:rsidRPr="3BF92891">
        <w:rPr>
          <w:rFonts w:ascii="Verdana" w:hAnsi="Verdana"/>
          <w:i w:val="0"/>
          <w:sz w:val="20"/>
          <w:szCs w:val="20"/>
          <w:lang w:val="es-ES" w:eastAsia="es-ES"/>
        </w:rPr>
        <w:t xml:space="preserve"> a la identificación de las presuntas víctimas, </w:t>
      </w:r>
      <w:r w:rsidR="00875291">
        <w:rPr>
          <w:rFonts w:ascii="Verdana" w:hAnsi="Verdana"/>
          <w:i w:val="0"/>
          <w:sz w:val="20"/>
          <w:szCs w:val="20"/>
          <w:lang w:val="es-ES" w:eastAsia="es-ES"/>
        </w:rPr>
        <w:t>el Tribunal</w:t>
      </w:r>
      <w:r w:rsidR="00875291" w:rsidRPr="3BF92891">
        <w:rPr>
          <w:rFonts w:ascii="Verdana" w:hAnsi="Verdana"/>
          <w:i w:val="0"/>
          <w:sz w:val="20"/>
          <w:szCs w:val="20"/>
          <w:lang w:val="es-ES" w:eastAsia="es-ES"/>
        </w:rPr>
        <w:t xml:space="preserve"> </w:t>
      </w:r>
      <w:r w:rsidRPr="3BF92891">
        <w:rPr>
          <w:rFonts w:ascii="Verdana" w:hAnsi="Verdana"/>
          <w:i w:val="0"/>
          <w:sz w:val="20"/>
          <w:szCs w:val="20"/>
          <w:lang w:val="es-ES" w:eastAsia="es-ES"/>
        </w:rPr>
        <w:t xml:space="preserve">recuerda que el </w:t>
      </w:r>
      <w:r w:rsidRPr="3BF92891">
        <w:rPr>
          <w:rFonts w:ascii="Verdana" w:hAnsi="Verdana"/>
          <w:i w:val="0"/>
          <w:sz w:val="20"/>
          <w:szCs w:val="20"/>
        </w:rPr>
        <w:t xml:space="preserve">artículo 35.1 del Reglamento de la Corte dispone que el caso le será sometido mediante la presentación del Informe de Fondo, </w:t>
      </w:r>
      <w:r w:rsidR="00875291">
        <w:rPr>
          <w:rFonts w:ascii="Verdana" w:hAnsi="Verdana"/>
          <w:i w:val="0"/>
          <w:sz w:val="20"/>
          <w:szCs w:val="20"/>
        </w:rPr>
        <w:t>el cual</w:t>
      </w:r>
      <w:r w:rsidR="00875291" w:rsidRPr="3BF92891">
        <w:rPr>
          <w:rFonts w:ascii="Verdana" w:hAnsi="Verdana"/>
          <w:i w:val="0"/>
          <w:sz w:val="20"/>
          <w:szCs w:val="20"/>
        </w:rPr>
        <w:t xml:space="preserve"> </w:t>
      </w:r>
      <w:r w:rsidRPr="3BF92891">
        <w:rPr>
          <w:rFonts w:ascii="Verdana" w:hAnsi="Verdana"/>
          <w:i w:val="0"/>
          <w:sz w:val="20"/>
          <w:szCs w:val="20"/>
        </w:rPr>
        <w:t xml:space="preserve">deberá contener la identificación de las presuntas víctimas. </w:t>
      </w:r>
      <w:r w:rsidR="00875291">
        <w:rPr>
          <w:rFonts w:ascii="Verdana" w:hAnsi="Verdana"/>
          <w:i w:val="0"/>
          <w:sz w:val="20"/>
          <w:szCs w:val="20"/>
        </w:rPr>
        <w:t>En ese sentido, c</w:t>
      </w:r>
      <w:r w:rsidRPr="3BF92891">
        <w:rPr>
          <w:rFonts w:ascii="Verdana" w:hAnsi="Verdana"/>
          <w:i w:val="0"/>
          <w:sz w:val="20"/>
          <w:szCs w:val="20"/>
        </w:rPr>
        <w:t>orresponde a la Comisión identificar con precisión y en la debida oportunidad procesal a las presuntas víctimas en un caso ante la Corte</w:t>
      </w:r>
      <w:r w:rsidRPr="3BF92891">
        <w:rPr>
          <w:rStyle w:val="Refdenotaalpie"/>
          <w:rFonts w:ascii="Verdana" w:hAnsi="Verdana"/>
          <w:i w:val="0"/>
          <w:sz w:val="20"/>
        </w:rPr>
        <w:footnoteReference w:id="42"/>
      </w:r>
      <w:r w:rsidRPr="3BF92891">
        <w:rPr>
          <w:rFonts w:ascii="Verdana" w:hAnsi="Verdana"/>
          <w:i w:val="0"/>
          <w:sz w:val="20"/>
          <w:szCs w:val="20"/>
        </w:rPr>
        <w:t xml:space="preserve">, salvo en las circunstancias excepcionales contempladas en el artículo 35.2 del Reglamento de la Corte, de conformidad con el cual, </w:t>
      </w:r>
      <w:r w:rsidRPr="3BF92891">
        <w:rPr>
          <w:rFonts w:ascii="Verdana" w:hAnsi="Verdana"/>
          <w:i w:val="0"/>
          <w:sz w:val="20"/>
          <w:szCs w:val="20"/>
          <w:lang w:val="es-ES" w:eastAsia="es-ES"/>
        </w:rPr>
        <w:t>cuando se justifique que no fue posible identificarlas, por tratarse de casos de violaciones masivas o colectivas, el Tribunal decidirá en su oportunidad si las considera víctimas de acuerdo con la naturaleza de la violación</w:t>
      </w:r>
      <w:r w:rsidRPr="3BF92891">
        <w:rPr>
          <w:rStyle w:val="Refdenotaalpie"/>
          <w:rFonts w:ascii="Verdana" w:hAnsi="Verdana"/>
          <w:i w:val="0"/>
          <w:sz w:val="20"/>
          <w:lang w:eastAsia="es-ES"/>
        </w:rPr>
        <w:footnoteReference w:id="43"/>
      </w:r>
      <w:r w:rsidRPr="3BF92891">
        <w:rPr>
          <w:rFonts w:ascii="Verdana" w:hAnsi="Verdana"/>
          <w:i w:val="0"/>
          <w:sz w:val="20"/>
          <w:szCs w:val="20"/>
          <w:lang w:val="es-ES" w:eastAsia="es-ES"/>
        </w:rPr>
        <w:t>.</w:t>
      </w:r>
    </w:p>
    <w:p w14:paraId="2DE423CF" w14:textId="387D1700" w:rsidR="00104A1B" w:rsidRPr="009D520B" w:rsidRDefault="00104A1B" w:rsidP="00CC69DB">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Para esta Corte es claro que los hechos del caso no encuadran dentro de alguna de las hipótesis establecidas en el artículo 35.2 del Reglamento.</w:t>
      </w:r>
      <w:r w:rsidR="007E18EF" w:rsidRPr="009D520B">
        <w:rPr>
          <w:rFonts w:ascii="Verdana" w:eastAsia="Cambria" w:hAnsi="Verdana" w:cs="Cambria"/>
          <w:i w:val="0"/>
          <w:iCs/>
          <w:sz w:val="20"/>
          <w:szCs w:val="20"/>
          <w:lang w:val="es-ES_tradnl"/>
        </w:rPr>
        <w:t xml:space="preserve"> </w:t>
      </w:r>
      <w:r w:rsidR="00DA5734" w:rsidRPr="009D520B">
        <w:rPr>
          <w:rFonts w:ascii="Verdana" w:eastAsia="Cambria" w:hAnsi="Verdana" w:cs="Cambria"/>
          <w:i w:val="0"/>
          <w:iCs/>
          <w:sz w:val="20"/>
          <w:szCs w:val="20"/>
          <w:lang w:val="es-ES_tradnl"/>
        </w:rPr>
        <w:t>Además,</w:t>
      </w:r>
      <w:r w:rsidRPr="009D520B">
        <w:rPr>
          <w:rFonts w:ascii="Verdana" w:eastAsia="Cambria" w:hAnsi="Verdana" w:cs="Cambria"/>
          <w:i w:val="0"/>
          <w:iCs/>
          <w:sz w:val="20"/>
          <w:szCs w:val="20"/>
          <w:lang w:val="es-ES_tradnl"/>
        </w:rPr>
        <w:t xml:space="preserve"> consta que, </w:t>
      </w:r>
      <w:r w:rsidR="007E18EF" w:rsidRPr="009D520B">
        <w:rPr>
          <w:rFonts w:ascii="Verdana" w:eastAsia="Cambria" w:hAnsi="Verdana" w:cs="Cambria"/>
          <w:i w:val="0"/>
          <w:iCs/>
          <w:sz w:val="20"/>
          <w:szCs w:val="20"/>
          <w:lang w:val="es-ES_tradnl"/>
        </w:rPr>
        <w:t>en el transcurso</w:t>
      </w:r>
      <w:r w:rsidRPr="009D520B">
        <w:rPr>
          <w:rFonts w:ascii="Verdana" w:eastAsia="Cambria" w:hAnsi="Verdana" w:cs="Cambria"/>
          <w:i w:val="0"/>
          <w:iCs/>
          <w:sz w:val="20"/>
          <w:szCs w:val="20"/>
          <w:lang w:val="es-ES_tradnl"/>
        </w:rPr>
        <w:t xml:space="preserve"> del procedimiento</w:t>
      </w:r>
      <w:r w:rsidR="007E18EF" w:rsidRPr="009D520B">
        <w:rPr>
          <w:rFonts w:ascii="Verdana" w:eastAsia="Cambria" w:hAnsi="Verdana" w:cs="Cambria"/>
          <w:i w:val="0"/>
          <w:iCs/>
          <w:sz w:val="20"/>
          <w:szCs w:val="20"/>
          <w:lang w:val="es-ES_tradnl"/>
        </w:rPr>
        <w:t xml:space="preserve"> de admisibilidad</w:t>
      </w:r>
      <w:r w:rsidRPr="009D520B">
        <w:rPr>
          <w:rFonts w:ascii="Verdana" w:eastAsia="Cambria" w:hAnsi="Verdana" w:cs="Cambria"/>
          <w:i w:val="0"/>
          <w:iCs/>
          <w:sz w:val="20"/>
          <w:szCs w:val="20"/>
          <w:lang w:val="es-ES_tradnl"/>
        </w:rPr>
        <w:t xml:space="preserve">, </w:t>
      </w:r>
      <w:r w:rsidR="007E18EF" w:rsidRPr="009D520B">
        <w:rPr>
          <w:rFonts w:ascii="Verdana" w:eastAsia="Cambria" w:hAnsi="Verdana" w:cs="Cambria"/>
          <w:i w:val="0"/>
          <w:iCs/>
          <w:sz w:val="20"/>
          <w:szCs w:val="20"/>
          <w:lang w:val="es-ES_tradnl"/>
        </w:rPr>
        <w:t xml:space="preserve">todas las presuntas víctimas que los representantes pretenden agregar en su escrito de </w:t>
      </w:r>
      <w:r w:rsidR="00875291">
        <w:rPr>
          <w:rFonts w:ascii="Verdana" w:eastAsia="Cambria" w:hAnsi="Verdana" w:cs="Cambria"/>
          <w:i w:val="0"/>
          <w:iCs/>
          <w:sz w:val="20"/>
          <w:szCs w:val="20"/>
          <w:lang w:val="es-ES_tradnl"/>
        </w:rPr>
        <w:t>s</w:t>
      </w:r>
      <w:r w:rsidR="007E18EF" w:rsidRPr="009D520B">
        <w:rPr>
          <w:rFonts w:ascii="Verdana" w:eastAsia="Cambria" w:hAnsi="Verdana" w:cs="Cambria"/>
          <w:i w:val="0"/>
          <w:iCs/>
          <w:sz w:val="20"/>
          <w:szCs w:val="20"/>
          <w:lang w:val="es-ES_tradnl"/>
        </w:rPr>
        <w:t xml:space="preserve">olicitudes y </w:t>
      </w:r>
      <w:r w:rsidR="00875291">
        <w:rPr>
          <w:rFonts w:ascii="Verdana" w:eastAsia="Cambria" w:hAnsi="Verdana" w:cs="Cambria"/>
          <w:i w:val="0"/>
          <w:iCs/>
          <w:sz w:val="20"/>
          <w:szCs w:val="20"/>
          <w:lang w:val="es-ES_tradnl"/>
        </w:rPr>
        <w:t>a</w:t>
      </w:r>
      <w:r w:rsidR="00CC69DB" w:rsidRPr="009D520B">
        <w:rPr>
          <w:rFonts w:ascii="Verdana" w:eastAsia="Cambria" w:hAnsi="Verdana" w:cs="Cambria"/>
          <w:i w:val="0"/>
          <w:iCs/>
          <w:sz w:val="20"/>
          <w:szCs w:val="20"/>
          <w:lang w:val="es-ES_tradnl"/>
        </w:rPr>
        <w:t>rgumentos</w:t>
      </w:r>
      <w:r w:rsidRPr="009D520B">
        <w:rPr>
          <w:rFonts w:ascii="Verdana" w:eastAsia="Cambria" w:hAnsi="Verdana" w:cs="Cambria"/>
          <w:i w:val="0"/>
          <w:iCs/>
          <w:sz w:val="20"/>
          <w:szCs w:val="20"/>
          <w:lang w:val="es-ES_tradnl"/>
        </w:rPr>
        <w:t xml:space="preserve"> estaban identificadas</w:t>
      </w:r>
      <w:r w:rsidR="00DA5734" w:rsidRPr="009D520B">
        <w:rPr>
          <w:rStyle w:val="Refdenotaalpie"/>
          <w:rFonts w:ascii="Verdana" w:eastAsia="Cambria" w:hAnsi="Verdana"/>
          <w:i w:val="0"/>
          <w:iCs/>
          <w:sz w:val="20"/>
          <w:lang w:val="es-ES_tradnl"/>
        </w:rPr>
        <w:footnoteReference w:id="44"/>
      </w:r>
      <w:r w:rsidR="007E18EF" w:rsidRPr="009D520B">
        <w:rPr>
          <w:rFonts w:ascii="Verdana" w:eastAsia="Cambria" w:hAnsi="Verdana" w:cs="Cambria"/>
          <w:i w:val="0"/>
          <w:iCs/>
          <w:sz w:val="20"/>
          <w:szCs w:val="20"/>
          <w:lang w:val="es-ES_tradnl"/>
        </w:rPr>
        <w:t>.</w:t>
      </w:r>
    </w:p>
    <w:p w14:paraId="5B629450" w14:textId="31E823E8" w:rsidR="004E1063" w:rsidRPr="009D520B" w:rsidRDefault="004E1063" w:rsidP="004A6281">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 xml:space="preserve">Por otra parte, </w:t>
      </w:r>
      <w:r w:rsidR="007E18EF" w:rsidRPr="009D520B">
        <w:rPr>
          <w:rFonts w:ascii="Verdana" w:eastAsia="Cambria" w:hAnsi="Verdana" w:cs="Cambria"/>
          <w:i w:val="0"/>
          <w:iCs/>
          <w:sz w:val="20"/>
          <w:szCs w:val="20"/>
          <w:lang w:val="es-ES_tradnl"/>
        </w:rPr>
        <w:t>los representantes alegaron</w:t>
      </w:r>
      <w:r w:rsidR="00562279" w:rsidRPr="009D520B">
        <w:rPr>
          <w:rFonts w:ascii="Verdana" w:eastAsia="Cambria" w:hAnsi="Verdana" w:cs="Cambria"/>
          <w:i w:val="0"/>
          <w:iCs/>
          <w:sz w:val="20"/>
          <w:szCs w:val="20"/>
          <w:lang w:val="es-ES_tradnl"/>
        </w:rPr>
        <w:t xml:space="preserve"> </w:t>
      </w:r>
      <w:r w:rsidR="007E18EF" w:rsidRPr="009D520B">
        <w:rPr>
          <w:rFonts w:ascii="Verdana" w:eastAsia="Cambria" w:hAnsi="Verdana" w:cs="Cambria"/>
          <w:i w:val="0"/>
          <w:iCs/>
          <w:sz w:val="20"/>
          <w:szCs w:val="20"/>
          <w:lang w:val="es-ES_tradnl"/>
        </w:rPr>
        <w:t xml:space="preserve">que los </w:t>
      </w:r>
      <w:r w:rsidR="00CC69DB" w:rsidRPr="009D520B">
        <w:rPr>
          <w:rFonts w:ascii="Verdana" w:eastAsia="Cambria" w:hAnsi="Verdana" w:cs="Cambria"/>
          <w:i w:val="0"/>
          <w:iCs/>
          <w:sz w:val="20"/>
          <w:szCs w:val="20"/>
          <w:lang w:val="es-ES_tradnl"/>
        </w:rPr>
        <w:t>familiares</w:t>
      </w:r>
      <w:r w:rsidR="007E18EF" w:rsidRPr="009D520B">
        <w:rPr>
          <w:rFonts w:ascii="Verdana" w:eastAsia="Cambria" w:hAnsi="Verdana" w:cs="Cambria"/>
          <w:i w:val="0"/>
          <w:iCs/>
          <w:sz w:val="20"/>
          <w:szCs w:val="20"/>
          <w:lang w:val="es-ES_tradnl"/>
        </w:rPr>
        <w:t xml:space="preserve"> de </w:t>
      </w:r>
      <w:r w:rsidR="00CC69DB" w:rsidRPr="009D520B">
        <w:rPr>
          <w:rFonts w:ascii="Verdana" w:eastAsia="Cambria" w:hAnsi="Verdana" w:cs="Cambria"/>
          <w:i w:val="0"/>
          <w:iCs/>
          <w:sz w:val="20"/>
          <w:szCs w:val="20"/>
          <w:lang w:val="es-ES_tradnl"/>
        </w:rPr>
        <w:t>Daniel García Rodríguez</w:t>
      </w:r>
      <w:r w:rsidR="00562279" w:rsidRPr="009D520B">
        <w:rPr>
          <w:rFonts w:ascii="Verdana" w:eastAsia="Cambria" w:hAnsi="Verdana" w:cs="Cambria"/>
          <w:i w:val="0"/>
          <w:iCs/>
          <w:sz w:val="20"/>
          <w:szCs w:val="20"/>
          <w:lang w:val="es-ES_tradnl"/>
        </w:rPr>
        <w:t>,</w:t>
      </w:r>
      <w:r w:rsidR="00CC69DB" w:rsidRPr="009D520B">
        <w:rPr>
          <w:rFonts w:ascii="Verdana" w:eastAsia="Cambria" w:hAnsi="Verdana" w:cs="Cambria"/>
          <w:i w:val="0"/>
          <w:iCs/>
          <w:sz w:val="20"/>
          <w:szCs w:val="20"/>
          <w:lang w:val="es-ES_tradnl"/>
        </w:rPr>
        <w:t xml:space="preserve"> Reyes Alpízar Ortiz</w:t>
      </w:r>
      <w:r w:rsidR="007E18EF" w:rsidRPr="009D520B">
        <w:rPr>
          <w:rFonts w:ascii="Verdana" w:eastAsia="Cambria" w:hAnsi="Verdana" w:cs="Cambria"/>
          <w:i w:val="0"/>
          <w:iCs/>
          <w:sz w:val="20"/>
          <w:szCs w:val="20"/>
          <w:lang w:val="es-ES_tradnl"/>
        </w:rPr>
        <w:t xml:space="preserve"> y </w:t>
      </w:r>
      <w:r w:rsidR="00CC69DB" w:rsidRPr="009D520B">
        <w:rPr>
          <w:rFonts w:ascii="Verdana" w:eastAsia="Cambria" w:hAnsi="Verdana" w:cs="Cambria"/>
          <w:i w:val="0"/>
          <w:iCs/>
          <w:sz w:val="20"/>
          <w:szCs w:val="20"/>
          <w:lang w:val="es-ES_tradnl"/>
        </w:rPr>
        <w:t>Isaías García Godínez, Martín Moreno Rodríguez y Elvia Moreno Rodríguez,</w:t>
      </w:r>
      <w:r w:rsidR="007E18EF" w:rsidRPr="009D520B">
        <w:rPr>
          <w:rFonts w:ascii="Verdana" w:eastAsia="Cambria" w:hAnsi="Verdana" w:cs="Cambria"/>
          <w:i w:val="0"/>
          <w:iCs/>
          <w:sz w:val="20"/>
          <w:szCs w:val="20"/>
          <w:lang w:val="es-ES_tradnl"/>
        </w:rPr>
        <w:t xml:space="preserve"> no fueron incluidos en el Informe de Fondo por la Comisión debido a un error materia</w:t>
      </w:r>
      <w:r w:rsidR="00D12327" w:rsidRPr="009D520B">
        <w:rPr>
          <w:rFonts w:ascii="Verdana" w:eastAsia="Cambria" w:hAnsi="Verdana" w:cs="Cambria"/>
          <w:i w:val="0"/>
          <w:iCs/>
          <w:sz w:val="20"/>
          <w:szCs w:val="20"/>
          <w:lang w:val="es-ES_tradnl"/>
        </w:rPr>
        <w:t>l</w:t>
      </w:r>
      <w:r w:rsidR="007E18EF" w:rsidRPr="009D520B">
        <w:rPr>
          <w:rFonts w:ascii="Verdana" w:eastAsia="Cambria" w:hAnsi="Verdana" w:cs="Cambria"/>
          <w:i w:val="0"/>
          <w:iCs/>
          <w:sz w:val="20"/>
          <w:szCs w:val="20"/>
          <w:lang w:val="es-ES_tradnl"/>
        </w:rPr>
        <w:t xml:space="preserve">. </w:t>
      </w:r>
    </w:p>
    <w:p w14:paraId="7407C439" w14:textId="4B0756DE" w:rsidR="0041034E" w:rsidRPr="009D520B" w:rsidRDefault="006E4BD0" w:rsidP="004A6281">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 xml:space="preserve">En el caso </w:t>
      </w:r>
      <w:r w:rsidRPr="009D520B">
        <w:rPr>
          <w:rFonts w:ascii="Verdana" w:eastAsia="Cambria" w:hAnsi="Verdana" w:cs="Cambria"/>
          <w:sz w:val="20"/>
          <w:szCs w:val="20"/>
          <w:lang w:val="es-ES_tradnl"/>
        </w:rPr>
        <w:t>sub iudice</w:t>
      </w:r>
      <w:r w:rsidRPr="009D520B">
        <w:rPr>
          <w:rFonts w:ascii="Verdana" w:eastAsia="Cambria" w:hAnsi="Verdana" w:cs="Cambria"/>
          <w:i w:val="0"/>
          <w:iCs/>
          <w:sz w:val="20"/>
          <w:szCs w:val="20"/>
          <w:lang w:val="es-ES_tradnl"/>
        </w:rPr>
        <w:t xml:space="preserve">, el informe de admisibilidad </w:t>
      </w:r>
      <w:r w:rsidR="0041034E" w:rsidRPr="009D520B">
        <w:rPr>
          <w:rFonts w:ascii="Verdana" w:eastAsia="Cambria" w:hAnsi="Verdana" w:cs="Cambria"/>
          <w:i w:val="0"/>
          <w:iCs/>
          <w:sz w:val="20"/>
          <w:szCs w:val="20"/>
          <w:lang w:val="es-ES_tradnl"/>
        </w:rPr>
        <w:t>estable</w:t>
      </w:r>
      <w:r w:rsidR="00D12327" w:rsidRPr="009D520B">
        <w:rPr>
          <w:rFonts w:ascii="Verdana" w:eastAsia="Cambria" w:hAnsi="Verdana" w:cs="Cambria"/>
          <w:i w:val="0"/>
          <w:iCs/>
          <w:sz w:val="20"/>
          <w:szCs w:val="20"/>
          <w:lang w:val="es-ES_tradnl"/>
        </w:rPr>
        <w:t>ce</w:t>
      </w:r>
      <w:r w:rsidR="0041034E" w:rsidRPr="009D520B">
        <w:rPr>
          <w:rFonts w:ascii="Verdana" w:eastAsia="Cambria" w:hAnsi="Verdana" w:cs="Cambria"/>
          <w:i w:val="0"/>
          <w:iCs/>
          <w:sz w:val="20"/>
          <w:szCs w:val="20"/>
          <w:lang w:val="es-ES_tradnl"/>
        </w:rPr>
        <w:t xml:space="preserve"> lo siguiente en </w:t>
      </w:r>
      <w:r w:rsidR="0026460E" w:rsidRPr="009D520B">
        <w:rPr>
          <w:rFonts w:ascii="Verdana" w:eastAsia="Cambria" w:hAnsi="Verdana" w:cs="Cambria"/>
          <w:i w:val="0"/>
          <w:iCs/>
          <w:sz w:val="20"/>
          <w:szCs w:val="20"/>
          <w:lang w:val="es-ES_tradnl"/>
        </w:rPr>
        <w:t>relación</w:t>
      </w:r>
      <w:r w:rsidR="0041034E" w:rsidRPr="009D520B">
        <w:rPr>
          <w:rFonts w:ascii="Verdana" w:eastAsia="Cambria" w:hAnsi="Verdana" w:cs="Cambria"/>
          <w:i w:val="0"/>
          <w:iCs/>
          <w:sz w:val="20"/>
          <w:szCs w:val="20"/>
          <w:lang w:val="es-ES_tradnl"/>
        </w:rPr>
        <w:t xml:space="preserve"> con los familiares de Daniel García Rodríguez y Reyes Alpízar Ortiz</w:t>
      </w:r>
      <w:r w:rsidR="00875291">
        <w:rPr>
          <w:rFonts w:ascii="Verdana" w:eastAsia="Cambria" w:hAnsi="Verdana" w:cs="Cambria"/>
          <w:i w:val="0"/>
          <w:iCs/>
          <w:sz w:val="20"/>
          <w:szCs w:val="20"/>
          <w:lang w:val="es-ES_tradnl"/>
        </w:rPr>
        <w:t xml:space="preserve">, a </w:t>
      </w:r>
      <w:r w:rsidR="00771BCD">
        <w:rPr>
          <w:rFonts w:ascii="Verdana" w:eastAsia="Cambria" w:hAnsi="Verdana" w:cs="Cambria"/>
          <w:i w:val="0"/>
          <w:iCs/>
          <w:sz w:val="20"/>
          <w:szCs w:val="20"/>
          <w:lang w:val="es-ES_tradnl"/>
        </w:rPr>
        <w:t>saber,</w:t>
      </w:r>
      <w:r w:rsidR="00875291">
        <w:rPr>
          <w:rFonts w:ascii="Verdana" w:eastAsia="Cambria" w:hAnsi="Verdana" w:cs="Cambria"/>
          <w:i w:val="0"/>
          <w:iCs/>
          <w:sz w:val="20"/>
          <w:szCs w:val="20"/>
          <w:lang w:val="es-ES_tradnl"/>
        </w:rPr>
        <w:t xml:space="preserve"> </w:t>
      </w:r>
      <w:r w:rsidR="0041034E" w:rsidRPr="009D520B">
        <w:rPr>
          <w:rFonts w:ascii="Verdana" w:eastAsia="Cambria" w:hAnsi="Verdana" w:cs="Cambria"/>
          <w:i w:val="0"/>
          <w:iCs/>
          <w:sz w:val="20"/>
          <w:szCs w:val="20"/>
          <w:lang w:val="es-ES_tradnl"/>
        </w:rPr>
        <w:t>Isaías García Godínez, Martín Moreno Rodríguez y Elvia Moreno Rodríguez:</w:t>
      </w:r>
    </w:p>
    <w:p w14:paraId="0167A5BF" w14:textId="5E7FF176" w:rsidR="004E1063" w:rsidRDefault="0041034E" w:rsidP="00D73463">
      <w:pPr>
        <w:pStyle w:val="Estilo1"/>
        <w:widowControl w:val="0"/>
        <w:tabs>
          <w:tab w:val="left" w:pos="0"/>
          <w:tab w:val="left" w:pos="567"/>
        </w:tabs>
        <w:adjustRightInd w:val="0"/>
        <w:spacing w:before="120"/>
        <w:ind w:left="567" w:right="561" w:firstLine="0"/>
        <w:jc w:val="both"/>
        <w:textAlignment w:val="baseline"/>
        <w:rPr>
          <w:rFonts w:ascii="Verdana" w:eastAsia="Cambria" w:hAnsi="Verdana" w:cs="Cambria"/>
          <w:i w:val="0"/>
          <w:iCs/>
          <w:sz w:val="18"/>
          <w:szCs w:val="18"/>
          <w:lang w:val="es-ES_tradnl"/>
        </w:rPr>
      </w:pPr>
      <w:r w:rsidRPr="00351298">
        <w:rPr>
          <w:rFonts w:ascii="Verdana" w:eastAsia="Cambria" w:hAnsi="Verdana" w:cs="Cambria"/>
          <w:i w:val="0"/>
          <w:iCs/>
          <w:sz w:val="18"/>
          <w:szCs w:val="18"/>
          <w:lang w:val="es-ES_tradnl"/>
        </w:rPr>
        <w:t>En relación con el requisito de agotamiento de recursos respecto de los alegatos formulados en perjuicio de las demás presuntas víctimas, la Comisión observa que la información que presentan los peticionarios es muy general y no es suficiente para analizar el cumplimiento de este requisito” (…)</w:t>
      </w:r>
      <w:r w:rsidR="0026460E" w:rsidRPr="00351298">
        <w:rPr>
          <w:rFonts w:ascii="Verdana" w:eastAsia="Cambria" w:hAnsi="Verdana" w:cs="Cambria"/>
          <w:i w:val="0"/>
          <w:iCs/>
          <w:sz w:val="18"/>
          <w:szCs w:val="18"/>
          <w:lang w:val="es-ES_tradnl"/>
        </w:rPr>
        <w:t xml:space="preserve"> Decisión. (…) </w:t>
      </w:r>
      <w:r w:rsidR="006E4BD0" w:rsidRPr="00351298">
        <w:rPr>
          <w:rFonts w:ascii="Verdana" w:eastAsia="Cambria" w:hAnsi="Verdana" w:cs="Cambria"/>
          <w:i w:val="0"/>
          <w:iCs/>
          <w:sz w:val="18"/>
          <w:szCs w:val="18"/>
          <w:lang w:val="es-ES_tradnl"/>
        </w:rPr>
        <w:t xml:space="preserve">3. Declarar inadmisible la presente petición respecto de los alegatos </w:t>
      </w:r>
      <w:r w:rsidR="006E4BD0" w:rsidRPr="00351298">
        <w:rPr>
          <w:rFonts w:ascii="Verdana" w:eastAsia="Cambria" w:hAnsi="Verdana" w:cs="Cambria"/>
          <w:i w:val="0"/>
          <w:iCs/>
          <w:sz w:val="18"/>
          <w:szCs w:val="18"/>
          <w:lang w:val="es-ES_tradnl"/>
        </w:rPr>
        <w:lastRenderedPageBreak/>
        <w:t>presentados en perjuicio de las demás presuntas víctimas</w:t>
      </w:r>
      <w:r w:rsidR="00F2066E">
        <w:rPr>
          <w:rFonts w:ascii="Verdana" w:eastAsia="Cambria" w:hAnsi="Verdana" w:cs="Cambria"/>
          <w:i w:val="0"/>
          <w:iCs/>
          <w:sz w:val="18"/>
          <w:szCs w:val="18"/>
          <w:lang w:val="es-ES_tradnl"/>
        </w:rPr>
        <w:t>.</w:t>
      </w:r>
    </w:p>
    <w:p w14:paraId="435396E4" w14:textId="094D3102" w:rsidR="006D7ECB" w:rsidRPr="009D520B" w:rsidRDefault="00F2066E" w:rsidP="00C56FDC">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snapToGrid w:val="0"/>
          <w:spacing w:val="-2"/>
          <w:sz w:val="20"/>
          <w:szCs w:val="20"/>
          <w:lang w:eastAsia="es-ES"/>
        </w:rPr>
      </w:pPr>
      <w:r w:rsidRPr="00562279">
        <w:rPr>
          <w:rFonts w:ascii="Verdana" w:eastAsia="Cambria" w:hAnsi="Verdana" w:cs="Cambria"/>
          <w:i w:val="0"/>
          <w:iCs/>
          <w:sz w:val="20"/>
          <w:szCs w:val="20"/>
          <w:lang w:val="es-ES_tradnl"/>
        </w:rPr>
        <w:t xml:space="preserve">De acuerdo con lo anterior, no </w:t>
      </w:r>
      <w:r w:rsidRPr="0064310B">
        <w:rPr>
          <w:rFonts w:ascii="Verdana" w:eastAsia="Cambria" w:hAnsi="Verdana" w:cs="Cambria"/>
          <w:i w:val="0"/>
          <w:iCs/>
          <w:sz w:val="20"/>
          <w:szCs w:val="20"/>
          <w:lang w:val="es-ES_tradnl"/>
        </w:rPr>
        <w:t>hay discusión posible en torno al hecho de que la Comisión justificó la no inclusión de esas personas como presuntas víctimas y que</w:t>
      </w:r>
      <w:r>
        <w:rPr>
          <w:rFonts w:ascii="Verdana" w:eastAsia="Cambria" w:hAnsi="Verdana" w:cs="Cambria"/>
          <w:i w:val="0"/>
          <w:iCs/>
          <w:sz w:val="20"/>
          <w:szCs w:val="20"/>
          <w:lang w:val="es-ES_tradnl"/>
        </w:rPr>
        <w:t>,</w:t>
      </w:r>
      <w:r w:rsidRPr="0064310B">
        <w:rPr>
          <w:rFonts w:ascii="Verdana" w:eastAsia="Cambria" w:hAnsi="Verdana" w:cs="Cambria"/>
          <w:i w:val="0"/>
          <w:iCs/>
          <w:sz w:val="20"/>
          <w:szCs w:val="20"/>
          <w:lang w:val="es-ES_tradnl"/>
        </w:rPr>
        <w:t xml:space="preserve"> por lo tanto</w:t>
      </w:r>
      <w:r>
        <w:rPr>
          <w:rFonts w:ascii="Verdana" w:eastAsia="Cambria" w:hAnsi="Verdana" w:cs="Cambria"/>
          <w:i w:val="0"/>
          <w:iCs/>
          <w:sz w:val="20"/>
          <w:szCs w:val="20"/>
          <w:lang w:val="es-ES_tradnl"/>
        </w:rPr>
        <w:t>,</w:t>
      </w:r>
      <w:r w:rsidRPr="0064310B">
        <w:rPr>
          <w:rFonts w:ascii="Verdana" w:eastAsia="Cambria" w:hAnsi="Verdana" w:cs="Cambria"/>
          <w:i w:val="0"/>
          <w:iCs/>
          <w:sz w:val="20"/>
          <w:szCs w:val="20"/>
          <w:lang w:val="es-ES_tradnl"/>
        </w:rPr>
        <w:t xml:space="preserve"> ello no fue consecuencia de un error material sino por el contrario de consideraciones sobre falta de agotamiento de los recursos internos. Por las razones expuestas, no corresponde que se agregue a los familiares de Daniel García Rodríguez y Reyes Alpízar Ortiz a las presuntas víctimas del caso que fueron identificadas por la Comisión en el Informe de Fondo. En consecuencia, la Corte no analizará las alegadas violaciones a los familiares de Daniel García Rodríguez, Reyes Alpízar Ortiz y Isaías García Godínez, Martín Moreno Rodríguez y Elvia Moreno</w:t>
      </w:r>
      <w:r w:rsidRPr="009D520B">
        <w:rPr>
          <w:rFonts w:ascii="Verdana" w:eastAsia="Cambria" w:hAnsi="Verdana" w:cs="Cambria"/>
          <w:i w:val="0"/>
          <w:iCs/>
          <w:sz w:val="20"/>
          <w:szCs w:val="20"/>
          <w:lang w:val="es-ES_tradnl"/>
        </w:rPr>
        <w:t xml:space="preserve"> Rodríguez en vista de que no fueron identificadas, en el momento procesal oportuno como víctimas por la Comisión</w:t>
      </w:r>
      <w:r>
        <w:rPr>
          <w:rFonts w:ascii="Verdana" w:eastAsia="Cambria" w:hAnsi="Verdana" w:cs="Cambria"/>
          <w:i w:val="0"/>
          <w:iCs/>
          <w:sz w:val="20"/>
          <w:szCs w:val="20"/>
          <w:lang w:val="es-ES_tradnl"/>
        </w:rPr>
        <w:t>,</w:t>
      </w:r>
      <w:r w:rsidRPr="009D520B">
        <w:rPr>
          <w:rFonts w:ascii="Verdana" w:eastAsia="Cambria" w:hAnsi="Verdana" w:cs="Cambria"/>
          <w:i w:val="0"/>
          <w:iCs/>
          <w:sz w:val="20"/>
          <w:szCs w:val="20"/>
          <w:lang w:val="es-ES_tradnl"/>
        </w:rPr>
        <w:t xml:space="preserve"> y </w:t>
      </w:r>
      <w:r>
        <w:rPr>
          <w:rFonts w:ascii="Verdana" w:eastAsia="Cambria" w:hAnsi="Verdana" w:cs="Cambria"/>
          <w:i w:val="0"/>
          <w:iCs/>
          <w:sz w:val="20"/>
          <w:szCs w:val="20"/>
          <w:lang w:val="es-ES_tradnl"/>
        </w:rPr>
        <w:t xml:space="preserve">además su situación </w:t>
      </w:r>
      <w:r w:rsidRPr="009D520B">
        <w:rPr>
          <w:rFonts w:ascii="Verdana" w:eastAsia="Cambria" w:hAnsi="Verdana" w:cs="Cambria"/>
          <w:i w:val="0"/>
          <w:iCs/>
          <w:sz w:val="20"/>
          <w:szCs w:val="20"/>
          <w:lang w:val="es-ES_tradnl"/>
        </w:rPr>
        <w:t>no se encuentra en ninguna de las hipótesis de excepción establecidas en el artículo 35.2 del Reglamento</w:t>
      </w:r>
      <w:r w:rsidR="00562279" w:rsidRPr="009D520B">
        <w:rPr>
          <w:rFonts w:ascii="Verdana" w:eastAsia="Cambria" w:hAnsi="Verdana" w:cs="Cambria"/>
          <w:i w:val="0"/>
          <w:iCs/>
          <w:sz w:val="20"/>
          <w:szCs w:val="20"/>
          <w:lang w:val="es-ES_tradnl"/>
        </w:rPr>
        <w:t>.</w:t>
      </w:r>
      <w:r w:rsidR="00C56FDC" w:rsidRPr="009D520B">
        <w:rPr>
          <w:rFonts w:ascii="Verdana" w:eastAsia="Cambria" w:hAnsi="Verdana" w:cs="Cambria"/>
          <w:i w:val="0"/>
          <w:iCs/>
          <w:sz w:val="20"/>
          <w:szCs w:val="20"/>
          <w:lang w:val="es-ES_tradnl"/>
        </w:rPr>
        <w:t xml:space="preserve"> </w:t>
      </w:r>
    </w:p>
    <w:p w14:paraId="150FA775" w14:textId="208BD1D6" w:rsidR="006D7ECB" w:rsidRPr="009D520B" w:rsidRDefault="006D7ECB" w:rsidP="006D7ECB">
      <w:pPr>
        <w:pStyle w:val="Ttulo2"/>
        <w:numPr>
          <w:ilvl w:val="0"/>
          <w:numId w:val="20"/>
        </w:numPr>
        <w:spacing w:before="240" w:after="240"/>
        <w:rPr>
          <w:rFonts w:ascii="Verdana" w:hAnsi="Verdana"/>
          <w:sz w:val="20"/>
          <w:szCs w:val="20"/>
        </w:rPr>
      </w:pPr>
      <w:r w:rsidRPr="009D520B">
        <w:rPr>
          <w:rFonts w:ascii="Verdana" w:hAnsi="Verdana"/>
          <w:b w:val="0"/>
          <w:bCs w:val="0"/>
          <w:i/>
          <w:color w:val="auto"/>
          <w:sz w:val="20"/>
          <w:szCs w:val="20"/>
        </w:rPr>
        <w:t xml:space="preserve"> </w:t>
      </w:r>
      <w:bookmarkStart w:id="45" w:name="_Toc132133895"/>
      <w:r w:rsidRPr="009D520B">
        <w:rPr>
          <w:rFonts w:ascii="Verdana" w:hAnsi="Verdana"/>
          <w:b w:val="0"/>
          <w:bCs w:val="0"/>
          <w:i/>
          <w:color w:val="auto"/>
          <w:sz w:val="20"/>
          <w:szCs w:val="20"/>
        </w:rPr>
        <w:t>Sobre los hechos nuevos relacionados con el contexto político</w:t>
      </w:r>
      <w:bookmarkEnd w:id="45"/>
    </w:p>
    <w:p w14:paraId="42C52C57" w14:textId="4CB30081" w:rsidR="004E0FD5" w:rsidRPr="009D520B" w:rsidRDefault="006D7ECB" w:rsidP="006D7ECB">
      <w:pPr>
        <w:pStyle w:val="Ttulo3"/>
        <w:spacing w:before="240" w:after="240"/>
        <w:ind w:left="567"/>
        <w:jc w:val="both"/>
        <w:rPr>
          <w:rFonts w:ascii="Verdana" w:hAnsi="Verdana"/>
          <w:snapToGrid w:val="0"/>
          <w:spacing w:val="-2"/>
          <w:sz w:val="20"/>
          <w:szCs w:val="20"/>
          <w:lang w:eastAsia="es-ES"/>
        </w:rPr>
      </w:pPr>
      <w:bookmarkStart w:id="46" w:name="_Toc132133896"/>
      <w:r w:rsidRPr="009D520B">
        <w:rPr>
          <w:rFonts w:ascii="Verdana" w:hAnsi="Verdana"/>
          <w:b w:val="0"/>
          <w:snapToGrid w:val="0"/>
          <w:spacing w:val="-2"/>
          <w:sz w:val="20"/>
          <w:szCs w:val="20"/>
          <w:lang w:eastAsia="es-ES"/>
        </w:rPr>
        <w:t>C.1. Alegatos de las partes y de la Comisión</w:t>
      </w:r>
      <w:bookmarkEnd w:id="46"/>
      <w:r w:rsidR="004E0FD5" w:rsidRPr="009D520B">
        <w:rPr>
          <w:rFonts w:ascii="Verdana" w:hAnsi="Verdana"/>
          <w:sz w:val="20"/>
          <w:szCs w:val="20"/>
        </w:rPr>
        <w:t xml:space="preserve">  </w:t>
      </w:r>
    </w:p>
    <w:p w14:paraId="2142CE96" w14:textId="17B59748" w:rsidR="004E0FD5" w:rsidRPr="009D520B" w:rsidRDefault="004E0FD5" w:rsidP="004E0FD5">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eastAsia="Cambria" w:hAnsi="Verdana" w:cs="Cambria"/>
          <w:i w:val="0"/>
          <w:iCs/>
          <w:sz w:val="20"/>
          <w:szCs w:val="20"/>
          <w:lang w:val="es-ES_tradnl"/>
        </w:rPr>
        <w:t xml:space="preserve">El </w:t>
      </w:r>
      <w:r w:rsidRPr="009D520B">
        <w:rPr>
          <w:rFonts w:ascii="Verdana" w:eastAsia="Cambria" w:hAnsi="Verdana" w:cs="Cambria"/>
          <w:b/>
          <w:bCs/>
          <w:sz w:val="20"/>
          <w:szCs w:val="20"/>
          <w:lang w:val="es-ES_tradnl"/>
        </w:rPr>
        <w:t>Estado</w:t>
      </w:r>
      <w:r w:rsidRPr="009D520B">
        <w:rPr>
          <w:rFonts w:ascii="Verdana" w:eastAsia="Cambria" w:hAnsi="Verdana" w:cs="Cambria"/>
          <w:i w:val="0"/>
          <w:iCs/>
          <w:sz w:val="20"/>
          <w:szCs w:val="20"/>
          <w:lang w:val="es-ES_tradnl"/>
        </w:rPr>
        <w:t xml:space="preserve"> </w:t>
      </w:r>
      <w:r w:rsidR="00955C54" w:rsidRPr="009D520B">
        <w:rPr>
          <w:rFonts w:ascii="Verdana" w:eastAsia="Cambria" w:hAnsi="Verdana" w:cs="Cambria"/>
          <w:i w:val="0"/>
          <w:iCs/>
          <w:sz w:val="20"/>
          <w:szCs w:val="20"/>
          <w:lang w:val="es-ES_tradnl"/>
        </w:rPr>
        <w:t xml:space="preserve">alegó </w:t>
      </w:r>
      <w:r w:rsidRPr="009D520B">
        <w:rPr>
          <w:rFonts w:ascii="Verdana" w:eastAsia="Cambria" w:hAnsi="Verdana" w:cs="Cambria"/>
          <w:i w:val="0"/>
          <w:iCs/>
          <w:sz w:val="20"/>
          <w:szCs w:val="20"/>
          <w:lang w:val="es-ES_tradnl"/>
        </w:rPr>
        <w:t xml:space="preserve">que los representantes incluyeron en su </w:t>
      </w:r>
      <w:r w:rsidR="0026460E" w:rsidRPr="009D520B">
        <w:rPr>
          <w:rFonts w:ascii="Verdana" w:eastAsia="Cambria" w:hAnsi="Verdana" w:cs="Cambria"/>
          <w:i w:val="0"/>
          <w:iCs/>
          <w:sz w:val="20"/>
          <w:szCs w:val="20"/>
          <w:lang w:val="es-ES_tradnl"/>
        </w:rPr>
        <w:t>escrito de solicitudes y argumentos</w:t>
      </w:r>
      <w:r w:rsidR="00016ED8" w:rsidRPr="009D520B">
        <w:rPr>
          <w:rFonts w:ascii="Verdana" w:eastAsia="Cambria" w:hAnsi="Verdana" w:cs="Cambria"/>
          <w:i w:val="0"/>
          <w:iCs/>
          <w:sz w:val="20"/>
          <w:szCs w:val="20"/>
          <w:lang w:val="es-ES_tradnl"/>
        </w:rPr>
        <w:t>,</w:t>
      </w:r>
      <w:r w:rsidRPr="009D520B">
        <w:rPr>
          <w:rFonts w:ascii="Verdana" w:eastAsia="Cambria" w:hAnsi="Verdana" w:cs="Cambria"/>
          <w:i w:val="0"/>
          <w:iCs/>
          <w:sz w:val="20"/>
          <w:szCs w:val="20"/>
          <w:lang w:val="es-ES_tradnl"/>
        </w:rPr>
        <w:t xml:space="preserve"> nuevos hechos frente al contexto ya acotado e identificado por la Comisión en el Informe de Fondo, que escapan del marco fáctico del </w:t>
      </w:r>
      <w:r w:rsidRPr="009D520B">
        <w:rPr>
          <w:rFonts w:ascii="Verdana" w:eastAsia="Cambria" w:hAnsi="Verdana" w:cs="Cambria"/>
          <w:sz w:val="20"/>
          <w:szCs w:val="20"/>
          <w:lang w:val="es-ES_tradnl"/>
        </w:rPr>
        <w:t>sub iudice</w:t>
      </w:r>
      <w:r w:rsidRPr="009D520B">
        <w:rPr>
          <w:rFonts w:ascii="Verdana" w:eastAsia="Cambria" w:hAnsi="Verdana" w:cs="Cambria"/>
          <w:i w:val="0"/>
          <w:iCs/>
          <w:sz w:val="20"/>
          <w:szCs w:val="20"/>
          <w:lang w:val="es-ES_tradnl"/>
        </w:rPr>
        <w:t xml:space="preserve">, y que se pretenden incluir para alegar supuestas nuevas violaciones autónomas </w:t>
      </w:r>
      <w:r w:rsidR="0024469B" w:rsidRPr="009D520B">
        <w:rPr>
          <w:rFonts w:ascii="Verdana" w:eastAsia="Cambria" w:hAnsi="Verdana" w:cs="Cambria"/>
          <w:i w:val="0"/>
          <w:iCs/>
          <w:sz w:val="20"/>
          <w:szCs w:val="20"/>
          <w:lang w:val="es-ES_tradnl"/>
        </w:rPr>
        <w:t xml:space="preserve">en contra de </w:t>
      </w:r>
      <w:r w:rsidRPr="009D520B">
        <w:rPr>
          <w:rFonts w:ascii="Verdana" w:eastAsia="Cambria" w:hAnsi="Verdana" w:cs="Cambria"/>
          <w:i w:val="0"/>
          <w:iCs/>
          <w:sz w:val="20"/>
          <w:szCs w:val="20"/>
          <w:lang w:val="es-ES_tradnl"/>
        </w:rPr>
        <w:t>las presuntas víctimas.</w:t>
      </w:r>
      <w:r w:rsidRPr="009D520B">
        <w:rPr>
          <w:i w:val="0"/>
          <w:iCs/>
        </w:rPr>
        <w:t xml:space="preserve"> </w:t>
      </w:r>
      <w:r w:rsidR="00AB65E2">
        <w:rPr>
          <w:rFonts w:ascii="Verdana" w:eastAsia="Cambria" w:hAnsi="Verdana" w:cs="Cambria"/>
          <w:i w:val="0"/>
          <w:iCs/>
          <w:sz w:val="20"/>
          <w:szCs w:val="20"/>
          <w:lang w:val="es-ES_tradnl"/>
        </w:rPr>
        <w:t>Por tanto, e</w:t>
      </w:r>
      <w:r w:rsidRPr="009D520B">
        <w:rPr>
          <w:rFonts w:ascii="Verdana" w:eastAsia="Cambria" w:hAnsi="Verdana" w:cs="Cambria"/>
          <w:i w:val="0"/>
          <w:iCs/>
          <w:sz w:val="20"/>
          <w:szCs w:val="20"/>
          <w:lang w:val="es-ES_tradnl"/>
        </w:rPr>
        <w:t xml:space="preserve">l Estado mexicano </w:t>
      </w:r>
      <w:r w:rsidR="00AB65E2">
        <w:rPr>
          <w:rFonts w:ascii="Verdana" w:eastAsia="Cambria" w:hAnsi="Verdana" w:cs="Cambria"/>
          <w:i w:val="0"/>
          <w:iCs/>
          <w:sz w:val="20"/>
          <w:szCs w:val="20"/>
          <w:lang w:val="es-ES_tradnl"/>
        </w:rPr>
        <w:t>sostuvo</w:t>
      </w:r>
      <w:r w:rsidR="00AB65E2" w:rsidRPr="009D520B">
        <w:rPr>
          <w:rFonts w:ascii="Verdana" w:eastAsia="Cambria" w:hAnsi="Verdana" w:cs="Cambria"/>
          <w:i w:val="0"/>
          <w:iCs/>
          <w:sz w:val="20"/>
          <w:szCs w:val="20"/>
          <w:lang w:val="es-ES_tradnl"/>
        </w:rPr>
        <w:t xml:space="preserve"> </w:t>
      </w:r>
      <w:r w:rsidRPr="009D520B">
        <w:rPr>
          <w:rFonts w:ascii="Verdana" w:eastAsia="Cambria" w:hAnsi="Verdana" w:cs="Cambria"/>
          <w:i w:val="0"/>
          <w:iCs/>
          <w:sz w:val="20"/>
          <w:szCs w:val="20"/>
          <w:lang w:val="es-ES_tradnl"/>
        </w:rPr>
        <w:t xml:space="preserve">que </w:t>
      </w:r>
      <w:r w:rsidR="00C96B64" w:rsidRPr="009D520B">
        <w:rPr>
          <w:rFonts w:ascii="Verdana" w:eastAsia="Cambria" w:hAnsi="Verdana" w:cs="Cambria"/>
          <w:i w:val="0"/>
          <w:iCs/>
          <w:sz w:val="20"/>
          <w:szCs w:val="20"/>
          <w:lang w:val="es-ES_tradnl"/>
        </w:rPr>
        <w:t>el</w:t>
      </w:r>
      <w:r w:rsidRPr="009D520B">
        <w:rPr>
          <w:rFonts w:ascii="Verdana" w:eastAsia="Cambria" w:hAnsi="Verdana" w:cs="Cambria"/>
          <w:i w:val="0"/>
          <w:iCs/>
          <w:sz w:val="20"/>
          <w:szCs w:val="20"/>
          <w:lang w:val="es-ES_tradnl"/>
        </w:rPr>
        <w:t xml:space="preserve"> pretendido contexto político expuesto </w:t>
      </w:r>
      <w:r w:rsidR="00C96B64" w:rsidRPr="009D520B">
        <w:rPr>
          <w:rFonts w:ascii="Verdana" w:eastAsia="Cambria" w:hAnsi="Verdana" w:cs="Cambria"/>
          <w:i w:val="0"/>
          <w:iCs/>
          <w:sz w:val="20"/>
          <w:szCs w:val="20"/>
          <w:lang w:val="es-ES_tradnl"/>
        </w:rPr>
        <w:t xml:space="preserve">por los representantes </w:t>
      </w:r>
      <w:r w:rsidRPr="009D520B">
        <w:rPr>
          <w:rFonts w:ascii="Verdana" w:eastAsia="Cambria" w:hAnsi="Verdana" w:cs="Cambria"/>
          <w:i w:val="0"/>
          <w:iCs/>
          <w:sz w:val="20"/>
          <w:szCs w:val="20"/>
          <w:lang w:val="es-ES_tradnl"/>
        </w:rPr>
        <w:t>constituye</w:t>
      </w:r>
      <w:r w:rsidR="00C96B64" w:rsidRPr="009D520B">
        <w:rPr>
          <w:rFonts w:ascii="Verdana" w:eastAsia="Cambria" w:hAnsi="Verdana" w:cs="Cambria"/>
          <w:i w:val="0"/>
          <w:iCs/>
          <w:sz w:val="20"/>
          <w:szCs w:val="20"/>
          <w:lang w:val="es-ES_tradnl"/>
        </w:rPr>
        <w:t xml:space="preserve"> un</w:t>
      </w:r>
      <w:r w:rsidRPr="009D520B">
        <w:rPr>
          <w:rFonts w:ascii="Verdana" w:eastAsia="Cambria" w:hAnsi="Verdana" w:cs="Cambria"/>
          <w:i w:val="0"/>
          <w:iCs/>
          <w:sz w:val="20"/>
          <w:szCs w:val="20"/>
          <w:lang w:val="es-ES_tradnl"/>
        </w:rPr>
        <w:t xml:space="preserve"> hecho nuevo, que escap</w:t>
      </w:r>
      <w:r w:rsidR="00C96B64" w:rsidRPr="009D520B">
        <w:rPr>
          <w:rFonts w:ascii="Verdana" w:eastAsia="Cambria" w:hAnsi="Verdana" w:cs="Cambria"/>
          <w:i w:val="0"/>
          <w:iCs/>
          <w:sz w:val="20"/>
          <w:szCs w:val="20"/>
          <w:lang w:val="es-ES_tradnl"/>
        </w:rPr>
        <w:t>a al</w:t>
      </w:r>
      <w:r w:rsidRPr="009D520B">
        <w:rPr>
          <w:rFonts w:ascii="Verdana" w:eastAsia="Cambria" w:hAnsi="Verdana" w:cs="Cambria"/>
          <w:i w:val="0"/>
          <w:iCs/>
          <w:sz w:val="20"/>
          <w:szCs w:val="20"/>
          <w:lang w:val="es-ES_tradnl"/>
        </w:rPr>
        <w:t xml:space="preserve"> marco fáctico establecido por la Comisión.</w:t>
      </w:r>
    </w:p>
    <w:p w14:paraId="1AFC2730" w14:textId="4611BA53" w:rsidR="004E0FD5" w:rsidRPr="00351298" w:rsidRDefault="00955C54" w:rsidP="004E0FD5">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hAnsi="Verdana"/>
          <w:i w:val="0"/>
          <w:iCs/>
          <w:sz w:val="20"/>
          <w:szCs w:val="20"/>
        </w:rPr>
        <w:t xml:space="preserve">Por su parte, </w:t>
      </w:r>
      <w:r w:rsidRPr="009D520B">
        <w:rPr>
          <w:rFonts w:ascii="Verdana" w:eastAsia="Cambria" w:hAnsi="Verdana" w:cs="Cambria"/>
          <w:i w:val="0"/>
          <w:iCs/>
          <w:sz w:val="20"/>
          <w:szCs w:val="20"/>
          <w:lang w:val="es-ES_tradnl"/>
        </w:rPr>
        <w:t>l</w:t>
      </w:r>
      <w:r w:rsidR="004E0FD5" w:rsidRPr="009D520B">
        <w:rPr>
          <w:rFonts w:ascii="Verdana" w:eastAsia="Cambria" w:hAnsi="Verdana" w:cs="Cambria"/>
          <w:i w:val="0"/>
          <w:iCs/>
          <w:sz w:val="20"/>
          <w:szCs w:val="20"/>
          <w:lang w:val="es-ES_tradnl"/>
        </w:rPr>
        <w:t xml:space="preserve">os </w:t>
      </w:r>
      <w:r w:rsidR="004E0FD5" w:rsidRPr="009D520B">
        <w:rPr>
          <w:rFonts w:ascii="Verdana" w:eastAsia="Cambria" w:hAnsi="Verdana" w:cs="Cambria"/>
          <w:b/>
          <w:bCs/>
          <w:sz w:val="20"/>
          <w:szCs w:val="20"/>
          <w:lang w:val="es-ES_tradnl"/>
        </w:rPr>
        <w:t>representantes</w:t>
      </w:r>
      <w:r w:rsidR="004E0FD5" w:rsidRPr="009D520B">
        <w:rPr>
          <w:rFonts w:ascii="Verdana" w:eastAsia="Cambria" w:hAnsi="Verdana" w:cs="Cambria"/>
          <w:b/>
          <w:bCs/>
          <w:i w:val="0"/>
          <w:iCs/>
          <w:sz w:val="20"/>
          <w:szCs w:val="20"/>
          <w:lang w:val="es-ES_tradnl"/>
        </w:rPr>
        <w:t xml:space="preserve"> </w:t>
      </w:r>
      <w:r w:rsidR="004E0FD5" w:rsidRPr="009D520B">
        <w:rPr>
          <w:rFonts w:ascii="Verdana" w:eastAsia="Cambria" w:hAnsi="Verdana" w:cs="Cambria"/>
          <w:i w:val="0"/>
          <w:iCs/>
          <w:sz w:val="20"/>
          <w:szCs w:val="20"/>
          <w:lang w:val="es-ES_tradnl"/>
        </w:rPr>
        <w:t xml:space="preserve">resaltaron la importancia para el Tribunal de que, al momento de analizar el fondo de las violaciones alegadas, se tenga en cuenta el contexto general e histórico de los hechos, esto concatenado a las conductas sistemáticas de las autoridades ministeriales y judiciales del Estado de México para consumar y perpetuar las </w:t>
      </w:r>
      <w:r w:rsidR="00AB65E2">
        <w:rPr>
          <w:rFonts w:ascii="Verdana" w:eastAsia="Cambria" w:hAnsi="Verdana" w:cs="Cambria"/>
          <w:i w:val="0"/>
          <w:iCs/>
          <w:sz w:val="20"/>
          <w:szCs w:val="20"/>
          <w:lang w:val="es-ES_tradnl"/>
        </w:rPr>
        <w:t xml:space="preserve">alegadas </w:t>
      </w:r>
      <w:r w:rsidR="004E0FD5" w:rsidRPr="009D520B">
        <w:rPr>
          <w:rFonts w:ascii="Verdana" w:eastAsia="Cambria" w:hAnsi="Verdana" w:cs="Cambria"/>
          <w:i w:val="0"/>
          <w:iCs/>
          <w:sz w:val="20"/>
          <w:szCs w:val="20"/>
          <w:lang w:val="es-ES_tradnl"/>
        </w:rPr>
        <w:t>violaciones a los derechos humanos tanto</w:t>
      </w:r>
      <w:r w:rsidR="004E0FD5" w:rsidRPr="00351298">
        <w:rPr>
          <w:rFonts w:ascii="Verdana" w:eastAsia="Cambria" w:hAnsi="Verdana" w:cs="Cambria"/>
          <w:i w:val="0"/>
          <w:iCs/>
          <w:sz w:val="20"/>
          <w:szCs w:val="20"/>
          <w:lang w:val="es-ES_tradnl"/>
        </w:rPr>
        <w:t xml:space="preserve"> de Daniel García Rodríguez, como de Reyes Alpízar Ortiz y de sus respectivos núcleos familiares.</w:t>
      </w:r>
      <w:r w:rsidR="00AB65E2" w:rsidRPr="00AB65E2">
        <w:rPr>
          <w:rFonts w:ascii="Verdana" w:eastAsia="Cambria" w:hAnsi="Verdana" w:cs="Cambria"/>
          <w:i w:val="0"/>
          <w:iCs/>
          <w:sz w:val="20"/>
          <w:szCs w:val="20"/>
          <w:lang w:val="es-ES_tradnl"/>
        </w:rPr>
        <w:t xml:space="preserve"> </w:t>
      </w:r>
      <w:r w:rsidR="00AB65E2" w:rsidRPr="009D520B">
        <w:rPr>
          <w:rFonts w:ascii="Verdana" w:eastAsia="Cambria" w:hAnsi="Verdana" w:cs="Cambria"/>
          <w:i w:val="0"/>
          <w:iCs/>
          <w:sz w:val="20"/>
          <w:szCs w:val="20"/>
          <w:lang w:val="es-ES_tradnl"/>
        </w:rPr>
        <w:t xml:space="preserve">La </w:t>
      </w:r>
      <w:r w:rsidR="00AB65E2" w:rsidRPr="009D520B">
        <w:rPr>
          <w:rFonts w:ascii="Verdana" w:eastAsia="Cambria" w:hAnsi="Verdana" w:cs="Cambria"/>
          <w:b/>
          <w:bCs/>
          <w:sz w:val="20"/>
          <w:szCs w:val="20"/>
          <w:lang w:val="es-ES_tradnl"/>
        </w:rPr>
        <w:t>Comisión</w:t>
      </w:r>
      <w:r w:rsidR="00AB65E2" w:rsidRPr="009D520B">
        <w:rPr>
          <w:rFonts w:ascii="Verdana" w:eastAsia="Cambria" w:hAnsi="Verdana" w:cs="Cambria"/>
          <w:sz w:val="20"/>
          <w:szCs w:val="20"/>
          <w:lang w:val="es-ES_tradnl"/>
        </w:rPr>
        <w:t xml:space="preserve"> </w:t>
      </w:r>
      <w:r w:rsidR="00AB65E2" w:rsidRPr="009D520B">
        <w:rPr>
          <w:rFonts w:ascii="Verdana" w:eastAsia="Cambria" w:hAnsi="Verdana" w:cs="Cambria"/>
          <w:i w:val="0"/>
          <w:iCs/>
          <w:sz w:val="20"/>
          <w:szCs w:val="20"/>
          <w:lang w:val="es-ES_tradnl"/>
        </w:rPr>
        <w:t>no hizo observaciones relacionadas con este alegato.</w:t>
      </w:r>
    </w:p>
    <w:p w14:paraId="567815FB" w14:textId="105FAE3F" w:rsidR="004E0FD5" w:rsidRPr="00351298" w:rsidRDefault="00E219F3" w:rsidP="00D73463">
      <w:pPr>
        <w:pStyle w:val="Ttulo3"/>
        <w:spacing w:before="240" w:after="240"/>
        <w:ind w:left="567"/>
        <w:jc w:val="both"/>
        <w:rPr>
          <w:rFonts w:ascii="Verdana" w:hAnsi="Verdana"/>
          <w:snapToGrid w:val="0"/>
          <w:spacing w:val="-2"/>
          <w:sz w:val="20"/>
          <w:szCs w:val="20"/>
          <w:lang w:eastAsia="es-ES"/>
        </w:rPr>
      </w:pPr>
      <w:bookmarkStart w:id="47" w:name="_Toc132133897"/>
      <w:r w:rsidRPr="00351298">
        <w:rPr>
          <w:rFonts w:ascii="Verdana" w:hAnsi="Verdana"/>
          <w:b w:val="0"/>
          <w:snapToGrid w:val="0"/>
          <w:spacing w:val="-2"/>
          <w:sz w:val="20"/>
          <w:szCs w:val="20"/>
          <w:lang w:eastAsia="es-ES"/>
        </w:rPr>
        <w:t>C</w:t>
      </w:r>
      <w:r w:rsidR="004E0FD5" w:rsidRPr="00351298">
        <w:rPr>
          <w:rFonts w:ascii="Verdana" w:hAnsi="Verdana"/>
          <w:b w:val="0"/>
          <w:snapToGrid w:val="0"/>
          <w:spacing w:val="-2"/>
          <w:sz w:val="20"/>
          <w:szCs w:val="20"/>
          <w:lang w:eastAsia="es-ES"/>
        </w:rPr>
        <w:t>.2. Consideraciones de la Corte</w:t>
      </w:r>
      <w:bookmarkEnd w:id="47"/>
    </w:p>
    <w:p w14:paraId="2B1045A1" w14:textId="706727AF" w:rsidR="00066CB5" w:rsidRPr="00351298" w:rsidRDefault="00066CB5" w:rsidP="53D38EDD">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eastAsia="Cambria" w:hAnsi="Verdana" w:cs="Cambria"/>
          <w:sz w:val="20"/>
          <w:szCs w:val="20"/>
          <w:lang w:val="es-ES"/>
        </w:rPr>
      </w:pPr>
      <w:r w:rsidRPr="3BF92891">
        <w:rPr>
          <w:rFonts w:ascii="Verdana" w:eastAsia="Cambria" w:hAnsi="Verdana" w:cs="Cambria"/>
          <w:i w:val="0"/>
          <w:sz w:val="20"/>
          <w:szCs w:val="20"/>
          <w:lang w:val="es-ES"/>
        </w:rPr>
        <w:t>En lo que se refiere a este alegato, corresponde recordar que la Corte ha establecido que el marco fáctico del proceso se encuentra constituido por los hechos contenidos en el Informe de Fondo</w:t>
      </w:r>
      <w:r w:rsidR="004457CE">
        <w:rPr>
          <w:rFonts w:ascii="Verdana" w:eastAsia="Cambria" w:hAnsi="Verdana" w:cs="Cambria"/>
          <w:i w:val="0"/>
          <w:sz w:val="20"/>
          <w:szCs w:val="20"/>
          <w:lang w:val="es-ES"/>
        </w:rPr>
        <w:t>, los cuales fueron</w:t>
      </w:r>
      <w:r w:rsidRPr="3BF92891">
        <w:rPr>
          <w:rFonts w:ascii="Verdana" w:eastAsia="Cambria" w:hAnsi="Verdana" w:cs="Cambria"/>
          <w:i w:val="0"/>
          <w:sz w:val="20"/>
          <w:szCs w:val="20"/>
          <w:lang w:val="es-ES"/>
        </w:rPr>
        <w:t xml:space="preserve"> sometidos a consideración de la Corte, por lo que no es admisible alegar nuevos hechos distintos de los planteados en dicho escrito, sin perjuicio de exponer aquellos que permitan explicar, aclarar o desestimar los que han sido mencionados en el Informe de Fondo, o bien, responder a las pretensiones de la Comisión (también llamados “hechos complementarios”). La excepción a este principio son los hechos que se califican como supervinientes, que podrán ser remitidos al Tribunal en cualquier estado del proceso antes de la emisión de la Sentencia</w:t>
      </w:r>
      <w:r w:rsidRPr="3BF92891">
        <w:rPr>
          <w:rStyle w:val="Refdenotaalpie"/>
          <w:rFonts w:ascii="Verdana" w:eastAsia="Cambria" w:hAnsi="Verdana"/>
          <w:i w:val="0"/>
          <w:sz w:val="20"/>
          <w:lang w:val="es-ES"/>
        </w:rPr>
        <w:footnoteReference w:id="45"/>
      </w:r>
      <w:r w:rsidRPr="3BF92891">
        <w:rPr>
          <w:rFonts w:ascii="Verdana" w:eastAsia="Cambria" w:hAnsi="Verdana" w:cs="Cambria"/>
          <w:i w:val="0"/>
          <w:sz w:val="20"/>
          <w:szCs w:val="20"/>
          <w:lang w:val="es-ES"/>
        </w:rPr>
        <w:t>.</w:t>
      </w:r>
    </w:p>
    <w:p w14:paraId="57F02B34" w14:textId="411BEC37" w:rsidR="004E0FD5" w:rsidRPr="00351298" w:rsidRDefault="00066CB5" w:rsidP="00F4275F">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351298">
        <w:rPr>
          <w:rFonts w:ascii="Verdana" w:eastAsia="Cambria" w:hAnsi="Verdana" w:cs="Cambria"/>
          <w:i w:val="0"/>
          <w:iCs/>
          <w:sz w:val="20"/>
          <w:szCs w:val="20"/>
          <w:lang w:val="es-ES_tradnl"/>
        </w:rPr>
        <w:t>En el presente caso, la Corte nota que el marco fáctico del caso establecido por la Comisión no se refiere a un contexto político. Las únicas alusiones al contexto que realiza la Comisión en dicho informe son aquellas relacionadas con la aplicación del arraigo y de la prisión preventiva oficiosa. De conformidad con lo anterior, la Corte no incluirá esos hechos nuevos de contexto político presentado</w:t>
      </w:r>
      <w:r w:rsidR="00F54065" w:rsidRPr="00351298">
        <w:rPr>
          <w:rFonts w:ascii="Verdana" w:eastAsia="Cambria" w:hAnsi="Verdana" w:cs="Cambria"/>
          <w:i w:val="0"/>
          <w:iCs/>
          <w:sz w:val="20"/>
          <w:szCs w:val="20"/>
          <w:lang w:val="es-ES_tradnl"/>
        </w:rPr>
        <w:t xml:space="preserve">s </w:t>
      </w:r>
      <w:r w:rsidRPr="00351298">
        <w:rPr>
          <w:rFonts w:ascii="Verdana" w:eastAsia="Cambria" w:hAnsi="Verdana" w:cs="Cambria"/>
          <w:i w:val="0"/>
          <w:iCs/>
          <w:sz w:val="20"/>
          <w:szCs w:val="20"/>
          <w:lang w:val="es-ES_tradnl"/>
        </w:rPr>
        <w:t xml:space="preserve">por los representantes a la base fáctica del caso. </w:t>
      </w:r>
    </w:p>
    <w:p w14:paraId="23239301" w14:textId="2CF28B6D" w:rsidR="009D04B6" w:rsidRPr="00351298" w:rsidRDefault="0085104D" w:rsidP="00871FCE">
      <w:pPr>
        <w:pStyle w:val="Ttulo1"/>
        <w:rPr>
          <w:rFonts w:ascii="Verdana" w:hAnsi="Verdana"/>
          <w:sz w:val="20"/>
          <w:lang w:val="es-ES_tradnl"/>
        </w:rPr>
      </w:pPr>
      <w:bookmarkStart w:id="48" w:name="_Toc132133898"/>
      <w:r w:rsidRPr="00351298">
        <w:rPr>
          <w:rFonts w:ascii="Verdana" w:hAnsi="Verdana"/>
          <w:caps w:val="0"/>
          <w:sz w:val="20"/>
          <w:lang w:val="es-ES_tradnl"/>
        </w:rPr>
        <w:lastRenderedPageBreak/>
        <w:t>V</w:t>
      </w:r>
      <w:r w:rsidR="0088005F" w:rsidRPr="00351298">
        <w:rPr>
          <w:rFonts w:ascii="Verdana" w:hAnsi="Verdana"/>
          <w:caps w:val="0"/>
          <w:sz w:val="20"/>
          <w:lang w:val="es-ES_tradnl"/>
        </w:rPr>
        <w:t>I</w:t>
      </w:r>
      <w:r w:rsidR="00CB6E94" w:rsidRPr="00351298">
        <w:rPr>
          <w:rFonts w:ascii="Verdana" w:hAnsi="Verdana"/>
          <w:caps w:val="0"/>
          <w:color w:val="FDE9D9" w:themeColor="accent6" w:themeTint="33"/>
          <w:sz w:val="20"/>
          <w:lang w:val="es-ES_tradnl"/>
        </w:rPr>
        <w:t>.</w:t>
      </w:r>
      <w:r w:rsidR="004D44B3" w:rsidRPr="00351298">
        <w:rPr>
          <w:rFonts w:ascii="Verdana" w:hAnsi="Verdana"/>
          <w:sz w:val="20"/>
          <w:lang w:val="es-ES_tradnl"/>
        </w:rPr>
        <w:br/>
        <w:t>PRUEBA</w:t>
      </w:r>
      <w:bookmarkEnd w:id="48"/>
    </w:p>
    <w:p w14:paraId="160F0FD5" w14:textId="099AEF72" w:rsidR="00F84CF9" w:rsidRPr="009D520B" w:rsidRDefault="004D44B3" w:rsidP="00F84CF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b/>
          <w:i w:val="0"/>
          <w:iCs/>
          <w:sz w:val="20"/>
          <w:szCs w:val="20"/>
          <w:lang w:val="es-ES"/>
        </w:rPr>
      </w:pPr>
      <w:r w:rsidRPr="6E159DF8">
        <w:rPr>
          <w:rFonts w:ascii="Verdana" w:hAnsi="Verdana"/>
          <w:i w:val="0"/>
          <w:sz w:val="20"/>
          <w:szCs w:val="20"/>
        </w:rPr>
        <w:t>El Tribunal admite los documentos presentados en la debida oportunidad procesal por las partes y la Comisión (artículo 57 del Reglamento), cuya admisibilidad no fue controvertida ni objetada</w:t>
      </w:r>
      <w:r w:rsidR="00067F0C" w:rsidRPr="6E159DF8">
        <w:rPr>
          <w:rFonts w:ascii="Verdana" w:hAnsi="Verdana"/>
          <w:i w:val="0"/>
          <w:sz w:val="20"/>
          <w:szCs w:val="20"/>
        </w:rPr>
        <w:t xml:space="preserve"> y</w:t>
      </w:r>
      <w:r w:rsidR="009D520B" w:rsidRPr="6E159DF8">
        <w:rPr>
          <w:rFonts w:ascii="Verdana" w:hAnsi="Verdana"/>
          <w:i w:val="0"/>
          <w:strike/>
          <w:sz w:val="20"/>
          <w:szCs w:val="20"/>
        </w:rPr>
        <w:t xml:space="preserve"> </w:t>
      </w:r>
      <w:r w:rsidRPr="6E159DF8">
        <w:rPr>
          <w:rFonts w:ascii="Verdana" w:hAnsi="Verdana"/>
          <w:i w:val="0"/>
          <w:sz w:val="20"/>
          <w:szCs w:val="20"/>
        </w:rPr>
        <w:t xml:space="preserve">cuya autenticidad </w:t>
      </w:r>
      <w:r w:rsidR="00293B72" w:rsidRPr="6E159DF8">
        <w:rPr>
          <w:rFonts w:ascii="Verdana" w:hAnsi="Verdana"/>
          <w:i w:val="0"/>
          <w:sz w:val="20"/>
          <w:szCs w:val="20"/>
        </w:rPr>
        <w:t xml:space="preserve">no </w:t>
      </w:r>
      <w:r w:rsidRPr="6E159DF8">
        <w:rPr>
          <w:rFonts w:ascii="Verdana" w:hAnsi="Verdana"/>
          <w:i w:val="0"/>
          <w:sz w:val="20"/>
          <w:szCs w:val="20"/>
        </w:rPr>
        <w:t>fue puesta en duda</w:t>
      </w:r>
      <w:r w:rsidRPr="6E159DF8">
        <w:rPr>
          <w:rFonts w:ascii="Verdana" w:hAnsi="Verdana"/>
          <w:i w:val="0"/>
          <w:sz w:val="20"/>
          <w:szCs w:val="20"/>
          <w:vertAlign w:val="superscript"/>
        </w:rPr>
        <w:footnoteReference w:id="46"/>
      </w:r>
      <w:r w:rsidRPr="6E159DF8">
        <w:rPr>
          <w:rFonts w:ascii="Verdana" w:hAnsi="Verdana"/>
          <w:i w:val="0"/>
          <w:sz w:val="20"/>
          <w:szCs w:val="20"/>
        </w:rPr>
        <w:t xml:space="preserve">. </w:t>
      </w:r>
      <w:r w:rsidR="009008A1" w:rsidRPr="6E159DF8">
        <w:rPr>
          <w:rFonts w:ascii="Verdana" w:hAnsi="Verdana"/>
          <w:i w:val="0"/>
          <w:sz w:val="20"/>
          <w:szCs w:val="20"/>
        </w:rPr>
        <w:t>Asimismo, la Corte estima pertinente admitir las declaraciones rendidas en audiencia pública</w:t>
      </w:r>
      <w:r w:rsidR="003D06BC" w:rsidRPr="6E159DF8">
        <w:rPr>
          <w:rStyle w:val="Refdenotaalpie"/>
          <w:rFonts w:ascii="Verdana" w:hAnsi="Verdana"/>
          <w:i w:val="0"/>
          <w:sz w:val="20"/>
        </w:rPr>
        <w:footnoteReference w:id="47"/>
      </w:r>
      <w:r w:rsidR="009008A1" w:rsidRPr="6E159DF8">
        <w:rPr>
          <w:rFonts w:ascii="Verdana" w:hAnsi="Verdana"/>
          <w:i w:val="0"/>
          <w:sz w:val="20"/>
          <w:szCs w:val="20"/>
        </w:rPr>
        <w:t xml:space="preserve"> y ante fedatario público</w:t>
      </w:r>
      <w:r w:rsidR="009008A1" w:rsidRPr="6E159DF8">
        <w:rPr>
          <w:rStyle w:val="Refdenotaalpie"/>
          <w:rFonts w:ascii="Verdana" w:hAnsi="Verdana"/>
          <w:i w:val="0"/>
          <w:sz w:val="20"/>
        </w:rPr>
        <w:footnoteReference w:id="48"/>
      </w:r>
      <w:r w:rsidR="009008A1" w:rsidRPr="6E159DF8">
        <w:rPr>
          <w:rFonts w:ascii="Verdana" w:hAnsi="Verdana"/>
          <w:i w:val="0"/>
          <w:sz w:val="20"/>
          <w:szCs w:val="20"/>
        </w:rPr>
        <w:t xml:space="preserve">, </w:t>
      </w:r>
      <w:r w:rsidR="003D06BC" w:rsidRPr="6E159DF8">
        <w:rPr>
          <w:rFonts w:ascii="Verdana" w:hAnsi="Verdana"/>
          <w:i w:val="0"/>
          <w:sz w:val="20"/>
          <w:szCs w:val="20"/>
          <w:lang w:val="es-ES"/>
        </w:rPr>
        <w:t xml:space="preserve">en la medida en que se ajusten al objeto que fue definido por la Presidencia en </w:t>
      </w:r>
      <w:r w:rsidR="004457CE">
        <w:rPr>
          <w:rFonts w:ascii="Verdana" w:hAnsi="Verdana"/>
          <w:i w:val="0"/>
          <w:sz w:val="20"/>
          <w:szCs w:val="20"/>
          <w:lang w:val="es-ES"/>
        </w:rPr>
        <w:t>las</w:t>
      </w:r>
      <w:r w:rsidR="004457CE" w:rsidRPr="6E159DF8">
        <w:rPr>
          <w:rFonts w:ascii="Verdana" w:hAnsi="Verdana"/>
          <w:i w:val="0"/>
          <w:sz w:val="20"/>
          <w:szCs w:val="20"/>
          <w:lang w:val="es-ES"/>
        </w:rPr>
        <w:t xml:space="preserve"> </w:t>
      </w:r>
      <w:r w:rsidR="00F04808" w:rsidRPr="6E159DF8">
        <w:rPr>
          <w:rFonts w:ascii="Verdana" w:hAnsi="Verdana"/>
          <w:i w:val="0"/>
          <w:sz w:val="20"/>
          <w:szCs w:val="20"/>
          <w:lang w:val="es-ES"/>
        </w:rPr>
        <w:t>r</w:t>
      </w:r>
      <w:r w:rsidR="003D06BC" w:rsidRPr="6E159DF8">
        <w:rPr>
          <w:rFonts w:ascii="Verdana" w:hAnsi="Verdana"/>
          <w:i w:val="0"/>
          <w:sz w:val="20"/>
          <w:szCs w:val="20"/>
          <w:lang w:val="es-ES"/>
        </w:rPr>
        <w:t>esoluc</w:t>
      </w:r>
      <w:r w:rsidR="004457CE">
        <w:rPr>
          <w:rFonts w:ascii="Verdana" w:hAnsi="Verdana"/>
          <w:i w:val="0"/>
          <w:sz w:val="20"/>
          <w:szCs w:val="20"/>
          <w:lang w:val="es-ES"/>
        </w:rPr>
        <w:t>iones</w:t>
      </w:r>
      <w:r w:rsidR="003D06BC" w:rsidRPr="6E159DF8">
        <w:rPr>
          <w:rFonts w:ascii="Verdana" w:hAnsi="Verdana"/>
          <w:i w:val="0"/>
          <w:sz w:val="20"/>
          <w:szCs w:val="20"/>
          <w:lang w:val="es-ES"/>
        </w:rPr>
        <w:t xml:space="preserve"> mediante la</w:t>
      </w:r>
      <w:r w:rsidR="004457CE">
        <w:rPr>
          <w:rFonts w:ascii="Verdana" w:hAnsi="Verdana"/>
          <w:i w:val="0"/>
          <w:sz w:val="20"/>
          <w:szCs w:val="20"/>
          <w:lang w:val="es-ES"/>
        </w:rPr>
        <w:t>s</w:t>
      </w:r>
      <w:r w:rsidR="003D06BC" w:rsidRPr="6E159DF8">
        <w:rPr>
          <w:rFonts w:ascii="Verdana" w:hAnsi="Verdana"/>
          <w:i w:val="0"/>
          <w:sz w:val="20"/>
          <w:szCs w:val="20"/>
          <w:lang w:val="es-ES"/>
        </w:rPr>
        <w:t xml:space="preserve"> cual</w:t>
      </w:r>
      <w:r w:rsidR="004457CE">
        <w:rPr>
          <w:rFonts w:ascii="Verdana" w:hAnsi="Verdana"/>
          <w:i w:val="0"/>
          <w:sz w:val="20"/>
          <w:szCs w:val="20"/>
          <w:lang w:val="es-ES"/>
        </w:rPr>
        <w:t>es</w:t>
      </w:r>
      <w:r w:rsidR="003D06BC" w:rsidRPr="6E159DF8">
        <w:rPr>
          <w:rFonts w:ascii="Verdana" w:hAnsi="Verdana"/>
          <w:i w:val="0"/>
          <w:sz w:val="20"/>
          <w:szCs w:val="20"/>
          <w:lang w:val="es-ES"/>
        </w:rPr>
        <w:t xml:space="preserve"> se ordenó recibirl</w:t>
      </w:r>
      <w:r w:rsidR="00F04808" w:rsidRPr="6E159DF8">
        <w:rPr>
          <w:rFonts w:ascii="Verdana" w:hAnsi="Verdana"/>
          <w:i w:val="0"/>
          <w:sz w:val="20"/>
          <w:szCs w:val="20"/>
          <w:lang w:val="es-ES"/>
        </w:rPr>
        <w:t>a</w:t>
      </w:r>
      <w:r w:rsidR="003D06BC" w:rsidRPr="6E159DF8">
        <w:rPr>
          <w:rFonts w:ascii="Verdana" w:hAnsi="Verdana"/>
          <w:i w:val="0"/>
          <w:sz w:val="20"/>
          <w:szCs w:val="20"/>
          <w:lang w:val="es-ES"/>
        </w:rPr>
        <w:t xml:space="preserve">s </w:t>
      </w:r>
      <w:r w:rsidR="00F04808" w:rsidRPr="6E159DF8">
        <w:rPr>
          <w:rFonts w:ascii="Verdana" w:hAnsi="Verdana"/>
          <w:i w:val="0"/>
          <w:sz w:val="20"/>
          <w:szCs w:val="20"/>
          <w:lang w:val="es-ES"/>
        </w:rPr>
        <w:t>en el</w:t>
      </w:r>
      <w:r w:rsidR="003D06BC" w:rsidRPr="6E159DF8">
        <w:rPr>
          <w:rFonts w:ascii="Verdana" w:hAnsi="Verdana"/>
          <w:i w:val="0"/>
          <w:sz w:val="20"/>
          <w:szCs w:val="20"/>
          <w:lang w:val="es-ES"/>
        </w:rPr>
        <w:t xml:space="preserve"> presente caso</w:t>
      </w:r>
      <w:r w:rsidR="003D06BC" w:rsidRPr="6E159DF8">
        <w:rPr>
          <w:rFonts w:ascii="Verdana" w:hAnsi="Verdana"/>
          <w:i w:val="0"/>
          <w:sz w:val="20"/>
          <w:szCs w:val="20"/>
          <w:vertAlign w:val="superscript"/>
          <w:lang w:val="es-ES"/>
        </w:rPr>
        <w:footnoteReference w:id="49"/>
      </w:r>
      <w:r w:rsidR="009008A1" w:rsidRPr="6E159DF8">
        <w:rPr>
          <w:rFonts w:ascii="Verdana" w:hAnsi="Verdana"/>
          <w:i w:val="0"/>
          <w:sz w:val="20"/>
          <w:szCs w:val="20"/>
        </w:rPr>
        <w:t>.</w:t>
      </w:r>
      <w:r w:rsidR="00AD4D41" w:rsidRPr="6E159DF8">
        <w:rPr>
          <w:rFonts w:ascii="Verdana" w:hAnsi="Verdana"/>
          <w:i w:val="0"/>
          <w:sz w:val="20"/>
          <w:szCs w:val="20"/>
        </w:rPr>
        <w:t xml:space="preserve"> Además, la Corte acepta la documentación presentada por l</w:t>
      </w:r>
      <w:r w:rsidR="00933983" w:rsidRPr="6E159DF8">
        <w:rPr>
          <w:rFonts w:ascii="Verdana" w:hAnsi="Verdana"/>
          <w:i w:val="0"/>
          <w:sz w:val="20"/>
          <w:szCs w:val="20"/>
        </w:rPr>
        <w:t>o</w:t>
      </w:r>
      <w:r w:rsidR="00AD4D41" w:rsidRPr="6E159DF8">
        <w:rPr>
          <w:rFonts w:ascii="Verdana" w:hAnsi="Verdana"/>
          <w:i w:val="0"/>
          <w:sz w:val="20"/>
          <w:szCs w:val="20"/>
        </w:rPr>
        <w:t xml:space="preserve">s representantes junto con sus alegatos finales escritos </w:t>
      </w:r>
      <w:r w:rsidR="00D662DA" w:rsidRPr="6E159DF8">
        <w:rPr>
          <w:rFonts w:ascii="Verdana" w:hAnsi="Verdana"/>
          <w:i w:val="0"/>
          <w:sz w:val="20"/>
          <w:szCs w:val="20"/>
        </w:rPr>
        <w:t xml:space="preserve">y los </w:t>
      </w:r>
      <w:r w:rsidR="00AD4D41" w:rsidRPr="6E159DF8">
        <w:rPr>
          <w:rFonts w:ascii="Verdana" w:hAnsi="Verdana"/>
          <w:i w:val="0"/>
          <w:sz w:val="20"/>
          <w:szCs w:val="20"/>
        </w:rPr>
        <w:t>comprobantes relacionados con el litigio del caso ante esta Corte</w:t>
      </w:r>
      <w:r w:rsidR="00B52C7D" w:rsidRPr="6E159DF8">
        <w:rPr>
          <w:rFonts w:ascii="Verdana" w:hAnsi="Verdana"/>
          <w:i w:val="0"/>
          <w:sz w:val="20"/>
          <w:szCs w:val="20"/>
        </w:rPr>
        <w:t xml:space="preserve"> </w:t>
      </w:r>
      <w:r w:rsidR="009E7C8A" w:rsidRPr="6E159DF8">
        <w:rPr>
          <w:rFonts w:ascii="Verdana" w:hAnsi="Verdana"/>
          <w:i w:val="0"/>
          <w:sz w:val="20"/>
          <w:szCs w:val="20"/>
        </w:rPr>
        <w:t>e</w:t>
      </w:r>
      <w:r w:rsidR="00B52C7D" w:rsidRPr="6E159DF8">
        <w:rPr>
          <w:rFonts w:ascii="Verdana" w:hAnsi="Verdana"/>
          <w:i w:val="0"/>
          <w:sz w:val="20"/>
          <w:szCs w:val="20"/>
        </w:rPr>
        <w:t>n tanto se refi</w:t>
      </w:r>
      <w:r w:rsidR="009E7C8A" w:rsidRPr="6E159DF8">
        <w:rPr>
          <w:rFonts w:ascii="Verdana" w:hAnsi="Verdana"/>
          <w:i w:val="0"/>
          <w:sz w:val="20"/>
          <w:szCs w:val="20"/>
        </w:rPr>
        <w:t>e</w:t>
      </w:r>
      <w:r w:rsidR="00B52C7D" w:rsidRPr="6E159DF8">
        <w:rPr>
          <w:rFonts w:ascii="Verdana" w:hAnsi="Verdana"/>
          <w:i w:val="0"/>
          <w:sz w:val="20"/>
          <w:szCs w:val="20"/>
        </w:rPr>
        <w:t>ren a costa</w:t>
      </w:r>
      <w:r w:rsidR="00A31CC9" w:rsidRPr="6E159DF8">
        <w:rPr>
          <w:rFonts w:ascii="Verdana" w:hAnsi="Verdana"/>
          <w:i w:val="0"/>
          <w:sz w:val="20"/>
          <w:szCs w:val="20"/>
        </w:rPr>
        <w:t>s</w:t>
      </w:r>
      <w:r w:rsidR="00B52C7D" w:rsidRPr="6E159DF8">
        <w:rPr>
          <w:rFonts w:ascii="Verdana" w:hAnsi="Verdana"/>
          <w:i w:val="0"/>
          <w:sz w:val="20"/>
          <w:szCs w:val="20"/>
        </w:rPr>
        <w:t xml:space="preserve"> y gastos</w:t>
      </w:r>
      <w:r w:rsidR="009E7C8A" w:rsidRPr="6E159DF8">
        <w:rPr>
          <w:rStyle w:val="Refdenotaalpie"/>
          <w:rFonts w:ascii="Verdana" w:hAnsi="Verdana"/>
          <w:i w:val="0"/>
          <w:sz w:val="20"/>
        </w:rPr>
        <w:footnoteReference w:id="50"/>
      </w:r>
      <w:r w:rsidR="00B52C7D" w:rsidRPr="6E159DF8">
        <w:rPr>
          <w:rFonts w:ascii="Verdana" w:hAnsi="Verdana"/>
          <w:i w:val="0"/>
          <w:sz w:val="20"/>
          <w:szCs w:val="20"/>
        </w:rPr>
        <w:t>.</w:t>
      </w:r>
      <w:r w:rsidR="0000150A" w:rsidRPr="6E159DF8">
        <w:rPr>
          <w:rFonts w:ascii="Verdana" w:hAnsi="Verdana"/>
          <w:i w:val="0"/>
          <w:sz w:val="20"/>
          <w:szCs w:val="20"/>
        </w:rPr>
        <w:t xml:space="preserve"> </w:t>
      </w:r>
      <w:bookmarkStart w:id="49" w:name="B._Admisibilidad_de_la_prueba_testimonia"/>
      <w:bookmarkStart w:id="50" w:name="_bookmark44"/>
      <w:bookmarkEnd w:id="49"/>
      <w:bookmarkEnd w:id="50"/>
      <w:r w:rsidR="007E30E1">
        <w:rPr>
          <w:rFonts w:ascii="Verdana" w:hAnsi="Verdana"/>
          <w:i w:val="0"/>
          <w:sz w:val="20"/>
          <w:szCs w:val="20"/>
        </w:rPr>
        <w:t>Por otro lado, el Tribunal admite la prueba superviviente presentada por el Estado junto con sus alegatos finales escritos</w:t>
      </w:r>
      <w:r w:rsidR="007E30E1" w:rsidRPr="6E159DF8">
        <w:rPr>
          <w:rStyle w:val="Refdenotaalpie"/>
          <w:rFonts w:ascii="Verdana" w:hAnsi="Verdana"/>
          <w:i w:val="0"/>
          <w:sz w:val="20"/>
        </w:rPr>
        <w:footnoteReference w:id="51"/>
      </w:r>
      <w:r w:rsidR="007E30E1">
        <w:rPr>
          <w:rFonts w:ascii="Verdana" w:hAnsi="Verdana"/>
          <w:i w:val="0"/>
          <w:sz w:val="20"/>
          <w:szCs w:val="20"/>
        </w:rPr>
        <w:t xml:space="preserve">. </w:t>
      </w:r>
      <w:r w:rsidR="00F54065" w:rsidRPr="6E159DF8">
        <w:rPr>
          <w:rFonts w:ascii="Verdana" w:hAnsi="Verdana"/>
          <w:i w:val="0"/>
          <w:sz w:val="20"/>
          <w:szCs w:val="20"/>
        </w:rPr>
        <w:t>Del mismo modo</w:t>
      </w:r>
      <w:r w:rsidR="00F4275F" w:rsidRPr="6E159DF8">
        <w:rPr>
          <w:rFonts w:ascii="Verdana" w:hAnsi="Verdana"/>
          <w:i w:val="0"/>
          <w:sz w:val="20"/>
          <w:szCs w:val="20"/>
        </w:rPr>
        <w:t>, la Corte admite la prueba super</w:t>
      </w:r>
      <w:r w:rsidR="00E216F5" w:rsidRPr="6E159DF8">
        <w:rPr>
          <w:rFonts w:ascii="Verdana" w:hAnsi="Verdana"/>
          <w:i w:val="0"/>
          <w:sz w:val="20"/>
          <w:szCs w:val="20"/>
        </w:rPr>
        <w:t>v</w:t>
      </w:r>
      <w:r w:rsidR="00F4275F" w:rsidRPr="6E159DF8">
        <w:rPr>
          <w:rFonts w:ascii="Verdana" w:hAnsi="Verdana"/>
          <w:i w:val="0"/>
          <w:sz w:val="20"/>
          <w:szCs w:val="20"/>
        </w:rPr>
        <w:t>iniente presentada por los representantes en relación con la Sentencia de condena en primera instancia de 12 de mayo de 2022 contra las presuntas víctimas</w:t>
      </w:r>
      <w:r w:rsidR="00057A46" w:rsidRPr="6E159DF8">
        <w:rPr>
          <w:rStyle w:val="Refdenotaalpie"/>
          <w:rFonts w:ascii="Verdana" w:hAnsi="Verdana"/>
          <w:i w:val="0"/>
          <w:sz w:val="20"/>
        </w:rPr>
        <w:footnoteReference w:id="52"/>
      </w:r>
      <w:r w:rsidR="00F4275F" w:rsidRPr="6E159DF8">
        <w:rPr>
          <w:rFonts w:ascii="Verdana" w:hAnsi="Verdana"/>
          <w:i w:val="0"/>
          <w:sz w:val="20"/>
          <w:szCs w:val="20"/>
        </w:rPr>
        <w:t>.</w:t>
      </w:r>
      <w:r w:rsidR="004457CE">
        <w:rPr>
          <w:rFonts w:ascii="Verdana" w:hAnsi="Verdana"/>
          <w:i w:val="0"/>
          <w:sz w:val="20"/>
          <w:szCs w:val="20"/>
        </w:rPr>
        <w:t xml:space="preserve"> </w:t>
      </w:r>
    </w:p>
    <w:p w14:paraId="53DAAB67" w14:textId="6F81FCF5" w:rsidR="0022482D" w:rsidRPr="009D520B" w:rsidRDefault="003A07E3" w:rsidP="005B635B">
      <w:pPr>
        <w:pStyle w:val="Ttulo1"/>
        <w:rPr>
          <w:rFonts w:ascii="Verdana" w:hAnsi="Verdana"/>
          <w:b w:val="0"/>
          <w:bCs w:val="0"/>
          <w:caps w:val="0"/>
          <w:sz w:val="20"/>
          <w:lang w:val="es-ES_tradnl"/>
        </w:rPr>
      </w:pPr>
      <w:bookmarkStart w:id="51" w:name="_Toc476251455"/>
      <w:bookmarkStart w:id="52" w:name="_Toc15303996"/>
      <w:bookmarkStart w:id="53" w:name="_Toc132133899"/>
      <w:bookmarkStart w:id="54" w:name="_Toc476251456"/>
      <w:bookmarkStart w:id="55" w:name="_Toc15303999"/>
      <w:r w:rsidRPr="00351298">
        <w:rPr>
          <w:rFonts w:ascii="Verdana" w:hAnsi="Verdana"/>
          <w:caps w:val="0"/>
          <w:sz w:val="20"/>
          <w:lang w:val="es-ES_tradnl"/>
        </w:rPr>
        <w:lastRenderedPageBreak/>
        <w:t>V</w:t>
      </w:r>
      <w:r w:rsidR="0085104D" w:rsidRPr="00351298">
        <w:rPr>
          <w:rFonts w:ascii="Verdana" w:hAnsi="Verdana"/>
          <w:caps w:val="0"/>
          <w:sz w:val="20"/>
          <w:lang w:val="es-ES_tradnl"/>
        </w:rPr>
        <w:t>I</w:t>
      </w:r>
      <w:r w:rsidR="0088005F" w:rsidRPr="00351298">
        <w:rPr>
          <w:rFonts w:ascii="Verdana" w:hAnsi="Verdana"/>
          <w:caps w:val="0"/>
          <w:sz w:val="20"/>
          <w:lang w:val="es-ES_tradnl"/>
        </w:rPr>
        <w:t>I</w:t>
      </w:r>
      <w:r w:rsidR="00CB6E94" w:rsidRPr="00351298">
        <w:rPr>
          <w:rFonts w:ascii="Verdana" w:hAnsi="Verdana"/>
          <w:caps w:val="0"/>
          <w:color w:val="FDE9D9" w:themeColor="accent6" w:themeTint="33"/>
          <w:sz w:val="20"/>
          <w:lang w:val="es-ES_tradnl"/>
        </w:rPr>
        <w:t>.</w:t>
      </w:r>
      <w:r w:rsidRPr="00351298">
        <w:rPr>
          <w:rFonts w:ascii="Verdana" w:hAnsi="Verdana"/>
          <w:caps w:val="0"/>
          <w:sz w:val="20"/>
          <w:lang w:val="es-ES_tradnl"/>
        </w:rPr>
        <w:br/>
      </w:r>
      <w:r w:rsidRPr="009D520B">
        <w:rPr>
          <w:rFonts w:ascii="Verdana" w:hAnsi="Verdana"/>
          <w:caps w:val="0"/>
          <w:sz w:val="20"/>
          <w:lang w:val="es-ES_tradnl"/>
        </w:rPr>
        <w:t>HECHOS</w:t>
      </w:r>
      <w:bookmarkEnd w:id="51"/>
      <w:bookmarkEnd w:id="52"/>
      <w:bookmarkEnd w:id="53"/>
    </w:p>
    <w:p w14:paraId="06AB7C50" w14:textId="17B7D6F5" w:rsidR="00630B6F" w:rsidRPr="009D520B" w:rsidRDefault="00630B6F" w:rsidP="00630B6F">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rPr>
      </w:pPr>
      <w:r w:rsidRPr="009D520B">
        <w:rPr>
          <w:rFonts w:ascii="Verdana" w:hAnsi="Verdana"/>
          <w:i w:val="0"/>
          <w:iCs/>
          <w:sz w:val="20"/>
          <w:szCs w:val="20"/>
        </w:rPr>
        <w:t>En este capítulo, la Corte establecerá los hechos que se tendrán por probados en el presente caso de acuerdo con el acervo probatorio que ha sido admitido</w:t>
      </w:r>
      <w:r w:rsidR="005F0226">
        <w:rPr>
          <w:rFonts w:ascii="Verdana" w:hAnsi="Verdana"/>
          <w:i w:val="0"/>
          <w:iCs/>
          <w:sz w:val="20"/>
          <w:szCs w:val="20"/>
        </w:rPr>
        <w:t xml:space="preserve"> y</w:t>
      </w:r>
      <w:r w:rsidRPr="009D520B">
        <w:rPr>
          <w:rFonts w:ascii="Verdana" w:hAnsi="Verdana"/>
          <w:i w:val="0"/>
          <w:iCs/>
          <w:sz w:val="20"/>
          <w:szCs w:val="20"/>
        </w:rPr>
        <w:t xml:space="preserve"> el marco fáctico establecido en el Informe de Fondo. Además, se incluirán los hechos expuestos por las partes que permitan explicar, aclarar o desestimar ese marco fáctico. </w:t>
      </w:r>
      <w:r w:rsidR="0028006E" w:rsidRPr="009D520B">
        <w:rPr>
          <w:rFonts w:ascii="Verdana" w:hAnsi="Verdana"/>
          <w:i w:val="0"/>
          <w:iCs/>
          <w:sz w:val="20"/>
          <w:szCs w:val="20"/>
        </w:rPr>
        <w:t>La</w:t>
      </w:r>
      <w:r w:rsidR="005005D3" w:rsidRPr="009D520B">
        <w:rPr>
          <w:rFonts w:ascii="Verdana" w:hAnsi="Verdana"/>
          <w:i w:val="0"/>
          <w:iCs/>
          <w:sz w:val="20"/>
          <w:szCs w:val="20"/>
        </w:rPr>
        <w:t xml:space="preserve"> referida exposición se hace </w:t>
      </w:r>
      <w:r w:rsidR="00DF2FDA" w:rsidRPr="009D520B">
        <w:rPr>
          <w:rFonts w:ascii="Verdana" w:hAnsi="Verdana"/>
          <w:i w:val="0"/>
          <w:iCs/>
          <w:sz w:val="20"/>
          <w:szCs w:val="20"/>
        </w:rPr>
        <w:t>conforme al siguiente orden</w:t>
      </w:r>
      <w:r w:rsidR="004A2315" w:rsidRPr="009D520B">
        <w:rPr>
          <w:rFonts w:ascii="Verdana" w:hAnsi="Verdana" w:cs="Verdana"/>
          <w:i w:val="0"/>
          <w:iCs/>
          <w:sz w:val="20"/>
          <w:szCs w:val="20"/>
        </w:rPr>
        <w:t>: a</w:t>
      </w:r>
      <w:r w:rsidRPr="009D520B">
        <w:rPr>
          <w:rFonts w:ascii="Verdana" w:hAnsi="Verdana" w:cs="Verdana"/>
          <w:i w:val="0"/>
          <w:iCs/>
          <w:sz w:val="20"/>
          <w:szCs w:val="20"/>
        </w:rPr>
        <w:t>)</w:t>
      </w:r>
      <w:r w:rsidR="008C5B93" w:rsidRPr="009D520B">
        <w:rPr>
          <w:rFonts w:ascii="Verdana" w:hAnsi="Verdana" w:cs="Verdana"/>
          <w:i w:val="0"/>
          <w:iCs/>
          <w:sz w:val="20"/>
          <w:szCs w:val="20"/>
        </w:rPr>
        <w:t xml:space="preserve"> </w:t>
      </w:r>
      <w:r w:rsidR="00BC6373" w:rsidRPr="009D520B">
        <w:rPr>
          <w:rFonts w:ascii="Verdana" w:hAnsi="Verdana" w:cs="Verdana"/>
          <w:i w:val="0"/>
          <w:iCs/>
          <w:sz w:val="20"/>
          <w:szCs w:val="20"/>
        </w:rPr>
        <w:t>marco</w:t>
      </w:r>
      <w:r w:rsidRPr="009D520B">
        <w:rPr>
          <w:rFonts w:ascii="Verdana" w:hAnsi="Verdana" w:cs="Verdana"/>
          <w:i w:val="0"/>
          <w:iCs/>
          <w:sz w:val="20"/>
          <w:szCs w:val="20"/>
        </w:rPr>
        <w:t xml:space="preserve"> </w:t>
      </w:r>
      <w:r w:rsidR="00A005FC" w:rsidRPr="009D520B">
        <w:rPr>
          <w:rFonts w:ascii="Verdana" w:hAnsi="Verdana" w:cs="Verdana"/>
          <w:i w:val="0"/>
          <w:iCs/>
          <w:sz w:val="20"/>
          <w:szCs w:val="20"/>
        </w:rPr>
        <w:t>normativo</w:t>
      </w:r>
      <w:r w:rsidR="005F0226">
        <w:rPr>
          <w:rFonts w:ascii="Verdana" w:hAnsi="Verdana" w:cs="Verdana"/>
          <w:i w:val="0"/>
          <w:iCs/>
          <w:sz w:val="20"/>
          <w:szCs w:val="20"/>
        </w:rPr>
        <w:t xml:space="preserve"> relevante</w:t>
      </w:r>
      <w:r w:rsidR="00A005FC" w:rsidRPr="009D520B">
        <w:rPr>
          <w:rFonts w:ascii="Verdana" w:hAnsi="Verdana" w:cs="Verdana"/>
          <w:i w:val="0"/>
          <w:iCs/>
          <w:sz w:val="20"/>
          <w:szCs w:val="20"/>
        </w:rPr>
        <w:t xml:space="preserve">; b) </w:t>
      </w:r>
      <w:r w:rsidR="00BC6373" w:rsidRPr="009D520B">
        <w:rPr>
          <w:rFonts w:ascii="Verdana" w:hAnsi="Verdana" w:cs="Verdana"/>
          <w:i w:val="0"/>
          <w:iCs/>
          <w:sz w:val="20"/>
          <w:szCs w:val="20"/>
        </w:rPr>
        <w:t>sobre</w:t>
      </w:r>
      <w:r w:rsidR="004F6525" w:rsidRPr="009D520B">
        <w:rPr>
          <w:rFonts w:ascii="Verdana" w:hAnsi="Verdana" w:cs="Verdana"/>
          <w:i w:val="0"/>
          <w:iCs/>
          <w:sz w:val="20"/>
          <w:szCs w:val="20"/>
        </w:rPr>
        <w:t xml:space="preserve"> Daniel García Rodríguez y Reyes Alpízar Ortiz; </w:t>
      </w:r>
      <w:r w:rsidR="00A005FC" w:rsidRPr="009D520B">
        <w:rPr>
          <w:rFonts w:ascii="Verdana" w:hAnsi="Verdana" w:cs="Verdana"/>
          <w:i w:val="0"/>
          <w:iCs/>
          <w:sz w:val="20"/>
          <w:szCs w:val="20"/>
        </w:rPr>
        <w:t>c</w:t>
      </w:r>
      <w:r w:rsidR="004F6525" w:rsidRPr="009D520B">
        <w:rPr>
          <w:rFonts w:ascii="Verdana" w:hAnsi="Verdana" w:cs="Verdana"/>
          <w:i w:val="0"/>
          <w:iCs/>
          <w:sz w:val="20"/>
          <w:szCs w:val="20"/>
        </w:rPr>
        <w:t xml:space="preserve">) la detención, el arraigo y el auto de prisión contra Daniel García Rodríguez; </w:t>
      </w:r>
      <w:r w:rsidR="00A005FC" w:rsidRPr="009D520B">
        <w:rPr>
          <w:rFonts w:ascii="Verdana" w:hAnsi="Verdana" w:cs="Verdana"/>
          <w:i w:val="0"/>
          <w:iCs/>
          <w:sz w:val="20"/>
          <w:szCs w:val="20"/>
        </w:rPr>
        <w:t>d</w:t>
      </w:r>
      <w:r w:rsidR="004F6525" w:rsidRPr="009D520B">
        <w:rPr>
          <w:rFonts w:ascii="Verdana" w:hAnsi="Verdana" w:cs="Verdana"/>
          <w:i w:val="0"/>
          <w:iCs/>
          <w:sz w:val="20"/>
          <w:szCs w:val="20"/>
        </w:rPr>
        <w:t xml:space="preserve">) la detención, el arraigo y el auto de prisión contra Reyes Alpízar Ortiz; </w:t>
      </w:r>
      <w:r w:rsidR="00A005FC" w:rsidRPr="009D520B">
        <w:rPr>
          <w:rFonts w:ascii="Verdana" w:hAnsi="Verdana" w:cs="Verdana"/>
          <w:i w:val="0"/>
          <w:iCs/>
          <w:sz w:val="20"/>
          <w:szCs w:val="20"/>
        </w:rPr>
        <w:t>e</w:t>
      </w:r>
      <w:r w:rsidR="004F6525" w:rsidRPr="009D520B">
        <w:rPr>
          <w:rFonts w:ascii="Verdana" w:hAnsi="Verdana" w:cs="Verdana"/>
          <w:i w:val="0"/>
          <w:iCs/>
          <w:sz w:val="20"/>
          <w:szCs w:val="20"/>
        </w:rPr>
        <w:t>) el proceso penal y la prisión preventiva de Daniel García Rodríguez y de Reyes Alpízar Ortiz</w:t>
      </w:r>
      <w:r w:rsidR="003B0793" w:rsidRPr="009D520B">
        <w:rPr>
          <w:rFonts w:ascii="Verdana" w:hAnsi="Verdana" w:cs="Verdana"/>
          <w:i w:val="0"/>
          <w:iCs/>
          <w:sz w:val="20"/>
          <w:szCs w:val="20"/>
        </w:rPr>
        <w:t xml:space="preserve">, y </w:t>
      </w:r>
      <w:r w:rsidR="00A005FC" w:rsidRPr="009D520B">
        <w:rPr>
          <w:rFonts w:ascii="Verdana" w:hAnsi="Verdana" w:cs="Verdana"/>
          <w:i w:val="0"/>
          <w:iCs/>
          <w:sz w:val="20"/>
          <w:szCs w:val="20"/>
        </w:rPr>
        <w:t>f</w:t>
      </w:r>
      <w:r w:rsidR="004F6525" w:rsidRPr="009D520B">
        <w:rPr>
          <w:rFonts w:ascii="Verdana" w:hAnsi="Verdana" w:cs="Verdana"/>
          <w:i w:val="0"/>
          <w:iCs/>
          <w:sz w:val="20"/>
          <w:szCs w:val="20"/>
        </w:rPr>
        <w:t>)</w:t>
      </w:r>
      <w:r w:rsidR="003B0793" w:rsidRPr="009D520B">
        <w:rPr>
          <w:rFonts w:ascii="Verdana" w:hAnsi="Verdana" w:cs="Verdana"/>
          <w:i w:val="0"/>
          <w:iCs/>
          <w:sz w:val="20"/>
          <w:szCs w:val="20"/>
        </w:rPr>
        <w:t xml:space="preserve"> </w:t>
      </w:r>
      <w:r w:rsidR="007F4456">
        <w:rPr>
          <w:rFonts w:ascii="Verdana" w:hAnsi="Verdana" w:cs="Verdana"/>
          <w:i w:val="0"/>
          <w:iCs/>
          <w:sz w:val="20"/>
          <w:szCs w:val="20"/>
        </w:rPr>
        <w:t>l</w:t>
      </w:r>
      <w:r w:rsidR="00C34C07" w:rsidRPr="009D520B">
        <w:rPr>
          <w:rFonts w:ascii="Verdana" w:hAnsi="Verdana" w:cs="Verdana"/>
          <w:i w:val="0"/>
          <w:iCs/>
          <w:sz w:val="20"/>
          <w:szCs w:val="20"/>
        </w:rPr>
        <w:t xml:space="preserve">as denuncias por </w:t>
      </w:r>
      <w:r w:rsidR="00DA5CD0" w:rsidRPr="009D520B">
        <w:rPr>
          <w:rFonts w:ascii="Verdana" w:hAnsi="Verdana" w:cs="Verdana"/>
          <w:i w:val="0"/>
          <w:iCs/>
          <w:sz w:val="20"/>
          <w:szCs w:val="20"/>
        </w:rPr>
        <w:t>los hechos de</w:t>
      </w:r>
      <w:r w:rsidR="003B0793" w:rsidRPr="009D520B">
        <w:rPr>
          <w:rFonts w:ascii="Verdana" w:hAnsi="Verdana" w:cs="Verdana"/>
          <w:i w:val="0"/>
          <w:iCs/>
          <w:sz w:val="20"/>
          <w:szCs w:val="20"/>
        </w:rPr>
        <w:t xml:space="preserve"> tortura que habría</w:t>
      </w:r>
      <w:r w:rsidR="007F4456">
        <w:rPr>
          <w:rFonts w:ascii="Verdana" w:hAnsi="Verdana" w:cs="Verdana"/>
          <w:i w:val="0"/>
          <w:iCs/>
          <w:sz w:val="20"/>
          <w:szCs w:val="20"/>
        </w:rPr>
        <w:t>n</w:t>
      </w:r>
      <w:r w:rsidR="003B0793" w:rsidRPr="009D520B">
        <w:rPr>
          <w:rFonts w:ascii="Verdana" w:hAnsi="Verdana" w:cs="Verdana"/>
          <w:i w:val="0"/>
          <w:iCs/>
          <w:sz w:val="20"/>
          <w:szCs w:val="20"/>
        </w:rPr>
        <w:t xml:space="preserve"> sufrido Reyes Alpízar Ortiz</w:t>
      </w:r>
      <w:r w:rsidR="00771BCD">
        <w:rPr>
          <w:rFonts w:ascii="Verdana" w:hAnsi="Verdana" w:cs="Verdana"/>
          <w:i w:val="0"/>
          <w:iCs/>
          <w:sz w:val="20"/>
          <w:szCs w:val="20"/>
        </w:rPr>
        <w:t xml:space="preserve"> y Daniel García Rodríguez</w:t>
      </w:r>
      <w:r w:rsidRPr="009D520B">
        <w:rPr>
          <w:rFonts w:ascii="Verdana" w:hAnsi="Verdana" w:cs="Verdana"/>
          <w:i w:val="0"/>
          <w:iCs/>
          <w:sz w:val="20"/>
          <w:szCs w:val="20"/>
        </w:rPr>
        <w:t>.</w:t>
      </w:r>
    </w:p>
    <w:p w14:paraId="0772453B" w14:textId="77777777" w:rsidR="001B2589" w:rsidRPr="009D520B" w:rsidRDefault="001B2589" w:rsidP="004C27D1">
      <w:pPr>
        <w:pStyle w:val="Ttulo2"/>
        <w:numPr>
          <w:ilvl w:val="0"/>
          <w:numId w:val="8"/>
        </w:numPr>
        <w:spacing w:before="240" w:after="240"/>
        <w:ind w:left="714" w:hanging="357"/>
        <w:jc w:val="both"/>
        <w:rPr>
          <w:rFonts w:ascii="Verdana" w:hAnsi="Verdana"/>
          <w:i/>
          <w:color w:val="auto"/>
          <w:sz w:val="20"/>
          <w:szCs w:val="20"/>
        </w:rPr>
      </w:pPr>
      <w:bookmarkStart w:id="56" w:name="_Toc116901601"/>
      <w:bookmarkStart w:id="57" w:name="_Toc118146532"/>
      <w:bookmarkStart w:id="58" w:name="_Toc132133900"/>
      <w:r w:rsidRPr="009D520B">
        <w:rPr>
          <w:rFonts w:ascii="Verdana" w:hAnsi="Verdana"/>
          <w:i/>
          <w:color w:val="auto"/>
          <w:sz w:val="20"/>
          <w:szCs w:val="20"/>
        </w:rPr>
        <w:t>Marco normativo relevante</w:t>
      </w:r>
      <w:bookmarkEnd w:id="56"/>
      <w:bookmarkEnd w:id="57"/>
      <w:bookmarkEnd w:id="58"/>
    </w:p>
    <w:p w14:paraId="45D6AD84"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hAnsi="Verdana"/>
          <w:i w:val="0"/>
          <w:iCs/>
          <w:sz w:val="20"/>
          <w:szCs w:val="20"/>
        </w:rPr>
        <w:t xml:space="preserve">El </w:t>
      </w:r>
      <w:r w:rsidRPr="009D520B">
        <w:rPr>
          <w:rFonts w:ascii="Verdana" w:eastAsia="Calibri" w:hAnsi="Verdana" w:cs="Arial"/>
          <w:bCs/>
          <w:i w:val="0"/>
          <w:iCs/>
          <w:sz w:val="20"/>
          <w:szCs w:val="20"/>
          <w:lang w:eastAsia="es-CR"/>
        </w:rPr>
        <w:t>presente caso aborda el análisis de dos figuras que se encuentran establecidas en la normatividad mexicana: arraigo y prisión preventiva.</w:t>
      </w:r>
    </w:p>
    <w:p w14:paraId="57CB8CEC" w14:textId="49681A01" w:rsidR="001B2589" w:rsidRPr="009D520B" w:rsidRDefault="00751DE2"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hAnsi="Verdana"/>
          <w:i w:val="0"/>
          <w:iCs/>
          <w:sz w:val="20"/>
          <w:szCs w:val="20"/>
        </w:rPr>
        <w:t>L</w:t>
      </w:r>
      <w:r w:rsidR="001B2589" w:rsidRPr="009D520B">
        <w:rPr>
          <w:rFonts w:ascii="Verdana" w:hAnsi="Verdana"/>
          <w:i w:val="0"/>
          <w:iCs/>
          <w:sz w:val="20"/>
          <w:szCs w:val="20"/>
        </w:rPr>
        <w:t xml:space="preserve">a figura del arraigo estaba contemplada en el </w:t>
      </w:r>
      <w:r w:rsidR="001B2589" w:rsidRPr="009D520B">
        <w:rPr>
          <w:rFonts w:ascii="Verdana" w:eastAsia="Calibri" w:hAnsi="Verdana" w:cs="Arial"/>
          <w:bCs/>
          <w:i w:val="0"/>
          <w:iCs/>
          <w:sz w:val="20"/>
          <w:szCs w:val="20"/>
          <w:lang w:eastAsia="es-CR"/>
        </w:rPr>
        <w:t xml:space="preserve">Código de Procedimientos Penales para el Estado de México de 2000. Esa figura fue modificada normativamente y a partir del año 2008 incorporada a la </w:t>
      </w:r>
      <w:r w:rsidR="001B2589" w:rsidRPr="009D520B">
        <w:rPr>
          <w:rFonts w:ascii="Verdana" w:hAnsi="Verdana" w:cs="Verdana"/>
          <w:i w:val="0"/>
          <w:iCs/>
          <w:sz w:val="20"/>
          <w:szCs w:val="20"/>
        </w:rPr>
        <w:t>Constitución</w:t>
      </w:r>
      <w:r w:rsidR="001B2589" w:rsidRPr="009D520B">
        <w:rPr>
          <w:rFonts w:ascii="Verdana" w:eastAsia="Calibri" w:hAnsi="Verdana" w:cs="Arial"/>
          <w:bCs/>
          <w:i w:val="0"/>
          <w:iCs/>
          <w:sz w:val="20"/>
          <w:szCs w:val="20"/>
          <w:lang w:eastAsia="es-CR"/>
        </w:rPr>
        <w:t xml:space="preserve"> Política de México (</w:t>
      </w:r>
      <w:r w:rsidR="001B2589" w:rsidRPr="009D520B">
        <w:rPr>
          <w:rFonts w:ascii="Verdana" w:eastAsia="Calibri" w:hAnsi="Verdana" w:cs="Arial"/>
          <w:bCs/>
          <w:sz w:val="20"/>
          <w:szCs w:val="20"/>
          <w:lang w:eastAsia="es-CR"/>
        </w:rPr>
        <w:t xml:space="preserve">infra </w:t>
      </w:r>
      <w:r w:rsidR="001B2589" w:rsidRPr="009D520B">
        <w:rPr>
          <w:rFonts w:ascii="Verdana" w:eastAsia="Calibri" w:hAnsi="Verdana" w:cs="Arial"/>
          <w:bCs/>
          <w:i w:val="0"/>
          <w:iCs/>
          <w:sz w:val="20"/>
          <w:szCs w:val="20"/>
          <w:lang w:eastAsia="es-CR"/>
        </w:rPr>
        <w:t xml:space="preserve">párr. </w:t>
      </w:r>
      <w:r w:rsidR="007F4456">
        <w:rPr>
          <w:rFonts w:ascii="Verdana" w:eastAsia="Calibri" w:hAnsi="Verdana" w:cs="Arial"/>
          <w:bCs/>
          <w:i w:val="0"/>
          <w:iCs/>
          <w:sz w:val="20"/>
          <w:szCs w:val="20"/>
          <w:lang w:eastAsia="es-CR"/>
        </w:rPr>
        <w:t>54</w:t>
      </w:r>
      <w:r w:rsidR="001B2589" w:rsidRPr="009D520B">
        <w:rPr>
          <w:rFonts w:ascii="Verdana" w:eastAsia="Calibri" w:hAnsi="Verdana" w:cs="Arial"/>
          <w:bCs/>
          <w:i w:val="0"/>
          <w:iCs/>
          <w:sz w:val="20"/>
          <w:szCs w:val="20"/>
          <w:lang w:eastAsia="es-CR"/>
        </w:rPr>
        <w:t xml:space="preserve">). </w:t>
      </w:r>
    </w:p>
    <w:p w14:paraId="36EA301F" w14:textId="2F056EE5" w:rsidR="001B2589" w:rsidRPr="009D520B" w:rsidRDefault="006C7EDB"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hAnsi="Verdana"/>
          <w:i w:val="0"/>
          <w:iCs/>
          <w:sz w:val="20"/>
          <w:szCs w:val="20"/>
        </w:rPr>
        <w:t>Al</w:t>
      </w:r>
      <w:r w:rsidR="001B2589" w:rsidRPr="009D520B">
        <w:rPr>
          <w:rFonts w:ascii="Verdana" w:hAnsi="Verdana"/>
          <w:i w:val="0"/>
          <w:iCs/>
          <w:sz w:val="20"/>
          <w:szCs w:val="20"/>
        </w:rPr>
        <w:t xml:space="preserve"> momento en que tuvieron lugar los hechos del presente caso</w:t>
      </w:r>
      <w:r w:rsidR="006D7ECB" w:rsidRPr="009D520B">
        <w:rPr>
          <w:rFonts w:ascii="Verdana" w:hAnsi="Verdana"/>
          <w:i w:val="0"/>
          <w:iCs/>
          <w:sz w:val="20"/>
          <w:szCs w:val="20"/>
        </w:rPr>
        <w:t>, en el año 2002</w:t>
      </w:r>
      <w:r w:rsidR="001B2589" w:rsidRPr="009D520B">
        <w:rPr>
          <w:rFonts w:ascii="Verdana" w:hAnsi="Verdana"/>
          <w:i w:val="0"/>
          <w:iCs/>
          <w:sz w:val="20"/>
          <w:szCs w:val="20"/>
        </w:rPr>
        <w:t>, la figura de la prisión preventiva se encontraba regulada en la Constitución Política de México y el Código de Procedimientos Penales para el Estado de México de 2000</w:t>
      </w:r>
      <w:r w:rsidR="001B2589" w:rsidRPr="009D520B">
        <w:rPr>
          <w:rFonts w:ascii="Verdana" w:eastAsia="Calibri" w:hAnsi="Verdana" w:cs="Arial"/>
          <w:bCs/>
          <w:i w:val="0"/>
          <w:iCs/>
          <w:sz w:val="20"/>
          <w:szCs w:val="20"/>
          <w:lang w:eastAsia="es-CR"/>
        </w:rPr>
        <w:t>. Con posterioridad, en el año 2009, fue modificada en el Código de Procedimientos Penales</w:t>
      </w:r>
      <w:r w:rsidR="007F4456">
        <w:rPr>
          <w:rFonts w:ascii="Verdana" w:eastAsia="Calibri" w:hAnsi="Verdana" w:cs="Arial"/>
          <w:bCs/>
          <w:i w:val="0"/>
          <w:iCs/>
          <w:sz w:val="20"/>
          <w:szCs w:val="20"/>
          <w:lang w:eastAsia="es-CR"/>
        </w:rPr>
        <w:t>. A</w:t>
      </w:r>
      <w:r w:rsidR="001B2589" w:rsidRPr="009D520B">
        <w:rPr>
          <w:rFonts w:ascii="Verdana" w:eastAsia="Calibri" w:hAnsi="Verdana" w:cs="Arial"/>
          <w:bCs/>
          <w:i w:val="0"/>
          <w:iCs/>
          <w:sz w:val="20"/>
          <w:szCs w:val="20"/>
          <w:lang w:eastAsia="es-CR"/>
        </w:rPr>
        <w:t xml:space="preserve"> partir del año </w:t>
      </w:r>
      <w:r w:rsidR="007F4456">
        <w:rPr>
          <w:rFonts w:ascii="Verdana" w:eastAsia="Calibri" w:hAnsi="Verdana" w:cs="Arial"/>
          <w:bCs/>
          <w:i w:val="0"/>
          <w:iCs/>
          <w:sz w:val="20"/>
          <w:szCs w:val="20"/>
          <w:lang w:eastAsia="es-CR"/>
        </w:rPr>
        <w:t>2008, fue</w:t>
      </w:r>
      <w:r w:rsidR="007F4456" w:rsidRPr="009D520B">
        <w:rPr>
          <w:rFonts w:ascii="Verdana" w:eastAsia="Calibri" w:hAnsi="Verdana" w:cs="Arial"/>
          <w:bCs/>
          <w:i w:val="0"/>
          <w:iCs/>
          <w:sz w:val="20"/>
          <w:szCs w:val="20"/>
          <w:lang w:eastAsia="es-CR"/>
        </w:rPr>
        <w:t xml:space="preserve"> </w:t>
      </w:r>
      <w:r w:rsidR="001B2589" w:rsidRPr="009D520B">
        <w:rPr>
          <w:rFonts w:ascii="Verdana" w:eastAsia="Calibri" w:hAnsi="Verdana" w:cs="Arial"/>
          <w:bCs/>
          <w:i w:val="0"/>
          <w:iCs/>
          <w:sz w:val="20"/>
          <w:szCs w:val="20"/>
          <w:lang w:eastAsia="es-CR"/>
        </w:rPr>
        <w:t xml:space="preserve">incorporada a la </w:t>
      </w:r>
      <w:r w:rsidR="001B2589" w:rsidRPr="009D520B">
        <w:rPr>
          <w:rFonts w:ascii="Verdana" w:hAnsi="Verdana" w:cs="Verdana"/>
          <w:i w:val="0"/>
          <w:iCs/>
          <w:sz w:val="20"/>
          <w:szCs w:val="20"/>
        </w:rPr>
        <w:t>Constitución</w:t>
      </w:r>
      <w:r w:rsidR="001B2589" w:rsidRPr="009D520B">
        <w:rPr>
          <w:rFonts w:ascii="Verdana" w:eastAsia="Calibri" w:hAnsi="Verdana" w:cs="Arial"/>
          <w:bCs/>
          <w:i w:val="0"/>
          <w:iCs/>
          <w:sz w:val="20"/>
          <w:szCs w:val="20"/>
          <w:lang w:eastAsia="es-CR"/>
        </w:rPr>
        <w:t xml:space="preserve"> Política de México la figura de la prisión preventiva oficiosa. A continuación, se transcribe el contenido de las normas internas a las que se ha hecho referencia. </w:t>
      </w:r>
    </w:p>
    <w:p w14:paraId="5144EECD" w14:textId="77777777" w:rsidR="001B2589" w:rsidRPr="009D520B" w:rsidRDefault="001B2589" w:rsidP="001B2589">
      <w:pPr>
        <w:pStyle w:val="Ttulo3"/>
        <w:spacing w:before="240" w:after="240"/>
        <w:ind w:left="567"/>
        <w:rPr>
          <w:rFonts w:ascii="Verdana" w:hAnsi="Verdana"/>
          <w:bCs w:val="0"/>
          <w:snapToGrid w:val="0"/>
          <w:spacing w:val="-2"/>
          <w:sz w:val="20"/>
          <w:szCs w:val="20"/>
          <w:lang w:eastAsia="es-ES"/>
        </w:rPr>
      </w:pPr>
      <w:bookmarkStart w:id="59" w:name="_Toc116508169"/>
      <w:bookmarkStart w:id="60" w:name="_Toc118146533"/>
      <w:bookmarkStart w:id="61" w:name="_Toc132133901"/>
      <w:r w:rsidRPr="009D520B">
        <w:rPr>
          <w:rFonts w:ascii="Verdana" w:hAnsi="Verdana"/>
          <w:bCs w:val="0"/>
          <w:snapToGrid w:val="0"/>
          <w:spacing w:val="-2"/>
          <w:sz w:val="20"/>
          <w:szCs w:val="20"/>
          <w:lang w:eastAsia="es-ES"/>
        </w:rPr>
        <w:t>A.1. Sobre la figura del arraigo</w:t>
      </w:r>
      <w:bookmarkEnd w:id="59"/>
      <w:bookmarkEnd w:id="60"/>
      <w:bookmarkEnd w:id="61"/>
    </w:p>
    <w:p w14:paraId="5C8A0AA2" w14:textId="0CC42178" w:rsidR="001B2589" w:rsidRPr="009D520B" w:rsidRDefault="001B2589" w:rsidP="001B2589">
      <w:pPr>
        <w:pStyle w:val="Estilo1"/>
        <w:widowControl w:val="0"/>
        <w:tabs>
          <w:tab w:val="left" w:pos="0"/>
          <w:tab w:val="left" w:pos="567"/>
        </w:tabs>
        <w:adjustRightInd w:val="0"/>
        <w:spacing w:before="240" w:after="240"/>
        <w:ind w:left="0" w:right="-6" w:firstLine="567"/>
        <w:jc w:val="both"/>
        <w:textAlignment w:val="baseline"/>
        <w:outlineLvl w:val="3"/>
        <w:rPr>
          <w:rFonts w:ascii="Verdana" w:eastAsia="Calibri" w:hAnsi="Verdana" w:cs="Arial"/>
          <w:bCs/>
          <w:sz w:val="20"/>
          <w:szCs w:val="20"/>
          <w:lang w:eastAsia="es-CR"/>
        </w:rPr>
      </w:pPr>
      <w:bookmarkStart w:id="62" w:name="_Toc116508170"/>
      <w:r w:rsidRPr="009D520B">
        <w:rPr>
          <w:rFonts w:ascii="Verdana" w:eastAsia="Calibri" w:hAnsi="Verdana" w:cs="Arial"/>
          <w:bCs/>
          <w:sz w:val="20"/>
          <w:szCs w:val="20"/>
          <w:lang w:eastAsia="es-CR"/>
        </w:rPr>
        <w:t>a) Las normas vigentes al momento en que se produjeron los hechos del presente caso:</w:t>
      </w:r>
      <w:bookmarkEnd w:id="62"/>
    </w:p>
    <w:p w14:paraId="36C6D2BA" w14:textId="408A30B3"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eastAsia="Calibri" w:hAnsi="Verdana" w:cs="Arial"/>
          <w:bCs/>
          <w:i w:val="0"/>
          <w:iCs/>
          <w:sz w:val="20"/>
          <w:szCs w:val="20"/>
          <w:lang w:eastAsia="es-CR"/>
        </w:rPr>
        <w:t xml:space="preserve">El artículo 154 del </w:t>
      </w:r>
      <w:r w:rsidR="00E601D3" w:rsidRPr="009D520B">
        <w:rPr>
          <w:rFonts w:ascii="Verdana" w:eastAsia="Calibri" w:hAnsi="Verdana" w:cs="Arial"/>
          <w:bCs/>
          <w:i w:val="0"/>
          <w:iCs/>
          <w:sz w:val="20"/>
          <w:szCs w:val="20"/>
          <w:lang w:eastAsia="es-CR"/>
        </w:rPr>
        <w:t>C</w:t>
      </w:r>
      <w:r w:rsidRPr="009D520B">
        <w:rPr>
          <w:rFonts w:ascii="Verdana" w:eastAsia="Calibri" w:hAnsi="Verdana" w:cs="Arial"/>
          <w:bCs/>
          <w:i w:val="0"/>
          <w:iCs/>
          <w:sz w:val="20"/>
          <w:szCs w:val="20"/>
          <w:lang w:eastAsia="es-CR"/>
        </w:rPr>
        <w:t>ódigo de Procedimientos Penales para el Estado de México de 2000 establecía que:</w:t>
      </w:r>
    </w:p>
    <w:p w14:paraId="048EF64D" w14:textId="77777777" w:rsidR="001B2589" w:rsidRPr="009D520B" w:rsidRDefault="001B2589" w:rsidP="004C27D1">
      <w:pPr>
        <w:spacing w:before="60" w:after="60"/>
        <w:ind w:left="567" w:right="561"/>
        <w:jc w:val="both"/>
        <w:rPr>
          <w:rFonts w:ascii="Verdana" w:eastAsia="Calibri" w:hAnsi="Verdana" w:cs="Arial"/>
          <w:bCs/>
          <w:sz w:val="18"/>
          <w:szCs w:val="18"/>
          <w:lang w:eastAsia="es-CR"/>
        </w:rPr>
      </w:pPr>
      <w:r w:rsidRPr="009D520B">
        <w:rPr>
          <w:rFonts w:ascii="Verdana" w:eastAsia="Calibri" w:hAnsi="Verdana" w:cs="Arial"/>
          <w:bCs/>
          <w:sz w:val="18"/>
          <w:szCs w:val="18"/>
          <w:lang w:eastAsia="es-CR"/>
        </w:rPr>
        <w:t xml:space="preserve">Cuando con motivo de una averiguación previa el Ministerio Público estime necesario el arraigo del indiciado o la prohibición de abandonar una demarcación geográfica sin autorización de la autoridad judicial, tomando en cuenta las características del hecho imputado y las circunstancias personales de aquél recurrirá al órgano jurisdiccional, fundando y motivando su petición para que éste </w:t>
      </w:r>
      <w:r w:rsidRPr="009D520B">
        <w:rPr>
          <w:rFonts w:ascii="Verdana" w:hAnsi="Verdana"/>
          <w:sz w:val="18"/>
          <w:szCs w:val="18"/>
          <w:lang w:val="es-ES"/>
        </w:rPr>
        <w:t>resuelva</w:t>
      </w:r>
      <w:r w:rsidRPr="009D520B">
        <w:rPr>
          <w:rFonts w:ascii="Verdana" w:eastAsia="Calibri" w:hAnsi="Verdana" w:cs="Arial"/>
          <w:bCs/>
          <w:sz w:val="18"/>
          <w:szCs w:val="18"/>
          <w:lang w:eastAsia="es-CR"/>
        </w:rPr>
        <w:t xml:space="preserve"> de inmediato sobre la procedencia del arraigo o prohibición, con vigilancia de la autoridad que ejercerán el Ministerio Público y sus auxiliares. El arraigo o prohibición se notificarán inmediatamente al indiciado y se prolongarán por el tiempo estrictamente indispensable para la debida integración de la averiguación de que se trate, pero no excederá de treinta días, prorrogables por otros treinta días, a solicitud del Ministerio Público.</w:t>
      </w:r>
    </w:p>
    <w:p w14:paraId="7B8B9B72" w14:textId="77777777" w:rsidR="001B2589" w:rsidRPr="009D520B" w:rsidRDefault="001B2589" w:rsidP="004C27D1">
      <w:pPr>
        <w:pStyle w:val="Prrafodelista"/>
        <w:spacing w:before="60" w:after="60"/>
        <w:ind w:left="567" w:right="561"/>
        <w:contextualSpacing w:val="0"/>
        <w:jc w:val="both"/>
        <w:rPr>
          <w:rFonts w:ascii="Verdana" w:eastAsia="Calibri" w:hAnsi="Verdana" w:cs="Arial"/>
          <w:bCs/>
          <w:sz w:val="18"/>
          <w:szCs w:val="18"/>
          <w:lang w:eastAsia="es-CR"/>
        </w:rPr>
      </w:pPr>
      <w:r w:rsidRPr="009D520B">
        <w:rPr>
          <w:rFonts w:ascii="Verdana" w:eastAsia="Calibri" w:hAnsi="Verdana" w:cs="Arial"/>
          <w:bCs/>
          <w:sz w:val="18"/>
          <w:szCs w:val="18"/>
          <w:lang w:eastAsia="es-CR"/>
        </w:rPr>
        <w:t xml:space="preserve">El juez resolverá, escuchando al Ministerio Público y al afectado, sobre la subsistencia o el levantamiento del arraigo o prohibición. </w:t>
      </w:r>
    </w:p>
    <w:p w14:paraId="35D75C73" w14:textId="4FE0B13B" w:rsidR="001B2589" w:rsidRPr="009D520B" w:rsidRDefault="53D38EDD" w:rsidP="53D38EDD">
      <w:pPr>
        <w:pStyle w:val="Estilo1"/>
        <w:widowControl w:val="0"/>
        <w:tabs>
          <w:tab w:val="left" w:pos="567"/>
        </w:tabs>
        <w:adjustRightInd w:val="0"/>
        <w:spacing w:before="240" w:after="240"/>
        <w:ind w:left="567" w:right="-6" w:firstLine="0"/>
        <w:jc w:val="both"/>
        <w:textAlignment w:val="baseline"/>
        <w:outlineLvl w:val="3"/>
        <w:rPr>
          <w:rFonts w:ascii="Verdana" w:eastAsia="Calibri" w:hAnsi="Verdana" w:cs="Arial"/>
          <w:sz w:val="20"/>
          <w:szCs w:val="20"/>
          <w:lang w:eastAsia="es-CR"/>
        </w:rPr>
      </w:pPr>
      <w:bookmarkStart w:id="63" w:name="_Toc116508171"/>
      <w:r w:rsidRPr="53D38EDD">
        <w:rPr>
          <w:rFonts w:ascii="Verdana" w:eastAsia="Calibri" w:hAnsi="Verdana" w:cs="Arial"/>
          <w:sz w:val="20"/>
          <w:szCs w:val="20"/>
          <w:lang w:eastAsia="es-CR"/>
        </w:rPr>
        <w:t>b) Las normas reformadas o adoptadas con posterioridad al momento en que se produjeron los hechos del presente caso:</w:t>
      </w:r>
      <w:bookmarkEnd w:id="63"/>
    </w:p>
    <w:p w14:paraId="22028152" w14:textId="77714B1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Cs/>
          <w:sz w:val="20"/>
          <w:szCs w:val="20"/>
          <w:lang w:eastAsia="es-CR"/>
        </w:rPr>
      </w:pPr>
      <w:r w:rsidRPr="009D520B">
        <w:rPr>
          <w:rFonts w:ascii="Verdana" w:eastAsia="Calibri" w:hAnsi="Verdana" w:cs="Arial"/>
          <w:bCs/>
          <w:i w:val="0"/>
          <w:iCs/>
          <w:sz w:val="20"/>
          <w:szCs w:val="20"/>
          <w:lang w:eastAsia="es-CR"/>
        </w:rPr>
        <w:t>El artículo 16 a la Constitución Política de México fue reformado en los años 2008 y 2019</w:t>
      </w:r>
      <w:r w:rsidR="007F4456">
        <w:rPr>
          <w:rFonts w:ascii="Verdana" w:eastAsia="Calibri" w:hAnsi="Verdana" w:cs="Arial"/>
          <w:bCs/>
          <w:i w:val="0"/>
          <w:iCs/>
          <w:sz w:val="20"/>
          <w:szCs w:val="20"/>
          <w:lang w:eastAsia="es-CR"/>
        </w:rPr>
        <w:t>.</w:t>
      </w:r>
      <w:r w:rsidRPr="009D520B">
        <w:rPr>
          <w:rFonts w:ascii="Verdana" w:eastAsia="Calibri" w:hAnsi="Verdana" w:cs="Arial"/>
          <w:bCs/>
          <w:i w:val="0"/>
          <w:iCs/>
          <w:sz w:val="20"/>
          <w:szCs w:val="20"/>
          <w:lang w:eastAsia="es-CR"/>
        </w:rPr>
        <w:t xml:space="preserve"> </w:t>
      </w:r>
      <w:r w:rsidR="007F4456">
        <w:rPr>
          <w:rFonts w:ascii="Verdana" w:eastAsia="Calibri" w:hAnsi="Verdana" w:cs="Arial"/>
          <w:bCs/>
          <w:i w:val="0"/>
          <w:iCs/>
          <w:sz w:val="20"/>
          <w:szCs w:val="20"/>
          <w:lang w:eastAsia="es-CR"/>
        </w:rPr>
        <w:t>S</w:t>
      </w:r>
      <w:r w:rsidRPr="009D520B">
        <w:rPr>
          <w:rFonts w:ascii="Verdana" w:eastAsia="Calibri" w:hAnsi="Verdana" w:cs="Arial"/>
          <w:bCs/>
          <w:i w:val="0"/>
          <w:iCs/>
          <w:sz w:val="20"/>
          <w:szCs w:val="20"/>
          <w:lang w:eastAsia="es-CR"/>
        </w:rPr>
        <w:t>u redacción actual es la siguiente:</w:t>
      </w:r>
    </w:p>
    <w:p w14:paraId="5527DC96" w14:textId="77777777" w:rsidR="001B2589" w:rsidRPr="009D520B" w:rsidRDefault="001B2589" w:rsidP="004C27D1">
      <w:pPr>
        <w:spacing w:before="60" w:after="60"/>
        <w:ind w:left="567" w:right="561"/>
        <w:jc w:val="both"/>
        <w:rPr>
          <w:rFonts w:ascii="Verdana" w:hAnsi="Verdana"/>
          <w:sz w:val="18"/>
          <w:szCs w:val="18"/>
          <w:lang w:val="es-ES"/>
        </w:rPr>
      </w:pPr>
      <w:r w:rsidRPr="009D520B">
        <w:rPr>
          <w:rFonts w:ascii="Verdana" w:hAnsi="Verdana"/>
          <w:sz w:val="18"/>
          <w:szCs w:val="18"/>
          <w:lang w:val="es-ES"/>
        </w:rPr>
        <w:t xml:space="preserve">[…] La autoridad judicial, a petición del Ministerio Público y tratándose de delitos de delincuencia organizada, podrá decretar el arraigo de una persona, con las modalidades de lugar y tiempo </w:t>
      </w:r>
      <w:r w:rsidRPr="009D520B">
        <w:rPr>
          <w:rFonts w:ascii="Verdana" w:hAnsi="Verdana"/>
          <w:sz w:val="18"/>
          <w:szCs w:val="18"/>
          <w:lang w:val="es-ES"/>
        </w:rPr>
        <w:lastRenderedPageBreak/>
        <w:t>que la ley señale, sin que pueda exceder de cuarenta días, siempre que sea necesario para el éxito de la investigación, la protección de personas o bienes jurídicos, o cuando exista riesgo fundado de que el inculpado se sustraiga a la acción de la justicia. Este plazo podrá prorrogarse, siempre y cuando el Ministerio Público acredite que subsisten las causas que le dieron origen. En todo caso, la duración total del arraigo no podrá exceder los ochenta días. […]</w:t>
      </w:r>
    </w:p>
    <w:p w14:paraId="7546505D" w14:textId="77777777" w:rsidR="001B2589" w:rsidRPr="009D520B" w:rsidRDefault="001B2589" w:rsidP="001B2589">
      <w:pPr>
        <w:pStyle w:val="Ttulo3"/>
        <w:spacing w:before="240" w:after="240"/>
        <w:ind w:left="567"/>
        <w:rPr>
          <w:rFonts w:ascii="Verdana" w:hAnsi="Verdana"/>
          <w:bCs w:val="0"/>
          <w:snapToGrid w:val="0"/>
          <w:spacing w:val="-2"/>
          <w:sz w:val="20"/>
          <w:szCs w:val="20"/>
          <w:lang w:eastAsia="es-ES"/>
        </w:rPr>
      </w:pPr>
      <w:bookmarkStart w:id="64" w:name="_Toc116508172"/>
      <w:bookmarkStart w:id="65" w:name="_Toc118146534"/>
      <w:bookmarkStart w:id="66" w:name="_Toc132133902"/>
      <w:r w:rsidRPr="009D520B">
        <w:rPr>
          <w:rFonts w:ascii="Verdana" w:hAnsi="Verdana"/>
          <w:bCs w:val="0"/>
          <w:snapToGrid w:val="0"/>
          <w:spacing w:val="-2"/>
          <w:sz w:val="20"/>
          <w:szCs w:val="20"/>
          <w:lang w:eastAsia="es-ES"/>
        </w:rPr>
        <w:t>A.2. Sobre la figura de la prisión preventiva</w:t>
      </w:r>
      <w:bookmarkEnd w:id="64"/>
      <w:bookmarkEnd w:id="65"/>
      <w:bookmarkEnd w:id="66"/>
    </w:p>
    <w:p w14:paraId="2585F2E0"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hAnsi="Verdana" w:cs="Verdana"/>
          <w:i w:val="0"/>
          <w:iCs/>
          <w:sz w:val="20"/>
          <w:szCs w:val="20"/>
        </w:rPr>
        <w:t>La Constitución</w:t>
      </w:r>
      <w:r w:rsidRPr="009D520B">
        <w:rPr>
          <w:rFonts w:ascii="Verdana" w:eastAsia="Calibri" w:hAnsi="Verdana" w:cs="Arial"/>
          <w:bCs/>
          <w:i w:val="0"/>
          <w:iCs/>
          <w:sz w:val="20"/>
          <w:szCs w:val="20"/>
          <w:lang w:eastAsia="es-CR"/>
        </w:rPr>
        <w:t xml:space="preserve"> Política de México vigente al momento en que tuvieron lugar los hechos del caso establecía que: </w:t>
      </w:r>
    </w:p>
    <w:p w14:paraId="46A8F0A7" w14:textId="178FF212" w:rsidR="001B2589" w:rsidRPr="009D520B" w:rsidRDefault="001B2589" w:rsidP="004C27D1">
      <w:pPr>
        <w:spacing w:before="60" w:after="60"/>
        <w:ind w:left="567" w:right="561"/>
        <w:jc w:val="both"/>
        <w:rPr>
          <w:rFonts w:ascii="Verdana" w:hAnsi="Verdana"/>
          <w:sz w:val="18"/>
          <w:szCs w:val="18"/>
        </w:rPr>
      </w:pPr>
      <w:r w:rsidRPr="009D520B">
        <w:rPr>
          <w:rFonts w:ascii="Verdana" w:hAnsi="Verdana"/>
          <w:sz w:val="18"/>
          <w:szCs w:val="18"/>
        </w:rPr>
        <w:t>Artículo 19.- Ninguna detención ante autoridad judicial podrá exceder del plazo de setenta y dos horas, a partir de que el indiciado sea puesto a su disposición, sin que se justifique con un auto de formal prisión en el que se expresarán: el delito que se impute al acusado; el lugar, tiempo y circunstancias de ejecución, así como los datos que arroje la averiguación previa, los que deberán ser bastantes para comprobar el cuerpo del delito y hacer probable la responsabilidad del indiciado.[…]</w:t>
      </w:r>
    </w:p>
    <w:p w14:paraId="5A25100E" w14:textId="3F526F9D"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eastAsia="Calibri" w:hAnsi="Verdana" w:cs="Arial"/>
          <w:bCs/>
          <w:i w:val="0"/>
          <w:iCs/>
          <w:sz w:val="20"/>
          <w:szCs w:val="20"/>
          <w:lang w:eastAsia="es-CR"/>
        </w:rPr>
        <w:t xml:space="preserve">El artículo 19 a la Constitución Política de México fue reformado en el año </w:t>
      </w:r>
      <w:r w:rsidR="007E30E1">
        <w:rPr>
          <w:rFonts w:ascii="Verdana" w:eastAsia="Calibri" w:hAnsi="Verdana" w:cs="Arial"/>
          <w:bCs/>
          <w:i w:val="0"/>
          <w:iCs/>
          <w:sz w:val="20"/>
          <w:szCs w:val="20"/>
          <w:lang w:eastAsia="es-CR"/>
        </w:rPr>
        <w:t>2008</w:t>
      </w:r>
      <w:r w:rsidR="007E30E1" w:rsidRPr="009D520B">
        <w:rPr>
          <w:rFonts w:ascii="Verdana" w:eastAsia="Calibri" w:hAnsi="Verdana" w:cs="Arial"/>
          <w:bCs/>
          <w:i w:val="0"/>
          <w:iCs/>
          <w:sz w:val="20"/>
          <w:szCs w:val="20"/>
          <w:lang w:eastAsia="es-CR"/>
        </w:rPr>
        <w:t xml:space="preserve"> </w:t>
      </w:r>
      <w:r w:rsidRPr="009D520B">
        <w:rPr>
          <w:rFonts w:ascii="Verdana" w:eastAsia="Calibri" w:hAnsi="Verdana" w:cs="Arial"/>
          <w:bCs/>
          <w:i w:val="0"/>
          <w:iCs/>
          <w:sz w:val="20"/>
          <w:szCs w:val="20"/>
          <w:lang w:eastAsia="es-CR"/>
        </w:rPr>
        <w:t xml:space="preserve">con la siguiente redacción: </w:t>
      </w:r>
    </w:p>
    <w:p w14:paraId="5AE5DDAC" w14:textId="77777777" w:rsidR="001B2589" w:rsidRPr="009D520B" w:rsidRDefault="001B2589" w:rsidP="004C27D1">
      <w:pPr>
        <w:spacing w:before="60" w:after="60"/>
        <w:ind w:left="567" w:right="561"/>
        <w:jc w:val="both"/>
        <w:rPr>
          <w:rFonts w:ascii="Verdana" w:hAnsi="Verdana"/>
          <w:sz w:val="18"/>
          <w:szCs w:val="18"/>
          <w:lang w:val="es-ES"/>
        </w:rPr>
      </w:pPr>
      <w:r w:rsidRPr="009D520B">
        <w:rPr>
          <w:rFonts w:ascii="Verdana" w:hAnsi="Verdana"/>
          <w:sz w:val="18"/>
          <w:szCs w:val="18"/>
          <w:lang w:val="es-ES"/>
        </w:rPr>
        <w:t xml:space="preserve">Ninguna detención ante autoridad judicial podrá exceder del plazo de setenta y dos horas, a partir de que el indiciado sea puesto a su disposición, sin que se justifique con un auto de vinculación a proceso en el que se </w:t>
      </w:r>
      <w:r w:rsidRPr="009D520B">
        <w:rPr>
          <w:rFonts w:ascii="Verdana" w:hAnsi="Verdana"/>
          <w:sz w:val="18"/>
          <w:szCs w:val="18"/>
        </w:rPr>
        <w:t>expresará</w:t>
      </w:r>
      <w:r w:rsidRPr="009D520B">
        <w:rPr>
          <w:rFonts w:ascii="Verdana" w:hAnsi="Verdana"/>
          <w:sz w:val="18"/>
          <w:szCs w:val="18"/>
          <w:lang w:val="es-ES"/>
        </w:rPr>
        <w:t>: el delito que se impute al acusado; el lugar, tiempo y circunstancias de ejecución, así como los datos que establezcan que se ha cometido un hecho que la ley señale como delito y que exista la probabilidad de que el indiciado lo cometió o participó en su comisión.</w:t>
      </w:r>
    </w:p>
    <w:p w14:paraId="3F76019A" w14:textId="77777777" w:rsidR="001B2589" w:rsidRPr="009D520B" w:rsidRDefault="001B2589" w:rsidP="004C27D1">
      <w:pPr>
        <w:pStyle w:val="Textonotapie"/>
        <w:spacing w:before="60" w:after="60"/>
        <w:ind w:left="567" w:right="703"/>
        <w:jc w:val="both"/>
        <w:rPr>
          <w:rFonts w:ascii="Verdana" w:hAnsi="Verdana"/>
          <w:sz w:val="18"/>
          <w:szCs w:val="18"/>
          <w:lang w:val="es-ES"/>
        </w:rPr>
      </w:pPr>
      <w:r w:rsidRPr="009D520B">
        <w:rPr>
          <w:rFonts w:ascii="Verdana" w:hAnsi="Verdana"/>
          <w:sz w:val="18"/>
          <w:szCs w:val="18"/>
          <w:lang w:val="es-ES"/>
        </w:rPr>
        <w:t>El Ministerio Público sólo podrá solicitar al juez la prisión preventiva cuando otras medidas cautelares no sean suficientes para garantizar la comparecencia del imputado en el juicio, el desarrollo de la investigación, la protección de la víctima, de los testigos o de la comunidad, así como cuando el imputado esté siendo procesado o haya sido sentenciado previamente por la comisión de un delito doloso. El juez ordenará la prisión preventiva, oficiosamente, en los casos de delincuencia organizada, homicidio doloso, violación, secuestro, trata de personas, delitos cometidos con medios violentos como armas y explosivos, así como delitos graves que determine la ley en contra de la seguridad de la nación, el libre desarrollo de la personalidad y de la salud. […]</w:t>
      </w:r>
    </w:p>
    <w:p w14:paraId="2D283CED"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eastAsia="Calibri" w:hAnsi="Verdana" w:cs="Arial"/>
          <w:bCs/>
          <w:i w:val="0"/>
          <w:iCs/>
          <w:sz w:val="20"/>
          <w:szCs w:val="20"/>
          <w:lang w:eastAsia="es-CR"/>
        </w:rPr>
        <w:t xml:space="preserve">Ese artículo 19 fue reformado nuevamente en el año 2019 y su redacción actual es la siguiente: </w:t>
      </w:r>
    </w:p>
    <w:p w14:paraId="7BB60A9D" w14:textId="77777777" w:rsidR="001B2589" w:rsidRPr="009D520B" w:rsidRDefault="001B2589" w:rsidP="004C27D1">
      <w:pPr>
        <w:pStyle w:val="Textonotapie"/>
        <w:spacing w:before="60" w:after="60"/>
        <w:ind w:left="567" w:right="703"/>
        <w:jc w:val="both"/>
        <w:rPr>
          <w:rFonts w:ascii="Verdana" w:hAnsi="Verdana"/>
          <w:sz w:val="18"/>
          <w:szCs w:val="18"/>
          <w:lang w:val="es-ES"/>
        </w:rPr>
      </w:pPr>
      <w:r w:rsidRPr="009D520B">
        <w:rPr>
          <w:rFonts w:ascii="Verdana" w:hAnsi="Verdana"/>
          <w:sz w:val="18"/>
          <w:szCs w:val="18"/>
          <w:lang w:val="es-ES"/>
        </w:rPr>
        <w:t>Ninguna detención ante autoridad judicial podrá exceder del plazo de setenta y dos horas, a partir de que el indiciado sea puesto a su disposición, sin que se justifique con un auto de vinculación a proceso en el que se expresará: el delito que se impute al acusado; el lugar, tiempo y circunstancias de ejecución, así como los datos que establezcan que se ha cometido un hecho que la ley señale como delito y que exista la probabilidad de que el indiciado lo cometió o participó en su comisión.</w:t>
      </w:r>
    </w:p>
    <w:p w14:paraId="11C223EC" w14:textId="6AD512E8" w:rsidR="001B2589" w:rsidRPr="009D520B" w:rsidRDefault="001B2589" w:rsidP="40DDB40B">
      <w:pPr>
        <w:pStyle w:val="Textonotapie"/>
        <w:spacing w:before="60" w:after="60"/>
        <w:ind w:left="567" w:right="703"/>
        <w:jc w:val="both"/>
        <w:rPr>
          <w:rFonts w:ascii="Verdana" w:hAnsi="Verdana"/>
          <w:sz w:val="18"/>
          <w:szCs w:val="18"/>
          <w:lang w:val="es-ES"/>
        </w:rPr>
      </w:pPr>
      <w:r w:rsidRPr="40DDB40B">
        <w:rPr>
          <w:rFonts w:ascii="Verdana" w:hAnsi="Verdana"/>
          <w:sz w:val="18"/>
          <w:szCs w:val="18"/>
          <w:lang w:val="es-ES"/>
        </w:rPr>
        <w:t xml:space="preserve">El Ministerio Público sólo podrá solicitar al juez la prisión preventiva cuando otras medidas cautelares no sean suficientes para garantizar la comparecencia del imputado en el juicio, el desarrollo de la investigación, la protección de la víctima, de los testigos o de la comunidad, así como cuando el imputado esté siendo procesado o haya sido sentenciado previamente por la comisión de un delito doloso. El juez ordenará la prisión preventiva oficiosamente, en los casos de abuso o violencia sexual contra menores, delincuencia organizada, homicidio doloso, feminicidio, violación, secuestro, trata de personas, robo de casa habitación, uso de programas sociales con fines electorales, corrupción tratándose de los delitos de enriquecimiento ilícito y ejercicio abusivo de funciones, robo al transporte de carga en cualquiera de sus modalidades, delitos en materia de hidrocarburos, petrolíferos o petroquímicos, delitos en materia de desaparición forzada de personas y desaparición cometida por particulares, delitos cometidos con medios violentos como armas y explosivos, delitos en materia de armas de fuego y explosivos de uso exclusivo del Ejército, la Armada y la Fuerza Aérea, así como los delitos </w:t>
      </w:r>
      <w:r w:rsidRPr="40DDB40B">
        <w:rPr>
          <w:rFonts w:ascii="Verdana" w:hAnsi="Verdana"/>
          <w:sz w:val="18"/>
          <w:szCs w:val="18"/>
          <w:lang w:val="es-ES"/>
        </w:rPr>
        <w:lastRenderedPageBreak/>
        <w:t>graves que determine la ley en contra de la seguridad de la nación, el libre desarrollo de la personalidad, y de la salud. […]</w:t>
      </w:r>
    </w:p>
    <w:p w14:paraId="5FE8C403"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hAnsi="Verdana"/>
          <w:i w:val="0"/>
          <w:iCs/>
          <w:sz w:val="20"/>
          <w:szCs w:val="20"/>
        </w:rPr>
        <w:t>Por otra parte, el artículo 20.IX de la Constitución de México, establece desde su reforma en el año 2008, que:</w:t>
      </w:r>
    </w:p>
    <w:p w14:paraId="7FB49887" w14:textId="008FEA36" w:rsidR="001B2589" w:rsidRPr="009D520B" w:rsidRDefault="001B2589" w:rsidP="001B2589">
      <w:pPr>
        <w:pStyle w:val="Textonotapie"/>
        <w:ind w:left="709" w:right="702"/>
        <w:jc w:val="both"/>
        <w:rPr>
          <w:rFonts w:ascii="Verdana" w:hAnsi="Verdana"/>
          <w:sz w:val="18"/>
          <w:szCs w:val="18"/>
          <w:lang w:val="es-ES"/>
        </w:rPr>
      </w:pPr>
      <w:r w:rsidRPr="40DDB40B">
        <w:rPr>
          <w:rFonts w:ascii="Verdana" w:hAnsi="Verdana"/>
          <w:sz w:val="18"/>
          <w:szCs w:val="18"/>
          <w:lang w:val="es-ES"/>
        </w:rPr>
        <w:t>[l]a prisión preventiva no podrá exceder del tiempo que como máximo de pena fije la ley al delito que motivare el proceso y en ningún caso será superior a dos años, salvo que su prolongación se deba al ejercicio del derecho de defensa del imputado. Si cumplido este término no se ha pronunciado sentencia, el imputado será puesto en libertad de inmediato mientras se sigue el proceso, sin que ello obste para imponer otras medidas cautelares</w:t>
      </w:r>
      <w:r w:rsidR="727619CE" w:rsidRPr="40DDB40B">
        <w:rPr>
          <w:rFonts w:ascii="Verdana" w:hAnsi="Verdana"/>
          <w:sz w:val="18"/>
          <w:szCs w:val="18"/>
          <w:lang w:val="es-ES"/>
        </w:rPr>
        <w:t>.</w:t>
      </w:r>
    </w:p>
    <w:p w14:paraId="4E4C7365"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eastAsia="Calibri" w:hAnsi="Verdana" w:cs="Arial"/>
          <w:bCs/>
          <w:i w:val="0"/>
          <w:iCs/>
          <w:sz w:val="20"/>
          <w:szCs w:val="20"/>
          <w:lang w:eastAsia="es-CR"/>
        </w:rPr>
        <w:t>El artículo 319 del Código de Procedimientos Penales para el Estado de México de 2000 establecía que:</w:t>
      </w:r>
    </w:p>
    <w:p w14:paraId="54813FFD" w14:textId="46328D4A" w:rsidR="001B2589" w:rsidRPr="009D520B" w:rsidRDefault="001B2589" w:rsidP="004C27D1">
      <w:pPr>
        <w:spacing w:before="60" w:after="60"/>
        <w:ind w:left="567" w:right="561"/>
        <w:jc w:val="both"/>
        <w:rPr>
          <w:rFonts w:ascii="Verdana" w:hAnsi="Verdana"/>
          <w:i/>
          <w:sz w:val="18"/>
          <w:szCs w:val="18"/>
        </w:rPr>
      </w:pPr>
      <w:r w:rsidRPr="009D520B">
        <w:rPr>
          <w:rFonts w:ascii="Verdana" w:hAnsi="Verdana"/>
          <w:sz w:val="18"/>
          <w:szCs w:val="18"/>
        </w:rPr>
        <w:t xml:space="preserve">Desde el momento en que quede a disposición del órgano jurisdiccional, todo inculpado tendrá derecho a ser puesto en libertad provisional bajo caución inmediatamente que lo solicite, si se reúnen los siguientes requisitos […] </w:t>
      </w:r>
    </w:p>
    <w:p w14:paraId="7D80BE20" w14:textId="7CDDD67A" w:rsidR="001B2589" w:rsidRPr="009D520B" w:rsidRDefault="001B2589" w:rsidP="004C27D1">
      <w:pPr>
        <w:spacing w:before="60" w:after="60"/>
        <w:ind w:left="567" w:right="561"/>
        <w:jc w:val="both"/>
        <w:rPr>
          <w:rFonts w:ascii="Verdana" w:hAnsi="Verdana"/>
          <w:sz w:val="18"/>
          <w:szCs w:val="18"/>
        </w:rPr>
      </w:pPr>
      <w:r w:rsidRPr="40DDB40B">
        <w:rPr>
          <w:rFonts w:ascii="Verdana" w:hAnsi="Verdana"/>
          <w:sz w:val="18"/>
          <w:szCs w:val="18"/>
        </w:rPr>
        <w:t>IV. Que no se trate de alguno de los delitos señalados como graves en la ley penal</w:t>
      </w:r>
      <w:r w:rsidR="727619CE" w:rsidRPr="40DDB40B">
        <w:rPr>
          <w:rFonts w:ascii="Verdana" w:hAnsi="Verdana"/>
          <w:sz w:val="18"/>
          <w:szCs w:val="18"/>
        </w:rPr>
        <w:t>.</w:t>
      </w:r>
    </w:p>
    <w:p w14:paraId="4F0ABD12"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eastAsia="Calibri" w:hAnsi="Verdana" w:cs="Arial"/>
          <w:bCs/>
          <w:i w:val="0"/>
          <w:iCs/>
          <w:sz w:val="20"/>
          <w:szCs w:val="20"/>
          <w:lang w:eastAsia="es-CR"/>
        </w:rPr>
        <w:t xml:space="preserve">Del mismo modo, el artículo 146 del Código de Procedimientos Penales para el Estado de México de 2000 establecía que: </w:t>
      </w:r>
    </w:p>
    <w:p w14:paraId="6A0447A9" w14:textId="33C989E1" w:rsidR="001B2589" w:rsidRPr="009D520B" w:rsidRDefault="001B2589" w:rsidP="001B2589">
      <w:pPr>
        <w:spacing w:before="120" w:after="120"/>
        <w:ind w:left="567" w:right="561"/>
        <w:jc w:val="both"/>
        <w:rPr>
          <w:rFonts w:ascii="Verdana" w:hAnsi="Verdana"/>
          <w:sz w:val="18"/>
          <w:szCs w:val="18"/>
        </w:rPr>
      </w:pPr>
      <w:r w:rsidRPr="009D520B">
        <w:rPr>
          <w:rFonts w:ascii="Verdana" w:hAnsi="Verdana"/>
          <w:sz w:val="18"/>
          <w:szCs w:val="18"/>
        </w:rPr>
        <w:t>El Ministerio Público, durante la averiguación previa deberá conceder al indiciado inmediatamente que lo solicite, su libertad provisional bajo caución; siempre y cuando no se trate de delitos en que por su gravedad la ley expresamente prohíba conceder este beneficio; pudiendo negársele cuando el indiciado haya sido condenado con anterioridad por algún delito calificado por la ley como grave o cuando existan datos fehacientes para establecer que la libertad del indiciado representa por su conducta precedente, por las circunstancias o características del delito cometido, un riesgo para el ofendido o para la sociedad. El monto y la forma de la caución se fijarán conforme a lo dispuesto por el artículo 319 de este código.</w:t>
      </w:r>
    </w:p>
    <w:p w14:paraId="413DFC5B"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9D520B">
        <w:rPr>
          <w:rFonts w:ascii="Verdana" w:eastAsia="Calibri" w:hAnsi="Verdana" w:cs="Arial"/>
          <w:bCs/>
          <w:i w:val="0"/>
          <w:iCs/>
          <w:sz w:val="20"/>
          <w:szCs w:val="20"/>
          <w:lang w:eastAsia="es-CR"/>
        </w:rPr>
        <w:t xml:space="preserve">Además, el artículo 9 de del Código Penal del Estado de México de 20 marzo de 2000 establecía que: </w:t>
      </w:r>
    </w:p>
    <w:p w14:paraId="0207005C" w14:textId="11266BF0" w:rsidR="001B2589" w:rsidRPr="009D520B" w:rsidRDefault="001B2589" w:rsidP="001B2589">
      <w:pPr>
        <w:spacing w:before="120" w:after="120"/>
        <w:ind w:left="567" w:right="561"/>
        <w:jc w:val="both"/>
        <w:rPr>
          <w:rFonts w:ascii="Verdana" w:hAnsi="Verdana"/>
          <w:i/>
          <w:sz w:val="18"/>
          <w:szCs w:val="18"/>
        </w:rPr>
      </w:pPr>
      <w:r w:rsidRPr="009D520B">
        <w:rPr>
          <w:rFonts w:ascii="Verdana" w:hAnsi="Verdana"/>
          <w:sz w:val="18"/>
          <w:szCs w:val="18"/>
        </w:rPr>
        <w:t>Se califican como delitos graves para todos los efectos legales: (…); el de delincuencia organizada, previsto en el artículo 178; (…) el de homicidio, contenido en el artículo 241; el de secuestro, señalado por el artículo 259; (…) y los previstos en las leyes especiales cuando la pena máxima exceda de diez años de prisión.</w:t>
      </w:r>
    </w:p>
    <w:p w14:paraId="61A57FF8"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szCs w:val="16"/>
          <w:lang w:val="es-ES"/>
        </w:rPr>
      </w:pPr>
      <w:r w:rsidRPr="009D520B">
        <w:rPr>
          <w:rFonts w:ascii="Verdana" w:eastAsia="Calibri" w:hAnsi="Verdana" w:cs="Arial"/>
          <w:bCs/>
          <w:i w:val="0"/>
          <w:iCs/>
          <w:sz w:val="20"/>
          <w:szCs w:val="20"/>
          <w:lang w:eastAsia="es-CR"/>
        </w:rPr>
        <w:t xml:space="preserve">El </w:t>
      </w:r>
      <w:r w:rsidRPr="009D520B">
        <w:rPr>
          <w:rFonts w:ascii="Verdana" w:hAnsi="Verdana"/>
          <w:i w:val="0"/>
          <w:iCs/>
          <w:sz w:val="20"/>
          <w:szCs w:val="20"/>
        </w:rPr>
        <w:t>artículo</w:t>
      </w:r>
      <w:r w:rsidRPr="009D520B">
        <w:rPr>
          <w:rFonts w:ascii="Verdana" w:eastAsia="Calibri" w:hAnsi="Verdana" w:cs="Arial"/>
          <w:bCs/>
          <w:i w:val="0"/>
          <w:iCs/>
          <w:sz w:val="20"/>
          <w:szCs w:val="20"/>
          <w:lang w:eastAsia="es-CR"/>
        </w:rPr>
        <w:t xml:space="preserve"> 194 del Código de Procedimientos Penales para el Estado de México en vigencia, el cual fue reformado en el año 2009, establece que:</w:t>
      </w:r>
      <w:r w:rsidRPr="009D520B">
        <w:rPr>
          <w:rFonts w:ascii="Verdana" w:hAnsi="Verdana"/>
          <w:szCs w:val="16"/>
          <w:lang w:val="es-ES"/>
        </w:rPr>
        <w:t xml:space="preserve"> </w:t>
      </w:r>
    </w:p>
    <w:p w14:paraId="252B2FEE" w14:textId="77777777" w:rsidR="001B2589" w:rsidRPr="009D520B" w:rsidRDefault="001B2589" w:rsidP="004C27D1">
      <w:pPr>
        <w:pStyle w:val="Textonotapie"/>
        <w:spacing w:before="60" w:after="60"/>
        <w:ind w:left="567" w:right="703"/>
        <w:jc w:val="both"/>
        <w:rPr>
          <w:rFonts w:ascii="Verdana" w:hAnsi="Verdana"/>
          <w:i/>
          <w:sz w:val="18"/>
          <w:szCs w:val="18"/>
          <w:lang w:val="es-ES"/>
        </w:rPr>
      </w:pPr>
      <w:r w:rsidRPr="009D520B">
        <w:rPr>
          <w:rFonts w:ascii="Verdana" w:hAnsi="Verdana"/>
          <w:sz w:val="18"/>
          <w:szCs w:val="18"/>
          <w:lang w:val="es-ES"/>
        </w:rPr>
        <w:t>Procedencia de la Prisión Preventiva</w:t>
      </w:r>
    </w:p>
    <w:p w14:paraId="04DA77FC" w14:textId="77777777" w:rsidR="001B2589" w:rsidRPr="009D520B" w:rsidRDefault="001B2589" w:rsidP="004C27D1">
      <w:pPr>
        <w:pStyle w:val="Textonotapie"/>
        <w:spacing w:before="60" w:after="60"/>
        <w:ind w:left="567" w:right="703"/>
        <w:jc w:val="both"/>
        <w:rPr>
          <w:rFonts w:ascii="Verdana" w:hAnsi="Verdana"/>
          <w:i/>
          <w:sz w:val="18"/>
          <w:szCs w:val="18"/>
          <w:lang w:val="es-ES"/>
        </w:rPr>
      </w:pPr>
      <w:r w:rsidRPr="009D520B">
        <w:rPr>
          <w:rFonts w:ascii="Verdana" w:hAnsi="Verdana"/>
          <w:sz w:val="18"/>
          <w:szCs w:val="18"/>
          <w:lang w:val="es-ES"/>
        </w:rPr>
        <w:t>Artículo 194. Procede la prisión preventiva en los siguientes casos:</w:t>
      </w:r>
    </w:p>
    <w:p w14:paraId="4C39ACB4" w14:textId="77777777" w:rsidR="001B2589" w:rsidRPr="009D520B" w:rsidRDefault="001B2589" w:rsidP="004C27D1">
      <w:pPr>
        <w:pStyle w:val="Textonotapie"/>
        <w:spacing w:before="60" w:after="60"/>
        <w:ind w:left="567" w:right="703"/>
        <w:jc w:val="both"/>
        <w:rPr>
          <w:rFonts w:ascii="Verdana" w:hAnsi="Verdana"/>
          <w:i/>
          <w:sz w:val="18"/>
          <w:szCs w:val="18"/>
          <w:lang w:val="es-ES"/>
        </w:rPr>
      </w:pPr>
      <w:r w:rsidRPr="009D520B">
        <w:rPr>
          <w:rFonts w:ascii="Verdana" w:hAnsi="Verdana"/>
          <w:sz w:val="18"/>
          <w:szCs w:val="18"/>
          <w:lang w:val="es-ES"/>
        </w:rPr>
        <w:t>A. De oficio:</w:t>
      </w:r>
    </w:p>
    <w:p w14:paraId="5BA34B08" w14:textId="77777777" w:rsidR="001B2589" w:rsidRPr="009D520B" w:rsidRDefault="001B2589" w:rsidP="004C27D1">
      <w:pPr>
        <w:pStyle w:val="Textonotapie"/>
        <w:spacing w:before="60" w:after="60"/>
        <w:ind w:left="709" w:right="703"/>
        <w:jc w:val="both"/>
        <w:rPr>
          <w:rFonts w:ascii="Verdana" w:hAnsi="Verdana"/>
          <w:i/>
          <w:sz w:val="18"/>
          <w:szCs w:val="18"/>
          <w:lang w:val="es-ES"/>
        </w:rPr>
      </w:pPr>
      <w:r w:rsidRPr="009D520B">
        <w:rPr>
          <w:rFonts w:ascii="Verdana" w:hAnsi="Verdana"/>
          <w:sz w:val="18"/>
          <w:szCs w:val="18"/>
          <w:lang w:val="es-ES"/>
        </w:rPr>
        <w:t>I. Cuando se trate de los delitos de homicidio doloso, violación y secuestro, y su comisión en grado de tentativa;</w:t>
      </w:r>
    </w:p>
    <w:p w14:paraId="2282635A" w14:textId="77777777" w:rsidR="001B2589" w:rsidRPr="009D520B" w:rsidRDefault="001B2589" w:rsidP="004C27D1">
      <w:pPr>
        <w:pStyle w:val="Textonotapie"/>
        <w:spacing w:before="60" w:after="60"/>
        <w:ind w:left="709" w:right="703"/>
        <w:jc w:val="both"/>
        <w:rPr>
          <w:rFonts w:ascii="Verdana" w:hAnsi="Verdana"/>
          <w:i/>
          <w:sz w:val="18"/>
          <w:szCs w:val="18"/>
          <w:lang w:val="es-ES"/>
        </w:rPr>
      </w:pPr>
      <w:r w:rsidRPr="009D520B">
        <w:rPr>
          <w:rFonts w:ascii="Verdana" w:hAnsi="Verdana"/>
          <w:sz w:val="18"/>
          <w:szCs w:val="18"/>
          <w:lang w:val="es-ES"/>
        </w:rPr>
        <w:t>II. Los delitos cometidos con medios violentos, siempre que se ocasionen daños graves en la integridad física de las</w:t>
      </w:r>
      <w:r w:rsidRPr="009D520B">
        <w:rPr>
          <w:rFonts w:ascii="Verdana" w:hAnsi="Verdana"/>
          <w:i/>
          <w:sz w:val="18"/>
          <w:szCs w:val="18"/>
          <w:lang w:val="es-ES"/>
        </w:rPr>
        <w:t xml:space="preserve"> </w:t>
      </w:r>
      <w:r w:rsidRPr="009D520B">
        <w:rPr>
          <w:rFonts w:ascii="Verdana" w:hAnsi="Verdana"/>
          <w:sz w:val="18"/>
          <w:szCs w:val="18"/>
          <w:lang w:val="es-ES"/>
        </w:rPr>
        <w:t>personas, así como los cometidos con armas, explosivos u otros que por su naturaleza puedan generar peligro; y</w:t>
      </w:r>
    </w:p>
    <w:p w14:paraId="7F2A2751" w14:textId="77777777" w:rsidR="001B2589" w:rsidRPr="009D520B" w:rsidRDefault="001B2589" w:rsidP="004C27D1">
      <w:pPr>
        <w:pStyle w:val="Textonotapie"/>
        <w:spacing w:before="60" w:after="60"/>
        <w:ind w:left="709" w:right="703"/>
        <w:jc w:val="both"/>
        <w:rPr>
          <w:rFonts w:ascii="Verdana" w:hAnsi="Verdana"/>
          <w:i/>
          <w:sz w:val="18"/>
          <w:szCs w:val="18"/>
          <w:lang w:val="es-ES"/>
        </w:rPr>
      </w:pPr>
      <w:r w:rsidRPr="009D520B">
        <w:rPr>
          <w:rFonts w:ascii="Verdana" w:hAnsi="Verdana"/>
          <w:sz w:val="18"/>
          <w:szCs w:val="18"/>
          <w:lang w:val="es-ES"/>
        </w:rPr>
        <w:t>III. En los siguientes delitos contra el libre desarrollo de la personalidad previstos en el Código Penal del Estado:</w:t>
      </w:r>
    </w:p>
    <w:p w14:paraId="0F335467" w14:textId="77777777" w:rsidR="001B2589" w:rsidRPr="009D520B" w:rsidRDefault="001B2589" w:rsidP="004C27D1">
      <w:pPr>
        <w:pStyle w:val="Textonotapie"/>
        <w:spacing w:before="60" w:after="60"/>
        <w:ind w:left="851" w:right="703"/>
        <w:jc w:val="both"/>
        <w:rPr>
          <w:rFonts w:ascii="Verdana" w:hAnsi="Verdana"/>
          <w:i/>
          <w:sz w:val="18"/>
          <w:szCs w:val="18"/>
          <w:lang w:val="es-ES"/>
        </w:rPr>
      </w:pPr>
      <w:r w:rsidRPr="009D520B">
        <w:rPr>
          <w:rFonts w:ascii="Verdana" w:hAnsi="Verdana"/>
          <w:sz w:val="18"/>
          <w:szCs w:val="18"/>
          <w:lang w:val="es-ES"/>
        </w:rPr>
        <w:t>a) El del artículo 204 fracciones I, II, III;</w:t>
      </w:r>
    </w:p>
    <w:p w14:paraId="3F399E34" w14:textId="0171C8E0" w:rsidR="001B2589" w:rsidRPr="009D520B" w:rsidRDefault="001B2589" w:rsidP="004C27D1">
      <w:pPr>
        <w:pStyle w:val="Textonotapie"/>
        <w:spacing w:before="60" w:after="60"/>
        <w:ind w:left="851" w:right="703"/>
        <w:jc w:val="both"/>
        <w:rPr>
          <w:rFonts w:ascii="Verdana" w:hAnsi="Verdana"/>
          <w:i/>
          <w:sz w:val="18"/>
          <w:szCs w:val="18"/>
          <w:lang w:val="es-ES"/>
        </w:rPr>
      </w:pPr>
      <w:r w:rsidRPr="009D520B">
        <w:rPr>
          <w:rFonts w:ascii="Verdana" w:hAnsi="Verdana"/>
          <w:sz w:val="18"/>
          <w:szCs w:val="18"/>
          <w:lang w:val="es-ES"/>
        </w:rPr>
        <w:t xml:space="preserve">b) El de pornografía de menores e </w:t>
      </w:r>
      <w:r w:rsidR="0085540D" w:rsidRPr="009D520B">
        <w:rPr>
          <w:rFonts w:ascii="Verdana" w:hAnsi="Verdana"/>
          <w:sz w:val="18"/>
          <w:szCs w:val="18"/>
          <w:lang w:val="es-ES"/>
        </w:rPr>
        <w:t>incapaces contenidos</w:t>
      </w:r>
      <w:r w:rsidRPr="009D520B">
        <w:rPr>
          <w:rFonts w:ascii="Verdana" w:hAnsi="Verdana"/>
          <w:sz w:val="18"/>
          <w:szCs w:val="18"/>
          <w:lang w:val="es-ES"/>
        </w:rPr>
        <w:t xml:space="preserve"> en el artículo 206, fracciones I, II y IV; y</w:t>
      </w:r>
    </w:p>
    <w:p w14:paraId="2076FFDE" w14:textId="77777777" w:rsidR="001B2589" w:rsidRPr="009D520B" w:rsidRDefault="001B2589" w:rsidP="004C27D1">
      <w:pPr>
        <w:pStyle w:val="Textonotapie"/>
        <w:spacing w:before="60" w:after="60"/>
        <w:ind w:left="851" w:right="703"/>
        <w:jc w:val="both"/>
        <w:rPr>
          <w:rFonts w:ascii="Verdana" w:hAnsi="Verdana"/>
          <w:i/>
          <w:sz w:val="18"/>
          <w:szCs w:val="18"/>
          <w:lang w:val="es-ES"/>
        </w:rPr>
      </w:pPr>
      <w:r w:rsidRPr="009D520B">
        <w:rPr>
          <w:rFonts w:ascii="Verdana" w:hAnsi="Verdana"/>
          <w:sz w:val="18"/>
          <w:szCs w:val="18"/>
          <w:lang w:val="es-ES"/>
        </w:rPr>
        <w:t>c) Trata de personas.</w:t>
      </w:r>
    </w:p>
    <w:p w14:paraId="1042AC5C" w14:textId="77777777" w:rsidR="001B2589" w:rsidRPr="009D520B" w:rsidRDefault="001B2589" w:rsidP="004C27D1">
      <w:pPr>
        <w:pStyle w:val="Textonotapie"/>
        <w:spacing w:before="60" w:after="60"/>
        <w:ind w:left="709" w:right="703"/>
        <w:jc w:val="both"/>
        <w:rPr>
          <w:rFonts w:ascii="Verdana" w:hAnsi="Verdana"/>
          <w:i/>
          <w:sz w:val="18"/>
          <w:szCs w:val="18"/>
          <w:lang w:val="es-ES"/>
        </w:rPr>
      </w:pPr>
      <w:r w:rsidRPr="009D520B">
        <w:rPr>
          <w:rFonts w:ascii="Verdana" w:hAnsi="Verdana"/>
          <w:sz w:val="18"/>
          <w:szCs w:val="18"/>
          <w:lang w:val="es-ES"/>
        </w:rPr>
        <w:t>IV. Los previstos como graves en las Leyes Generales.</w:t>
      </w:r>
    </w:p>
    <w:p w14:paraId="68DB0E8D" w14:textId="77777777" w:rsidR="001B2589" w:rsidRPr="009D520B" w:rsidRDefault="001B2589" w:rsidP="004C27D1">
      <w:pPr>
        <w:pStyle w:val="Textonotapie"/>
        <w:spacing w:before="60" w:after="60"/>
        <w:ind w:left="567" w:right="703"/>
        <w:jc w:val="both"/>
        <w:rPr>
          <w:rFonts w:ascii="Verdana" w:hAnsi="Verdana"/>
          <w:i/>
          <w:sz w:val="18"/>
          <w:szCs w:val="18"/>
          <w:lang w:val="es-ES"/>
        </w:rPr>
      </w:pPr>
      <w:r w:rsidRPr="009D520B">
        <w:rPr>
          <w:rFonts w:ascii="Verdana" w:hAnsi="Verdana"/>
          <w:sz w:val="18"/>
          <w:szCs w:val="18"/>
          <w:lang w:val="es-ES"/>
        </w:rPr>
        <w:lastRenderedPageBreak/>
        <w:t>B. A petición justificada del ministerio público en los restantes delitos, cuando otras medidas cautelares no sean suficientes para garantizar:</w:t>
      </w:r>
    </w:p>
    <w:p w14:paraId="36CA1BDA" w14:textId="77777777" w:rsidR="001B2589" w:rsidRPr="009D520B" w:rsidRDefault="001B2589" w:rsidP="004C27D1">
      <w:pPr>
        <w:pStyle w:val="Textonotapie"/>
        <w:spacing w:before="60" w:after="60"/>
        <w:ind w:left="709" w:right="703"/>
        <w:jc w:val="both"/>
        <w:rPr>
          <w:rFonts w:ascii="Verdana" w:hAnsi="Verdana"/>
          <w:i/>
          <w:sz w:val="18"/>
          <w:szCs w:val="18"/>
          <w:lang w:val="es-ES"/>
        </w:rPr>
      </w:pPr>
      <w:r w:rsidRPr="009D520B">
        <w:rPr>
          <w:rFonts w:ascii="Verdana" w:hAnsi="Verdana"/>
          <w:sz w:val="18"/>
          <w:szCs w:val="18"/>
          <w:lang w:val="es-ES"/>
        </w:rPr>
        <w:t>I. La comparecencia del imputado en el juicio;</w:t>
      </w:r>
    </w:p>
    <w:p w14:paraId="029B51DE" w14:textId="77777777" w:rsidR="001B2589" w:rsidRPr="009D520B" w:rsidRDefault="001B2589" w:rsidP="004C27D1">
      <w:pPr>
        <w:pStyle w:val="Textonotapie"/>
        <w:spacing w:before="60" w:after="60"/>
        <w:ind w:left="709" w:right="703"/>
        <w:jc w:val="both"/>
        <w:rPr>
          <w:rFonts w:ascii="Verdana" w:hAnsi="Verdana"/>
          <w:i/>
          <w:sz w:val="18"/>
          <w:szCs w:val="18"/>
          <w:lang w:val="es-ES"/>
        </w:rPr>
      </w:pPr>
      <w:r w:rsidRPr="009D520B">
        <w:rPr>
          <w:rFonts w:ascii="Verdana" w:hAnsi="Verdana"/>
          <w:sz w:val="18"/>
          <w:szCs w:val="18"/>
          <w:lang w:val="es-ES"/>
        </w:rPr>
        <w:t>II. El desarrollo de la investigación;</w:t>
      </w:r>
    </w:p>
    <w:p w14:paraId="1BA052B2" w14:textId="77777777" w:rsidR="001B2589" w:rsidRPr="009D520B" w:rsidRDefault="001B2589" w:rsidP="004C27D1">
      <w:pPr>
        <w:pStyle w:val="Textonotapie"/>
        <w:spacing w:before="60" w:after="60"/>
        <w:ind w:left="709" w:right="703"/>
        <w:jc w:val="both"/>
        <w:rPr>
          <w:rFonts w:ascii="Verdana" w:hAnsi="Verdana"/>
          <w:i/>
          <w:sz w:val="18"/>
          <w:szCs w:val="18"/>
          <w:lang w:val="es-ES"/>
        </w:rPr>
      </w:pPr>
      <w:r w:rsidRPr="009D520B">
        <w:rPr>
          <w:rFonts w:ascii="Verdana" w:hAnsi="Verdana"/>
          <w:sz w:val="18"/>
          <w:szCs w:val="18"/>
          <w:lang w:val="es-ES"/>
        </w:rPr>
        <w:t>III. La protección de la víctima, de los testigos o de la comunidad; o bien,</w:t>
      </w:r>
    </w:p>
    <w:p w14:paraId="70912E1C" w14:textId="77777777" w:rsidR="001B2589" w:rsidRPr="009D520B" w:rsidRDefault="001B2589" w:rsidP="004C27D1">
      <w:pPr>
        <w:pStyle w:val="Textonotapie"/>
        <w:spacing w:before="60" w:after="60"/>
        <w:ind w:left="709" w:right="703"/>
        <w:jc w:val="both"/>
        <w:rPr>
          <w:rFonts w:ascii="Verdana" w:hAnsi="Verdana"/>
          <w:i/>
          <w:sz w:val="18"/>
          <w:szCs w:val="18"/>
          <w:lang w:val="es-ES"/>
        </w:rPr>
      </w:pPr>
      <w:r w:rsidRPr="009D520B">
        <w:rPr>
          <w:rFonts w:ascii="Verdana" w:hAnsi="Verdana"/>
          <w:sz w:val="18"/>
          <w:szCs w:val="18"/>
          <w:lang w:val="es-ES"/>
        </w:rPr>
        <w:t>IV. Cuando el imputado esté siendo procesado o haya sido sentenciado previamente por la comisión de un delito doloso.</w:t>
      </w:r>
    </w:p>
    <w:p w14:paraId="0CA2E8E7" w14:textId="4B719FD8" w:rsidR="001B2589" w:rsidRPr="009D520B" w:rsidRDefault="001B2589" w:rsidP="001B2589">
      <w:pPr>
        <w:pStyle w:val="Ttulo3"/>
        <w:spacing w:before="240" w:after="240"/>
        <w:ind w:left="567"/>
        <w:rPr>
          <w:rFonts w:ascii="Verdana" w:hAnsi="Verdana"/>
          <w:bCs w:val="0"/>
          <w:snapToGrid w:val="0"/>
          <w:spacing w:val="-2"/>
          <w:sz w:val="20"/>
          <w:szCs w:val="20"/>
          <w:lang w:eastAsia="es-ES"/>
        </w:rPr>
      </w:pPr>
      <w:bookmarkStart w:id="67" w:name="_Toc118146535"/>
      <w:bookmarkStart w:id="68" w:name="_Toc132133903"/>
      <w:r w:rsidRPr="009D520B">
        <w:rPr>
          <w:rFonts w:ascii="Verdana" w:hAnsi="Verdana"/>
          <w:bCs w:val="0"/>
          <w:snapToGrid w:val="0"/>
          <w:spacing w:val="-2"/>
          <w:sz w:val="20"/>
          <w:szCs w:val="20"/>
          <w:lang w:eastAsia="es-ES"/>
        </w:rPr>
        <w:t>A.3. Sobre la</w:t>
      </w:r>
      <w:r w:rsidR="009D520B" w:rsidRPr="009D520B">
        <w:rPr>
          <w:rFonts w:ascii="Verdana" w:hAnsi="Verdana"/>
          <w:bCs w:val="0"/>
          <w:snapToGrid w:val="0"/>
          <w:spacing w:val="-2"/>
          <w:sz w:val="20"/>
          <w:szCs w:val="20"/>
          <w:lang w:eastAsia="es-ES"/>
        </w:rPr>
        <w:t>s</w:t>
      </w:r>
      <w:r w:rsidRPr="009D520B">
        <w:rPr>
          <w:rFonts w:ascii="Verdana" w:hAnsi="Verdana"/>
          <w:bCs w:val="0"/>
          <w:snapToGrid w:val="0"/>
          <w:spacing w:val="-2"/>
          <w:sz w:val="20"/>
          <w:szCs w:val="20"/>
          <w:lang w:eastAsia="es-ES"/>
        </w:rPr>
        <w:t xml:space="preserve"> normas relacionadas con la aprehensión de una persona</w:t>
      </w:r>
      <w:bookmarkEnd w:id="67"/>
      <w:bookmarkEnd w:id="68"/>
    </w:p>
    <w:p w14:paraId="60CD9BCA"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El artículo 16 de la Constitución mexicana vigente al momento en que se produjo la detención de las presuntas víctimas establecía que:</w:t>
      </w:r>
    </w:p>
    <w:p w14:paraId="4ADE8539" w14:textId="3909CE37" w:rsidR="001B2589" w:rsidRPr="009D520B" w:rsidRDefault="001B2589" w:rsidP="001B2589">
      <w:pPr>
        <w:spacing w:before="120" w:after="120"/>
        <w:ind w:left="567" w:right="561"/>
        <w:jc w:val="both"/>
        <w:rPr>
          <w:rFonts w:ascii="Verdana" w:eastAsia="Cambria" w:hAnsi="Verdana" w:cs="Cambria"/>
          <w:sz w:val="18"/>
          <w:szCs w:val="18"/>
          <w:lang w:val="es-ES_tradnl"/>
        </w:rPr>
      </w:pPr>
      <w:r w:rsidRPr="009D520B">
        <w:rPr>
          <w:rFonts w:ascii="Verdana" w:eastAsia="Cambria" w:hAnsi="Verdana" w:cs="Cambria"/>
          <w:sz w:val="18"/>
          <w:szCs w:val="18"/>
          <w:lang w:val="es-ES_tradnl"/>
        </w:rPr>
        <w:t xml:space="preserve"> [l]a autoridad que ejecute una orden judicial de aprehensión, deberá poner al inculpado a disposición del juez, sin </w:t>
      </w:r>
      <w:r w:rsidRPr="009D520B">
        <w:rPr>
          <w:rFonts w:ascii="Verdana" w:hAnsi="Verdana"/>
          <w:sz w:val="18"/>
          <w:szCs w:val="18"/>
        </w:rPr>
        <w:t>dilación</w:t>
      </w:r>
      <w:r w:rsidRPr="009D520B">
        <w:rPr>
          <w:rFonts w:ascii="Verdana" w:eastAsia="Cambria" w:hAnsi="Verdana" w:cs="Cambria"/>
          <w:sz w:val="18"/>
          <w:szCs w:val="18"/>
          <w:lang w:val="es-ES_tradnl"/>
        </w:rPr>
        <w:t xml:space="preserve"> alguna y bajo su más estricta responsabilidad. La contravención a lo anterior será sancionada por la ley penal. […] En los casos de delito flagrante, cualquier persona puede detener al indiciado poniéndolo sin demora a disposición de la autoridad inmediata y ésta, con la misma prontitud, a la del Ministerio Público.</w:t>
      </w:r>
    </w:p>
    <w:p w14:paraId="55A9CAAD"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El artículo 147 del Código de Procedimientos Penales para el Estado de México de 2000 establecía que:</w:t>
      </w:r>
    </w:p>
    <w:p w14:paraId="6DD1290F" w14:textId="47553D89" w:rsidR="001B2589" w:rsidRPr="009D520B" w:rsidRDefault="001B2589" w:rsidP="001B2589">
      <w:pPr>
        <w:spacing w:before="120" w:after="120"/>
        <w:ind w:left="567" w:right="561"/>
        <w:jc w:val="both"/>
        <w:rPr>
          <w:rFonts w:ascii="Verdana" w:eastAsia="Cambria" w:hAnsi="Verdana" w:cs="Cambria"/>
          <w:iCs/>
          <w:sz w:val="18"/>
          <w:szCs w:val="18"/>
          <w:lang w:val="es-ES_tradnl"/>
        </w:rPr>
      </w:pPr>
      <w:r w:rsidRPr="009D520B">
        <w:rPr>
          <w:rFonts w:ascii="Verdana" w:eastAsia="Cambria" w:hAnsi="Verdana" w:cs="Cambria"/>
          <w:iCs/>
          <w:sz w:val="18"/>
          <w:szCs w:val="18"/>
          <w:lang w:val="es-ES_tradnl"/>
        </w:rPr>
        <w:t xml:space="preserve"> [c]uando estén reunidos los requisitos establecidos en la Constitución Política de los Estados Unidos Mexicanos, el órgano jurisdiccional librará de inmediato la orden de aprehensión que en contra del inculpado, le solicite el Ministerio Público”. Además, el artículo 142 de dicho cuerpo normativo se refiere a la flagrancia en los siguientes términos: “Existe flagrancia cuando la persona es detenida en el momento de estar cometiendo el hecho, o bien, cuando el indiciado es perseguido material, ininterrumpida e inmediatamente después de ejecutado. […] Se equipara a la existencia de flagrancia, cuando la persona es señalada como responsable por la víctima, algún testigo presencial de los hechos, o por quien hubiera participado con ella en su comisión; o se encuentre en su poder el objeto, instrumento o producto del delito, o bien, aparezcan huellas o indicios que hagan presumir fundadamente su participación en el hecho; siempre y cuando el mismo pueda ser constitutivo de delito grave, y no haya transcurrido un plazo de setenta y dos horas desde el momento de la comisión de los hechos probablemente delictivos. </w:t>
      </w:r>
    </w:p>
    <w:p w14:paraId="0C2118F7" w14:textId="77777777" w:rsidR="001B2589" w:rsidRPr="009D520B" w:rsidRDefault="001B2589" w:rsidP="001B258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El artículo 143 del Código de Procedimientos Penales para el Estado de México de 2000 establecía que:</w:t>
      </w:r>
    </w:p>
    <w:p w14:paraId="6CC78096" w14:textId="5F4F80F1" w:rsidR="001B2589" w:rsidRPr="009D520B" w:rsidRDefault="001B2589" w:rsidP="001B2589">
      <w:pPr>
        <w:spacing w:before="120" w:after="120"/>
        <w:ind w:left="567" w:right="561"/>
        <w:jc w:val="both"/>
        <w:rPr>
          <w:rFonts w:ascii="Verdana" w:eastAsia="Cambria" w:hAnsi="Verdana" w:cs="Cambria"/>
          <w:iCs/>
          <w:sz w:val="18"/>
          <w:szCs w:val="18"/>
          <w:lang w:val="es-ES_tradnl"/>
        </w:rPr>
      </w:pPr>
      <w:r w:rsidRPr="009D520B">
        <w:rPr>
          <w:rFonts w:ascii="Verdana" w:eastAsia="Cambria" w:hAnsi="Verdana" w:cs="Cambria"/>
          <w:iCs/>
          <w:sz w:val="18"/>
          <w:szCs w:val="18"/>
          <w:lang w:val="es-ES_tradnl"/>
        </w:rPr>
        <w:t>[e]l Ministerio Público ordenará la detención en caso urgente, por escrito, fundando y expresando los indicios que acrediten los requisitos mencionados en los incisos anteriores. En este caso, el Ministerio Público deberá tener comprobados el cuerpo del delito y la probable responsabilidad del indiciado.</w:t>
      </w:r>
    </w:p>
    <w:p w14:paraId="11D76286" w14:textId="11FFAEA7" w:rsidR="00630B6F" w:rsidRPr="009D520B" w:rsidRDefault="00D25E76" w:rsidP="00630B6F">
      <w:pPr>
        <w:pStyle w:val="Ttulo2"/>
        <w:numPr>
          <w:ilvl w:val="0"/>
          <w:numId w:val="8"/>
        </w:numPr>
        <w:spacing w:before="240" w:after="240"/>
        <w:ind w:left="714" w:hanging="357"/>
        <w:jc w:val="both"/>
        <w:rPr>
          <w:rFonts w:ascii="Verdana" w:hAnsi="Verdana"/>
          <w:i/>
          <w:color w:val="auto"/>
          <w:sz w:val="20"/>
          <w:szCs w:val="20"/>
        </w:rPr>
      </w:pPr>
      <w:bookmarkStart w:id="69" w:name="_Toc132133904"/>
      <w:r w:rsidRPr="009D520B">
        <w:rPr>
          <w:rFonts w:ascii="Verdana" w:hAnsi="Verdana"/>
          <w:i/>
          <w:color w:val="auto"/>
          <w:sz w:val="20"/>
          <w:szCs w:val="20"/>
        </w:rPr>
        <w:t>Sobre Daniel García Rodríguez y Reyes Alpízar Ortiz</w:t>
      </w:r>
      <w:bookmarkEnd w:id="69"/>
      <w:r w:rsidRPr="009D520B">
        <w:rPr>
          <w:rFonts w:ascii="Verdana" w:hAnsi="Verdana"/>
          <w:i/>
          <w:color w:val="auto"/>
          <w:sz w:val="20"/>
          <w:szCs w:val="20"/>
        </w:rPr>
        <w:t xml:space="preserve"> </w:t>
      </w:r>
    </w:p>
    <w:p w14:paraId="765DF2FF" w14:textId="5890BA8B" w:rsidR="00630B6F" w:rsidRPr="009D520B" w:rsidRDefault="00630B6F" w:rsidP="00630B6F">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color w:val="000000" w:themeColor="text1"/>
          <w:sz w:val="20"/>
          <w:szCs w:val="20"/>
          <w:lang w:val="es-ES_tradnl"/>
        </w:rPr>
      </w:pPr>
      <w:r w:rsidRPr="6E159DF8">
        <w:rPr>
          <w:rFonts w:ascii="Verdana" w:hAnsi="Verdana"/>
          <w:i w:val="0"/>
          <w:color w:val="000000" w:themeColor="text1"/>
          <w:sz w:val="20"/>
          <w:szCs w:val="20"/>
          <w:lang w:val="es-ES"/>
        </w:rPr>
        <w:t xml:space="preserve">Es un hecho </w:t>
      </w:r>
      <w:r w:rsidR="009243AB" w:rsidRPr="6E159DF8">
        <w:rPr>
          <w:rFonts w:ascii="Verdana" w:hAnsi="Verdana"/>
          <w:i w:val="0"/>
          <w:color w:val="000000" w:themeColor="text1"/>
          <w:sz w:val="20"/>
          <w:szCs w:val="20"/>
          <w:lang w:val="es-ES"/>
        </w:rPr>
        <w:t xml:space="preserve">no </w:t>
      </w:r>
      <w:r w:rsidRPr="6E159DF8">
        <w:rPr>
          <w:rFonts w:ascii="Verdana" w:hAnsi="Verdana"/>
          <w:i w:val="0"/>
          <w:color w:val="000000" w:themeColor="text1"/>
          <w:sz w:val="20"/>
          <w:szCs w:val="20"/>
          <w:lang w:val="es-ES"/>
        </w:rPr>
        <w:t xml:space="preserve">controvertido que Daniel García Rodríguez y Reyes Alpízar Ortiz son de nacionalidad mexicana y </w:t>
      </w:r>
      <w:r w:rsidR="007F4456">
        <w:rPr>
          <w:rFonts w:ascii="Verdana" w:hAnsi="Verdana"/>
          <w:i w:val="0"/>
          <w:color w:val="000000" w:themeColor="text1"/>
          <w:sz w:val="20"/>
          <w:szCs w:val="20"/>
          <w:lang w:val="es-ES"/>
        </w:rPr>
        <w:t>residían</w:t>
      </w:r>
      <w:r w:rsidR="00CA05EA" w:rsidRPr="6E159DF8">
        <w:rPr>
          <w:rFonts w:ascii="Verdana" w:hAnsi="Verdana"/>
          <w:i w:val="0"/>
          <w:color w:val="000000" w:themeColor="text1"/>
          <w:sz w:val="20"/>
          <w:szCs w:val="20"/>
          <w:lang w:val="es-ES"/>
        </w:rPr>
        <w:t xml:space="preserve">, al momento de su detención, </w:t>
      </w:r>
      <w:r w:rsidRPr="6E159DF8">
        <w:rPr>
          <w:rFonts w:ascii="Verdana" w:hAnsi="Verdana"/>
          <w:i w:val="0"/>
          <w:color w:val="000000" w:themeColor="text1"/>
          <w:sz w:val="20"/>
          <w:szCs w:val="20"/>
          <w:lang w:val="es-ES"/>
        </w:rPr>
        <w:t>en el Municipio de Atizapán de Zaragoza, Ciudad de México. En la época de los hechos Daniel García se desempeñaba como empresario, según indicó, en negocios "como restaurantes", "engor[des de] ganado mayor en un rancho y en una granja"</w:t>
      </w:r>
      <w:r w:rsidRPr="6E159DF8">
        <w:rPr>
          <w:rStyle w:val="Refdenotaalpie"/>
          <w:rFonts w:ascii="Verdana" w:eastAsia="Calibri" w:hAnsi="Verdana"/>
          <w:i w:val="0"/>
          <w:color w:val="000000" w:themeColor="text1"/>
          <w:sz w:val="20"/>
          <w:lang w:eastAsia="es-CR"/>
        </w:rPr>
        <w:footnoteReference w:id="53"/>
      </w:r>
      <w:r w:rsidRPr="6E159DF8">
        <w:rPr>
          <w:rFonts w:ascii="Verdana" w:hAnsi="Verdana"/>
          <w:i w:val="0"/>
          <w:color w:val="000000" w:themeColor="text1"/>
          <w:sz w:val="20"/>
          <w:szCs w:val="20"/>
          <w:lang w:val="es-ES"/>
        </w:rPr>
        <w:t xml:space="preserve"> y, Reyes Alpízar como representante sindical</w:t>
      </w:r>
      <w:r w:rsidRPr="6E159DF8">
        <w:rPr>
          <w:rStyle w:val="Refdenotaalpie"/>
          <w:rFonts w:ascii="Verdana" w:eastAsia="Calibri" w:hAnsi="Verdana"/>
          <w:i w:val="0"/>
          <w:color w:val="000000" w:themeColor="text1"/>
          <w:sz w:val="20"/>
          <w:lang w:eastAsia="es-CR"/>
        </w:rPr>
        <w:footnoteReference w:id="54"/>
      </w:r>
      <w:r w:rsidRPr="6E159DF8">
        <w:rPr>
          <w:rFonts w:ascii="Verdana" w:hAnsi="Verdana"/>
          <w:i w:val="0"/>
          <w:color w:val="000000" w:themeColor="text1"/>
          <w:sz w:val="20"/>
          <w:szCs w:val="20"/>
          <w:lang w:val="es-ES"/>
        </w:rPr>
        <w:t>.</w:t>
      </w:r>
    </w:p>
    <w:p w14:paraId="0D4005B8" w14:textId="04AFA106" w:rsidR="00630B6F" w:rsidRPr="009D520B" w:rsidRDefault="007F4456" w:rsidP="007A5F24">
      <w:pPr>
        <w:pStyle w:val="Ttulo2"/>
        <w:numPr>
          <w:ilvl w:val="0"/>
          <w:numId w:val="8"/>
        </w:numPr>
        <w:spacing w:before="240" w:after="240"/>
        <w:ind w:left="714" w:hanging="357"/>
        <w:jc w:val="both"/>
        <w:rPr>
          <w:sz w:val="20"/>
          <w:szCs w:val="20"/>
        </w:rPr>
      </w:pPr>
      <w:bookmarkStart w:id="70" w:name="_Toc116901604"/>
      <w:bookmarkStart w:id="71" w:name="_Toc132133905"/>
      <w:r>
        <w:rPr>
          <w:rFonts w:ascii="Verdana" w:hAnsi="Verdana"/>
          <w:i/>
          <w:iCs/>
          <w:color w:val="auto"/>
          <w:sz w:val="20"/>
          <w:szCs w:val="20"/>
        </w:rPr>
        <w:t>L</w:t>
      </w:r>
      <w:r w:rsidR="43C0F638" w:rsidRPr="43C0F638">
        <w:rPr>
          <w:rFonts w:ascii="Verdana" w:hAnsi="Verdana"/>
          <w:i/>
          <w:iCs/>
          <w:color w:val="auto"/>
          <w:sz w:val="20"/>
          <w:szCs w:val="20"/>
        </w:rPr>
        <w:t>a detención, el arraigo y el auto de prisión contra Daniel García Rodríguez</w:t>
      </w:r>
      <w:bookmarkEnd w:id="70"/>
      <w:bookmarkEnd w:id="71"/>
    </w:p>
    <w:p w14:paraId="7A325C90" w14:textId="22677D59" w:rsidR="009B26D7" w:rsidRPr="009D520B" w:rsidRDefault="009B26D7" w:rsidP="009B26D7">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E159DF8">
        <w:rPr>
          <w:rFonts w:ascii="Verdana" w:hAnsi="Verdana"/>
          <w:i w:val="0"/>
          <w:sz w:val="20"/>
          <w:szCs w:val="20"/>
          <w:lang w:val="es-ES"/>
        </w:rPr>
        <w:t xml:space="preserve">El 5 de septiembre de 2001, la regidora de Atizapán de Zaragoza, María de los Ángeles Tamés </w:t>
      </w:r>
      <w:r w:rsidRPr="6E159DF8">
        <w:rPr>
          <w:rFonts w:ascii="Verdana" w:hAnsi="Verdana"/>
          <w:i w:val="0"/>
          <w:sz w:val="20"/>
          <w:szCs w:val="20"/>
          <w:lang w:val="es-ES"/>
        </w:rPr>
        <w:lastRenderedPageBreak/>
        <w:t>Pérez, fue asesinada en la vía pública</w:t>
      </w:r>
      <w:r w:rsidRPr="6E159DF8">
        <w:rPr>
          <w:rStyle w:val="Refdenotaalpie"/>
          <w:rFonts w:ascii="Verdana" w:hAnsi="Verdana"/>
          <w:i w:val="0"/>
          <w:sz w:val="20"/>
          <w:lang w:val="es-ES"/>
        </w:rPr>
        <w:footnoteReference w:id="55"/>
      </w:r>
      <w:r w:rsidRPr="6E159DF8">
        <w:rPr>
          <w:rFonts w:ascii="Verdana" w:hAnsi="Verdana"/>
          <w:i w:val="0"/>
          <w:sz w:val="20"/>
          <w:szCs w:val="20"/>
          <w:lang w:val="es-ES"/>
        </w:rPr>
        <w:t xml:space="preserve">. La </w:t>
      </w:r>
      <w:r w:rsidR="00BC4512" w:rsidRPr="6E159DF8">
        <w:rPr>
          <w:rFonts w:ascii="Verdana" w:hAnsi="Verdana"/>
          <w:i w:val="0"/>
          <w:sz w:val="20"/>
          <w:szCs w:val="20"/>
          <w:lang w:val="es-ES"/>
        </w:rPr>
        <w:t xml:space="preserve">Procuraduría General de Justicia del Estado de México </w:t>
      </w:r>
      <w:r w:rsidRPr="6E159DF8">
        <w:rPr>
          <w:rFonts w:ascii="Verdana" w:hAnsi="Verdana"/>
          <w:i w:val="0"/>
          <w:sz w:val="20"/>
          <w:szCs w:val="20"/>
          <w:lang w:val="es-ES"/>
        </w:rPr>
        <w:t>(</w:t>
      </w:r>
      <w:r w:rsidR="007F4456">
        <w:rPr>
          <w:rFonts w:ascii="Verdana" w:hAnsi="Verdana"/>
          <w:i w:val="0"/>
          <w:sz w:val="20"/>
          <w:szCs w:val="20"/>
          <w:lang w:val="es-ES"/>
        </w:rPr>
        <w:t>en adelante también “</w:t>
      </w:r>
      <w:r w:rsidR="00BC4512" w:rsidRPr="6E159DF8">
        <w:rPr>
          <w:rFonts w:ascii="Verdana" w:hAnsi="Verdana"/>
          <w:i w:val="0"/>
          <w:sz w:val="20"/>
          <w:szCs w:val="20"/>
          <w:lang w:val="es-ES"/>
        </w:rPr>
        <w:t>PGJEM</w:t>
      </w:r>
      <w:r w:rsidR="007F4456">
        <w:rPr>
          <w:rFonts w:ascii="Verdana" w:hAnsi="Verdana"/>
          <w:i w:val="0"/>
          <w:sz w:val="20"/>
          <w:szCs w:val="20"/>
          <w:lang w:val="es-ES"/>
        </w:rPr>
        <w:t>”</w:t>
      </w:r>
      <w:r w:rsidRPr="6E159DF8">
        <w:rPr>
          <w:rStyle w:val="Refdenotaalpie"/>
          <w:rFonts w:ascii="Verdana" w:hAnsi="Verdana"/>
          <w:i w:val="0"/>
          <w:sz w:val="20"/>
          <w:lang w:val="es-ES"/>
        </w:rPr>
        <w:footnoteReference w:id="56"/>
      </w:r>
      <w:r w:rsidRPr="6E159DF8">
        <w:rPr>
          <w:rFonts w:ascii="Verdana" w:hAnsi="Verdana"/>
          <w:i w:val="0"/>
          <w:sz w:val="20"/>
          <w:szCs w:val="20"/>
          <w:lang w:val="es-ES"/>
        </w:rPr>
        <w:t xml:space="preserve">) señaló como responsables, entre otros, a Daniel García Rodríguez y </w:t>
      </w:r>
      <w:r w:rsidR="00DD33C6">
        <w:rPr>
          <w:rFonts w:ascii="Verdana" w:hAnsi="Verdana"/>
          <w:i w:val="0"/>
          <w:sz w:val="20"/>
          <w:szCs w:val="20"/>
          <w:lang w:val="es-ES"/>
        </w:rPr>
        <w:t xml:space="preserve">a </w:t>
      </w:r>
      <w:r w:rsidRPr="6E159DF8">
        <w:rPr>
          <w:rFonts w:ascii="Verdana" w:hAnsi="Verdana"/>
          <w:i w:val="0"/>
          <w:sz w:val="20"/>
          <w:szCs w:val="20"/>
          <w:lang w:val="es-ES"/>
        </w:rPr>
        <w:t xml:space="preserve">Reyes Alpízar Ortiz. </w:t>
      </w:r>
    </w:p>
    <w:p w14:paraId="112163DB" w14:textId="716C8155" w:rsidR="00630B6F" w:rsidRPr="007F4456" w:rsidRDefault="00433F5E" w:rsidP="00E83973">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ES"/>
        </w:rPr>
      </w:pPr>
      <w:r w:rsidRPr="007F4456">
        <w:rPr>
          <w:rFonts w:ascii="Verdana" w:hAnsi="Verdana"/>
          <w:i w:val="0"/>
          <w:sz w:val="20"/>
          <w:szCs w:val="20"/>
          <w:lang w:val="es-ES"/>
        </w:rPr>
        <w:t xml:space="preserve">El </w:t>
      </w:r>
      <w:r w:rsidRPr="00D04822">
        <w:rPr>
          <w:rFonts w:ascii="Verdana" w:hAnsi="Verdana"/>
          <w:i w:val="0"/>
          <w:sz w:val="20"/>
          <w:szCs w:val="20"/>
          <w:lang w:val="es-ES"/>
        </w:rPr>
        <w:t>25 de febrero de 2002</w:t>
      </w:r>
      <w:r w:rsidRPr="007F4456">
        <w:rPr>
          <w:rFonts w:ascii="Verdana" w:hAnsi="Verdana"/>
          <w:i w:val="0"/>
          <w:sz w:val="20"/>
          <w:szCs w:val="20"/>
          <w:lang w:val="es-ES"/>
        </w:rPr>
        <w:t xml:space="preserve"> </w:t>
      </w:r>
      <w:r w:rsidR="00630B6F" w:rsidRPr="007F4456">
        <w:rPr>
          <w:rFonts w:ascii="Verdana" w:hAnsi="Verdana"/>
          <w:i w:val="0"/>
          <w:sz w:val="20"/>
          <w:szCs w:val="20"/>
          <w:lang w:val="es-ES"/>
        </w:rPr>
        <w:t xml:space="preserve">Daniel García fue </w:t>
      </w:r>
      <w:r w:rsidRPr="007F4456">
        <w:rPr>
          <w:rFonts w:ascii="Verdana" w:hAnsi="Verdana"/>
          <w:i w:val="0"/>
          <w:sz w:val="20"/>
          <w:szCs w:val="20"/>
          <w:lang w:val="es-ES"/>
        </w:rPr>
        <w:t xml:space="preserve">llevado </w:t>
      </w:r>
      <w:r w:rsidR="00630B6F" w:rsidRPr="007F4456">
        <w:rPr>
          <w:rFonts w:ascii="Verdana" w:hAnsi="Verdana"/>
          <w:i w:val="0"/>
          <w:sz w:val="20"/>
          <w:szCs w:val="20"/>
          <w:lang w:val="es-ES"/>
        </w:rPr>
        <w:t xml:space="preserve">por </w:t>
      </w:r>
      <w:r w:rsidR="00487953" w:rsidRPr="007F4456">
        <w:rPr>
          <w:rFonts w:ascii="Verdana" w:hAnsi="Verdana"/>
          <w:i w:val="0"/>
          <w:sz w:val="20"/>
          <w:szCs w:val="20"/>
          <w:lang w:val="es-ES"/>
        </w:rPr>
        <w:t xml:space="preserve">policías ministeriales de la </w:t>
      </w:r>
      <w:r w:rsidR="003C4806" w:rsidRPr="007F4456">
        <w:rPr>
          <w:rFonts w:ascii="Verdana" w:hAnsi="Verdana"/>
          <w:i w:val="0"/>
          <w:sz w:val="20"/>
          <w:szCs w:val="20"/>
          <w:lang w:val="es-ES"/>
        </w:rPr>
        <w:t>PGJEM</w:t>
      </w:r>
      <w:r w:rsidRPr="007F4456">
        <w:rPr>
          <w:rFonts w:ascii="Verdana" w:hAnsi="Verdana"/>
          <w:i w:val="0"/>
          <w:sz w:val="20"/>
          <w:szCs w:val="20"/>
          <w:lang w:val="es-ES"/>
        </w:rPr>
        <w:t xml:space="preserve"> </w:t>
      </w:r>
      <w:r w:rsidR="00735F12" w:rsidRPr="007F4456">
        <w:rPr>
          <w:rFonts w:ascii="Verdana" w:hAnsi="Verdana"/>
          <w:i w:val="0"/>
          <w:sz w:val="20"/>
          <w:szCs w:val="20"/>
          <w:lang w:val="es-ES"/>
        </w:rPr>
        <w:t xml:space="preserve">a rendir </w:t>
      </w:r>
      <w:r w:rsidRPr="007F4456">
        <w:rPr>
          <w:rFonts w:ascii="Verdana" w:hAnsi="Verdana"/>
          <w:i w:val="0"/>
          <w:sz w:val="20"/>
          <w:szCs w:val="20"/>
          <w:lang w:val="es-ES"/>
        </w:rPr>
        <w:t>declaración ante el Ministerio Público</w:t>
      </w:r>
      <w:r w:rsidR="00630B6F" w:rsidRPr="007F4456">
        <w:rPr>
          <w:rFonts w:ascii="Verdana" w:hAnsi="Verdana"/>
          <w:i w:val="0"/>
          <w:sz w:val="20"/>
          <w:szCs w:val="20"/>
          <w:lang w:val="es-ES"/>
        </w:rPr>
        <w:t>. El mismo día, el Ministerio Público solicitó al Juez Penal de Turno en Tlalnepantla su arraigo en el “Hotel Hacienda” por 30 días</w:t>
      </w:r>
      <w:r w:rsidR="00630B6F" w:rsidRPr="007F4456">
        <w:rPr>
          <w:rStyle w:val="Refdenotaalpie"/>
          <w:rFonts w:ascii="Verdana" w:hAnsi="Verdana"/>
          <w:i w:val="0"/>
          <w:sz w:val="20"/>
          <w:lang w:val="es-ES"/>
        </w:rPr>
        <w:footnoteReference w:id="57"/>
      </w:r>
      <w:r w:rsidRPr="007F4456">
        <w:rPr>
          <w:rFonts w:ascii="Verdana" w:hAnsi="Verdana"/>
          <w:i w:val="0"/>
          <w:sz w:val="20"/>
          <w:szCs w:val="20"/>
          <w:lang w:val="es-ES"/>
        </w:rPr>
        <w:t>, el cual</w:t>
      </w:r>
      <w:r w:rsidR="00630B6F" w:rsidRPr="007F4456">
        <w:rPr>
          <w:rFonts w:ascii="Verdana" w:hAnsi="Verdana"/>
          <w:i w:val="0"/>
          <w:sz w:val="20"/>
          <w:szCs w:val="20"/>
          <w:lang w:val="es-ES"/>
        </w:rPr>
        <w:t xml:space="preserve"> fue decretado ese día por el Juez Quinto Penal sin la comparecencia del sospechoso</w:t>
      </w:r>
      <w:r w:rsidR="00630B6F" w:rsidRPr="007F4456">
        <w:rPr>
          <w:rStyle w:val="Refdenotaalpie"/>
          <w:rFonts w:ascii="Verdana" w:hAnsi="Verdana"/>
          <w:i w:val="0"/>
          <w:sz w:val="20"/>
          <w:lang w:val="es-ES"/>
        </w:rPr>
        <w:footnoteReference w:id="58"/>
      </w:r>
      <w:r w:rsidR="001C31B3" w:rsidRPr="007F4456">
        <w:rPr>
          <w:rFonts w:ascii="Verdana" w:hAnsi="Verdana"/>
          <w:i w:val="0"/>
          <w:sz w:val="20"/>
          <w:szCs w:val="20"/>
          <w:lang w:val="es-ES"/>
        </w:rPr>
        <w:t>.</w:t>
      </w:r>
      <w:r w:rsidR="00630B6F" w:rsidRPr="007F4456">
        <w:rPr>
          <w:rFonts w:ascii="Verdana" w:hAnsi="Verdana"/>
          <w:i w:val="0"/>
          <w:sz w:val="20"/>
          <w:szCs w:val="20"/>
          <w:lang w:val="es-ES"/>
        </w:rPr>
        <w:t xml:space="preserve"> A las 19:30 h</w:t>
      </w:r>
      <w:r w:rsidR="00361981">
        <w:rPr>
          <w:rFonts w:ascii="Verdana" w:hAnsi="Verdana"/>
          <w:i w:val="0"/>
          <w:sz w:val="20"/>
          <w:szCs w:val="20"/>
          <w:lang w:val="es-ES"/>
        </w:rPr>
        <w:t>oras</w:t>
      </w:r>
      <w:r w:rsidR="00630B6F" w:rsidRPr="007F4456">
        <w:rPr>
          <w:rFonts w:ascii="Verdana" w:hAnsi="Verdana"/>
          <w:i w:val="0"/>
          <w:sz w:val="20"/>
          <w:szCs w:val="20"/>
          <w:lang w:val="es-ES"/>
        </w:rPr>
        <w:t xml:space="preserve">, </w:t>
      </w:r>
      <w:r w:rsidR="009C130B" w:rsidRPr="007F4456">
        <w:rPr>
          <w:rFonts w:ascii="Verdana" w:hAnsi="Verdana"/>
          <w:i w:val="0"/>
          <w:sz w:val="20"/>
          <w:szCs w:val="20"/>
          <w:lang w:val="es-ES"/>
        </w:rPr>
        <w:t xml:space="preserve">Daniel García </w:t>
      </w:r>
      <w:r w:rsidRPr="007F4456">
        <w:rPr>
          <w:rFonts w:ascii="Verdana" w:hAnsi="Verdana"/>
          <w:i w:val="0"/>
          <w:sz w:val="20"/>
          <w:szCs w:val="20"/>
          <w:lang w:val="es-ES"/>
        </w:rPr>
        <w:t>fue puesto</w:t>
      </w:r>
      <w:r w:rsidR="00630B6F" w:rsidRPr="007F4456">
        <w:rPr>
          <w:rFonts w:ascii="Verdana" w:hAnsi="Verdana"/>
          <w:i w:val="0"/>
          <w:sz w:val="20"/>
          <w:szCs w:val="20"/>
          <w:lang w:val="es-ES"/>
        </w:rPr>
        <w:t xml:space="preserve"> </w:t>
      </w:r>
      <w:r w:rsidRPr="007F4456">
        <w:rPr>
          <w:rFonts w:ascii="Verdana" w:hAnsi="Verdana"/>
          <w:i w:val="0"/>
          <w:sz w:val="20"/>
          <w:szCs w:val="20"/>
          <w:lang w:val="es-ES"/>
        </w:rPr>
        <w:t xml:space="preserve">a </w:t>
      </w:r>
      <w:r w:rsidR="00630B6F" w:rsidRPr="007F4456">
        <w:rPr>
          <w:rFonts w:ascii="Verdana" w:hAnsi="Verdana"/>
          <w:i w:val="0"/>
          <w:sz w:val="20"/>
          <w:szCs w:val="20"/>
          <w:lang w:val="es-ES"/>
        </w:rPr>
        <w:t>disposición de la PGJEM y se designó un médico legista de la propia PGJEM para que practicara un “examen médico de estado psicofísico y de lesiones”</w:t>
      </w:r>
      <w:r w:rsidR="00630B6F" w:rsidRPr="007F4456">
        <w:rPr>
          <w:rStyle w:val="Refdenotaalpie"/>
          <w:rFonts w:ascii="Verdana" w:hAnsi="Verdana"/>
          <w:i w:val="0"/>
          <w:sz w:val="20"/>
          <w:lang w:val="es-ES"/>
        </w:rPr>
        <w:footnoteReference w:id="59"/>
      </w:r>
      <w:r w:rsidR="00630B6F" w:rsidRPr="007F4456">
        <w:rPr>
          <w:rFonts w:ascii="Verdana" w:hAnsi="Verdana"/>
          <w:i w:val="0"/>
          <w:sz w:val="20"/>
          <w:szCs w:val="20"/>
          <w:lang w:val="es-ES"/>
        </w:rPr>
        <w:t xml:space="preserve">. </w:t>
      </w:r>
    </w:p>
    <w:p w14:paraId="49007B49" w14:textId="420D44B2" w:rsidR="00630B6F" w:rsidRPr="009D520B" w:rsidRDefault="00630B6F"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E159DF8">
        <w:rPr>
          <w:rFonts w:ascii="Verdana" w:hAnsi="Verdana"/>
          <w:i w:val="0"/>
          <w:sz w:val="20"/>
          <w:szCs w:val="20"/>
          <w:lang w:val="es-ES"/>
        </w:rPr>
        <w:t>El 22 de marzo de 2002, el Ministerio Público solicitó prórroga del arraigo por 30 días</w:t>
      </w:r>
      <w:r w:rsidRPr="6E159DF8">
        <w:rPr>
          <w:rStyle w:val="Refdenotaalpie"/>
          <w:rFonts w:ascii="Verdana" w:hAnsi="Verdana"/>
          <w:i w:val="0"/>
          <w:sz w:val="20"/>
          <w:lang w:val="es-ES"/>
        </w:rPr>
        <w:footnoteReference w:id="60"/>
      </w:r>
      <w:r w:rsidRPr="6E159DF8">
        <w:rPr>
          <w:rFonts w:ascii="Verdana" w:hAnsi="Verdana"/>
          <w:i w:val="0"/>
          <w:sz w:val="20"/>
          <w:szCs w:val="20"/>
          <w:lang w:val="es-ES"/>
        </w:rPr>
        <w:t>, la cual fue concedida el 26 de marzo de 2002 por el Juez Quinto Penal</w:t>
      </w:r>
      <w:r w:rsidRPr="6E159DF8">
        <w:rPr>
          <w:rStyle w:val="Refdenotaalpie"/>
          <w:rFonts w:ascii="Verdana" w:hAnsi="Verdana"/>
          <w:i w:val="0"/>
          <w:sz w:val="20"/>
          <w:lang w:val="es-ES"/>
        </w:rPr>
        <w:footnoteReference w:id="61"/>
      </w:r>
      <w:r w:rsidRPr="6E159DF8">
        <w:rPr>
          <w:rFonts w:ascii="Verdana" w:hAnsi="Verdana"/>
          <w:i w:val="0"/>
          <w:sz w:val="20"/>
          <w:szCs w:val="20"/>
          <w:lang w:val="es-ES"/>
        </w:rPr>
        <w:t xml:space="preserve">. </w:t>
      </w:r>
    </w:p>
    <w:p w14:paraId="06F8C782" w14:textId="436DB1AE" w:rsidR="00630B6F" w:rsidRPr="009D520B" w:rsidRDefault="00630B6F" w:rsidP="00CD6D12">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E159DF8">
        <w:rPr>
          <w:rFonts w:ascii="Verdana" w:hAnsi="Verdana"/>
          <w:i w:val="0"/>
          <w:sz w:val="20"/>
          <w:szCs w:val="20"/>
          <w:lang w:val="es-ES"/>
        </w:rPr>
        <w:t>El 8 de abril de 2002, el Ministerio Público solicitó al Juez que dictara orden de aprehensión, entre otros, en contra de Daniel García por una serie de delitos, incluyendo homicidio calificado, extorsión, fraude y delincuencia organizada</w:t>
      </w:r>
      <w:r w:rsidRPr="6E159DF8">
        <w:rPr>
          <w:rStyle w:val="Refdenotaalpie"/>
          <w:rFonts w:ascii="Verdana" w:hAnsi="Verdana"/>
          <w:i w:val="0"/>
          <w:sz w:val="20"/>
          <w:lang w:val="es-ES"/>
        </w:rPr>
        <w:footnoteReference w:id="62"/>
      </w:r>
      <w:r w:rsidRPr="6E159DF8">
        <w:rPr>
          <w:rFonts w:ascii="Verdana" w:hAnsi="Verdana"/>
          <w:i w:val="0"/>
          <w:sz w:val="20"/>
          <w:szCs w:val="20"/>
          <w:lang w:val="es-ES"/>
        </w:rPr>
        <w:t>, orden que fue concedida por el Juez Quinto Penal, con base en la información escrita suministrada por el Ministerio Público, de la que extrajo ciertos indicios de la probable responsabilidad de Daniel García</w:t>
      </w:r>
      <w:r w:rsidRPr="6E159DF8">
        <w:rPr>
          <w:rStyle w:val="Refdenotaalpie"/>
          <w:rFonts w:ascii="Verdana" w:hAnsi="Verdana"/>
          <w:i w:val="0"/>
          <w:sz w:val="20"/>
          <w:lang w:val="es-ES"/>
        </w:rPr>
        <w:footnoteReference w:id="63"/>
      </w:r>
      <w:r w:rsidRPr="6E159DF8">
        <w:rPr>
          <w:rFonts w:ascii="Verdana" w:hAnsi="Verdana"/>
          <w:i w:val="0"/>
          <w:sz w:val="20"/>
          <w:szCs w:val="20"/>
          <w:lang w:val="es-ES"/>
        </w:rPr>
        <w:t>.</w:t>
      </w:r>
      <w:r w:rsidR="00052CFA" w:rsidRPr="6E159DF8">
        <w:rPr>
          <w:rFonts w:ascii="Verdana" w:hAnsi="Verdana"/>
          <w:i w:val="0"/>
          <w:sz w:val="20"/>
          <w:szCs w:val="20"/>
          <w:lang w:val="es-ES"/>
        </w:rPr>
        <w:t xml:space="preserve"> </w:t>
      </w:r>
      <w:r w:rsidRPr="6E159DF8">
        <w:rPr>
          <w:rFonts w:ascii="Verdana" w:hAnsi="Verdana"/>
          <w:i w:val="0"/>
          <w:sz w:val="20"/>
          <w:szCs w:val="20"/>
          <w:lang w:val="es-ES"/>
        </w:rPr>
        <w:t>El 10 de abril de 2002 fue notificada la orden al Ministerio Público</w:t>
      </w:r>
      <w:r w:rsidRPr="6E159DF8">
        <w:rPr>
          <w:rStyle w:val="Refdenotaalpie"/>
          <w:rFonts w:ascii="Verdana" w:hAnsi="Verdana"/>
          <w:i w:val="0"/>
          <w:sz w:val="20"/>
          <w:lang w:val="es-ES"/>
        </w:rPr>
        <w:footnoteReference w:id="64"/>
      </w:r>
      <w:r w:rsidRPr="6E159DF8">
        <w:rPr>
          <w:rFonts w:ascii="Verdana" w:hAnsi="Verdana"/>
          <w:i w:val="0"/>
          <w:sz w:val="20"/>
          <w:szCs w:val="20"/>
          <w:lang w:val="es-ES"/>
        </w:rPr>
        <w:t xml:space="preserve"> y se ejecutó mediante el traslado de Daniel García a un Centro Preventivo y de Readaptación Social</w:t>
      </w:r>
      <w:r w:rsidRPr="6E159DF8">
        <w:rPr>
          <w:rStyle w:val="Refdenotaalpie"/>
          <w:rFonts w:ascii="Verdana" w:hAnsi="Verdana"/>
          <w:i w:val="0"/>
          <w:sz w:val="20"/>
          <w:lang w:val="es-ES"/>
        </w:rPr>
        <w:footnoteReference w:id="65"/>
      </w:r>
      <w:r w:rsidRPr="6E159DF8">
        <w:rPr>
          <w:rFonts w:ascii="Verdana" w:hAnsi="Verdana"/>
          <w:i w:val="0"/>
          <w:sz w:val="20"/>
          <w:szCs w:val="20"/>
          <w:lang w:val="es-ES"/>
        </w:rPr>
        <w:t>.</w:t>
      </w:r>
    </w:p>
    <w:p w14:paraId="5C10C75C" w14:textId="5D28074C" w:rsidR="00630B6F" w:rsidRPr="009D520B" w:rsidRDefault="00630B6F" w:rsidP="00CE2A28">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E159DF8">
        <w:rPr>
          <w:rFonts w:ascii="Verdana" w:hAnsi="Verdana"/>
          <w:i w:val="0"/>
          <w:sz w:val="20"/>
          <w:szCs w:val="20"/>
          <w:lang w:val="es-ES"/>
        </w:rPr>
        <w:t xml:space="preserve">El </w:t>
      </w:r>
      <w:bookmarkStart w:id="72" w:name="_Hlk123207092"/>
      <w:r w:rsidRPr="6E159DF8">
        <w:rPr>
          <w:rFonts w:ascii="Verdana" w:hAnsi="Verdana"/>
          <w:i w:val="0"/>
          <w:sz w:val="20"/>
          <w:szCs w:val="20"/>
          <w:lang w:val="es-ES"/>
        </w:rPr>
        <w:t>11 de abril 2002</w:t>
      </w:r>
      <w:bookmarkEnd w:id="72"/>
      <w:r w:rsidRPr="6E159DF8">
        <w:rPr>
          <w:rFonts w:ascii="Verdana" w:hAnsi="Verdana"/>
          <w:i w:val="0"/>
          <w:sz w:val="20"/>
          <w:szCs w:val="20"/>
          <w:lang w:val="es-ES"/>
        </w:rPr>
        <w:t xml:space="preserve">, Daniel García fue presentado por primera vez ante el Juez Quinto Penal </w:t>
      </w:r>
      <w:r w:rsidRPr="6E159DF8">
        <w:rPr>
          <w:rFonts w:ascii="Verdana" w:hAnsi="Verdana"/>
          <w:i w:val="0"/>
          <w:sz w:val="20"/>
          <w:szCs w:val="20"/>
          <w:lang w:val="es-ES"/>
        </w:rPr>
        <w:lastRenderedPageBreak/>
        <w:t>a rendir declaración preparatoria</w:t>
      </w:r>
      <w:r w:rsidRPr="6E159DF8">
        <w:rPr>
          <w:rStyle w:val="Refdenotaalpie"/>
          <w:rFonts w:ascii="Verdana" w:hAnsi="Verdana"/>
          <w:i w:val="0"/>
          <w:sz w:val="20"/>
          <w:lang w:val="es-ES"/>
        </w:rPr>
        <w:footnoteReference w:id="66"/>
      </w:r>
      <w:r w:rsidRPr="6E159DF8">
        <w:rPr>
          <w:rFonts w:ascii="Verdana" w:hAnsi="Verdana"/>
          <w:i w:val="0"/>
          <w:sz w:val="20"/>
          <w:szCs w:val="20"/>
          <w:lang w:val="es-ES"/>
        </w:rPr>
        <w:t xml:space="preserve">. El Juez le hizo saber que “no tiene derecho a obtener su libertad provisional bajo caución, toda vez que el delito por el cual está detenido </w:t>
      </w:r>
      <w:r w:rsidR="00036CC4" w:rsidRPr="6E159DF8">
        <w:rPr>
          <w:rFonts w:ascii="Verdana" w:hAnsi="Verdana"/>
          <w:i w:val="0"/>
          <w:sz w:val="20"/>
          <w:szCs w:val="20"/>
          <w:lang w:val="es-ES"/>
        </w:rPr>
        <w:t>[…]</w:t>
      </w:r>
      <w:r w:rsidRPr="6E159DF8">
        <w:rPr>
          <w:rFonts w:ascii="Verdana" w:hAnsi="Verdana"/>
          <w:i w:val="0"/>
          <w:sz w:val="20"/>
          <w:szCs w:val="20"/>
          <w:lang w:val="es-ES"/>
        </w:rPr>
        <w:t xml:space="preserve"> es considerado como grave por el Código Penal vigente”</w:t>
      </w:r>
      <w:r w:rsidRPr="6E159DF8">
        <w:rPr>
          <w:rStyle w:val="Refdenotaalpie"/>
          <w:rFonts w:ascii="Verdana" w:hAnsi="Verdana"/>
          <w:i w:val="0"/>
          <w:sz w:val="20"/>
          <w:lang w:val="es-ES"/>
        </w:rPr>
        <w:footnoteReference w:id="67"/>
      </w:r>
      <w:r w:rsidRPr="6E159DF8">
        <w:rPr>
          <w:rFonts w:ascii="Verdana" w:hAnsi="Verdana"/>
          <w:i w:val="0"/>
          <w:sz w:val="20"/>
          <w:szCs w:val="20"/>
          <w:lang w:val="es-ES"/>
        </w:rPr>
        <w:t>. Se designó un abogado defensor y se le hizo saber la causa de su detención y los delitos que se le imputaban</w:t>
      </w:r>
      <w:r w:rsidRPr="6E159DF8">
        <w:rPr>
          <w:rStyle w:val="Refdenotaalpie"/>
          <w:rFonts w:ascii="Verdana" w:hAnsi="Verdana"/>
          <w:i w:val="0"/>
          <w:sz w:val="20"/>
          <w:lang w:val="es-ES"/>
        </w:rPr>
        <w:footnoteReference w:id="68"/>
      </w:r>
      <w:r w:rsidRPr="6E159DF8">
        <w:rPr>
          <w:rFonts w:ascii="Verdana" w:hAnsi="Verdana"/>
          <w:i w:val="0"/>
          <w:sz w:val="20"/>
          <w:szCs w:val="20"/>
          <w:lang w:val="es-ES"/>
        </w:rPr>
        <w:t>.</w:t>
      </w:r>
      <w:r w:rsidR="00CE2A28" w:rsidRPr="6E159DF8">
        <w:rPr>
          <w:rFonts w:ascii="Verdana" w:hAnsi="Verdana"/>
          <w:i w:val="0"/>
          <w:sz w:val="20"/>
          <w:szCs w:val="20"/>
          <w:lang w:val="es-ES"/>
        </w:rPr>
        <w:t xml:space="preserve"> Ese día, </w:t>
      </w:r>
      <w:r w:rsidR="00D25E76" w:rsidRPr="6E159DF8">
        <w:rPr>
          <w:rFonts w:ascii="Verdana" w:hAnsi="Verdana"/>
          <w:i w:val="0"/>
          <w:sz w:val="20"/>
          <w:szCs w:val="20"/>
          <w:lang w:val="es-ES"/>
        </w:rPr>
        <w:t xml:space="preserve">Daniel García </w:t>
      </w:r>
      <w:r w:rsidRPr="6E159DF8">
        <w:rPr>
          <w:rFonts w:ascii="Verdana" w:hAnsi="Verdana"/>
          <w:i w:val="0"/>
          <w:sz w:val="20"/>
          <w:szCs w:val="20"/>
          <w:lang w:val="es-ES"/>
        </w:rPr>
        <w:t>declaró que</w:t>
      </w:r>
      <w:r w:rsidR="006D7ECB" w:rsidRPr="6E159DF8">
        <w:rPr>
          <w:rFonts w:ascii="Verdana" w:hAnsi="Verdana"/>
          <w:i w:val="0"/>
          <w:sz w:val="20"/>
          <w:szCs w:val="20"/>
          <w:lang w:val="es-ES"/>
        </w:rPr>
        <w:t>,</w:t>
      </w:r>
      <w:r w:rsidRPr="6E159DF8">
        <w:rPr>
          <w:rFonts w:ascii="Verdana" w:hAnsi="Verdana"/>
          <w:i w:val="0"/>
          <w:sz w:val="20"/>
          <w:szCs w:val="20"/>
          <w:lang w:val="es-ES"/>
        </w:rPr>
        <w:t xml:space="preserve"> </w:t>
      </w:r>
      <w:r w:rsidR="005C1973" w:rsidRPr="6E159DF8">
        <w:rPr>
          <w:rFonts w:ascii="Verdana" w:hAnsi="Verdana"/>
          <w:i w:val="0"/>
          <w:sz w:val="20"/>
          <w:szCs w:val="20"/>
          <w:lang w:val="es-ES"/>
        </w:rPr>
        <w:t>al momento de decretarse el arraigo</w:t>
      </w:r>
      <w:r w:rsidR="006D7ECB" w:rsidRPr="6E159DF8">
        <w:rPr>
          <w:rFonts w:ascii="Verdana" w:hAnsi="Verdana"/>
          <w:i w:val="0"/>
          <w:sz w:val="20"/>
          <w:szCs w:val="20"/>
          <w:lang w:val="es-ES"/>
        </w:rPr>
        <w:t>, así como,</w:t>
      </w:r>
      <w:r w:rsidR="005C1973" w:rsidRPr="6E159DF8">
        <w:rPr>
          <w:rFonts w:ascii="Verdana" w:hAnsi="Verdana"/>
          <w:i w:val="0"/>
          <w:sz w:val="20"/>
          <w:szCs w:val="20"/>
          <w:lang w:val="es-ES"/>
        </w:rPr>
        <w:t xml:space="preserve"> durante su vigencia</w:t>
      </w:r>
      <w:r w:rsidR="006D7ECB" w:rsidRPr="6E159DF8">
        <w:rPr>
          <w:rFonts w:ascii="Verdana" w:hAnsi="Verdana"/>
          <w:i w:val="0"/>
          <w:sz w:val="20"/>
          <w:szCs w:val="20"/>
          <w:lang w:val="es-ES"/>
        </w:rPr>
        <w:t xml:space="preserve">, </w:t>
      </w:r>
      <w:r w:rsidRPr="6E159DF8">
        <w:rPr>
          <w:rFonts w:ascii="Verdana" w:hAnsi="Verdana"/>
          <w:i w:val="0"/>
          <w:sz w:val="20"/>
          <w:szCs w:val="20"/>
          <w:lang w:val="es-ES"/>
        </w:rPr>
        <w:t xml:space="preserve">no se le informaron los delitos por los que se le investigaba, ni contó con un abogado cuando declaró ante el Ministerio Público. Denunció asimismo que había sido detenido con engaño, recluido por la fuerza y bajo amenaza, tanto por agentes de la policía judicial, como por el Subprocurador </w:t>
      </w:r>
      <w:r w:rsidR="00A02772" w:rsidRPr="6E159DF8">
        <w:rPr>
          <w:rFonts w:ascii="Verdana" w:hAnsi="Verdana"/>
          <w:i w:val="0"/>
          <w:sz w:val="20"/>
          <w:szCs w:val="20"/>
          <w:lang w:val="es-ES"/>
        </w:rPr>
        <w:t>R.F.</w:t>
      </w:r>
      <w:r w:rsidRPr="6E159DF8">
        <w:rPr>
          <w:rFonts w:ascii="Verdana" w:hAnsi="Verdana"/>
          <w:i w:val="0"/>
          <w:sz w:val="20"/>
          <w:szCs w:val="20"/>
          <w:lang w:val="es-ES"/>
        </w:rPr>
        <w:t>, quien habría condicionado su libertad a la firma de declaraciones prefabricadas en las que incriminaba a un Senador y al Presidente Municipal</w:t>
      </w:r>
      <w:r w:rsidR="00B749E6" w:rsidRPr="6E159DF8">
        <w:rPr>
          <w:rFonts w:ascii="Verdana" w:hAnsi="Verdana"/>
          <w:i w:val="0"/>
          <w:sz w:val="20"/>
          <w:szCs w:val="20"/>
          <w:lang w:val="es-ES"/>
        </w:rPr>
        <w:t>.</w:t>
      </w:r>
      <w:r w:rsidRPr="6E159DF8">
        <w:rPr>
          <w:rFonts w:ascii="Verdana" w:hAnsi="Verdana"/>
          <w:i w:val="0"/>
          <w:sz w:val="20"/>
          <w:szCs w:val="20"/>
          <w:lang w:val="es-ES"/>
        </w:rPr>
        <w:t xml:space="preserve"> Indicó que, al negarse a firmar, fue amenazado con que él y sus familiares serían los acusados</w:t>
      </w:r>
      <w:r w:rsidR="007F4456">
        <w:rPr>
          <w:rFonts w:ascii="Verdana" w:hAnsi="Verdana"/>
          <w:i w:val="0"/>
          <w:sz w:val="20"/>
          <w:szCs w:val="20"/>
          <w:lang w:val="es-ES"/>
        </w:rPr>
        <w:t xml:space="preserve">. </w:t>
      </w:r>
      <w:r w:rsidR="00361981">
        <w:rPr>
          <w:rFonts w:ascii="Verdana" w:hAnsi="Verdana"/>
          <w:i w:val="0"/>
          <w:sz w:val="20"/>
          <w:szCs w:val="20"/>
          <w:lang w:val="es-ES"/>
        </w:rPr>
        <w:t>Declaró,</w:t>
      </w:r>
      <w:r w:rsidRPr="6E159DF8">
        <w:rPr>
          <w:rFonts w:ascii="Verdana" w:hAnsi="Verdana"/>
          <w:i w:val="0"/>
          <w:sz w:val="20"/>
          <w:szCs w:val="20"/>
          <w:lang w:val="es-ES"/>
        </w:rPr>
        <w:t xml:space="preserve"> además, que su esposa recibió llamadas para convencerlo a firmar para que sus hijas no tuviera</w:t>
      </w:r>
      <w:r w:rsidR="005C5D87" w:rsidRPr="6E159DF8">
        <w:rPr>
          <w:rFonts w:ascii="Verdana" w:hAnsi="Verdana"/>
          <w:i w:val="0"/>
          <w:sz w:val="20"/>
          <w:szCs w:val="20"/>
          <w:lang w:val="es-ES"/>
        </w:rPr>
        <w:t>n</w:t>
      </w:r>
      <w:r w:rsidRPr="6E159DF8">
        <w:rPr>
          <w:rFonts w:ascii="Verdana" w:hAnsi="Verdana"/>
          <w:i w:val="0"/>
          <w:sz w:val="20"/>
          <w:szCs w:val="20"/>
          <w:lang w:val="es-ES"/>
        </w:rPr>
        <w:t xml:space="preserve"> “problemas físicos”. Su defensor impugnó la legalidad de la privación de libertad</w:t>
      </w:r>
      <w:r w:rsidRPr="6E159DF8">
        <w:rPr>
          <w:rStyle w:val="Refdenotaalpie"/>
          <w:rFonts w:ascii="Verdana" w:hAnsi="Verdana"/>
          <w:i w:val="0"/>
          <w:sz w:val="20"/>
          <w:lang w:val="es-ES"/>
        </w:rPr>
        <w:footnoteReference w:id="69"/>
      </w:r>
      <w:r w:rsidRPr="6E159DF8">
        <w:rPr>
          <w:rFonts w:ascii="Verdana" w:hAnsi="Verdana"/>
          <w:i w:val="0"/>
          <w:sz w:val="20"/>
          <w:szCs w:val="20"/>
          <w:lang w:val="es-ES"/>
        </w:rPr>
        <w:t>.</w:t>
      </w:r>
    </w:p>
    <w:p w14:paraId="0FC212D9" w14:textId="21B166DF" w:rsidR="00630B6F" w:rsidRPr="009D520B" w:rsidRDefault="00630B6F"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E159DF8">
        <w:rPr>
          <w:rFonts w:ascii="Verdana" w:hAnsi="Verdana"/>
          <w:i w:val="0"/>
          <w:sz w:val="20"/>
          <w:szCs w:val="20"/>
          <w:lang w:val="es-ES"/>
        </w:rPr>
        <w:t xml:space="preserve">El </w:t>
      </w:r>
      <w:r w:rsidR="00CD6D12" w:rsidRPr="6E159DF8">
        <w:rPr>
          <w:rFonts w:ascii="Verdana" w:hAnsi="Verdana"/>
          <w:i w:val="0"/>
          <w:sz w:val="20"/>
          <w:szCs w:val="20"/>
          <w:lang w:val="es-ES"/>
        </w:rPr>
        <w:t xml:space="preserve">11 de abril de 2002, el </w:t>
      </w:r>
      <w:r w:rsidRPr="6E159DF8">
        <w:rPr>
          <w:rFonts w:ascii="Verdana" w:hAnsi="Verdana"/>
          <w:i w:val="0"/>
          <w:sz w:val="20"/>
          <w:szCs w:val="20"/>
          <w:lang w:val="es-ES"/>
        </w:rPr>
        <w:t xml:space="preserve">Ministerio Público solicitó certificación de lesiones físicas y el defensor particular </w:t>
      </w:r>
      <w:r w:rsidR="007F4456">
        <w:rPr>
          <w:rFonts w:ascii="Verdana" w:hAnsi="Verdana"/>
          <w:i w:val="0"/>
          <w:sz w:val="20"/>
          <w:szCs w:val="20"/>
          <w:lang w:val="es-ES"/>
        </w:rPr>
        <w:t>requirió</w:t>
      </w:r>
      <w:r w:rsidR="007F4456" w:rsidRPr="6E159DF8">
        <w:rPr>
          <w:rFonts w:ascii="Verdana" w:hAnsi="Verdana"/>
          <w:i w:val="0"/>
          <w:sz w:val="20"/>
          <w:szCs w:val="20"/>
          <w:lang w:val="es-ES"/>
        </w:rPr>
        <w:t xml:space="preserve"> </w:t>
      </w:r>
      <w:r w:rsidRPr="6E159DF8">
        <w:rPr>
          <w:rFonts w:ascii="Verdana" w:hAnsi="Verdana"/>
          <w:i w:val="0"/>
          <w:sz w:val="20"/>
          <w:szCs w:val="20"/>
          <w:lang w:val="es-ES"/>
        </w:rPr>
        <w:t>un examen para constatar violencia psicológica. Ambas solicitudes fueron negadas por el Juez Quinto Penal, quien no las consideró medio de prueba idóneo y ordenó se remitiera el certificado médico de ingreso al centro carcelario</w:t>
      </w:r>
      <w:r w:rsidR="00CC47DE" w:rsidRPr="6E159DF8">
        <w:rPr>
          <w:rFonts w:ascii="Verdana" w:hAnsi="Verdana"/>
          <w:i w:val="0"/>
          <w:sz w:val="20"/>
          <w:szCs w:val="20"/>
          <w:lang w:val="es-ES"/>
        </w:rPr>
        <w:t>.</w:t>
      </w:r>
      <w:r w:rsidRPr="6E159DF8">
        <w:rPr>
          <w:rFonts w:ascii="Verdana" w:hAnsi="Verdana"/>
          <w:i w:val="0"/>
          <w:sz w:val="20"/>
          <w:szCs w:val="20"/>
          <w:lang w:val="es-ES"/>
        </w:rPr>
        <w:t xml:space="preserve"> La defensa solicitó se citara a declarar al Subprocurador, pero el Juez Quinto Penal no admitió dicho medio de prueba porque no existían indicios “que permita[n] establecer […] lo aseverado por el inculpado”, considerando que “las actuaciones ministeriales se encuentran revestidas de las prerrogativas de haber sido realizadas por autoridad pública”, por lo que hacían “prueba plena salvo prueba en contrario”</w:t>
      </w:r>
      <w:r w:rsidRPr="6E159DF8">
        <w:rPr>
          <w:rStyle w:val="Refdenotaalpie"/>
          <w:rFonts w:ascii="Verdana" w:hAnsi="Verdana"/>
          <w:i w:val="0"/>
          <w:sz w:val="20"/>
          <w:lang w:val="es-ES"/>
        </w:rPr>
        <w:footnoteReference w:id="70"/>
      </w:r>
      <w:r w:rsidRPr="6E159DF8">
        <w:rPr>
          <w:rFonts w:ascii="Verdana" w:hAnsi="Verdana"/>
          <w:i w:val="0"/>
          <w:sz w:val="20"/>
          <w:szCs w:val="20"/>
          <w:lang w:val="es-ES"/>
        </w:rPr>
        <w:t>.</w:t>
      </w:r>
      <w:r w:rsidR="008D5E6A" w:rsidRPr="6E159DF8">
        <w:rPr>
          <w:rFonts w:ascii="Verdana" w:hAnsi="Verdana"/>
          <w:i w:val="0"/>
          <w:sz w:val="20"/>
          <w:szCs w:val="20"/>
          <w:lang w:val="es-ES"/>
        </w:rPr>
        <w:t xml:space="preserve"> </w:t>
      </w:r>
    </w:p>
    <w:p w14:paraId="2359C622" w14:textId="2E2A1325" w:rsidR="00630B6F" w:rsidRPr="007F4456" w:rsidRDefault="00630B6F"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007F4456">
        <w:rPr>
          <w:rFonts w:ascii="Verdana" w:hAnsi="Verdana"/>
          <w:i w:val="0"/>
          <w:sz w:val="20"/>
          <w:szCs w:val="20"/>
          <w:lang w:val="es-ES"/>
        </w:rPr>
        <w:t xml:space="preserve">El </w:t>
      </w:r>
      <w:r w:rsidRPr="00D04822">
        <w:rPr>
          <w:rFonts w:ascii="Verdana" w:hAnsi="Verdana"/>
          <w:i w:val="0"/>
          <w:sz w:val="20"/>
          <w:szCs w:val="20"/>
          <w:lang w:val="es-ES"/>
        </w:rPr>
        <w:t>16 de abril de 2002</w:t>
      </w:r>
      <w:r w:rsidRPr="007F4456">
        <w:rPr>
          <w:rFonts w:ascii="Verdana" w:hAnsi="Verdana"/>
          <w:i w:val="0"/>
          <w:sz w:val="20"/>
          <w:szCs w:val="20"/>
          <w:lang w:val="es-ES"/>
        </w:rPr>
        <w:t>, el Juez Quinto Penal emitió auto formal de prisión en contra de Daniel García Rodríguez, por los delitos de extorsión, fraude, delincuencia organizada y homicidio calificado</w:t>
      </w:r>
      <w:r w:rsidRPr="007F4456">
        <w:rPr>
          <w:rStyle w:val="Refdenotaalpie"/>
          <w:rFonts w:ascii="Verdana" w:hAnsi="Verdana"/>
          <w:i w:val="0"/>
          <w:sz w:val="20"/>
          <w:lang w:val="es-ES"/>
        </w:rPr>
        <w:footnoteReference w:id="71"/>
      </w:r>
      <w:r w:rsidRPr="007F4456">
        <w:rPr>
          <w:rFonts w:ascii="Verdana" w:hAnsi="Verdana"/>
          <w:i w:val="0"/>
          <w:sz w:val="20"/>
          <w:szCs w:val="20"/>
          <w:lang w:val="es-ES"/>
        </w:rPr>
        <w:t>. Su defensa presentó recurso de apelación</w:t>
      </w:r>
      <w:r w:rsidR="00072218" w:rsidRPr="007F4456">
        <w:rPr>
          <w:rFonts w:ascii="Verdana" w:hAnsi="Verdana"/>
          <w:i w:val="0"/>
          <w:sz w:val="20"/>
          <w:szCs w:val="20"/>
          <w:lang w:val="es-ES"/>
        </w:rPr>
        <w:t>, admitido sin efectos suspensivos.</w:t>
      </w:r>
      <w:r w:rsidRPr="007F4456">
        <w:rPr>
          <w:rFonts w:ascii="Verdana" w:hAnsi="Verdana"/>
          <w:i w:val="0"/>
          <w:sz w:val="20"/>
          <w:szCs w:val="20"/>
          <w:lang w:val="es-ES"/>
        </w:rPr>
        <w:t xml:space="preserve"> </w:t>
      </w:r>
      <w:r w:rsidR="00591701" w:rsidRPr="007F4456">
        <w:rPr>
          <w:rFonts w:ascii="Verdana" w:hAnsi="Verdana"/>
          <w:i w:val="0"/>
          <w:sz w:val="20"/>
          <w:szCs w:val="20"/>
          <w:lang w:val="es-ES"/>
        </w:rPr>
        <w:t xml:space="preserve">El </w:t>
      </w:r>
      <w:r w:rsidR="00072218" w:rsidRPr="007F4456">
        <w:rPr>
          <w:rFonts w:ascii="Verdana" w:hAnsi="Verdana"/>
          <w:i w:val="0"/>
          <w:sz w:val="20"/>
          <w:szCs w:val="20"/>
          <w:lang w:val="es-ES"/>
        </w:rPr>
        <w:t>27 de agosto de 2002, el tribunal de alzada confirmó el fallo de primera instancia en todos sus términos</w:t>
      </w:r>
      <w:r w:rsidRPr="007F4456">
        <w:rPr>
          <w:rStyle w:val="Refdenotaalpie"/>
          <w:rFonts w:ascii="Verdana" w:hAnsi="Verdana"/>
          <w:i w:val="0"/>
          <w:sz w:val="20"/>
          <w:lang w:val="es-ES"/>
        </w:rPr>
        <w:footnoteReference w:id="72"/>
      </w:r>
      <w:r w:rsidRPr="007F4456">
        <w:rPr>
          <w:rFonts w:ascii="Verdana" w:hAnsi="Verdana"/>
          <w:i w:val="0"/>
          <w:sz w:val="20"/>
          <w:szCs w:val="20"/>
          <w:lang w:val="es-ES"/>
        </w:rPr>
        <w:t>. Luego</w:t>
      </w:r>
      <w:r w:rsidR="00072218" w:rsidRPr="007F4456">
        <w:rPr>
          <w:rFonts w:ascii="Verdana" w:hAnsi="Verdana"/>
          <w:i w:val="0"/>
          <w:sz w:val="20"/>
          <w:szCs w:val="20"/>
          <w:lang w:val="es-ES"/>
        </w:rPr>
        <w:t xml:space="preserve"> de ello</w:t>
      </w:r>
      <w:r w:rsidRPr="007F4456">
        <w:rPr>
          <w:rFonts w:ascii="Verdana" w:hAnsi="Verdana"/>
          <w:i w:val="0"/>
          <w:sz w:val="20"/>
          <w:szCs w:val="20"/>
          <w:lang w:val="es-ES"/>
        </w:rPr>
        <w:t xml:space="preserve">, </w:t>
      </w:r>
      <w:r w:rsidR="007F4456">
        <w:rPr>
          <w:rFonts w:ascii="Verdana" w:hAnsi="Verdana"/>
          <w:i w:val="0"/>
          <w:sz w:val="20"/>
          <w:szCs w:val="20"/>
          <w:lang w:val="es-ES"/>
        </w:rPr>
        <w:t xml:space="preserve">la defensa </w:t>
      </w:r>
      <w:r w:rsidRPr="007F4456">
        <w:rPr>
          <w:rFonts w:ascii="Verdana" w:hAnsi="Verdana"/>
          <w:i w:val="0"/>
          <w:sz w:val="20"/>
          <w:szCs w:val="20"/>
          <w:lang w:val="es-ES"/>
        </w:rPr>
        <w:t xml:space="preserve">interpuso </w:t>
      </w:r>
      <w:r w:rsidR="007F4456">
        <w:rPr>
          <w:rFonts w:ascii="Verdana" w:hAnsi="Verdana"/>
          <w:i w:val="0"/>
          <w:sz w:val="20"/>
          <w:szCs w:val="20"/>
          <w:lang w:val="es-ES"/>
        </w:rPr>
        <w:t>j</w:t>
      </w:r>
      <w:r w:rsidRPr="007F4456">
        <w:rPr>
          <w:rFonts w:ascii="Verdana" w:hAnsi="Verdana"/>
          <w:i w:val="0"/>
          <w:sz w:val="20"/>
          <w:szCs w:val="20"/>
          <w:lang w:val="es-ES"/>
        </w:rPr>
        <w:t xml:space="preserve">uicio de </w:t>
      </w:r>
      <w:r w:rsidR="007F4456">
        <w:rPr>
          <w:rFonts w:ascii="Verdana" w:hAnsi="Verdana"/>
          <w:i w:val="0"/>
          <w:sz w:val="20"/>
          <w:szCs w:val="20"/>
          <w:lang w:val="es-ES"/>
        </w:rPr>
        <w:t>a</w:t>
      </w:r>
      <w:r w:rsidRPr="007F4456">
        <w:rPr>
          <w:rFonts w:ascii="Verdana" w:hAnsi="Verdana"/>
          <w:i w:val="0"/>
          <w:sz w:val="20"/>
          <w:szCs w:val="20"/>
          <w:lang w:val="es-ES"/>
        </w:rPr>
        <w:t xml:space="preserve">mparo </w:t>
      </w:r>
      <w:r w:rsidR="007F4456">
        <w:rPr>
          <w:rFonts w:ascii="Verdana" w:hAnsi="Verdana"/>
          <w:i w:val="0"/>
          <w:sz w:val="20"/>
          <w:szCs w:val="20"/>
          <w:lang w:val="es-ES"/>
        </w:rPr>
        <w:t>i</w:t>
      </w:r>
      <w:r w:rsidRPr="007F4456">
        <w:rPr>
          <w:rFonts w:ascii="Verdana" w:hAnsi="Verdana"/>
          <w:i w:val="0"/>
          <w:sz w:val="20"/>
          <w:szCs w:val="20"/>
          <w:lang w:val="es-ES"/>
        </w:rPr>
        <w:t xml:space="preserve">ndirecto, </w:t>
      </w:r>
      <w:r w:rsidR="00072218" w:rsidRPr="007F4456">
        <w:rPr>
          <w:rFonts w:ascii="Verdana" w:hAnsi="Verdana"/>
          <w:i w:val="0"/>
          <w:sz w:val="20"/>
          <w:szCs w:val="20"/>
          <w:lang w:val="es-ES"/>
        </w:rPr>
        <w:t>el cual</w:t>
      </w:r>
      <w:r w:rsidRPr="007F4456">
        <w:rPr>
          <w:rFonts w:ascii="Verdana" w:hAnsi="Verdana"/>
          <w:i w:val="0"/>
          <w:sz w:val="20"/>
          <w:szCs w:val="20"/>
          <w:lang w:val="es-ES"/>
        </w:rPr>
        <w:t xml:space="preserve"> fue desechado el 31 de mayo de 2006</w:t>
      </w:r>
      <w:r w:rsidRPr="007F4456">
        <w:rPr>
          <w:rStyle w:val="Refdenotaalpie"/>
          <w:rFonts w:ascii="Verdana" w:hAnsi="Verdana"/>
          <w:i w:val="0"/>
          <w:sz w:val="20"/>
          <w:lang w:val="es-ES"/>
        </w:rPr>
        <w:footnoteReference w:id="73"/>
      </w:r>
      <w:r w:rsidRPr="007F4456">
        <w:rPr>
          <w:rFonts w:ascii="Verdana" w:hAnsi="Verdana"/>
          <w:i w:val="0"/>
          <w:sz w:val="20"/>
          <w:szCs w:val="20"/>
          <w:lang w:val="es-ES"/>
        </w:rPr>
        <w:t xml:space="preserve">. </w:t>
      </w:r>
    </w:p>
    <w:p w14:paraId="68A97076" w14:textId="2689A6B4" w:rsidR="00974ECD" w:rsidRPr="009D520B" w:rsidRDefault="007F4456" w:rsidP="00974ECD">
      <w:pPr>
        <w:pStyle w:val="Ttulo2"/>
        <w:numPr>
          <w:ilvl w:val="0"/>
          <w:numId w:val="8"/>
        </w:numPr>
        <w:spacing w:before="240" w:after="240"/>
        <w:ind w:left="714" w:hanging="357"/>
        <w:jc w:val="both"/>
        <w:rPr>
          <w:sz w:val="20"/>
          <w:szCs w:val="20"/>
        </w:rPr>
      </w:pPr>
      <w:bookmarkStart w:id="73" w:name="_Toc132133906"/>
      <w:r>
        <w:rPr>
          <w:rFonts w:ascii="Verdana" w:hAnsi="Verdana"/>
          <w:i/>
          <w:color w:val="auto"/>
          <w:sz w:val="20"/>
          <w:szCs w:val="20"/>
        </w:rPr>
        <w:t>L</w:t>
      </w:r>
      <w:r w:rsidR="00974ECD" w:rsidRPr="009D520B">
        <w:rPr>
          <w:rFonts w:ascii="Verdana" w:hAnsi="Verdana"/>
          <w:i/>
          <w:color w:val="auto"/>
          <w:sz w:val="20"/>
          <w:szCs w:val="20"/>
        </w:rPr>
        <w:t>a detención, el arraigo y el auto de prisión de Reyes Alpízar Ortiz</w:t>
      </w:r>
      <w:bookmarkEnd w:id="73"/>
      <w:r w:rsidR="00974ECD" w:rsidRPr="009D520B" w:rsidDel="00D25E76">
        <w:rPr>
          <w:sz w:val="20"/>
          <w:szCs w:val="20"/>
        </w:rPr>
        <w:t xml:space="preserve"> </w:t>
      </w:r>
    </w:p>
    <w:p w14:paraId="5E6967DF" w14:textId="2F0CB7D1" w:rsidR="00630B6F" w:rsidRPr="009D520B" w:rsidRDefault="00630B6F" w:rsidP="008F25E5">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lang w:val="es-ES"/>
        </w:rPr>
        <w:t xml:space="preserve">La detención de Reyes Alpízar Ortiz se practicó por agentes del Grupo de Operaciones </w:t>
      </w:r>
      <w:r w:rsidRPr="610EE4FF">
        <w:rPr>
          <w:rFonts w:ascii="Verdana" w:hAnsi="Verdana"/>
          <w:i w:val="0"/>
          <w:sz w:val="20"/>
          <w:szCs w:val="20"/>
          <w:lang w:val="es-ES"/>
        </w:rPr>
        <w:lastRenderedPageBreak/>
        <w:t>Especiales de la PGJEM el 25 de octubre de 2002</w:t>
      </w:r>
      <w:r w:rsidRPr="610EE4FF">
        <w:rPr>
          <w:rStyle w:val="Refdenotaalpie"/>
          <w:rFonts w:ascii="Verdana" w:hAnsi="Verdana"/>
          <w:i w:val="0"/>
          <w:sz w:val="20"/>
          <w:lang w:val="es-ES"/>
        </w:rPr>
        <w:footnoteReference w:id="74"/>
      </w:r>
      <w:r w:rsidRPr="610EE4FF">
        <w:rPr>
          <w:rFonts w:ascii="Verdana" w:hAnsi="Verdana"/>
          <w:i w:val="0"/>
          <w:sz w:val="20"/>
          <w:szCs w:val="20"/>
          <w:lang w:val="es-ES"/>
        </w:rPr>
        <w:t>. Según su declaración, fue detenido en la vía pública</w:t>
      </w:r>
      <w:r w:rsidRPr="610EE4FF">
        <w:rPr>
          <w:rStyle w:val="Refdenotaalpie"/>
          <w:rFonts w:ascii="Verdana" w:hAnsi="Verdana"/>
          <w:i w:val="0"/>
          <w:sz w:val="20"/>
          <w:lang w:val="es-ES"/>
        </w:rPr>
        <w:footnoteReference w:id="75"/>
      </w:r>
      <w:r w:rsidRPr="610EE4FF">
        <w:rPr>
          <w:rFonts w:ascii="Verdana" w:hAnsi="Verdana"/>
          <w:i w:val="0"/>
          <w:sz w:val="20"/>
          <w:szCs w:val="20"/>
          <w:lang w:val="es-ES"/>
        </w:rPr>
        <w:t>, de forma violenta</w:t>
      </w:r>
      <w:r w:rsidRPr="610EE4FF">
        <w:rPr>
          <w:rStyle w:val="Refdenotaalpie"/>
          <w:rFonts w:ascii="Verdana" w:hAnsi="Verdana"/>
          <w:i w:val="0"/>
          <w:sz w:val="20"/>
          <w:lang w:val="es-ES"/>
        </w:rPr>
        <w:footnoteReference w:id="76"/>
      </w:r>
      <w:r w:rsidRPr="610EE4FF">
        <w:rPr>
          <w:rFonts w:ascii="Verdana" w:hAnsi="Verdana"/>
          <w:i w:val="0"/>
          <w:sz w:val="20"/>
          <w:szCs w:val="20"/>
          <w:lang w:val="es-ES"/>
        </w:rPr>
        <w:t xml:space="preserve">. De acuerdo con la versión de la PGJEM, testigos lo habían identificado como responsable del homicidio de la regidora, por lo que fue </w:t>
      </w:r>
      <w:r w:rsidR="008F25E5" w:rsidRPr="610EE4FF">
        <w:rPr>
          <w:rFonts w:ascii="Verdana" w:hAnsi="Verdana"/>
          <w:i w:val="0"/>
          <w:sz w:val="20"/>
          <w:szCs w:val="20"/>
          <w:lang w:val="es-ES"/>
        </w:rPr>
        <w:t xml:space="preserve">detenido </w:t>
      </w:r>
      <w:r w:rsidRPr="610EE4FF">
        <w:rPr>
          <w:rFonts w:ascii="Verdana" w:hAnsi="Verdana"/>
          <w:i w:val="0"/>
          <w:sz w:val="20"/>
          <w:szCs w:val="20"/>
          <w:lang w:val="es-ES"/>
        </w:rPr>
        <w:t>en la vía pública</w:t>
      </w:r>
      <w:r w:rsidR="008F25E5" w:rsidRPr="610EE4FF">
        <w:rPr>
          <w:rFonts w:ascii="Verdana" w:hAnsi="Verdana"/>
          <w:i w:val="0"/>
          <w:sz w:val="20"/>
          <w:szCs w:val="20"/>
          <w:lang w:val="es-ES"/>
        </w:rPr>
        <w:t xml:space="preserve"> luego de que se le solicitara una identificación y que tratara de huir</w:t>
      </w:r>
      <w:r w:rsidR="008F25E5" w:rsidRPr="610EE4FF">
        <w:rPr>
          <w:rStyle w:val="Refdenotaalpie"/>
          <w:rFonts w:ascii="Verdana" w:hAnsi="Verdana"/>
          <w:i w:val="0"/>
          <w:sz w:val="20"/>
          <w:lang w:val="es-ES"/>
        </w:rPr>
        <w:footnoteReference w:id="77"/>
      </w:r>
      <w:r w:rsidR="008F25E5" w:rsidRPr="610EE4FF">
        <w:rPr>
          <w:rFonts w:ascii="Verdana" w:hAnsi="Verdana"/>
          <w:i w:val="0"/>
          <w:sz w:val="20"/>
          <w:szCs w:val="20"/>
          <w:lang w:val="es-ES"/>
        </w:rPr>
        <w:t xml:space="preserve">. Según esta versión, Reyes Alpízar indicó al momento de ser detenido que sabía que ello ocurriría </w:t>
      </w:r>
      <w:r w:rsidRPr="610EE4FF">
        <w:rPr>
          <w:rFonts w:ascii="Verdana" w:hAnsi="Verdana"/>
          <w:i w:val="0"/>
          <w:sz w:val="20"/>
          <w:szCs w:val="20"/>
          <w:lang w:val="es-ES"/>
        </w:rPr>
        <w:t>porque “había participado en el homicidio de una regidora”</w:t>
      </w:r>
      <w:r w:rsidR="008F25E5" w:rsidRPr="610EE4FF">
        <w:rPr>
          <w:rFonts w:ascii="Verdana" w:hAnsi="Verdana"/>
          <w:i w:val="0"/>
          <w:sz w:val="20"/>
          <w:szCs w:val="20"/>
          <w:lang w:val="es-ES"/>
        </w:rPr>
        <w:t xml:space="preserve">. </w:t>
      </w:r>
      <w:r w:rsidR="007F4456">
        <w:rPr>
          <w:rFonts w:ascii="Verdana" w:hAnsi="Verdana"/>
          <w:i w:val="0"/>
          <w:sz w:val="20"/>
          <w:szCs w:val="20"/>
          <w:lang w:val="es-ES"/>
        </w:rPr>
        <w:t xml:space="preserve">Los agentes de la </w:t>
      </w:r>
      <w:r w:rsidR="007F4456" w:rsidRPr="610EE4FF">
        <w:rPr>
          <w:rFonts w:ascii="Verdana" w:hAnsi="Verdana"/>
          <w:i w:val="0"/>
          <w:sz w:val="20"/>
          <w:szCs w:val="20"/>
          <w:lang w:val="es-ES"/>
        </w:rPr>
        <w:t xml:space="preserve">PGJEM </w:t>
      </w:r>
      <w:r w:rsidR="007F4456">
        <w:rPr>
          <w:rFonts w:ascii="Verdana" w:hAnsi="Verdana"/>
          <w:i w:val="0"/>
          <w:sz w:val="20"/>
          <w:szCs w:val="20"/>
          <w:lang w:val="es-ES"/>
        </w:rPr>
        <w:t>a</w:t>
      </w:r>
      <w:r w:rsidR="008F25E5" w:rsidRPr="610EE4FF">
        <w:rPr>
          <w:rFonts w:ascii="Verdana" w:hAnsi="Verdana"/>
          <w:i w:val="0"/>
          <w:sz w:val="20"/>
          <w:szCs w:val="20"/>
          <w:lang w:val="es-ES"/>
        </w:rPr>
        <w:t>gregaron que</w:t>
      </w:r>
      <w:r w:rsidRPr="610EE4FF">
        <w:rPr>
          <w:rFonts w:ascii="Verdana" w:hAnsi="Verdana"/>
          <w:i w:val="0"/>
          <w:sz w:val="20"/>
          <w:szCs w:val="20"/>
          <w:lang w:val="es-ES"/>
        </w:rPr>
        <w:t xml:space="preserve"> “al subirlo a la unidad para hacer su traslado a las oficinas de la Subprocuraduría de Justicia de Tlanepantla” les habría ofrecido una casa y dinero a cambio de “dejarlo ir en libertad”</w:t>
      </w:r>
      <w:r w:rsidRPr="610EE4FF">
        <w:rPr>
          <w:rStyle w:val="Refdenotaalpie"/>
          <w:rFonts w:ascii="Verdana" w:hAnsi="Verdana"/>
          <w:i w:val="0"/>
          <w:sz w:val="20"/>
          <w:lang w:val="es-ES"/>
        </w:rPr>
        <w:footnoteReference w:id="78"/>
      </w:r>
      <w:r w:rsidRPr="610EE4FF">
        <w:rPr>
          <w:rFonts w:ascii="Verdana" w:hAnsi="Verdana"/>
          <w:i w:val="0"/>
          <w:sz w:val="20"/>
          <w:szCs w:val="20"/>
          <w:lang w:val="es-ES"/>
        </w:rPr>
        <w:t xml:space="preserve">. En consecuencia, indicaron que había sido “detenido en flagrancia, respecto del delito de cohecho”, y </w:t>
      </w:r>
      <w:r w:rsidR="008F25E5" w:rsidRPr="610EE4FF">
        <w:rPr>
          <w:rFonts w:ascii="Verdana" w:hAnsi="Verdana"/>
          <w:i w:val="0"/>
          <w:sz w:val="20"/>
          <w:szCs w:val="20"/>
          <w:lang w:val="es-ES"/>
        </w:rPr>
        <w:t>ese</w:t>
      </w:r>
      <w:r w:rsidRPr="610EE4FF">
        <w:rPr>
          <w:rFonts w:ascii="Verdana" w:hAnsi="Verdana"/>
          <w:i w:val="0"/>
          <w:sz w:val="20"/>
          <w:szCs w:val="20"/>
          <w:lang w:val="es-ES"/>
        </w:rPr>
        <w:t xml:space="preserve"> mismo día, el Ministerio Público decretó su “retención jurídica, formal y material […] a efectos de que dentro del término legal se resuelva su situación jurídica”</w:t>
      </w:r>
      <w:r w:rsidRPr="610EE4FF">
        <w:rPr>
          <w:rStyle w:val="Refdenotaalpie"/>
          <w:rFonts w:ascii="Verdana" w:hAnsi="Verdana"/>
          <w:i w:val="0"/>
          <w:sz w:val="20"/>
          <w:lang w:val="es-ES"/>
        </w:rPr>
        <w:footnoteReference w:id="79"/>
      </w:r>
      <w:r w:rsidRPr="610EE4FF">
        <w:rPr>
          <w:rFonts w:ascii="Verdana" w:hAnsi="Verdana"/>
          <w:i w:val="0"/>
          <w:sz w:val="20"/>
          <w:szCs w:val="20"/>
          <w:lang w:val="es-ES"/>
        </w:rPr>
        <w:t>. A las 23:50 h</w:t>
      </w:r>
      <w:r w:rsidR="00361981">
        <w:rPr>
          <w:rFonts w:ascii="Verdana" w:hAnsi="Verdana"/>
          <w:i w:val="0"/>
          <w:sz w:val="20"/>
          <w:szCs w:val="20"/>
          <w:lang w:val="es-ES"/>
        </w:rPr>
        <w:t>oras</w:t>
      </w:r>
      <w:r w:rsidRPr="610EE4FF">
        <w:rPr>
          <w:rFonts w:ascii="Verdana" w:hAnsi="Verdana"/>
          <w:i w:val="0"/>
          <w:sz w:val="20"/>
          <w:szCs w:val="20"/>
          <w:lang w:val="es-ES"/>
        </w:rPr>
        <w:t xml:space="preserve"> del 25 de octubre de 2002, en presencia de un defensor de oficio, Reyes Alpízar rindió declaración ante el Ministerio Público indicando que había presenciado el crimen e involucrando a Daniel García y su hermano en la planificación y pago al autor material. Reyes Alpízar amplió su declaración el 28 de octubre de 2002 a las 16:00</w:t>
      </w:r>
      <w:r w:rsidR="00E4050F">
        <w:rPr>
          <w:rFonts w:ascii="Verdana" w:hAnsi="Verdana"/>
          <w:i w:val="0"/>
          <w:sz w:val="20"/>
          <w:szCs w:val="20"/>
          <w:lang w:val="es-ES"/>
        </w:rPr>
        <w:t xml:space="preserve"> </w:t>
      </w:r>
      <w:r w:rsidRPr="610EE4FF">
        <w:rPr>
          <w:rFonts w:ascii="Verdana" w:hAnsi="Verdana"/>
          <w:i w:val="0"/>
          <w:sz w:val="20"/>
          <w:szCs w:val="20"/>
          <w:lang w:val="es-ES"/>
        </w:rPr>
        <w:t>h</w:t>
      </w:r>
      <w:r w:rsidR="00E4050F">
        <w:rPr>
          <w:rFonts w:ascii="Verdana" w:hAnsi="Verdana"/>
          <w:i w:val="0"/>
          <w:sz w:val="20"/>
          <w:szCs w:val="20"/>
          <w:lang w:val="es-ES"/>
        </w:rPr>
        <w:t>oras</w:t>
      </w:r>
      <w:r w:rsidR="00E216F5" w:rsidRPr="610EE4FF">
        <w:rPr>
          <w:rStyle w:val="Refdenotaalpie"/>
          <w:rFonts w:ascii="Verdana" w:hAnsi="Verdana"/>
          <w:i w:val="0"/>
          <w:sz w:val="20"/>
          <w:lang w:val="es-ES"/>
        </w:rPr>
        <w:footnoteReference w:id="80"/>
      </w:r>
      <w:r w:rsidRPr="610EE4FF">
        <w:rPr>
          <w:rFonts w:ascii="Verdana" w:hAnsi="Verdana"/>
          <w:i w:val="0"/>
          <w:sz w:val="20"/>
          <w:szCs w:val="20"/>
          <w:lang w:val="es-ES"/>
        </w:rPr>
        <w:t xml:space="preserve">. </w:t>
      </w:r>
    </w:p>
    <w:p w14:paraId="0CC2B95F" w14:textId="27A3A7EB" w:rsidR="00630B6F" w:rsidRPr="009D520B" w:rsidRDefault="00630B6F"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009D520B">
        <w:rPr>
          <w:rFonts w:ascii="Verdana" w:hAnsi="Verdana"/>
          <w:i w:val="0"/>
          <w:sz w:val="20"/>
          <w:szCs w:val="20"/>
          <w:lang w:val="es-ES_tradnl"/>
        </w:rPr>
        <w:t>El arraigo de Reyes Alpízar fue autorizado por el Juez Séptimo Penal de Primera Instancia de Tlalnepantla (“Juez Séptimo Penal”) el 28 de octubre de 2002</w:t>
      </w:r>
      <w:r w:rsidRPr="009D520B">
        <w:rPr>
          <w:rStyle w:val="Refdenotaalpie"/>
          <w:rFonts w:ascii="Verdana" w:hAnsi="Verdana"/>
          <w:i w:val="0"/>
          <w:sz w:val="20"/>
          <w:lang w:val="es-ES_tradnl"/>
        </w:rPr>
        <w:footnoteReference w:id="81"/>
      </w:r>
      <w:r w:rsidRPr="009D520B">
        <w:rPr>
          <w:rFonts w:ascii="Verdana" w:hAnsi="Verdana"/>
          <w:i w:val="0"/>
          <w:sz w:val="20"/>
          <w:szCs w:val="20"/>
          <w:lang w:val="es-ES_tradnl"/>
        </w:rPr>
        <w:t>. Ese mismo día, a las 23:00 h</w:t>
      </w:r>
      <w:r w:rsidR="00361981">
        <w:rPr>
          <w:rFonts w:ascii="Verdana" w:hAnsi="Verdana"/>
          <w:i w:val="0"/>
          <w:sz w:val="20"/>
          <w:szCs w:val="20"/>
          <w:lang w:val="es-ES_tradnl"/>
        </w:rPr>
        <w:t>oras</w:t>
      </w:r>
      <w:r w:rsidRPr="009D520B">
        <w:rPr>
          <w:rFonts w:ascii="Verdana" w:hAnsi="Verdana"/>
          <w:i w:val="0"/>
          <w:sz w:val="20"/>
          <w:szCs w:val="20"/>
          <w:lang w:val="es-ES_tradnl"/>
        </w:rPr>
        <w:t>, el Ministerio Público acordó su libertad por el delito de delincuencia organizada por falta de elementos de convicción</w:t>
      </w:r>
      <w:r w:rsidRPr="009D520B">
        <w:rPr>
          <w:rStyle w:val="Refdenotaalpie"/>
          <w:rFonts w:ascii="Verdana" w:hAnsi="Verdana"/>
          <w:i w:val="0"/>
          <w:sz w:val="20"/>
          <w:lang w:val="es-ES_tradnl"/>
        </w:rPr>
        <w:footnoteReference w:id="82"/>
      </w:r>
      <w:r w:rsidRPr="009D520B">
        <w:rPr>
          <w:rFonts w:ascii="Verdana" w:hAnsi="Verdana"/>
          <w:i w:val="0"/>
          <w:sz w:val="20"/>
          <w:szCs w:val="20"/>
          <w:lang w:val="es-ES_tradnl"/>
        </w:rPr>
        <w:t>.</w:t>
      </w:r>
      <w:r w:rsidR="00974ECD" w:rsidRPr="009D520B">
        <w:rPr>
          <w:rFonts w:ascii="Verdana" w:hAnsi="Verdana"/>
          <w:i w:val="0"/>
          <w:sz w:val="20"/>
          <w:szCs w:val="20"/>
          <w:lang w:val="es-ES_tradnl"/>
        </w:rPr>
        <w:t xml:space="preserve"> </w:t>
      </w:r>
      <w:r w:rsidRPr="009D520B">
        <w:rPr>
          <w:rFonts w:ascii="Verdana" w:hAnsi="Verdana"/>
          <w:i w:val="0"/>
          <w:sz w:val="20"/>
          <w:szCs w:val="20"/>
          <w:lang w:val="es-ES_tradnl"/>
        </w:rPr>
        <w:t>La notificación se realizó a las 23:12 h del 28 de octubre de 2002, en presencia del defensor de oficio, allí se le indicó oralmente que se le dejaba en libertad por cohecho y delincuencia organizada, pero que era sometido a arraigo por el homicidio</w:t>
      </w:r>
      <w:r w:rsidR="00565D5D" w:rsidRPr="009D520B">
        <w:rPr>
          <w:rFonts w:ascii="Verdana" w:hAnsi="Verdana"/>
          <w:i w:val="0"/>
          <w:sz w:val="20"/>
          <w:szCs w:val="20"/>
          <w:lang w:val="es-ES_tradnl"/>
        </w:rPr>
        <w:t xml:space="preserve"> de la regidora</w:t>
      </w:r>
      <w:r w:rsidRPr="009D520B">
        <w:rPr>
          <w:rStyle w:val="Refdenotaalpie"/>
          <w:rFonts w:ascii="Verdana" w:hAnsi="Verdana"/>
          <w:i w:val="0"/>
          <w:sz w:val="20"/>
          <w:lang w:val="es-ES_tradnl"/>
        </w:rPr>
        <w:footnoteReference w:id="83"/>
      </w:r>
      <w:r w:rsidRPr="009D520B">
        <w:rPr>
          <w:rFonts w:ascii="Verdana" w:hAnsi="Verdana"/>
          <w:i w:val="0"/>
          <w:sz w:val="20"/>
          <w:szCs w:val="20"/>
          <w:lang w:val="es-ES_tradnl"/>
        </w:rPr>
        <w:t xml:space="preserve">. Las </w:t>
      </w:r>
      <w:r w:rsidRPr="009D520B">
        <w:rPr>
          <w:rFonts w:ascii="Verdana" w:hAnsi="Verdana"/>
          <w:i w:val="0"/>
          <w:sz w:val="20"/>
          <w:szCs w:val="20"/>
          <w:lang w:val="es-ES_tradnl"/>
        </w:rPr>
        <w:lastRenderedPageBreak/>
        <w:t>declaraciones de Reyes Alpízar fueron ampliadas el 31 de octubre y 6 de noviembre de 2002</w:t>
      </w:r>
      <w:r w:rsidR="00974ECD" w:rsidRPr="009D520B">
        <w:rPr>
          <w:rStyle w:val="Refdenotaalpie"/>
          <w:rFonts w:ascii="Verdana" w:hAnsi="Verdana"/>
          <w:i w:val="0"/>
          <w:sz w:val="20"/>
          <w:lang w:val="es-ES_tradnl"/>
        </w:rPr>
        <w:footnoteReference w:id="84"/>
      </w:r>
      <w:r w:rsidRPr="009D520B">
        <w:rPr>
          <w:rFonts w:ascii="Verdana" w:hAnsi="Verdana"/>
          <w:i w:val="0"/>
          <w:sz w:val="20"/>
          <w:szCs w:val="20"/>
          <w:lang w:val="es-ES_tradnl"/>
        </w:rPr>
        <w:t>.</w:t>
      </w:r>
    </w:p>
    <w:p w14:paraId="4E4F840A" w14:textId="1950656C" w:rsidR="00D46E11" w:rsidRPr="009D520B" w:rsidRDefault="00630B6F" w:rsidP="610EE4FF">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ES"/>
        </w:rPr>
      </w:pPr>
      <w:r w:rsidRPr="610EE4FF">
        <w:rPr>
          <w:rFonts w:ascii="Verdana" w:hAnsi="Verdana"/>
          <w:i w:val="0"/>
          <w:sz w:val="20"/>
          <w:szCs w:val="20"/>
          <w:lang w:val="es-ES"/>
        </w:rPr>
        <w:t xml:space="preserve">El 25 de noviembre de 2002, </w:t>
      </w:r>
      <w:r w:rsidR="00B728B5" w:rsidRPr="610EE4FF">
        <w:rPr>
          <w:rFonts w:ascii="Verdana" w:hAnsi="Verdana"/>
          <w:i w:val="0"/>
          <w:sz w:val="20"/>
          <w:szCs w:val="20"/>
          <w:lang w:val="es-ES"/>
        </w:rPr>
        <w:t xml:space="preserve">luego de que </w:t>
      </w:r>
      <w:r w:rsidRPr="610EE4FF">
        <w:rPr>
          <w:rFonts w:ascii="Verdana" w:hAnsi="Verdana"/>
          <w:i w:val="0"/>
          <w:sz w:val="20"/>
          <w:szCs w:val="20"/>
          <w:lang w:val="es-ES"/>
        </w:rPr>
        <w:t xml:space="preserve">la representación social </w:t>
      </w:r>
      <w:r w:rsidR="00565D5D" w:rsidRPr="610EE4FF">
        <w:rPr>
          <w:rFonts w:ascii="Verdana" w:hAnsi="Verdana"/>
          <w:i w:val="0"/>
          <w:sz w:val="20"/>
          <w:szCs w:val="20"/>
          <w:lang w:val="es-ES"/>
        </w:rPr>
        <w:t>ejerció</w:t>
      </w:r>
      <w:r w:rsidRPr="610EE4FF">
        <w:rPr>
          <w:rFonts w:ascii="Verdana" w:hAnsi="Verdana"/>
          <w:i w:val="0"/>
          <w:sz w:val="20"/>
          <w:szCs w:val="20"/>
          <w:lang w:val="es-ES"/>
        </w:rPr>
        <w:t xml:space="preserve"> acción penal en contra </w:t>
      </w:r>
      <w:r w:rsidR="00B728B5" w:rsidRPr="610EE4FF">
        <w:rPr>
          <w:rFonts w:ascii="Verdana" w:hAnsi="Verdana"/>
          <w:i w:val="0"/>
          <w:sz w:val="20"/>
          <w:szCs w:val="20"/>
          <w:lang w:val="es-ES"/>
        </w:rPr>
        <w:t>de Reyes Alpízar</w:t>
      </w:r>
      <w:r w:rsidRPr="610EE4FF">
        <w:rPr>
          <w:rFonts w:ascii="Verdana" w:hAnsi="Verdana"/>
          <w:i w:val="0"/>
          <w:sz w:val="20"/>
          <w:szCs w:val="20"/>
          <w:lang w:val="es-ES"/>
        </w:rPr>
        <w:t xml:space="preserve">, la PGJEM solicitó al Juez Penal de Primera Instancia </w:t>
      </w:r>
      <w:r w:rsidR="008C3E19" w:rsidRPr="610EE4FF">
        <w:rPr>
          <w:rFonts w:ascii="Verdana" w:hAnsi="Verdana"/>
          <w:i w:val="0"/>
          <w:sz w:val="20"/>
          <w:szCs w:val="20"/>
          <w:lang w:val="es-ES"/>
        </w:rPr>
        <w:t xml:space="preserve">que </w:t>
      </w:r>
      <w:r w:rsidRPr="610EE4FF">
        <w:rPr>
          <w:rFonts w:ascii="Verdana" w:hAnsi="Verdana"/>
          <w:i w:val="0"/>
          <w:sz w:val="20"/>
          <w:szCs w:val="20"/>
          <w:lang w:val="es-ES"/>
        </w:rPr>
        <w:t xml:space="preserve">se emitiera orden de aprehensión en </w:t>
      </w:r>
      <w:r w:rsidR="00D46E11" w:rsidRPr="610EE4FF">
        <w:rPr>
          <w:rFonts w:ascii="Verdana" w:hAnsi="Verdana"/>
          <w:i w:val="0"/>
          <w:sz w:val="20"/>
          <w:szCs w:val="20"/>
          <w:lang w:val="es-ES"/>
        </w:rPr>
        <w:t xml:space="preserve">su </w:t>
      </w:r>
      <w:r w:rsidRPr="610EE4FF">
        <w:rPr>
          <w:rFonts w:ascii="Verdana" w:hAnsi="Verdana"/>
          <w:i w:val="0"/>
          <w:sz w:val="20"/>
          <w:szCs w:val="20"/>
          <w:lang w:val="es-ES"/>
        </w:rPr>
        <w:t>contra por los delitos de cohecho, delincuencia organizada y homicidio calificado</w:t>
      </w:r>
      <w:r w:rsidRPr="610EE4FF">
        <w:rPr>
          <w:rStyle w:val="Refdenotaalpie"/>
          <w:rFonts w:ascii="Verdana" w:hAnsi="Verdana"/>
          <w:i w:val="0"/>
          <w:sz w:val="20"/>
          <w:lang w:val="es-ES"/>
        </w:rPr>
        <w:footnoteReference w:id="85"/>
      </w:r>
      <w:r w:rsidRPr="610EE4FF">
        <w:rPr>
          <w:rFonts w:ascii="Verdana" w:hAnsi="Verdana"/>
          <w:i w:val="0"/>
          <w:sz w:val="20"/>
          <w:szCs w:val="20"/>
          <w:lang w:val="es-ES"/>
        </w:rPr>
        <w:t>.</w:t>
      </w:r>
      <w:r w:rsidR="00DA5CD0" w:rsidRPr="610EE4FF">
        <w:rPr>
          <w:rFonts w:ascii="Verdana" w:hAnsi="Verdana"/>
          <w:i w:val="0"/>
          <w:sz w:val="20"/>
          <w:szCs w:val="20"/>
          <w:lang w:val="es-ES"/>
        </w:rPr>
        <w:t xml:space="preserve"> </w:t>
      </w:r>
      <w:r w:rsidRPr="610EE4FF">
        <w:rPr>
          <w:rFonts w:ascii="Verdana" w:hAnsi="Verdana"/>
          <w:i w:val="0"/>
          <w:sz w:val="20"/>
          <w:szCs w:val="20"/>
          <w:lang w:val="es-ES"/>
        </w:rPr>
        <w:t>El 27 de noviembre de</w:t>
      </w:r>
      <w:r w:rsidR="610EE4FF" w:rsidRPr="610EE4FF">
        <w:rPr>
          <w:rFonts w:ascii="Verdana" w:hAnsi="Verdana"/>
          <w:i w:val="0"/>
          <w:sz w:val="20"/>
          <w:szCs w:val="20"/>
          <w:lang w:val="es-ES"/>
        </w:rPr>
        <w:t xml:space="preserve"> ese</w:t>
      </w:r>
      <w:r w:rsidRPr="610EE4FF">
        <w:rPr>
          <w:rFonts w:ascii="Verdana" w:hAnsi="Verdana"/>
          <w:i w:val="0"/>
          <w:sz w:val="20"/>
          <w:szCs w:val="20"/>
          <w:lang w:val="es-ES"/>
        </w:rPr>
        <w:t xml:space="preserve"> año, el Juez Quinto Penal de Primera Instancia del Distrito Judicial de Tlalnepantla, libró orden de aprehensión en su contra, con motivo de su probable responsabilidad en la comisión de los ilícitos señalados</w:t>
      </w:r>
      <w:r w:rsidRPr="610EE4FF">
        <w:rPr>
          <w:rStyle w:val="Refdenotaalpie"/>
          <w:rFonts w:ascii="Verdana" w:hAnsi="Verdana"/>
          <w:i w:val="0"/>
          <w:sz w:val="20"/>
          <w:lang w:val="es-ES"/>
        </w:rPr>
        <w:footnoteReference w:id="86"/>
      </w:r>
      <w:r w:rsidRPr="610EE4FF">
        <w:rPr>
          <w:rFonts w:ascii="Verdana" w:hAnsi="Verdana"/>
          <w:i w:val="0"/>
          <w:sz w:val="20"/>
          <w:szCs w:val="20"/>
          <w:lang w:val="es-ES"/>
        </w:rPr>
        <w:t xml:space="preserve">. </w:t>
      </w:r>
    </w:p>
    <w:p w14:paraId="6060F40E" w14:textId="0D3142F5" w:rsidR="00591701" w:rsidRPr="009D520B" w:rsidRDefault="00D46E11" w:rsidP="00D46E11">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lang w:val="es-ES"/>
        </w:rPr>
        <w:t>E</w:t>
      </w:r>
      <w:r w:rsidR="00630B6F" w:rsidRPr="610EE4FF">
        <w:rPr>
          <w:rFonts w:ascii="Verdana" w:hAnsi="Verdana"/>
          <w:i w:val="0"/>
          <w:sz w:val="20"/>
          <w:szCs w:val="20"/>
          <w:lang w:val="es-ES"/>
        </w:rPr>
        <w:t xml:space="preserve">l día 28 </w:t>
      </w:r>
      <w:r w:rsidR="004817E4" w:rsidRPr="610EE4FF">
        <w:rPr>
          <w:rFonts w:ascii="Verdana" w:hAnsi="Verdana"/>
          <w:i w:val="0"/>
          <w:sz w:val="20"/>
          <w:szCs w:val="20"/>
          <w:lang w:val="es-ES"/>
        </w:rPr>
        <w:t>de noviembre de 2002</w:t>
      </w:r>
      <w:r w:rsidR="00630B6F" w:rsidRPr="610EE4FF">
        <w:rPr>
          <w:rFonts w:ascii="Verdana" w:hAnsi="Verdana"/>
          <w:i w:val="0"/>
          <w:sz w:val="20"/>
          <w:szCs w:val="20"/>
          <w:lang w:val="es-ES"/>
        </w:rPr>
        <w:t xml:space="preserve">, </w:t>
      </w:r>
      <w:r w:rsidRPr="610EE4FF">
        <w:rPr>
          <w:rFonts w:ascii="Verdana" w:hAnsi="Verdana"/>
          <w:i w:val="0"/>
          <w:sz w:val="20"/>
          <w:szCs w:val="20"/>
          <w:lang w:val="es-ES"/>
        </w:rPr>
        <w:t xml:space="preserve">Reyes Alpízar </w:t>
      </w:r>
      <w:r w:rsidR="00630B6F" w:rsidRPr="610EE4FF">
        <w:rPr>
          <w:rFonts w:ascii="Verdana" w:hAnsi="Verdana"/>
          <w:i w:val="0"/>
          <w:sz w:val="20"/>
          <w:szCs w:val="20"/>
          <w:lang w:val="es-ES"/>
        </w:rPr>
        <w:t xml:space="preserve">rindió declaración preparatoria </w:t>
      </w:r>
      <w:r w:rsidRPr="610EE4FF">
        <w:rPr>
          <w:rFonts w:ascii="Verdana" w:hAnsi="Verdana"/>
          <w:i w:val="0"/>
          <w:sz w:val="20"/>
          <w:szCs w:val="20"/>
          <w:lang w:val="es-ES"/>
        </w:rPr>
        <w:t>el Juez Quinto Penal</w:t>
      </w:r>
      <w:r w:rsidR="00630B6F" w:rsidRPr="610EE4FF">
        <w:rPr>
          <w:rStyle w:val="Refdenotaalpie"/>
          <w:rFonts w:ascii="Verdana" w:hAnsi="Verdana"/>
          <w:i w:val="0"/>
          <w:sz w:val="20"/>
          <w:lang w:val="es-ES"/>
        </w:rPr>
        <w:footnoteReference w:id="87"/>
      </w:r>
      <w:r w:rsidR="00630B6F" w:rsidRPr="610EE4FF">
        <w:rPr>
          <w:rFonts w:ascii="Verdana" w:hAnsi="Verdana"/>
          <w:i w:val="0"/>
          <w:sz w:val="20"/>
          <w:szCs w:val="20"/>
          <w:lang w:val="es-ES"/>
        </w:rPr>
        <w:t>. Allí se le designó un defensor</w:t>
      </w:r>
      <w:r w:rsidR="007F4456">
        <w:rPr>
          <w:rFonts w:ascii="Verdana" w:hAnsi="Verdana"/>
          <w:i w:val="0"/>
          <w:sz w:val="20"/>
          <w:szCs w:val="20"/>
          <w:lang w:val="es-ES"/>
        </w:rPr>
        <w:t xml:space="preserve">. </w:t>
      </w:r>
      <w:r w:rsidR="00556ED7">
        <w:rPr>
          <w:rFonts w:ascii="Verdana" w:hAnsi="Verdana"/>
          <w:i w:val="0"/>
          <w:sz w:val="20"/>
          <w:szCs w:val="20"/>
          <w:lang w:val="es-ES"/>
        </w:rPr>
        <w:t>Reyes Alpízar</w:t>
      </w:r>
      <w:r w:rsidR="00630B6F" w:rsidRPr="610EE4FF">
        <w:rPr>
          <w:rFonts w:ascii="Verdana" w:hAnsi="Verdana"/>
          <w:i w:val="0"/>
          <w:sz w:val="20"/>
          <w:szCs w:val="20"/>
          <w:lang w:val="es-ES"/>
        </w:rPr>
        <w:t xml:space="preserve"> indicó expresamente que no aceptaba los hechos ni las declaraciones vertidas durante la averiguación previa</w:t>
      </w:r>
      <w:r w:rsidR="004817E4" w:rsidRPr="610EE4FF">
        <w:rPr>
          <w:rFonts w:ascii="Verdana" w:hAnsi="Verdana"/>
          <w:i w:val="0"/>
          <w:sz w:val="20"/>
          <w:szCs w:val="20"/>
          <w:lang w:val="es-ES"/>
        </w:rPr>
        <w:t>, y denunció que fue sometido a maltratos para obtener su confesión</w:t>
      </w:r>
      <w:r w:rsidR="00630B6F" w:rsidRPr="610EE4FF">
        <w:rPr>
          <w:rStyle w:val="Refdenotaalpie"/>
          <w:rFonts w:ascii="Verdana" w:hAnsi="Verdana"/>
          <w:i w:val="0"/>
          <w:sz w:val="20"/>
          <w:lang w:val="es-ES"/>
        </w:rPr>
        <w:footnoteReference w:id="88"/>
      </w:r>
      <w:r w:rsidR="00630B6F" w:rsidRPr="610EE4FF">
        <w:rPr>
          <w:rFonts w:ascii="Verdana" w:hAnsi="Verdana"/>
          <w:i w:val="0"/>
          <w:sz w:val="20"/>
          <w:szCs w:val="20"/>
          <w:lang w:val="es-ES"/>
        </w:rPr>
        <w:t>. El 30 de noviembre de 2002 el Juez Penal emitió auto formal de prisión por los delitos de homicidio calificado, cohecho y delincuencia organizada</w:t>
      </w:r>
      <w:r w:rsidR="001B69B5" w:rsidRPr="610EE4FF">
        <w:rPr>
          <w:rFonts w:ascii="Verdana" w:hAnsi="Verdana"/>
          <w:i w:val="0"/>
          <w:sz w:val="20"/>
          <w:szCs w:val="20"/>
          <w:lang w:val="es-ES"/>
        </w:rPr>
        <w:t>. Ese auto</w:t>
      </w:r>
      <w:r w:rsidR="00630B6F" w:rsidRPr="610EE4FF">
        <w:rPr>
          <w:rFonts w:ascii="Verdana" w:hAnsi="Verdana"/>
          <w:i w:val="0"/>
          <w:sz w:val="20"/>
          <w:szCs w:val="20"/>
          <w:lang w:val="es-ES"/>
        </w:rPr>
        <w:t xml:space="preserve"> fue apelado y el recurso acogido parcialmente el 17 de diciembre de 2003, modificándose el auto de prisión, otorgándosele la libertad por delincuencia organizada y </w:t>
      </w:r>
      <w:r w:rsidR="001B69B5" w:rsidRPr="610EE4FF">
        <w:rPr>
          <w:rFonts w:ascii="Verdana" w:hAnsi="Verdana"/>
          <w:i w:val="0"/>
          <w:sz w:val="20"/>
          <w:szCs w:val="20"/>
          <w:lang w:val="es-ES"/>
        </w:rPr>
        <w:t xml:space="preserve">manteniendo la prisión </w:t>
      </w:r>
      <w:r w:rsidR="00630B6F" w:rsidRPr="610EE4FF">
        <w:rPr>
          <w:rFonts w:ascii="Verdana" w:hAnsi="Verdana"/>
          <w:i w:val="0"/>
          <w:sz w:val="20"/>
          <w:szCs w:val="20"/>
          <w:lang w:val="es-ES"/>
        </w:rPr>
        <w:t>por los delitos de homicidio calificado y cohecho</w:t>
      </w:r>
      <w:r w:rsidR="00630B6F" w:rsidRPr="610EE4FF">
        <w:rPr>
          <w:rStyle w:val="Refdenotaalpie"/>
          <w:rFonts w:ascii="Verdana" w:hAnsi="Verdana"/>
          <w:i w:val="0"/>
          <w:sz w:val="20"/>
          <w:lang w:val="es-ES"/>
        </w:rPr>
        <w:footnoteReference w:id="89"/>
      </w:r>
      <w:r w:rsidR="00630B6F" w:rsidRPr="610EE4FF">
        <w:rPr>
          <w:rFonts w:ascii="Verdana" w:hAnsi="Verdana"/>
          <w:i w:val="0"/>
          <w:sz w:val="20"/>
          <w:szCs w:val="20"/>
          <w:lang w:val="es-ES"/>
        </w:rPr>
        <w:t xml:space="preserve">. </w:t>
      </w:r>
    </w:p>
    <w:p w14:paraId="1FEF854C" w14:textId="35E27929" w:rsidR="00630B6F" w:rsidRPr="009D520B" w:rsidRDefault="007F4456" w:rsidP="007A5F24">
      <w:pPr>
        <w:pStyle w:val="Ttulo2"/>
        <w:numPr>
          <w:ilvl w:val="0"/>
          <w:numId w:val="8"/>
        </w:numPr>
        <w:spacing w:before="240" w:after="240"/>
        <w:ind w:left="714" w:hanging="357"/>
        <w:jc w:val="both"/>
        <w:rPr>
          <w:rFonts w:ascii="Verdana" w:hAnsi="Verdana"/>
          <w:sz w:val="20"/>
          <w:szCs w:val="20"/>
        </w:rPr>
      </w:pPr>
      <w:bookmarkStart w:id="74" w:name="_Toc132133907"/>
      <w:r>
        <w:rPr>
          <w:rFonts w:ascii="Verdana" w:hAnsi="Verdana"/>
          <w:i/>
          <w:color w:val="auto"/>
          <w:sz w:val="20"/>
          <w:szCs w:val="20"/>
        </w:rPr>
        <w:t>E</w:t>
      </w:r>
      <w:r w:rsidR="00630B6F" w:rsidRPr="009D520B">
        <w:rPr>
          <w:rFonts w:ascii="Verdana" w:hAnsi="Verdana"/>
          <w:i/>
          <w:color w:val="auto"/>
          <w:sz w:val="20"/>
          <w:szCs w:val="20"/>
        </w:rPr>
        <w:t xml:space="preserve">l proceso penal y la prisión preventiva </w:t>
      </w:r>
      <w:r w:rsidR="004F6525" w:rsidRPr="009D520B">
        <w:rPr>
          <w:rFonts w:ascii="Verdana" w:hAnsi="Verdana"/>
          <w:i/>
          <w:color w:val="auto"/>
          <w:sz w:val="20"/>
          <w:szCs w:val="20"/>
        </w:rPr>
        <w:t>de Daniel García Rodríguez y de Reyes Alpízar Ortiz</w:t>
      </w:r>
      <w:bookmarkEnd w:id="74"/>
      <w:r w:rsidR="00630B6F" w:rsidRPr="009D520B">
        <w:rPr>
          <w:rFonts w:ascii="Verdana" w:hAnsi="Verdana"/>
          <w:i/>
          <w:color w:val="auto"/>
          <w:sz w:val="20"/>
          <w:szCs w:val="20"/>
        </w:rPr>
        <w:t xml:space="preserve"> </w:t>
      </w:r>
    </w:p>
    <w:p w14:paraId="3528B145" w14:textId="4C6DAD73" w:rsidR="001126D7" w:rsidRPr="009D520B" w:rsidRDefault="001126D7" w:rsidP="008B4F19">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b/>
          <w:bCs/>
          <w:i w:val="0"/>
          <w:color w:val="FF0000"/>
          <w:sz w:val="20"/>
          <w:szCs w:val="20"/>
          <w:lang w:val="es-ES_tradnl"/>
        </w:rPr>
      </w:pPr>
      <w:bookmarkStart w:id="75" w:name="_Toc116901607"/>
      <w:r w:rsidRPr="009D520B">
        <w:rPr>
          <w:rFonts w:ascii="Verdana" w:hAnsi="Verdana"/>
          <w:i w:val="0"/>
          <w:sz w:val="20"/>
          <w:szCs w:val="20"/>
          <w:lang w:val="es-ES_tradnl"/>
        </w:rPr>
        <w:t>Daniel García Rodríguez y Reyes Alpízar Ortiz fueron privados de la libertad</w:t>
      </w:r>
      <w:r w:rsidR="005F37F4" w:rsidRPr="009D520B">
        <w:rPr>
          <w:rFonts w:ascii="Verdana" w:hAnsi="Verdana"/>
          <w:i w:val="0"/>
          <w:sz w:val="20"/>
          <w:szCs w:val="20"/>
          <w:lang w:val="es-ES_tradnl"/>
        </w:rPr>
        <w:t xml:space="preserve"> durante el desarrollo del proceso penal desde que </w:t>
      </w:r>
      <w:r w:rsidR="006C7EDB" w:rsidRPr="009D520B">
        <w:rPr>
          <w:rFonts w:ascii="Verdana" w:hAnsi="Verdana"/>
          <w:i w:val="0"/>
          <w:sz w:val="20"/>
          <w:szCs w:val="20"/>
          <w:lang w:val="es-ES_tradnl"/>
        </w:rPr>
        <w:t>fueron decretadas las medidas de arraigo</w:t>
      </w:r>
      <w:r w:rsidR="005F37F4" w:rsidRPr="009D520B">
        <w:rPr>
          <w:rFonts w:ascii="Verdana" w:hAnsi="Verdana"/>
          <w:i w:val="0"/>
          <w:sz w:val="20"/>
          <w:szCs w:val="20"/>
          <w:lang w:val="es-ES_tradnl"/>
        </w:rPr>
        <w:t xml:space="preserve"> en el año 2002 hasta </w:t>
      </w:r>
      <w:r w:rsidR="006C7EDB" w:rsidRPr="009D520B">
        <w:rPr>
          <w:rFonts w:ascii="Verdana" w:hAnsi="Verdana"/>
          <w:i w:val="0"/>
          <w:sz w:val="20"/>
          <w:szCs w:val="20"/>
          <w:lang w:val="es-ES_tradnl"/>
        </w:rPr>
        <w:t xml:space="preserve">el </w:t>
      </w:r>
      <w:r w:rsidR="005F37F4" w:rsidRPr="009D520B">
        <w:rPr>
          <w:rFonts w:ascii="Verdana" w:hAnsi="Verdana"/>
          <w:i w:val="0"/>
          <w:sz w:val="20"/>
          <w:szCs w:val="20"/>
          <w:lang w:val="es-ES_tradnl"/>
        </w:rPr>
        <w:t xml:space="preserve">23 de agosto de 2019 cuando </w:t>
      </w:r>
      <w:r w:rsidR="005F37F4" w:rsidRPr="009D520B">
        <w:rPr>
          <w:rFonts w:ascii="Verdana" w:hAnsi="Verdana"/>
          <w:i w:val="0"/>
          <w:sz w:val="20"/>
          <w:szCs w:val="20"/>
        </w:rPr>
        <w:t>fueron puestos en libertad</w:t>
      </w:r>
      <w:r w:rsidR="005F37F4" w:rsidRPr="009D520B">
        <w:rPr>
          <w:rFonts w:ascii="Verdana" w:hAnsi="Verdana"/>
          <w:i w:val="0"/>
          <w:sz w:val="20"/>
          <w:szCs w:val="20"/>
          <w:lang w:val="es-ES_tradnl"/>
        </w:rPr>
        <w:t xml:space="preserve"> y sujetos al sistema de rastreo y localización.</w:t>
      </w:r>
      <w:r w:rsidR="006C06C9" w:rsidRPr="009D520B">
        <w:rPr>
          <w:rFonts w:ascii="Verdana" w:hAnsi="Verdana"/>
          <w:i w:val="0"/>
          <w:sz w:val="20"/>
          <w:szCs w:val="20"/>
          <w:lang w:val="es-ES_tradnl"/>
        </w:rPr>
        <w:t xml:space="preserve"> </w:t>
      </w:r>
    </w:p>
    <w:p w14:paraId="3CCD676E" w14:textId="0B736A46" w:rsidR="005F37F4" w:rsidRPr="009D520B" w:rsidRDefault="005F37F4" w:rsidP="005F37F4">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610EE4FF">
        <w:rPr>
          <w:rFonts w:ascii="Verdana" w:hAnsi="Verdana"/>
          <w:i w:val="0"/>
          <w:sz w:val="20"/>
          <w:szCs w:val="20"/>
          <w:lang w:val="es-ES"/>
        </w:rPr>
        <w:t xml:space="preserve">El 12 de mayo de 2022 fue notificada la Sentencia dictada en contra de Daniel García y de Reyes Alpízar Ortiz por parte del Juzgado Penal del Distrito Judicial de Tlalnepantla, por el delito de homicidio con modificativa (calificativa de premeditación) en agravio de María de los Ángeles Tamés Pérez y cohecho en agravio de la Administración Pública. En dicha sentencia se les impuso una sanción privativa de libertad de 35 años. </w:t>
      </w:r>
      <w:r w:rsidR="007F4456">
        <w:rPr>
          <w:rFonts w:ascii="Verdana" w:hAnsi="Verdana"/>
          <w:i w:val="0"/>
          <w:sz w:val="20"/>
          <w:szCs w:val="20"/>
          <w:lang w:val="es-ES"/>
        </w:rPr>
        <w:t>En esa</w:t>
      </w:r>
      <w:r w:rsidR="007F4456" w:rsidRPr="610EE4FF">
        <w:rPr>
          <w:rFonts w:ascii="Verdana" w:hAnsi="Verdana"/>
          <w:i w:val="0"/>
          <w:sz w:val="20"/>
          <w:szCs w:val="20"/>
          <w:lang w:val="es-ES"/>
        </w:rPr>
        <w:t xml:space="preserve"> </w:t>
      </w:r>
      <w:r w:rsidRPr="610EE4FF">
        <w:rPr>
          <w:rFonts w:ascii="Verdana" w:hAnsi="Verdana"/>
          <w:i w:val="0"/>
          <w:sz w:val="20"/>
          <w:szCs w:val="20"/>
          <w:lang w:val="es-ES"/>
        </w:rPr>
        <w:t xml:space="preserve">resolución </w:t>
      </w:r>
      <w:r w:rsidR="007F4456">
        <w:rPr>
          <w:rFonts w:ascii="Verdana" w:hAnsi="Verdana"/>
          <w:i w:val="0"/>
          <w:sz w:val="20"/>
          <w:szCs w:val="20"/>
          <w:lang w:val="es-ES"/>
        </w:rPr>
        <w:t xml:space="preserve">se establece </w:t>
      </w:r>
      <w:r w:rsidRPr="610EE4FF">
        <w:rPr>
          <w:rFonts w:ascii="Verdana" w:hAnsi="Verdana"/>
          <w:i w:val="0"/>
          <w:sz w:val="20"/>
          <w:szCs w:val="20"/>
          <w:lang w:val="es-ES"/>
        </w:rPr>
        <w:t>que deberá descontarse a los sentenciados el tiempo que durante el procedimiento estuvieron privados de libertad en arraigo y prisión preventiva (17 años)</w:t>
      </w:r>
      <w:r w:rsidRPr="610EE4FF">
        <w:rPr>
          <w:rStyle w:val="Refdenotaalpie"/>
          <w:rFonts w:ascii="Verdana" w:hAnsi="Verdana"/>
          <w:i w:val="0"/>
          <w:sz w:val="20"/>
          <w:lang w:val="es-ES"/>
        </w:rPr>
        <w:footnoteReference w:id="90"/>
      </w:r>
      <w:r w:rsidRPr="610EE4FF">
        <w:rPr>
          <w:rFonts w:ascii="Verdana" w:hAnsi="Verdana"/>
          <w:i w:val="0"/>
          <w:sz w:val="20"/>
          <w:szCs w:val="20"/>
          <w:lang w:val="es-ES"/>
        </w:rPr>
        <w:t>. El 13 de mayo de 2022 Daniel García y Reyes Alpízar interpusieron recurso de apelación en contra de la sentencia condenatoria.</w:t>
      </w:r>
    </w:p>
    <w:p w14:paraId="361C54BA" w14:textId="7D41862F" w:rsidR="00F92AA0" w:rsidRPr="009D520B" w:rsidRDefault="005F37F4" w:rsidP="005623B9">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lang w:val="es-ES"/>
        </w:rPr>
        <w:t xml:space="preserve">Durante el desarrollo del proceso, </w:t>
      </w:r>
      <w:r w:rsidR="00EF0BF4" w:rsidRPr="610EE4FF">
        <w:rPr>
          <w:rFonts w:ascii="Verdana" w:hAnsi="Verdana"/>
          <w:i w:val="0"/>
          <w:sz w:val="20"/>
          <w:szCs w:val="20"/>
          <w:lang w:val="es-ES"/>
        </w:rPr>
        <w:t xml:space="preserve">las presuntas víctimas presentaron varios recursos </w:t>
      </w:r>
      <w:r w:rsidR="005623B9" w:rsidRPr="610EE4FF">
        <w:rPr>
          <w:rFonts w:ascii="Verdana" w:hAnsi="Verdana"/>
          <w:i w:val="0"/>
          <w:sz w:val="20"/>
          <w:szCs w:val="20"/>
          <w:lang w:val="es-ES"/>
        </w:rPr>
        <w:lastRenderedPageBreak/>
        <w:t>relacionados con el desahogo de pruebas</w:t>
      </w:r>
      <w:r w:rsidR="005623B9" w:rsidRPr="610EE4FF">
        <w:rPr>
          <w:rStyle w:val="Refdenotaalpie"/>
          <w:rFonts w:ascii="Verdana" w:hAnsi="Verdana"/>
          <w:i w:val="0"/>
          <w:sz w:val="20"/>
          <w:lang w:val="es-ES"/>
        </w:rPr>
        <w:footnoteReference w:id="91"/>
      </w:r>
      <w:r w:rsidR="005623B9" w:rsidRPr="610EE4FF">
        <w:rPr>
          <w:rFonts w:ascii="Verdana" w:hAnsi="Verdana"/>
          <w:i w:val="0"/>
          <w:sz w:val="20"/>
          <w:szCs w:val="20"/>
          <w:lang w:val="es-ES"/>
        </w:rPr>
        <w:t>, solicitudes del cierre de la instrucción</w:t>
      </w:r>
      <w:r w:rsidR="005623B9" w:rsidRPr="610EE4FF">
        <w:rPr>
          <w:rStyle w:val="Refdenotaalpie"/>
          <w:rFonts w:ascii="Verdana" w:hAnsi="Verdana"/>
          <w:i w:val="0"/>
          <w:sz w:val="20"/>
          <w:lang w:val="es-ES"/>
        </w:rPr>
        <w:footnoteReference w:id="92"/>
      </w:r>
      <w:r w:rsidR="005623B9" w:rsidRPr="610EE4FF">
        <w:rPr>
          <w:rFonts w:ascii="Verdana" w:hAnsi="Verdana"/>
          <w:i w:val="0"/>
          <w:sz w:val="20"/>
          <w:szCs w:val="20"/>
          <w:lang w:val="es-ES"/>
        </w:rPr>
        <w:t xml:space="preserve">, solicitudes de traslado </w:t>
      </w:r>
      <w:r w:rsidR="00F92AA0" w:rsidRPr="610EE4FF">
        <w:rPr>
          <w:rFonts w:ascii="Verdana" w:hAnsi="Verdana"/>
          <w:i w:val="0"/>
          <w:sz w:val="20"/>
          <w:szCs w:val="20"/>
          <w:lang w:val="es-ES"/>
        </w:rPr>
        <w:t xml:space="preserve">a un </w:t>
      </w:r>
      <w:r w:rsidR="00361981">
        <w:rPr>
          <w:rFonts w:ascii="Verdana" w:hAnsi="Verdana"/>
          <w:i w:val="0"/>
          <w:sz w:val="20"/>
          <w:szCs w:val="20"/>
          <w:lang w:val="es-ES"/>
        </w:rPr>
        <w:t xml:space="preserve">centro </w:t>
      </w:r>
      <w:r w:rsidR="00F92AA0" w:rsidRPr="610EE4FF">
        <w:rPr>
          <w:rFonts w:ascii="Verdana" w:hAnsi="Verdana"/>
          <w:i w:val="0"/>
          <w:sz w:val="20"/>
          <w:szCs w:val="20"/>
          <w:lang w:val="es-ES"/>
        </w:rPr>
        <w:t>penal más cercano al lugar del juicio</w:t>
      </w:r>
      <w:r w:rsidR="00F92AA0" w:rsidRPr="610EE4FF">
        <w:rPr>
          <w:rStyle w:val="Refdenotaalpie"/>
          <w:rFonts w:ascii="Verdana" w:hAnsi="Verdana"/>
          <w:i w:val="0"/>
          <w:sz w:val="20"/>
        </w:rPr>
        <w:footnoteReference w:id="93"/>
      </w:r>
      <w:r w:rsidR="00F92AA0" w:rsidRPr="610EE4FF">
        <w:rPr>
          <w:rFonts w:ascii="Verdana" w:hAnsi="Verdana"/>
          <w:i w:val="0"/>
          <w:sz w:val="20"/>
          <w:szCs w:val="20"/>
          <w:lang w:val="es-ES"/>
        </w:rPr>
        <w:t>, promociones de incidentes solicitando la exclusión de diversas pruebas que habrían sido obtenidas ilícitamente</w:t>
      </w:r>
      <w:r w:rsidR="00F92AA0" w:rsidRPr="610EE4FF">
        <w:rPr>
          <w:rStyle w:val="Refdenotaalpie"/>
          <w:rFonts w:ascii="Verdana" w:hAnsi="Verdana"/>
          <w:i w:val="0"/>
          <w:sz w:val="20"/>
        </w:rPr>
        <w:footnoteReference w:id="94"/>
      </w:r>
      <w:r w:rsidR="00F92AA0" w:rsidRPr="610EE4FF">
        <w:rPr>
          <w:rFonts w:ascii="Verdana" w:hAnsi="Verdana"/>
          <w:i w:val="0"/>
          <w:sz w:val="20"/>
          <w:szCs w:val="20"/>
          <w:lang w:val="es-ES"/>
        </w:rPr>
        <w:t xml:space="preserve"> </w:t>
      </w:r>
      <w:r w:rsidR="005623B9" w:rsidRPr="610EE4FF">
        <w:rPr>
          <w:rFonts w:ascii="Verdana" w:hAnsi="Verdana"/>
          <w:i w:val="0"/>
          <w:sz w:val="20"/>
          <w:szCs w:val="20"/>
          <w:lang w:val="es-ES"/>
        </w:rPr>
        <w:t>o recursos de revisión de la detención</w:t>
      </w:r>
      <w:r w:rsidR="001222EC" w:rsidRPr="610EE4FF">
        <w:rPr>
          <w:rStyle w:val="Refdenotaalpie"/>
          <w:rFonts w:ascii="Verdana" w:hAnsi="Verdana"/>
          <w:i w:val="0"/>
          <w:sz w:val="20"/>
          <w:lang w:val="es-ES"/>
        </w:rPr>
        <w:footnoteReference w:id="95"/>
      </w:r>
      <w:r w:rsidR="005623B9" w:rsidRPr="610EE4FF">
        <w:rPr>
          <w:rFonts w:ascii="Verdana" w:hAnsi="Verdana"/>
          <w:i w:val="0"/>
          <w:sz w:val="20"/>
          <w:szCs w:val="20"/>
          <w:lang w:val="es-ES"/>
        </w:rPr>
        <w:t xml:space="preserve">. </w:t>
      </w:r>
    </w:p>
    <w:p w14:paraId="7B72A23D" w14:textId="343882D3" w:rsidR="003B5F7D" w:rsidRPr="009D520B" w:rsidRDefault="00F92AA0" w:rsidP="00F92AA0">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lang w:val="es-ES"/>
        </w:rPr>
        <w:t>Del mismo modo, e</w:t>
      </w:r>
      <w:r w:rsidR="003B5F7D" w:rsidRPr="610EE4FF">
        <w:rPr>
          <w:rFonts w:ascii="Verdana" w:hAnsi="Verdana"/>
          <w:i w:val="0"/>
          <w:sz w:val="20"/>
          <w:szCs w:val="20"/>
          <w:lang w:val="es-ES"/>
        </w:rPr>
        <w:t xml:space="preserve">l 16 de noviembre de 2011, Daniel García Rodríguez </w:t>
      </w:r>
      <w:r w:rsidR="007F4456">
        <w:rPr>
          <w:rFonts w:ascii="Verdana" w:hAnsi="Verdana"/>
          <w:i w:val="0"/>
          <w:sz w:val="20"/>
          <w:szCs w:val="20"/>
          <w:lang w:val="es-ES"/>
        </w:rPr>
        <w:t xml:space="preserve">y Reyes Alpízar </w:t>
      </w:r>
      <w:r w:rsidR="003B5F7D" w:rsidRPr="610EE4FF">
        <w:rPr>
          <w:rFonts w:ascii="Verdana" w:hAnsi="Verdana"/>
          <w:i w:val="0"/>
          <w:sz w:val="20"/>
          <w:szCs w:val="20"/>
          <w:lang w:val="es-ES"/>
        </w:rPr>
        <w:t>solicit</w:t>
      </w:r>
      <w:r w:rsidR="006F4FD4">
        <w:rPr>
          <w:rFonts w:ascii="Verdana" w:hAnsi="Verdana"/>
          <w:i w:val="0"/>
          <w:sz w:val="20"/>
          <w:szCs w:val="20"/>
          <w:lang w:val="es-ES"/>
        </w:rPr>
        <w:t>aron</w:t>
      </w:r>
      <w:r w:rsidR="003B5F7D" w:rsidRPr="610EE4FF">
        <w:rPr>
          <w:rFonts w:ascii="Verdana" w:hAnsi="Verdana"/>
          <w:i w:val="0"/>
          <w:sz w:val="20"/>
          <w:szCs w:val="20"/>
          <w:lang w:val="es-ES"/>
        </w:rPr>
        <w:t xml:space="preserve"> ser juzgado</w:t>
      </w:r>
      <w:r w:rsidR="006F4FD4">
        <w:rPr>
          <w:rFonts w:ascii="Verdana" w:hAnsi="Verdana"/>
          <w:i w:val="0"/>
          <w:sz w:val="20"/>
          <w:szCs w:val="20"/>
          <w:lang w:val="es-ES"/>
        </w:rPr>
        <w:t>s</w:t>
      </w:r>
      <w:r w:rsidR="003B5F7D" w:rsidRPr="610EE4FF">
        <w:rPr>
          <w:rFonts w:ascii="Verdana" w:hAnsi="Verdana"/>
          <w:i w:val="0"/>
          <w:sz w:val="20"/>
          <w:szCs w:val="20"/>
          <w:lang w:val="es-ES"/>
        </w:rPr>
        <w:t xml:space="preserve"> a través del Nuevo Sistema de Justicia Penal. </w:t>
      </w:r>
      <w:r w:rsidR="003B5F7D" w:rsidRPr="610EE4FF">
        <w:rPr>
          <w:rFonts w:ascii="Verdana" w:hAnsi="Verdana"/>
          <w:i w:val="0"/>
          <w:sz w:val="20"/>
          <w:szCs w:val="20"/>
        </w:rPr>
        <w:t xml:space="preserve">Los acusados denunciaron la prolongación de la prisión preventiva en su contra. </w:t>
      </w:r>
      <w:r w:rsidR="00630B6F" w:rsidRPr="610EE4FF">
        <w:rPr>
          <w:rFonts w:ascii="Verdana" w:hAnsi="Verdana"/>
          <w:i w:val="0"/>
          <w:sz w:val="20"/>
          <w:szCs w:val="20"/>
        </w:rPr>
        <w:t>El 24 de noviembre de 2011</w:t>
      </w:r>
      <w:r w:rsidR="003B5F7D" w:rsidRPr="610EE4FF">
        <w:rPr>
          <w:rFonts w:ascii="Verdana" w:hAnsi="Verdana"/>
          <w:i w:val="0"/>
          <w:sz w:val="20"/>
          <w:szCs w:val="20"/>
        </w:rPr>
        <w:t xml:space="preserve">, </w:t>
      </w:r>
      <w:r w:rsidR="00630B6F" w:rsidRPr="610EE4FF">
        <w:rPr>
          <w:rFonts w:ascii="Verdana" w:hAnsi="Verdana"/>
          <w:i w:val="0"/>
          <w:sz w:val="20"/>
          <w:szCs w:val="20"/>
        </w:rPr>
        <w:t xml:space="preserve">la Jueza Quinta Penal indicó que el delito que se les imputaba “era y continúa siendo grave”, </w:t>
      </w:r>
      <w:r w:rsidR="00361981">
        <w:rPr>
          <w:rFonts w:ascii="Verdana" w:hAnsi="Verdana"/>
          <w:i w:val="0"/>
          <w:sz w:val="20"/>
          <w:szCs w:val="20"/>
        </w:rPr>
        <w:t>dado</w:t>
      </w:r>
      <w:r w:rsidR="00630B6F" w:rsidRPr="610EE4FF">
        <w:rPr>
          <w:rFonts w:ascii="Verdana" w:hAnsi="Verdana"/>
          <w:i w:val="0"/>
          <w:sz w:val="20"/>
          <w:szCs w:val="20"/>
        </w:rPr>
        <w:t xml:space="preserve"> que la ley vigente al momento de la comisión “jurídicamente impide la concesión de la libertad provisional bajo caución”</w:t>
      </w:r>
      <w:r w:rsidR="00630B6F" w:rsidRPr="610EE4FF">
        <w:rPr>
          <w:rStyle w:val="Refdenotaalpie"/>
          <w:rFonts w:ascii="Verdana" w:hAnsi="Verdana"/>
          <w:i w:val="0"/>
          <w:sz w:val="20"/>
        </w:rPr>
        <w:footnoteReference w:id="96"/>
      </w:r>
      <w:r w:rsidR="00630B6F" w:rsidRPr="610EE4FF">
        <w:rPr>
          <w:rFonts w:ascii="Verdana" w:hAnsi="Verdana"/>
          <w:i w:val="0"/>
          <w:sz w:val="20"/>
          <w:szCs w:val="20"/>
        </w:rPr>
        <w:t xml:space="preserve">. </w:t>
      </w:r>
    </w:p>
    <w:p w14:paraId="4C60E7BD" w14:textId="20AE0547" w:rsidR="00630B6F" w:rsidRPr="009D520B" w:rsidRDefault="003B5F7D"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rPr>
        <w:t>Con posterioridad a ello, l</w:t>
      </w:r>
      <w:r w:rsidR="00630B6F" w:rsidRPr="610EE4FF">
        <w:rPr>
          <w:rFonts w:ascii="Verdana" w:hAnsi="Verdana"/>
          <w:i w:val="0"/>
          <w:sz w:val="20"/>
          <w:szCs w:val="20"/>
        </w:rPr>
        <w:t>os procesados plantearon diversos procedimientos de amparo y solicitaron la intervención del Presidente y los Ministros de la Suprema Corte</w:t>
      </w:r>
      <w:r w:rsidR="00630B6F" w:rsidRPr="610EE4FF">
        <w:rPr>
          <w:rStyle w:val="Refdenotaalpie"/>
          <w:rFonts w:ascii="Verdana" w:hAnsi="Verdana"/>
          <w:i w:val="0"/>
          <w:sz w:val="20"/>
        </w:rPr>
        <w:footnoteReference w:id="97"/>
      </w:r>
      <w:r w:rsidR="00630B6F" w:rsidRPr="610EE4FF">
        <w:rPr>
          <w:rFonts w:ascii="Verdana" w:hAnsi="Verdana"/>
          <w:i w:val="0"/>
          <w:sz w:val="20"/>
          <w:szCs w:val="20"/>
        </w:rPr>
        <w:t>, pero todas sus acciones resultaron infructuosas</w:t>
      </w:r>
      <w:r w:rsidR="00630B6F" w:rsidRPr="610EE4FF">
        <w:rPr>
          <w:rStyle w:val="Refdenotaalpie"/>
          <w:rFonts w:ascii="Verdana" w:hAnsi="Verdana"/>
          <w:i w:val="0"/>
          <w:sz w:val="20"/>
        </w:rPr>
        <w:footnoteReference w:id="98"/>
      </w:r>
      <w:r w:rsidR="00630B6F" w:rsidRPr="610EE4FF">
        <w:rPr>
          <w:rFonts w:ascii="Verdana" w:hAnsi="Verdana"/>
          <w:i w:val="0"/>
          <w:sz w:val="20"/>
          <w:szCs w:val="20"/>
        </w:rPr>
        <w:t xml:space="preserve">. </w:t>
      </w:r>
    </w:p>
    <w:p w14:paraId="6E217882" w14:textId="3B4C1EED" w:rsidR="00630B6F" w:rsidRPr="009D520B" w:rsidRDefault="00630B6F"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rPr>
        <w:t>El 30 de mayo de 2016, Daniel García y Reyes Alpízar solicitaron la modificación de la prisión preventiva por aplicación retroactiva de las normas del Sistema Penal Acusatorio que había entrado en vigor el año 2008</w:t>
      </w:r>
      <w:r w:rsidRPr="610EE4FF">
        <w:rPr>
          <w:rStyle w:val="Refdenotaalpie"/>
          <w:rFonts w:ascii="Verdana" w:hAnsi="Verdana"/>
          <w:i w:val="0"/>
          <w:sz w:val="20"/>
        </w:rPr>
        <w:footnoteReference w:id="99"/>
      </w:r>
      <w:r w:rsidRPr="610EE4FF">
        <w:rPr>
          <w:rFonts w:ascii="Verdana" w:hAnsi="Verdana"/>
          <w:i w:val="0"/>
          <w:sz w:val="20"/>
          <w:szCs w:val="20"/>
        </w:rPr>
        <w:t xml:space="preserve">. El 31 de mayo de 2017, ello fue rechazado por la Jueza Penal de Primera </w:t>
      </w:r>
      <w:r w:rsidRPr="610EE4FF">
        <w:rPr>
          <w:rFonts w:ascii="Verdana" w:hAnsi="Verdana"/>
          <w:i w:val="0"/>
          <w:sz w:val="20"/>
          <w:szCs w:val="20"/>
        </w:rPr>
        <w:lastRenderedPageBreak/>
        <w:t>Instancia de Tlalnepantla</w:t>
      </w:r>
      <w:r w:rsidRPr="610EE4FF">
        <w:rPr>
          <w:rStyle w:val="Refdenotaalpie"/>
          <w:rFonts w:ascii="Verdana" w:hAnsi="Verdana"/>
          <w:i w:val="0"/>
          <w:sz w:val="20"/>
        </w:rPr>
        <w:footnoteReference w:id="100"/>
      </w:r>
      <w:r w:rsidRPr="610EE4FF">
        <w:rPr>
          <w:rFonts w:ascii="Verdana" w:hAnsi="Verdana"/>
          <w:i w:val="0"/>
          <w:sz w:val="20"/>
          <w:szCs w:val="20"/>
        </w:rPr>
        <w:t>. En juicio de amparo indirecto, el 24 de agosto de 2017 el Juez del Cuarto Distrito de Naucalpan ordenó a la jueza de la causa dar trámite al incidente de revisión de medidas cautelares, decisión que fue confirmada por el Segundo Tribunal Colegiado del Segundo Distrito el 18 de enero de 2018</w:t>
      </w:r>
      <w:r w:rsidRPr="610EE4FF">
        <w:rPr>
          <w:rStyle w:val="Refdenotaalpie"/>
          <w:rFonts w:ascii="Verdana" w:hAnsi="Verdana"/>
          <w:i w:val="0"/>
          <w:sz w:val="20"/>
        </w:rPr>
        <w:footnoteReference w:id="101"/>
      </w:r>
      <w:r w:rsidRPr="610EE4FF">
        <w:rPr>
          <w:rFonts w:ascii="Verdana" w:hAnsi="Verdana"/>
          <w:i w:val="0"/>
          <w:sz w:val="20"/>
          <w:szCs w:val="20"/>
        </w:rPr>
        <w:t xml:space="preserve">.  </w:t>
      </w:r>
    </w:p>
    <w:p w14:paraId="151913BB" w14:textId="5B522538" w:rsidR="00630B6F" w:rsidRPr="009D520B" w:rsidRDefault="00630B6F" w:rsidP="610EE4FF">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ES"/>
        </w:rPr>
      </w:pPr>
      <w:r w:rsidRPr="610EE4FF">
        <w:rPr>
          <w:rFonts w:ascii="Verdana" w:hAnsi="Verdana"/>
          <w:i w:val="0"/>
          <w:sz w:val="20"/>
          <w:szCs w:val="20"/>
        </w:rPr>
        <w:t>El 13 de junio de 2016, los inculpados solicitaron la revisión y cese de la prisión preventiva afirmando que había devenido en una pena anticipada</w:t>
      </w:r>
      <w:r w:rsidRPr="610EE4FF">
        <w:rPr>
          <w:rStyle w:val="Refdenotaalpie"/>
          <w:rFonts w:ascii="Verdana" w:hAnsi="Verdana"/>
          <w:i w:val="0"/>
          <w:sz w:val="20"/>
        </w:rPr>
        <w:footnoteReference w:id="102"/>
      </w:r>
      <w:r w:rsidRPr="610EE4FF">
        <w:rPr>
          <w:rFonts w:ascii="Verdana" w:hAnsi="Verdana"/>
          <w:i w:val="0"/>
          <w:sz w:val="20"/>
          <w:szCs w:val="20"/>
        </w:rPr>
        <w:t>. El 7 de julio de 2016, el Juzgado Penal de Primera Instancia declaró improcedente el incidente, ya que la Constitución establecía prisión preventiva para los delitos graves y la revisión de la medida cautelar era una institución no contemplada en la legislación aplicable</w:t>
      </w:r>
      <w:r w:rsidRPr="610EE4FF">
        <w:rPr>
          <w:rStyle w:val="Refdenotaalpie"/>
          <w:rFonts w:ascii="Verdana" w:hAnsi="Verdana"/>
          <w:i w:val="0"/>
          <w:sz w:val="20"/>
        </w:rPr>
        <w:footnoteReference w:id="103"/>
      </w:r>
      <w:r w:rsidRPr="610EE4FF">
        <w:rPr>
          <w:rFonts w:ascii="Verdana" w:hAnsi="Verdana"/>
          <w:i w:val="0"/>
          <w:sz w:val="20"/>
          <w:szCs w:val="20"/>
        </w:rPr>
        <w:t xml:space="preserve">. </w:t>
      </w:r>
    </w:p>
    <w:p w14:paraId="6B5D172D" w14:textId="117478DA" w:rsidR="008B4F19" w:rsidRPr="009D520B" w:rsidRDefault="003B5F7D" w:rsidP="008B4F19">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lang w:val="es-ES"/>
        </w:rPr>
        <w:t>El 16 de octubre de 2017, el Juez Penal de Primera Instancia del Distrito Judicial de Tlalnepantla, Estado de México, quien conoce actualmente de la causa penal, decretó el cierre de la instrucción y declaró visto el asunto para el dictado de la sentencia correspondiente</w:t>
      </w:r>
      <w:r w:rsidRPr="610EE4FF">
        <w:rPr>
          <w:rStyle w:val="Refdenotaalpie"/>
          <w:rFonts w:ascii="Verdana" w:hAnsi="Verdana"/>
          <w:i w:val="0"/>
          <w:sz w:val="20"/>
          <w:lang w:val="es-ES"/>
        </w:rPr>
        <w:footnoteReference w:id="104"/>
      </w:r>
      <w:r w:rsidRPr="610EE4FF">
        <w:rPr>
          <w:rFonts w:ascii="Verdana" w:hAnsi="Verdana"/>
          <w:i w:val="0"/>
          <w:sz w:val="20"/>
          <w:szCs w:val="20"/>
          <w:lang w:val="es-ES"/>
        </w:rPr>
        <w:t>.</w:t>
      </w:r>
      <w:r w:rsidR="008B4F19" w:rsidRPr="610EE4FF">
        <w:rPr>
          <w:rFonts w:ascii="Verdana" w:hAnsi="Verdana"/>
          <w:i w:val="0"/>
          <w:sz w:val="20"/>
          <w:szCs w:val="20"/>
          <w:lang w:val="es-ES"/>
        </w:rPr>
        <w:t xml:space="preserve"> </w:t>
      </w:r>
    </w:p>
    <w:p w14:paraId="480B8BAD" w14:textId="73D8FFA0" w:rsidR="00630B6F" w:rsidRPr="009D520B" w:rsidRDefault="008B4F19" w:rsidP="61E04F3B">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ES"/>
        </w:rPr>
      </w:pPr>
      <w:r w:rsidRPr="610EE4FF">
        <w:rPr>
          <w:rFonts w:ascii="Verdana" w:hAnsi="Verdana"/>
          <w:i w:val="0"/>
          <w:sz w:val="20"/>
          <w:szCs w:val="20"/>
        </w:rPr>
        <w:t xml:space="preserve">El 30 de enero de 2018, la Jueza Penal de Primera Instancia negó </w:t>
      </w:r>
      <w:r w:rsidR="00F92AA0" w:rsidRPr="610EE4FF">
        <w:rPr>
          <w:rFonts w:ascii="Verdana" w:hAnsi="Verdana"/>
          <w:i w:val="0"/>
          <w:sz w:val="20"/>
          <w:szCs w:val="20"/>
        </w:rPr>
        <w:t xml:space="preserve">un recurso de </w:t>
      </w:r>
      <w:r w:rsidRPr="610EE4FF">
        <w:rPr>
          <w:rFonts w:ascii="Verdana" w:hAnsi="Verdana"/>
          <w:i w:val="0"/>
          <w:sz w:val="20"/>
          <w:szCs w:val="20"/>
        </w:rPr>
        <w:t>revisión</w:t>
      </w:r>
      <w:r w:rsidR="00361981">
        <w:rPr>
          <w:rFonts w:ascii="Verdana" w:hAnsi="Verdana"/>
          <w:i w:val="0"/>
          <w:sz w:val="20"/>
          <w:szCs w:val="20"/>
        </w:rPr>
        <w:t xml:space="preserve">; </w:t>
      </w:r>
      <w:r w:rsidR="00F92AA0" w:rsidRPr="610EE4FF">
        <w:rPr>
          <w:rFonts w:ascii="Verdana" w:hAnsi="Verdana"/>
          <w:i w:val="0"/>
          <w:sz w:val="20"/>
          <w:szCs w:val="20"/>
        </w:rPr>
        <w:t>indic</w:t>
      </w:r>
      <w:r w:rsidR="610EE4FF" w:rsidRPr="610EE4FF">
        <w:rPr>
          <w:rFonts w:ascii="Verdana" w:hAnsi="Verdana"/>
          <w:i w:val="0"/>
          <w:sz w:val="20"/>
          <w:szCs w:val="20"/>
        </w:rPr>
        <w:t>ó</w:t>
      </w:r>
      <w:r w:rsidR="00F92AA0" w:rsidRPr="610EE4FF">
        <w:rPr>
          <w:rFonts w:ascii="Verdana" w:hAnsi="Verdana"/>
          <w:i w:val="0"/>
          <w:sz w:val="20"/>
          <w:szCs w:val="20"/>
        </w:rPr>
        <w:t xml:space="preserve"> </w:t>
      </w:r>
      <w:r w:rsidRPr="610EE4FF">
        <w:rPr>
          <w:rFonts w:ascii="Verdana" w:hAnsi="Verdana"/>
          <w:i w:val="0"/>
          <w:sz w:val="20"/>
          <w:szCs w:val="20"/>
        </w:rPr>
        <w:t xml:space="preserve">que la duración del juicio era atribuible a la intensa actividad de los procesados y </w:t>
      </w:r>
      <w:r w:rsidR="610EE4FF" w:rsidRPr="610EE4FF">
        <w:rPr>
          <w:rFonts w:ascii="Verdana" w:hAnsi="Verdana"/>
          <w:i w:val="0"/>
          <w:sz w:val="20"/>
          <w:szCs w:val="20"/>
        </w:rPr>
        <w:t xml:space="preserve">que había </w:t>
      </w:r>
      <w:r w:rsidRPr="610EE4FF">
        <w:rPr>
          <w:rFonts w:ascii="Verdana" w:hAnsi="Verdana"/>
          <w:i w:val="0"/>
          <w:sz w:val="20"/>
          <w:szCs w:val="20"/>
        </w:rPr>
        <w:t xml:space="preserve">riesgo de fuga </w:t>
      </w:r>
      <w:r w:rsidR="610EE4FF" w:rsidRPr="610EE4FF">
        <w:rPr>
          <w:rFonts w:ascii="Verdana" w:hAnsi="Verdana"/>
          <w:i w:val="0"/>
          <w:sz w:val="20"/>
          <w:szCs w:val="20"/>
        </w:rPr>
        <w:t xml:space="preserve">por parte </w:t>
      </w:r>
      <w:r w:rsidRPr="610EE4FF">
        <w:rPr>
          <w:rFonts w:ascii="Verdana" w:hAnsi="Verdana"/>
          <w:i w:val="0"/>
          <w:sz w:val="20"/>
          <w:szCs w:val="20"/>
        </w:rPr>
        <w:t>de Daniel García</w:t>
      </w:r>
      <w:r w:rsidRPr="610EE4FF">
        <w:rPr>
          <w:rStyle w:val="Refdenotaalpie"/>
          <w:rFonts w:ascii="Verdana" w:hAnsi="Verdana"/>
          <w:i w:val="0"/>
          <w:sz w:val="20"/>
        </w:rPr>
        <w:footnoteReference w:id="105"/>
      </w:r>
      <w:r w:rsidRPr="610EE4FF">
        <w:rPr>
          <w:rFonts w:ascii="Verdana" w:hAnsi="Verdana"/>
          <w:i w:val="0"/>
          <w:sz w:val="20"/>
          <w:szCs w:val="20"/>
        </w:rPr>
        <w:t xml:space="preserve">. </w:t>
      </w:r>
      <w:r w:rsidR="00757700" w:rsidRPr="610EE4FF">
        <w:rPr>
          <w:rFonts w:ascii="Verdana" w:hAnsi="Verdana"/>
          <w:i w:val="0"/>
          <w:sz w:val="20"/>
          <w:szCs w:val="20"/>
        </w:rPr>
        <w:t xml:space="preserve">Tal </w:t>
      </w:r>
      <w:r w:rsidRPr="610EE4FF">
        <w:rPr>
          <w:rFonts w:ascii="Verdana" w:hAnsi="Verdana"/>
          <w:i w:val="0"/>
          <w:sz w:val="20"/>
          <w:szCs w:val="20"/>
        </w:rPr>
        <w:t>riesgo de fuga fue analizado el 11 de enero de 2018 por el Centro de Medidas Cautelares y de la Suspensión Condicional del Proceso, el que concluyó que Daniel García era un sujeto de “riesgo medio”, tomando en cuenta los 50 años de penalidad asignada al delito de homicidio</w:t>
      </w:r>
      <w:r w:rsidRPr="610EE4FF">
        <w:rPr>
          <w:rStyle w:val="Refdenotaalpie"/>
          <w:rFonts w:ascii="Verdana" w:hAnsi="Verdana"/>
          <w:i w:val="0"/>
          <w:sz w:val="20"/>
        </w:rPr>
        <w:footnoteReference w:id="106"/>
      </w:r>
      <w:r w:rsidRPr="610EE4FF">
        <w:rPr>
          <w:rFonts w:ascii="Verdana" w:hAnsi="Verdana"/>
          <w:i w:val="0"/>
          <w:sz w:val="20"/>
          <w:szCs w:val="20"/>
        </w:rPr>
        <w:t xml:space="preserve">. El riesgo de fuga de Reyes Alpízar no fue </w:t>
      </w:r>
      <w:r w:rsidR="00E5635F" w:rsidRPr="610EE4FF">
        <w:rPr>
          <w:rFonts w:ascii="Verdana" w:hAnsi="Verdana"/>
          <w:i w:val="0"/>
          <w:sz w:val="20"/>
          <w:szCs w:val="20"/>
        </w:rPr>
        <w:t>analizado</w:t>
      </w:r>
      <w:r w:rsidRPr="610EE4FF">
        <w:rPr>
          <w:rFonts w:ascii="Verdana" w:hAnsi="Verdana"/>
          <w:i w:val="0"/>
          <w:sz w:val="20"/>
          <w:szCs w:val="20"/>
        </w:rPr>
        <w:t xml:space="preserve">, ya que la única vez que se intentó </w:t>
      </w:r>
      <w:r w:rsidR="00885225" w:rsidRPr="610EE4FF">
        <w:rPr>
          <w:rFonts w:ascii="Verdana" w:hAnsi="Verdana"/>
          <w:i w:val="0"/>
          <w:sz w:val="20"/>
          <w:szCs w:val="20"/>
        </w:rPr>
        <w:t>hacer di</w:t>
      </w:r>
      <w:r w:rsidR="00DD764D" w:rsidRPr="610EE4FF">
        <w:rPr>
          <w:rFonts w:ascii="Verdana" w:hAnsi="Verdana"/>
          <w:i w:val="0"/>
          <w:sz w:val="20"/>
          <w:szCs w:val="20"/>
        </w:rPr>
        <w:t xml:space="preserve">cha apreciación </w:t>
      </w:r>
      <w:r w:rsidRPr="610EE4FF">
        <w:rPr>
          <w:rFonts w:ascii="Verdana" w:hAnsi="Verdana"/>
          <w:i w:val="0"/>
          <w:sz w:val="20"/>
          <w:szCs w:val="20"/>
        </w:rPr>
        <w:t>en el penal por el Centro Estatal de Medidas Cautelares, el 21 de diciembre de 2017, Reyes Alpízar se negó a la evaluación</w:t>
      </w:r>
      <w:r w:rsidRPr="610EE4FF">
        <w:rPr>
          <w:rStyle w:val="Refdenotaalpie"/>
          <w:rFonts w:ascii="Verdana" w:hAnsi="Verdana"/>
          <w:i w:val="0"/>
          <w:sz w:val="20"/>
        </w:rPr>
        <w:footnoteReference w:id="107"/>
      </w:r>
      <w:r w:rsidR="002B130B" w:rsidRPr="610EE4FF">
        <w:rPr>
          <w:rFonts w:ascii="Verdana" w:hAnsi="Verdana"/>
          <w:i w:val="0"/>
          <w:sz w:val="20"/>
          <w:szCs w:val="20"/>
        </w:rPr>
        <w:t>.</w:t>
      </w:r>
    </w:p>
    <w:p w14:paraId="0333DAED" w14:textId="354617ED" w:rsidR="00630B6F" w:rsidRPr="009D520B" w:rsidRDefault="00630B6F" w:rsidP="610EE4FF">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ES"/>
        </w:rPr>
      </w:pPr>
      <w:r w:rsidRPr="610EE4FF">
        <w:rPr>
          <w:rFonts w:ascii="Verdana" w:hAnsi="Verdana"/>
          <w:i w:val="0"/>
          <w:sz w:val="20"/>
          <w:szCs w:val="20"/>
          <w:lang w:val="es-ES"/>
        </w:rPr>
        <w:t>El 2</w:t>
      </w:r>
      <w:r w:rsidR="00D73463" w:rsidRPr="610EE4FF">
        <w:rPr>
          <w:rFonts w:ascii="Verdana" w:hAnsi="Verdana"/>
          <w:i w:val="0"/>
          <w:sz w:val="20"/>
          <w:szCs w:val="20"/>
          <w:lang w:val="es-ES"/>
        </w:rPr>
        <w:t>3</w:t>
      </w:r>
      <w:r w:rsidRPr="610EE4FF">
        <w:rPr>
          <w:rFonts w:ascii="Verdana" w:hAnsi="Verdana"/>
          <w:i w:val="0"/>
          <w:sz w:val="20"/>
          <w:szCs w:val="20"/>
          <w:lang w:val="es-ES"/>
        </w:rPr>
        <w:t xml:space="preserve"> de agosto de 2019, el Juez Penal de Primera Instancia del Distrito Judicial de Tlalnepantla, acordó la sustitución de la prisión preventiva oficiosa por otras medidas cautelares a Daniel García Rodríguez y a Reyes Alpízar Ortiz</w:t>
      </w:r>
      <w:r w:rsidR="00D73463" w:rsidRPr="610EE4FF">
        <w:rPr>
          <w:rStyle w:val="Refdenotaalpie"/>
          <w:rFonts w:ascii="Verdana" w:hAnsi="Verdana"/>
          <w:i w:val="0"/>
          <w:sz w:val="20"/>
          <w:lang w:val="es-ES"/>
        </w:rPr>
        <w:footnoteReference w:id="108"/>
      </w:r>
      <w:r w:rsidRPr="610EE4FF">
        <w:rPr>
          <w:rFonts w:ascii="Verdana" w:hAnsi="Verdana"/>
          <w:i w:val="0"/>
          <w:sz w:val="20"/>
          <w:szCs w:val="20"/>
          <w:lang w:val="es-ES"/>
        </w:rPr>
        <w:t>, en el proceso que se les sigue.</w:t>
      </w:r>
      <w:r w:rsidR="00F92AA0" w:rsidRPr="610EE4FF">
        <w:rPr>
          <w:rFonts w:ascii="Verdana" w:hAnsi="Verdana"/>
          <w:i w:val="0"/>
          <w:sz w:val="20"/>
          <w:szCs w:val="20"/>
        </w:rPr>
        <w:t xml:space="preserve"> </w:t>
      </w:r>
      <w:r w:rsidR="008D7148">
        <w:rPr>
          <w:rFonts w:ascii="Verdana" w:hAnsi="Verdana"/>
          <w:i w:val="0"/>
          <w:sz w:val="20"/>
          <w:szCs w:val="20"/>
        </w:rPr>
        <w:t xml:space="preserve">Ese mismo día </w:t>
      </w:r>
      <w:r w:rsidR="00456065" w:rsidRPr="610EE4FF">
        <w:rPr>
          <w:rFonts w:ascii="Verdana" w:hAnsi="Verdana"/>
          <w:i w:val="0"/>
          <w:sz w:val="20"/>
          <w:szCs w:val="20"/>
        </w:rPr>
        <w:lastRenderedPageBreak/>
        <w:t xml:space="preserve">fueron </w:t>
      </w:r>
      <w:r w:rsidRPr="610EE4FF">
        <w:rPr>
          <w:rFonts w:ascii="Verdana" w:hAnsi="Verdana"/>
          <w:i w:val="0"/>
          <w:sz w:val="20"/>
          <w:szCs w:val="20"/>
        </w:rPr>
        <w:t>puest</w:t>
      </w:r>
      <w:r w:rsidR="0052347E" w:rsidRPr="610EE4FF">
        <w:rPr>
          <w:rFonts w:ascii="Verdana" w:hAnsi="Verdana"/>
          <w:i w:val="0"/>
          <w:sz w:val="20"/>
          <w:szCs w:val="20"/>
        </w:rPr>
        <w:t>o</w:t>
      </w:r>
      <w:r w:rsidRPr="610EE4FF">
        <w:rPr>
          <w:rFonts w:ascii="Verdana" w:hAnsi="Verdana"/>
          <w:i w:val="0"/>
          <w:sz w:val="20"/>
          <w:szCs w:val="20"/>
        </w:rPr>
        <w:t>s en libertad</w:t>
      </w:r>
      <w:r w:rsidRPr="610EE4FF">
        <w:rPr>
          <w:rStyle w:val="Refdenotaalpie"/>
          <w:rFonts w:ascii="Verdana" w:hAnsi="Verdana"/>
          <w:i w:val="0"/>
          <w:sz w:val="20"/>
        </w:rPr>
        <w:footnoteReference w:id="109"/>
      </w:r>
      <w:r w:rsidR="00F92AA0" w:rsidRPr="610EE4FF">
        <w:rPr>
          <w:rFonts w:ascii="Verdana" w:hAnsi="Verdana"/>
          <w:i w:val="0"/>
          <w:sz w:val="20"/>
          <w:szCs w:val="20"/>
        </w:rPr>
        <w:t xml:space="preserve">, y </w:t>
      </w:r>
      <w:r w:rsidR="00F92AA0" w:rsidRPr="610EE4FF">
        <w:rPr>
          <w:rFonts w:ascii="Verdana" w:hAnsi="Verdana"/>
          <w:i w:val="0"/>
          <w:sz w:val="20"/>
          <w:szCs w:val="20"/>
          <w:lang w:val="es-ES"/>
        </w:rPr>
        <w:t xml:space="preserve">a partir de esa fecha se encuentran siguiendo su proceso en </w:t>
      </w:r>
      <w:r w:rsidR="00177E58" w:rsidRPr="610EE4FF">
        <w:rPr>
          <w:rFonts w:ascii="Verdana" w:hAnsi="Verdana"/>
          <w:i w:val="0"/>
          <w:sz w:val="20"/>
          <w:szCs w:val="20"/>
          <w:lang w:val="es-ES"/>
        </w:rPr>
        <w:t xml:space="preserve">tal condición </w:t>
      </w:r>
      <w:r w:rsidR="00F92AA0" w:rsidRPr="610EE4FF">
        <w:rPr>
          <w:rFonts w:ascii="Verdana" w:hAnsi="Verdana"/>
          <w:i w:val="0"/>
          <w:sz w:val="20"/>
          <w:szCs w:val="20"/>
          <w:lang w:val="es-ES"/>
        </w:rPr>
        <w:t>y sujetos al sistema de rastreo y localización</w:t>
      </w:r>
      <w:r w:rsidR="006C3614" w:rsidRPr="610EE4FF">
        <w:rPr>
          <w:rFonts w:ascii="Verdana" w:hAnsi="Verdana"/>
          <w:i w:val="0"/>
          <w:sz w:val="20"/>
          <w:szCs w:val="20"/>
          <w:lang w:val="es-ES"/>
        </w:rPr>
        <w:t>.</w:t>
      </w:r>
    </w:p>
    <w:p w14:paraId="68E0F414" w14:textId="668DB59B" w:rsidR="00630B6F" w:rsidRPr="009D520B" w:rsidRDefault="007F4456" w:rsidP="00630B6F">
      <w:pPr>
        <w:pStyle w:val="Ttulo2"/>
        <w:numPr>
          <w:ilvl w:val="0"/>
          <w:numId w:val="8"/>
        </w:numPr>
        <w:spacing w:before="240" w:after="240"/>
        <w:ind w:left="360"/>
        <w:jc w:val="both"/>
        <w:rPr>
          <w:rFonts w:ascii="Verdana" w:hAnsi="Verdana"/>
          <w:i/>
          <w:color w:val="auto"/>
          <w:sz w:val="20"/>
          <w:szCs w:val="20"/>
        </w:rPr>
      </w:pPr>
      <w:bookmarkStart w:id="76" w:name="_Toc132133908"/>
      <w:bookmarkEnd w:id="75"/>
      <w:r>
        <w:rPr>
          <w:rFonts w:ascii="Verdana" w:hAnsi="Verdana"/>
          <w:i/>
          <w:color w:val="auto"/>
          <w:sz w:val="20"/>
          <w:szCs w:val="20"/>
        </w:rPr>
        <w:t>L</w:t>
      </w:r>
      <w:r w:rsidR="002F7CA9" w:rsidRPr="009D520B">
        <w:rPr>
          <w:rFonts w:ascii="Verdana" w:hAnsi="Verdana"/>
          <w:i/>
          <w:color w:val="auto"/>
          <w:sz w:val="20"/>
          <w:szCs w:val="20"/>
        </w:rPr>
        <w:t xml:space="preserve">as denuncias por </w:t>
      </w:r>
      <w:r w:rsidR="00DA5CD0" w:rsidRPr="009D520B">
        <w:rPr>
          <w:rFonts w:ascii="Verdana" w:hAnsi="Verdana"/>
          <w:i/>
          <w:color w:val="auto"/>
          <w:sz w:val="20"/>
          <w:szCs w:val="20"/>
        </w:rPr>
        <w:t xml:space="preserve">los hechos de </w:t>
      </w:r>
      <w:r w:rsidR="00630B6F" w:rsidRPr="009D520B">
        <w:rPr>
          <w:rFonts w:ascii="Verdana" w:hAnsi="Verdana"/>
          <w:i/>
          <w:color w:val="auto"/>
          <w:sz w:val="20"/>
          <w:szCs w:val="20"/>
        </w:rPr>
        <w:t xml:space="preserve">tortura </w:t>
      </w:r>
      <w:r w:rsidR="004F6525" w:rsidRPr="009D520B">
        <w:rPr>
          <w:rFonts w:ascii="Verdana" w:hAnsi="Verdana"/>
          <w:i/>
          <w:color w:val="auto"/>
          <w:sz w:val="20"/>
          <w:szCs w:val="20"/>
        </w:rPr>
        <w:t>que habría</w:t>
      </w:r>
      <w:r w:rsidR="0049338C" w:rsidRPr="009D520B">
        <w:rPr>
          <w:rFonts w:ascii="Verdana" w:hAnsi="Verdana"/>
          <w:i/>
          <w:color w:val="auto"/>
          <w:sz w:val="20"/>
          <w:szCs w:val="20"/>
        </w:rPr>
        <w:t>n</w:t>
      </w:r>
      <w:r w:rsidR="004F6525" w:rsidRPr="009D520B">
        <w:rPr>
          <w:rFonts w:ascii="Verdana" w:hAnsi="Verdana"/>
          <w:i/>
          <w:color w:val="auto"/>
          <w:sz w:val="20"/>
          <w:szCs w:val="20"/>
        </w:rPr>
        <w:t xml:space="preserve"> sufrido</w:t>
      </w:r>
      <w:r w:rsidR="00630B6F" w:rsidRPr="009D520B">
        <w:rPr>
          <w:rFonts w:ascii="Verdana" w:hAnsi="Verdana"/>
          <w:i/>
          <w:color w:val="auto"/>
          <w:sz w:val="20"/>
          <w:szCs w:val="20"/>
        </w:rPr>
        <w:t xml:space="preserve"> </w:t>
      </w:r>
      <w:bookmarkStart w:id="77" w:name="_Hlk123206774"/>
      <w:r w:rsidR="00630B6F" w:rsidRPr="009D520B">
        <w:rPr>
          <w:rFonts w:ascii="Verdana" w:hAnsi="Verdana"/>
          <w:i/>
          <w:color w:val="auto"/>
          <w:sz w:val="20"/>
          <w:szCs w:val="20"/>
        </w:rPr>
        <w:t>Reyes Alpízar Ortiz</w:t>
      </w:r>
      <w:bookmarkEnd w:id="77"/>
      <w:r w:rsidR="0049338C" w:rsidRPr="009D520B">
        <w:rPr>
          <w:rFonts w:ascii="Verdana" w:hAnsi="Verdana"/>
          <w:i/>
          <w:color w:val="auto"/>
          <w:sz w:val="20"/>
          <w:szCs w:val="20"/>
        </w:rPr>
        <w:t xml:space="preserve"> y Daniel García Rodríguez</w:t>
      </w:r>
      <w:bookmarkEnd w:id="76"/>
      <w:r w:rsidR="00F4744D" w:rsidRPr="009D520B">
        <w:rPr>
          <w:rFonts w:ascii="Verdana" w:hAnsi="Verdana"/>
          <w:i/>
          <w:color w:val="auto"/>
          <w:sz w:val="20"/>
          <w:szCs w:val="20"/>
        </w:rPr>
        <w:t xml:space="preserve"> </w:t>
      </w:r>
    </w:p>
    <w:p w14:paraId="792955C9" w14:textId="2C0D0BBD" w:rsidR="00FC16F3" w:rsidRPr="009D520B" w:rsidRDefault="00FC16F3" w:rsidP="61E04F3B">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sz w:val="20"/>
          <w:szCs w:val="20"/>
          <w:lang w:val="es-ES"/>
        </w:rPr>
      </w:pPr>
      <w:r w:rsidRPr="610EE4FF">
        <w:rPr>
          <w:rFonts w:ascii="Verdana" w:hAnsi="Verdana"/>
          <w:i w:val="0"/>
          <w:sz w:val="20"/>
          <w:szCs w:val="20"/>
          <w:lang w:val="es-ES"/>
        </w:rPr>
        <w:t>Reyes Alpízar Ortiz denunció haber sido sometido a maltratos severos durante el período de arraigo con el objetivo de obtener su confesión en relación con el homicidio de la regidora María de los Ángeles Tamés Pérez</w:t>
      </w:r>
      <w:r w:rsidRPr="610EE4FF">
        <w:rPr>
          <w:rStyle w:val="Refdenotaalpie"/>
          <w:rFonts w:ascii="Verdana" w:hAnsi="Verdana"/>
          <w:i w:val="0"/>
          <w:sz w:val="18"/>
          <w:szCs w:val="18"/>
          <w:lang w:val="es-ES"/>
        </w:rPr>
        <w:footnoteReference w:id="110"/>
      </w:r>
      <w:r w:rsidRPr="610EE4FF">
        <w:rPr>
          <w:rFonts w:ascii="Verdana" w:hAnsi="Verdana"/>
          <w:i w:val="0"/>
          <w:sz w:val="20"/>
          <w:szCs w:val="20"/>
          <w:lang w:val="es-ES"/>
        </w:rPr>
        <w:t xml:space="preserve">. </w:t>
      </w:r>
      <w:r w:rsidR="610EE4FF" w:rsidRPr="610EE4FF">
        <w:rPr>
          <w:rFonts w:ascii="Verdana" w:hAnsi="Verdana"/>
          <w:i w:val="0"/>
          <w:sz w:val="20"/>
          <w:szCs w:val="20"/>
          <w:lang w:val="es-ES"/>
        </w:rPr>
        <w:t xml:space="preserve">La denuncia la </w:t>
      </w:r>
      <w:r w:rsidR="001C5F21" w:rsidRPr="610EE4FF">
        <w:rPr>
          <w:rFonts w:ascii="Verdana" w:hAnsi="Verdana"/>
          <w:i w:val="0"/>
          <w:sz w:val="20"/>
          <w:szCs w:val="20"/>
          <w:lang w:val="es-ES"/>
        </w:rPr>
        <w:t>realizó</w:t>
      </w:r>
      <w:r w:rsidR="610EE4FF" w:rsidRPr="610EE4FF">
        <w:rPr>
          <w:rFonts w:ascii="Verdana" w:hAnsi="Verdana"/>
          <w:i w:val="0"/>
          <w:sz w:val="20"/>
          <w:szCs w:val="20"/>
          <w:lang w:val="es-ES"/>
        </w:rPr>
        <w:t xml:space="preserve"> </w:t>
      </w:r>
      <w:r w:rsidRPr="610EE4FF">
        <w:rPr>
          <w:rFonts w:ascii="Verdana" w:hAnsi="Verdana"/>
          <w:i w:val="0"/>
          <w:sz w:val="20"/>
          <w:szCs w:val="20"/>
          <w:lang w:val="es-ES"/>
        </w:rPr>
        <w:t>en el marco del proceso penal llevado en su contra, en el contexto de la averiguación previa TLA/MR/III/1973/2006</w:t>
      </w:r>
      <w:r w:rsidR="002F7CA9" w:rsidRPr="610EE4FF">
        <w:rPr>
          <w:rFonts w:ascii="Verdana" w:hAnsi="Verdana"/>
          <w:i w:val="0"/>
          <w:sz w:val="20"/>
          <w:szCs w:val="20"/>
          <w:lang w:val="es-ES"/>
        </w:rPr>
        <w:t xml:space="preserve">, ante la PGN y ante organismos nacionales e internacionales. </w:t>
      </w:r>
      <w:r w:rsidR="003E6402" w:rsidRPr="610EE4FF">
        <w:rPr>
          <w:rFonts w:ascii="Verdana" w:hAnsi="Verdana"/>
          <w:i w:val="0"/>
          <w:sz w:val="20"/>
          <w:szCs w:val="20"/>
          <w:lang w:val="es-ES"/>
        </w:rPr>
        <w:t>Por su parte, Daniel García Rodríguez denunci</w:t>
      </w:r>
      <w:r w:rsidR="00095AA3" w:rsidRPr="610EE4FF">
        <w:rPr>
          <w:rFonts w:ascii="Verdana" w:hAnsi="Verdana"/>
          <w:i w:val="0"/>
          <w:sz w:val="20"/>
          <w:szCs w:val="20"/>
          <w:lang w:val="es-ES"/>
        </w:rPr>
        <w:t>ó</w:t>
      </w:r>
      <w:r w:rsidR="003E6402" w:rsidRPr="610EE4FF">
        <w:rPr>
          <w:rFonts w:ascii="Verdana" w:hAnsi="Verdana"/>
          <w:i w:val="0"/>
          <w:sz w:val="20"/>
          <w:szCs w:val="20"/>
          <w:lang w:val="es-ES"/>
        </w:rPr>
        <w:t xml:space="preserve"> </w:t>
      </w:r>
      <w:r w:rsidR="00C61D2B" w:rsidRPr="610EE4FF">
        <w:rPr>
          <w:rFonts w:ascii="Verdana" w:hAnsi="Verdana"/>
          <w:i w:val="0"/>
          <w:sz w:val="20"/>
          <w:szCs w:val="20"/>
          <w:lang w:val="es-ES"/>
        </w:rPr>
        <w:t>en el marco del proceso penal</w:t>
      </w:r>
      <w:r w:rsidR="003E6402" w:rsidRPr="610EE4FF">
        <w:rPr>
          <w:rFonts w:ascii="Verdana" w:hAnsi="Verdana"/>
          <w:i w:val="0"/>
          <w:sz w:val="20"/>
          <w:szCs w:val="20"/>
          <w:lang w:val="es-ES"/>
        </w:rPr>
        <w:t xml:space="preserve"> y ante organismos nacionales e internacionales</w:t>
      </w:r>
      <w:r w:rsidR="001D1D59" w:rsidRPr="610EE4FF">
        <w:rPr>
          <w:rFonts w:ascii="Verdana" w:hAnsi="Verdana"/>
          <w:i w:val="0"/>
          <w:sz w:val="20"/>
          <w:szCs w:val="20"/>
          <w:lang w:val="es-ES"/>
        </w:rPr>
        <w:t xml:space="preserve"> que fue víctima de maltratos y coacciones</w:t>
      </w:r>
      <w:r w:rsidR="610EE4FF" w:rsidRPr="610EE4FF">
        <w:rPr>
          <w:rFonts w:ascii="Verdana" w:hAnsi="Verdana"/>
          <w:i w:val="0"/>
          <w:sz w:val="20"/>
          <w:szCs w:val="20"/>
          <w:lang w:val="es-ES"/>
        </w:rPr>
        <w:t xml:space="preserve"> con el objetivo de obtener su confesión</w:t>
      </w:r>
      <w:r w:rsidR="003E6402" w:rsidRPr="610EE4FF">
        <w:rPr>
          <w:rFonts w:ascii="Verdana" w:hAnsi="Verdana"/>
          <w:i w:val="0"/>
          <w:sz w:val="20"/>
          <w:szCs w:val="20"/>
          <w:lang w:val="es-ES"/>
        </w:rPr>
        <w:t xml:space="preserve">. </w:t>
      </w:r>
      <w:r w:rsidR="002F7CA9" w:rsidRPr="610EE4FF">
        <w:rPr>
          <w:rFonts w:ascii="Verdana" w:hAnsi="Verdana"/>
          <w:i w:val="0"/>
          <w:sz w:val="20"/>
          <w:szCs w:val="20"/>
          <w:lang w:val="es-ES"/>
        </w:rPr>
        <w:t xml:space="preserve">A </w:t>
      </w:r>
      <w:r w:rsidR="008136E7" w:rsidRPr="610EE4FF">
        <w:rPr>
          <w:rFonts w:ascii="Verdana" w:hAnsi="Verdana"/>
          <w:i w:val="0"/>
          <w:sz w:val="20"/>
          <w:szCs w:val="20"/>
          <w:lang w:val="es-ES"/>
        </w:rPr>
        <w:t>continuación,</w:t>
      </w:r>
      <w:r w:rsidR="00C34C07" w:rsidRPr="610EE4FF">
        <w:rPr>
          <w:rFonts w:ascii="Verdana" w:hAnsi="Verdana"/>
          <w:i w:val="0"/>
          <w:sz w:val="20"/>
          <w:szCs w:val="20"/>
          <w:lang w:val="es-ES"/>
        </w:rPr>
        <w:t xml:space="preserve"> se describe el detalle de estas denuncias y de los trámites que se dio a las mismas.</w:t>
      </w:r>
    </w:p>
    <w:p w14:paraId="0BB5B9E7" w14:textId="71830CEB" w:rsidR="008A0444" w:rsidRPr="00D04822" w:rsidRDefault="008A0444" w:rsidP="00630B6F">
      <w:pPr>
        <w:pStyle w:val="Estilo1"/>
        <w:widowControl w:val="0"/>
        <w:tabs>
          <w:tab w:val="left" w:pos="0"/>
          <w:tab w:val="left" w:pos="567"/>
          <w:tab w:val="num" w:pos="12305"/>
        </w:tabs>
        <w:spacing w:before="240" w:after="240"/>
        <w:ind w:left="567" w:right="-6" w:firstLine="0"/>
        <w:jc w:val="both"/>
        <w:textAlignment w:val="baseline"/>
        <w:outlineLvl w:val="2"/>
        <w:rPr>
          <w:rFonts w:ascii="Verdana" w:hAnsi="Verdana"/>
          <w:iCs/>
          <w:sz w:val="20"/>
          <w:szCs w:val="20"/>
          <w:lang w:val="es-ES"/>
        </w:rPr>
      </w:pPr>
      <w:bookmarkStart w:id="78" w:name="_Toc132133909"/>
      <w:r w:rsidRPr="00D04822">
        <w:rPr>
          <w:rFonts w:ascii="Verdana" w:hAnsi="Verdana"/>
          <w:iCs/>
          <w:sz w:val="20"/>
          <w:szCs w:val="20"/>
          <w:lang w:val="es-ES"/>
        </w:rPr>
        <w:t>F</w:t>
      </w:r>
      <w:r w:rsidR="00630B6F" w:rsidRPr="00D04822">
        <w:rPr>
          <w:rFonts w:ascii="Verdana" w:hAnsi="Verdana"/>
          <w:iCs/>
          <w:sz w:val="20"/>
          <w:szCs w:val="20"/>
          <w:lang w:val="es-ES"/>
        </w:rPr>
        <w:t xml:space="preserve">.1. </w:t>
      </w:r>
      <w:r w:rsidRPr="00D04822">
        <w:rPr>
          <w:rFonts w:ascii="Verdana" w:hAnsi="Verdana"/>
          <w:iCs/>
          <w:sz w:val="20"/>
          <w:szCs w:val="20"/>
          <w:lang w:val="es-ES"/>
        </w:rPr>
        <w:t>Sobre las denuncias por los hechos de tortura que habrían sufrido Reyes Alpízar Ortiz y Daniel García Rodríguez</w:t>
      </w:r>
      <w:bookmarkEnd w:id="78"/>
      <w:r w:rsidRPr="00D04822">
        <w:rPr>
          <w:rFonts w:ascii="Verdana" w:hAnsi="Verdana"/>
          <w:iCs/>
          <w:sz w:val="20"/>
          <w:szCs w:val="20"/>
          <w:lang w:val="es-ES"/>
        </w:rPr>
        <w:t xml:space="preserve"> </w:t>
      </w:r>
    </w:p>
    <w:p w14:paraId="5AB09810" w14:textId="77777777" w:rsidR="001C5F21" w:rsidRDefault="008A0444" w:rsidP="008A0444">
      <w:pPr>
        <w:pStyle w:val="Estilo1"/>
        <w:widowControl w:val="0"/>
        <w:tabs>
          <w:tab w:val="left" w:pos="0"/>
          <w:tab w:val="left" w:pos="567"/>
          <w:tab w:val="num" w:pos="12305"/>
        </w:tabs>
        <w:spacing w:before="240" w:after="240"/>
        <w:ind w:left="567" w:right="-6" w:firstLine="142"/>
        <w:jc w:val="both"/>
        <w:textAlignment w:val="baseline"/>
        <w:outlineLvl w:val="3"/>
        <w:rPr>
          <w:rFonts w:ascii="Verdana" w:hAnsi="Verdana"/>
          <w:iCs/>
          <w:sz w:val="20"/>
          <w:szCs w:val="20"/>
          <w:lang w:val="es-ES"/>
        </w:rPr>
      </w:pPr>
      <w:r w:rsidRPr="00D04822">
        <w:rPr>
          <w:rFonts w:ascii="Verdana" w:hAnsi="Verdana"/>
          <w:iCs/>
          <w:sz w:val="20"/>
          <w:szCs w:val="20"/>
          <w:lang w:val="es-ES"/>
        </w:rPr>
        <w:t xml:space="preserve">a) </w:t>
      </w:r>
      <w:r w:rsidR="00630B6F" w:rsidRPr="00D04822">
        <w:rPr>
          <w:rFonts w:ascii="Verdana" w:hAnsi="Verdana"/>
          <w:iCs/>
          <w:sz w:val="20"/>
          <w:szCs w:val="20"/>
          <w:lang w:val="es-ES"/>
        </w:rPr>
        <w:t xml:space="preserve">En el marco </w:t>
      </w:r>
      <w:r w:rsidR="00CF51AC" w:rsidRPr="00D04822">
        <w:rPr>
          <w:rFonts w:ascii="Verdana" w:hAnsi="Verdana"/>
          <w:iCs/>
          <w:sz w:val="20"/>
          <w:szCs w:val="20"/>
          <w:lang w:val="es-ES"/>
        </w:rPr>
        <w:t>de los</w:t>
      </w:r>
      <w:r w:rsidR="00630B6F" w:rsidRPr="00D04822">
        <w:rPr>
          <w:rFonts w:ascii="Verdana" w:hAnsi="Verdana"/>
          <w:iCs/>
          <w:sz w:val="20"/>
          <w:szCs w:val="20"/>
          <w:lang w:val="es-ES"/>
        </w:rPr>
        <w:t xml:space="preserve"> proceso</w:t>
      </w:r>
      <w:r w:rsidR="00CF51AC" w:rsidRPr="00D04822">
        <w:rPr>
          <w:rFonts w:ascii="Verdana" w:hAnsi="Verdana"/>
          <w:iCs/>
          <w:sz w:val="20"/>
          <w:szCs w:val="20"/>
          <w:lang w:val="es-ES"/>
        </w:rPr>
        <w:t>s</w:t>
      </w:r>
      <w:r w:rsidR="00630B6F" w:rsidRPr="00D04822">
        <w:rPr>
          <w:rFonts w:ascii="Verdana" w:hAnsi="Verdana"/>
          <w:iCs/>
          <w:sz w:val="20"/>
          <w:szCs w:val="20"/>
          <w:lang w:val="es-ES"/>
        </w:rPr>
        <w:t xml:space="preserve"> penal</w:t>
      </w:r>
      <w:r w:rsidR="00CF51AC" w:rsidRPr="00D04822">
        <w:rPr>
          <w:rFonts w:ascii="Verdana" w:hAnsi="Verdana"/>
          <w:iCs/>
          <w:sz w:val="20"/>
          <w:szCs w:val="20"/>
          <w:lang w:val="es-ES"/>
        </w:rPr>
        <w:t>es</w:t>
      </w:r>
    </w:p>
    <w:p w14:paraId="19008B45" w14:textId="099D80B0" w:rsidR="00630B6F" w:rsidRPr="00D04822" w:rsidRDefault="00556ED7" w:rsidP="00D04822">
      <w:pPr>
        <w:pStyle w:val="Estilo1"/>
        <w:widowControl w:val="0"/>
        <w:tabs>
          <w:tab w:val="left" w:pos="0"/>
          <w:tab w:val="left" w:pos="567"/>
        </w:tabs>
        <w:adjustRightInd w:val="0"/>
        <w:spacing w:before="240" w:after="240"/>
        <w:ind w:left="0" w:right="-6" w:firstLine="0"/>
        <w:jc w:val="both"/>
        <w:textAlignment w:val="baseline"/>
        <w:outlineLvl w:val="4"/>
        <w:rPr>
          <w:rFonts w:ascii="Verdana" w:eastAsia="Cambria" w:hAnsi="Verdana" w:cs="Cambria"/>
          <w:sz w:val="20"/>
          <w:szCs w:val="20"/>
          <w:lang w:val="es-ES_tradnl"/>
        </w:rPr>
      </w:pPr>
      <w:r>
        <w:rPr>
          <w:rFonts w:ascii="Verdana" w:eastAsia="Cambria" w:hAnsi="Verdana" w:cs="Cambria"/>
          <w:sz w:val="20"/>
          <w:szCs w:val="20"/>
          <w:lang w:val="es-ES_tradnl"/>
        </w:rPr>
        <w:tab/>
      </w:r>
      <w:r>
        <w:rPr>
          <w:rFonts w:ascii="Verdana" w:eastAsia="Cambria" w:hAnsi="Verdana" w:cs="Cambria"/>
          <w:sz w:val="20"/>
          <w:szCs w:val="20"/>
          <w:lang w:val="es-ES_tradnl"/>
        </w:rPr>
        <w:tab/>
      </w:r>
      <w:r w:rsidR="001C5F21" w:rsidRPr="00D04822">
        <w:rPr>
          <w:rFonts w:ascii="Verdana" w:eastAsia="Cambria" w:hAnsi="Verdana" w:cs="Cambria"/>
          <w:sz w:val="20"/>
          <w:szCs w:val="20"/>
          <w:lang w:val="es-ES_tradnl"/>
        </w:rPr>
        <w:t>i</w:t>
      </w:r>
      <w:r>
        <w:rPr>
          <w:rFonts w:ascii="Verdana" w:eastAsia="Cambria" w:hAnsi="Verdana" w:cs="Cambria"/>
          <w:sz w:val="20"/>
          <w:szCs w:val="20"/>
          <w:lang w:val="es-ES_tradnl"/>
        </w:rPr>
        <w:t>.</w:t>
      </w:r>
      <w:r w:rsidR="001C5F21" w:rsidRPr="00D04822">
        <w:rPr>
          <w:rFonts w:ascii="Verdana" w:eastAsia="Cambria" w:hAnsi="Verdana" w:cs="Cambria"/>
          <w:sz w:val="20"/>
          <w:szCs w:val="20"/>
          <w:lang w:val="es-ES_tradnl"/>
        </w:rPr>
        <w:t xml:space="preserve"> Las denuncias por los hechos de tortura que habría sufrido Reyes Alpízar Ortiz</w:t>
      </w:r>
      <w:r w:rsidR="003E6402" w:rsidRPr="00D04822">
        <w:rPr>
          <w:rFonts w:ascii="Verdana" w:eastAsia="Cambria" w:hAnsi="Verdana" w:cs="Cambria"/>
          <w:sz w:val="20"/>
          <w:szCs w:val="20"/>
          <w:lang w:val="es-ES_tradnl"/>
        </w:rPr>
        <w:t xml:space="preserve"> </w:t>
      </w:r>
    </w:p>
    <w:p w14:paraId="5830AB54" w14:textId="66D39BC1" w:rsidR="004817E4" w:rsidRPr="009D520B" w:rsidRDefault="004817E4" w:rsidP="00DA5CD0">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lang w:val="es-ES"/>
        </w:rPr>
        <w:t>El día 28 de noviembre de 2002, ante su primera audiencia ante el Juez Quinto Penal, Reyes Alpízar rindió declaración preparatoria y denunció haber sido sometido a maltratos con el objetivo de obtener su confesión mientras se encontraba bajo medidas de arraigo</w:t>
      </w:r>
      <w:r w:rsidRPr="610EE4FF">
        <w:rPr>
          <w:rStyle w:val="Refdenotaalpie"/>
          <w:rFonts w:ascii="Verdana" w:hAnsi="Verdana"/>
          <w:i w:val="0"/>
          <w:sz w:val="20"/>
          <w:lang w:val="es-ES"/>
        </w:rPr>
        <w:footnoteReference w:id="111"/>
      </w:r>
      <w:r w:rsidRPr="610EE4FF">
        <w:rPr>
          <w:rFonts w:ascii="Verdana" w:hAnsi="Verdana"/>
          <w:i w:val="0"/>
          <w:sz w:val="20"/>
          <w:szCs w:val="20"/>
          <w:lang w:val="es-ES"/>
        </w:rPr>
        <w:t>.</w:t>
      </w:r>
    </w:p>
    <w:p w14:paraId="2C293FFA" w14:textId="0B88280E" w:rsidR="00DA5CD0" w:rsidRPr="009D520B" w:rsidRDefault="004817E4" w:rsidP="00DA5CD0">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lang w:val="es-ES"/>
        </w:rPr>
        <w:t xml:space="preserve">Sobre lo anterior, cabe </w:t>
      </w:r>
      <w:r w:rsidR="00944945" w:rsidRPr="610EE4FF">
        <w:rPr>
          <w:rFonts w:ascii="Verdana" w:hAnsi="Verdana"/>
          <w:i w:val="0"/>
          <w:sz w:val="20"/>
          <w:szCs w:val="20"/>
          <w:lang w:val="es-ES"/>
        </w:rPr>
        <w:t>señalar</w:t>
      </w:r>
      <w:r w:rsidRPr="610EE4FF">
        <w:rPr>
          <w:rFonts w:ascii="Verdana" w:hAnsi="Verdana"/>
          <w:i w:val="0"/>
          <w:sz w:val="20"/>
          <w:szCs w:val="20"/>
          <w:lang w:val="es-ES"/>
        </w:rPr>
        <w:t xml:space="preserve"> que e</w:t>
      </w:r>
      <w:r w:rsidR="00DA5CD0" w:rsidRPr="610EE4FF">
        <w:rPr>
          <w:rFonts w:ascii="Verdana" w:hAnsi="Verdana"/>
          <w:i w:val="0"/>
          <w:sz w:val="20"/>
          <w:szCs w:val="20"/>
          <w:lang w:val="es-ES"/>
        </w:rPr>
        <w:t>ntre el 25 de octubre y el 27 de noviembre de 2002, Reyes Alpízar fue sometido a varios exámenes médicos</w:t>
      </w:r>
      <w:r w:rsidR="00DA5CD0" w:rsidRPr="610EE4FF">
        <w:rPr>
          <w:rStyle w:val="Refdenotaalpie"/>
          <w:rFonts w:ascii="Verdana" w:hAnsi="Verdana"/>
          <w:i w:val="0"/>
          <w:sz w:val="20"/>
          <w:lang w:val="es-ES"/>
        </w:rPr>
        <w:footnoteReference w:id="112"/>
      </w:r>
      <w:r w:rsidR="00DA5CD0" w:rsidRPr="610EE4FF">
        <w:rPr>
          <w:rFonts w:ascii="Verdana" w:hAnsi="Verdana"/>
          <w:i w:val="0"/>
          <w:sz w:val="20"/>
          <w:szCs w:val="20"/>
          <w:lang w:val="es-ES"/>
        </w:rPr>
        <w:t>, todos practicados por legistas adscritos a la Subprocuraduría de Tlalnepantla</w:t>
      </w:r>
      <w:r w:rsidR="00DA5CD0" w:rsidRPr="610EE4FF">
        <w:rPr>
          <w:rStyle w:val="Refdenotaalpie"/>
          <w:rFonts w:ascii="Verdana" w:hAnsi="Verdana"/>
          <w:i w:val="0"/>
          <w:sz w:val="20"/>
          <w:lang w:val="es-ES"/>
        </w:rPr>
        <w:footnoteReference w:id="113"/>
      </w:r>
      <w:r w:rsidR="00DA5CD0" w:rsidRPr="610EE4FF">
        <w:rPr>
          <w:rFonts w:ascii="Verdana" w:hAnsi="Verdana"/>
          <w:i w:val="0"/>
          <w:sz w:val="20"/>
          <w:szCs w:val="20"/>
          <w:lang w:val="es-ES"/>
        </w:rPr>
        <w:t>. El primer examen del 25 de octubre a las 22:29h describe una serie de lesiones y hematomas</w:t>
      </w:r>
      <w:r w:rsidR="00DA5CD0" w:rsidRPr="610EE4FF">
        <w:rPr>
          <w:rStyle w:val="Refdenotaalpie"/>
          <w:rFonts w:ascii="Verdana" w:hAnsi="Verdana"/>
          <w:i w:val="0"/>
          <w:sz w:val="20"/>
          <w:lang w:val="es-ES"/>
        </w:rPr>
        <w:footnoteReference w:id="114"/>
      </w:r>
      <w:r w:rsidR="00DA5CD0" w:rsidRPr="610EE4FF">
        <w:rPr>
          <w:rFonts w:ascii="Verdana" w:hAnsi="Verdana"/>
          <w:i w:val="0"/>
          <w:sz w:val="20"/>
          <w:szCs w:val="20"/>
          <w:lang w:val="es-ES"/>
        </w:rPr>
        <w:t xml:space="preserve"> “que por su naturaleza no ponen en peligro la vida, tardan en sanar menos de quince días, no ameritan hospital”. Al día siguiente se constatan las mismas lesiones</w:t>
      </w:r>
      <w:r w:rsidR="00DA5CD0" w:rsidRPr="610EE4FF">
        <w:rPr>
          <w:rStyle w:val="Refdenotaalpie"/>
          <w:rFonts w:ascii="Verdana" w:hAnsi="Verdana"/>
          <w:i w:val="0"/>
          <w:sz w:val="20"/>
          <w:lang w:val="es-ES"/>
        </w:rPr>
        <w:footnoteReference w:id="115"/>
      </w:r>
      <w:r w:rsidR="00DA5CD0" w:rsidRPr="610EE4FF">
        <w:rPr>
          <w:rFonts w:ascii="Verdana" w:hAnsi="Verdana"/>
          <w:i w:val="0"/>
          <w:sz w:val="20"/>
          <w:szCs w:val="20"/>
          <w:lang w:val="es-ES"/>
        </w:rPr>
        <w:t>. El 28 de octubre es sometido a tres exámenes</w:t>
      </w:r>
      <w:r w:rsidR="00DA5CD0" w:rsidRPr="610EE4FF">
        <w:rPr>
          <w:rStyle w:val="Refdenotaalpie"/>
          <w:rFonts w:ascii="Verdana" w:hAnsi="Verdana"/>
          <w:i w:val="0"/>
          <w:sz w:val="20"/>
          <w:lang w:val="es-ES"/>
        </w:rPr>
        <w:footnoteReference w:id="116"/>
      </w:r>
      <w:r w:rsidR="00DA5CD0" w:rsidRPr="610EE4FF">
        <w:rPr>
          <w:rFonts w:ascii="Verdana" w:hAnsi="Verdana"/>
          <w:i w:val="0"/>
          <w:sz w:val="20"/>
          <w:szCs w:val="20"/>
          <w:lang w:val="es-ES"/>
        </w:rPr>
        <w:t xml:space="preserve">. El realizado a las 17:20h o 17:35h, </w:t>
      </w:r>
      <w:r w:rsidR="00DA5CD0" w:rsidRPr="610EE4FF">
        <w:rPr>
          <w:rFonts w:ascii="Verdana" w:hAnsi="Verdana"/>
          <w:i w:val="0"/>
          <w:sz w:val="20"/>
          <w:szCs w:val="20"/>
          <w:lang w:val="es-ES"/>
        </w:rPr>
        <w:lastRenderedPageBreak/>
        <w:t>constata diversas lesiones “no recientes” pero incluye otras no registradas en exámenes anteriores</w:t>
      </w:r>
      <w:r w:rsidR="00DA5CD0" w:rsidRPr="610EE4FF">
        <w:rPr>
          <w:rStyle w:val="Refdenotaalpie"/>
          <w:rFonts w:ascii="Verdana" w:hAnsi="Verdana"/>
          <w:i w:val="0"/>
          <w:sz w:val="20"/>
          <w:lang w:val="es-ES"/>
        </w:rPr>
        <w:footnoteReference w:id="117"/>
      </w:r>
      <w:r w:rsidR="00DA5CD0" w:rsidRPr="610EE4FF">
        <w:rPr>
          <w:rFonts w:ascii="Verdana" w:hAnsi="Verdana"/>
          <w:i w:val="0"/>
          <w:sz w:val="20"/>
          <w:szCs w:val="20"/>
          <w:lang w:val="es-ES"/>
        </w:rPr>
        <w:t>. Sin embargo, el tercer examen de ese mismo día a las 22:37h, practicado por la misma profesional que realizó el del 25 de octubre, destaca en reiteradas oportunidades que las lesiones que refiere son no recientes</w:t>
      </w:r>
      <w:r w:rsidR="00DA5CD0" w:rsidRPr="610EE4FF">
        <w:rPr>
          <w:rStyle w:val="Refdenotaalpie"/>
          <w:rFonts w:ascii="Verdana" w:hAnsi="Verdana"/>
          <w:i w:val="0"/>
          <w:sz w:val="20"/>
          <w:lang w:val="es-ES"/>
        </w:rPr>
        <w:footnoteReference w:id="118"/>
      </w:r>
      <w:r w:rsidR="00DA5CD0" w:rsidRPr="610EE4FF">
        <w:rPr>
          <w:rFonts w:ascii="Verdana" w:hAnsi="Verdana"/>
          <w:i w:val="0"/>
          <w:sz w:val="20"/>
          <w:szCs w:val="20"/>
          <w:lang w:val="es-ES"/>
        </w:rPr>
        <w:t>. El 30 de octubre también fue sometido a dos exámenes, y en el primero de ellos también se describen lesiones no referidas anteriormente</w:t>
      </w:r>
      <w:r w:rsidR="00DA5CD0" w:rsidRPr="610EE4FF">
        <w:rPr>
          <w:rStyle w:val="Refdenotaalpie"/>
          <w:rFonts w:ascii="Verdana" w:hAnsi="Verdana"/>
          <w:i w:val="0"/>
          <w:sz w:val="20"/>
          <w:lang w:val="es-ES"/>
        </w:rPr>
        <w:footnoteReference w:id="119"/>
      </w:r>
      <w:r w:rsidR="00DA5CD0" w:rsidRPr="610EE4FF">
        <w:rPr>
          <w:rFonts w:ascii="Verdana" w:hAnsi="Verdana"/>
          <w:i w:val="0"/>
          <w:sz w:val="20"/>
          <w:szCs w:val="20"/>
          <w:lang w:val="es-ES"/>
        </w:rPr>
        <w:t xml:space="preserve">. </w:t>
      </w:r>
    </w:p>
    <w:p w14:paraId="550394B5" w14:textId="768F8EA3" w:rsidR="00D46E11" w:rsidRPr="009D520B" w:rsidRDefault="00D46E11" w:rsidP="00D46E11">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009D520B">
        <w:rPr>
          <w:rFonts w:ascii="Verdana" w:hAnsi="Verdana"/>
          <w:i w:val="0"/>
          <w:sz w:val="20"/>
          <w:szCs w:val="20"/>
          <w:lang w:val="es-ES_tradnl"/>
        </w:rPr>
        <w:t>Al ser transferido al penal, Reyes Alpízar fue examinado en el Servicio Médico del Centro de Detención, el 28 de noviembre y 4 de diciembre de 2002, concluyendo que, si bien hacía referencia a dolores en el tórax anterior, no tenía “lesiones corporales aparentes” ni presentaba “huellas de lesiones externas”</w:t>
      </w:r>
      <w:r w:rsidRPr="009D520B">
        <w:rPr>
          <w:rStyle w:val="Refdenotaalpie"/>
          <w:rFonts w:ascii="Verdana" w:hAnsi="Verdana"/>
          <w:i w:val="0"/>
          <w:sz w:val="20"/>
          <w:lang w:val="es-ES_tradnl"/>
        </w:rPr>
        <w:footnoteReference w:id="120"/>
      </w:r>
      <w:r w:rsidRPr="009D520B">
        <w:rPr>
          <w:rFonts w:ascii="Verdana" w:hAnsi="Verdana"/>
          <w:i w:val="0"/>
          <w:sz w:val="20"/>
          <w:szCs w:val="20"/>
          <w:lang w:val="es-ES_tradnl"/>
        </w:rPr>
        <w:t>.</w:t>
      </w:r>
    </w:p>
    <w:p w14:paraId="44EB8E0A" w14:textId="2A8A9082" w:rsidR="00630B6F" w:rsidRPr="009D520B" w:rsidRDefault="001B563F"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610EE4FF">
        <w:rPr>
          <w:rFonts w:ascii="Verdana" w:hAnsi="Verdana"/>
          <w:i w:val="0"/>
          <w:sz w:val="20"/>
          <w:szCs w:val="20"/>
          <w:lang w:val="es-ES"/>
        </w:rPr>
        <w:t xml:space="preserve">Además de lo denunciado en su primera audiencia ante el Juez Quinto Penal, durante la presentación de pruebas, Reyes </w:t>
      </w:r>
      <w:r w:rsidR="007F4A7E" w:rsidRPr="610EE4FF">
        <w:rPr>
          <w:rFonts w:ascii="Verdana" w:hAnsi="Verdana"/>
          <w:i w:val="0"/>
          <w:sz w:val="20"/>
          <w:szCs w:val="20"/>
          <w:lang w:val="es-ES"/>
        </w:rPr>
        <w:t>Alpízar</w:t>
      </w:r>
      <w:r w:rsidRPr="610EE4FF">
        <w:rPr>
          <w:rFonts w:ascii="Verdana" w:hAnsi="Verdana"/>
          <w:i w:val="0"/>
          <w:sz w:val="20"/>
          <w:szCs w:val="20"/>
          <w:lang w:val="es-ES"/>
        </w:rPr>
        <w:t xml:space="preserve"> presentó un informe de 7 de noviembre de 2007</w:t>
      </w:r>
      <w:r w:rsidR="00630B6F" w:rsidRPr="610EE4FF">
        <w:rPr>
          <w:rFonts w:ascii="Verdana" w:hAnsi="Verdana"/>
          <w:i w:val="0"/>
          <w:sz w:val="20"/>
          <w:szCs w:val="20"/>
          <w:lang w:val="es-ES"/>
        </w:rPr>
        <w:t xml:space="preserve">, del perito Dr. </w:t>
      </w:r>
      <w:r w:rsidR="004F6525" w:rsidRPr="610EE4FF">
        <w:rPr>
          <w:rFonts w:ascii="Verdana" w:hAnsi="Verdana"/>
          <w:i w:val="0"/>
          <w:sz w:val="20"/>
          <w:szCs w:val="20"/>
          <w:lang w:val="es-ES"/>
        </w:rPr>
        <w:t>A.R.L</w:t>
      </w:r>
      <w:r w:rsidR="00630B6F" w:rsidRPr="610EE4FF">
        <w:rPr>
          <w:rFonts w:ascii="Verdana" w:hAnsi="Verdana"/>
          <w:i w:val="0"/>
          <w:sz w:val="20"/>
          <w:szCs w:val="20"/>
          <w:lang w:val="es-ES"/>
        </w:rPr>
        <w:t>, quien concluyó que había sido víctima de tortura</w:t>
      </w:r>
      <w:r w:rsidRPr="610EE4FF">
        <w:rPr>
          <w:rFonts w:ascii="Verdana" w:hAnsi="Verdana"/>
          <w:i w:val="0"/>
          <w:sz w:val="20"/>
          <w:szCs w:val="20"/>
          <w:lang w:val="es-ES"/>
        </w:rPr>
        <w:t xml:space="preserve"> y existía “una firme relación de las evidencias físicas y psicológicas que se correlacionan con lo referido por el examinado, que demuestran que, las lesiones que presenta Reyes </w:t>
      </w:r>
      <w:r w:rsidR="007F4A7E" w:rsidRPr="610EE4FF">
        <w:rPr>
          <w:rFonts w:ascii="Verdana" w:hAnsi="Verdana"/>
          <w:i w:val="0"/>
          <w:sz w:val="20"/>
          <w:szCs w:val="20"/>
          <w:lang w:val="es-ES"/>
        </w:rPr>
        <w:t>Alpízar</w:t>
      </w:r>
      <w:r w:rsidRPr="610EE4FF">
        <w:rPr>
          <w:rFonts w:ascii="Verdana" w:hAnsi="Verdana"/>
          <w:i w:val="0"/>
          <w:sz w:val="20"/>
          <w:szCs w:val="20"/>
          <w:lang w:val="es-ES"/>
        </w:rPr>
        <w:t xml:space="preserve"> Ortiz fueron causadas por los traumatismos descritos por él y que fue objeto de severas presiones psicológicas”</w:t>
      </w:r>
      <w:r w:rsidR="00630B6F" w:rsidRPr="610EE4FF">
        <w:rPr>
          <w:rFonts w:ascii="Verdana" w:hAnsi="Verdana"/>
          <w:i w:val="0"/>
          <w:sz w:val="20"/>
          <w:szCs w:val="20"/>
          <w:lang w:val="es-ES"/>
        </w:rPr>
        <w:t>.</w:t>
      </w:r>
      <w:r w:rsidRPr="610EE4FF">
        <w:rPr>
          <w:rFonts w:ascii="Verdana" w:hAnsi="Verdana"/>
          <w:i w:val="0"/>
          <w:sz w:val="20"/>
          <w:szCs w:val="20"/>
          <w:lang w:val="es-ES"/>
        </w:rPr>
        <w:t xml:space="preserve"> En cuanto a los exámenes médicos practicados durante el arresto y arraigo, el perito nota que existe una serie de lesiones que se debieron presentar y que no se consignaron o fueron minimizadas, y cuyas secuelas persisten, y refiere irregularidades en los informes, incluyendo un ingreso hospitalario de urgencia el 29 de octubre de 2002, no registrado, y referencias a que Reyes </w:t>
      </w:r>
      <w:r w:rsidR="007F4A7E" w:rsidRPr="610EE4FF">
        <w:rPr>
          <w:rFonts w:ascii="Verdana" w:hAnsi="Verdana"/>
          <w:i w:val="0"/>
          <w:sz w:val="20"/>
          <w:szCs w:val="20"/>
          <w:lang w:val="es-ES"/>
        </w:rPr>
        <w:t>Alpízar</w:t>
      </w:r>
      <w:r w:rsidRPr="610EE4FF">
        <w:rPr>
          <w:rFonts w:ascii="Verdana" w:hAnsi="Verdana"/>
          <w:i w:val="0"/>
          <w:sz w:val="20"/>
          <w:szCs w:val="20"/>
          <w:lang w:val="es-ES"/>
        </w:rPr>
        <w:t xml:space="preserve"> sería diabético controlado, en circunstancias que no padece diabetes</w:t>
      </w:r>
      <w:r w:rsidRPr="610EE4FF">
        <w:rPr>
          <w:rStyle w:val="Refdenotaalpie"/>
          <w:rFonts w:ascii="Verdana" w:hAnsi="Verdana"/>
          <w:i w:val="0"/>
          <w:sz w:val="20"/>
          <w:lang w:val="es-ES"/>
        </w:rPr>
        <w:footnoteReference w:id="121"/>
      </w:r>
      <w:r w:rsidRPr="610EE4FF">
        <w:rPr>
          <w:rFonts w:ascii="Verdana" w:hAnsi="Verdana"/>
          <w:i w:val="0"/>
          <w:sz w:val="20"/>
          <w:szCs w:val="20"/>
          <w:lang w:val="es-ES"/>
        </w:rPr>
        <w:t>.</w:t>
      </w:r>
    </w:p>
    <w:p w14:paraId="1BB4E369" w14:textId="4A7CC04A" w:rsidR="00630B6F" w:rsidRPr="009D520B" w:rsidRDefault="00630B6F"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2A6C35C3">
        <w:rPr>
          <w:rFonts w:ascii="Verdana" w:hAnsi="Verdana"/>
          <w:i w:val="0"/>
          <w:sz w:val="20"/>
          <w:szCs w:val="20"/>
          <w:lang w:val="es-ES"/>
        </w:rPr>
        <w:t>La PGJEM objetó dicha pericia, ofreciendo prueba adicional</w:t>
      </w:r>
      <w:r w:rsidRPr="2A6C35C3">
        <w:rPr>
          <w:rStyle w:val="Refdenotaalpie"/>
          <w:rFonts w:ascii="Verdana" w:hAnsi="Verdana"/>
          <w:i w:val="0"/>
          <w:sz w:val="20"/>
          <w:lang w:val="es-ES"/>
        </w:rPr>
        <w:footnoteReference w:id="122"/>
      </w:r>
      <w:r w:rsidRPr="2A6C35C3">
        <w:rPr>
          <w:rFonts w:ascii="Verdana" w:hAnsi="Verdana"/>
          <w:i w:val="0"/>
          <w:sz w:val="20"/>
          <w:szCs w:val="20"/>
          <w:lang w:val="es-ES"/>
        </w:rPr>
        <w:t>, las que se presentaron el 8 de mayo de 2008</w:t>
      </w:r>
      <w:r w:rsidRPr="2A6C35C3">
        <w:rPr>
          <w:rStyle w:val="Refdenotaalpie"/>
          <w:rFonts w:ascii="Verdana" w:hAnsi="Verdana"/>
          <w:i w:val="0"/>
          <w:sz w:val="20"/>
          <w:lang w:val="es-ES"/>
        </w:rPr>
        <w:footnoteReference w:id="123"/>
      </w:r>
      <w:r w:rsidRPr="2A6C35C3">
        <w:rPr>
          <w:rFonts w:ascii="Verdana" w:hAnsi="Verdana"/>
          <w:i w:val="0"/>
          <w:sz w:val="20"/>
          <w:szCs w:val="20"/>
          <w:lang w:val="es-ES"/>
        </w:rPr>
        <w:t xml:space="preserve">. </w:t>
      </w:r>
      <w:r w:rsidR="001B563F" w:rsidRPr="2A6C35C3">
        <w:rPr>
          <w:rFonts w:ascii="Verdana" w:hAnsi="Verdana"/>
          <w:i w:val="0"/>
          <w:sz w:val="20"/>
          <w:szCs w:val="20"/>
          <w:lang w:val="es-ES"/>
        </w:rPr>
        <w:t xml:space="preserve">En su informe, </w:t>
      </w:r>
      <w:r w:rsidR="001C5F21">
        <w:rPr>
          <w:rFonts w:ascii="Verdana" w:hAnsi="Verdana"/>
          <w:i w:val="0"/>
          <w:sz w:val="20"/>
          <w:szCs w:val="20"/>
          <w:lang w:val="es-ES"/>
        </w:rPr>
        <w:t>la</w:t>
      </w:r>
      <w:r w:rsidR="001B563F" w:rsidRPr="2A6C35C3">
        <w:rPr>
          <w:rFonts w:ascii="Verdana" w:hAnsi="Verdana"/>
          <w:i w:val="0"/>
          <w:sz w:val="20"/>
          <w:szCs w:val="20"/>
          <w:lang w:val="es-ES"/>
        </w:rPr>
        <w:t xml:space="preserve"> </w:t>
      </w:r>
      <w:r w:rsidR="00361981" w:rsidRPr="2A6C35C3">
        <w:rPr>
          <w:rFonts w:ascii="Verdana" w:hAnsi="Verdana"/>
          <w:i w:val="0"/>
          <w:sz w:val="20"/>
          <w:szCs w:val="20"/>
          <w:lang w:val="es-ES"/>
        </w:rPr>
        <w:t>perita médica</w:t>
      </w:r>
      <w:r w:rsidR="001B563F" w:rsidRPr="2A6C35C3">
        <w:rPr>
          <w:rFonts w:ascii="Verdana" w:hAnsi="Verdana"/>
          <w:i w:val="0"/>
          <w:sz w:val="20"/>
          <w:szCs w:val="20"/>
          <w:lang w:val="es-ES"/>
        </w:rPr>
        <w:t xml:space="preserve"> de la Subprocuraduría de Tlalnepantla, que había inspeccionado a Reyes </w:t>
      </w:r>
      <w:r w:rsidR="007F4A7E" w:rsidRPr="2A6C35C3">
        <w:rPr>
          <w:rFonts w:ascii="Verdana" w:hAnsi="Verdana"/>
          <w:i w:val="0"/>
          <w:sz w:val="20"/>
          <w:szCs w:val="20"/>
          <w:lang w:val="es-ES"/>
        </w:rPr>
        <w:t>Alpízar</w:t>
      </w:r>
      <w:r w:rsidR="001B563F" w:rsidRPr="2A6C35C3">
        <w:rPr>
          <w:rFonts w:ascii="Verdana" w:hAnsi="Verdana"/>
          <w:i w:val="0"/>
          <w:sz w:val="20"/>
          <w:szCs w:val="20"/>
          <w:lang w:val="es-ES"/>
        </w:rPr>
        <w:t xml:space="preserve"> en su arraigo, contrastó las alegaciones con certificados médicos emitidos durante el arresto y arraigo y un examen físico de febrero del año 2008</w:t>
      </w:r>
      <w:r w:rsidR="001B563F" w:rsidRPr="2A6C35C3">
        <w:rPr>
          <w:rStyle w:val="Refdenotaalpie"/>
          <w:rFonts w:ascii="Verdana" w:hAnsi="Verdana"/>
          <w:i w:val="0"/>
          <w:sz w:val="20"/>
          <w:lang w:val="es-ES"/>
        </w:rPr>
        <w:footnoteReference w:id="124"/>
      </w:r>
      <w:r w:rsidR="001B563F" w:rsidRPr="2A6C35C3">
        <w:rPr>
          <w:rFonts w:ascii="Verdana" w:hAnsi="Verdana"/>
          <w:i w:val="0"/>
          <w:sz w:val="20"/>
          <w:szCs w:val="20"/>
          <w:lang w:val="es-ES"/>
        </w:rPr>
        <w:t xml:space="preserve">. </w:t>
      </w:r>
      <w:r w:rsidR="008F233B" w:rsidRPr="2A6C35C3">
        <w:rPr>
          <w:rFonts w:ascii="Verdana" w:hAnsi="Verdana"/>
          <w:i w:val="0"/>
          <w:sz w:val="20"/>
          <w:szCs w:val="20"/>
          <w:lang w:val="es-ES"/>
        </w:rPr>
        <w:t xml:space="preserve">Indicó que Reyes </w:t>
      </w:r>
      <w:r w:rsidR="007F4A7E" w:rsidRPr="2A6C35C3">
        <w:rPr>
          <w:rFonts w:ascii="Verdana" w:hAnsi="Verdana"/>
          <w:i w:val="0"/>
          <w:sz w:val="20"/>
          <w:szCs w:val="20"/>
          <w:lang w:val="es-ES"/>
        </w:rPr>
        <w:t>Alpízar</w:t>
      </w:r>
      <w:r w:rsidR="008F233B" w:rsidRPr="2A6C35C3">
        <w:rPr>
          <w:rFonts w:ascii="Verdana" w:hAnsi="Verdana"/>
          <w:i w:val="0"/>
          <w:sz w:val="20"/>
          <w:szCs w:val="20"/>
          <w:lang w:val="es-ES"/>
        </w:rPr>
        <w:t xml:space="preserve"> contaba con lesiones “desde el momento de su detención y durante su arraigo. </w:t>
      </w:r>
      <w:r w:rsidR="008F233B" w:rsidRPr="2A6C35C3">
        <w:rPr>
          <w:rFonts w:ascii="Verdana" w:hAnsi="Verdana"/>
          <w:i w:val="0"/>
          <w:sz w:val="20"/>
          <w:szCs w:val="20"/>
          <w:lang w:val="es-ES"/>
        </w:rPr>
        <w:lastRenderedPageBreak/>
        <w:t>Desapareciendo dichas lesiones a partir del siete de noviembre”</w:t>
      </w:r>
      <w:r w:rsidR="008F233B" w:rsidRPr="2A6C35C3">
        <w:rPr>
          <w:rStyle w:val="Refdenotaalpie"/>
          <w:rFonts w:ascii="Verdana" w:hAnsi="Verdana"/>
          <w:i w:val="0"/>
          <w:sz w:val="20"/>
          <w:lang w:val="es-ES"/>
        </w:rPr>
        <w:footnoteReference w:id="125"/>
      </w:r>
      <w:r w:rsidR="008F233B" w:rsidRPr="2A6C35C3">
        <w:rPr>
          <w:rFonts w:ascii="Verdana" w:hAnsi="Verdana"/>
          <w:i w:val="0"/>
          <w:sz w:val="20"/>
          <w:szCs w:val="20"/>
          <w:lang w:val="es-ES"/>
        </w:rPr>
        <w:t xml:space="preserve">. Por su parte, las psicólogas </w:t>
      </w:r>
      <w:r w:rsidR="001C5F21">
        <w:rPr>
          <w:rFonts w:ascii="Verdana" w:hAnsi="Verdana"/>
          <w:i w:val="0"/>
          <w:sz w:val="20"/>
          <w:szCs w:val="20"/>
          <w:lang w:val="es-ES"/>
        </w:rPr>
        <w:t>A.A.M.</w:t>
      </w:r>
      <w:r w:rsidR="008F233B" w:rsidRPr="2A6C35C3">
        <w:rPr>
          <w:rFonts w:ascii="Verdana" w:hAnsi="Verdana"/>
          <w:i w:val="0"/>
          <w:sz w:val="20"/>
          <w:szCs w:val="20"/>
          <w:lang w:val="es-ES"/>
        </w:rPr>
        <w:t xml:space="preserve"> y </w:t>
      </w:r>
      <w:r w:rsidR="001C5F21">
        <w:rPr>
          <w:rFonts w:ascii="Verdana" w:hAnsi="Verdana"/>
          <w:i w:val="0"/>
          <w:sz w:val="20"/>
          <w:szCs w:val="20"/>
          <w:lang w:val="es-ES"/>
        </w:rPr>
        <w:t>M.C.M.R.</w:t>
      </w:r>
      <w:r w:rsidR="008F233B" w:rsidRPr="2A6C35C3">
        <w:rPr>
          <w:rFonts w:ascii="Verdana" w:hAnsi="Verdana"/>
          <w:i w:val="0"/>
          <w:sz w:val="20"/>
          <w:szCs w:val="20"/>
          <w:lang w:val="es-ES"/>
        </w:rPr>
        <w:t xml:space="preserve">, de la PGJEM, concluyeron que “no se detectaron en Reyes </w:t>
      </w:r>
      <w:r w:rsidR="007F4A7E" w:rsidRPr="2A6C35C3">
        <w:rPr>
          <w:rFonts w:ascii="Verdana" w:hAnsi="Verdana"/>
          <w:i w:val="0"/>
          <w:sz w:val="20"/>
          <w:szCs w:val="20"/>
          <w:lang w:val="es-ES"/>
        </w:rPr>
        <w:t>Alpízar</w:t>
      </w:r>
      <w:r w:rsidR="008F233B" w:rsidRPr="2A6C35C3">
        <w:rPr>
          <w:rFonts w:ascii="Verdana" w:hAnsi="Verdana"/>
          <w:i w:val="0"/>
          <w:sz w:val="20"/>
          <w:szCs w:val="20"/>
          <w:lang w:val="es-ES"/>
        </w:rPr>
        <w:t xml:space="preserve"> Ortiz signos o síntomas de estrés postraumático o depresión, o de alguna alteración psicológica característica de los casos de tortura”</w:t>
      </w:r>
      <w:r w:rsidR="008F233B" w:rsidRPr="2A6C35C3">
        <w:rPr>
          <w:rStyle w:val="Refdenotaalpie"/>
          <w:rFonts w:ascii="Verdana" w:hAnsi="Verdana"/>
          <w:i w:val="0"/>
          <w:sz w:val="20"/>
          <w:lang w:val="es-ES"/>
        </w:rPr>
        <w:footnoteReference w:id="126"/>
      </w:r>
      <w:r w:rsidR="008F233B" w:rsidRPr="2A6C35C3">
        <w:rPr>
          <w:rFonts w:ascii="Verdana" w:hAnsi="Verdana"/>
          <w:i w:val="0"/>
          <w:sz w:val="20"/>
          <w:szCs w:val="20"/>
          <w:lang w:val="es-ES"/>
        </w:rPr>
        <w:t xml:space="preserve">. </w:t>
      </w:r>
      <w:r w:rsidRPr="2A6C35C3">
        <w:rPr>
          <w:rFonts w:ascii="Verdana" w:hAnsi="Verdana"/>
          <w:i w:val="0"/>
          <w:sz w:val="20"/>
          <w:szCs w:val="20"/>
          <w:lang w:val="es-ES"/>
        </w:rPr>
        <w:t>En febrero y marzo de 2008, Reyes Alpízar denunció irregularidades en las pericias de la PGJEM</w:t>
      </w:r>
      <w:r w:rsidR="008F233B" w:rsidRPr="2A6C35C3">
        <w:rPr>
          <w:rStyle w:val="Refdenotaalpie"/>
          <w:rFonts w:ascii="Verdana" w:hAnsi="Verdana"/>
          <w:i w:val="0"/>
          <w:sz w:val="20"/>
          <w:lang w:val="es-ES"/>
        </w:rPr>
        <w:footnoteReference w:id="127"/>
      </w:r>
      <w:r w:rsidR="008F233B" w:rsidRPr="2A6C35C3">
        <w:rPr>
          <w:rFonts w:ascii="Verdana" w:hAnsi="Verdana"/>
          <w:i w:val="0"/>
          <w:sz w:val="20"/>
          <w:szCs w:val="20"/>
          <w:lang w:val="es-ES"/>
        </w:rPr>
        <w:t xml:space="preserve"> y maltrato de las psicólogas</w:t>
      </w:r>
      <w:r w:rsidR="00085C3D" w:rsidRPr="2A6C35C3">
        <w:rPr>
          <w:rStyle w:val="Refdenotaalpie"/>
          <w:rFonts w:ascii="Verdana" w:hAnsi="Verdana"/>
          <w:i w:val="0"/>
          <w:sz w:val="20"/>
          <w:lang w:val="es-ES"/>
        </w:rPr>
        <w:footnoteReference w:id="128"/>
      </w:r>
      <w:r w:rsidRPr="2A6C35C3">
        <w:rPr>
          <w:rFonts w:ascii="Verdana" w:hAnsi="Verdana"/>
          <w:i w:val="0"/>
          <w:sz w:val="20"/>
          <w:szCs w:val="20"/>
          <w:lang w:val="es-ES"/>
        </w:rPr>
        <w:t>. El Juez tuvo “por hechas las manifestaciones”, para ser consideradas “en su momento procesal oportuno”.</w:t>
      </w:r>
      <w:r w:rsidRPr="2A6C35C3">
        <w:rPr>
          <w:rFonts w:ascii="Verdana" w:hAnsi="Verdana"/>
          <w:i w:val="0"/>
          <w:sz w:val="20"/>
          <w:szCs w:val="20"/>
          <w:lang w:val="es-VE"/>
        </w:rPr>
        <w:t xml:space="preserve"> </w:t>
      </w:r>
      <w:r w:rsidRPr="2A6C35C3">
        <w:rPr>
          <w:rFonts w:ascii="Verdana" w:hAnsi="Verdana"/>
          <w:i w:val="0"/>
          <w:sz w:val="20"/>
          <w:szCs w:val="20"/>
          <w:lang w:val="es-ES"/>
        </w:rPr>
        <w:t>El 5 de junio de 2008, el Tribunal ordenó la designación de peritos terceros en discordia</w:t>
      </w:r>
      <w:r w:rsidRPr="2A6C35C3">
        <w:rPr>
          <w:rStyle w:val="Refdenotaalpie"/>
          <w:rFonts w:ascii="Verdana" w:hAnsi="Verdana"/>
          <w:i w:val="0"/>
          <w:sz w:val="20"/>
          <w:lang w:val="es-ES"/>
        </w:rPr>
        <w:footnoteReference w:id="129"/>
      </w:r>
      <w:r w:rsidRPr="2A6C35C3">
        <w:rPr>
          <w:rFonts w:ascii="Verdana" w:hAnsi="Verdana"/>
          <w:i w:val="0"/>
          <w:sz w:val="20"/>
          <w:szCs w:val="20"/>
          <w:lang w:val="es-ES"/>
        </w:rPr>
        <w:t xml:space="preserve">. </w:t>
      </w:r>
    </w:p>
    <w:p w14:paraId="6E1B1254" w14:textId="6208DBE3" w:rsidR="00085C3D" w:rsidRPr="009D520B" w:rsidRDefault="00085C3D" w:rsidP="2A6C35C3">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ES"/>
        </w:rPr>
      </w:pPr>
      <w:r w:rsidRPr="2A6C35C3">
        <w:rPr>
          <w:rFonts w:ascii="Verdana" w:hAnsi="Verdana"/>
          <w:i w:val="0"/>
          <w:sz w:val="20"/>
          <w:szCs w:val="20"/>
          <w:lang w:val="es-ES"/>
        </w:rPr>
        <w:t xml:space="preserve">La </w:t>
      </w:r>
      <w:r w:rsidR="0071409E" w:rsidRPr="2A6C35C3">
        <w:rPr>
          <w:rFonts w:ascii="Verdana" w:hAnsi="Verdana"/>
          <w:i w:val="0"/>
          <w:sz w:val="20"/>
          <w:szCs w:val="20"/>
          <w:lang w:val="es-ES"/>
        </w:rPr>
        <w:t>Comisión de Derechos Humanos del Estado de México (en adelante también “</w:t>
      </w:r>
      <w:r w:rsidRPr="2A6C35C3">
        <w:rPr>
          <w:rFonts w:ascii="Verdana" w:hAnsi="Verdana"/>
          <w:i w:val="0"/>
          <w:sz w:val="20"/>
          <w:szCs w:val="20"/>
          <w:lang w:val="es-ES"/>
        </w:rPr>
        <w:t>CODHEM</w:t>
      </w:r>
      <w:r w:rsidR="0071409E" w:rsidRPr="2A6C35C3">
        <w:rPr>
          <w:rFonts w:ascii="Verdana" w:hAnsi="Verdana"/>
          <w:i w:val="0"/>
          <w:sz w:val="20"/>
          <w:szCs w:val="20"/>
          <w:lang w:val="es-ES"/>
        </w:rPr>
        <w:t>”)</w:t>
      </w:r>
      <w:r w:rsidRPr="2A6C35C3">
        <w:rPr>
          <w:rFonts w:ascii="Verdana" w:hAnsi="Verdana"/>
          <w:i w:val="0"/>
          <w:sz w:val="20"/>
          <w:szCs w:val="20"/>
          <w:lang w:val="es-ES"/>
        </w:rPr>
        <w:t xml:space="preserve"> </w:t>
      </w:r>
      <w:r w:rsidR="00583A91" w:rsidRPr="2A6C35C3">
        <w:rPr>
          <w:rFonts w:ascii="Verdana" w:hAnsi="Verdana"/>
          <w:i w:val="0"/>
          <w:sz w:val="20"/>
          <w:szCs w:val="20"/>
          <w:lang w:val="es-ES"/>
        </w:rPr>
        <w:t xml:space="preserve">había </w:t>
      </w:r>
      <w:r w:rsidRPr="2A6C35C3">
        <w:rPr>
          <w:rFonts w:ascii="Verdana" w:hAnsi="Verdana"/>
          <w:i w:val="0"/>
          <w:sz w:val="20"/>
          <w:szCs w:val="20"/>
          <w:lang w:val="es-ES"/>
        </w:rPr>
        <w:t>practic</w:t>
      </w:r>
      <w:r w:rsidR="00583A91" w:rsidRPr="2A6C35C3">
        <w:rPr>
          <w:rFonts w:ascii="Verdana" w:hAnsi="Verdana"/>
          <w:i w:val="0"/>
          <w:sz w:val="20"/>
          <w:szCs w:val="20"/>
          <w:lang w:val="es-ES"/>
        </w:rPr>
        <w:t>ado</w:t>
      </w:r>
      <w:r w:rsidRPr="2A6C35C3">
        <w:rPr>
          <w:rFonts w:ascii="Verdana" w:hAnsi="Verdana"/>
          <w:i w:val="0"/>
          <w:sz w:val="20"/>
          <w:szCs w:val="20"/>
          <w:lang w:val="es-ES"/>
        </w:rPr>
        <w:t xml:space="preserve"> un examen médico a Reyes </w:t>
      </w:r>
      <w:r w:rsidR="007F4A7E" w:rsidRPr="2A6C35C3">
        <w:rPr>
          <w:rFonts w:ascii="Verdana" w:hAnsi="Verdana"/>
          <w:i w:val="0"/>
          <w:sz w:val="20"/>
          <w:szCs w:val="20"/>
          <w:lang w:val="es-ES"/>
        </w:rPr>
        <w:t>Alpízar</w:t>
      </w:r>
      <w:r w:rsidRPr="2A6C35C3">
        <w:rPr>
          <w:rFonts w:ascii="Verdana" w:hAnsi="Verdana"/>
          <w:i w:val="0"/>
          <w:sz w:val="20"/>
          <w:szCs w:val="20"/>
          <w:lang w:val="es-ES"/>
        </w:rPr>
        <w:t xml:space="preserve"> el 11 de diciembre de 2007</w:t>
      </w:r>
      <w:r w:rsidRPr="2A6C35C3">
        <w:rPr>
          <w:rStyle w:val="Refdenotaalpie"/>
          <w:rFonts w:ascii="Verdana" w:hAnsi="Verdana"/>
          <w:i w:val="0"/>
          <w:sz w:val="20"/>
          <w:lang w:val="es-ES"/>
        </w:rPr>
        <w:footnoteReference w:id="130"/>
      </w:r>
      <w:r w:rsidRPr="2A6C35C3">
        <w:rPr>
          <w:rFonts w:ascii="Verdana" w:hAnsi="Verdana"/>
          <w:i w:val="0"/>
          <w:sz w:val="20"/>
          <w:szCs w:val="20"/>
          <w:lang w:val="es-ES"/>
        </w:rPr>
        <w:t>. El mismo señaló que “desde el punto de vista médico forense no existen elementos técnicos ni médicos que nos permitan acreditar o descartar lo referido por el agraviado”</w:t>
      </w:r>
      <w:r w:rsidRPr="2A6C35C3">
        <w:rPr>
          <w:rStyle w:val="Refdenotaalpie"/>
          <w:rFonts w:ascii="Verdana" w:hAnsi="Verdana"/>
          <w:i w:val="0"/>
          <w:sz w:val="20"/>
          <w:lang w:val="es-ES"/>
        </w:rPr>
        <w:footnoteReference w:id="131"/>
      </w:r>
      <w:r w:rsidRPr="2A6C35C3">
        <w:rPr>
          <w:rFonts w:ascii="Verdana" w:hAnsi="Verdana"/>
          <w:i w:val="0"/>
          <w:sz w:val="20"/>
          <w:szCs w:val="20"/>
          <w:lang w:val="es-ES"/>
        </w:rPr>
        <w:t>. Tal informe fue hecho suyo por la PGJEM</w:t>
      </w:r>
      <w:r w:rsidRPr="2A6C35C3">
        <w:rPr>
          <w:rStyle w:val="Refdenotaalpie"/>
          <w:rFonts w:ascii="Verdana" w:hAnsi="Verdana"/>
          <w:i w:val="0"/>
          <w:sz w:val="20"/>
          <w:lang w:val="es-ES"/>
        </w:rPr>
        <w:footnoteReference w:id="132"/>
      </w:r>
      <w:r w:rsidRPr="2A6C35C3">
        <w:rPr>
          <w:rFonts w:ascii="Verdana" w:hAnsi="Verdana"/>
          <w:i w:val="0"/>
          <w:sz w:val="20"/>
          <w:szCs w:val="20"/>
          <w:lang w:val="es-ES"/>
        </w:rPr>
        <w:t xml:space="preserve"> y, junto a los de la PGJEM, fue objetado por las presuntas víctimas por no ajustarse al Protocolo de Estambul</w:t>
      </w:r>
      <w:r w:rsidRPr="2A6C35C3">
        <w:rPr>
          <w:rStyle w:val="Refdenotaalpie"/>
          <w:rFonts w:ascii="Verdana" w:hAnsi="Verdana"/>
          <w:i w:val="0"/>
          <w:sz w:val="20"/>
          <w:lang w:val="es-ES"/>
        </w:rPr>
        <w:footnoteReference w:id="133"/>
      </w:r>
      <w:r w:rsidRPr="2A6C35C3">
        <w:rPr>
          <w:rFonts w:ascii="Verdana" w:hAnsi="Verdana"/>
          <w:i w:val="0"/>
          <w:sz w:val="20"/>
          <w:szCs w:val="20"/>
          <w:lang w:val="es-ES"/>
        </w:rPr>
        <w:t>.</w:t>
      </w:r>
    </w:p>
    <w:p w14:paraId="24043397" w14:textId="609FC79B" w:rsidR="00C60D1D" w:rsidRPr="009D520B" w:rsidRDefault="00C60D1D" w:rsidP="00C60D1D">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iCs/>
          <w:sz w:val="20"/>
          <w:szCs w:val="20"/>
          <w:lang w:val="es-US"/>
        </w:rPr>
      </w:pPr>
      <w:r w:rsidRPr="2A6C35C3">
        <w:rPr>
          <w:rFonts w:ascii="Verdana" w:hAnsi="Verdana"/>
          <w:i w:val="0"/>
          <w:sz w:val="20"/>
          <w:szCs w:val="20"/>
          <w:lang w:val="es-US"/>
        </w:rPr>
        <w:t xml:space="preserve">El 5 de junio de 2008, el </w:t>
      </w:r>
      <w:r w:rsidR="006F7096" w:rsidRPr="006F7096">
        <w:rPr>
          <w:rFonts w:ascii="Verdana" w:hAnsi="Verdana"/>
          <w:i w:val="0"/>
          <w:sz w:val="20"/>
          <w:szCs w:val="20"/>
          <w:lang w:val="es-US"/>
        </w:rPr>
        <w:t xml:space="preserve">Juzgado Quinto Penal de Primera Instancia </w:t>
      </w:r>
      <w:r w:rsidRPr="2A6C35C3">
        <w:rPr>
          <w:rFonts w:ascii="Verdana" w:hAnsi="Verdana"/>
          <w:i w:val="0"/>
          <w:sz w:val="20"/>
          <w:szCs w:val="20"/>
          <w:lang w:val="es-US"/>
        </w:rPr>
        <w:t>ordenó la designación de peritos terceros en discordia</w:t>
      </w:r>
      <w:r w:rsidRPr="2A6C35C3">
        <w:rPr>
          <w:rStyle w:val="Refdenotaalpie"/>
          <w:rFonts w:ascii="Verdana" w:hAnsi="Verdana"/>
          <w:i w:val="0"/>
          <w:sz w:val="20"/>
          <w:lang w:val="es-US"/>
        </w:rPr>
        <w:footnoteReference w:id="134"/>
      </w:r>
      <w:r w:rsidRPr="2A6C35C3">
        <w:rPr>
          <w:rFonts w:ascii="Verdana" w:hAnsi="Verdana"/>
          <w:i w:val="0"/>
          <w:sz w:val="20"/>
          <w:szCs w:val="20"/>
          <w:lang w:val="es-US"/>
        </w:rPr>
        <w:t xml:space="preserve">. La Psicóloga </w:t>
      </w:r>
      <w:r w:rsidR="001C5F21">
        <w:rPr>
          <w:rFonts w:ascii="Verdana" w:hAnsi="Verdana"/>
          <w:i w:val="0"/>
          <w:sz w:val="20"/>
          <w:szCs w:val="20"/>
          <w:lang w:val="es-US"/>
        </w:rPr>
        <w:t>T.R.S.</w:t>
      </w:r>
      <w:r w:rsidRPr="2A6C35C3">
        <w:rPr>
          <w:rFonts w:ascii="Verdana" w:hAnsi="Verdana"/>
          <w:i w:val="0"/>
          <w:sz w:val="20"/>
          <w:szCs w:val="20"/>
          <w:lang w:val="es-US"/>
        </w:rPr>
        <w:t xml:space="preserve"> y la Socióloga </w:t>
      </w:r>
      <w:r w:rsidR="001C5F21">
        <w:rPr>
          <w:rFonts w:ascii="Verdana" w:hAnsi="Verdana"/>
          <w:i w:val="0"/>
          <w:sz w:val="20"/>
          <w:szCs w:val="20"/>
          <w:lang w:val="es-US"/>
        </w:rPr>
        <w:t>I.G.R.</w:t>
      </w:r>
      <w:r w:rsidRPr="2A6C35C3">
        <w:rPr>
          <w:rFonts w:ascii="Verdana" w:hAnsi="Verdana"/>
          <w:i w:val="0"/>
          <w:sz w:val="20"/>
          <w:szCs w:val="20"/>
          <w:lang w:val="es-US"/>
        </w:rPr>
        <w:t xml:space="preserve"> concluyeron que Reyes </w:t>
      </w:r>
      <w:r w:rsidR="007F4A7E" w:rsidRPr="2A6C35C3">
        <w:rPr>
          <w:rFonts w:ascii="Verdana" w:hAnsi="Verdana"/>
          <w:i w:val="0"/>
          <w:sz w:val="20"/>
          <w:szCs w:val="20"/>
          <w:lang w:val="es-US"/>
        </w:rPr>
        <w:t>Alpízar</w:t>
      </w:r>
      <w:r w:rsidRPr="2A6C35C3">
        <w:rPr>
          <w:rFonts w:ascii="Verdana" w:hAnsi="Verdana"/>
          <w:i w:val="0"/>
          <w:sz w:val="20"/>
          <w:szCs w:val="20"/>
          <w:lang w:val="es-US"/>
        </w:rPr>
        <w:t xml:space="preserve"> presentaba “signos y síntomas propios del trastorno de estrés postraumático (TEPT), cambios duraderos de personalidad, depresión y angustia generalizadas. […] corresponden sin </w:t>
      </w:r>
      <w:r w:rsidRPr="2A6C35C3">
        <w:rPr>
          <w:rFonts w:ascii="Verdana" w:hAnsi="Verdana"/>
          <w:i w:val="0"/>
          <w:sz w:val="20"/>
          <w:szCs w:val="20"/>
          <w:lang w:val="es-US"/>
        </w:rPr>
        <w:lastRenderedPageBreak/>
        <w:t>lugar a dudas con tratos y penas crueles e inhumanas propias de la tortura”</w:t>
      </w:r>
      <w:r w:rsidRPr="2A6C35C3">
        <w:rPr>
          <w:rStyle w:val="Refdenotaalpie"/>
          <w:rFonts w:ascii="Verdana" w:hAnsi="Verdana"/>
          <w:i w:val="0"/>
          <w:sz w:val="20"/>
          <w:lang w:val="es-US"/>
        </w:rPr>
        <w:footnoteReference w:id="135"/>
      </w:r>
      <w:r w:rsidRPr="2A6C35C3">
        <w:rPr>
          <w:rFonts w:ascii="Verdana" w:hAnsi="Verdana"/>
          <w:i w:val="0"/>
          <w:sz w:val="20"/>
          <w:szCs w:val="20"/>
          <w:lang w:val="es-US"/>
        </w:rPr>
        <w:t xml:space="preserve">. La Psicóloga </w:t>
      </w:r>
      <w:r w:rsidR="001C5F21">
        <w:rPr>
          <w:rFonts w:ascii="Verdana" w:hAnsi="Verdana"/>
          <w:i w:val="0"/>
          <w:sz w:val="20"/>
          <w:szCs w:val="20"/>
          <w:lang w:val="es-US"/>
        </w:rPr>
        <w:t>M.E.</w:t>
      </w:r>
      <w:r w:rsidRPr="2A6C35C3">
        <w:rPr>
          <w:rFonts w:ascii="Verdana" w:hAnsi="Verdana"/>
          <w:i w:val="0"/>
          <w:sz w:val="20"/>
          <w:szCs w:val="20"/>
          <w:lang w:val="es-US"/>
        </w:rPr>
        <w:t xml:space="preserve"> indicó que “presenta signos y síntomas del trastorno de estrés postraumático de tipo </w:t>
      </w:r>
      <w:r w:rsidR="002022AE" w:rsidRPr="2A6C35C3">
        <w:rPr>
          <w:rFonts w:ascii="Verdana" w:hAnsi="Verdana"/>
          <w:i w:val="0"/>
          <w:sz w:val="20"/>
          <w:szCs w:val="20"/>
          <w:lang w:val="es-US"/>
        </w:rPr>
        <w:t>tortura</w:t>
      </w:r>
      <w:r w:rsidRPr="2A6C35C3">
        <w:rPr>
          <w:rFonts w:ascii="Verdana" w:hAnsi="Verdana"/>
          <w:i w:val="0"/>
          <w:sz w:val="20"/>
          <w:szCs w:val="20"/>
          <w:lang w:val="es-US"/>
        </w:rPr>
        <w:t>”</w:t>
      </w:r>
      <w:r w:rsidRPr="2A6C35C3">
        <w:rPr>
          <w:rStyle w:val="Refdenotaalpie"/>
          <w:rFonts w:ascii="Verdana" w:hAnsi="Verdana"/>
          <w:i w:val="0"/>
          <w:sz w:val="20"/>
          <w:lang w:val="es-US"/>
        </w:rPr>
        <w:footnoteReference w:id="136"/>
      </w:r>
      <w:r w:rsidRPr="2A6C35C3">
        <w:rPr>
          <w:rFonts w:ascii="Verdana" w:hAnsi="Verdana"/>
          <w:i w:val="0"/>
          <w:sz w:val="20"/>
          <w:szCs w:val="20"/>
          <w:lang w:val="es-US"/>
        </w:rPr>
        <w:t xml:space="preserve">. En audiencia de 17 de febrero de 2010, el Perito tercero en discordia </w:t>
      </w:r>
      <w:r w:rsidR="001C5F21">
        <w:rPr>
          <w:rFonts w:ascii="Verdana" w:hAnsi="Verdana"/>
          <w:i w:val="0"/>
          <w:sz w:val="20"/>
          <w:szCs w:val="20"/>
          <w:lang w:val="es-US"/>
        </w:rPr>
        <w:t>S.L.S.M.</w:t>
      </w:r>
      <w:r w:rsidRPr="2A6C35C3">
        <w:rPr>
          <w:rFonts w:ascii="Verdana" w:hAnsi="Verdana"/>
          <w:i w:val="0"/>
          <w:sz w:val="20"/>
          <w:szCs w:val="20"/>
          <w:lang w:val="es-US"/>
        </w:rPr>
        <w:t xml:space="preserve">, indicó que no contaba con “elementos de tipo técnico científico que sustenten que en el cuerpo del señor Reyes </w:t>
      </w:r>
      <w:r w:rsidR="007F4A7E" w:rsidRPr="2A6C35C3">
        <w:rPr>
          <w:rFonts w:ascii="Verdana" w:hAnsi="Verdana"/>
          <w:i w:val="0"/>
          <w:sz w:val="20"/>
          <w:szCs w:val="20"/>
          <w:lang w:val="es-US"/>
        </w:rPr>
        <w:t>Alpízar</w:t>
      </w:r>
      <w:r w:rsidRPr="2A6C35C3">
        <w:rPr>
          <w:rFonts w:ascii="Verdana" w:hAnsi="Verdana"/>
          <w:i w:val="0"/>
          <w:sz w:val="20"/>
          <w:szCs w:val="20"/>
          <w:lang w:val="es-US"/>
        </w:rPr>
        <w:t xml:space="preserve"> Ortiz haya existido tortura física”</w:t>
      </w:r>
      <w:r w:rsidRPr="2A6C35C3">
        <w:rPr>
          <w:rStyle w:val="Refdenotaalpie"/>
          <w:rFonts w:ascii="Verdana" w:hAnsi="Verdana"/>
          <w:i w:val="0"/>
          <w:sz w:val="20"/>
          <w:lang w:val="es-US"/>
        </w:rPr>
        <w:footnoteReference w:id="137"/>
      </w:r>
      <w:r w:rsidRPr="2A6C35C3">
        <w:rPr>
          <w:rFonts w:ascii="Verdana" w:hAnsi="Verdana"/>
          <w:i w:val="0"/>
          <w:sz w:val="20"/>
          <w:szCs w:val="20"/>
          <w:lang w:val="es-US"/>
        </w:rPr>
        <w:t xml:space="preserve">. </w:t>
      </w:r>
    </w:p>
    <w:p w14:paraId="365C9B17" w14:textId="77777777" w:rsidR="00E46DBD" w:rsidRPr="00D04822" w:rsidRDefault="00630B6F" w:rsidP="00E46DBD">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2A6C35C3">
        <w:rPr>
          <w:rFonts w:ascii="Verdana" w:hAnsi="Verdana"/>
          <w:i w:val="0"/>
          <w:sz w:val="20"/>
          <w:szCs w:val="20"/>
          <w:lang w:val="es-ES"/>
        </w:rPr>
        <w:t>El 22 de septiembre de 2010 Reyes Alpízar presentó un nuevo incidente denunciando tortura</w:t>
      </w:r>
      <w:r w:rsidRPr="2A6C35C3">
        <w:rPr>
          <w:rStyle w:val="Refdenotaalpie"/>
          <w:rFonts w:ascii="Verdana" w:hAnsi="Verdana"/>
          <w:i w:val="0"/>
          <w:sz w:val="20"/>
          <w:lang w:val="es-ES"/>
        </w:rPr>
        <w:footnoteReference w:id="138"/>
      </w:r>
      <w:r w:rsidRPr="2A6C35C3">
        <w:rPr>
          <w:rFonts w:ascii="Verdana" w:hAnsi="Verdana"/>
          <w:i w:val="0"/>
          <w:sz w:val="20"/>
          <w:szCs w:val="20"/>
          <w:lang w:val="es-ES"/>
        </w:rPr>
        <w:t>.</w:t>
      </w:r>
      <w:r w:rsidR="00C60D1D" w:rsidRPr="2A6C35C3">
        <w:rPr>
          <w:rFonts w:ascii="Verdana" w:hAnsi="Verdana"/>
          <w:i w:val="0"/>
          <w:sz w:val="20"/>
          <w:szCs w:val="20"/>
          <w:lang w:val="es-ES"/>
        </w:rPr>
        <w:t xml:space="preserve"> </w:t>
      </w:r>
      <w:r w:rsidRPr="2A6C35C3">
        <w:rPr>
          <w:rFonts w:ascii="Verdana" w:hAnsi="Verdana"/>
          <w:i w:val="0"/>
          <w:sz w:val="20"/>
          <w:szCs w:val="20"/>
          <w:lang w:val="es-ES"/>
        </w:rPr>
        <w:t>El 24 de septiembre de 2010, la Jueza Quinta Penal lo rechazó indicando que los hechos de tortura se habían denunciado el 28 de noviembre de 2002 pero “no se advierte que haya hecho denuncia por el delito de tortura o cualquier otro”</w:t>
      </w:r>
      <w:r w:rsidRPr="2A6C35C3">
        <w:rPr>
          <w:rStyle w:val="Refdenotaalpie"/>
          <w:rFonts w:ascii="Verdana" w:hAnsi="Verdana"/>
          <w:i w:val="0"/>
          <w:sz w:val="20"/>
          <w:lang w:val="es-ES"/>
        </w:rPr>
        <w:footnoteReference w:id="139"/>
      </w:r>
      <w:r w:rsidRPr="2A6C35C3">
        <w:rPr>
          <w:rFonts w:ascii="Verdana" w:hAnsi="Verdana"/>
          <w:i w:val="0"/>
          <w:sz w:val="20"/>
          <w:szCs w:val="20"/>
          <w:lang w:val="es-ES"/>
        </w:rPr>
        <w:t xml:space="preserve">. Esta decisión fue confirmada en </w:t>
      </w:r>
      <w:r w:rsidR="00231870" w:rsidRPr="2A6C35C3">
        <w:rPr>
          <w:rFonts w:ascii="Verdana" w:hAnsi="Verdana"/>
          <w:i w:val="0"/>
          <w:sz w:val="20"/>
          <w:szCs w:val="20"/>
          <w:lang w:val="es-ES"/>
        </w:rPr>
        <w:t>el</w:t>
      </w:r>
      <w:r w:rsidRPr="2A6C35C3">
        <w:rPr>
          <w:rFonts w:ascii="Verdana" w:hAnsi="Verdana"/>
          <w:i w:val="0"/>
          <w:sz w:val="20"/>
          <w:szCs w:val="20"/>
          <w:lang w:val="es-ES"/>
        </w:rPr>
        <w:t xml:space="preserve"> 15 de agosto de 2011</w:t>
      </w:r>
      <w:r w:rsidRPr="2A6C35C3">
        <w:rPr>
          <w:rStyle w:val="Refdenotaalpie"/>
          <w:rFonts w:ascii="Verdana" w:hAnsi="Verdana"/>
          <w:i w:val="0"/>
          <w:sz w:val="20"/>
          <w:lang w:val="es-ES"/>
        </w:rPr>
        <w:footnoteReference w:id="140"/>
      </w:r>
      <w:r w:rsidRPr="2A6C35C3">
        <w:rPr>
          <w:rFonts w:ascii="Verdana" w:hAnsi="Verdana"/>
          <w:i w:val="0"/>
          <w:sz w:val="20"/>
          <w:szCs w:val="20"/>
          <w:lang w:val="es-ES"/>
        </w:rPr>
        <w:t>.</w:t>
      </w:r>
      <w:r w:rsidR="00E46DBD" w:rsidRPr="00E46DBD">
        <w:rPr>
          <w:rFonts w:ascii="Verdana" w:hAnsi="Verdana"/>
          <w:i w:val="0"/>
          <w:sz w:val="20"/>
          <w:szCs w:val="20"/>
          <w:lang w:val="es-ES"/>
        </w:rPr>
        <w:t xml:space="preserve"> </w:t>
      </w:r>
    </w:p>
    <w:p w14:paraId="5C38F31F" w14:textId="46689D05" w:rsidR="00E46DBD" w:rsidRPr="009D520B" w:rsidRDefault="00E46DBD" w:rsidP="00E46DBD">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2A6C35C3">
        <w:rPr>
          <w:rFonts w:ascii="Verdana" w:hAnsi="Verdana"/>
          <w:i w:val="0"/>
          <w:sz w:val="20"/>
          <w:szCs w:val="20"/>
          <w:lang w:val="es-ES"/>
        </w:rPr>
        <w:t>El 7 de mayo de 2012 en audiencia de prueba, Daniel García solicitó al Juez Quinto Penal “se de vista al agente del ministerio público investigador” de las constancias, prueba, documentales y exámenes médicos relativos a los actos de tortura de los que alega haber sido víctima Reyes Alpízar</w:t>
      </w:r>
      <w:r w:rsidRPr="2A6C35C3">
        <w:rPr>
          <w:rStyle w:val="Refdenotaalpie"/>
          <w:rFonts w:ascii="Verdana" w:hAnsi="Verdana"/>
          <w:i w:val="0"/>
          <w:sz w:val="20"/>
          <w:lang w:val="es-ES"/>
        </w:rPr>
        <w:footnoteReference w:id="141"/>
      </w:r>
      <w:r w:rsidRPr="2A6C35C3">
        <w:rPr>
          <w:rFonts w:ascii="Verdana" w:hAnsi="Verdana"/>
          <w:i w:val="0"/>
          <w:sz w:val="20"/>
          <w:szCs w:val="20"/>
          <w:lang w:val="es-ES"/>
        </w:rPr>
        <w:t>. El Juez resolvió “estése a lo acordado mediante auto de 24 de septiembre de 2010 […]”</w:t>
      </w:r>
      <w:r w:rsidRPr="2A6C35C3">
        <w:rPr>
          <w:rStyle w:val="Refdenotaalpie"/>
          <w:rFonts w:ascii="Verdana" w:hAnsi="Verdana"/>
          <w:i w:val="0"/>
          <w:sz w:val="20"/>
          <w:lang w:val="es-ES"/>
        </w:rPr>
        <w:footnoteReference w:id="142"/>
      </w:r>
      <w:r w:rsidRPr="2A6C35C3">
        <w:rPr>
          <w:rFonts w:ascii="Verdana" w:hAnsi="Verdana"/>
          <w:i w:val="0"/>
          <w:sz w:val="20"/>
          <w:szCs w:val="20"/>
          <w:lang w:val="es-ES"/>
        </w:rPr>
        <w:t>.</w:t>
      </w:r>
    </w:p>
    <w:p w14:paraId="59AF4F7B" w14:textId="5E1BCA58" w:rsidR="00630B6F" w:rsidRPr="00E46DBD" w:rsidRDefault="00E46DBD" w:rsidP="00E46DBD">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2A6C35C3">
        <w:rPr>
          <w:rFonts w:ascii="Verdana" w:hAnsi="Verdana"/>
          <w:i w:val="0"/>
          <w:sz w:val="20"/>
          <w:szCs w:val="20"/>
          <w:lang w:val="es-ES"/>
        </w:rPr>
        <w:t>Las presuntas víctimas presentaron un amparo indirecto</w:t>
      </w:r>
      <w:r w:rsidRPr="2A6C35C3">
        <w:rPr>
          <w:rStyle w:val="Refdenotaalpie"/>
          <w:rFonts w:ascii="Verdana" w:hAnsi="Verdana"/>
          <w:i w:val="0"/>
          <w:sz w:val="20"/>
          <w:lang w:val="es-ES"/>
        </w:rPr>
        <w:footnoteReference w:id="143"/>
      </w:r>
      <w:r w:rsidRPr="2A6C35C3">
        <w:rPr>
          <w:rFonts w:ascii="Verdana" w:hAnsi="Verdana"/>
          <w:i w:val="0"/>
          <w:sz w:val="20"/>
          <w:szCs w:val="20"/>
          <w:lang w:val="es-ES"/>
        </w:rPr>
        <w:t>, acogido el 23 de agosto de 2012 por el Juzgado Octavo de Distrito de Naucalpan, advirtiendo el juzgador “que dicha resolución es violatoria de las garantías del debido proceso y legalidad […]”. Con lo anterior, ordenó revocar el auto recurrido y ordenar vista al agente del ministerio público</w:t>
      </w:r>
      <w:r w:rsidRPr="2A6C35C3">
        <w:rPr>
          <w:rStyle w:val="Refdenotaalpie"/>
          <w:rFonts w:ascii="Verdana" w:hAnsi="Verdana"/>
          <w:i w:val="0"/>
          <w:sz w:val="20"/>
          <w:lang w:val="es-ES"/>
        </w:rPr>
        <w:footnoteReference w:id="144"/>
      </w:r>
      <w:r w:rsidRPr="2A6C35C3">
        <w:rPr>
          <w:rFonts w:ascii="Verdana" w:hAnsi="Verdana"/>
          <w:i w:val="0"/>
          <w:sz w:val="20"/>
          <w:szCs w:val="20"/>
          <w:lang w:val="es-ES"/>
        </w:rPr>
        <w:t xml:space="preserve">. No se tiene constancia de que el Juez Quinto Penal haya remitido la información al Ministerio Público o enmendado sus resoluciones </w:t>
      </w:r>
      <w:r w:rsidRPr="2A6C35C3">
        <w:rPr>
          <w:rFonts w:ascii="Verdana" w:hAnsi="Verdana"/>
          <w:i w:val="0"/>
          <w:sz w:val="20"/>
          <w:szCs w:val="20"/>
          <w:lang w:val="es-ES"/>
        </w:rPr>
        <w:lastRenderedPageBreak/>
        <w:t>siguiendo tales directrices.</w:t>
      </w:r>
    </w:p>
    <w:p w14:paraId="666DCFEC" w14:textId="40505E00" w:rsidR="001C5F21" w:rsidRPr="00D04822" w:rsidRDefault="001C5F21" w:rsidP="00D04822">
      <w:pPr>
        <w:pStyle w:val="Estilo1"/>
        <w:widowControl w:val="0"/>
        <w:tabs>
          <w:tab w:val="left" w:pos="0"/>
          <w:tab w:val="left" w:pos="567"/>
        </w:tabs>
        <w:adjustRightInd w:val="0"/>
        <w:spacing w:before="240" w:after="240"/>
        <w:ind w:left="142" w:right="-6" w:firstLine="567"/>
        <w:jc w:val="both"/>
        <w:textAlignment w:val="baseline"/>
        <w:outlineLvl w:val="4"/>
        <w:rPr>
          <w:rFonts w:ascii="Verdana" w:eastAsia="Cambria" w:hAnsi="Verdana" w:cs="Cambria"/>
          <w:sz w:val="20"/>
          <w:szCs w:val="20"/>
          <w:lang w:val="es-ES_tradnl"/>
        </w:rPr>
      </w:pPr>
      <w:r w:rsidRPr="00D04822">
        <w:rPr>
          <w:rFonts w:ascii="Verdana" w:eastAsia="Cambria" w:hAnsi="Verdana" w:cs="Cambria"/>
          <w:sz w:val="20"/>
          <w:szCs w:val="20"/>
          <w:lang w:val="es-ES_tradnl"/>
        </w:rPr>
        <w:t>ii</w:t>
      </w:r>
      <w:r w:rsidR="00556ED7">
        <w:rPr>
          <w:rFonts w:ascii="Verdana" w:eastAsia="Cambria" w:hAnsi="Verdana" w:cs="Cambria"/>
          <w:sz w:val="20"/>
          <w:szCs w:val="20"/>
          <w:lang w:val="es-ES_tradnl"/>
        </w:rPr>
        <w:t>.</w:t>
      </w:r>
      <w:r w:rsidRPr="00D04822">
        <w:rPr>
          <w:rFonts w:ascii="Verdana" w:eastAsia="Cambria" w:hAnsi="Verdana" w:cs="Cambria"/>
          <w:sz w:val="20"/>
          <w:szCs w:val="20"/>
          <w:lang w:val="es-ES_tradnl"/>
        </w:rPr>
        <w:t xml:space="preserve"> Las denuncias por los hechos de tortura que habría sufrido Daniel García Rodríguez </w:t>
      </w:r>
    </w:p>
    <w:p w14:paraId="08B20A68" w14:textId="6F8E8E7F" w:rsidR="00C61D2B" w:rsidRPr="00E46DBD" w:rsidRDefault="007038C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00E46DBD">
        <w:rPr>
          <w:rFonts w:ascii="Verdana" w:hAnsi="Verdana"/>
          <w:i w:val="0"/>
          <w:sz w:val="20"/>
          <w:szCs w:val="20"/>
          <w:lang w:val="es-ES_tradnl"/>
        </w:rPr>
        <w:t xml:space="preserve">En cuanto a Daniel García Rodríguez, se indicó que el 11 de abril 2002, éste declaró que en el período bajo el cual estuvo bajo arraigo, había sido detenido con engaño, recluido por la fuerza y bajo amenaza, </w:t>
      </w:r>
      <w:r w:rsidR="00C61D2B" w:rsidRPr="00E46DBD">
        <w:rPr>
          <w:rFonts w:ascii="Verdana" w:hAnsi="Verdana"/>
          <w:i w:val="0"/>
          <w:sz w:val="20"/>
          <w:szCs w:val="20"/>
          <w:lang w:val="es-ES_tradnl"/>
        </w:rPr>
        <w:t>y que</w:t>
      </w:r>
      <w:r w:rsidRPr="00E46DBD">
        <w:rPr>
          <w:rFonts w:ascii="Verdana" w:hAnsi="Verdana"/>
          <w:i w:val="0"/>
          <w:sz w:val="20"/>
          <w:szCs w:val="20"/>
          <w:lang w:val="es-ES_tradnl"/>
        </w:rPr>
        <w:t xml:space="preserve"> al negarse a firmar declaraciones prefabricadas en las que incriminaba a un Senador y al Presidente Municipal, fue amenazado con que él y sus familiares serían los acusados (</w:t>
      </w:r>
      <w:r w:rsidRPr="00E46DBD">
        <w:rPr>
          <w:rFonts w:ascii="Verdana" w:hAnsi="Verdana"/>
          <w:iCs/>
          <w:sz w:val="20"/>
          <w:szCs w:val="20"/>
          <w:lang w:val="es-ES_tradnl"/>
        </w:rPr>
        <w:t>supra</w:t>
      </w:r>
      <w:r w:rsidRPr="00E46DBD">
        <w:rPr>
          <w:rFonts w:ascii="Verdana" w:hAnsi="Verdana"/>
          <w:i w:val="0"/>
          <w:sz w:val="20"/>
          <w:szCs w:val="20"/>
          <w:lang w:val="es-ES_tradnl"/>
        </w:rPr>
        <w:t xml:space="preserve"> párr. </w:t>
      </w:r>
      <w:r w:rsidR="00E46DBD" w:rsidRPr="00D04822">
        <w:rPr>
          <w:rFonts w:ascii="Verdana" w:hAnsi="Verdana"/>
          <w:i w:val="0"/>
          <w:sz w:val="20"/>
          <w:szCs w:val="20"/>
          <w:lang w:val="es-ES_tradnl"/>
        </w:rPr>
        <w:t>72</w:t>
      </w:r>
      <w:r w:rsidRPr="00E46DBD">
        <w:rPr>
          <w:rFonts w:ascii="Verdana" w:hAnsi="Verdana"/>
          <w:i w:val="0"/>
          <w:sz w:val="20"/>
          <w:szCs w:val="20"/>
          <w:lang w:val="es-ES_tradnl"/>
        </w:rPr>
        <w:t>).</w:t>
      </w:r>
      <w:r w:rsidR="00C61D2B" w:rsidRPr="00E46DBD">
        <w:rPr>
          <w:rFonts w:ascii="Verdana" w:hAnsi="Verdana"/>
          <w:i w:val="0"/>
          <w:sz w:val="20"/>
          <w:szCs w:val="20"/>
          <w:lang w:val="es-ES_tradnl"/>
        </w:rPr>
        <w:t xml:space="preserve"> </w:t>
      </w:r>
      <w:r w:rsidRPr="00E46DBD">
        <w:rPr>
          <w:rFonts w:ascii="Verdana" w:hAnsi="Verdana"/>
          <w:i w:val="0"/>
          <w:sz w:val="20"/>
          <w:szCs w:val="20"/>
          <w:lang w:val="es-ES_tradnl"/>
        </w:rPr>
        <w:t xml:space="preserve">El 11 de abril de 2002, el Ministerio Público solicitó certificación de lesiones físicas y el defensor particular solicitó un examen para constatar violencia psicológica. Ambas solicitudes fueron negadas por el Juez Quinto Penal, quien no las consideró medio de prueba idóneo y ordenó se remitiera el certificado médico de ingreso al centro carcelario. </w:t>
      </w:r>
    </w:p>
    <w:p w14:paraId="5027FF7D" w14:textId="74A35B10" w:rsidR="007038CF" w:rsidRPr="009D520B" w:rsidRDefault="00C61D2B">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2A6C35C3">
        <w:rPr>
          <w:rFonts w:ascii="Verdana" w:hAnsi="Verdana"/>
          <w:i w:val="0"/>
          <w:sz w:val="20"/>
          <w:szCs w:val="20"/>
          <w:lang w:val="es-ES"/>
        </w:rPr>
        <w:t xml:space="preserve">Consta que </w:t>
      </w:r>
      <w:r w:rsidR="007038CF" w:rsidRPr="2A6C35C3">
        <w:rPr>
          <w:rFonts w:ascii="Verdana" w:hAnsi="Verdana"/>
          <w:i w:val="0"/>
          <w:sz w:val="20"/>
          <w:szCs w:val="20"/>
          <w:lang w:val="es-ES"/>
        </w:rPr>
        <w:t>Daniel García y algunos de sus familiares fueron involucrados por la PGJEM en una supuesta red de espionaje político, cuyo descubrimiento por la Regidora Tamés fue sindicado como el móvil de su asesinato, y fueron investigados</w:t>
      </w:r>
      <w:r w:rsidR="007038CF" w:rsidRPr="2A6C35C3">
        <w:rPr>
          <w:rStyle w:val="Refdenotaalpie"/>
          <w:rFonts w:ascii="Verdana" w:hAnsi="Verdana"/>
          <w:i w:val="0"/>
          <w:sz w:val="20"/>
          <w:lang w:val="es-ES"/>
        </w:rPr>
        <w:footnoteReference w:id="145"/>
      </w:r>
      <w:r w:rsidR="007038CF" w:rsidRPr="2A6C35C3">
        <w:rPr>
          <w:rFonts w:ascii="Verdana" w:hAnsi="Verdana"/>
          <w:i w:val="0"/>
          <w:sz w:val="20"/>
          <w:szCs w:val="20"/>
          <w:lang w:val="es-ES"/>
        </w:rPr>
        <w:t>, retenidos</w:t>
      </w:r>
      <w:r w:rsidR="007038CF" w:rsidRPr="2A6C35C3">
        <w:rPr>
          <w:rStyle w:val="Refdenotaalpie"/>
          <w:rFonts w:ascii="Verdana" w:hAnsi="Verdana"/>
          <w:i w:val="0"/>
          <w:sz w:val="20"/>
          <w:lang w:val="es-ES"/>
        </w:rPr>
        <w:footnoteReference w:id="146"/>
      </w:r>
      <w:r w:rsidR="007038CF" w:rsidRPr="2A6C35C3">
        <w:rPr>
          <w:rFonts w:ascii="Verdana" w:hAnsi="Verdana"/>
          <w:i w:val="0"/>
          <w:sz w:val="20"/>
          <w:szCs w:val="20"/>
          <w:lang w:val="es-ES"/>
        </w:rPr>
        <w:t>, arraigados</w:t>
      </w:r>
      <w:r w:rsidR="007038CF" w:rsidRPr="2A6C35C3">
        <w:rPr>
          <w:rStyle w:val="Refdenotaalpie"/>
          <w:rFonts w:ascii="Verdana" w:hAnsi="Verdana"/>
          <w:i w:val="0"/>
          <w:sz w:val="20"/>
          <w:lang w:val="es-ES"/>
        </w:rPr>
        <w:footnoteReference w:id="147"/>
      </w:r>
      <w:r w:rsidR="007038CF" w:rsidRPr="2A6C35C3">
        <w:rPr>
          <w:rFonts w:ascii="Verdana" w:hAnsi="Verdana"/>
          <w:i w:val="0"/>
          <w:sz w:val="20"/>
          <w:szCs w:val="20"/>
          <w:lang w:val="es-ES"/>
        </w:rPr>
        <w:t xml:space="preserve"> y/o se solicitaron órdenes de aprehensión en su contra en el marco del mismo proceso, las que no prosperaron por no acreditarse su responsabilidad en los delitos</w:t>
      </w:r>
      <w:r w:rsidR="007038CF" w:rsidRPr="2A6C35C3">
        <w:rPr>
          <w:rStyle w:val="Refdenotaalpie"/>
          <w:rFonts w:ascii="Verdana" w:hAnsi="Verdana"/>
          <w:i w:val="0"/>
          <w:sz w:val="20"/>
          <w:lang w:val="es-ES"/>
        </w:rPr>
        <w:footnoteReference w:id="148"/>
      </w:r>
      <w:r w:rsidR="007038CF" w:rsidRPr="2A6C35C3">
        <w:rPr>
          <w:rFonts w:ascii="Verdana" w:hAnsi="Verdana"/>
          <w:i w:val="0"/>
          <w:sz w:val="20"/>
          <w:szCs w:val="20"/>
          <w:lang w:val="es-ES"/>
        </w:rPr>
        <w:t xml:space="preserve">. </w:t>
      </w:r>
    </w:p>
    <w:p w14:paraId="6D4CCB70" w14:textId="267A07A1" w:rsidR="00630B6F" w:rsidRPr="009D520B" w:rsidRDefault="008A0444" w:rsidP="008A0444">
      <w:pPr>
        <w:pStyle w:val="Estilo1"/>
        <w:widowControl w:val="0"/>
        <w:tabs>
          <w:tab w:val="left" w:pos="0"/>
          <w:tab w:val="left" w:pos="567"/>
          <w:tab w:val="num" w:pos="12305"/>
        </w:tabs>
        <w:spacing w:before="240" w:after="240"/>
        <w:ind w:left="567" w:right="-6" w:firstLine="0"/>
        <w:jc w:val="both"/>
        <w:textAlignment w:val="baseline"/>
        <w:outlineLvl w:val="3"/>
        <w:rPr>
          <w:rFonts w:ascii="Verdana" w:hAnsi="Verdana"/>
          <w:iCs/>
          <w:sz w:val="20"/>
          <w:szCs w:val="20"/>
          <w:lang w:val="es-ES"/>
        </w:rPr>
      </w:pPr>
      <w:r w:rsidRPr="00D04822">
        <w:rPr>
          <w:rFonts w:ascii="Verdana" w:hAnsi="Verdana"/>
          <w:iCs/>
          <w:sz w:val="20"/>
          <w:szCs w:val="20"/>
          <w:lang w:val="es-ES"/>
        </w:rPr>
        <w:t xml:space="preserve">b) </w:t>
      </w:r>
      <w:r w:rsidR="00630B6F" w:rsidRPr="00D04822">
        <w:rPr>
          <w:rFonts w:ascii="Verdana" w:hAnsi="Verdana"/>
          <w:iCs/>
          <w:sz w:val="20"/>
          <w:szCs w:val="20"/>
          <w:lang w:val="es-ES"/>
        </w:rPr>
        <w:t>Denuncias de tortura ante otros organismos y autoridades para los casos de Daniel García</w:t>
      </w:r>
      <w:r w:rsidR="003E6402" w:rsidRPr="00D04822">
        <w:rPr>
          <w:rFonts w:ascii="Verdana" w:hAnsi="Verdana"/>
          <w:iCs/>
          <w:sz w:val="20"/>
          <w:szCs w:val="20"/>
          <w:lang w:val="es-ES"/>
        </w:rPr>
        <w:t xml:space="preserve"> Rodríguez</w:t>
      </w:r>
      <w:r w:rsidR="00630B6F" w:rsidRPr="00D04822">
        <w:rPr>
          <w:rFonts w:ascii="Verdana" w:hAnsi="Verdana"/>
          <w:iCs/>
          <w:sz w:val="20"/>
          <w:szCs w:val="20"/>
          <w:lang w:val="es-ES"/>
        </w:rPr>
        <w:t xml:space="preserve"> y </w:t>
      </w:r>
      <w:r w:rsidR="006547F1" w:rsidRPr="00D04822">
        <w:rPr>
          <w:rFonts w:ascii="Verdana" w:hAnsi="Verdana"/>
          <w:iCs/>
          <w:sz w:val="20"/>
          <w:szCs w:val="20"/>
          <w:lang w:val="es-ES"/>
        </w:rPr>
        <w:t>Re</w:t>
      </w:r>
      <w:r w:rsidR="00630B6F" w:rsidRPr="00D04822">
        <w:rPr>
          <w:rFonts w:ascii="Verdana" w:hAnsi="Verdana"/>
          <w:iCs/>
          <w:sz w:val="20"/>
          <w:szCs w:val="20"/>
          <w:lang w:val="es-ES"/>
        </w:rPr>
        <w:t>yes Alpízar</w:t>
      </w:r>
      <w:r w:rsidR="003E6402" w:rsidRPr="00D04822">
        <w:rPr>
          <w:rFonts w:ascii="Verdana" w:hAnsi="Verdana"/>
          <w:iCs/>
          <w:sz w:val="20"/>
          <w:szCs w:val="20"/>
          <w:lang w:val="es-ES"/>
        </w:rPr>
        <w:t xml:space="preserve"> Ortiz</w:t>
      </w:r>
    </w:p>
    <w:p w14:paraId="36257250" w14:textId="694BBF33" w:rsidR="00630B6F" w:rsidRPr="009D520B" w:rsidRDefault="00630B6F"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2A6C35C3">
        <w:rPr>
          <w:rFonts w:ascii="Verdana" w:hAnsi="Verdana"/>
          <w:i w:val="0"/>
          <w:sz w:val="20"/>
          <w:szCs w:val="20"/>
          <w:lang w:val="es-ES"/>
        </w:rPr>
        <w:t xml:space="preserve">En el año 2002, Daniel García Rodríguez, </w:t>
      </w:r>
      <w:r w:rsidR="003705CC" w:rsidRPr="2A6C35C3">
        <w:rPr>
          <w:rFonts w:ascii="Verdana" w:hAnsi="Verdana"/>
          <w:i w:val="0"/>
          <w:sz w:val="20"/>
          <w:szCs w:val="20"/>
          <w:lang w:val="es-ES"/>
        </w:rPr>
        <w:t xml:space="preserve">presentó una </w:t>
      </w:r>
      <w:r w:rsidRPr="2A6C35C3">
        <w:rPr>
          <w:rFonts w:ascii="Verdana" w:hAnsi="Verdana"/>
          <w:i w:val="0"/>
          <w:sz w:val="20"/>
          <w:szCs w:val="20"/>
          <w:lang w:val="es-ES"/>
        </w:rPr>
        <w:t>queja ante la Comisión de Derechos Humanos del Estado de México</w:t>
      </w:r>
      <w:r w:rsidR="003705CC" w:rsidRPr="2A6C35C3">
        <w:rPr>
          <w:rFonts w:ascii="Verdana" w:hAnsi="Verdana"/>
          <w:i w:val="0"/>
          <w:sz w:val="20"/>
          <w:szCs w:val="20"/>
          <w:lang w:val="es-ES"/>
        </w:rPr>
        <w:t xml:space="preserve"> (CODHEM)</w:t>
      </w:r>
      <w:r w:rsidRPr="2A6C35C3">
        <w:rPr>
          <w:rFonts w:ascii="Verdana" w:hAnsi="Verdana"/>
          <w:i w:val="0"/>
          <w:sz w:val="20"/>
          <w:szCs w:val="20"/>
          <w:lang w:val="es-ES"/>
        </w:rPr>
        <w:t xml:space="preserve">, alegando una supuesta detención arbitraria, por lo que se inició el expediente CODHEM/NEZA/4611/02, el cual fue concluido el 18 de septiembre de 2002, debido al desistimiento presentado por </w:t>
      </w:r>
      <w:r w:rsidR="003705CC" w:rsidRPr="2A6C35C3">
        <w:rPr>
          <w:rFonts w:ascii="Verdana" w:hAnsi="Verdana"/>
          <w:i w:val="0"/>
          <w:sz w:val="20"/>
          <w:szCs w:val="20"/>
          <w:lang w:val="es-ES"/>
        </w:rPr>
        <w:t xml:space="preserve">el </w:t>
      </w:r>
      <w:r w:rsidRPr="2A6C35C3">
        <w:rPr>
          <w:rFonts w:ascii="Verdana" w:hAnsi="Verdana"/>
          <w:i w:val="0"/>
          <w:sz w:val="20"/>
          <w:szCs w:val="20"/>
          <w:lang w:val="es-ES"/>
        </w:rPr>
        <w:t>peticionario. Por otra parte, en el año 2002, Patricia Maya Domínguez, presentó queja ante la Comisión de Derechos Humanos del Estado de México, en representación de Reyes Alpízar Ortiz, alegando supuestos hechos de tortura, por lo que se inició el expediente CODHEM/NJ/5088/02, que fue concluido el 30 de enero de 2003</w:t>
      </w:r>
      <w:r w:rsidR="00D73463" w:rsidRPr="2A6C35C3">
        <w:rPr>
          <w:rStyle w:val="Refdenotaalpie"/>
          <w:rFonts w:ascii="Verdana" w:hAnsi="Verdana"/>
          <w:i w:val="0"/>
          <w:sz w:val="20"/>
          <w:lang w:val="es-ES"/>
        </w:rPr>
        <w:footnoteReference w:id="149"/>
      </w:r>
      <w:r w:rsidRPr="2A6C35C3">
        <w:rPr>
          <w:rFonts w:ascii="Verdana" w:hAnsi="Verdana"/>
          <w:i w:val="0"/>
          <w:sz w:val="20"/>
          <w:szCs w:val="20"/>
          <w:lang w:val="es-ES"/>
        </w:rPr>
        <w:t>.</w:t>
      </w:r>
    </w:p>
    <w:p w14:paraId="559F2CD2" w14:textId="5350C8D0" w:rsidR="00630B6F" w:rsidRPr="009D520B" w:rsidRDefault="00630B6F" w:rsidP="00630B6F">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2A6C35C3">
        <w:rPr>
          <w:rFonts w:ascii="Verdana" w:hAnsi="Verdana"/>
          <w:i w:val="0"/>
          <w:sz w:val="20"/>
          <w:szCs w:val="20"/>
          <w:lang w:val="es-ES"/>
        </w:rPr>
        <w:t xml:space="preserve">El 8 de noviembre de 2002, la CODHEM constató que Reyes Alpízar, quien se encontraba arraigado en el Hotel San Isidro, presentaba “una equimosis en brazo izquierdo” y denunció que estaba “implicando en un problema que no cometí”. Indicó que, en el sótano de la Subprocuraduría, lo habían vendado y esposado, y le dijeron lo que tenía que decir con detalles de lo que debía declarar, </w:t>
      </w:r>
      <w:r w:rsidR="00361981">
        <w:rPr>
          <w:rFonts w:ascii="Verdana" w:hAnsi="Verdana"/>
          <w:i w:val="0"/>
          <w:sz w:val="20"/>
          <w:szCs w:val="20"/>
          <w:lang w:val="es-ES"/>
        </w:rPr>
        <w:t>y fue</w:t>
      </w:r>
      <w:r w:rsidRPr="2A6C35C3">
        <w:rPr>
          <w:rFonts w:ascii="Verdana" w:hAnsi="Verdana"/>
          <w:i w:val="0"/>
          <w:sz w:val="20"/>
          <w:szCs w:val="20"/>
          <w:lang w:val="es-ES"/>
        </w:rPr>
        <w:t xml:space="preserve"> coaccionado, filmado y golpeado durante las declaraciones, en presencia del Procurador y Defensor. El 9 de noviembre del 2002, la CODEHM emitió medidas precautorias que fueron aceptadas por la PGJEM. El 19 de noviembre de 2002, Reyes Alpízar fue visitado en el hotel e indicó que “ha cambiado todo, la atención es adecuada”. Luego, </w:t>
      </w:r>
      <w:r w:rsidR="00E46DBD">
        <w:rPr>
          <w:rFonts w:ascii="Verdana" w:hAnsi="Verdana"/>
          <w:i w:val="0"/>
          <w:sz w:val="20"/>
          <w:szCs w:val="20"/>
          <w:lang w:val="es-ES"/>
        </w:rPr>
        <w:t xml:space="preserve">fue </w:t>
      </w:r>
      <w:r w:rsidRPr="2A6C35C3">
        <w:rPr>
          <w:rFonts w:ascii="Verdana" w:hAnsi="Verdana"/>
          <w:i w:val="0"/>
          <w:sz w:val="20"/>
          <w:szCs w:val="20"/>
          <w:lang w:val="es-ES"/>
        </w:rPr>
        <w:t xml:space="preserve">visitado el 27 de diciembre de 2002 en el centro donde estaba en prisión preventiva, Reyes Alpízar insistió en que no había cometido el crimen, pero no tenía problemas, por lo que la CODHEM determinó el archivo de la queja. Tres quejas iniciadas ante la CODHEM en los años 2002, 2006 y 2007 fueron </w:t>
      </w:r>
      <w:r w:rsidRPr="2A6C35C3">
        <w:rPr>
          <w:rFonts w:ascii="Verdana" w:hAnsi="Verdana"/>
          <w:i w:val="0"/>
          <w:sz w:val="20"/>
          <w:szCs w:val="20"/>
          <w:lang w:val="es-ES"/>
        </w:rPr>
        <w:lastRenderedPageBreak/>
        <w:t>archivadas al determinarse que no se trataban de violaciones a derechos humanos o que se había solucionado la queja en el trámite respectivo</w:t>
      </w:r>
      <w:r w:rsidRPr="2A6C35C3">
        <w:rPr>
          <w:rStyle w:val="Refdenotaalpie"/>
          <w:rFonts w:ascii="Verdana" w:hAnsi="Verdana"/>
          <w:i w:val="0"/>
          <w:sz w:val="20"/>
          <w:lang w:val="es-ES"/>
        </w:rPr>
        <w:footnoteReference w:id="150"/>
      </w:r>
      <w:r w:rsidRPr="2A6C35C3">
        <w:rPr>
          <w:rFonts w:ascii="Verdana" w:hAnsi="Verdana"/>
          <w:i w:val="0"/>
          <w:sz w:val="20"/>
          <w:szCs w:val="20"/>
          <w:lang w:val="es-ES"/>
        </w:rPr>
        <w:t>.</w:t>
      </w:r>
    </w:p>
    <w:p w14:paraId="238533E1" w14:textId="6B15681A" w:rsidR="00052CFA" w:rsidRPr="009D520B" w:rsidRDefault="61E04F3B" w:rsidP="61E04F3B">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ES"/>
        </w:rPr>
      </w:pPr>
      <w:r w:rsidRPr="61E04F3B">
        <w:rPr>
          <w:rFonts w:ascii="Verdana" w:hAnsi="Verdana"/>
          <w:i w:val="0"/>
          <w:sz w:val="20"/>
          <w:szCs w:val="20"/>
          <w:lang w:val="es-ES"/>
        </w:rPr>
        <w:t xml:space="preserve">En el año 2019, la CODHEM, inició de oficio el expediente CODHEM/TLAL/114/2019, con motivo de la publicación de la nota periodística “Daniel y Reyes cumplen 17 años de Prisión Preventiva”, que se concluyó el 3 de junio de 2019, por no tratarse de violaciones a derechos humanos. En el año 2021, la CODHEM inició de oficio el expediente CODHEM/NJ/173/2021, en virtud de la nota periodística “Corte Interamericana en caso de Daniel García y Reyes Alpízar”, en la que se precisó que no se practicaron pruebas ofrecidas por los imputados, pero se </w:t>
      </w:r>
      <w:r w:rsidR="00777834">
        <w:rPr>
          <w:rFonts w:ascii="Verdana" w:hAnsi="Verdana"/>
          <w:i w:val="0"/>
          <w:sz w:val="20"/>
          <w:szCs w:val="20"/>
          <w:lang w:val="es-ES"/>
        </w:rPr>
        <w:t>archivó</w:t>
      </w:r>
      <w:r w:rsidR="00777834" w:rsidRPr="61E04F3B">
        <w:rPr>
          <w:rFonts w:ascii="Verdana" w:hAnsi="Verdana"/>
          <w:i w:val="0"/>
          <w:sz w:val="20"/>
          <w:szCs w:val="20"/>
          <w:lang w:val="es-ES"/>
        </w:rPr>
        <w:t xml:space="preserve"> </w:t>
      </w:r>
      <w:r w:rsidRPr="61E04F3B">
        <w:rPr>
          <w:rFonts w:ascii="Verdana" w:hAnsi="Verdana"/>
          <w:i w:val="0"/>
          <w:sz w:val="20"/>
          <w:szCs w:val="20"/>
          <w:lang w:val="es-ES"/>
        </w:rPr>
        <w:t>el 10 de agosto de 2021, por incompetencia.</w:t>
      </w:r>
    </w:p>
    <w:p w14:paraId="4F8B4EA4" w14:textId="59F0FD4D" w:rsidR="00A20822" w:rsidRPr="008A0444" w:rsidRDefault="00052CFA" w:rsidP="00D73463">
      <w:pPr>
        <w:pStyle w:val="Estilo1"/>
        <w:widowControl w:val="0"/>
        <w:numPr>
          <w:ilvl w:val="0"/>
          <w:numId w:val="2"/>
        </w:numPr>
        <w:tabs>
          <w:tab w:val="left" w:pos="0"/>
          <w:tab w:val="left" w:pos="567"/>
        </w:tabs>
        <w:adjustRightInd w:val="0"/>
        <w:spacing w:before="120"/>
        <w:ind w:left="0" w:right="-4" w:firstLine="0"/>
        <w:jc w:val="both"/>
        <w:textAlignment w:val="baseline"/>
        <w:rPr>
          <w:rFonts w:ascii="Verdana" w:hAnsi="Verdana"/>
          <w:i w:val="0"/>
          <w:iCs/>
          <w:sz w:val="20"/>
          <w:szCs w:val="20"/>
          <w:lang w:val="es-ES_tradnl"/>
        </w:rPr>
      </w:pPr>
      <w:r w:rsidRPr="2A6C35C3">
        <w:rPr>
          <w:rFonts w:ascii="Verdana" w:hAnsi="Verdana"/>
          <w:i w:val="0"/>
          <w:sz w:val="20"/>
          <w:szCs w:val="20"/>
          <w:lang w:val="es-ES"/>
        </w:rPr>
        <w:t>El 2 de agosto de 2004, Reyes Alpízar denunció su situación al Presidente de la República, pero el 13 de septiembre de 2004 fue informado que “el titular del ejecutivo federal no está investido de facultad legal alguna para intervenir o influir en dicho asunto”</w:t>
      </w:r>
      <w:r w:rsidRPr="2A6C35C3">
        <w:rPr>
          <w:rStyle w:val="Refdenotaalpie"/>
          <w:rFonts w:ascii="Verdana" w:hAnsi="Verdana"/>
          <w:i w:val="0"/>
          <w:sz w:val="20"/>
          <w:lang w:val="es-ES"/>
        </w:rPr>
        <w:footnoteReference w:id="151"/>
      </w:r>
      <w:r w:rsidRPr="3BF92891">
        <w:rPr>
          <w:rFonts w:ascii="Verdana" w:hAnsi="Verdana"/>
          <w:sz w:val="20"/>
          <w:szCs w:val="20"/>
          <w:lang w:val="es-ES"/>
        </w:rPr>
        <w:t>.</w:t>
      </w:r>
      <w:r w:rsidRPr="2A6C35C3">
        <w:rPr>
          <w:rFonts w:ascii="Verdana" w:hAnsi="Verdana"/>
          <w:i w:val="0"/>
          <w:sz w:val="20"/>
          <w:szCs w:val="20"/>
          <w:lang w:val="es-ES"/>
        </w:rPr>
        <w:t xml:space="preserve"> </w:t>
      </w:r>
      <w:r w:rsidR="00B41644" w:rsidRPr="2A6C35C3">
        <w:rPr>
          <w:rFonts w:ascii="Verdana" w:hAnsi="Verdana"/>
          <w:i w:val="0"/>
          <w:sz w:val="20"/>
          <w:szCs w:val="20"/>
          <w:lang w:val="es-ES"/>
        </w:rPr>
        <w:t>En el año 2007, Daniel García y Reyes Alpízar presentaron dos quejas ante la Comisión Nacional de Derechos Humanos (CNDH), la cual se declaró incompetente. En el contexto de otra queja el año 2008 la CNDH determinó que no existían “lesiones al exterior derivado de que han transcurrido seis años y, por consiguiente, en esos momentos el doctor perito no contó con elementos técnicos ni médicos que permitieran acreditar o descartar las lesiones y torturas referidas por el agraviado”</w:t>
      </w:r>
      <w:r w:rsidR="00B41644" w:rsidRPr="2A6C35C3">
        <w:rPr>
          <w:rStyle w:val="Refdenotaalpie"/>
          <w:rFonts w:ascii="Verdana" w:hAnsi="Verdana"/>
          <w:i w:val="0"/>
          <w:sz w:val="20"/>
          <w:lang w:val="es-ES"/>
        </w:rPr>
        <w:footnoteReference w:id="152"/>
      </w:r>
      <w:r w:rsidR="00B41644" w:rsidRPr="3BF92891">
        <w:rPr>
          <w:rFonts w:ascii="Verdana" w:hAnsi="Verdana"/>
          <w:sz w:val="20"/>
          <w:szCs w:val="20"/>
          <w:lang w:val="es-ES"/>
        </w:rPr>
        <w:t>.</w:t>
      </w:r>
      <w:r w:rsidR="00B41644" w:rsidRPr="2A6C35C3">
        <w:rPr>
          <w:rFonts w:ascii="Verdana" w:hAnsi="Verdana"/>
          <w:i w:val="0"/>
          <w:sz w:val="20"/>
          <w:szCs w:val="20"/>
          <w:lang w:val="es-ES"/>
        </w:rPr>
        <w:t xml:space="preserve"> El 16 de octubre de 2017, el Grupo de Trabajo sobre la Detención Arbitraria de la ONU emitió opinión calificando la detención de las presuntas víctimas como arbitraria</w:t>
      </w:r>
      <w:r w:rsidR="00B41644" w:rsidRPr="2A6C35C3">
        <w:rPr>
          <w:rStyle w:val="Refdenotaalpie"/>
          <w:rFonts w:ascii="Verdana" w:hAnsi="Verdana"/>
          <w:i w:val="0"/>
          <w:sz w:val="20"/>
          <w:lang w:val="es-ES"/>
        </w:rPr>
        <w:footnoteReference w:id="153"/>
      </w:r>
      <w:r w:rsidR="00B41644" w:rsidRPr="2A6C35C3">
        <w:rPr>
          <w:rFonts w:ascii="Verdana" w:hAnsi="Verdana"/>
          <w:i w:val="0"/>
          <w:sz w:val="20"/>
          <w:szCs w:val="20"/>
          <w:lang w:val="es-ES"/>
        </w:rPr>
        <w:t>.</w:t>
      </w:r>
    </w:p>
    <w:p w14:paraId="2117D041" w14:textId="1EEEEC12" w:rsidR="008A0444" w:rsidRPr="001C5F21" w:rsidRDefault="008A0444" w:rsidP="008A0444">
      <w:pPr>
        <w:pStyle w:val="Estilo1"/>
        <w:widowControl w:val="0"/>
        <w:tabs>
          <w:tab w:val="left" w:pos="0"/>
          <w:tab w:val="left" w:pos="567"/>
          <w:tab w:val="num" w:pos="12305"/>
        </w:tabs>
        <w:spacing w:before="240" w:after="240"/>
        <w:ind w:left="567" w:right="-6" w:firstLine="0"/>
        <w:jc w:val="both"/>
        <w:textAlignment w:val="baseline"/>
        <w:outlineLvl w:val="2"/>
        <w:rPr>
          <w:rFonts w:ascii="Verdana" w:hAnsi="Verdana"/>
          <w:iCs/>
          <w:sz w:val="20"/>
          <w:szCs w:val="20"/>
          <w:lang w:val="es-ES"/>
        </w:rPr>
      </w:pPr>
      <w:bookmarkStart w:id="79" w:name="_Toc132133910"/>
      <w:r w:rsidRPr="00D04822">
        <w:rPr>
          <w:rFonts w:ascii="Verdana" w:hAnsi="Verdana"/>
          <w:iCs/>
          <w:sz w:val="20"/>
          <w:szCs w:val="20"/>
          <w:lang w:val="es-ES"/>
        </w:rPr>
        <w:t>F.2. Sobre las denuncias por los hechos de tortura que habrían sufrido Reyes Alpízar Ortiz</w:t>
      </w:r>
      <w:bookmarkEnd w:id="79"/>
      <w:r w:rsidRPr="00D04822">
        <w:rPr>
          <w:rFonts w:ascii="Verdana" w:hAnsi="Verdana"/>
          <w:iCs/>
          <w:sz w:val="20"/>
          <w:szCs w:val="20"/>
          <w:lang w:val="es-ES"/>
        </w:rPr>
        <w:t xml:space="preserve"> </w:t>
      </w:r>
    </w:p>
    <w:p w14:paraId="5A4286FA" w14:textId="7B8B3BD7" w:rsidR="008A0444" w:rsidRPr="00D04822" w:rsidRDefault="008A0444" w:rsidP="008A0444">
      <w:pPr>
        <w:pStyle w:val="Estilo1"/>
        <w:widowControl w:val="0"/>
        <w:tabs>
          <w:tab w:val="left" w:pos="0"/>
          <w:tab w:val="left" w:pos="567"/>
          <w:tab w:val="num" w:pos="12305"/>
        </w:tabs>
        <w:spacing w:before="240" w:after="240"/>
        <w:ind w:left="567" w:right="-6" w:firstLine="142"/>
        <w:jc w:val="both"/>
        <w:textAlignment w:val="baseline"/>
        <w:outlineLvl w:val="3"/>
        <w:rPr>
          <w:rFonts w:ascii="Verdana" w:hAnsi="Verdana"/>
          <w:iCs/>
          <w:sz w:val="20"/>
          <w:szCs w:val="20"/>
          <w:lang w:val="es-ES"/>
        </w:rPr>
      </w:pPr>
      <w:r w:rsidRPr="00D04822">
        <w:rPr>
          <w:rFonts w:ascii="Verdana" w:hAnsi="Verdana"/>
          <w:iCs/>
          <w:sz w:val="20"/>
          <w:szCs w:val="20"/>
          <w:lang w:val="es-ES"/>
        </w:rPr>
        <w:t xml:space="preserve">a) Sobre la averiguación previa </w:t>
      </w:r>
      <w:bookmarkStart w:id="80" w:name="_Hlk120804804"/>
      <w:r w:rsidRPr="00D04822">
        <w:rPr>
          <w:rFonts w:ascii="Verdana" w:hAnsi="Verdana"/>
          <w:iCs/>
          <w:sz w:val="20"/>
          <w:szCs w:val="20"/>
          <w:lang w:val="es-ES"/>
        </w:rPr>
        <w:t>TLA/MR/III/1973/2006</w:t>
      </w:r>
      <w:bookmarkEnd w:id="80"/>
      <w:r w:rsidRPr="00D04822">
        <w:rPr>
          <w:rFonts w:ascii="Verdana" w:hAnsi="Verdana"/>
          <w:iCs/>
          <w:sz w:val="20"/>
          <w:szCs w:val="20"/>
          <w:lang w:val="es-ES"/>
        </w:rPr>
        <w:t xml:space="preserve"> para el caso de Reyes Alpízar Ortiz</w:t>
      </w:r>
    </w:p>
    <w:p w14:paraId="4540FAC3" w14:textId="77777777" w:rsidR="008A0444" w:rsidRPr="009D520B" w:rsidRDefault="008A0444" w:rsidP="008A0444">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2A6C35C3">
        <w:rPr>
          <w:rFonts w:ascii="Verdana" w:hAnsi="Verdana"/>
          <w:i w:val="0"/>
          <w:sz w:val="20"/>
          <w:szCs w:val="20"/>
          <w:lang w:val="es-ES"/>
        </w:rPr>
        <w:t>El 29 de diciembre de 2006, se inició la averiguación previa TLA/MR/III/1973/2006, en atención al escrito signado por Reyes Alpízar Ortiz, en el que denunció hechos posiblemente constitutivos de delito de tortura en su agravio</w:t>
      </w:r>
      <w:r w:rsidRPr="2A6C35C3">
        <w:rPr>
          <w:rStyle w:val="Refdenotaalpie"/>
          <w:rFonts w:ascii="Verdana" w:hAnsi="Verdana"/>
          <w:i w:val="0"/>
          <w:sz w:val="20"/>
          <w:lang w:val="es-ES"/>
        </w:rPr>
        <w:footnoteReference w:id="154"/>
      </w:r>
      <w:r w:rsidRPr="2A6C35C3">
        <w:rPr>
          <w:rFonts w:ascii="Verdana" w:hAnsi="Verdana"/>
          <w:i w:val="0"/>
          <w:sz w:val="20"/>
          <w:szCs w:val="20"/>
          <w:lang w:val="es-ES"/>
        </w:rPr>
        <w:t>.</w:t>
      </w:r>
    </w:p>
    <w:p w14:paraId="68E0F1CA" w14:textId="77777777" w:rsidR="008A0444" w:rsidRPr="009D520B" w:rsidRDefault="008A0444" w:rsidP="008A0444">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009D520B">
        <w:rPr>
          <w:rFonts w:ascii="Verdana" w:hAnsi="Verdana"/>
          <w:i w:val="0"/>
          <w:sz w:val="20"/>
          <w:szCs w:val="20"/>
          <w:lang w:val="es-ES_tradnl"/>
        </w:rPr>
        <w:t>El 24 de mayo de 2013, el Juez Tercero Penal de Primera Instancia del Distrito Judicial de Tlalnepantla, ordenó el inicio de la investigación por el delito de tortura, en agravio de Daniel García Rodríguez, así mismo, remitió copia certificada de la declaración preparatoria de fecha 11 de abril de 2002. Por lo anterior, se inició la averiguación previa TLA/MR/I/15/2013, que se acumuló a la principal TLA/MR/III/1973/2006. Dicha investigación llevó al Ministerio Público de la Fiscalía Especializada en Combate a la Corrupción a que el 26 de abril de 2018 resolviera no ejercer la acción penal.</w:t>
      </w:r>
    </w:p>
    <w:p w14:paraId="18A8C241" w14:textId="77777777" w:rsidR="008A0444" w:rsidRPr="009D520B" w:rsidRDefault="008A0444" w:rsidP="008A0444">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2A6C35C3">
        <w:rPr>
          <w:rFonts w:ascii="Verdana" w:hAnsi="Verdana"/>
          <w:i w:val="0"/>
          <w:sz w:val="20"/>
          <w:szCs w:val="20"/>
          <w:lang w:val="es-ES"/>
        </w:rPr>
        <w:t>El Estado indicó sin que fuera controvertido, que la Fiscalía Especial para la Investigación del Delito de Tortura practicó más de 500 diligencias en el marco de esa averiguación previa</w:t>
      </w:r>
      <w:r w:rsidRPr="2A6C35C3">
        <w:rPr>
          <w:rStyle w:val="Refdenotaalpie"/>
          <w:rFonts w:ascii="Verdana" w:hAnsi="Verdana"/>
          <w:i w:val="0"/>
          <w:sz w:val="20"/>
          <w:lang w:val="es-ES"/>
        </w:rPr>
        <w:footnoteReference w:id="155"/>
      </w:r>
      <w:r w:rsidRPr="2A6C35C3">
        <w:rPr>
          <w:rFonts w:ascii="Verdana" w:hAnsi="Verdana"/>
          <w:i w:val="0"/>
          <w:sz w:val="20"/>
          <w:szCs w:val="20"/>
          <w:lang w:val="es-ES"/>
        </w:rPr>
        <w:t>.</w:t>
      </w:r>
    </w:p>
    <w:p w14:paraId="1D30F25C" w14:textId="77777777" w:rsidR="008A0444" w:rsidRPr="009D520B" w:rsidRDefault="008A0444" w:rsidP="2A6C35C3">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ES"/>
        </w:rPr>
      </w:pPr>
      <w:r w:rsidRPr="2A6C35C3">
        <w:rPr>
          <w:rFonts w:ascii="Verdana" w:hAnsi="Verdana"/>
          <w:i w:val="0"/>
          <w:sz w:val="20"/>
          <w:szCs w:val="20"/>
          <w:lang w:val="es-ES"/>
        </w:rPr>
        <w:t xml:space="preserve">El Fiscal Regional de Tlalnepantla el 27 de abril de 2018, emitió resolución en la que confirmó </w:t>
      </w:r>
      <w:r w:rsidRPr="2A6C35C3">
        <w:rPr>
          <w:rFonts w:ascii="Verdana" w:hAnsi="Verdana"/>
          <w:i w:val="0"/>
          <w:sz w:val="20"/>
          <w:szCs w:val="20"/>
          <w:lang w:val="es-ES"/>
        </w:rPr>
        <w:lastRenderedPageBreak/>
        <w:t>la determinación de no ejercicio de la acción penal</w:t>
      </w:r>
      <w:r w:rsidRPr="2A6C35C3">
        <w:rPr>
          <w:rStyle w:val="Refdenotaalpie"/>
          <w:rFonts w:ascii="Verdana" w:hAnsi="Verdana"/>
          <w:i w:val="0"/>
          <w:sz w:val="20"/>
          <w:lang w:val="es-ES"/>
        </w:rPr>
        <w:footnoteReference w:id="156"/>
      </w:r>
      <w:r w:rsidRPr="2A6C35C3">
        <w:rPr>
          <w:rFonts w:ascii="Verdana" w:hAnsi="Verdana"/>
          <w:i w:val="0"/>
          <w:sz w:val="20"/>
          <w:szCs w:val="20"/>
          <w:lang w:val="es-ES"/>
        </w:rPr>
        <w:t>.</w:t>
      </w:r>
    </w:p>
    <w:p w14:paraId="79CE767B" w14:textId="77777777" w:rsidR="008A0444" w:rsidRPr="009D520B" w:rsidRDefault="008A0444" w:rsidP="008A0444">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009D520B">
        <w:rPr>
          <w:rFonts w:ascii="Verdana" w:hAnsi="Verdana"/>
          <w:i w:val="0"/>
          <w:sz w:val="20"/>
          <w:szCs w:val="20"/>
          <w:lang w:val="es-ES_tradnl"/>
        </w:rPr>
        <w:t>El 30 de abril de 2018 y el 01 de mayo de 2018, se notificó esta decisión a Daniel García Rodríguez y Reyes Alpízar Ortiz, respectivamente, quienes solicitaron la revisión de la confirmación del no ejercicio de la acción penal. El 10 de octubre de 2018, se remitió la averiguación previa a la FGJEM, para la sustanciación de la revisión solicitada por las víctimas.</w:t>
      </w:r>
    </w:p>
    <w:p w14:paraId="00A43C55" w14:textId="77777777" w:rsidR="008A0444" w:rsidRPr="009D520B" w:rsidRDefault="008A0444" w:rsidP="008A0444">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009D520B">
        <w:rPr>
          <w:rFonts w:ascii="Verdana" w:hAnsi="Verdana"/>
          <w:i w:val="0"/>
          <w:sz w:val="20"/>
          <w:szCs w:val="20"/>
          <w:lang w:val="es-ES_tradnl"/>
        </w:rPr>
        <w:t>El 24 de octubre de 2018, la Visitadora General de la PGJEM, confirmó la negativa al ejercicio de la acción penal que emitió el Fiscal Regional de Tlalnepantla, resolución notificada el 16 y 30 de noviembre de 2018 a Daniel García Rodríguez y Reyes Alpízar Ortiz, respectivamente. Los denunciantes promovieron juicio de amparo 1760/2017, del Juzgado Segundo de Distrito en el Estado de México, contra la resolución de la Visitadora General, en el que se confirmó la determinación del no ejercicio de la acción penal; por lo cual, los peticionarios interpusieron recurso de revisión 149/2019, que se radicó ante el Cuarto Tribunal Colegiado en Materia Penal del Segundo Circuito, los magistrados concedieron el amparo y protección de la Justicia Federal, contra el no ejercicio de la acción penal dictado en la averiguación previa TLA/MR/III/1973/2006, y se ordenó la práctica de varias diligencias.</w:t>
      </w:r>
    </w:p>
    <w:p w14:paraId="37AB2EDE" w14:textId="77777777" w:rsidR="008A0444" w:rsidRPr="009D520B" w:rsidRDefault="008A0444" w:rsidP="008A0444">
      <w:pPr>
        <w:pStyle w:val="Estilo1"/>
        <w:widowControl w:val="0"/>
        <w:numPr>
          <w:ilvl w:val="0"/>
          <w:numId w:val="2"/>
        </w:numPr>
        <w:tabs>
          <w:tab w:val="left" w:pos="0"/>
          <w:tab w:val="left" w:pos="567"/>
          <w:tab w:val="num" w:pos="1569"/>
          <w:tab w:val="num" w:pos="12305"/>
        </w:tabs>
        <w:adjustRightInd w:val="0"/>
        <w:ind w:left="0" w:right="-4" w:firstLine="0"/>
        <w:jc w:val="both"/>
        <w:textAlignment w:val="baseline"/>
        <w:rPr>
          <w:rFonts w:ascii="Verdana" w:hAnsi="Verdana"/>
          <w:i w:val="0"/>
          <w:sz w:val="20"/>
          <w:szCs w:val="20"/>
          <w:lang w:val="es-ES_tradnl"/>
        </w:rPr>
      </w:pPr>
      <w:r w:rsidRPr="009D520B">
        <w:rPr>
          <w:rFonts w:ascii="Verdana" w:hAnsi="Verdana"/>
          <w:i w:val="0"/>
          <w:sz w:val="20"/>
          <w:szCs w:val="20"/>
          <w:lang w:val="es-ES_tradnl"/>
        </w:rPr>
        <w:t>El 26 de mayo de 2020, se remitió la averiguación previa TLA/MR/III/1973/2006, a la Fiscalía Especial para la Investigación del Delito de Tortura, en aras de continuar con la integración y practicar las diligencias ordenadas en la resolución del amparo.</w:t>
      </w:r>
    </w:p>
    <w:p w14:paraId="3D31D803" w14:textId="11DC43ED" w:rsidR="008A0444" w:rsidRPr="009D520B" w:rsidRDefault="4D38B166" w:rsidP="4D38B166">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MX"/>
        </w:rPr>
      </w:pPr>
      <w:r w:rsidRPr="4D38B166">
        <w:rPr>
          <w:rFonts w:ascii="Verdana" w:hAnsi="Verdana"/>
          <w:i w:val="0"/>
          <w:sz w:val="20"/>
          <w:szCs w:val="20"/>
          <w:lang w:val="es-MX"/>
        </w:rPr>
        <w:t>El 8 de julio de 2021, se publicó auto de fecha 7 de julio de 2021, con relación al juicio de amparo 1760/2017, del Juzgado Segundo de Distrito con residencia en Naucalpan de Juárez, Estado de México, a través del cual se tuvo por cumplida la sentencia de amparo sin excesos o defectos. Para ello, el juzgado de distrito consideró que, el 3 de mayo del 2021, se emitió resolución dentro de la averiguación previa TLA/MR/III/1973/2006, por el Agente del Ministerio Público adscrito a la Fiscalía Especial para la investigación del Delito de Tortura, con aprobación del Procurador Regional de Tlalnepantla, en Estado de México, mediante la cual se determinó el no ejercicio de la acción penal.</w:t>
      </w:r>
    </w:p>
    <w:p w14:paraId="3C38B678" w14:textId="1DD2EC9A" w:rsidR="008A0444" w:rsidRPr="00D04822" w:rsidRDefault="008A0444" w:rsidP="008A0444">
      <w:pPr>
        <w:pStyle w:val="Estilo1"/>
        <w:widowControl w:val="0"/>
        <w:tabs>
          <w:tab w:val="left" w:pos="0"/>
          <w:tab w:val="left" w:pos="567"/>
          <w:tab w:val="num" w:pos="12305"/>
        </w:tabs>
        <w:spacing w:before="240" w:after="240"/>
        <w:ind w:left="567" w:right="-6" w:firstLine="142"/>
        <w:jc w:val="both"/>
        <w:textAlignment w:val="baseline"/>
        <w:outlineLvl w:val="3"/>
        <w:rPr>
          <w:rFonts w:ascii="Verdana" w:hAnsi="Verdana"/>
          <w:iCs/>
          <w:sz w:val="20"/>
          <w:szCs w:val="20"/>
          <w:lang w:val="es-ES"/>
        </w:rPr>
      </w:pPr>
      <w:r w:rsidRPr="00D04822">
        <w:rPr>
          <w:rFonts w:ascii="Verdana" w:hAnsi="Verdana"/>
          <w:iCs/>
          <w:sz w:val="20"/>
          <w:szCs w:val="20"/>
          <w:lang w:val="es-ES"/>
        </w:rPr>
        <w:t>b) Ante la Procuraduría General de la Nación para el caso de Reyes Alpízar Ortiz</w:t>
      </w:r>
    </w:p>
    <w:p w14:paraId="66BCE917" w14:textId="2F47A1F6" w:rsidR="008A0444" w:rsidRPr="009D520B" w:rsidRDefault="008A0444" w:rsidP="4D38B166">
      <w:pPr>
        <w:pStyle w:val="Estilo1"/>
        <w:widowControl w:val="0"/>
        <w:numPr>
          <w:ilvl w:val="0"/>
          <w:numId w:val="2"/>
        </w:numPr>
        <w:tabs>
          <w:tab w:val="left" w:pos="567"/>
          <w:tab w:val="num" w:pos="1569"/>
          <w:tab w:val="num" w:pos="12305"/>
        </w:tabs>
        <w:adjustRightInd w:val="0"/>
        <w:ind w:left="0" w:right="-4" w:firstLine="0"/>
        <w:jc w:val="both"/>
        <w:textAlignment w:val="baseline"/>
        <w:rPr>
          <w:rFonts w:ascii="Verdana" w:hAnsi="Verdana"/>
          <w:i w:val="0"/>
          <w:sz w:val="20"/>
          <w:szCs w:val="20"/>
          <w:lang w:val="es-ES"/>
        </w:rPr>
      </w:pPr>
      <w:r w:rsidRPr="2A6C35C3">
        <w:rPr>
          <w:rFonts w:ascii="Verdana" w:hAnsi="Verdana"/>
          <w:i w:val="0"/>
          <w:sz w:val="20"/>
          <w:szCs w:val="20"/>
          <w:lang w:val="es-ES"/>
        </w:rPr>
        <w:t>El 29 de noviembre de 2006 Reyes Alpízar presentó una denuncia por actos de tortura ante la Procuraduría General de la República</w:t>
      </w:r>
      <w:r w:rsidRPr="2A6C35C3">
        <w:rPr>
          <w:rStyle w:val="Refdenotaalpie"/>
          <w:rFonts w:ascii="Verdana" w:hAnsi="Verdana"/>
          <w:i w:val="0"/>
          <w:sz w:val="20"/>
          <w:lang w:val="es-ES"/>
        </w:rPr>
        <w:footnoteReference w:id="157"/>
      </w:r>
      <w:r w:rsidRPr="2A6C35C3">
        <w:rPr>
          <w:rFonts w:ascii="Verdana" w:hAnsi="Verdana"/>
          <w:i w:val="0"/>
          <w:sz w:val="20"/>
          <w:szCs w:val="20"/>
          <w:lang w:val="es-ES"/>
        </w:rPr>
        <w:t>, la que, el 2 de enero de 2007, indicó que solo investigaba delitos de carácter federal y remitió el escrito la PGJEM</w:t>
      </w:r>
      <w:r w:rsidRPr="2A6C35C3">
        <w:rPr>
          <w:rStyle w:val="Refdenotaalpie"/>
          <w:rFonts w:ascii="Verdana" w:hAnsi="Verdana"/>
          <w:i w:val="0"/>
          <w:sz w:val="20"/>
          <w:lang w:val="es-ES"/>
        </w:rPr>
        <w:footnoteReference w:id="158"/>
      </w:r>
      <w:r w:rsidRPr="2A6C35C3">
        <w:rPr>
          <w:rFonts w:ascii="Verdana" w:hAnsi="Verdana"/>
          <w:i w:val="0"/>
          <w:sz w:val="20"/>
          <w:szCs w:val="20"/>
          <w:lang w:val="es-ES"/>
        </w:rPr>
        <w:t>. Esto dio lugar a una averiguación previa que conoció la Fiscalía Especializada en Combate a la Corrupción de la PGJEM. El 30 de marzo de 2018 se notificó la decisión del Ministerio Público de no ejercer</w:t>
      </w:r>
      <w:r w:rsidR="2A6C35C3" w:rsidRPr="2A6C35C3">
        <w:rPr>
          <w:rFonts w:ascii="Verdana" w:hAnsi="Verdana"/>
          <w:i w:val="0"/>
          <w:sz w:val="20"/>
          <w:szCs w:val="20"/>
          <w:lang w:val="es-ES"/>
        </w:rPr>
        <w:t xml:space="preserve"> la</w:t>
      </w:r>
      <w:r w:rsidRPr="2A6C35C3">
        <w:rPr>
          <w:rFonts w:ascii="Verdana" w:hAnsi="Verdana"/>
          <w:i w:val="0"/>
          <w:sz w:val="20"/>
          <w:szCs w:val="20"/>
          <w:lang w:val="es-ES"/>
        </w:rPr>
        <w:t xml:space="preserve"> acción penal, lo que fue confirmado por el Procurador regional de Tlalnepantla el 27 de abril de 2018</w:t>
      </w:r>
      <w:r w:rsidRPr="2A6C35C3">
        <w:rPr>
          <w:rStyle w:val="Refdenotaalpie"/>
          <w:rFonts w:ascii="Verdana" w:hAnsi="Verdana"/>
          <w:i w:val="0"/>
          <w:sz w:val="20"/>
          <w:lang w:val="es-ES"/>
        </w:rPr>
        <w:footnoteReference w:id="159"/>
      </w:r>
      <w:r w:rsidRPr="2A6C35C3">
        <w:rPr>
          <w:rFonts w:ascii="Verdana" w:hAnsi="Verdana"/>
          <w:i w:val="0"/>
          <w:sz w:val="20"/>
          <w:szCs w:val="20"/>
          <w:lang w:val="es-ES"/>
        </w:rPr>
        <w:t>.</w:t>
      </w:r>
    </w:p>
    <w:p w14:paraId="021CAA59" w14:textId="48F69BE6" w:rsidR="00A72474" w:rsidRPr="009D520B" w:rsidRDefault="00A72474" w:rsidP="005B635B">
      <w:pPr>
        <w:pStyle w:val="Ttulo1"/>
        <w:rPr>
          <w:rFonts w:ascii="Verdana" w:hAnsi="Verdana"/>
          <w:sz w:val="20"/>
          <w:lang w:val="es-ES_tradnl"/>
        </w:rPr>
      </w:pPr>
      <w:bookmarkStart w:id="81" w:name="_Toc132133911"/>
      <w:r w:rsidRPr="009D520B">
        <w:rPr>
          <w:rFonts w:ascii="Verdana" w:hAnsi="Verdana"/>
          <w:sz w:val="20"/>
          <w:lang w:val="es-ES_tradnl"/>
        </w:rPr>
        <w:t>V</w:t>
      </w:r>
      <w:r w:rsidR="0085104D" w:rsidRPr="009D520B">
        <w:rPr>
          <w:rFonts w:ascii="Verdana" w:hAnsi="Verdana"/>
          <w:sz w:val="20"/>
          <w:lang w:val="es-ES_tradnl"/>
        </w:rPr>
        <w:t>II</w:t>
      </w:r>
      <w:r w:rsidR="0088005F" w:rsidRPr="009D520B">
        <w:rPr>
          <w:rFonts w:ascii="Verdana" w:hAnsi="Verdana"/>
          <w:sz w:val="20"/>
          <w:lang w:val="es-ES_tradnl"/>
        </w:rPr>
        <w:t>I</w:t>
      </w:r>
      <w:r w:rsidR="00CB6E94" w:rsidRPr="009D520B">
        <w:rPr>
          <w:rFonts w:ascii="Verdana" w:hAnsi="Verdana"/>
          <w:color w:val="FDE9D9" w:themeColor="accent6" w:themeTint="33"/>
          <w:sz w:val="20"/>
          <w:lang w:val="es-ES_tradnl"/>
        </w:rPr>
        <w:t>.</w:t>
      </w:r>
      <w:r w:rsidRPr="009D520B">
        <w:rPr>
          <w:rFonts w:ascii="Verdana" w:hAnsi="Verdana"/>
          <w:sz w:val="20"/>
          <w:lang w:val="es-ES_tradnl"/>
        </w:rPr>
        <w:br/>
        <w:t>FONDO</w:t>
      </w:r>
      <w:bookmarkEnd w:id="54"/>
      <w:bookmarkEnd w:id="55"/>
      <w:bookmarkEnd w:id="81"/>
    </w:p>
    <w:p w14:paraId="783FBE47" w14:textId="4B397899" w:rsidR="00A72474" w:rsidRPr="009D520B" w:rsidRDefault="007A4F23" w:rsidP="00A3785F">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9D520B">
        <w:rPr>
          <w:rFonts w:ascii="Verdana" w:hAnsi="Verdana"/>
          <w:i w:val="0"/>
          <w:iCs/>
          <w:sz w:val="20"/>
          <w:szCs w:val="20"/>
          <w:lang w:val="es-ES_tradnl"/>
        </w:rPr>
        <w:t xml:space="preserve">En el presente caso, la Corte debe analizar </w:t>
      </w:r>
      <w:r w:rsidR="004F2F44" w:rsidRPr="009D520B">
        <w:rPr>
          <w:rFonts w:ascii="Verdana" w:hAnsi="Verdana"/>
          <w:i w:val="0"/>
          <w:iCs/>
          <w:sz w:val="20"/>
          <w:szCs w:val="20"/>
          <w:lang w:val="es-ES_tradnl"/>
        </w:rPr>
        <w:t xml:space="preserve">los alcances de </w:t>
      </w:r>
      <w:r w:rsidRPr="009D520B">
        <w:rPr>
          <w:rFonts w:ascii="Verdana" w:hAnsi="Verdana"/>
          <w:i w:val="0"/>
          <w:iCs/>
          <w:sz w:val="20"/>
          <w:szCs w:val="20"/>
          <w:lang w:val="es-ES_tradnl"/>
        </w:rPr>
        <w:t>la responsabilidad internacional del Estado por la alegada violación a diversos derechos co</w:t>
      </w:r>
      <w:r w:rsidR="00506221" w:rsidRPr="009D520B">
        <w:rPr>
          <w:rFonts w:ascii="Verdana" w:hAnsi="Verdana"/>
          <w:i w:val="0"/>
          <w:iCs/>
          <w:sz w:val="20"/>
          <w:szCs w:val="20"/>
          <w:lang w:val="es-ES_tradnl"/>
        </w:rPr>
        <w:t xml:space="preserve">nvencionales </w:t>
      </w:r>
      <w:r w:rsidR="00E37C5A" w:rsidRPr="009D520B">
        <w:rPr>
          <w:rFonts w:ascii="Verdana" w:hAnsi="Verdana"/>
          <w:i w:val="0"/>
          <w:iCs/>
          <w:sz w:val="20"/>
          <w:szCs w:val="20"/>
          <w:lang w:val="es-ES_tradnl"/>
        </w:rPr>
        <w:t xml:space="preserve">por </w:t>
      </w:r>
      <w:r w:rsidR="00A3785F" w:rsidRPr="009D520B">
        <w:rPr>
          <w:rFonts w:ascii="Verdana" w:hAnsi="Verdana"/>
          <w:i w:val="0"/>
          <w:iCs/>
          <w:sz w:val="20"/>
          <w:szCs w:val="20"/>
          <w:lang w:val="es-ES_tradnl"/>
        </w:rPr>
        <w:t xml:space="preserve">la detención, la </w:t>
      </w:r>
      <w:r w:rsidR="00A3785F" w:rsidRPr="009D520B">
        <w:rPr>
          <w:rFonts w:ascii="Verdana" w:hAnsi="Verdana"/>
          <w:i w:val="0"/>
          <w:iCs/>
          <w:sz w:val="20"/>
          <w:szCs w:val="20"/>
          <w:lang w:val="es-ES_tradnl"/>
        </w:rPr>
        <w:lastRenderedPageBreak/>
        <w:t xml:space="preserve">aplicación de las figuras del arraigo y de la prisión preventiva oficiosa, </w:t>
      </w:r>
      <w:r w:rsidR="005A13DD" w:rsidRPr="009D520B">
        <w:rPr>
          <w:rFonts w:ascii="Verdana" w:hAnsi="Verdana"/>
          <w:i w:val="0"/>
          <w:iCs/>
          <w:sz w:val="20"/>
          <w:szCs w:val="20"/>
          <w:lang w:val="es-ES_tradnl"/>
        </w:rPr>
        <w:t xml:space="preserve">los alegados hechos de tortura </w:t>
      </w:r>
      <w:r w:rsidR="00A3785F" w:rsidRPr="009D520B">
        <w:rPr>
          <w:rFonts w:ascii="Verdana" w:hAnsi="Verdana"/>
          <w:i w:val="0"/>
          <w:iCs/>
          <w:sz w:val="20"/>
          <w:szCs w:val="20"/>
          <w:lang w:val="es-ES_tradnl"/>
        </w:rPr>
        <w:t xml:space="preserve">y el proceso penal en contra de </w:t>
      </w:r>
      <w:r w:rsidR="005A13DD" w:rsidRPr="009D520B">
        <w:rPr>
          <w:rFonts w:ascii="Verdana" w:hAnsi="Verdana"/>
          <w:i w:val="0"/>
          <w:iCs/>
          <w:sz w:val="20"/>
          <w:szCs w:val="20"/>
          <w:lang w:val="es-ES_tradnl"/>
        </w:rPr>
        <w:t>Daniel García Rodríguez y Reyes Alpízar Ortiz</w:t>
      </w:r>
      <w:r w:rsidR="00A3785F" w:rsidRPr="009D520B">
        <w:rPr>
          <w:rFonts w:ascii="Verdana" w:hAnsi="Verdana"/>
          <w:i w:val="0"/>
          <w:iCs/>
          <w:sz w:val="20"/>
          <w:szCs w:val="20"/>
          <w:lang w:val="es-ES_tradnl"/>
        </w:rPr>
        <w:t>.</w:t>
      </w:r>
      <w:r w:rsidRPr="009D520B">
        <w:rPr>
          <w:rFonts w:ascii="Verdana" w:hAnsi="Verdana"/>
          <w:i w:val="0"/>
          <w:iCs/>
          <w:sz w:val="20"/>
          <w:szCs w:val="20"/>
          <w:lang w:val="es-ES_tradnl"/>
        </w:rPr>
        <w:t xml:space="preserve"> </w:t>
      </w:r>
      <w:r w:rsidR="00783BC4" w:rsidRPr="009D520B">
        <w:rPr>
          <w:rFonts w:ascii="Verdana" w:hAnsi="Verdana"/>
          <w:i w:val="0"/>
          <w:iCs/>
          <w:sz w:val="20"/>
          <w:szCs w:val="20"/>
          <w:lang w:val="es-ES_tradnl"/>
        </w:rPr>
        <w:t>A</w:t>
      </w:r>
      <w:r w:rsidR="00A72474" w:rsidRPr="009D520B">
        <w:rPr>
          <w:rFonts w:ascii="Verdana" w:hAnsi="Verdana"/>
          <w:i w:val="0"/>
          <w:iCs/>
          <w:sz w:val="20"/>
          <w:szCs w:val="20"/>
          <w:lang w:val="es-ES_tradnl"/>
        </w:rPr>
        <w:t xml:space="preserve"> continuación, la Corte analizará los alegatos sobre el fondo de conformidad con el siguiente orden: </w:t>
      </w:r>
      <w:r w:rsidR="00E438E2" w:rsidRPr="009D520B">
        <w:rPr>
          <w:rFonts w:ascii="Verdana" w:hAnsi="Verdana"/>
          <w:i w:val="0"/>
          <w:iCs/>
          <w:sz w:val="20"/>
          <w:szCs w:val="20"/>
          <w:lang w:val="es-ES_tradnl"/>
        </w:rPr>
        <w:t>a)</w:t>
      </w:r>
      <w:r w:rsidR="00A3785F" w:rsidRPr="009D520B">
        <w:rPr>
          <w:rFonts w:ascii="Verdana" w:hAnsi="Verdana"/>
          <w:i w:val="0"/>
          <w:iCs/>
          <w:sz w:val="20"/>
          <w:szCs w:val="20"/>
          <w:lang w:val="es-ES_tradnl"/>
        </w:rPr>
        <w:t xml:space="preserve"> </w:t>
      </w:r>
      <w:r w:rsidR="004B49B5" w:rsidRPr="009D520B">
        <w:rPr>
          <w:rFonts w:ascii="Verdana" w:hAnsi="Verdana"/>
          <w:i w:val="0"/>
          <w:iCs/>
          <w:sz w:val="20"/>
          <w:szCs w:val="20"/>
          <w:lang w:val="es-ES_tradnl"/>
        </w:rPr>
        <w:t>los</w:t>
      </w:r>
      <w:r w:rsidR="00AB7C91" w:rsidRPr="009D520B">
        <w:rPr>
          <w:rFonts w:ascii="Verdana" w:hAnsi="Verdana"/>
          <w:i w:val="0"/>
          <w:iCs/>
          <w:sz w:val="20"/>
          <w:szCs w:val="20"/>
          <w:lang w:val="es-ES_tradnl"/>
        </w:rPr>
        <w:t xml:space="preserve"> derecho</w:t>
      </w:r>
      <w:r w:rsidR="004B49B5" w:rsidRPr="009D520B">
        <w:rPr>
          <w:rFonts w:ascii="Verdana" w:hAnsi="Verdana"/>
          <w:i w:val="0"/>
          <w:iCs/>
          <w:sz w:val="20"/>
          <w:szCs w:val="20"/>
          <w:lang w:val="es-ES_tradnl"/>
        </w:rPr>
        <w:t>s</w:t>
      </w:r>
      <w:r w:rsidR="00AB7C91" w:rsidRPr="009D520B">
        <w:rPr>
          <w:rFonts w:ascii="Verdana" w:hAnsi="Verdana"/>
          <w:i w:val="0"/>
          <w:iCs/>
          <w:sz w:val="20"/>
          <w:szCs w:val="20"/>
          <w:lang w:val="es-ES_tradnl"/>
        </w:rPr>
        <w:t xml:space="preserve"> a la libertad personal</w:t>
      </w:r>
      <w:r w:rsidR="004B49B5" w:rsidRPr="009D520B">
        <w:rPr>
          <w:rFonts w:ascii="Verdana" w:hAnsi="Verdana"/>
          <w:i w:val="0"/>
          <w:iCs/>
          <w:sz w:val="20"/>
          <w:szCs w:val="20"/>
          <w:lang w:val="es-ES_tradnl"/>
        </w:rPr>
        <w:t xml:space="preserve"> y a la presunción de inocencia</w:t>
      </w:r>
      <w:r w:rsidR="00AB7C91" w:rsidRPr="009D520B">
        <w:rPr>
          <w:rFonts w:ascii="Verdana" w:hAnsi="Verdana"/>
          <w:i w:val="0"/>
          <w:iCs/>
          <w:sz w:val="20"/>
          <w:szCs w:val="20"/>
          <w:lang w:val="es-ES_tradnl"/>
        </w:rPr>
        <w:t xml:space="preserve"> en relación con la obligación de respet</w:t>
      </w:r>
      <w:r w:rsidR="00F562B8" w:rsidRPr="009D520B">
        <w:rPr>
          <w:rFonts w:ascii="Verdana" w:hAnsi="Verdana"/>
          <w:i w:val="0"/>
          <w:iCs/>
          <w:sz w:val="20"/>
          <w:szCs w:val="20"/>
          <w:lang w:val="es-ES_tradnl"/>
        </w:rPr>
        <w:t>ar los derechos</w:t>
      </w:r>
      <w:r w:rsidR="00AB7C91" w:rsidRPr="009D520B">
        <w:rPr>
          <w:rFonts w:ascii="Verdana" w:hAnsi="Verdana"/>
          <w:i w:val="0"/>
          <w:iCs/>
          <w:sz w:val="20"/>
          <w:szCs w:val="20"/>
          <w:lang w:val="es-ES_tradnl"/>
        </w:rPr>
        <w:t xml:space="preserve"> y con la obligación de adoptar disposiciones de derecho interno</w:t>
      </w:r>
      <w:r w:rsidR="00F562B8" w:rsidRPr="009D520B">
        <w:rPr>
          <w:rFonts w:ascii="Verdana" w:hAnsi="Verdana"/>
          <w:i w:val="0"/>
          <w:iCs/>
          <w:sz w:val="20"/>
          <w:szCs w:val="20"/>
          <w:lang w:val="es-ES_tradnl"/>
        </w:rPr>
        <w:t>;</w:t>
      </w:r>
      <w:r w:rsidR="00A3785F" w:rsidRPr="009D520B">
        <w:rPr>
          <w:rFonts w:ascii="Verdana" w:hAnsi="Verdana"/>
          <w:i w:val="0"/>
          <w:iCs/>
          <w:sz w:val="20"/>
          <w:szCs w:val="20"/>
          <w:lang w:val="es-ES_tradnl"/>
        </w:rPr>
        <w:t xml:space="preserve"> </w:t>
      </w:r>
      <w:r w:rsidR="0012790A" w:rsidRPr="009D520B">
        <w:rPr>
          <w:rFonts w:ascii="Verdana" w:hAnsi="Verdana"/>
          <w:i w:val="0"/>
          <w:iCs/>
          <w:sz w:val="20"/>
          <w:szCs w:val="20"/>
          <w:lang w:val="es-ES_tradnl"/>
        </w:rPr>
        <w:t>b</w:t>
      </w:r>
      <w:r w:rsidR="00EF6804" w:rsidRPr="009D520B">
        <w:rPr>
          <w:rFonts w:ascii="Verdana" w:hAnsi="Verdana"/>
          <w:i w:val="0"/>
          <w:iCs/>
          <w:sz w:val="20"/>
          <w:szCs w:val="20"/>
          <w:lang w:val="es-ES_tradnl"/>
        </w:rPr>
        <w:t>)</w:t>
      </w:r>
      <w:r w:rsidR="00AB7C91" w:rsidRPr="009D520B">
        <w:rPr>
          <w:rFonts w:ascii="Verdana" w:hAnsi="Verdana"/>
          <w:i w:val="0"/>
          <w:iCs/>
          <w:sz w:val="20"/>
          <w:szCs w:val="20"/>
          <w:lang w:val="es-ES_tradnl"/>
        </w:rPr>
        <w:t xml:space="preserve"> </w:t>
      </w:r>
      <w:r w:rsidR="009F3AC8" w:rsidRPr="009D520B">
        <w:rPr>
          <w:rFonts w:ascii="Verdana" w:hAnsi="Verdana"/>
          <w:i w:val="0"/>
          <w:iCs/>
          <w:sz w:val="20"/>
          <w:szCs w:val="20"/>
          <w:lang w:val="es-ES_tradnl"/>
        </w:rPr>
        <w:t>los</w:t>
      </w:r>
      <w:r w:rsidR="00AB7C91" w:rsidRPr="009D520B">
        <w:rPr>
          <w:rFonts w:ascii="Verdana" w:hAnsi="Verdana"/>
          <w:i w:val="0"/>
          <w:iCs/>
          <w:sz w:val="20"/>
          <w:szCs w:val="20"/>
          <w:lang w:val="es-ES_tradnl"/>
        </w:rPr>
        <w:t xml:space="preserve"> derecho</w:t>
      </w:r>
      <w:r w:rsidR="009F3AC8" w:rsidRPr="009D520B">
        <w:rPr>
          <w:rFonts w:ascii="Verdana" w:hAnsi="Verdana"/>
          <w:i w:val="0"/>
          <w:iCs/>
          <w:sz w:val="20"/>
          <w:szCs w:val="20"/>
          <w:lang w:val="es-ES_tradnl"/>
        </w:rPr>
        <w:t xml:space="preserve">s a la integridad personal </w:t>
      </w:r>
      <w:r w:rsidR="005A13DD" w:rsidRPr="009D520B">
        <w:rPr>
          <w:rFonts w:ascii="Verdana" w:hAnsi="Verdana"/>
          <w:i w:val="0"/>
          <w:iCs/>
          <w:sz w:val="20"/>
          <w:szCs w:val="20"/>
          <w:lang w:val="es-ES_tradnl"/>
        </w:rPr>
        <w:t>e</w:t>
      </w:r>
      <w:r w:rsidR="00AB7C91" w:rsidRPr="009D520B">
        <w:rPr>
          <w:rFonts w:ascii="Verdana" w:hAnsi="Verdana"/>
          <w:i w:val="0"/>
          <w:iCs/>
          <w:sz w:val="20"/>
          <w:szCs w:val="20"/>
          <w:lang w:val="es-ES_tradnl"/>
        </w:rPr>
        <w:t>n relación con la obligación de respet</w:t>
      </w:r>
      <w:r w:rsidR="00F562B8" w:rsidRPr="009D520B">
        <w:rPr>
          <w:rFonts w:ascii="Verdana" w:hAnsi="Verdana"/>
          <w:i w:val="0"/>
          <w:iCs/>
          <w:sz w:val="20"/>
          <w:szCs w:val="20"/>
          <w:lang w:val="es-ES_tradnl"/>
        </w:rPr>
        <w:t>ar los derechos</w:t>
      </w:r>
      <w:r w:rsidR="005A13DD" w:rsidRPr="009D520B">
        <w:rPr>
          <w:rFonts w:ascii="Verdana" w:hAnsi="Verdana"/>
          <w:i w:val="0"/>
          <w:iCs/>
          <w:sz w:val="20"/>
          <w:szCs w:val="20"/>
          <w:lang w:val="es-ES_tradnl"/>
        </w:rPr>
        <w:t xml:space="preserve"> y los artículos 1,6 y 8 de la CIPST</w:t>
      </w:r>
      <w:r w:rsidR="009F3AC8" w:rsidRPr="009D520B">
        <w:rPr>
          <w:rFonts w:ascii="Verdana" w:hAnsi="Verdana"/>
          <w:i w:val="0"/>
          <w:iCs/>
          <w:sz w:val="20"/>
          <w:szCs w:val="20"/>
          <w:lang w:val="es-ES_tradnl"/>
        </w:rPr>
        <w:t xml:space="preserve">, y </w:t>
      </w:r>
      <w:r w:rsidR="00187EC4" w:rsidRPr="009D520B">
        <w:rPr>
          <w:rFonts w:ascii="Verdana" w:hAnsi="Verdana"/>
          <w:i w:val="0"/>
          <w:iCs/>
          <w:sz w:val="20"/>
          <w:szCs w:val="20"/>
          <w:lang w:val="es-ES_tradnl"/>
        </w:rPr>
        <w:t xml:space="preserve">c) </w:t>
      </w:r>
      <w:r w:rsidR="009F3AC8" w:rsidRPr="009D520B">
        <w:rPr>
          <w:rFonts w:ascii="Verdana" w:hAnsi="Verdana"/>
          <w:i w:val="0"/>
          <w:iCs/>
          <w:sz w:val="20"/>
          <w:szCs w:val="20"/>
          <w:lang w:val="es-ES_tradnl"/>
        </w:rPr>
        <w:t>los derechos a la</w:t>
      </w:r>
      <w:r w:rsidR="00F562B8" w:rsidRPr="009D520B">
        <w:rPr>
          <w:rFonts w:ascii="Verdana" w:hAnsi="Verdana"/>
          <w:i w:val="0"/>
          <w:iCs/>
          <w:sz w:val="20"/>
          <w:szCs w:val="20"/>
          <w:lang w:val="es-ES_tradnl"/>
        </w:rPr>
        <w:t>s</w:t>
      </w:r>
      <w:r w:rsidR="009F3AC8" w:rsidRPr="009D520B">
        <w:rPr>
          <w:rFonts w:ascii="Verdana" w:hAnsi="Verdana"/>
          <w:i w:val="0"/>
          <w:iCs/>
          <w:sz w:val="20"/>
          <w:szCs w:val="20"/>
          <w:lang w:val="es-ES_tradnl"/>
        </w:rPr>
        <w:t xml:space="preserve"> garantías </w:t>
      </w:r>
      <w:r w:rsidR="00F562B8" w:rsidRPr="009D520B">
        <w:rPr>
          <w:rFonts w:ascii="Verdana" w:hAnsi="Verdana"/>
          <w:i w:val="0"/>
          <w:iCs/>
          <w:sz w:val="20"/>
          <w:szCs w:val="20"/>
          <w:lang w:val="es-ES_tradnl"/>
        </w:rPr>
        <w:t>y a la protección judicial en relación con la obligación de respetar los derechos.</w:t>
      </w:r>
    </w:p>
    <w:p w14:paraId="22FAAC0A" w14:textId="6392A2F9" w:rsidR="00295348" w:rsidRPr="009D520B" w:rsidRDefault="00AB7C91" w:rsidP="005B635B">
      <w:pPr>
        <w:pStyle w:val="Ttulo1"/>
        <w:ind w:firstLine="6"/>
        <w:rPr>
          <w:rFonts w:ascii="Verdana" w:hAnsi="Verdana"/>
          <w:b w:val="0"/>
          <w:bCs w:val="0"/>
          <w:caps w:val="0"/>
          <w:snapToGrid/>
          <w:sz w:val="20"/>
          <w:lang w:val="es-ES_tradnl"/>
        </w:rPr>
      </w:pPr>
      <w:bookmarkStart w:id="82" w:name="_Toc36823472"/>
      <w:bookmarkStart w:id="83" w:name="_Toc132133912"/>
      <w:r w:rsidRPr="009D520B">
        <w:rPr>
          <w:rFonts w:ascii="Verdana" w:hAnsi="Verdana"/>
          <w:caps w:val="0"/>
          <w:sz w:val="20"/>
          <w:lang w:val="es-ES_tradnl"/>
        </w:rPr>
        <w:t>VII</w:t>
      </w:r>
      <w:r w:rsidR="0088005F" w:rsidRPr="009D520B">
        <w:rPr>
          <w:rFonts w:ascii="Verdana" w:hAnsi="Verdana"/>
          <w:caps w:val="0"/>
          <w:sz w:val="20"/>
          <w:lang w:val="es-ES_tradnl"/>
        </w:rPr>
        <w:t>I</w:t>
      </w:r>
      <w:r w:rsidRPr="009D520B">
        <w:rPr>
          <w:rFonts w:ascii="Verdana" w:hAnsi="Verdana"/>
          <w:caps w:val="0"/>
          <w:sz w:val="20"/>
          <w:lang w:val="es-ES_tradnl"/>
        </w:rPr>
        <w:t>.1</w:t>
      </w:r>
      <w:r w:rsidRPr="009D520B">
        <w:rPr>
          <w:rFonts w:ascii="Verdana" w:hAnsi="Verdana"/>
          <w:caps w:val="0"/>
          <w:color w:val="FDE9D9" w:themeColor="accent6" w:themeTint="33"/>
          <w:sz w:val="20"/>
          <w:lang w:val="es-ES_tradnl"/>
        </w:rPr>
        <w:t>.</w:t>
      </w:r>
      <w:r w:rsidRPr="009D520B">
        <w:rPr>
          <w:rFonts w:ascii="Verdana" w:hAnsi="Verdana"/>
          <w:caps w:val="0"/>
          <w:sz w:val="20"/>
          <w:lang w:val="es-ES_tradnl"/>
        </w:rPr>
        <w:br/>
      </w:r>
      <w:r w:rsidR="004B49B5" w:rsidRPr="009D520B">
        <w:rPr>
          <w:rFonts w:ascii="Verdana" w:hAnsi="Verdana"/>
          <w:caps w:val="0"/>
          <w:sz w:val="20"/>
          <w:lang w:val="es-ES_tradnl"/>
        </w:rPr>
        <w:t>LOS</w:t>
      </w:r>
      <w:r w:rsidRPr="009D520B">
        <w:rPr>
          <w:rFonts w:ascii="Verdana" w:hAnsi="Verdana"/>
          <w:caps w:val="0"/>
          <w:sz w:val="20"/>
          <w:lang w:val="es-ES_tradnl"/>
        </w:rPr>
        <w:t xml:space="preserve"> DERECHO</w:t>
      </w:r>
      <w:r w:rsidR="004B49B5" w:rsidRPr="009D520B">
        <w:rPr>
          <w:rFonts w:ascii="Verdana" w:hAnsi="Verdana"/>
          <w:caps w:val="0"/>
          <w:sz w:val="20"/>
          <w:lang w:val="es-ES_tradnl"/>
        </w:rPr>
        <w:t>S</w:t>
      </w:r>
      <w:r w:rsidRPr="009D520B">
        <w:rPr>
          <w:rFonts w:ascii="Verdana" w:hAnsi="Verdana"/>
          <w:caps w:val="0"/>
          <w:sz w:val="20"/>
          <w:lang w:val="es-ES_tradnl"/>
        </w:rPr>
        <w:t xml:space="preserve"> A LA LIBERTAD PERSONAL</w:t>
      </w:r>
      <w:r w:rsidR="00A3785F" w:rsidRPr="009D520B">
        <w:rPr>
          <w:rStyle w:val="Refdenotaalpie"/>
          <w:rFonts w:ascii="Verdana" w:hAnsi="Verdana"/>
          <w:sz w:val="20"/>
          <w:lang w:val="es-ES_tradnl"/>
        </w:rPr>
        <w:footnoteReference w:id="160"/>
      </w:r>
      <w:r w:rsidRPr="009D520B">
        <w:rPr>
          <w:rFonts w:ascii="Verdana" w:hAnsi="Verdana"/>
          <w:caps w:val="0"/>
          <w:sz w:val="20"/>
          <w:lang w:val="es-ES_tradnl"/>
        </w:rPr>
        <w:t xml:space="preserve"> </w:t>
      </w:r>
      <w:r w:rsidR="004B49B5" w:rsidRPr="009D520B">
        <w:rPr>
          <w:rFonts w:ascii="Verdana" w:hAnsi="Verdana"/>
          <w:caps w:val="0"/>
          <w:sz w:val="20"/>
          <w:lang w:val="es-ES_tradnl"/>
        </w:rPr>
        <w:t>Y A LA PRESUNCIÓN DE INOCENCIA</w:t>
      </w:r>
      <w:r w:rsidR="004B49B5" w:rsidRPr="009D520B">
        <w:rPr>
          <w:rStyle w:val="Refdenotaalpie"/>
          <w:rFonts w:ascii="Verdana" w:hAnsi="Verdana"/>
          <w:sz w:val="20"/>
          <w:lang w:val="es-ES_tradnl"/>
        </w:rPr>
        <w:footnoteReference w:id="161"/>
      </w:r>
      <w:r w:rsidR="004B49B5" w:rsidRPr="009D520B">
        <w:rPr>
          <w:rFonts w:ascii="Verdana" w:hAnsi="Verdana"/>
          <w:caps w:val="0"/>
          <w:sz w:val="20"/>
          <w:lang w:val="es-ES_tradnl"/>
        </w:rPr>
        <w:t xml:space="preserve"> </w:t>
      </w:r>
      <w:r w:rsidRPr="009D520B">
        <w:rPr>
          <w:rFonts w:ascii="Verdana" w:hAnsi="Verdana"/>
          <w:caps w:val="0"/>
          <w:sz w:val="20"/>
          <w:lang w:val="es-ES_tradnl"/>
        </w:rPr>
        <w:t>EN RELACIÓN CON LA OBLIGACIÓN DE RESPE</w:t>
      </w:r>
      <w:r w:rsidR="00F562B8" w:rsidRPr="009D520B">
        <w:rPr>
          <w:rFonts w:ascii="Verdana" w:hAnsi="Verdana"/>
          <w:caps w:val="0"/>
          <w:sz w:val="20"/>
          <w:lang w:val="es-ES_tradnl"/>
        </w:rPr>
        <w:t>TAR LOS DERECHOS</w:t>
      </w:r>
      <w:r w:rsidRPr="009D520B">
        <w:rPr>
          <w:rStyle w:val="Refdenotaalpie"/>
          <w:rFonts w:ascii="Verdana" w:hAnsi="Verdana"/>
          <w:sz w:val="20"/>
          <w:lang w:val="es-ES_tradnl"/>
        </w:rPr>
        <w:footnoteReference w:id="162"/>
      </w:r>
      <w:r w:rsidRPr="009D520B">
        <w:rPr>
          <w:rFonts w:ascii="Verdana" w:hAnsi="Verdana"/>
          <w:caps w:val="0"/>
          <w:sz w:val="20"/>
          <w:lang w:val="es-ES_tradnl"/>
        </w:rPr>
        <w:t xml:space="preserve"> </w:t>
      </w:r>
      <w:bookmarkEnd w:id="82"/>
      <w:r w:rsidRPr="009D520B">
        <w:rPr>
          <w:rFonts w:ascii="Verdana" w:hAnsi="Verdana"/>
          <w:caps w:val="0"/>
          <w:sz w:val="20"/>
          <w:lang w:val="es-ES_tradnl"/>
        </w:rPr>
        <w:t>Y CON LA OBLIGACIÓN DE ADOPTAR DISPOSICIONES DE DERECHO INTERNO</w:t>
      </w:r>
      <w:r w:rsidR="00E2173F" w:rsidRPr="009D520B">
        <w:rPr>
          <w:rStyle w:val="Refdenotaalpie"/>
          <w:rFonts w:ascii="Verdana" w:hAnsi="Verdana"/>
          <w:sz w:val="20"/>
          <w:lang w:val="es-ES_tradnl"/>
        </w:rPr>
        <w:footnoteReference w:id="163"/>
      </w:r>
      <w:bookmarkEnd w:id="83"/>
    </w:p>
    <w:p w14:paraId="7E598132" w14:textId="77777777" w:rsidR="00B96431" w:rsidRPr="009D520B" w:rsidRDefault="00B96431" w:rsidP="004603BD">
      <w:pPr>
        <w:pStyle w:val="Ttulo2"/>
        <w:numPr>
          <w:ilvl w:val="0"/>
          <w:numId w:val="11"/>
        </w:numPr>
        <w:spacing w:before="240" w:after="240"/>
        <w:rPr>
          <w:rFonts w:ascii="Verdana" w:hAnsi="Verdana"/>
          <w:i/>
          <w:color w:val="auto"/>
          <w:sz w:val="20"/>
          <w:szCs w:val="20"/>
        </w:rPr>
      </w:pPr>
      <w:bookmarkStart w:id="84" w:name="_Toc36823474"/>
      <w:bookmarkStart w:id="85" w:name="_Toc132133913"/>
      <w:r w:rsidRPr="009D520B">
        <w:rPr>
          <w:rFonts w:ascii="Verdana" w:hAnsi="Verdana"/>
          <w:i/>
          <w:color w:val="auto"/>
          <w:sz w:val="20"/>
          <w:szCs w:val="20"/>
        </w:rPr>
        <w:t>Alegatos de las partes y la Comisión</w:t>
      </w:r>
      <w:bookmarkEnd w:id="84"/>
      <w:bookmarkEnd w:id="85"/>
    </w:p>
    <w:p w14:paraId="140A0929" w14:textId="55A47AEC" w:rsidR="002A77DE" w:rsidRPr="009D520B" w:rsidRDefault="00F21CCD" w:rsidP="00D73463">
      <w:pPr>
        <w:widowControl w:val="0"/>
        <w:numPr>
          <w:ilvl w:val="0"/>
          <w:numId w:val="2"/>
        </w:numPr>
        <w:tabs>
          <w:tab w:val="left" w:pos="0"/>
          <w:tab w:val="left" w:pos="567"/>
          <w:tab w:val="num" w:pos="1569"/>
          <w:tab w:val="num" w:pos="12305"/>
        </w:tabs>
        <w:adjustRightInd w:val="0"/>
        <w:spacing w:before="120" w:after="120"/>
        <w:ind w:left="0" w:right="-6" w:firstLine="0"/>
        <w:jc w:val="both"/>
        <w:textAlignment w:val="baseline"/>
        <w:rPr>
          <w:rFonts w:ascii="Verdana" w:hAnsi="Verdana"/>
          <w:b/>
          <w:iCs/>
          <w:snapToGrid w:val="0"/>
          <w:spacing w:val="-2"/>
          <w:sz w:val="20"/>
          <w:szCs w:val="20"/>
          <w:lang w:eastAsia="es-ES"/>
        </w:rPr>
      </w:pPr>
      <w:r w:rsidRPr="009D520B">
        <w:rPr>
          <w:rFonts w:ascii="Verdana" w:hAnsi="Verdana"/>
          <w:iCs/>
          <w:sz w:val="20"/>
          <w:szCs w:val="20"/>
          <w:lang w:val="es-ES_tradnl"/>
        </w:rPr>
        <w:t xml:space="preserve">A </w:t>
      </w:r>
      <w:r w:rsidR="00470D0F" w:rsidRPr="009D520B">
        <w:rPr>
          <w:rFonts w:ascii="Verdana" w:hAnsi="Verdana"/>
          <w:sz w:val="20"/>
          <w:szCs w:val="20"/>
        </w:rPr>
        <w:t>continuación</w:t>
      </w:r>
      <w:r w:rsidR="00470D0F" w:rsidRPr="009D520B">
        <w:rPr>
          <w:rFonts w:ascii="Verdana" w:hAnsi="Verdana"/>
          <w:iCs/>
          <w:sz w:val="20"/>
          <w:szCs w:val="20"/>
          <w:lang w:val="es-ES_tradnl"/>
        </w:rPr>
        <w:t>,</w:t>
      </w:r>
      <w:r w:rsidRPr="009D520B">
        <w:rPr>
          <w:rFonts w:ascii="Verdana" w:hAnsi="Verdana"/>
          <w:iCs/>
          <w:sz w:val="20"/>
          <w:szCs w:val="20"/>
          <w:lang w:val="es-ES_tradnl"/>
        </w:rPr>
        <w:t xml:space="preserve"> se </w:t>
      </w:r>
      <w:r w:rsidR="00470D0F" w:rsidRPr="009D520B">
        <w:rPr>
          <w:rFonts w:ascii="Verdana" w:hAnsi="Verdana"/>
          <w:iCs/>
          <w:sz w:val="20"/>
          <w:szCs w:val="20"/>
          <w:lang w:val="es-ES_tradnl"/>
        </w:rPr>
        <w:t xml:space="preserve">sistematizan los alegatos de las </w:t>
      </w:r>
      <w:r w:rsidR="00945E2D">
        <w:rPr>
          <w:rFonts w:ascii="Verdana" w:hAnsi="Verdana"/>
          <w:iCs/>
          <w:sz w:val="20"/>
          <w:szCs w:val="20"/>
          <w:lang w:val="es-ES_tradnl"/>
        </w:rPr>
        <w:t>p</w:t>
      </w:r>
      <w:r w:rsidR="00470D0F" w:rsidRPr="009D520B">
        <w:rPr>
          <w:rFonts w:ascii="Verdana" w:hAnsi="Verdana"/>
          <w:iCs/>
          <w:sz w:val="20"/>
          <w:szCs w:val="20"/>
          <w:lang w:val="es-ES_tradnl"/>
        </w:rPr>
        <w:t xml:space="preserve">artes y de la Comisión en relación con la responsabilidad del Estado por la vulneración a los derechos a la libertad personal y a la presunción de inocencia. </w:t>
      </w:r>
    </w:p>
    <w:p w14:paraId="6C0AD035" w14:textId="6B3CE22C" w:rsidR="00FF61DA" w:rsidRPr="009D520B" w:rsidRDefault="00FF61DA" w:rsidP="00A47E86">
      <w:pPr>
        <w:pStyle w:val="Ttulo3"/>
        <w:spacing w:before="240" w:after="240"/>
        <w:ind w:left="567"/>
        <w:jc w:val="both"/>
        <w:rPr>
          <w:rFonts w:ascii="Verdana" w:hAnsi="Verdana"/>
          <w:b w:val="0"/>
          <w:snapToGrid w:val="0"/>
          <w:spacing w:val="-2"/>
          <w:sz w:val="20"/>
          <w:szCs w:val="20"/>
          <w:lang w:eastAsia="es-ES"/>
        </w:rPr>
      </w:pPr>
      <w:bookmarkStart w:id="86" w:name="_Toc132133914"/>
      <w:r w:rsidRPr="009D520B">
        <w:rPr>
          <w:rFonts w:ascii="Verdana" w:hAnsi="Verdana"/>
          <w:b w:val="0"/>
          <w:snapToGrid w:val="0"/>
          <w:spacing w:val="-2"/>
          <w:sz w:val="20"/>
          <w:szCs w:val="20"/>
          <w:lang w:eastAsia="es-ES"/>
        </w:rPr>
        <w:t xml:space="preserve">A.1. </w:t>
      </w:r>
      <w:r w:rsidR="00654EE2" w:rsidRPr="009D520B">
        <w:rPr>
          <w:rFonts w:ascii="Verdana" w:hAnsi="Verdana"/>
          <w:b w:val="0"/>
          <w:snapToGrid w:val="0"/>
          <w:spacing w:val="-2"/>
          <w:sz w:val="20"/>
          <w:szCs w:val="20"/>
          <w:lang w:eastAsia="es-ES"/>
        </w:rPr>
        <w:t>D</w:t>
      </w:r>
      <w:r w:rsidRPr="009D520B">
        <w:rPr>
          <w:rFonts w:ascii="Verdana" w:hAnsi="Verdana"/>
          <w:b w:val="0"/>
          <w:snapToGrid w:val="0"/>
          <w:spacing w:val="-2"/>
          <w:sz w:val="20"/>
          <w:szCs w:val="20"/>
          <w:lang w:eastAsia="es-ES"/>
        </w:rPr>
        <w:t>erecho a no ser privado de la libertad ilegal</w:t>
      </w:r>
      <w:r w:rsidR="00F4744D" w:rsidRPr="009D520B">
        <w:rPr>
          <w:rFonts w:ascii="Verdana" w:hAnsi="Verdana"/>
          <w:b w:val="0"/>
          <w:snapToGrid w:val="0"/>
          <w:spacing w:val="-2"/>
          <w:sz w:val="20"/>
          <w:szCs w:val="20"/>
          <w:lang w:eastAsia="es-ES"/>
        </w:rPr>
        <w:t>mente</w:t>
      </w:r>
      <w:r w:rsidRPr="009D520B">
        <w:rPr>
          <w:rFonts w:ascii="Verdana" w:hAnsi="Verdana"/>
          <w:b w:val="0"/>
          <w:snapToGrid w:val="0"/>
          <w:spacing w:val="-2"/>
          <w:sz w:val="20"/>
          <w:szCs w:val="20"/>
          <w:lang w:eastAsia="es-ES"/>
        </w:rPr>
        <w:t xml:space="preserve"> y </w:t>
      </w:r>
      <w:r w:rsidR="000E1F35" w:rsidRPr="009D520B">
        <w:rPr>
          <w:rFonts w:ascii="Verdana" w:hAnsi="Verdana"/>
          <w:b w:val="0"/>
          <w:snapToGrid w:val="0"/>
          <w:spacing w:val="-2"/>
          <w:sz w:val="20"/>
          <w:szCs w:val="20"/>
          <w:lang w:eastAsia="es-ES"/>
        </w:rPr>
        <w:t>el derecho a ser informado sobre las razones de la detención</w:t>
      </w:r>
      <w:r w:rsidRPr="009D520B">
        <w:rPr>
          <w:rFonts w:ascii="Verdana" w:hAnsi="Verdana"/>
          <w:b w:val="0"/>
          <w:snapToGrid w:val="0"/>
          <w:spacing w:val="-2"/>
          <w:sz w:val="20"/>
          <w:szCs w:val="20"/>
          <w:lang w:eastAsia="es-ES"/>
        </w:rPr>
        <w:t>.</w:t>
      </w:r>
      <w:bookmarkEnd w:id="86"/>
    </w:p>
    <w:p w14:paraId="48C71245" w14:textId="24D3425F" w:rsidR="005835B9" w:rsidRPr="009D520B" w:rsidRDefault="4D38B166" w:rsidP="4D38B166">
      <w:pPr>
        <w:widowControl w:val="0"/>
        <w:numPr>
          <w:ilvl w:val="0"/>
          <w:numId w:val="2"/>
        </w:numPr>
        <w:tabs>
          <w:tab w:val="left" w:pos="567"/>
          <w:tab w:val="num" w:pos="1569"/>
          <w:tab w:val="num" w:pos="12305"/>
        </w:tabs>
        <w:adjustRightInd w:val="0"/>
        <w:spacing w:before="120" w:after="120"/>
        <w:ind w:left="0" w:right="-6" w:firstLine="0"/>
        <w:jc w:val="both"/>
        <w:textAlignment w:val="baseline"/>
        <w:rPr>
          <w:rFonts w:ascii="Verdana" w:hAnsi="Verdana"/>
        </w:rPr>
      </w:pPr>
      <w:r w:rsidRPr="4D38B166">
        <w:rPr>
          <w:rFonts w:ascii="Verdana" w:hAnsi="Verdana"/>
          <w:sz w:val="20"/>
          <w:szCs w:val="20"/>
        </w:rPr>
        <w:t xml:space="preserve"> La </w:t>
      </w:r>
      <w:r w:rsidRPr="4D38B166">
        <w:rPr>
          <w:rFonts w:ascii="Verdana" w:hAnsi="Verdana"/>
          <w:b/>
          <w:bCs/>
          <w:i/>
          <w:iCs/>
          <w:sz w:val="20"/>
          <w:szCs w:val="20"/>
        </w:rPr>
        <w:t>Comisión</w:t>
      </w:r>
      <w:r w:rsidRPr="4D38B166">
        <w:rPr>
          <w:rFonts w:ascii="Verdana" w:hAnsi="Verdana"/>
          <w:sz w:val="20"/>
          <w:szCs w:val="20"/>
        </w:rPr>
        <w:t xml:space="preserve"> y los </w:t>
      </w:r>
      <w:r w:rsidRPr="4D38B166">
        <w:rPr>
          <w:rFonts w:ascii="Verdana" w:hAnsi="Verdana"/>
          <w:b/>
          <w:bCs/>
          <w:i/>
          <w:iCs/>
          <w:sz w:val="20"/>
          <w:szCs w:val="20"/>
        </w:rPr>
        <w:t>representantes</w:t>
      </w:r>
      <w:r w:rsidRPr="4D38B166">
        <w:rPr>
          <w:rFonts w:ascii="Verdana" w:hAnsi="Verdana"/>
          <w:sz w:val="20"/>
          <w:szCs w:val="20"/>
        </w:rPr>
        <w:t xml:space="preserve"> sostuvieron que las presuntas víctimas fueron aprehendidas sin que se les presentara una orden judicial expedida con anterioridad a su detención y sin cumplir con las disposiciones del Código de Procedimientos </w:t>
      </w:r>
      <w:r w:rsidRPr="4D38B166">
        <w:rPr>
          <w:rFonts w:ascii="Verdana" w:hAnsi="Verdana"/>
          <w:sz w:val="20"/>
          <w:szCs w:val="20"/>
          <w:lang w:val="es-ES"/>
        </w:rPr>
        <w:t>Penales</w:t>
      </w:r>
      <w:r w:rsidRPr="4D38B166">
        <w:rPr>
          <w:rFonts w:ascii="Verdana" w:hAnsi="Verdana"/>
          <w:sz w:val="20"/>
          <w:szCs w:val="20"/>
        </w:rPr>
        <w:t xml:space="preserve">. Agregaron que solo conocieron formalmente los cargos y las razones de su detención cuando fueron puestos a disposición de un juez, </w:t>
      </w:r>
      <w:r w:rsidR="00395596">
        <w:rPr>
          <w:rFonts w:ascii="Verdana" w:hAnsi="Verdana"/>
          <w:sz w:val="20"/>
          <w:szCs w:val="20"/>
        </w:rPr>
        <w:t>47</w:t>
      </w:r>
      <w:r w:rsidRPr="4D38B166">
        <w:rPr>
          <w:rFonts w:ascii="Verdana" w:hAnsi="Verdana"/>
          <w:sz w:val="20"/>
          <w:szCs w:val="20"/>
        </w:rPr>
        <w:t xml:space="preserve"> días después de haber sido privado de libertad en el caso de Daniel García Rodríguez</w:t>
      </w:r>
      <w:r w:rsidRPr="4D38B166">
        <w:rPr>
          <w:rFonts w:ascii="Verdana" w:hAnsi="Verdana"/>
          <w:i/>
          <w:iCs/>
          <w:sz w:val="20"/>
          <w:szCs w:val="20"/>
        </w:rPr>
        <w:t xml:space="preserve"> </w:t>
      </w:r>
      <w:r w:rsidRPr="4D38B166">
        <w:rPr>
          <w:rFonts w:ascii="Verdana" w:hAnsi="Verdana"/>
          <w:sz w:val="20"/>
          <w:szCs w:val="20"/>
        </w:rPr>
        <w:t xml:space="preserve">y 34 días en el caso de Reyes Alpízar </w:t>
      </w:r>
      <w:r w:rsidR="00D349F9">
        <w:rPr>
          <w:rFonts w:ascii="Verdana" w:hAnsi="Verdana"/>
          <w:sz w:val="20"/>
          <w:szCs w:val="20"/>
        </w:rPr>
        <w:t>Ortiz</w:t>
      </w:r>
      <w:r w:rsidRPr="4D38B166">
        <w:rPr>
          <w:rFonts w:ascii="Verdana" w:hAnsi="Verdana"/>
          <w:sz w:val="20"/>
          <w:szCs w:val="20"/>
        </w:rPr>
        <w:t xml:space="preserve">. En vista de todo lo anterior, estimaron que el Estado violó los artículos 7.1, 7.2 y 7.4 en relación con el artículo 1.1 de la Convención. </w:t>
      </w:r>
    </w:p>
    <w:p w14:paraId="53F801D2" w14:textId="1A2215AF" w:rsidR="008169FB" w:rsidRPr="009D520B" w:rsidRDefault="797D2A38" w:rsidP="797D2A38">
      <w:pPr>
        <w:pStyle w:val="Estilo1"/>
        <w:widowControl w:val="0"/>
        <w:numPr>
          <w:ilvl w:val="0"/>
          <w:numId w:val="2"/>
        </w:numPr>
        <w:tabs>
          <w:tab w:val="left" w:pos="567"/>
          <w:tab w:val="num" w:pos="1569"/>
          <w:tab w:val="num" w:pos="12305"/>
        </w:tabs>
        <w:adjustRightInd w:val="0"/>
        <w:spacing w:before="120"/>
        <w:ind w:left="0" w:right="-6" w:firstLine="0"/>
        <w:jc w:val="both"/>
        <w:textAlignment w:val="baseline"/>
        <w:rPr>
          <w:rFonts w:ascii="Verdana" w:hAnsi="Verdana"/>
          <w:i w:val="0"/>
          <w:sz w:val="20"/>
          <w:szCs w:val="20"/>
          <w:lang w:val="es-CR"/>
        </w:rPr>
      </w:pPr>
      <w:r w:rsidRPr="797D2A38">
        <w:rPr>
          <w:rFonts w:ascii="Verdana" w:hAnsi="Verdana"/>
          <w:i w:val="0"/>
          <w:sz w:val="20"/>
          <w:szCs w:val="20"/>
          <w:lang w:val="es-CR"/>
        </w:rPr>
        <w:t xml:space="preserve">El </w:t>
      </w:r>
      <w:r w:rsidRPr="797D2A38">
        <w:rPr>
          <w:rFonts w:ascii="Verdana" w:hAnsi="Verdana"/>
          <w:b/>
          <w:bCs/>
          <w:sz w:val="20"/>
          <w:szCs w:val="20"/>
          <w:lang w:val="es-CR"/>
        </w:rPr>
        <w:t>Estado</w:t>
      </w:r>
      <w:r w:rsidRPr="797D2A38">
        <w:rPr>
          <w:rFonts w:ascii="Verdana" w:hAnsi="Verdana"/>
          <w:i w:val="0"/>
          <w:sz w:val="20"/>
          <w:szCs w:val="20"/>
          <w:lang w:val="es-CR"/>
        </w:rPr>
        <w:t xml:space="preserve"> indicó que a Daniel García Rodríguez se le hicieron saber todos los hechos de los cuales se le acusaba a la misma hora en que fue detenido. Sostuvo en particular que </w:t>
      </w:r>
      <w:r w:rsidRPr="797D2A38">
        <w:rPr>
          <w:rFonts w:ascii="Verdana" w:hAnsi="Verdana"/>
          <w:i w:val="0"/>
          <w:sz w:val="20"/>
          <w:szCs w:val="20"/>
          <w:lang w:val="es-ES"/>
        </w:rPr>
        <w:t xml:space="preserve">compareció de </w:t>
      </w:r>
      <w:r w:rsidRPr="797D2A38">
        <w:rPr>
          <w:rFonts w:ascii="Verdana" w:hAnsi="Verdana"/>
          <w:i w:val="0"/>
          <w:sz w:val="20"/>
          <w:szCs w:val="20"/>
          <w:lang w:val="es-CR"/>
        </w:rPr>
        <w:t>manera voluntaria a declarar ante el Ministerio Público en relación con el homicidio de María</w:t>
      </w:r>
      <w:r w:rsidRPr="797D2A38">
        <w:rPr>
          <w:rFonts w:ascii="Verdana" w:hAnsi="Verdana"/>
          <w:i w:val="0"/>
          <w:sz w:val="20"/>
          <w:szCs w:val="20"/>
          <w:lang w:val="es-ES"/>
        </w:rPr>
        <w:t xml:space="preserve"> </w:t>
      </w:r>
      <w:r w:rsidRPr="797D2A38">
        <w:rPr>
          <w:rFonts w:ascii="Verdana" w:hAnsi="Verdana"/>
          <w:i w:val="0"/>
          <w:sz w:val="20"/>
          <w:szCs w:val="20"/>
          <w:lang w:val="es-CR"/>
        </w:rPr>
        <w:t>de los Ángeles Tamés Pérez. Posteriormente, y en virtud de su declaración, fue puesto a disposición del Ministerio Público, y finalmente ese mismo día, le fue notificada por escrito la orden de arraigo dictada en su contra</w:t>
      </w:r>
      <w:r w:rsidRPr="797D2A38">
        <w:rPr>
          <w:rFonts w:ascii="Verdana" w:hAnsi="Verdana"/>
          <w:i w:val="0"/>
          <w:sz w:val="20"/>
          <w:szCs w:val="20"/>
          <w:lang w:val="es-ES"/>
        </w:rPr>
        <w:t>. En este momento se actualizó la</w:t>
      </w:r>
      <w:r w:rsidRPr="797D2A38">
        <w:rPr>
          <w:rFonts w:ascii="Verdana" w:hAnsi="Verdana"/>
          <w:i w:val="0"/>
          <w:sz w:val="20"/>
          <w:szCs w:val="20"/>
          <w:lang w:val="es-CR"/>
        </w:rPr>
        <w:t xml:space="preserve"> </w:t>
      </w:r>
      <w:r w:rsidRPr="797D2A38">
        <w:rPr>
          <w:rFonts w:ascii="Verdana" w:hAnsi="Verdana"/>
          <w:i w:val="0"/>
          <w:sz w:val="20"/>
          <w:szCs w:val="20"/>
          <w:lang w:val="es-ES"/>
        </w:rPr>
        <w:t>detención y se le hicieron saber todos los hechos de los que se le acusaba</w:t>
      </w:r>
      <w:r w:rsidRPr="797D2A38">
        <w:rPr>
          <w:rFonts w:ascii="Verdana" w:hAnsi="Verdana"/>
          <w:i w:val="0"/>
          <w:sz w:val="20"/>
          <w:szCs w:val="20"/>
          <w:lang w:val="es-CR"/>
        </w:rPr>
        <w:t xml:space="preserve">. Respecto a la situación de Reyes Alpízar Ortiz indicó que fue detenido el 25 de octubre de 2002 cuando el Grupo de Operaciones Especiales de la PGJEM le solicitó su identificación en una parada de transporte público e intentó huir. Después de ser </w:t>
      </w:r>
      <w:r w:rsidR="00E46DBD">
        <w:rPr>
          <w:rFonts w:ascii="Verdana" w:hAnsi="Verdana"/>
          <w:i w:val="0"/>
          <w:sz w:val="20"/>
          <w:szCs w:val="20"/>
          <w:lang w:val="es-CR"/>
        </w:rPr>
        <w:t>aprehendido</w:t>
      </w:r>
      <w:r w:rsidR="00E46DBD" w:rsidRPr="797D2A38">
        <w:rPr>
          <w:rFonts w:ascii="Verdana" w:hAnsi="Verdana"/>
          <w:i w:val="0"/>
          <w:sz w:val="20"/>
          <w:szCs w:val="20"/>
          <w:lang w:val="es-CR"/>
        </w:rPr>
        <w:t xml:space="preserve"> </w:t>
      </w:r>
      <w:r w:rsidRPr="797D2A38">
        <w:rPr>
          <w:rFonts w:ascii="Verdana" w:hAnsi="Verdana"/>
          <w:i w:val="0"/>
          <w:sz w:val="20"/>
          <w:szCs w:val="20"/>
          <w:lang w:val="es-CR"/>
        </w:rPr>
        <w:t xml:space="preserve">en el lugar, éste habría afirmado que sabía que lo detuvieron por el asesinato de la regidora Tamés Pérez. Además, el Estado alegó que cuando iba a ser trasladado a las oficinas de la Subprocuraduría de Justicia de Tlalnepantla, intentó sobornar a los agentes para que lo dejaran ir. El Estado sostuvo que en ese momento se le indicó que quedaba detenido por el delito de cohecho cometido en flagrancia. En esa calidad, estuvo hasta el 28 de octubre, día en que fue dictada orden de arraigo en su contra. </w:t>
      </w:r>
    </w:p>
    <w:p w14:paraId="5B07365B" w14:textId="27F61F93" w:rsidR="00FF61DA" w:rsidRPr="009D520B" w:rsidRDefault="00FF61DA" w:rsidP="00A47E86">
      <w:pPr>
        <w:pStyle w:val="Ttulo3"/>
        <w:spacing w:before="240" w:after="240"/>
        <w:ind w:left="567"/>
        <w:jc w:val="both"/>
        <w:rPr>
          <w:rFonts w:ascii="Verdana" w:hAnsi="Verdana"/>
          <w:b w:val="0"/>
          <w:snapToGrid w:val="0"/>
          <w:spacing w:val="-2"/>
          <w:sz w:val="20"/>
          <w:szCs w:val="20"/>
          <w:lang w:eastAsia="es-ES"/>
        </w:rPr>
      </w:pPr>
      <w:bookmarkStart w:id="87" w:name="_Toc132133915"/>
      <w:r w:rsidRPr="009D520B">
        <w:rPr>
          <w:rFonts w:ascii="Verdana" w:hAnsi="Verdana"/>
          <w:b w:val="0"/>
          <w:snapToGrid w:val="0"/>
          <w:spacing w:val="-2"/>
          <w:sz w:val="20"/>
          <w:szCs w:val="20"/>
          <w:lang w:eastAsia="es-ES"/>
        </w:rPr>
        <w:lastRenderedPageBreak/>
        <w:t>A.</w:t>
      </w:r>
      <w:r w:rsidR="0058795C" w:rsidRPr="009D520B">
        <w:rPr>
          <w:rFonts w:ascii="Verdana" w:hAnsi="Verdana"/>
          <w:b w:val="0"/>
          <w:snapToGrid w:val="0"/>
          <w:spacing w:val="-2"/>
          <w:sz w:val="20"/>
          <w:szCs w:val="20"/>
          <w:lang w:eastAsia="es-ES"/>
        </w:rPr>
        <w:t>2</w:t>
      </w:r>
      <w:r w:rsidRPr="009D520B">
        <w:rPr>
          <w:rFonts w:ascii="Verdana" w:hAnsi="Verdana"/>
          <w:b w:val="0"/>
          <w:snapToGrid w:val="0"/>
          <w:spacing w:val="-2"/>
          <w:sz w:val="20"/>
          <w:szCs w:val="20"/>
          <w:lang w:eastAsia="es-ES"/>
        </w:rPr>
        <w:t xml:space="preserve">. </w:t>
      </w:r>
      <w:r w:rsidR="0015208B" w:rsidRPr="009D520B">
        <w:rPr>
          <w:rFonts w:ascii="Verdana" w:hAnsi="Verdana"/>
          <w:b w:val="0"/>
          <w:snapToGrid w:val="0"/>
          <w:spacing w:val="-2"/>
          <w:sz w:val="20"/>
          <w:szCs w:val="20"/>
          <w:lang w:eastAsia="es-ES"/>
        </w:rPr>
        <w:t>Derecho a ser llevado sin demora ante un juez</w:t>
      </w:r>
      <w:bookmarkEnd w:id="87"/>
      <w:r w:rsidR="0015208B" w:rsidRPr="009D520B" w:rsidDel="0015208B">
        <w:rPr>
          <w:rFonts w:ascii="Verdana" w:hAnsi="Verdana"/>
          <w:b w:val="0"/>
          <w:snapToGrid w:val="0"/>
          <w:spacing w:val="-2"/>
          <w:sz w:val="20"/>
          <w:szCs w:val="20"/>
          <w:lang w:eastAsia="es-ES"/>
        </w:rPr>
        <w:t xml:space="preserve"> </w:t>
      </w:r>
    </w:p>
    <w:p w14:paraId="677F1119" w14:textId="684B442A" w:rsidR="008169FB" w:rsidRPr="009D520B" w:rsidRDefault="008169FB" w:rsidP="008169FB">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9D520B">
        <w:rPr>
          <w:rFonts w:ascii="Verdana" w:hAnsi="Verdana"/>
          <w:i w:val="0"/>
          <w:iCs/>
          <w:sz w:val="20"/>
          <w:szCs w:val="20"/>
          <w:lang w:val="es-ES_tradnl"/>
        </w:rPr>
        <w:t xml:space="preserve">La </w:t>
      </w:r>
      <w:r w:rsidRPr="009D520B">
        <w:rPr>
          <w:rFonts w:ascii="Verdana" w:hAnsi="Verdana"/>
          <w:b/>
          <w:bCs/>
          <w:sz w:val="20"/>
          <w:szCs w:val="20"/>
          <w:lang w:val="es-ES_tradnl"/>
        </w:rPr>
        <w:t>Comisión</w:t>
      </w:r>
      <w:r w:rsidRPr="009D520B">
        <w:rPr>
          <w:rFonts w:ascii="Verdana" w:hAnsi="Verdana"/>
          <w:i w:val="0"/>
          <w:iCs/>
          <w:sz w:val="20"/>
          <w:szCs w:val="20"/>
          <w:lang w:val="es-ES_tradnl"/>
        </w:rPr>
        <w:t xml:space="preserve"> y los </w:t>
      </w:r>
      <w:r w:rsidRPr="009D520B">
        <w:rPr>
          <w:rFonts w:ascii="Verdana" w:hAnsi="Verdana"/>
          <w:b/>
          <w:bCs/>
          <w:sz w:val="20"/>
          <w:szCs w:val="20"/>
          <w:lang w:val="es-ES_tradnl"/>
        </w:rPr>
        <w:t>representantes</w:t>
      </w:r>
      <w:r w:rsidRPr="009D520B">
        <w:rPr>
          <w:rFonts w:ascii="Verdana" w:hAnsi="Verdana"/>
          <w:i w:val="0"/>
          <w:iCs/>
          <w:sz w:val="20"/>
          <w:szCs w:val="20"/>
          <w:lang w:val="es-ES_tradnl"/>
        </w:rPr>
        <w:t xml:space="preserve"> alegaron que la detención de Daniel García </w:t>
      </w:r>
      <w:r w:rsidR="00654EE2" w:rsidRPr="009D520B">
        <w:rPr>
          <w:rFonts w:ascii="Verdana" w:hAnsi="Verdana"/>
          <w:i w:val="0"/>
          <w:iCs/>
          <w:sz w:val="20"/>
          <w:szCs w:val="20"/>
          <w:lang w:val="es-ES_tradnl"/>
        </w:rPr>
        <w:t xml:space="preserve">Rodríguez </w:t>
      </w:r>
      <w:r w:rsidRPr="009D520B">
        <w:rPr>
          <w:rFonts w:ascii="Verdana" w:hAnsi="Verdana"/>
          <w:i w:val="0"/>
          <w:iCs/>
          <w:sz w:val="20"/>
          <w:szCs w:val="20"/>
          <w:lang w:val="es-ES_tradnl"/>
        </w:rPr>
        <w:t>ocurrió el 25 de febrero de 2002 y la de Reyes Alpízar</w:t>
      </w:r>
      <w:r w:rsidR="007C78FA" w:rsidRPr="009D520B">
        <w:rPr>
          <w:rFonts w:ascii="Verdana" w:hAnsi="Verdana"/>
          <w:i w:val="0"/>
          <w:iCs/>
          <w:sz w:val="20"/>
          <w:szCs w:val="20"/>
          <w:lang w:val="es-ES_tradnl"/>
        </w:rPr>
        <w:t xml:space="preserve"> Ortiz </w:t>
      </w:r>
      <w:r w:rsidRPr="009D520B">
        <w:rPr>
          <w:rFonts w:ascii="Verdana" w:hAnsi="Verdana"/>
          <w:i w:val="0"/>
          <w:iCs/>
          <w:sz w:val="20"/>
          <w:szCs w:val="20"/>
          <w:lang w:val="es-ES_tradnl"/>
        </w:rPr>
        <w:t>el 25 de octubre</w:t>
      </w:r>
      <w:r w:rsidR="00444CB5" w:rsidRPr="009D520B">
        <w:rPr>
          <w:rFonts w:ascii="Verdana" w:hAnsi="Verdana"/>
          <w:i w:val="0"/>
          <w:iCs/>
          <w:sz w:val="20"/>
          <w:szCs w:val="20"/>
          <w:lang w:val="es-ES_tradnl"/>
        </w:rPr>
        <w:t xml:space="preserve"> del mismo año</w:t>
      </w:r>
      <w:r w:rsidRPr="009D520B">
        <w:rPr>
          <w:rFonts w:ascii="Verdana" w:hAnsi="Verdana"/>
          <w:i w:val="0"/>
          <w:iCs/>
          <w:sz w:val="20"/>
          <w:szCs w:val="20"/>
          <w:lang w:val="es-ES_tradnl"/>
        </w:rPr>
        <w:t xml:space="preserve">. El mismo día del arresto de Daniel García, el Juez Quinto Penal decretó su arraigo. En el caso de Reyes Alpízar, el arraigo fue decretado el 28 de octubre. Sostuvieron que las presuntas víctimas comparecieron ante un juez </w:t>
      </w:r>
      <w:r w:rsidR="00E46DBD">
        <w:rPr>
          <w:rFonts w:ascii="Verdana" w:hAnsi="Verdana"/>
          <w:i w:val="0"/>
          <w:iCs/>
          <w:sz w:val="20"/>
          <w:szCs w:val="20"/>
          <w:lang w:val="es-ES_tradnl"/>
        </w:rPr>
        <w:t>los</w:t>
      </w:r>
      <w:r w:rsidRPr="009D520B">
        <w:rPr>
          <w:rFonts w:ascii="Verdana" w:hAnsi="Verdana"/>
          <w:i w:val="0"/>
          <w:iCs/>
          <w:sz w:val="20"/>
          <w:szCs w:val="20"/>
          <w:lang w:val="es-ES_tradnl"/>
        </w:rPr>
        <w:t xml:space="preserve"> 11 de abril y 28 de noviembre de 2002, respectivamente; es decir, </w:t>
      </w:r>
      <w:r w:rsidR="00395596">
        <w:rPr>
          <w:rFonts w:ascii="Verdana" w:hAnsi="Verdana"/>
          <w:i w:val="0"/>
          <w:iCs/>
          <w:sz w:val="20"/>
          <w:szCs w:val="20"/>
          <w:lang w:val="es-ES_tradnl"/>
        </w:rPr>
        <w:t>47</w:t>
      </w:r>
      <w:r w:rsidRPr="009D520B">
        <w:rPr>
          <w:rFonts w:ascii="Verdana" w:hAnsi="Verdana"/>
          <w:i w:val="0"/>
          <w:iCs/>
          <w:sz w:val="20"/>
          <w:szCs w:val="20"/>
          <w:lang w:val="es-ES_tradnl"/>
        </w:rPr>
        <w:t xml:space="preserve"> y 34 días más tarde. Agregaron que el decreto del arraigo no es equiparable al control judicial exigido por el artículo 7.5, pues no se desprende que las presuntas víctimas hayan comparecido ante una autoridad judicial en los términos requeridos. Concluyeron que el Estado vulneró el derecho establecido en el artículo 7.5 de la Convención</w:t>
      </w:r>
      <w:r w:rsidR="00E46DBD">
        <w:rPr>
          <w:rFonts w:ascii="Verdana" w:hAnsi="Verdana"/>
          <w:i w:val="0"/>
          <w:iCs/>
          <w:sz w:val="20"/>
          <w:szCs w:val="20"/>
          <w:lang w:val="es-ES_tradnl"/>
        </w:rPr>
        <w:t xml:space="preserve"> Americana</w:t>
      </w:r>
      <w:r w:rsidRPr="009D520B">
        <w:rPr>
          <w:rFonts w:ascii="Verdana" w:hAnsi="Verdana"/>
          <w:i w:val="0"/>
          <w:iCs/>
          <w:sz w:val="20"/>
          <w:szCs w:val="20"/>
          <w:lang w:val="es-ES_tradnl"/>
        </w:rPr>
        <w:t>.</w:t>
      </w:r>
    </w:p>
    <w:p w14:paraId="0A3430F0" w14:textId="36A44081" w:rsidR="003F35BE" w:rsidRPr="009D520B" w:rsidRDefault="003F35BE" w:rsidP="008169FB">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9D520B">
        <w:rPr>
          <w:rFonts w:ascii="Verdana" w:hAnsi="Verdana"/>
          <w:i w:val="0"/>
          <w:iCs/>
          <w:sz w:val="20"/>
          <w:szCs w:val="20"/>
          <w:lang w:val="es-ES_tradnl"/>
        </w:rPr>
        <w:t xml:space="preserve">Por su parte el </w:t>
      </w:r>
      <w:r w:rsidRPr="009D520B">
        <w:rPr>
          <w:rFonts w:ascii="Verdana" w:hAnsi="Verdana"/>
          <w:b/>
          <w:bCs/>
          <w:sz w:val="20"/>
          <w:szCs w:val="20"/>
          <w:lang w:val="es-ES_tradnl"/>
        </w:rPr>
        <w:t>Estado</w:t>
      </w:r>
      <w:r w:rsidRPr="009D520B">
        <w:rPr>
          <w:rFonts w:ascii="Verdana" w:hAnsi="Verdana"/>
          <w:i w:val="0"/>
          <w:iCs/>
          <w:sz w:val="20"/>
          <w:szCs w:val="20"/>
          <w:lang w:val="es-ES_tradnl"/>
        </w:rPr>
        <w:t xml:space="preserve"> </w:t>
      </w:r>
      <w:r w:rsidR="001C4188" w:rsidRPr="009D520B">
        <w:rPr>
          <w:rFonts w:ascii="Verdana" w:hAnsi="Verdana"/>
          <w:i w:val="0"/>
          <w:iCs/>
          <w:sz w:val="20"/>
          <w:szCs w:val="20"/>
          <w:lang w:val="es-ES_tradnl"/>
        </w:rPr>
        <w:t>no presentó un alegato específico sobre este punto.</w:t>
      </w:r>
      <w:r w:rsidRPr="009D520B">
        <w:rPr>
          <w:rFonts w:ascii="Verdana" w:hAnsi="Verdana"/>
          <w:i w:val="0"/>
          <w:iCs/>
          <w:sz w:val="20"/>
          <w:szCs w:val="20"/>
          <w:lang w:val="es-ES_tradnl"/>
        </w:rPr>
        <w:t xml:space="preserve"> </w:t>
      </w:r>
    </w:p>
    <w:p w14:paraId="552E68D7" w14:textId="7DFC8ED9" w:rsidR="00A00AEB" w:rsidRPr="009D520B" w:rsidRDefault="00A00AEB" w:rsidP="0053355D">
      <w:pPr>
        <w:pStyle w:val="Ttulo3"/>
        <w:spacing w:before="240" w:after="240"/>
        <w:ind w:left="709" w:hanging="142"/>
        <w:jc w:val="both"/>
        <w:rPr>
          <w:rFonts w:ascii="Verdana" w:hAnsi="Verdana"/>
          <w:b w:val="0"/>
          <w:snapToGrid w:val="0"/>
          <w:spacing w:val="-2"/>
          <w:sz w:val="20"/>
          <w:szCs w:val="20"/>
          <w:lang w:eastAsia="es-ES"/>
        </w:rPr>
      </w:pPr>
      <w:bookmarkStart w:id="88" w:name="_Toc132133916"/>
      <w:r w:rsidRPr="009D520B">
        <w:rPr>
          <w:rFonts w:ascii="Verdana" w:hAnsi="Verdana"/>
          <w:b w:val="0"/>
          <w:snapToGrid w:val="0"/>
          <w:spacing w:val="-2"/>
          <w:sz w:val="20"/>
          <w:szCs w:val="20"/>
          <w:lang w:eastAsia="es-ES"/>
        </w:rPr>
        <w:t>A.</w:t>
      </w:r>
      <w:r w:rsidR="0058795C" w:rsidRPr="009D520B">
        <w:rPr>
          <w:rFonts w:ascii="Verdana" w:hAnsi="Verdana"/>
          <w:b w:val="0"/>
          <w:snapToGrid w:val="0"/>
          <w:spacing w:val="-2"/>
          <w:sz w:val="20"/>
          <w:szCs w:val="20"/>
          <w:lang w:eastAsia="es-ES"/>
        </w:rPr>
        <w:t>3</w:t>
      </w:r>
      <w:r w:rsidRPr="009D520B">
        <w:rPr>
          <w:rFonts w:ascii="Verdana" w:hAnsi="Verdana"/>
          <w:b w:val="0"/>
          <w:snapToGrid w:val="0"/>
          <w:spacing w:val="-2"/>
          <w:sz w:val="20"/>
          <w:szCs w:val="20"/>
          <w:lang w:eastAsia="es-ES"/>
        </w:rPr>
        <w:t xml:space="preserve">. </w:t>
      </w:r>
      <w:r w:rsidR="00654EE2" w:rsidRPr="009D520B">
        <w:rPr>
          <w:rFonts w:ascii="Verdana" w:hAnsi="Verdana"/>
          <w:b w:val="0"/>
          <w:snapToGrid w:val="0"/>
          <w:spacing w:val="-2"/>
          <w:sz w:val="20"/>
          <w:szCs w:val="20"/>
          <w:lang w:eastAsia="es-ES"/>
        </w:rPr>
        <w:t>L</w:t>
      </w:r>
      <w:r w:rsidRPr="009D520B">
        <w:rPr>
          <w:rFonts w:ascii="Verdana" w:hAnsi="Verdana"/>
          <w:b w:val="0"/>
          <w:snapToGrid w:val="0"/>
          <w:spacing w:val="-2"/>
          <w:sz w:val="20"/>
          <w:szCs w:val="20"/>
          <w:lang w:eastAsia="es-ES"/>
        </w:rPr>
        <w:t xml:space="preserve">a aplicación de la figura del arraigo y la posterior </w:t>
      </w:r>
      <w:r w:rsidR="00F01C02" w:rsidRPr="009D520B">
        <w:rPr>
          <w:rFonts w:ascii="Verdana" w:hAnsi="Verdana"/>
          <w:b w:val="0"/>
          <w:snapToGrid w:val="0"/>
          <w:spacing w:val="-2"/>
          <w:sz w:val="20"/>
          <w:szCs w:val="20"/>
          <w:lang w:eastAsia="es-ES"/>
        </w:rPr>
        <w:t xml:space="preserve">prisión </w:t>
      </w:r>
      <w:r w:rsidRPr="009D520B">
        <w:rPr>
          <w:rFonts w:ascii="Verdana" w:hAnsi="Verdana"/>
          <w:b w:val="0"/>
          <w:snapToGrid w:val="0"/>
          <w:spacing w:val="-2"/>
          <w:sz w:val="20"/>
          <w:szCs w:val="20"/>
          <w:lang w:eastAsia="es-ES"/>
        </w:rPr>
        <w:t>preventiva</w:t>
      </w:r>
      <w:bookmarkEnd w:id="88"/>
      <w:r w:rsidRPr="009D520B">
        <w:rPr>
          <w:rFonts w:ascii="Verdana" w:hAnsi="Verdana"/>
          <w:b w:val="0"/>
          <w:snapToGrid w:val="0"/>
          <w:spacing w:val="-2"/>
          <w:sz w:val="20"/>
          <w:szCs w:val="20"/>
          <w:lang w:eastAsia="es-ES"/>
        </w:rPr>
        <w:t xml:space="preserve"> </w:t>
      </w:r>
    </w:p>
    <w:p w14:paraId="3C8D3865" w14:textId="19E47473" w:rsidR="00F01C02" w:rsidRPr="009D520B" w:rsidRDefault="00F01C02" w:rsidP="00F9192A">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9D520B">
        <w:rPr>
          <w:rFonts w:ascii="Verdana" w:hAnsi="Verdana"/>
          <w:i w:val="0"/>
          <w:iCs/>
          <w:sz w:val="20"/>
          <w:szCs w:val="20"/>
          <w:lang w:val="es-ES"/>
        </w:rPr>
        <w:t xml:space="preserve">La </w:t>
      </w:r>
      <w:r w:rsidRPr="009D520B">
        <w:rPr>
          <w:rFonts w:ascii="Verdana" w:hAnsi="Verdana"/>
          <w:b/>
          <w:bCs/>
          <w:sz w:val="20"/>
          <w:szCs w:val="20"/>
          <w:lang w:val="es-ES"/>
        </w:rPr>
        <w:t>Comisión</w:t>
      </w:r>
      <w:r w:rsidRPr="009D520B">
        <w:rPr>
          <w:rFonts w:ascii="Verdana" w:hAnsi="Verdana"/>
          <w:i w:val="0"/>
          <w:iCs/>
          <w:sz w:val="20"/>
          <w:szCs w:val="20"/>
          <w:lang w:val="es-ES"/>
        </w:rPr>
        <w:t xml:space="preserve"> y los </w:t>
      </w:r>
      <w:r w:rsidRPr="009D520B">
        <w:rPr>
          <w:rFonts w:ascii="Verdana" w:hAnsi="Verdana"/>
          <w:b/>
          <w:bCs/>
          <w:sz w:val="20"/>
          <w:szCs w:val="20"/>
          <w:lang w:val="es-ES"/>
        </w:rPr>
        <w:t>representantes</w:t>
      </w:r>
      <w:r w:rsidRPr="009D520B">
        <w:rPr>
          <w:rFonts w:ascii="Verdana" w:hAnsi="Verdana"/>
          <w:i w:val="0"/>
          <w:iCs/>
          <w:sz w:val="20"/>
          <w:szCs w:val="20"/>
          <w:lang w:val="es-ES"/>
        </w:rPr>
        <w:t xml:space="preserve"> recordaron que a la época en la que ocurrieron los hechos, el arraigo se encontraba previsto por la legislación del Estado de México, y otorgaba al Ministerio Público, en el ámbito de una averiguación, la facultad de retener por un máximo de hasta 60 días</w:t>
      </w:r>
      <w:r w:rsidR="007B68E2">
        <w:rPr>
          <w:rFonts w:ascii="Verdana" w:hAnsi="Verdana"/>
          <w:i w:val="0"/>
          <w:iCs/>
          <w:sz w:val="20"/>
          <w:szCs w:val="20"/>
          <w:lang w:val="es-ES"/>
        </w:rPr>
        <w:t>,</w:t>
      </w:r>
      <w:r w:rsidRPr="009D520B">
        <w:rPr>
          <w:rFonts w:ascii="Verdana" w:hAnsi="Verdana"/>
          <w:i w:val="0"/>
          <w:iCs/>
          <w:sz w:val="20"/>
          <w:szCs w:val="20"/>
          <w:lang w:val="es-ES"/>
        </w:rPr>
        <w:t xml:space="preserve"> a individuos para la debida integración de </w:t>
      </w:r>
      <w:r w:rsidR="00083E3B">
        <w:rPr>
          <w:rFonts w:ascii="Verdana" w:hAnsi="Verdana"/>
          <w:i w:val="0"/>
          <w:iCs/>
          <w:sz w:val="20"/>
          <w:szCs w:val="20"/>
          <w:lang w:val="es-ES"/>
        </w:rPr>
        <w:t>e</w:t>
      </w:r>
      <w:r w:rsidR="00FB77A3" w:rsidRPr="009D520B">
        <w:rPr>
          <w:rFonts w:ascii="Verdana" w:hAnsi="Verdana"/>
          <w:i w:val="0"/>
          <w:iCs/>
          <w:sz w:val="20"/>
          <w:szCs w:val="20"/>
          <w:lang w:val="es-ES"/>
        </w:rPr>
        <w:t>sta</w:t>
      </w:r>
      <w:r w:rsidRPr="009D520B">
        <w:rPr>
          <w:rFonts w:ascii="Verdana" w:hAnsi="Verdana"/>
          <w:i w:val="0"/>
          <w:iCs/>
          <w:sz w:val="20"/>
          <w:szCs w:val="20"/>
          <w:lang w:val="es-ES"/>
        </w:rPr>
        <w:t xml:space="preserve"> antes de inculparlos formalmente de cualquier delito. Observaron que tanto Daniel García como Reyes Alpízar fueron retenidos bajo arraigo respectivamente por </w:t>
      </w:r>
      <w:r w:rsidR="00395596">
        <w:rPr>
          <w:rFonts w:ascii="Verdana" w:hAnsi="Verdana"/>
          <w:i w:val="0"/>
          <w:iCs/>
          <w:sz w:val="20"/>
          <w:szCs w:val="20"/>
          <w:lang w:val="es-ES"/>
        </w:rPr>
        <w:t>47</w:t>
      </w:r>
      <w:r w:rsidRPr="009D520B">
        <w:rPr>
          <w:rFonts w:ascii="Verdana" w:hAnsi="Verdana"/>
          <w:i w:val="0"/>
          <w:iCs/>
          <w:sz w:val="20"/>
          <w:szCs w:val="20"/>
          <w:lang w:val="es-ES"/>
        </w:rPr>
        <w:t xml:space="preserve"> y 34 días</w:t>
      </w:r>
      <w:r w:rsidR="00F1636A" w:rsidRPr="009D520B">
        <w:rPr>
          <w:rFonts w:ascii="Verdana" w:hAnsi="Verdana"/>
          <w:i w:val="0"/>
          <w:iCs/>
          <w:sz w:val="20"/>
          <w:szCs w:val="20"/>
          <w:lang w:val="es-ES_tradnl"/>
        </w:rPr>
        <w:t xml:space="preserve">. </w:t>
      </w:r>
      <w:r w:rsidRPr="009D520B">
        <w:rPr>
          <w:rFonts w:ascii="Verdana" w:hAnsi="Verdana"/>
          <w:i w:val="0"/>
          <w:iCs/>
          <w:sz w:val="20"/>
          <w:szCs w:val="20"/>
          <w:lang w:val="es-ES_tradnl"/>
        </w:rPr>
        <w:t>Alegaron asimismo que fue</w:t>
      </w:r>
      <w:r w:rsidR="008F1FD6" w:rsidRPr="009D520B">
        <w:rPr>
          <w:rFonts w:ascii="Verdana" w:hAnsi="Verdana"/>
          <w:i w:val="0"/>
          <w:iCs/>
          <w:sz w:val="20"/>
          <w:szCs w:val="20"/>
          <w:lang w:val="es-ES_tradnl"/>
        </w:rPr>
        <w:t>ron privados de su libertad</w:t>
      </w:r>
      <w:r w:rsidRPr="009D520B">
        <w:rPr>
          <w:rFonts w:ascii="Verdana" w:hAnsi="Verdana"/>
          <w:i w:val="0"/>
          <w:iCs/>
          <w:sz w:val="20"/>
          <w:szCs w:val="20"/>
          <w:lang w:val="es-ES_tradnl"/>
        </w:rPr>
        <w:t xml:space="preserve"> con base en supuestas sospechas y en la presunción derivada de la gravedad del delito imputado,</w:t>
      </w:r>
      <w:r w:rsidR="007B68E2">
        <w:rPr>
          <w:rFonts w:ascii="Verdana" w:hAnsi="Verdana"/>
          <w:i w:val="0"/>
          <w:iCs/>
          <w:sz w:val="20"/>
          <w:szCs w:val="20"/>
          <w:lang w:val="es-ES_tradnl"/>
        </w:rPr>
        <w:t xml:space="preserve"> </w:t>
      </w:r>
      <w:r w:rsidR="008F1FD6" w:rsidRPr="009D520B">
        <w:rPr>
          <w:rFonts w:ascii="Verdana" w:hAnsi="Verdana"/>
          <w:i w:val="0"/>
          <w:iCs/>
          <w:sz w:val="20"/>
          <w:szCs w:val="20"/>
          <w:lang w:val="es-ES_tradnl"/>
        </w:rPr>
        <w:t xml:space="preserve">lo </w:t>
      </w:r>
      <w:r w:rsidR="007B68E2">
        <w:rPr>
          <w:rFonts w:ascii="Verdana" w:hAnsi="Verdana"/>
          <w:i w:val="0"/>
          <w:iCs/>
          <w:sz w:val="20"/>
          <w:szCs w:val="20"/>
          <w:lang w:val="es-ES_tradnl"/>
        </w:rPr>
        <w:t>cual</w:t>
      </w:r>
      <w:r w:rsidR="007B68E2" w:rsidRPr="009D520B">
        <w:rPr>
          <w:rFonts w:ascii="Verdana" w:hAnsi="Verdana"/>
          <w:i w:val="0"/>
          <w:iCs/>
          <w:sz w:val="20"/>
          <w:szCs w:val="20"/>
          <w:lang w:val="es-ES_tradnl"/>
        </w:rPr>
        <w:t xml:space="preserve"> </w:t>
      </w:r>
      <w:r w:rsidR="008F1FD6" w:rsidRPr="009D520B">
        <w:rPr>
          <w:rFonts w:ascii="Verdana" w:hAnsi="Verdana"/>
          <w:i w:val="0"/>
          <w:iCs/>
          <w:sz w:val="20"/>
          <w:szCs w:val="20"/>
          <w:lang w:val="es-ES_tradnl"/>
        </w:rPr>
        <w:t>no justifica la</w:t>
      </w:r>
      <w:r w:rsidRPr="009D520B">
        <w:rPr>
          <w:rFonts w:ascii="Verdana" w:hAnsi="Verdana"/>
          <w:i w:val="0"/>
          <w:iCs/>
          <w:sz w:val="20"/>
          <w:szCs w:val="20"/>
          <w:lang w:val="es-ES_tradnl"/>
        </w:rPr>
        <w:t xml:space="preserve"> privación de libertad de una persona que debe estar plenamente amparada por el principio de presunción de inocencia. En consecuencia, concluyeron que la aplicación de la figura del arraigo a las presuntas víctimas constituyó una medida de carácter punitivo y no cautelar, en violación de los artículos 7.1, 7.3 y 8.2 de la Convención Americana en relación con el artículo 1.1 y 2 del mismo instrumento.</w:t>
      </w:r>
    </w:p>
    <w:p w14:paraId="5354D54B" w14:textId="71004FF2" w:rsidR="00F01C02" w:rsidRPr="009D520B" w:rsidRDefault="00F01C02" w:rsidP="00F01C02">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9D520B">
        <w:rPr>
          <w:rFonts w:ascii="Verdana" w:hAnsi="Verdana"/>
          <w:i w:val="0"/>
          <w:iCs/>
          <w:sz w:val="20"/>
          <w:szCs w:val="20"/>
          <w:lang w:val="es-ES_tradnl"/>
        </w:rPr>
        <w:t xml:space="preserve">En cuanto a la prisión preventiva la </w:t>
      </w:r>
      <w:r w:rsidRPr="009D520B">
        <w:rPr>
          <w:rFonts w:ascii="Verdana" w:hAnsi="Verdana"/>
          <w:b/>
          <w:bCs/>
          <w:sz w:val="20"/>
          <w:szCs w:val="20"/>
          <w:lang w:val="es-ES_tradnl"/>
        </w:rPr>
        <w:t>Comisión</w:t>
      </w:r>
      <w:r w:rsidRPr="009D520B">
        <w:rPr>
          <w:rFonts w:ascii="Verdana" w:hAnsi="Verdana"/>
          <w:i w:val="0"/>
          <w:iCs/>
          <w:sz w:val="20"/>
          <w:szCs w:val="20"/>
          <w:lang w:val="es-ES_tradnl"/>
        </w:rPr>
        <w:t xml:space="preserve"> y los </w:t>
      </w:r>
      <w:r w:rsidRPr="009D520B">
        <w:rPr>
          <w:rFonts w:ascii="Verdana" w:hAnsi="Verdana"/>
          <w:b/>
          <w:bCs/>
          <w:i w:val="0"/>
          <w:iCs/>
          <w:sz w:val="20"/>
          <w:szCs w:val="20"/>
          <w:lang w:val="es-ES_tradnl"/>
        </w:rPr>
        <w:t>representantes</w:t>
      </w:r>
      <w:r w:rsidRPr="009D520B">
        <w:rPr>
          <w:rFonts w:ascii="Verdana" w:hAnsi="Verdana"/>
          <w:i w:val="0"/>
          <w:iCs/>
          <w:sz w:val="20"/>
          <w:szCs w:val="20"/>
          <w:lang w:val="es-ES_tradnl"/>
        </w:rPr>
        <w:t xml:space="preserve"> indicaron que la legislación aplicable a la época de los hechos</w:t>
      </w:r>
      <w:r w:rsidR="00654EE2" w:rsidRPr="009D520B">
        <w:rPr>
          <w:rFonts w:ascii="Verdana" w:hAnsi="Verdana"/>
          <w:i w:val="0"/>
          <w:iCs/>
          <w:sz w:val="20"/>
          <w:szCs w:val="20"/>
          <w:lang w:val="es-ES_tradnl"/>
        </w:rPr>
        <w:t xml:space="preserve"> </w:t>
      </w:r>
      <w:r w:rsidRPr="009D520B">
        <w:rPr>
          <w:rFonts w:ascii="Verdana" w:hAnsi="Verdana"/>
          <w:i w:val="0"/>
          <w:iCs/>
          <w:sz w:val="20"/>
          <w:szCs w:val="20"/>
          <w:lang w:val="es-ES_tradnl"/>
        </w:rPr>
        <w:t xml:space="preserve">autorizaba la prisión preventiva por delitos que merecían pena corporal y permitía no otorgar libertad provisional por delitos señalados como graves. En el caso, las órdenes de aprehensión y autos formales de prisión se emitieron a partir del tipo de delito perseguido y los indicios de responsabilidad. No consta que se hubiera realizado un análisis específico sobre los fines procesales. Agregaron que cuando Daniel García fue presentado ante el Juez, </w:t>
      </w:r>
      <w:r w:rsidR="00083E3B">
        <w:rPr>
          <w:rFonts w:ascii="Verdana" w:hAnsi="Verdana"/>
          <w:i w:val="0"/>
          <w:iCs/>
          <w:sz w:val="20"/>
          <w:szCs w:val="20"/>
          <w:lang w:val="es-ES_tradnl"/>
        </w:rPr>
        <w:t>e</w:t>
      </w:r>
      <w:r w:rsidRPr="009D520B">
        <w:rPr>
          <w:rFonts w:ascii="Verdana" w:hAnsi="Verdana"/>
          <w:i w:val="0"/>
          <w:iCs/>
          <w:sz w:val="20"/>
          <w:szCs w:val="20"/>
          <w:lang w:val="es-ES_tradnl"/>
        </w:rPr>
        <w:t xml:space="preserve">ste se limitó a indicar que no tenía derecho a solicitar libertad provisional porque el delito que se le imputaba era grave. Indicaron que en este caso la aplicación de la prisión preventiva operó como una forma de pena anticipada. Además, alegó que no cuenta con información que indique que, en los más de 17 años que las presuntas víctimas estuvieron privadas de libertad, existiera una revisión periódica de la detención atendiendo a sus fines procesales. </w:t>
      </w:r>
    </w:p>
    <w:p w14:paraId="7B3614EC" w14:textId="2F976FA9" w:rsidR="00F01C02" w:rsidRPr="009D520B" w:rsidRDefault="00F01C02" w:rsidP="00D73463">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9D520B">
        <w:rPr>
          <w:rFonts w:ascii="Verdana" w:hAnsi="Verdana"/>
          <w:i w:val="0"/>
          <w:iCs/>
          <w:sz w:val="20"/>
          <w:szCs w:val="20"/>
          <w:lang w:val="es-ES_tradnl"/>
        </w:rPr>
        <w:t>Concluyeron que la privación de libertad de las presuntas víctimas resultó arbitraria y constituy</w:t>
      </w:r>
      <w:r w:rsidR="00B20DF5" w:rsidRPr="009D520B">
        <w:rPr>
          <w:rFonts w:ascii="Verdana" w:hAnsi="Verdana"/>
          <w:i w:val="0"/>
          <w:iCs/>
          <w:sz w:val="20"/>
          <w:szCs w:val="20"/>
          <w:lang w:val="es-ES_tradnl"/>
        </w:rPr>
        <w:t>ó</w:t>
      </w:r>
      <w:r w:rsidRPr="009D520B">
        <w:rPr>
          <w:rFonts w:ascii="Verdana" w:hAnsi="Verdana"/>
          <w:i w:val="0"/>
          <w:iCs/>
          <w:sz w:val="20"/>
          <w:szCs w:val="20"/>
          <w:lang w:val="es-ES_tradnl"/>
        </w:rPr>
        <w:t xml:space="preserve"> una pena anticipada, sin contar las presuntas víctimas con un recurso efectivo que analizara su razonabilidad conforme a sus fines procesales. En vista de lo expuesto, consider</w:t>
      </w:r>
      <w:r w:rsidR="00B20DF5" w:rsidRPr="009D520B">
        <w:rPr>
          <w:rFonts w:ascii="Verdana" w:hAnsi="Verdana"/>
          <w:i w:val="0"/>
          <w:iCs/>
          <w:sz w:val="20"/>
          <w:szCs w:val="20"/>
          <w:lang w:val="es-ES_tradnl"/>
        </w:rPr>
        <w:t>aron</w:t>
      </w:r>
      <w:r w:rsidRPr="009D520B">
        <w:rPr>
          <w:rFonts w:ascii="Verdana" w:hAnsi="Verdana"/>
          <w:i w:val="0"/>
          <w:iCs/>
          <w:sz w:val="20"/>
          <w:szCs w:val="20"/>
          <w:lang w:val="es-ES_tradnl"/>
        </w:rPr>
        <w:t xml:space="preserve"> que el Estado violó los artículos 7.1, 7.3, 7.5, 7.6, 8.2 y 25 de la Convención Americana en relación con los artículos 1.1 y 2 del mismo instrumento.</w:t>
      </w:r>
    </w:p>
    <w:p w14:paraId="360CD59E" w14:textId="4F9624C3" w:rsidR="00B3569C" w:rsidRPr="009D520B" w:rsidRDefault="4D38B166" w:rsidP="4D38B166">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hAnsi="Verdana"/>
          <w:sz w:val="20"/>
          <w:szCs w:val="20"/>
          <w:lang w:val="es-ES"/>
        </w:rPr>
      </w:pPr>
      <w:r w:rsidRPr="4D38B166">
        <w:rPr>
          <w:rFonts w:ascii="Verdana" w:hAnsi="Verdana"/>
          <w:i w:val="0"/>
          <w:sz w:val="20"/>
          <w:szCs w:val="20"/>
          <w:lang w:val="es-ES"/>
        </w:rPr>
        <w:t xml:space="preserve">El </w:t>
      </w:r>
      <w:r w:rsidRPr="4D38B166">
        <w:rPr>
          <w:rFonts w:ascii="Verdana" w:hAnsi="Verdana"/>
          <w:b/>
          <w:bCs/>
          <w:sz w:val="20"/>
          <w:szCs w:val="20"/>
          <w:lang w:val="es-ES"/>
        </w:rPr>
        <w:t>Estado</w:t>
      </w:r>
      <w:r w:rsidRPr="4D38B166">
        <w:rPr>
          <w:rFonts w:ascii="Verdana" w:hAnsi="Verdana"/>
          <w:i w:val="0"/>
          <w:sz w:val="20"/>
          <w:szCs w:val="20"/>
          <w:lang w:val="es-ES"/>
        </w:rPr>
        <w:t xml:space="preserve"> sostuvo que el arraigo de los peticionarios no respondió a la filosofía de detener para investigar. En particular, alegó que el arraigo de Daniel García y Reyes Alpízar se debió esencialmente a dos factores concurrentes. Por un lado, sostuvo que existieron indicios suficientes que permitieron suponer razonablemente que habían participado en el delito investigado y, por otro lado, que habían existido hechos e información de la cual se presumía la existencia del riesgo procesal. Asimismo</w:t>
      </w:r>
      <w:r w:rsidRPr="4D38B166">
        <w:rPr>
          <w:rFonts w:ascii="Verdana" w:hAnsi="Verdana"/>
          <w:sz w:val="20"/>
          <w:szCs w:val="20"/>
          <w:lang w:val="es-ES"/>
        </w:rPr>
        <w:t>,</w:t>
      </w:r>
      <w:r w:rsidRPr="4D38B166">
        <w:rPr>
          <w:rFonts w:ascii="Verdana" w:hAnsi="Verdana"/>
          <w:i w:val="0"/>
          <w:sz w:val="20"/>
          <w:szCs w:val="20"/>
          <w:lang w:val="es-ES"/>
        </w:rPr>
        <w:t xml:space="preserve"> destacó que</w:t>
      </w:r>
      <w:r w:rsidRPr="4D38B166">
        <w:rPr>
          <w:rFonts w:ascii="Verdana" w:hAnsi="Verdana"/>
          <w:sz w:val="20"/>
          <w:szCs w:val="20"/>
          <w:lang w:val="es-ES"/>
        </w:rPr>
        <w:t xml:space="preserve"> </w:t>
      </w:r>
      <w:r w:rsidRPr="4D38B166">
        <w:rPr>
          <w:rFonts w:ascii="Verdana" w:hAnsi="Verdana"/>
          <w:i w:val="0"/>
          <w:sz w:val="20"/>
          <w:szCs w:val="20"/>
          <w:lang w:val="es-ES"/>
        </w:rPr>
        <w:t xml:space="preserve">los recursos interpuestos desde el año 2011 para solicitar la sustitución de la medida privativa de libertad habían culminado con la liberación de los procesados en el año 2019. </w:t>
      </w:r>
    </w:p>
    <w:p w14:paraId="75CAF121" w14:textId="3AF1408A" w:rsidR="0072026C" w:rsidRPr="009D520B" w:rsidRDefault="4D38B166" w:rsidP="4D38B166">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hAnsi="Verdana"/>
          <w:sz w:val="20"/>
          <w:szCs w:val="20"/>
          <w:lang w:val="es-ES"/>
        </w:rPr>
      </w:pPr>
      <w:r w:rsidRPr="4D38B166">
        <w:rPr>
          <w:rFonts w:ascii="Verdana" w:hAnsi="Verdana"/>
          <w:i w:val="0"/>
          <w:sz w:val="20"/>
          <w:szCs w:val="20"/>
          <w:lang w:val="es-ES"/>
        </w:rPr>
        <w:lastRenderedPageBreak/>
        <w:t>En cuanto a la prisión preventiva, el Estado sostuvo que se inició con el cumplimiento de las órdenes de aprehensión por el delito de homicidio y, que la ley procesal penal vigente en la época en que ocurrieron los hechos, determinaba la imposición de prisión preventiva, sin que permita obtener la libertad provisional bajo alguna medida cautelar. El Estado agregó que al momento de los hechos no existía una medida cautelar alternativa que permitiera evitar el riesgo de fuga y las amenazas hacia la familia de la regidora María de los Ángeles Tamés Pérez. Del mismo modo, consideró que, si bien la prisión preventiva aplicada a ambas personas se llevó a cabo conforme a la modalidad de oficio, existían razones que fundamentaban su utilización en el proceso penal seguido por el homicidio calificado de la regidora María de los Ángeles Tamés Pérez, razón por la cual no es posible inferir que en el presente caso su aplicación hubiese sido inconvencional y, por ello, que el Estado sea responsable de una supuesta violación al derecho a la libertad personal.</w:t>
      </w:r>
    </w:p>
    <w:p w14:paraId="57CA224F" w14:textId="741FAE3A" w:rsidR="00B96431" w:rsidRPr="009D520B" w:rsidRDefault="00B96431" w:rsidP="004603BD">
      <w:pPr>
        <w:pStyle w:val="Ttulo2"/>
        <w:numPr>
          <w:ilvl w:val="0"/>
          <w:numId w:val="11"/>
        </w:numPr>
        <w:spacing w:before="240" w:after="240"/>
        <w:rPr>
          <w:rFonts w:ascii="Verdana" w:hAnsi="Verdana"/>
          <w:i/>
          <w:color w:val="auto"/>
          <w:sz w:val="20"/>
          <w:szCs w:val="20"/>
        </w:rPr>
      </w:pPr>
      <w:bookmarkStart w:id="89" w:name="_Toc36823475"/>
      <w:bookmarkStart w:id="90" w:name="_Toc132133917"/>
      <w:r w:rsidRPr="009D520B">
        <w:rPr>
          <w:rFonts w:ascii="Verdana" w:hAnsi="Verdana"/>
          <w:i/>
          <w:color w:val="auto"/>
          <w:sz w:val="20"/>
          <w:szCs w:val="20"/>
        </w:rPr>
        <w:t>Consideraciones de la Corte</w:t>
      </w:r>
      <w:bookmarkEnd w:id="89"/>
      <w:bookmarkEnd w:id="90"/>
    </w:p>
    <w:p w14:paraId="38570C3F" w14:textId="132C979B" w:rsidR="00D838BC" w:rsidRPr="009D520B" w:rsidRDefault="0080657F" w:rsidP="00696FB6">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hAnsi="Verdana"/>
          <w:i w:val="0"/>
          <w:iCs/>
          <w:sz w:val="20"/>
          <w:szCs w:val="20"/>
          <w:lang w:val="es-ES_tradnl"/>
        </w:rPr>
      </w:pPr>
      <w:r w:rsidRPr="009D520B">
        <w:rPr>
          <w:rFonts w:ascii="Verdana" w:hAnsi="Verdana"/>
          <w:i w:val="0"/>
          <w:iCs/>
          <w:sz w:val="20"/>
          <w:szCs w:val="20"/>
          <w:lang w:val="es-ES_tradnl"/>
        </w:rPr>
        <w:t>E</w:t>
      </w:r>
      <w:r w:rsidR="00781440" w:rsidRPr="009D520B">
        <w:rPr>
          <w:rFonts w:ascii="Verdana" w:hAnsi="Verdana"/>
          <w:i w:val="0"/>
          <w:iCs/>
          <w:sz w:val="20"/>
          <w:szCs w:val="20"/>
          <w:lang w:val="es-ES_tradnl"/>
        </w:rPr>
        <w:t xml:space="preserve">l presente acápite abordará </w:t>
      </w:r>
      <w:r w:rsidRPr="009D520B">
        <w:rPr>
          <w:rFonts w:ascii="Verdana" w:hAnsi="Verdana"/>
          <w:i w:val="0"/>
          <w:iCs/>
          <w:sz w:val="20"/>
          <w:szCs w:val="20"/>
          <w:lang w:val="es-ES_tradnl"/>
        </w:rPr>
        <w:t xml:space="preserve">el análisis de los alegatos </w:t>
      </w:r>
      <w:r w:rsidR="00781440" w:rsidRPr="009D520B">
        <w:rPr>
          <w:rFonts w:ascii="Verdana" w:hAnsi="Verdana"/>
          <w:i w:val="0"/>
          <w:iCs/>
          <w:sz w:val="20"/>
          <w:szCs w:val="20"/>
          <w:lang w:val="es-ES_tradnl"/>
        </w:rPr>
        <w:t xml:space="preserve">en el siguiente orden: </w:t>
      </w:r>
      <w:r w:rsidR="001C44E8" w:rsidRPr="009D520B">
        <w:rPr>
          <w:rFonts w:ascii="Verdana" w:hAnsi="Verdana"/>
          <w:i w:val="0"/>
          <w:iCs/>
          <w:sz w:val="20"/>
          <w:szCs w:val="20"/>
          <w:lang w:val="es-ES_tradnl"/>
        </w:rPr>
        <w:t xml:space="preserve">a) </w:t>
      </w:r>
      <w:r w:rsidR="00654EE2" w:rsidRPr="009D520B">
        <w:rPr>
          <w:rFonts w:ascii="Verdana" w:hAnsi="Verdana"/>
          <w:i w:val="0"/>
          <w:iCs/>
          <w:sz w:val="20"/>
          <w:szCs w:val="20"/>
          <w:lang w:val="es-ES_tradnl"/>
        </w:rPr>
        <w:t xml:space="preserve">el </w:t>
      </w:r>
      <w:r w:rsidR="000E1F35" w:rsidRPr="009D520B">
        <w:rPr>
          <w:rFonts w:ascii="Verdana" w:hAnsi="Verdana"/>
          <w:i w:val="0"/>
          <w:iCs/>
          <w:sz w:val="20"/>
          <w:szCs w:val="20"/>
          <w:lang w:val="es-ES_tradnl"/>
        </w:rPr>
        <w:t>derecho a no ser privado de la libertad ilegal</w:t>
      </w:r>
      <w:r w:rsidR="007B68E2">
        <w:rPr>
          <w:rFonts w:ascii="Verdana" w:hAnsi="Verdana"/>
          <w:i w:val="0"/>
          <w:iCs/>
          <w:sz w:val="20"/>
          <w:szCs w:val="20"/>
          <w:lang w:val="es-ES_tradnl"/>
        </w:rPr>
        <w:t>mente</w:t>
      </w:r>
      <w:r w:rsidR="000E1F35" w:rsidRPr="009D520B">
        <w:rPr>
          <w:rFonts w:ascii="Verdana" w:hAnsi="Verdana"/>
          <w:i w:val="0"/>
          <w:iCs/>
          <w:sz w:val="20"/>
          <w:szCs w:val="20"/>
          <w:lang w:val="es-ES_tradnl"/>
        </w:rPr>
        <w:t xml:space="preserve"> y el derecho a ser informado sobre las razones de la detención</w:t>
      </w:r>
      <w:r w:rsidR="00654EE2" w:rsidRPr="009D520B">
        <w:rPr>
          <w:rFonts w:ascii="Verdana" w:hAnsi="Verdana"/>
          <w:i w:val="0"/>
          <w:iCs/>
          <w:sz w:val="20"/>
          <w:szCs w:val="20"/>
          <w:lang w:val="es-ES_tradnl"/>
        </w:rPr>
        <w:t>;</w:t>
      </w:r>
      <w:r w:rsidR="001C44E8" w:rsidRPr="009D520B">
        <w:rPr>
          <w:rFonts w:ascii="Verdana" w:hAnsi="Verdana"/>
          <w:i w:val="0"/>
          <w:iCs/>
          <w:sz w:val="20"/>
          <w:szCs w:val="20"/>
          <w:lang w:val="es-ES_tradnl"/>
        </w:rPr>
        <w:t xml:space="preserve"> </w:t>
      </w:r>
      <w:r w:rsidR="00E83562" w:rsidRPr="009D520B">
        <w:rPr>
          <w:rFonts w:ascii="Verdana" w:hAnsi="Verdana"/>
          <w:i w:val="0"/>
          <w:iCs/>
          <w:sz w:val="20"/>
          <w:szCs w:val="20"/>
          <w:lang w:val="es-ES_tradnl"/>
        </w:rPr>
        <w:t>b</w:t>
      </w:r>
      <w:r w:rsidR="001C44E8" w:rsidRPr="009D520B">
        <w:rPr>
          <w:rFonts w:ascii="Verdana" w:hAnsi="Verdana"/>
          <w:i w:val="0"/>
          <w:iCs/>
          <w:sz w:val="20"/>
          <w:szCs w:val="20"/>
          <w:lang w:val="es-ES_tradnl"/>
        </w:rPr>
        <w:t xml:space="preserve">) </w:t>
      </w:r>
      <w:r w:rsidR="00654EE2" w:rsidRPr="009D520B">
        <w:rPr>
          <w:rFonts w:ascii="Verdana" w:hAnsi="Verdana"/>
          <w:i w:val="0"/>
          <w:iCs/>
          <w:sz w:val="20"/>
          <w:szCs w:val="20"/>
          <w:lang w:val="es-ES_tradnl"/>
        </w:rPr>
        <w:t xml:space="preserve">el derecho a ser llevado sin demora ante </w:t>
      </w:r>
      <w:r w:rsidR="00476B19" w:rsidRPr="009D520B">
        <w:rPr>
          <w:rFonts w:ascii="Verdana" w:hAnsi="Verdana"/>
          <w:bCs/>
          <w:snapToGrid w:val="0"/>
          <w:spacing w:val="-2"/>
          <w:sz w:val="20"/>
          <w:szCs w:val="20"/>
          <w:lang w:eastAsia="es-ES"/>
        </w:rPr>
        <w:t>“un juez u otro un funcionario</w:t>
      </w:r>
      <w:r w:rsidR="00476B19" w:rsidRPr="009D520B">
        <w:rPr>
          <w:rFonts w:ascii="Verdana" w:hAnsi="Verdana"/>
          <w:b/>
          <w:snapToGrid w:val="0"/>
          <w:spacing w:val="-2"/>
          <w:sz w:val="20"/>
          <w:szCs w:val="20"/>
          <w:lang w:eastAsia="es-ES"/>
        </w:rPr>
        <w:t xml:space="preserve"> </w:t>
      </w:r>
      <w:r w:rsidR="00476B19" w:rsidRPr="009D520B">
        <w:rPr>
          <w:rFonts w:ascii="Verdana" w:hAnsi="Verdana"/>
          <w:snapToGrid w:val="0"/>
          <w:spacing w:val="-2"/>
          <w:sz w:val="20"/>
          <w:szCs w:val="20"/>
          <w:lang w:eastAsia="es-ES"/>
        </w:rPr>
        <w:t>autorizado por la ley para ejercer funciones judiciales</w:t>
      </w:r>
      <w:r w:rsidR="00476B19" w:rsidRPr="00945E2D">
        <w:rPr>
          <w:rFonts w:ascii="Verdana" w:hAnsi="Verdana"/>
          <w:bCs/>
          <w:snapToGrid w:val="0"/>
          <w:spacing w:val="-2"/>
          <w:sz w:val="20"/>
          <w:szCs w:val="20"/>
          <w:lang w:eastAsia="es-ES"/>
        </w:rPr>
        <w:t>”</w:t>
      </w:r>
      <w:r w:rsidR="00654EE2" w:rsidRPr="009D520B">
        <w:rPr>
          <w:rFonts w:ascii="Verdana" w:hAnsi="Verdana"/>
          <w:i w:val="0"/>
          <w:iCs/>
          <w:sz w:val="20"/>
          <w:szCs w:val="20"/>
          <w:lang w:val="es-ES_tradnl"/>
        </w:rPr>
        <w:t xml:space="preserve">; </w:t>
      </w:r>
      <w:r w:rsidR="00E83562" w:rsidRPr="009D520B">
        <w:rPr>
          <w:rFonts w:ascii="Verdana" w:hAnsi="Verdana"/>
          <w:i w:val="0"/>
          <w:iCs/>
          <w:sz w:val="20"/>
          <w:szCs w:val="20"/>
          <w:lang w:val="es-ES_tradnl"/>
        </w:rPr>
        <w:t>c</w:t>
      </w:r>
      <w:r w:rsidR="00654EE2" w:rsidRPr="009D520B">
        <w:rPr>
          <w:rFonts w:ascii="Verdana" w:hAnsi="Verdana"/>
          <w:i w:val="0"/>
          <w:iCs/>
          <w:sz w:val="20"/>
          <w:szCs w:val="20"/>
          <w:lang w:val="es-ES_tradnl"/>
        </w:rPr>
        <w:t xml:space="preserve">) la aplicación de la figura del arraigo y la posterior prisión preventiva en contra de Daniel García Rodríguez y Reyes Alpízar </w:t>
      </w:r>
      <w:r w:rsidR="00D349F9">
        <w:rPr>
          <w:rFonts w:ascii="Verdana" w:hAnsi="Verdana"/>
          <w:i w:val="0"/>
          <w:iCs/>
          <w:sz w:val="20"/>
          <w:szCs w:val="20"/>
          <w:lang w:val="es-ES_tradnl"/>
        </w:rPr>
        <w:t>Ortiz</w:t>
      </w:r>
      <w:r w:rsidR="00654EE2" w:rsidRPr="009D520B">
        <w:rPr>
          <w:rFonts w:ascii="Verdana" w:hAnsi="Verdana"/>
          <w:i w:val="0"/>
          <w:iCs/>
          <w:sz w:val="20"/>
          <w:szCs w:val="20"/>
          <w:lang w:val="es-ES_tradnl"/>
        </w:rPr>
        <w:t>,</w:t>
      </w:r>
      <w:r w:rsidR="00C82D8D" w:rsidRPr="009D520B">
        <w:rPr>
          <w:rFonts w:ascii="Verdana" w:hAnsi="Verdana"/>
          <w:i w:val="0"/>
          <w:iCs/>
          <w:sz w:val="20"/>
          <w:szCs w:val="20"/>
          <w:lang w:val="es-ES_tradnl"/>
        </w:rPr>
        <w:t xml:space="preserve"> y </w:t>
      </w:r>
      <w:r w:rsidR="007B68E2">
        <w:rPr>
          <w:rFonts w:ascii="Verdana" w:hAnsi="Verdana"/>
          <w:i w:val="0"/>
          <w:iCs/>
          <w:sz w:val="20"/>
          <w:szCs w:val="20"/>
          <w:lang w:val="es-ES_tradnl"/>
        </w:rPr>
        <w:t>d</w:t>
      </w:r>
      <w:r w:rsidR="00C82D8D" w:rsidRPr="009D520B">
        <w:rPr>
          <w:rFonts w:ascii="Verdana" w:hAnsi="Verdana"/>
          <w:i w:val="0"/>
          <w:iCs/>
          <w:sz w:val="20"/>
          <w:szCs w:val="20"/>
          <w:lang w:val="es-ES_tradnl"/>
        </w:rPr>
        <w:t xml:space="preserve">) </w:t>
      </w:r>
      <w:r w:rsidR="00462EC2" w:rsidRPr="009D520B">
        <w:rPr>
          <w:rFonts w:ascii="Verdana" w:hAnsi="Verdana"/>
          <w:i w:val="0"/>
          <w:iCs/>
          <w:sz w:val="20"/>
          <w:szCs w:val="20"/>
          <w:lang w:val="es-ES_tradnl"/>
        </w:rPr>
        <w:t>conclusión</w:t>
      </w:r>
      <w:r w:rsidR="001C44E8" w:rsidRPr="009D520B">
        <w:rPr>
          <w:rFonts w:ascii="Verdana" w:hAnsi="Verdana"/>
          <w:i w:val="0"/>
          <w:iCs/>
          <w:sz w:val="20"/>
          <w:szCs w:val="20"/>
          <w:lang w:val="es-ES_tradnl"/>
        </w:rPr>
        <w:t>.</w:t>
      </w:r>
    </w:p>
    <w:p w14:paraId="1FE90A81" w14:textId="0FD9654B" w:rsidR="00351A7E" w:rsidRPr="009D520B" w:rsidRDefault="00C42FF8" w:rsidP="00A47E86">
      <w:pPr>
        <w:pStyle w:val="Ttulo3"/>
        <w:spacing w:before="240" w:after="240"/>
        <w:ind w:left="567"/>
        <w:jc w:val="both"/>
        <w:rPr>
          <w:rFonts w:ascii="Verdana" w:hAnsi="Verdana"/>
          <w:b w:val="0"/>
          <w:snapToGrid w:val="0"/>
          <w:spacing w:val="-2"/>
          <w:sz w:val="20"/>
          <w:szCs w:val="20"/>
          <w:lang w:eastAsia="es-ES"/>
        </w:rPr>
      </w:pPr>
      <w:bookmarkStart w:id="91" w:name="_Toc132133918"/>
      <w:r w:rsidRPr="009D520B">
        <w:rPr>
          <w:rFonts w:ascii="Verdana" w:hAnsi="Verdana"/>
          <w:b w:val="0"/>
          <w:snapToGrid w:val="0"/>
          <w:spacing w:val="-2"/>
          <w:sz w:val="20"/>
          <w:szCs w:val="20"/>
          <w:lang w:eastAsia="es-ES"/>
        </w:rPr>
        <w:t xml:space="preserve">B.1. </w:t>
      </w:r>
      <w:r w:rsidR="00654EE2" w:rsidRPr="009D520B">
        <w:rPr>
          <w:rFonts w:ascii="Verdana" w:hAnsi="Verdana"/>
          <w:b w:val="0"/>
          <w:snapToGrid w:val="0"/>
          <w:spacing w:val="-2"/>
          <w:sz w:val="20"/>
          <w:szCs w:val="20"/>
          <w:lang w:eastAsia="es-ES"/>
        </w:rPr>
        <w:t xml:space="preserve">El </w:t>
      </w:r>
      <w:r w:rsidR="000E1F35" w:rsidRPr="009D520B">
        <w:rPr>
          <w:rFonts w:ascii="Verdana" w:hAnsi="Verdana"/>
          <w:b w:val="0"/>
          <w:snapToGrid w:val="0"/>
          <w:spacing w:val="-2"/>
          <w:sz w:val="20"/>
          <w:szCs w:val="20"/>
          <w:lang w:eastAsia="es-ES"/>
        </w:rPr>
        <w:t>derecho a no ser privado de la libertad ilegal</w:t>
      </w:r>
      <w:r w:rsidR="00F4744D" w:rsidRPr="009D520B">
        <w:rPr>
          <w:rFonts w:ascii="Verdana" w:hAnsi="Verdana"/>
          <w:b w:val="0"/>
          <w:snapToGrid w:val="0"/>
          <w:spacing w:val="-2"/>
          <w:sz w:val="20"/>
          <w:szCs w:val="20"/>
          <w:lang w:eastAsia="es-ES"/>
        </w:rPr>
        <w:t>mente</w:t>
      </w:r>
      <w:r w:rsidR="000E1F35" w:rsidRPr="009D520B">
        <w:rPr>
          <w:rFonts w:ascii="Verdana" w:hAnsi="Verdana"/>
          <w:b w:val="0"/>
          <w:snapToGrid w:val="0"/>
          <w:spacing w:val="-2"/>
          <w:sz w:val="20"/>
          <w:szCs w:val="20"/>
          <w:lang w:eastAsia="es-ES"/>
        </w:rPr>
        <w:t xml:space="preserve"> y el derecho a ser informado sobre las razones de la detención</w:t>
      </w:r>
      <w:bookmarkEnd w:id="91"/>
      <w:r w:rsidR="00654EE2" w:rsidRPr="009D520B">
        <w:rPr>
          <w:rFonts w:ascii="Verdana" w:hAnsi="Verdana"/>
          <w:b w:val="0"/>
          <w:snapToGrid w:val="0"/>
          <w:spacing w:val="-2"/>
          <w:sz w:val="20"/>
          <w:szCs w:val="20"/>
          <w:lang w:eastAsia="es-ES"/>
        </w:rPr>
        <w:t xml:space="preserve"> </w:t>
      </w:r>
    </w:p>
    <w:p w14:paraId="1210FCE7" w14:textId="30C0E33C" w:rsidR="00D800CC" w:rsidRPr="009D520B" w:rsidRDefault="00D800CC" w:rsidP="00D73463">
      <w:pPr>
        <w:numPr>
          <w:ilvl w:val="0"/>
          <w:numId w:val="15"/>
        </w:numPr>
        <w:spacing w:before="240" w:after="240"/>
        <w:jc w:val="both"/>
        <w:outlineLvl w:val="3"/>
        <w:rPr>
          <w:rFonts w:ascii="Verdana" w:hAnsi="Verdana"/>
          <w:i/>
          <w:iCs/>
          <w:sz w:val="20"/>
          <w:szCs w:val="20"/>
        </w:rPr>
      </w:pPr>
      <w:r w:rsidRPr="009D520B">
        <w:rPr>
          <w:rFonts w:ascii="Verdana" w:hAnsi="Verdana"/>
          <w:i/>
          <w:iCs/>
          <w:sz w:val="20"/>
          <w:szCs w:val="20"/>
        </w:rPr>
        <w:t xml:space="preserve">Sobre la legalidad de las detenciones de Daniel García Rodríguez y Reyes Alpízar </w:t>
      </w:r>
      <w:r w:rsidR="00D349F9">
        <w:rPr>
          <w:rFonts w:ascii="Verdana" w:hAnsi="Verdana"/>
          <w:i/>
          <w:iCs/>
          <w:sz w:val="20"/>
          <w:szCs w:val="20"/>
        </w:rPr>
        <w:t>Ortiz</w:t>
      </w:r>
    </w:p>
    <w:p w14:paraId="204536A0" w14:textId="72DA4B09" w:rsidR="0088755B" w:rsidRPr="009D520B" w:rsidRDefault="00911F70" w:rsidP="4D38B166">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eastAsia="Cambria" w:hAnsi="Verdana" w:cs="Cambria"/>
          <w:i w:val="0"/>
          <w:sz w:val="20"/>
          <w:szCs w:val="20"/>
          <w:lang w:val="es-ES"/>
        </w:rPr>
      </w:pPr>
      <w:r w:rsidRPr="3BF92891">
        <w:rPr>
          <w:rFonts w:ascii="Verdana" w:hAnsi="Verdana"/>
          <w:i w:val="0"/>
          <w:sz w:val="20"/>
          <w:szCs w:val="20"/>
          <w:lang w:val="es-CR"/>
        </w:rPr>
        <w:t xml:space="preserve">Corresponde recordar que el artículo 7.2 de la Convención Americana establece que “nadie puede ser privado de su libertad física, salvo por las causas y en las condiciones fijadas de antemano por las Constituciones Políticas de los </w:t>
      </w:r>
      <w:r w:rsidR="003705CC" w:rsidRPr="3BF92891">
        <w:rPr>
          <w:rFonts w:ascii="Verdana" w:hAnsi="Verdana"/>
          <w:i w:val="0"/>
          <w:sz w:val="20"/>
          <w:szCs w:val="20"/>
          <w:lang w:val="es-CR"/>
        </w:rPr>
        <w:t>Estados Parte</w:t>
      </w:r>
      <w:r w:rsidRPr="3BF92891">
        <w:rPr>
          <w:rFonts w:ascii="Verdana" w:hAnsi="Verdana"/>
          <w:i w:val="0"/>
          <w:sz w:val="20"/>
          <w:szCs w:val="20"/>
          <w:lang w:val="es-CR"/>
        </w:rPr>
        <w:t xml:space="preserve"> o por las leyes dictadas conforme a ellas”. Este Tribunal ha expresado que</w:t>
      </w:r>
      <w:r w:rsidR="3BF92891" w:rsidRPr="3BF92891">
        <w:rPr>
          <w:rFonts w:ascii="Verdana" w:hAnsi="Verdana"/>
          <w:i w:val="0"/>
          <w:sz w:val="20"/>
          <w:szCs w:val="20"/>
          <w:lang w:val="es-CR"/>
        </w:rPr>
        <w:t>,</w:t>
      </w:r>
      <w:r w:rsidRPr="3BF92891">
        <w:rPr>
          <w:rFonts w:ascii="Verdana" w:hAnsi="Verdana"/>
          <w:i w:val="0"/>
          <w:sz w:val="20"/>
          <w:szCs w:val="20"/>
          <w:lang w:val="es-CR"/>
        </w:rPr>
        <w:t xml:space="preserve"> al remitir a la Constitución y leyes establecidas “conforme a ellas”, el estudio de la observancia del artículo 7.2 de la Convención implica el examen del cumplimiento de los requisitos establecidos </w:t>
      </w:r>
      <w:r w:rsidR="3BF92891" w:rsidRPr="3BF92891">
        <w:rPr>
          <w:rFonts w:ascii="Verdana" w:hAnsi="Verdana"/>
          <w:i w:val="0"/>
          <w:sz w:val="20"/>
          <w:szCs w:val="20"/>
          <w:lang w:val="es-CR"/>
        </w:rPr>
        <w:t xml:space="preserve">de la forma tan concreta </w:t>
      </w:r>
      <w:r w:rsidRPr="3BF92891">
        <w:rPr>
          <w:rFonts w:ascii="Verdana" w:hAnsi="Verdana"/>
          <w:i w:val="0"/>
          <w:sz w:val="20"/>
          <w:szCs w:val="20"/>
          <w:lang w:val="es-CR"/>
        </w:rPr>
        <w:t>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w:t>
      </w:r>
      <w:r w:rsidRPr="3BF92891">
        <w:rPr>
          <w:rFonts w:ascii="Verdana" w:hAnsi="Verdana"/>
          <w:i w:val="0"/>
          <w:sz w:val="20"/>
          <w:szCs w:val="20"/>
          <w:vertAlign w:val="superscript"/>
        </w:rPr>
        <w:footnoteReference w:id="164"/>
      </w:r>
      <w:r w:rsidRPr="3BF92891">
        <w:rPr>
          <w:rFonts w:ascii="Verdana" w:hAnsi="Verdana"/>
          <w:i w:val="0"/>
          <w:sz w:val="20"/>
          <w:szCs w:val="20"/>
          <w:lang w:val="es-CR"/>
        </w:rPr>
        <w:t>, a la luz del artículo 7.2</w:t>
      </w:r>
      <w:r w:rsidRPr="3BF92891">
        <w:rPr>
          <w:rStyle w:val="Refdenotaalpie"/>
          <w:rFonts w:ascii="Verdana" w:eastAsia="Batang" w:hAnsi="Verdana"/>
          <w:i w:val="0"/>
          <w:sz w:val="20"/>
          <w:lang w:val="es-CR"/>
        </w:rPr>
        <w:footnoteReference w:id="165"/>
      </w:r>
      <w:r w:rsidRPr="3BF92891">
        <w:rPr>
          <w:rFonts w:ascii="Verdana" w:hAnsi="Verdana"/>
          <w:i w:val="0"/>
          <w:sz w:val="20"/>
          <w:szCs w:val="20"/>
          <w:lang w:val="es-CR"/>
        </w:rPr>
        <w:t>.</w:t>
      </w:r>
    </w:p>
    <w:p w14:paraId="51818E91" w14:textId="129110CF" w:rsidR="00DD421B" w:rsidRPr="009D520B" w:rsidRDefault="00DD421B" w:rsidP="00DD421B">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 xml:space="preserve">Por otra parte, la Corte </w:t>
      </w:r>
      <w:r w:rsidR="00444CB5" w:rsidRPr="009D520B">
        <w:rPr>
          <w:rFonts w:ascii="Verdana" w:eastAsia="Cambria" w:hAnsi="Verdana" w:cs="Cambria"/>
          <w:i w:val="0"/>
          <w:iCs/>
          <w:sz w:val="20"/>
          <w:szCs w:val="20"/>
          <w:lang w:val="es-ES_tradnl"/>
        </w:rPr>
        <w:t>co</w:t>
      </w:r>
      <w:r w:rsidR="001C47A6" w:rsidRPr="009D520B">
        <w:rPr>
          <w:rFonts w:ascii="Verdana" w:eastAsia="Cambria" w:hAnsi="Verdana" w:cs="Cambria"/>
          <w:i w:val="0"/>
          <w:iCs/>
          <w:sz w:val="20"/>
          <w:szCs w:val="20"/>
          <w:lang w:val="es-ES_tradnl"/>
        </w:rPr>
        <w:t>mprueba</w:t>
      </w:r>
      <w:r w:rsidR="00444CB5" w:rsidRPr="009D520B">
        <w:rPr>
          <w:rFonts w:ascii="Verdana" w:eastAsia="Cambria" w:hAnsi="Verdana" w:cs="Cambria"/>
          <w:i w:val="0"/>
          <w:iCs/>
          <w:sz w:val="20"/>
          <w:szCs w:val="20"/>
          <w:lang w:val="es-ES_tradnl"/>
        </w:rPr>
        <w:t xml:space="preserve"> </w:t>
      </w:r>
      <w:r w:rsidRPr="009D520B">
        <w:rPr>
          <w:rFonts w:ascii="Verdana" w:eastAsia="Cambria" w:hAnsi="Verdana" w:cs="Cambria"/>
          <w:i w:val="0"/>
          <w:iCs/>
          <w:sz w:val="20"/>
          <w:szCs w:val="20"/>
          <w:lang w:val="es-ES_tradnl"/>
        </w:rPr>
        <w:t>que el artículo 16 de la Constitución mexicana vigente al momento en que se produjo la detención de las presuntas víctimas establec</w:t>
      </w:r>
      <w:r w:rsidR="00925779" w:rsidRPr="009D520B">
        <w:rPr>
          <w:rFonts w:ascii="Verdana" w:eastAsia="Cambria" w:hAnsi="Verdana" w:cs="Cambria"/>
          <w:i w:val="0"/>
          <w:iCs/>
          <w:sz w:val="20"/>
          <w:szCs w:val="20"/>
          <w:lang w:val="es-ES_tradnl"/>
        </w:rPr>
        <w:t>í</w:t>
      </w:r>
      <w:r w:rsidRPr="009D520B">
        <w:rPr>
          <w:rFonts w:ascii="Verdana" w:eastAsia="Cambria" w:hAnsi="Verdana" w:cs="Cambria"/>
          <w:i w:val="0"/>
          <w:iCs/>
          <w:sz w:val="20"/>
          <w:szCs w:val="20"/>
          <w:lang w:val="es-ES_tradnl"/>
        </w:rPr>
        <w:t>a que “[l]a autoridad que ejecute una orden judicial de aprehensión, deberá poner al inculpado a disposición del juez, sin dilación alguna y bajo su más estricta responsabilidad. La contravención a lo anterior será sancionada por la ley penal. […] En los casos de delito flagrante, cualquier persona puede detener al indiciado poniéndolo sin demora a disposición de la autoridad inmediata y ésta, con la misma prontitud, a la del Ministerio Público”.</w:t>
      </w:r>
    </w:p>
    <w:p w14:paraId="7247397F" w14:textId="5CB3C740" w:rsidR="00DD421B" w:rsidRPr="009D520B" w:rsidRDefault="00BD1D31" w:rsidP="4D38B166">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eastAsia="Cambria" w:hAnsi="Verdana" w:cs="Cambria"/>
          <w:i w:val="0"/>
          <w:sz w:val="20"/>
          <w:szCs w:val="20"/>
          <w:lang w:val="es-ES"/>
        </w:rPr>
      </w:pPr>
      <w:r>
        <w:rPr>
          <w:rFonts w:ascii="Verdana" w:eastAsia="Cambria" w:hAnsi="Verdana" w:cs="Cambria"/>
          <w:i w:val="0"/>
          <w:sz w:val="20"/>
          <w:szCs w:val="20"/>
          <w:lang w:val="es-ES"/>
        </w:rPr>
        <w:t>Del mismo modo</w:t>
      </w:r>
      <w:r w:rsidR="4D38B166" w:rsidRPr="4D38B166">
        <w:rPr>
          <w:rFonts w:ascii="Verdana" w:eastAsia="Cambria" w:hAnsi="Verdana" w:cs="Cambria"/>
          <w:i w:val="0"/>
          <w:sz w:val="20"/>
          <w:szCs w:val="20"/>
          <w:lang w:val="es-ES"/>
        </w:rPr>
        <w:t xml:space="preserve">, el artículo 147 del Código de Procedimientos Penales para el Estado de </w:t>
      </w:r>
      <w:r w:rsidR="4D38B166" w:rsidRPr="4D38B166">
        <w:rPr>
          <w:rFonts w:ascii="Verdana" w:eastAsia="Cambria" w:hAnsi="Verdana" w:cs="Cambria"/>
          <w:i w:val="0"/>
          <w:sz w:val="20"/>
          <w:szCs w:val="20"/>
          <w:lang w:val="es-ES"/>
        </w:rPr>
        <w:lastRenderedPageBreak/>
        <w:t xml:space="preserve">México de 2000 establece que “[c]uando estén reunidos los requisitos establecidos en la Constitución Política de los Estados Unidos Mexicanos, el órgano jurisdiccional librará de inmediato la orden de aprehensión que, en contra del inculpado, le solicite el Ministerio Público”. Además, el artículo 142 de dicho cuerpo normativo se refiere a la flagrancia en los siguientes términos: “Existe flagrancia cuando la persona es detenida en el momento de estar cometiendo el hecho, o bien, cuando el indiciado es perseguido material, ininterrumpida e inmediatamente después de ejecutado. […] Se equipara a la existencia de flagrancia, cuando la persona es señalada como responsable por la víctima, algún testigo presencial de los hechos, o por quien hubiera participado con ella en su comisión; o se encuentre en su poder el objeto, instrumento o producto del delito, o bien, aparezcan huellas o indicios que hagan presumir fundadamente su participación en el hecho; siempre y cuando el mismo pueda ser constitutivo de delito grave, y no haya transcurrido un plazo de setenta y dos horas desde el momento de la comisión de los hechos probablemente delictivos”. </w:t>
      </w:r>
      <w:r>
        <w:rPr>
          <w:rFonts w:ascii="Verdana" w:eastAsia="Cambria" w:hAnsi="Verdana" w:cs="Cambria"/>
          <w:i w:val="0"/>
          <w:sz w:val="20"/>
          <w:szCs w:val="20"/>
          <w:lang w:val="es-ES"/>
        </w:rPr>
        <w:t>Asimismo</w:t>
      </w:r>
      <w:r w:rsidR="4D38B166" w:rsidRPr="4D38B166">
        <w:rPr>
          <w:rFonts w:ascii="Verdana" w:eastAsia="Cambria" w:hAnsi="Verdana" w:cs="Cambria"/>
          <w:i w:val="0"/>
          <w:sz w:val="20"/>
          <w:szCs w:val="20"/>
          <w:lang w:val="es-ES"/>
        </w:rPr>
        <w:t>, el artículo 143 del referido Código establece que “[e]l Ministerio Público ordenará la detención en caso urgente, por escrito, fundando y expresando los indicios que acrediten los requisitos mencionados en los incisos anteriores. En este caso, el Ministerio Público deberá tener comprobados el cuerpo del delito y la probable responsabilidad del indiciado”.</w:t>
      </w:r>
    </w:p>
    <w:p w14:paraId="0EBB850D" w14:textId="65F7E68D" w:rsidR="008F4362" w:rsidRPr="009D520B" w:rsidRDefault="008F4362" w:rsidP="00D73463">
      <w:pPr>
        <w:pStyle w:val="Estilo1"/>
        <w:widowControl w:val="0"/>
        <w:tabs>
          <w:tab w:val="left" w:pos="0"/>
          <w:tab w:val="left" w:pos="567"/>
        </w:tabs>
        <w:adjustRightInd w:val="0"/>
        <w:spacing w:before="240" w:after="240"/>
        <w:ind w:left="0" w:right="-6" w:firstLine="0"/>
        <w:jc w:val="both"/>
        <w:textAlignment w:val="baseline"/>
        <w:outlineLvl w:val="4"/>
        <w:rPr>
          <w:rFonts w:ascii="Verdana" w:eastAsia="Cambria" w:hAnsi="Verdana" w:cs="Cambria"/>
          <w:sz w:val="20"/>
          <w:szCs w:val="20"/>
          <w:lang w:val="es-ES_tradnl"/>
        </w:rPr>
      </w:pPr>
      <w:r w:rsidRPr="009D520B">
        <w:rPr>
          <w:rFonts w:ascii="Verdana" w:eastAsia="Cambria" w:hAnsi="Verdana" w:cs="Cambria"/>
          <w:sz w:val="20"/>
          <w:szCs w:val="20"/>
          <w:lang w:val="es-ES_tradnl"/>
        </w:rPr>
        <w:tab/>
      </w:r>
      <w:r w:rsidRPr="009D520B">
        <w:rPr>
          <w:rFonts w:ascii="Verdana" w:eastAsia="Cambria" w:hAnsi="Verdana" w:cs="Cambria"/>
          <w:sz w:val="20"/>
          <w:szCs w:val="20"/>
          <w:lang w:val="es-ES_tradnl"/>
        </w:rPr>
        <w:tab/>
        <w:t>i. El caso de Daniel García Rodríguez</w:t>
      </w:r>
    </w:p>
    <w:p w14:paraId="4FBD436C" w14:textId="220C8F58" w:rsidR="00035014" w:rsidRPr="009D520B" w:rsidRDefault="00D800CC" w:rsidP="004E08E9">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En cuanto al alegato relacionado con la legalidad de la detención de Daniel García Rodríguez, la Corte nota que no existe controversia en torno al hecho que</w:t>
      </w:r>
      <w:r w:rsidR="004E08E9" w:rsidRPr="009D520B">
        <w:rPr>
          <w:rFonts w:ascii="Verdana" w:eastAsia="Cambria" w:hAnsi="Verdana" w:cs="Cambria"/>
          <w:i w:val="0"/>
          <w:iCs/>
          <w:sz w:val="20"/>
          <w:szCs w:val="20"/>
          <w:lang w:val="es-ES_tradnl"/>
        </w:rPr>
        <w:t>, en horas de la mañana,</w:t>
      </w:r>
      <w:r w:rsidRPr="009D520B">
        <w:rPr>
          <w:rFonts w:ascii="Verdana" w:eastAsia="Cambria" w:hAnsi="Verdana" w:cs="Cambria"/>
          <w:i w:val="0"/>
          <w:iCs/>
          <w:sz w:val="20"/>
          <w:szCs w:val="20"/>
          <w:lang w:val="es-ES_tradnl"/>
        </w:rPr>
        <w:t xml:space="preserve"> éste fue llevado por agentes de la </w:t>
      </w:r>
      <w:r w:rsidR="00B3502C" w:rsidRPr="009D520B">
        <w:rPr>
          <w:rFonts w:ascii="Verdana" w:eastAsia="Cambria" w:hAnsi="Verdana" w:cs="Cambria"/>
          <w:i w:val="0"/>
          <w:iCs/>
          <w:sz w:val="20"/>
          <w:szCs w:val="20"/>
          <w:lang w:val="es-ES_tradnl"/>
        </w:rPr>
        <w:t>PGJEM</w:t>
      </w:r>
      <w:r w:rsidR="00163254">
        <w:rPr>
          <w:rFonts w:ascii="Verdana" w:eastAsia="Cambria" w:hAnsi="Verdana" w:cs="Cambria"/>
          <w:i w:val="0"/>
          <w:iCs/>
          <w:sz w:val="20"/>
          <w:szCs w:val="20"/>
          <w:lang w:val="es-ES_tradnl"/>
        </w:rPr>
        <w:t xml:space="preserve"> </w:t>
      </w:r>
      <w:r w:rsidR="00163254" w:rsidRPr="007F4456">
        <w:rPr>
          <w:rFonts w:ascii="Verdana" w:hAnsi="Verdana"/>
          <w:i w:val="0"/>
          <w:sz w:val="20"/>
          <w:szCs w:val="20"/>
          <w:lang w:val="es-ES"/>
        </w:rPr>
        <w:t>a rendir declaración ante el Ministerio Público</w:t>
      </w:r>
      <w:r w:rsidR="00FB78E3">
        <w:rPr>
          <w:rFonts w:ascii="Verdana" w:hAnsi="Verdana"/>
          <w:i w:val="0"/>
          <w:sz w:val="20"/>
          <w:szCs w:val="20"/>
          <w:lang w:val="es-ES"/>
        </w:rPr>
        <w:t xml:space="preserve"> (</w:t>
      </w:r>
      <w:r w:rsidR="00FB78E3" w:rsidRPr="00FB78E3">
        <w:rPr>
          <w:rFonts w:ascii="Verdana" w:hAnsi="Verdana"/>
          <w:iCs/>
          <w:sz w:val="20"/>
          <w:szCs w:val="20"/>
          <w:lang w:val="es-ES"/>
        </w:rPr>
        <w:t>supra</w:t>
      </w:r>
      <w:r w:rsidR="00FB78E3">
        <w:rPr>
          <w:rFonts w:ascii="Verdana" w:hAnsi="Verdana"/>
          <w:i w:val="0"/>
          <w:sz w:val="20"/>
          <w:szCs w:val="20"/>
          <w:lang w:val="es-ES"/>
        </w:rPr>
        <w:t xml:space="preserve"> párr. 68)</w:t>
      </w:r>
      <w:r w:rsidRPr="009D520B">
        <w:rPr>
          <w:rFonts w:ascii="Verdana" w:eastAsia="Cambria" w:hAnsi="Verdana" w:cs="Cambria"/>
          <w:i w:val="0"/>
          <w:iCs/>
          <w:sz w:val="20"/>
          <w:szCs w:val="20"/>
          <w:lang w:val="es-ES_tradnl"/>
        </w:rPr>
        <w:t>.</w:t>
      </w:r>
      <w:r w:rsidR="004E08E9" w:rsidRPr="009D520B">
        <w:rPr>
          <w:rFonts w:ascii="Verdana" w:eastAsia="Cambria" w:hAnsi="Verdana" w:cs="Cambria"/>
          <w:i w:val="0"/>
          <w:iCs/>
          <w:sz w:val="20"/>
          <w:szCs w:val="20"/>
          <w:lang w:val="es-ES_tradnl"/>
        </w:rPr>
        <w:t xml:space="preserve"> El Estado indicó con respecto a este punto que </w:t>
      </w:r>
      <w:r w:rsidR="00035014" w:rsidRPr="009D520B">
        <w:rPr>
          <w:rFonts w:ascii="Verdana" w:eastAsia="Cambria" w:hAnsi="Verdana" w:cs="Cambria"/>
          <w:i w:val="0"/>
          <w:iCs/>
          <w:sz w:val="20"/>
          <w:szCs w:val="20"/>
          <w:lang w:val="es-ES_tradnl"/>
        </w:rPr>
        <w:t xml:space="preserve">Daniel García Rodríguez había sido citado para declarar ante el Ministerio Público, y que además </w:t>
      </w:r>
      <w:r w:rsidR="004E08E9" w:rsidRPr="009D520B">
        <w:rPr>
          <w:rFonts w:ascii="Verdana" w:eastAsia="Cambria" w:hAnsi="Verdana" w:cs="Cambria"/>
          <w:i w:val="0"/>
          <w:iCs/>
          <w:sz w:val="20"/>
          <w:szCs w:val="20"/>
          <w:lang w:val="es-ES_tradnl"/>
        </w:rPr>
        <w:t xml:space="preserve">la </w:t>
      </w:r>
      <w:r w:rsidR="004E08E9" w:rsidRPr="009D520B">
        <w:rPr>
          <w:rFonts w:ascii="Verdana" w:hAnsi="Verdana"/>
          <w:i w:val="0"/>
          <w:iCs/>
          <w:sz w:val="20"/>
          <w:szCs w:val="20"/>
          <w:lang w:val="es-ES_tradnl"/>
        </w:rPr>
        <w:t>legislación</w:t>
      </w:r>
      <w:r w:rsidR="004E08E9" w:rsidRPr="009D520B">
        <w:rPr>
          <w:rFonts w:ascii="Verdana" w:eastAsia="Cambria" w:hAnsi="Verdana" w:cs="Cambria"/>
          <w:i w:val="0"/>
          <w:iCs/>
          <w:sz w:val="20"/>
          <w:szCs w:val="20"/>
          <w:lang w:val="es-ES_tradnl"/>
        </w:rPr>
        <w:t xml:space="preserve"> procesal vigente al momento de los hechos preveía que</w:t>
      </w:r>
      <w:r w:rsidR="00945E2D">
        <w:rPr>
          <w:rFonts w:ascii="Verdana" w:eastAsia="Cambria" w:hAnsi="Verdana" w:cs="Cambria"/>
          <w:i w:val="0"/>
          <w:iCs/>
          <w:sz w:val="20"/>
          <w:szCs w:val="20"/>
          <w:lang w:val="es-ES_tradnl"/>
        </w:rPr>
        <w:t>,</w:t>
      </w:r>
      <w:r w:rsidR="004E08E9" w:rsidRPr="009D520B">
        <w:rPr>
          <w:rFonts w:ascii="Verdana" w:eastAsia="Cambria" w:hAnsi="Verdana" w:cs="Cambria"/>
          <w:i w:val="0"/>
          <w:iCs/>
          <w:sz w:val="20"/>
          <w:szCs w:val="20"/>
          <w:lang w:val="es-ES_tradnl"/>
        </w:rPr>
        <w:t xml:space="preserve"> para aquellos casos en los que se tuviera temor fundado de que se desobedeciera la citación, </w:t>
      </w:r>
      <w:r w:rsidR="00CD2BF4">
        <w:rPr>
          <w:rFonts w:ascii="Verdana" w:eastAsia="Cambria" w:hAnsi="Verdana" w:cs="Cambria"/>
          <w:i w:val="0"/>
          <w:iCs/>
          <w:sz w:val="20"/>
          <w:szCs w:val="20"/>
          <w:lang w:val="es-ES_tradnl"/>
        </w:rPr>
        <w:t xml:space="preserve">las personas citadas a declarar </w:t>
      </w:r>
      <w:r w:rsidR="004E08E9" w:rsidRPr="009D520B">
        <w:rPr>
          <w:rFonts w:ascii="Verdana" w:eastAsia="Cambria" w:hAnsi="Verdana" w:cs="Cambria"/>
          <w:i w:val="0"/>
          <w:iCs/>
          <w:sz w:val="20"/>
          <w:szCs w:val="20"/>
          <w:lang w:val="es-ES_tradnl"/>
        </w:rPr>
        <w:t xml:space="preserve">podrían ser </w:t>
      </w:r>
      <w:r w:rsidR="00CD2BF4">
        <w:rPr>
          <w:rFonts w:ascii="Verdana" w:eastAsia="Cambria" w:hAnsi="Verdana" w:cs="Cambria"/>
          <w:i w:val="0"/>
          <w:iCs/>
          <w:sz w:val="20"/>
          <w:szCs w:val="20"/>
          <w:lang w:val="es-ES_tradnl"/>
        </w:rPr>
        <w:t>conduci</w:t>
      </w:r>
      <w:r w:rsidR="004E08E9" w:rsidRPr="009D520B">
        <w:rPr>
          <w:rFonts w:ascii="Verdana" w:eastAsia="Cambria" w:hAnsi="Verdana" w:cs="Cambria"/>
          <w:i w:val="0"/>
          <w:iCs/>
          <w:sz w:val="20"/>
          <w:szCs w:val="20"/>
          <w:lang w:val="es-ES_tradnl"/>
        </w:rPr>
        <w:t>d</w:t>
      </w:r>
      <w:r w:rsidR="00CD2BF4">
        <w:rPr>
          <w:rFonts w:ascii="Verdana" w:eastAsia="Cambria" w:hAnsi="Verdana" w:cs="Cambria"/>
          <w:i w:val="0"/>
          <w:iCs/>
          <w:sz w:val="20"/>
          <w:szCs w:val="20"/>
          <w:lang w:val="es-ES_tradnl"/>
        </w:rPr>
        <w:t>a</w:t>
      </w:r>
      <w:r w:rsidR="004E08E9" w:rsidRPr="009D520B">
        <w:rPr>
          <w:rFonts w:ascii="Verdana" w:eastAsia="Cambria" w:hAnsi="Verdana" w:cs="Cambria"/>
          <w:i w:val="0"/>
          <w:iCs/>
          <w:sz w:val="20"/>
          <w:szCs w:val="20"/>
          <w:lang w:val="es-ES_tradnl"/>
        </w:rPr>
        <w:t xml:space="preserve">s por la policía. </w:t>
      </w:r>
    </w:p>
    <w:p w14:paraId="6528B786" w14:textId="0C3897FB" w:rsidR="00035014" w:rsidRPr="009D520B" w:rsidRDefault="00035014" w:rsidP="00613C48">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 xml:space="preserve">Con respecto a este punto, el Tribunal nota que </w:t>
      </w:r>
      <w:r w:rsidR="004E08E9" w:rsidRPr="009D520B">
        <w:rPr>
          <w:rFonts w:ascii="Verdana" w:eastAsia="Cambria" w:hAnsi="Verdana" w:cs="Cambria"/>
          <w:i w:val="0"/>
          <w:iCs/>
          <w:sz w:val="20"/>
          <w:szCs w:val="20"/>
          <w:lang w:val="es-ES_tradnl"/>
        </w:rPr>
        <w:t xml:space="preserve">no fue presentada ante esta Corte </w:t>
      </w:r>
      <w:r w:rsidR="00613C48" w:rsidRPr="009D520B">
        <w:rPr>
          <w:rFonts w:ascii="Verdana" w:eastAsia="Cambria" w:hAnsi="Verdana" w:cs="Cambria"/>
          <w:i w:val="0"/>
          <w:iCs/>
          <w:sz w:val="20"/>
          <w:szCs w:val="20"/>
          <w:lang w:val="es-ES_tradnl"/>
        </w:rPr>
        <w:t xml:space="preserve">la citación de Daniel García Rodríguez ordenando que se presentara </w:t>
      </w:r>
      <w:r w:rsidR="004E08E9" w:rsidRPr="009D520B">
        <w:rPr>
          <w:rFonts w:ascii="Verdana" w:eastAsia="Cambria" w:hAnsi="Verdana" w:cs="Cambria"/>
          <w:i w:val="0"/>
          <w:iCs/>
          <w:sz w:val="20"/>
          <w:szCs w:val="20"/>
          <w:lang w:val="es-ES_tradnl"/>
        </w:rPr>
        <w:t xml:space="preserve">ante el Ministerio Público </w:t>
      </w:r>
      <w:r w:rsidRPr="009D520B">
        <w:rPr>
          <w:rFonts w:ascii="Verdana" w:eastAsia="Cambria" w:hAnsi="Verdana" w:cs="Cambria"/>
          <w:i w:val="0"/>
          <w:iCs/>
          <w:sz w:val="20"/>
          <w:szCs w:val="20"/>
          <w:lang w:val="es-ES_tradnl"/>
        </w:rPr>
        <w:t xml:space="preserve">mencionada por el Estado ni tampoco se hizo alusión precisa a la norma </w:t>
      </w:r>
      <w:r w:rsidR="00E83562" w:rsidRPr="009D520B">
        <w:rPr>
          <w:rFonts w:ascii="Verdana" w:eastAsia="Cambria" w:hAnsi="Verdana" w:cs="Cambria"/>
          <w:i w:val="0"/>
          <w:iCs/>
          <w:sz w:val="20"/>
          <w:szCs w:val="20"/>
          <w:lang w:val="es-ES_tradnl"/>
        </w:rPr>
        <w:t xml:space="preserve">al amparo de la cual se habría llevado a cabo dicha </w:t>
      </w:r>
      <w:r w:rsidRPr="009D520B">
        <w:rPr>
          <w:rFonts w:ascii="Verdana" w:eastAsia="Cambria" w:hAnsi="Verdana" w:cs="Cambria"/>
          <w:i w:val="0"/>
          <w:iCs/>
          <w:sz w:val="20"/>
          <w:szCs w:val="20"/>
          <w:lang w:val="es-ES_tradnl"/>
        </w:rPr>
        <w:t>citaci</w:t>
      </w:r>
      <w:r w:rsidR="00E83562" w:rsidRPr="009D520B">
        <w:rPr>
          <w:rFonts w:ascii="Verdana" w:eastAsia="Cambria" w:hAnsi="Verdana" w:cs="Cambria"/>
          <w:i w:val="0"/>
          <w:iCs/>
          <w:sz w:val="20"/>
          <w:szCs w:val="20"/>
          <w:lang w:val="es-ES_tradnl"/>
        </w:rPr>
        <w:t>ón</w:t>
      </w:r>
      <w:r w:rsidRPr="009D520B">
        <w:rPr>
          <w:rFonts w:ascii="Verdana" w:eastAsia="Cambria" w:hAnsi="Verdana" w:cs="Cambria"/>
          <w:i w:val="0"/>
          <w:iCs/>
          <w:sz w:val="20"/>
          <w:szCs w:val="20"/>
          <w:lang w:val="es-ES_tradnl"/>
        </w:rPr>
        <w:t xml:space="preserve">. </w:t>
      </w:r>
    </w:p>
    <w:p w14:paraId="036A2C2D" w14:textId="7E3C911A" w:rsidR="00BD1D31" w:rsidRDefault="00724D64" w:rsidP="00BD1D31">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 xml:space="preserve">De conformidad con lo </w:t>
      </w:r>
      <w:r w:rsidR="00541C0B" w:rsidRPr="009D520B">
        <w:rPr>
          <w:rFonts w:ascii="Verdana" w:eastAsia="Cambria" w:hAnsi="Verdana" w:cs="Cambria"/>
          <w:i w:val="0"/>
          <w:iCs/>
          <w:sz w:val="20"/>
          <w:szCs w:val="20"/>
          <w:lang w:val="es-ES_tradnl"/>
        </w:rPr>
        <w:t>señalado</w:t>
      </w:r>
      <w:r w:rsidRPr="009D520B">
        <w:rPr>
          <w:rFonts w:ascii="Verdana" w:eastAsia="Cambria" w:hAnsi="Verdana" w:cs="Cambria"/>
          <w:i w:val="0"/>
          <w:iCs/>
          <w:sz w:val="20"/>
          <w:szCs w:val="20"/>
          <w:lang w:val="es-ES_tradnl"/>
        </w:rPr>
        <w:t xml:space="preserve">, el </w:t>
      </w:r>
      <w:r w:rsidR="00E83562" w:rsidRPr="009D520B">
        <w:rPr>
          <w:rFonts w:ascii="Verdana" w:eastAsia="Cambria" w:hAnsi="Verdana" w:cs="Cambria"/>
          <w:i w:val="0"/>
          <w:iCs/>
          <w:sz w:val="20"/>
          <w:szCs w:val="20"/>
          <w:lang w:val="es-ES_tradnl"/>
        </w:rPr>
        <w:t>“</w:t>
      </w:r>
      <w:r w:rsidRPr="009D520B">
        <w:rPr>
          <w:rFonts w:ascii="Verdana" w:eastAsia="Cambria" w:hAnsi="Verdana" w:cs="Cambria"/>
          <w:i w:val="0"/>
          <w:iCs/>
          <w:sz w:val="20"/>
          <w:szCs w:val="20"/>
          <w:lang w:val="es-ES_tradnl"/>
        </w:rPr>
        <w:t>acompañamiento</w:t>
      </w:r>
      <w:r w:rsidR="00E83562" w:rsidRPr="009D520B">
        <w:rPr>
          <w:rFonts w:ascii="Verdana" w:eastAsia="Cambria" w:hAnsi="Verdana" w:cs="Cambria"/>
          <w:i w:val="0"/>
          <w:iCs/>
          <w:sz w:val="20"/>
          <w:szCs w:val="20"/>
          <w:lang w:val="es-ES_tradnl"/>
        </w:rPr>
        <w:t>”</w:t>
      </w:r>
      <w:r w:rsidRPr="009D520B">
        <w:rPr>
          <w:rFonts w:ascii="Verdana" w:eastAsia="Cambria" w:hAnsi="Verdana" w:cs="Cambria"/>
          <w:i w:val="0"/>
          <w:iCs/>
          <w:sz w:val="20"/>
          <w:szCs w:val="20"/>
          <w:lang w:val="es-ES_tradnl"/>
        </w:rPr>
        <w:t xml:space="preserve"> </w:t>
      </w:r>
      <w:r w:rsidR="00487953" w:rsidRPr="009D520B">
        <w:rPr>
          <w:rFonts w:ascii="Verdana" w:eastAsia="Cambria" w:hAnsi="Verdana" w:cs="Cambria"/>
          <w:i w:val="0"/>
          <w:iCs/>
          <w:sz w:val="20"/>
          <w:szCs w:val="20"/>
          <w:lang w:val="es-ES_tradnl"/>
        </w:rPr>
        <w:t>por parte de</w:t>
      </w:r>
      <w:r w:rsidR="00487953" w:rsidRPr="00351298">
        <w:rPr>
          <w:rFonts w:ascii="Verdana" w:eastAsia="Cambria" w:hAnsi="Verdana" w:cs="Cambria"/>
          <w:i w:val="0"/>
          <w:iCs/>
          <w:sz w:val="20"/>
          <w:szCs w:val="20"/>
          <w:lang w:val="es-ES_tradnl"/>
        </w:rPr>
        <w:t xml:space="preserve"> policías ministeriales de la </w:t>
      </w:r>
      <w:r w:rsidR="003C4806" w:rsidRPr="00351298">
        <w:rPr>
          <w:rFonts w:ascii="Verdana" w:eastAsia="Cambria" w:hAnsi="Verdana" w:cs="Cambria"/>
          <w:i w:val="0"/>
          <w:iCs/>
          <w:sz w:val="20"/>
          <w:szCs w:val="20"/>
          <w:lang w:val="es-ES_tradnl"/>
        </w:rPr>
        <w:t>PGJEM</w:t>
      </w:r>
      <w:r w:rsidRPr="00351298">
        <w:rPr>
          <w:rFonts w:ascii="Verdana" w:eastAsia="Cambria" w:hAnsi="Verdana" w:cs="Cambria"/>
          <w:i w:val="0"/>
          <w:iCs/>
          <w:sz w:val="20"/>
          <w:szCs w:val="20"/>
          <w:lang w:val="es-ES_tradnl"/>
        </w:rPr>
        <w:t xml:space="preserve"> para que Daniel García Rodríguez fuera a declarar ante el Ministerio Público, constituyó una detención que debía cumplir los requisitos establecidos en la ley interna, esto eso, que se debía haber contado con una orden de aprehensión (artículo 16 de la Constitución y artículo 147 del Código de Procedimientos Penales para el Estado de México de 2000). </w:t>
      </w:r>
      <w:r w:rsidR="00BD1D31" w:rsidRPr="00BD1D31">
        <w:rPr>
          <w:rFonts w:ascii="Verdana" w:eastAsia="Cambria" w:hAnsi="Verdana" w:cs="Cambria"/>
          <w:i w:val="0"/>
          <w:iCs/>
          <w:sz w:val="20"/>
          <w:szCs w:val="20"/>
          <w:lang w:val="es-ES_tradnl"/>
        </w:rPr>
        <w:t>Por otro lado, e</w:t>
      </w:r>
      <w:r w:rsidRPr="00BD1D31">
        <w:rPr>
          <w:rFonts w:ascii="Verdana" w:eastAsia="Cambria" w:hAnsi="Verdana" w:cs="Cambria"/>
          <w:i w:val="0"/>
          <w:iCs/>
          <w:sz w:val="20"/>
          <w:szCs w:val="20"/>
          <w:lang w:val="es-ES_tradnl"/>
        </w:rPr>
        <w:t>n el caso de Daniel García Rodríguez, no hay discusión entre las partes en torno al hecho que no se configura ninguno de los elementos de la flagrancia</w:t>
      </w:r>
      <w:r w:rsidR="00CD2BF4">
        <w:rPr>
          <w:rFonts w:ascii="Verdana" w:eastAsia="Cambria" w:hAnsi="Verdana" w:cs="Cambria"/>
          <w:i w:val="0"/>
          <w:iCs/>
          <w:sz w:val="20"/>
          <w:szCs w:val="20"/>
          <w:lang w:val="es-ES_tradnl"/>
        </w:rPr>
        <w:t xml:space="preserve"> </w:t>
      </w:r>
      <w:r w:rsidR="00CD2BF4" w:rsidRPr="00351298">
        <w:rPr>
          <w:rFonts w:ascii="Verdana" w:eastAsia="Cambria" w:hAnsi="Verdana" w:cs="Cambria"/>
          <w:i w:val="0"/>
          <w:iCs/>
          <w:sz w:val="20"/>
          <w:szCs w:val="20"/>
          <w:lang w:val="es-ES_tradnl"/>
        </w:rPr>
        <w:t>(artículo 16 de la Constitución y artículo 142 del Código de Procedimientos Penales para el Estado de México de 2000)</w:t>
      </w:r>
      <w:r w:rsidRPr="00BD1D31">
        <w:rPr>
          <w:rFonts w:ascii="Verdana" w:eastAsia="Cambria" w:hAnsi="Verdana" w:cs="Cambria"/>
          <w:i w:val="0"/>
          <w:iCs/>
          <w:sz w:val="20"/>
          <w:szCs w:val="20"/>
          <w:lang w:val="es-ES_tradnl"/>
        </w:rPr>
        <w:t xml:space="preserve">. Las autoridades internas tampoco contaban con </w:t>
      </w:r>
      <w:r w:rsidR="008F4362" w:rsidRPr="00BD1D31">
        <w:rPr>
          <w:rFonts w:ascii="Verdana" w:eastAsia="Cambria" w:hAnsi="Verdana" w:cs="Cambria"/>
          <w:i w:val="0"/>
          <w:iCs/>
          <w:sz w:val="20"/>
          <w:szCs w:val="20"/>
          <w:lang w:val="es-ES_tradnl"/>
        </w:rPr>
        <w:t xml:space="preserve">una orden de </w:t>
      </w:r>
      <w:r w:rsidR="00BD1D31">
        <w:rPr>
          <w:rFonts w:ascii="Verdana" w:eastAsia="Cambria" w:hAnsi="Verdana" w:cs="Cambria"/>
          <w:i w:val="0"/>
          <w:iCs/>
          <w:sz w:val="20"/>
          <w:szCs w:val="20"/>
          <w:lang w:val="es-ES_tradnl"/>
        </w:rPr>
        <w:t>arresto</w:t>
      </w:r>
      <w:r w:rsidR="00BD1D31" w:rsidRPr="00BD1D31">
        <w:rPr>
          <w:rFonts w:ascii="Verdana" w:eastAsia="Cambria" w:hAnsi="Verdana" w:cs="Cambria"/>
          <w:i w:val="0"/>
          <w:iCs/>
          <w:sz w:val="20"/>
          <w:szCs w:val="20"/>
          <w:lang w:val="es-ES_tradnl"/>
        </w:rPr>
        <w:t xml:space="preserve"> </w:t>
      </w:r>
      <w:r w:rsidR="008F4362" w:rsidRPr="00BD1D31">
        <w:rPr>
          <w:rFonts w:ascii="Verdana" w:eastAsia="Cambria" w:hAnsi="Verdana" w:cs="Cambria"/>
          <w:i w:val="0"/>
          <w:iCs/>
          <w:sz w:val="20"/>
          <w:szCs w:val="20"/>
          <w:lang w:val="es-ES_tradnl"/>
        </w:rPr>
        <w:t xml:space="preserve">por parte del Ministerio Público en el caso urgente previsto en el artículo 143 del Código de Procedimientos Penales para el Estado de México de 2000. </w:t>
      </w:r>
    </w:p>
    <w:p w14:paraId="1B01BCF9" w14:textId="17D938F1" w:rsidR="00724D64" w:rsidRPr="00BD1D31" w:rsidRDefault="008F4362" w:rsidP="00BD1D31">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BD1D31">
        <w:rPr>
          <w:rFonts w:ascii="Verdana" w:eastAsia="Cambria" w:hAnsi="Verdana" w:cs="Cambria"/>
          <w:i w:val="0"/>
          <w:iCs/>
          <w:sz w:val="20"/>
          <w:szCs w:val="20"/>
          <w:lang w:val="es-ES_tradnl"/>
        </w:rPr>
        <w:t>En consecuencia, la detención de Daniel García Rodríguez no se ajustó a ninguna de las hipótesis previstas en las normas internas, por lo que vul</w:t>
      </w:r>
      <w:r w:rsidR="0075053A" w:rsidRPr="00BD1D31">
        <w:rPr>
          <w:rFonts w:ascii="Verdana" w:eastAsia="Cambria" w:hAnsi="Verdana" w:cs="Cambria"/>
          <w:i w:val="0"/>
          <w:iCs/>
          <w:sz w:val="20"/>
          <w:szCs w:val="20"/>
          <w:lang w:val="es-ES_tradnl"/>
        </w:rPr>
        <w:t>ne</w:t>
      </w:r>
      <w:r w:rsidRPr="00BD1D31">
        <w:rPr>
          <w:rFonts w:ascii="Verdana" w:eastAsia="Cambria" w:hAnsi="Verdana" w:cs="Cambria"/>
          <w:i w:val="0"/>
          <w:iCs/>
          <w:sz w:val="20"/>
          <w:szCs w:val="20"/>
          <w:lang w:val="es-ES_tradnl"/>
        </w:rPr>
        <w:t xml:space="preserve">ró el artículo 7.2 de la Convención Americana en su perjuicio. </w:t>
      </w:r>
      <w:r w:rsidR="00724D64" w:rsidRPr="00BD1D31">
        <w:rPr>
          <w:rFonts w:ascii="Verdana" w:eastAsia="Cambria" w:hAnsi="Verdana" w:cs="Cambria"/>
          <w:i w:val="0"/>
          <w:iCs/>
          <w:sz w:val="20"/>
          <w:szCs w:val="20"/>
          <w:lang w:val="es-ES_tradnl"/>
        </w:rPr>
        <w:t xml:space="preserve">  </w:t>
      </w:r>
    </w:p>
    <w:p w14:paraId="38CC950D" w14:textId="4C6C8AE1" w:rsidR="008F4362" w:rsidRPr="00351298" w:rsidRDefault="008F4362" w:rsidP="00D73463">
      <w:pPr>
        <w:pStyle w:val="Estilo1"/>
        <w:widowControl w:val="0"/>
        <w:tabs>
          <w:tab w:val="left" w:pos="0"/>
          <w:tab w:val="left" w:pos="567"/>
        </w:tabs>
        <w:adjustRightInd w:val="0"/>
        <w:spacing w:before="240" w:after="240"/>
        <w:ind w:left="0" w:right="-6" w:firstLine="0"/>
        <w:jc w:val="both"/>
        <w:textAlignment w:val="baseline"/>
        <w:outlineLvl w:val="4"/>
        <w:rPr>
          <w:rFonts w:ascii="Verdana" w:eastAsia="Cambria" w:hAnsi="Verdana" w:cs="Cambria"/>
          <w:sz w:val="20"/>
          <w:szCs w:val="20"/>
          <w:lang w:val="es-ES_tradnl"/>
        </w:rPr>
      </w:pPr>
      <w:r w:rsidRPr="00351298">
        <w:rPr>
          <w:rFonts w:ascii="Verdana" w:eastAsia="Cambria" w:hAnsi="Verdana" w:cs="Cambria"/>
          <w:sz w:val="20"/>
          <w:szCs w:val="20"/>
          <w:lang w:val="es-ES_tradnl"/>
        </w:rPr>
        <w:tab/>
      </w:r>
      <w:r w:rsidRPr="00351298">
        <w:rPr>
          <w:rFonts w:ascii="Verdana" w:eastAsia="Cambria" w:hAnsi="Verdana" w:cs="Cambria"/>
          <w:sz w:val="20"/>
          <w:szCs w:val="20"/>
          <w:lang w:val="es-ES_tradnl"/>
        </w:rPr>
        <w:tab/>
        <w:t xml:space="preserve">ii. El caso de </w:t>
      </w:r>
      <w:r w:rsidR="0075053A" w:rsidRPr="00351298">
        <w:rPr>
          <w:rFonts w:ascii="Verdana" w:eastAsia="Cambria" w:hAnsi="Verdana" w:cs="Cambria"/>
          <w:sz w:val="20"/>
          <w:szCs w:val="20"/>
          <w:lang w:val="es-ES_tradnl"/>
        </w:rPr>
        <w:t xml:space="preserve">Reyes Alpízar </w:t>
      </w:r>
      <w:r w:rsidR="00D349F9">
        <w:rPr>
          <w:rFonts w:ascii="Verdana" w:eastAsia="Cambria" w:hAnsi="Verdana" w:cs="Cambria"/>
          <w:sz w:val="20"/>
          <w:szCs w:val="20"/>
          <w:lang w:val="es-ES_tradnl"/>
        </w:rPr>
        <w:t>Ortiz</w:t>
      </w:r>
    </w:p>
    <w:p w14:paraId="369CBF4D" w14:textId="6A314C61" w:rsidR="00541C0B" w:rsidRPr="00351298" w:rsidRDefault="00945E2D" w:rsidP="00841D6A">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351298">
        <w:rPr>
          <w:rFonts w:ascii="Verdana" w:eastAsia="Cambria" w:hAnsi="Verdana" w:cs="Cambria"/>
          <w:i w:val="0"/>
          <w:iCs/>
          <w:sz w:val="20"/>
          <w:szCs w:val="20"/>
          <w:lang w:val="es-ES_tradnl"/>
        </w:rPr>
        <w:t>Sobre la detención de Reyes Alpízar, no hay controversia en torno al hecho que fue detenido luego que se intentara dar a la fuga frente a un presunto control de identidad, el día 25 de octubre de 2002 (</w:t>
      </w:r>
      <w:r w:rsidRPr="00351298">
        <w:rPr>
          <w:rFonts w:ascii="Verdana" w:eastAsia="Cambria" w:hAnsi="Verdana" w:cs="Cambria"/>
          <w:sz w:val="20"/>
          <w:szCs w:val="20"/>
          <w:lang w:val="es-ES_tradnl"/>
        </w:rPr>
        <w:t>supra</w:t>
      </w:r>
      <w:r w:rsidRPr="00351298">
        <w:rPr>
          <w:rFonts w:ascii="Verdana" w:eastAsia="Cambria" w:hAnsi="Verdana" w:cs="Cambria"/>
          <w:i w:val="0"/>
          <w:iCs/>
          <w:sz w:val="20"/>
          <w:szCs w:val="20"/>
          <w:lang w:val="es-ES_tradnl"/>
        </w:rPr>
        <w:t xml:space="preserve"> párr. </w:t>
      </w:r>
      <w:r>
        <w:rPr>
          <w:rFonts w:ascii="Verdana" w:eastAsia="Cambria" w:hAnsi="Verdana" w:cs="Cambria"/>
          <w:i w:val="0"/>
          <w:iCs/>
          <w:sz w:val="20"/>
          <w:szCs w:val="20"/>
          <w:lang w:val="es-ES_tradnl"/>
        </w:rPr>
        <w:t>74</w:t>
      </w:r>
      <w:r w:rsidRPr="00351298">
        <w:rPr>
          <w:rFonts w:ascii="Verdana" w:eastAsia="Cambria" w:hAnsi="Verdana" w:cs="Cambria"/>
          <w:i w:val="0"/>
          <w:iCs/>
          <w:sz w:val="20"/>
          <w:szCs w:val="20"/>
          <w:lang w:val="es-ES_tradnl"/>
        </w:rPr>
        <w:t xml:space="preserve">). Sobre ese punto, el Estado indicó en su escrito de contestación que “de las actuaciones de la causa penal del informe de la policía” que “al estar en labores de investigación”, se “le localizó”, “intentó huir” y que “al momento de detenerlo”, Reyes Alpízar indicó que “sabía que en cualquier momento iba a ser detenido por haber participado en la muerte </w:t>
      </w:r>
      <w:r w:rsidRPr="00351298">
        <w:rPr>
          <w:rFonts w:ascii="Verdana" w:eastAsia="Cambria" w:hAnsi="Verdana" w:cs="Cambria"/>
          <w:i w:val="0"/>
          <w:iCs/>
          <w:sz w:val="20"/>
          <w:szCs w:val="20"/>
          <w:lang w:val="es-ES_tradnl"/>
        </w:rPr>
        <w:lastRenderedPageBreak/>
        <w:t xml:space="preserve">de una regidora” y que “además justificó en ese momento su cambio de domicilio y aspecto físico, pues sabía que lo estaban buscando, además </w:t>
      </w:r>
      <w:r w:rsidRPr="0064310B">
        <w:rPr>
          <w:rFonts w:ascii="Verdana" w:eastAsia="Cambria" w:hAnsi="Verdana" w:cs="Cambria"/>
          <w:i w:val="0"/>
          <w:iCs/>
          <w:sz w:val="20"/>
          <w:szCs w:val="20"/>
          <w:lang w:val="es-ES_tradnl"/>
        </w:rPr>
        <w:t>de ofrecer dinero y una casa para que lo dejarán ir</w:t>
      </w:r>
      <w:r w:rsidR="00AA67B9" w:rsidRPr="0064310B">
        <w:rPr>
          <w:rFonts w:ascii="Verdana" w:eastAsia="Cambria" w:hAnsi="Verdana" w:cs="Cambria"/>
          <w:i w:val="0"/>
          <w:iCs/>
          <w:sz w:val="20"/>
          <w:szCs w:val="20"/>
          <w:lang w:val="es-ES_tradnl"/>
        </w:rPr>
        <w:t xml:space="preserve">”. Según el Estado, estas circunstancias justificaron de manera legal su presentación ante el Ministerio Público, </w:t>
      </w:r>
      <w:r w:rsidR="00EC3BA0" w:rsidRPr="0064310B">
        <w:rPr>
          <w:rFonts w:ascii="Verdana" w:eastAsia="Cambria" w:hAnsi="Verdana" w:cs="Cambria"/>
          <w:i w:val="0"/>
          <w:iCs/>
          <w:sz w:val="20"/>
          <w:szCs w:val="20"/>
          <w:lang w:val="es-ES_tradnl"/>
        </w:rPr>
        <w:t>“</w:t>
      </w:r>
      <w:r w:rsidR="00AA67B9" w:rsidRPr="0064310B">
        <w:rPr>
          <w:rFonts w:ascii="Verdana" w:eastAsia="Cambria" w:hAnsi="Verdana" w:cs="Cambria"/>
          <w:i w:val="0"/>
          <w:iCs/>
          <w:sz w:val="20"/>
          <w:szCs w:val="20"/>
          <w:lang w:val="es-ES_tradnl"/>
        </w:rPr>
        <w:t>actualizándose su flagrancia y decretándose su retención jurídica por el delito de cohecho porque existían indicios que hacían presumir que de manera ocasional se reunía con más personas para cometer delitos graves”.</w:t>
      </w:r>
      <w:r w:rsidR="00541C0B" w:rsidRPr="0064310B">
        <w:rPr>
          <w:rFonts w:ascii="Verdana" w:eastAsia="Cambria" w:hAnsi="Verdana" w:cs="Cambria"/>
          <w:i w:val="0"/>
          <w:iCs/>
          <w:sz w:val="20"/>
          <w:szCs w:val="20"/>
          <w:lang w:val="es-ES_tradnl"/>
        </w:rPr>
        <w:t xml:space="preserve"> </w:t>
      </w:r>
      <w:r w:rsidRPr="0064310B">
        <w:rPr>
          <w:rFonts w:ascii="Verdana" w:eastAsia="Cambria" w:hAnsi="Verdana" w:cs="Cambria"/>
          <w:i w:val="0"/>
          <w:iCs/>
          <w:sz w:val="20"/>
          <w:szCs w:val="20"/>
          <w:lang w:val="es-ES_tradnl"/>
        </w:rPr>
        <w:t>Por otra parte, en su escrito de alegatos finales, el Estado indicó, en relación con este mismo punto, que</w:t>
      </w:r>
      <w:r w:rsidRPr="00351298">
        <w:rPr>
          <w:rFonts w:ascii="Verdana" w:eastAsia="Cambria" w:hAnsi="Verdana" w:cs="Cambria"/>
          <w:i w:val="0"/>
          <w:iCs/>
          <w:sz w:val="20"/>
          <w:szCs w:val="20"/>
          <w:lang w:val="es-ES_tradnl"/>
        </w:rPr>
        <w:t xml:space="preserve"> Reyes Alpízar estaba siendo investigado por el homicidio de María de los Ángeles Tamés Pérez y que</w:t>
      </w:r>
      <w:r>
        <w:rPr>
          <w:rFonts w:ascii="Verdana" w:eastAsia="Cambria" w:hAnsi="Verdana" w:cs="Cambria"/>
          <w:i w:val="0"/>
          <w:iCs/>
          <w:sz w:val="20"/>
          <w:szCs w:val="20"/>
          <w:lang w:val="es-ES_tradnl"/>
        </w:rPr>
        <w:t>,</w:t>
      </w:r>
      <w:r w:rsidRPr="00351298">
        <w:rPr>
          <w:rFonts w:ascii="Verdana" w:eastAsia="Cambria" w:hAnsi="Verdana" w:cs="Cambria"/>
          <w:i w:val="0"/>
          <w:iCs/>
          <w:sz w:val="20"/>
          <w:szCs w:val="20"/>
          <w:lang w:val="es-ES_tradnl"/>
        </w:rPr>
        <w:t xml:space="preserve"> en ese contexto, el Grupo de Operaciones Especiales de la PGJEM “lo identificó” en una parada de transporte público. Con posterioridad a ello</w:t>
      </w:r>
      <w:r>
        <w:rPr>
          <w:rFonts w:ascii="Verdana" w:eastAsia="Cambria" w:hAnsi="Verdana" w:cs="Cambria"/>
          <w:i w:val="0"/>
          <w:iCs/>
          <w:sz w:val="20"/>
          <w:szCs w:val="20"/>
          <w:lang w:val="es-ES_tradnl"/>
        </w:rPr>
        <w:t>,</w:t>
      </w:r>
      <w:r w:rsidRPr="00351298">
        <w:rPr>
          <w:rFonts w:ascii="Verdana" w:eastAsia="Cambria" w:hAnsi="Verdana" w:cs="Cambria"/>
          <w:i w:val="0"/>
          <w:iCs/>
          <w:sz w:val="20"/>
          <w:szCs w:val="20"/>
          <w:lang w:val="es-ES_tradnl"/>
        </w:rPr>
        <w:t xml:space="preserve"> le pidieron “que se identificara” luego de lo cual Reyes Alpízar habría intentado huir. Por otra parte, según informaron los agentes del Grupo de Operaciones Especiales de la PGJEM que procedieron a la detención, habría sido recién al momento de subir al detenido a la unidad para hacer su traslado a las oficinas de la subprocuraduría, es decir con posterioridad a su aprehensión, que habría intentado sobornarlos</w:t>
      </w:r>
      <w:r w:rsidR="00A847CF" w:rsidRPr="00351298">
        <w:rPr>
          <w:rStyle w:val="Refdenotaalpie"/>
          <w:rFonts w:ascii="Verdana" w:hAnsi="Verdana"/>
          <w:i w:val="0"/>
          <w:iCs/>
          <w:sz w:val="20"/>
        </w:rPr>
        <w:footnoteReference w:id="166"/>
      </w:r>
      <w:r w:rsidR="00A847CF" w:rsidRPr="00351298">
        <w:rPr>
          <w:rFonts w:ascii="Verdana" w:eastAsia="Cambria" w:hAnsi="Verdana" w:cs="Cambria"/>
          <w:i w:val="0"/>
          <w:iCs/>
          <w:sz w:val="20"/>
          <w:szCs w:val="20"/>
          <w:lang w:val="es-ES_tradnl"/>
        </w:rPr>
        <w:t>.</w:t>
      </w:r>
      <w:r w:rsidR="007762A9" w:rsidRPr="00351298">
        <w:rPr>
          <w:rFonts w:ascii="Verdana" w:eastAsia="Cambria" w:hAnsi="Verdana" w:cs="Cambria"/>
          <w:i w:val="0"/>
          <w:iCs/>
          <w:sz w:val="20"/>
          <w:szCs w:val="20"/>
          <w:lang w:val="es-ES_tradnl"/>
        </w:rPr>
        <w:t xml:space="preserve"> </w:t>
      </w:r>
    </w:p>
    <w:p w14:paraId="643E4CFD" w14:textId="57657B3A" w:rsidR="00905620" w:rsidRPr="00351298" w:rsidRDefault="00AA67B9" w:rsidP="003E0246">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351298">
        <w:rPr>
          <w:rFonts w:ascii="Verdana" w:eastAsia="Cambria" w:hAnsi="Verdana" w:cs="Cambria"/>
          <w:i w:val="0"/>
          <w:iCs/>
          <w:sz w:val="20"/>
          <w:szCs w:val="20"/>
          <w:lang w:val="es-ES_tradnl"/>
        </w:rPr>
        <w:t>De conformidad con lo anterior, el Tribunal advierte que no está en discusión que la detención de Reyes Alpízar</w:t>
      </w:r>
      <w:r w:rsidR="007C78FA" w:rsidRPr="00351298">
        <w:rPr>
          <w:rFonts w:ascii="Verdana" w:eastAsia="Cambria" w:hAnsi="Verdana" w:cs="Cambria"/>
          <w:i w:val="0"/>
          <w:iCs/>
          <w:sz w:val="20"/>
          <w:szCs w:val="20"/>
          <w:lang w:val="es-ES_tradnl"/>
        </w:rPr>
        <w:t xml:space="preserve"> Ortiz </w:t>
      </w:r>
      <w:r w:rsidRPr="00351298">
        <w:rPr>
          <w:rFonts w:ascii="Verdana" w:eastAsia="Cambria" w:hAnsi="Verdana" w:cs="Cambria"/>
          <w:i w:val="0"/>
          <w:iCs/>
          <w:sz w:val="20"/>
          <w:szCs w:val="20"/>
          <w:lang w:val="es-ES_tradnl"/>
        </w:rPr>
        <w:t xml:space="preserve">fue </w:t>
      </w:r>
      <w:r w:rsidR="00C14700" w:rsidRPr="00351298">
        <w:rPr>
          <w:rFonts w:ascii="Verdana" w:eastAsia="Cambria" w:hAnsi="Verdana" w:cs="Cambria"/>
          <w:i w:val="0"/>
          <w:iCs/>
          <w:sz w:val="20"/>
          <w:szCs w:val="20"/>
          <w:lang w:val="es-ES_tradnl"/>
        </w:rPr>
        <w:t xml:space="preserve">llevada a cabo </w:t>
      </w:r>
      <w:r w:rsidRPr="00351298">
        <w:rPr>
          <w:rFonts w:ascii="Verdana" w:eastAsia="Cambria" w:hAnsi="Verdana" w:cs="Cambria"/>
          <w:i w:val="0"/>
          <w:iCs/>
          <w:sz w:val="20"/>
          <w:szCs w:val="20"/>
          <w:lang w:val="es-ES_tradnl"/>
        </w:rPr>
        <w:t xml:space="preserve">sin </w:t>
      </w:r>
      <w:r w:rsidR="00541C0B" w:rsidRPr="00351298">
        <w:rPr>
          <w:rFonts w:ascii="Verdana" w:eastAsia="Cambria" w:hAnsi="Verdana" w:cs="Cambria"/>
          <w:i w:val="0"/>
          <w:iCs/>
          <w:sz w:val="20"/>
          <w:szCs w:val="20"/>
          <w:lang w:val="es-ES_tradnl"/>
        </w:rPr>
        <w:t xml:space="preserve">una </w:t>
      </w:r>
      <w:r w:rsidRPr="00351298">
        <w:rPr>
          <w:rFonts w:ascii="Verdana" w:eastAsia="Cambria" w:hAnsi="Verdana" w:cs="Cambria"/>
          <w:i w:val="0"/>
          <w:iCs/>
          <w:sz w:val="20"/>
          <w:szCs w:val="20"/>
          <w:lang w:val="es-ES_tradnl"/>
        </w:rPr>
        <w:t xml:space="preserve">orden judicial. Por otra parte, surge del alegato del Estado que </w:t>
      </w:r>
      <w:r w:rsidR="00C14700" w:rsidRPr="00351298">
        <w:rPr>
          <w:rFonts w:ascii="Verdana" w:eastAsia="Cambria" w:hAnsi="Verdana" w:cs="Cambria"/>
          <w:i w:val="0"/>
          <w:iCs/>
          <w:sz w:val="20"/>
          <w:szCs w:val="20"/>
          <w:lang w:val="es-ES_tradnl"/>
        </w:rPr>
        <w:t>Reyes Alpízar</w:t>
      </w:r>
      <w:r w:rsidR="007C78FA" w:rsidRPr="00351298">
        <w:rPr>
          <w:rFonts w:ascii="Verdana" w:eastAsia="Cambria" w:hAnsi="Verdana" w:cs="Cambria"/>
          <w:i w:val="0"/>
          <w:iCs/>
          <w:sz w:val="20"/>
          <w:szCs w:val="20"/>
          <w:lang w:val="es-ES_tradnl"/>
        </w:rPr>
        <w:t xml:space="preserve"> Ortiz </w:t>
      </w:r>
      <w:r w:rsidR="00C14700" w:rsidRPr="00351298">
        <w:rPr>
          <w:rFonts w:ascii="Verdana" w:eastAsia="Cambria" w:hAnsi="Verdana" w:cs="Cambria"/>
          <w:i w:val="0"/>
          <w:iCs/>
          <w:sz w:val="20"/>
          <w:szCs w:val="20"/>
          <w:lang w:val="es-ES_tradnl"/>
        </w:rPr>
        <w:t>era objeto de una investigación y que</w:t>
      </w:r>
      <w:r w:rsidR="00541C0B" w:rsidRPr="00351298">
        <w:rPr>
          <w:rFonts w:ascii="Verdana" w:eastAsia="Cambria" w:hAnsi="Verdana" w:cs="Cambria"/>
          <w:i w:val="0"/>
          <w:iCs/>
          <w:sz w:val="20"/>
          <w:szCs w:val="20"/>
          <w:lang w:val="es-ES_tradnl"/>
        </w:rPr>
        <w:t>, “al estar en labores de investigación”,</w:t>
      </w:r>
      <w:r w:rsidR="00C14700" w:rsidRPr="00351298">
        <w:rPr>
          <w:rFonts w:ascii="Verdana" w:eastAsia="Cambria" w:hAnsi="Verdana" w:cs="Cambria"/>
          <w:i w:val="0"/>
          <w:iCs/>
          <w:sz w:val="20"/>
          <w:szCs w:val="20"/>
          <w:lang w:val="es-ES_tradnl"/>
        </w:rPr>
        <w:t xml:space="preserve"> </w:t>
      </w:r>
      <w:r w:rsidR="00541C0B" w:rsidRPr="00351298">
        <w:rPr>
          <w:rFonts w:ascii="Verdana" w:eastAsia="Cambria" w:hAnsi="Verdana" w:cs="Cambria"/>
          <w:i w:val="0"/>
          <w:iCs/>
          <w:sz w:val="20"/>
          <w:szCs w:val="20"/>
          <w:lang w:val="es-ES_tradnl"/>
        </w:rPr>
        <w:t xml:space="preserve">el Grupo de Operaciones Especiales de la </w:t>
      </w:r>
      <w:r w:rsidR="003C4806" w:rsidRPr="00351298">
        <w:rPr>
          <w:rFonts w:ascii="Verdana" w:eastAsia="Cambria" w:hAnsi="Verdana" w:cs="Cambria"/>
          <w:i w:val="0"/>
          <w:iCs/>
          <w:sz w:val="20"/>
          <w:szCs w:val="20"/>
          <w:lang w:val="es-ES_tradnl"/>
        </w:rPr>
        <w:t>PGJEM</w:t>
      </w:r>
      <w:r w:rsidR="00541C0B" w:rsidRPr="00351298">
        <w:rPr>
          <w:rFonts w:ascii="Verdana" w:eastAsia="Cambria" w:hAnsi="Verdana" w:cs="Cambria"/>
          <w:i w:val="0"/>
          <w:iCs/>
          <w:sz w:val="20"/>
          <w:szCs w:val="20"/>
          <w:lang w:val="es-ES_tradnl"/>
        </w:rPr>
        <w:t xml:space="preserve"> </w:t>
      </w:r>
      <w:r w:rsidR="00C14700" w:rsidRPr="00351298">
        <w:rPr>
          <w:rFonts w:ascii="Verdana" w:eastAsia="Cambria" w:hAnsi="Verdana" w:cs="Cambria"/>
          <w:i w:val="0"/>
          <w:iCs/>
          <w:sz w:val="20"/>
          <w:szCs w:val="20"/>
          <w:lang w:val="es-ES_tradnl"/>
        </w:rPr>
        <w:t>lo “localizó”</w:t>
      </w:r>
      <w:r w:rsidR="00541C0B" w:rsidRPr="00351298">
        <w:rPr>
          <w:rFonts w:ascii="Verdana" w:eastAsia="Cambria" w:hAnsi="Verdana" w:cs="Cambria"/>
          <w:i w:val="0"/>
          <w:iCs/>
          <w:sz w:val="20"/>
          <w:szCs w:val="20"/>
          <w:lang w:val="es-ES_tradnl"/>
        </w:rPr>
        <w:t xml:space="preserve"> o lo “identificó”, y es únicamente con posterioridad a ello que habrían llevado a cabo un control de identidad. En ese sentido, </w:t>
      </w:r>
      <w:r w:rsidR="00C14700" w:rsidRPr="00351298">
        <w:rPr>
          <w:rFonts w:ascii="Verdana" w:eastAsia="Cambria" w:hAnsi="Verdana" w:cs="Cambria"/>
          <w:i w:val="0"/>
          <w:iCs/>
          <w:sz w:val="20"/>
          <w:szCs w:val="20"/>
          <w:lang w:val="es-ES_tradnl"/>
        </w:rPr>
        <w:t>es claro que</w:t>
      </w:r>
      <w:r w:rsidR="00C636C9" w:rsidRPr="00351298">
        <w:rPr>
          <w:rFonts w:ascii="Verdana" w:eastAsia="Cambria" w:hAnsi="Verdana" w:cs="Cambria"/>
          <w:i w:val="0"/>
          <w:iCs/>
          <w:sz w:val="20"/>
          <w:szCs w:val="20"/>
          <w:lang w:val="es-ES_tradnl"/>
        </w:rPr>
        <w:t>,</w:t>
      </w:r>
      <w:r w:rsidR="00C14700" w:rsidRPr="00351298">
        <w:rPr>
          <w:rFonts w:ascii="Verdana" w:eastAsia="Cambria" w:hAnsi="Verdana" w:cs="Cambria"/>
          <w:i w:val="0"/>
          <w:iCs/>
          <w:sz w:val="20"/>
          <w:szCs w:val="20"/>
          <w:lang w:val="es-ES_tradnl"/>
        </w:rPr>
        <w:t xml:space="preserve"> </w:t>
      </w:r>
      <w:r w:rsidR="00541C0B" w:rsidRPr="00351298">
        <w:rPr>
          <w:rFonts w:ascii="Verdana" w:eastAsia="Cambria" w:hAnsi="Verdana" w:cs="Cambria"/>
          <w:i w:val="0"/>
          <w:iCs/>
          <w:sz w:val="20"/>
          <w:szCs w:val="20"/>
          <w:lang w:val="es-ES_tradnl"/>
        </w:rPr>
        <w:t xml:space="preserve">de acuerdo </w:t>
      </w:r>
      <w:r w:rsidR="001F03DE" w:rsidRPr="00351298">
        <w:rPr>
          <w:rFonts w:ascii="Verdana" w:eastAsia="Cambria" w:hAnsi="Verdana" w:cs="Cambria"/>
          <w:i w:val="0"/>
          <w:iCs/>
          <w:sz w:val="20"/>
          <w:szCs w:val="20"/>
          <w:lang w:val="es-ES_tradnl"/>
        </w:rPr>
        <w:t xml:space="preserve">con </w:t>
      </w:r>
      <w:r w:rsidR="00541C0B" w:rsidRPr="00351298">
        <w:rPr>
          <w:rFonts w:ascii="Verdana" w:eastAsia="Cambria" w:hAnsi="Verdana" w:cs="Cambria"/>
          <w:i w:val="0"/>
          <w:iCs/>
          <w:sz w:val="20"/>
          <w:szCs w:val="20"/>
          <w:lang w:val="es-ES_tradnl"/>
        </w:rPr>
        <w:t xml:space="preserve">lo informado por el Estado, </w:t>
      </w:r>
      <w:r w:rsidR="00C14700" w:rsidRPr="00351298">
        <w:rPr>
          <w:rFonts w:ascii="Verdana" w:eastAsia="Cambria" w:hAnsi="Verdana" w:cs="Cambria"/>
          <w:i w:val="0"/>
          <w:iCs/>
          <w:sz w:val="20"/>
          <w:szCs w:val="20"/>
          <w:lang w:val="es-ES_tradnl"/>
        </w:rPr>
        <w:t>no se presentaba una hipótesis real de un control aleatorio de identidad</w:t>
      </w:r>
      <w:r w:rsidR="00B779D6" w:rsidRPr="00351298">
        <w:rPr>
          <w:rFonts w:ascii="Verdana" w:eastAsia="Cambria" w:hAnsi="Verdana" w:cs="Cambria"/>
          <w:i w:val="0"/>
          <w:iCs/>
          <w:sz w:val="20"/>
          <w:szCs w:val="20"/>
          <w:lang w:val="es-ES_tradnl"/>
        </w:rPr>
        <w:t xml:space="preserve"> </w:t>
      </w:r>
      <w:r w:rsidR="00C636C9" w:rsidRPr="00351298">
        <w:rPr>
          <w:rFonts w:ascii="Verdana" w:eastAsia="Cambria" w:hAnsi="Verdana" w:cs="Cambria"/>
          <w:i w:val="0"/>
          <w:iCs/>
          <w:sz w:val="20"/>
          <w:szCs w:val="20"/>
          <w:lang w:val="es-ES_tradnl"/>
        </w:rPr>
        <w:t>porque la “localización” se dio como parte de una labor de investigación penal</w:t>
      </w:r>
      <w:r w:rsidR="00ED733D">
        <w:rPr>
          <w:rFonts w:ascii="Verdana" w:eastAsia="Cambria" w:hAnsi="Verdana" w:cs="Cambria"/>
          <w:i w:val="0"/>
          <w:iCs/>
          <w:sz w:val="20"/>
          <w:szCs w:val="20"/>
          <w:lang w:val="es-ES_tradnl"/>
        </w:rPr>
        <w:t>.</w:t>
      </w:r>
      <w:r w:rsidR="00C14700" w:rsidRPr="00351298">
        <w:rPr>
          <w:rFonts w:ascii="Verdana" w:eastAsia="Cambria" w:hAnsi="Verdana" w:cs="Cambria"/>
          <w:i w:val="0"/>
          <w:iCs/>
          <w:sz w:val="20"/>
          <w:szCs w:val="20"/>
          <w:lang w:val="es-ES_tradnl"/>
        </w:rPr>
        <w:t xml:space="preserve"> </w:t>
      </w:r>
      <w:r w:rsidR="002D26E4" w:rsidRPr="00351298">
        <w:rPr>
          <w:rFonts w:ascii="Verdana" w:eastAsia="Cambria" w:hAnsi="Verdana" w:cs="Cambria"/>
          <w:i w:val="0"/>
          <w:iCs/>
          <w:sz w:val="20"/>
          <w:szCs w:val="20"/>
          <w:lang w:val="es-ES_tradnl"/>
        </w:rPr>
        <w:t>En cuanto al presunto cohecho</w:t>
      </w:r>
      <w:r w:rsidR="00BD1D31">
        <w:rPr>
          <w:rFonts w:ascii="Verdana" w:eastAsia="Cambria" w:hAnsi="Verdana" w:cs="Cambria"/>
          <w:i w:val="0"/>
          <w:iCs/>
          <w:sz w:val="20"/>
          <w:szCs w:val="20"/>
          <w:lang w:val="es-ES_tradnl"/>
        </w:rPr>
        <w:t>,</w:t>
      </w:r>
      <w:r w:rsidR="002D26E4" w:rsidRPr="00351298">
        <w:rPr>
          <w:rFonts w:ascii="Verdana" w:eastAsia="Cambria" w:hAnsi="Verdana" w:cs="Cambria"/>
          <w:i w:val="0"/>
          <w:iCs/>
          <w:sz w:val="20"/>
          <w:szCs w:val="20"/>
          <w:lang w:val="es-ES_tradnl"/>
        </w:rPr>
        <w:t xml:space="preserve"> que habría configurado la flagrancia que sirvió de base para la detención de Reyes Alpízar Ortiz, la Corte constata que el mismo se habría presentado con posterioridad a su aprehensión, luego de que fuera “localizado” por las autoridades y detenido</w:t>
      </w:r>
      <w:r w:rsidR="002D26E4">
        <w:rPr>
          <w:rFonts w:ascii="Verdana" w:eastAsia="Cambria" w:hAnsi="Verdana" w:cs="Cambria"/>
          <w:i w:val="0"/>
          <w:iCs/>
          <w:sz w:val="20"/>
          <w:szCs w:val="20"/>
          <w:lang w:val="es-ES_tradnl"/>
        </w:rPr>
        <w:t>.</w:t>
      </w:r>
    </w:p>
    <w:p w14:paraId="5E2984A3" w14:textId="6B353C9B" w:rsidR="00D800CC" w:rsidRPr="00ED733D" w:rsidRDefault="0050490A" w:rsidP="00D73463">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1C5F21">
        <w:rPr>
          <w:rFonts w:ascii="Verdana" w:eastAsia="Cambria" w:hAnsi="Verdana" w:cs="Cambria"/>
          <w:i w:val="0"/>
          <w:iCs/>
          <w:sz w:val="20"/>
          <w:szCs w:val="20"/>
          <w:lang w:val="es-ES_tradnl"/>
        </w:rPr>
        <w:t xml:space="preserve">En consecuencia, dado que la detención </w:t>
      </w:r>
      <w:r w:rsidR="00255340" w:rsidRPr="00D04822">
        <w:rPr>
          <w:rFonts w:ascii="Verdana" w:eastAsia="Cambria" w:hAnsi="Verdana" w:cs="Cambria"/>
          <w:i w:val="0"/>
          <w:iCs/>
          <w:sz w:val="20"/>
          <w:szCs w:val="20"/>
          <w:lang w:val="es-ES_tradnl"/>
        </w:rPr>
        <w:t>inicial</w:t>
      </w:r>
      <w:r w:rsidR="00255340" w:rsidRPr="001C5F21">
        <w:rPr>
          <w:rFonts w:ascii="Verdana" w:eastAsia="Cambria" w:hAnsi="Verdana" w:cs="Cambria"/>
          <w:i w:val="0"/>
          <w:iCs/>
          <w:sz w:val="20"/>
          <w:szCs w:val="20"/>
          <w:lang w:val="es-ES_tradnl"/>
        </w:rPr>
        <w:t xml:space="preserve"> </w:t>
      </w:r>
      <w:r w:rsidRPr="001C5F21">
        <w:rPr>
          <w:rFonts w:ascii="Verdana" w:eastAsia="Cambria" w:hAnsi="Verdana" w:cs="Cambria"/>
          <w:i w:val="0"/>
          <w:iCs/>
          <w:sz w:val="20"/>
          <w:szCs w:val="20"/>
          <w:lang w:val="es-ES_tradnl"/>
        </w:rPr>
        <w:t>de Reyes Alpízar</w:t>
      </w:r>
      <w:r w:rsidR="007C78FA" w:rsidRPr="001C5F21">
        <w:rPr>
          <w:rFonts w:ascii="Verdana" w:eastAsia="Cambria" w:hAnsi="Verdana" w:cs="Cambria"/>
          <w:i w:val="0"/>
          <w:iCs/>
          <w:sz w:val="20"/>
          <w:szCs w:val="20"/>
          <w:lang w:val="es-ES_tradnl"/>
        </w:rPr>
        <w:t xml:space="preserve"> Ortiz </w:t>
      </w:r>
      <w:r w:rsidRPr="001C5F21">
        <w:rPr>
          <w:rFonts w:ascii="Verdana" w:eastAsia="Cambria" w:hAnsi="Verdana" w:cs="Cambria"/>
          <w:i w:val="0"/>
          <w:iCs/>
          <w:sz w:val="20"/>
          <w:szCs w:val="20"/>
          <w:lang w:val="es-ES_tradnl"/>
        </w:rPr>
        <w:t>se llevó a cabo sin una orden judicial y sin que se presentara una hipótesis de flagrancia</w:t>
      </w:r>
      <w:r w:rsidR="00255340" w:rsidRPr="001C5F21">
        <w:rPr>
          <w:rFonts w:ascii="Verdana" w:eastAsia="Cambria" w:hAnsi="Verdana" w:cs="Cambria"/>
          <w:i w:val="0"/>
          <w:iCs/>
          <w:sz w:val="20"/>
          <w:szCs w:val="20"/>
          <w:lang w:val="es-ES_tradnl"/>
        </w:rPr>
        <w:t>,</w:t>
      </w:r>
      <w:r w:rsidRPr="001C5F21">
        <w:rPr>
          <w:rFonts w:ascii="Verdana" w:eastAsia="Cambria" w:hAnsi="Verdana" w:cs="Cambria"/>
          <w:i w:val="0"/>
          <w:iCs/>
          <w:sz w:val="20"/>
          <w:szCs w:val="20"/>
          <w:lang w:val="es-ES_tradnl"/>
        </w:rPr>
        <w:t xml:space="preserve"> </w:t>
      </w:r>
      <w:r w:rsidR="00255340" w:rsidRPr="00D04822">
        <w:rPr>
          <w:rFonts w:ascii="Verdana" w:eastAsia="Cambria" w:hAnsi="Verdana" w:cs="Cambria"/>
          <w:i w:val="0"/>
          <w:iCs/>
          <w:sz w:val="20"/>
          <w:szCs w:val="20"/>
          <w:lang w:val="es-ES_tradnl"/>
        </w:rPr>
        <w:t>en ese momento</w:t>
      </w:r>
      <w:r w:rsidR="00255340" w:rsidRPr="001C5F21">
        <w:rPr>
          <w:rFonts w:ascii="Verdana" w:eastAsia="Cambria" w:hAnsi="Verdana" w:cs="Cambria"/>
          <w:i w:val="0"/>
          <w:iCs/>
          <w:sz w:val="20"/>
          <w:szCs w:val="20"/>
          <w:lang w:val="es-ES_tradnl"/>
        </w:rPr>
        <w:t>,</w:t>
      </w:r>
      <w:r w:rsidR="008A0444" w:rsidRPr="001C5F21">
        <w:rPr>
          <w:rFonts w:ascii="Verdana" w:eastAsia="Cambria" w:hAnsi="Verdana" w:cs="Cambria"/>
          <w:i w:val="0"/>
          <w:iCs/>
          <w:sz w:val="20"/>
          <w:szCs w:val="20"/>
          <w:lang w:val="es-ES_tradnl"/>
        </w:rPr>
        <w:t xml:space="preserve"> </w:t>
      </w:r>
      <w:r w:rsidRPr="001C5F21">
        <w:rPr>
          <w:rFonts w:ascii="Verdana" w:eastAsia="Cambria" w:hAnsi="Verdana" w:cs="Cambria"/>
          <w:i w:val="0"/>
          <w:iCs/>
          <w:sz w:val="20"/>
          <w:szCs w:val="20"/>
          <w:lang w:val="es-ES_tradnl"/>
        </w:rPr>
        <w:t>en</w:t>
      </w:r>
      <w:r w:rsidRPr="00ED733D">
        <w:rPr>
          <w:rFonts w:ascii="Verdana" w:eastAsia="Cambria" w:hAnsi="Verdana" w:cs="Cambria"/>
          <w:i w:val="0"/>
          <w:iCs/>
          <w:sz w:val="20"/>
          <w:szCs w:val="20"/>
          <w:lang w:val="es-ES_tradnl"/>
        </w:rPr>
        <w:t xml:space="preserve"> los términos de los artículos 16 de la Constitución mexicana y de los artículos 147 y 142 del Código de Procedimientos Penales para el Estado de México de 2000, esta Corte encuentra que el Estado vul</w:t>
      </w:r>
      <w:r w:rsidR="0075053A" w:rsidRPr="00ED733D">
        <w:rPr>
          <w:rFonts w:ascii="Verdana" w:eastAsia="Cambria" w:hAnsi="Verdana" w:cs="Cambria"/>
          <w:i w:val="0"/>
          <w:iCs/>
          <w:sz w:val="20"/>
          <w:szCs w:val="20"/>
          <w:lang w:val="es-ES_tradnl"/>
        </w:rPr>
        <w:t>ne</w:t>
      </w:r>
      <w:r w:rsidRPr="00ED733D">
        <w:rPr>
          <w:rFonts w:ascii="Verdana" w:eastAsia="Cambria" w:hAnsi="Verdana" w:cs="Cambria"/>
          <w:i w:val="0"/>
          <w:iCs/>
          <w:sz w:val="20"/>
          <w:szCs w:val="20"/>
          <w:lang w:val="es-ES_tradnl"/>
        </w:rPr>
        <w:t xml:space="preserve">ró el artículo 7.2 de la Convención Americana en perjuicio de Reyes Alpízar </w:t>
      </w:r>
      <w:r w:rsidR="00D349F9">
        <w:rPr>
          <w:rFonts w:ascii="Verdana" w:eastAsia="Cambria" w:hAnsi="Verdana" w:cs="Cambria"/>
          <w:i w:val="0"/>
          <w:iCs/>
          <w:sz w:val="20"/>
          <w:szCs w:val="20"/>
          <w:lang w:val="es-ES_tradnl"/>
        </w:rPr>
        <w:t>Ortiz</w:t>
      </w:r>
      <w:r w:rsidRPr="00ED733D">
        <w:rPr>
          <w:rFonts w:ascii="Verdana" w:eastAsia="Cambria" w:hAnsi="Verdana" w:cs="Cambria"/>
          <w:i w:val="0"/>
          <w:iCs/>
          <w:sz w:val="20"/>
          <w:szCs w:val="20"/>
          <w:lang w:val="es-ES_tradnl"/>
        </w:rPr>
        <w:t xml:space="preserve">. </w:t>
      </w:r>
    </w:p>
    <w:p w14:paraId="3ECA81EB" w14:textId="3C6DD9D6" w:rsidR="00D800CC" w:rsidRPr="00351298" w:rsidRDefault="00D800CC" w:rsidP="00D73463">
      <w:pPr>
        <w:numPr>
          <w:ilvl w:val="0"/>
          <w:numId w:val="15"/>
        </w:numPr>
        <w:spacing w:before="240" w:after="240"/>
        <w:jc w:val="both"/>
        <w:outlineLvl w:val="3"/>
        <w:rPr>
          <w:rFonts w:ascii="Verdana" w:hAnsi="Verdana"/>
          <w:i/>
          <w:iCs/>
          <w:sz w:val="20"/>
          <w:szCs w:val="20"/>
        </w:rPr>
      </w:pPr>
      <w:r w:rsidRPr="00351298">
        <w:rPr>
          <w:rFonts w:ascii="Verdana" w:hAnsi="Verdana"/>
          <w:i/>
          <w:iCs/>
          <w:sz w:val="20"/>
          <w:szCs w:val="20"/>
        </w:rPr>
        <w:t>Sobre el derecho a ser informado sobre las razones de la detención</w:t>
      </w:r>
    </w:p>
    <w:p w14:paraId="145E7B90" w14:textId="65993147" w:rsidR="00334497" w:rsidRPr="009D520B" w:rsidRDefault="00C3591F" w:rsidP="3BF92891">
      <w:pPr>
        <w:pStyle w:val="Estilo1"/>
        <w:widowControl w:val="0"/>
        <w:numPr>
          <w:ilvl w:val="0"/>
          <w:numId w:val="2"/>
        </w:numPr>
        <w:tabs>
          <w:tab w:val="left" w:pos="567"/>
          <w:tab w:val="num" w:pos="1569"/>
          <w:tab w:val="num" w:pos="12305"/>
        </w:tabs>
        <w:adjustRightInd w:val="0"/>
        <w:spacing w:before="120"/>
        <w:ind w:left="0" w:right="-4" w:firstLine="0"/>
        <w:jc w:val="both"/>
        <w:textAlignment w:val="baseline"/>
        <w:rPr>
          <w:rFonts w:ascii="Verdana" w:eastAsia="Cambria" w:hAnsi="Verdana" w:cs="Cambria"/>
          <w:i w:val="0"/>
          <w:sz w:val="20"/>
          <w:szCs w:val="20"/>
          <w:lang w:val="es-ES"/>
        </w:rPr>
      </w:pPr>
      <w:r w:rsidRPr="3BF92891">
        <w:rPr>
          <w:rFonts w:ascii="Verdana" w:hAnsi="Verdana"/>
          <w:i w:val="0"/>
          <w:sz w:val="20"/>
          <w:szCs w:val="20"/>
        </w:rPr>
        <w:t>El artículo 7.4 de la Convención Americana alude a dos garantías para la persona que está siendo detenida: i) la información en forma oral o escrita sobre las razones de la detención, y ii) la notificación, que debe ser por escrito, de los cargos</w:t>
      </w:r>
      <w:r w:rsidRPr="3BF92891">
        <w:rPr>
          <w:rStyle w:val="Refdenotaalpie"/>
          <w:rFonts w:ascii="Verdana" w:hAnsi="Verdana"/>
          <w:i w:val="0"/>
          <w:sz w:val="20"/>
        </w:rPr>
        <w:footnoteReference w:id="167"/>
      </w:r>
      <w:r w:rsidRPr="3BF92891">
        <w:rPr>
          <w:rFonts w:ascii="Verdana" w:hAnsi="Verdana"/>
          <w:i w:val="0"/>
          <w:sz w:val="20"/>
          <w:szCs w:val="20"/>
        </w:rPr>
        <w:t>. La información de los “motivos y razones” de la detención debe darse “cuando ésta se produce”, lo cual constituye un mecanismo para evitar detenciones ilegales o arbitrarias desde el momento mismo de la privación de libertad y, a su vez, garantiza el derecho de defensa del individuo</w:t>
      </w:r>
      <w:r w:rsidRPr="3BF92891">
        <w:rPr>
          <w:rStyle w:val="Refdenotaalpie"/>
          <w:rFonts w:ascii="Verdana" w:hAnsi="Verdana"/>
          <w:i w:val="0"/>
          <w:sz w:val="20"/>
        </w:rPr>
        <w:footnoteReference w:id="168"/>
      </w:r>
      <w:r w:rsidRPr="3BF92891">
        <w:rPr>
          <w:rFonts w:ascii="Verdana" w:hAnsi="Verdana"/>
          <w:i w:val="0"/>
          <w:sz w:val="20"/>
          <w:szCs w:val="20"/>
        </w:rPr>
        <w:t>.</w:t>
      </w:r>
      <w:r w:rsidR="00004DE6" w:rsidRPr="3BF92891">
        <w:rPr>
          <w:rFonts w:ascii="Verdana" w:eastAsia="Cambria" w:hAnsi="Verdana" w:cs="Cambria"/>
          <w:i w:val="0"/>
          <w:sz w:val="20"/>
          <w:szCs w:val="20"/>
          <w:lang w:val="es-ES"/>
        </w:rPr>
        <w:t xml:space="preserve"> </w:t>
      </w:r>
      <w:r w:rsidR="00334497" w:rsidRPr="3BF92891">
        <w:rPr>
          <w:rFonts w:ascii="Verdana" w:eastAsia="Cambria" w:hAnsi="Verdana" w:cs="Cambria"/>
          <w:i w:val="0"/>
          <w:sz w:val="20"/>
          <w:szCs w:val="20"/>
          <w:lang w:val="es-ES"/>
        </w:rPr>
        <w:t xml:space="preserve">Asimismo, la Corte ha señalado que el agente que lleva a cabo la detención debe informar en un lenguaje simple, libre de tecnicismos, los hechos y bases jurídicas esenciales en los que se basa la detención. De esta forma, no se satisface el </w:t>
      </w:r>
      <w:r w:rsidR="00334497" w:rsidRPr="3BF92891">
        <w:rPr>
          <w:rFonts w:ascii="Verdana" w:eastAsia="Cambria" w:hAnsi="Verdana" w:cs="Cambria"/>
          <w:i w:val="0"/>
          <w:sz w:val="20"/>
          <w:szCs w:val="20"/>
          <w:lang w:val="es-ES"/>
        </w:rPr>
        <w:lastRenderedPageBreak/>
        <w:t>artículo 7.4 de la Convención si sólo se menciona la base legal</w:t>
      </w:r>
      <w:r w:rsidR="00004DE6" w:rsidRPr="3BF92891">
        <w:rPr>
          <w:rStyle w:val="Refdenotaalpie"/>
          <w:rFonts w:ascii="Verdana" w:hAnsi="Verdana"/>
          <w:i w:val="0"/>
          <w:sz w:val="20"/>
        </w:rPr>
        <w:footnoteReference w:id="169"/>
      </w:r>
      <w:r w:rsidR="00334497" w:rsidRPr="3BF92891">
        <w:rPr>
          <w:rFonts w:ascii="Verdana" w:eastAsia="Cambria" w:hAnsi="Verdana" w:cs="Cambria"/>
          <w:i w:val="0"/>
          <w:sz w:val="20"/>
          <w:szCs w:val="20"/>
          <w:lang w:val="es-ES"/>
        </w:rPr>
        <w:t>.</w:t>
      </w:r>
    </w:p>
    <w:p w14:paraId="0AEFF284" w14:textId="51D97FB1" w:rsidR="00D219C9" w:rsidRPr="009D520B" w:rsidRDefault="00365770" w:rsidP="00365770">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9D520B">
        <w:rPr>
          <w:rFonts w:ascii="Verdana" w:eastAsia="Cambria" w:hAnsi="Verdana" w:cs="Cambria"/>
          <w:i w:val="0"/>
          <w:iCs/>
          <w:sz w:val="20"/>
          <w:szCs w:val="20"/>
          <w:lang w:val="es-ES_tradnl"/>
        </w:rPr>
        <w:t xml:space="preserve">Es un hecho no controvertido que no se le informaron las razones de la detención a </w:t>
      </w:r>
      <w:bookmarkStart w:id="92" w:name="_Hlk120806993"/>
      <w:r w:rsidRPr="009D520B">
        <w:rPr>
          <w:rFonts w:ascii="Verdana" w:eastAsia="Cambria" w:hAnsi="Verdana" w:cs="Cambria"/>
          <w:i w:val="0"/>
          <w:iCs/>
          <w:sz w:val="20"/>
          <w:szCs w:val="20"/>
          <w:lang w:val="es-ES_tradnl"/>
        </w:rPr>
        <w:t>Daniel García Rodríguez</w:t>
      </w:r>
      <w:bookmarkEnd w:id="92"/>
      <w:r w:rsidRPr="009D520B">
        <w:rPr>
          <w:rFonts w:ascii="Verdana" w:eastAsia="Cambria" w:hAnsi="Verdana" w:cs="Cambria"/>
          <w:i w:val="0"/>
          <w:iCs/>
          <w:sz w:val="20"/>
          <w:szCs w:val="20"/>
          <w:lang w:val="es-ES_tradnl"/>
        </w:rPr>
        <w:t xml:space="preserve"> en el momento que el mismo fue llevado por la fuerza pública para que </w:t>
      </w:r>
      <w:r w:rsidR="00CD2BF4">
        <w:rPr>
          <w:rFonts w:ascii="Verdana" w:eastAsia="Cambria" w:hAnsi="Verdana" w:cs="Cambria"/>
          <w:i w:val="0"/>
          <w:iCs/>
          <w:sz w:val="20"/>
          <w:szCs w:val="20"/>
          <w:lang w:val="es-ES_tradnl"/>
        </w:rPr>
        <w:t>fuer</w:t>
      </w:r>
      <w:r w:rsidRPr="009D520B">
        <w:rPr>
          <w:rFonts w:ascii="Verdana" w:eastAsia="Cambria" w:hAnsi="Verdana" w:cs="Cambria"/>
          <w:i w:val="0"/>
          <w:iCs/>
          <w:sz w:val="20"/>
          <w:szCs w:val="20"/>
          <w:lang w:val="es-ES_tradnl"/>
        </w:rPr>
        <w:t>a tomada su declaración ante el Ministerio Público (</w:t>
      </w:r>
      <w:r w:rsidRPr="009D520B">
        <w:rPr>
          <w:rFonts w:ascii="Verdana" w:eastAsia="Cambria" w:hAnsi="Verdana" w:cs="Cambria"/>
          <w:sz w:val="20"/>
          <w:szCs w:val="20"/>
          <w:lang w:val="es-ES_tradnl"/>
        </w:rPr>
        <w:t>supra</w:t>
      </w:r>
      <w:r w:rsidRPr="009D520B">
        <w:rPr>
          <w:rFonts w:ascii="Verdana" w:eastAsia="Cambria" w:hAnsi="Verdana" w:cs="Cambria"/>
          <w:i w:val="0"/>
          <w:iCs/>
          <w:sz w:val="20"/>
          <w:szCs w:val="20"/>
          <w:lang w:val="es-ES_tradnl"/>
        </w:rPr>
        <w:t xml:space="preserve"> párr. </w:t>
      </w:r>
      <w:r w:rsidR="00953615">
        <w:rPr>
          <w:rFonts w:ascii="Verdana" w:eastAsia="Cambria" w:hAnsi="Verdana" w:cs="Cambria"/>
          <w:i w:val="0"/>
          <w:iCs/>
          <w:sz w:val="20"/>
          <w:szCs w:val="20"/>
          <w:lang w:val="es-ES_tradnl"/>
        </w:rPr>
        <w:t>68</w:t>
      </w:r>
      <w:r w:rsidRPr="009D520B">
        <w:rPr>
          <w:rFonts w:ascii="Verdana" w:eastAsia="Cambria" w:hAnsi="Verdana" w:cs="Cambria"/>
          <w:i w:val="0"/>
          <w:iCs/>
          <w:sz w:val="20"/>
          <w:szCs w:val="20"/>
          <w:lang w:val="es-ES_tradnl"/>
        </w:rPr>
        <w:t>)</w:t>
      </w:r>
      <w:r w:rsidR="00D219C9" w:rsidRPr="009D520B">
        <w:rPr>
          <w:rFonts w:ascii="Verdana" w:eastAsia="Cambria" w:hAnsi="Verdana" w:cs="Cambria"/>
          <w:i w:val="0"/>
          <w:iCs/>
          <w:sz w:val="20"/>
          <w:szCs w:val="20"/>
          <w:lang w:val="es-ES_tradnl"/>
        </w:rPr>
        <w:t>.</w:t>
      </w:r>
      <w:r w:rsidRPr="009D520B">
        <w:rPr>
          <w:rFonts w:ascii="Verdana" w:eastAsia="Cambria" w:hAnsi="Verdana" w:cs="Cambria"/>
          <w:i w:val="0"/>
          <w:iCs/>
          <w:sz w:val="20"/>
          <w:szCs w:val="20"/>
          <w:lang w:val="es-ES_tradnl"/>
        </w:rPr>
        <w:t xml:space="preserve"> El Estado precisó que es recién al momento e</w:t>
      </w:r>
      <w:r w:rsidR="00EE7730" w:rsidRPr="009D520B">
        <w:rPr>
          <w:rFonts w:ascii="Verdana" w:eastAsia="Cambria" w:hAnsi="Verdana" w:cs="Cambria"/>
          <w:i w:val="0"/>
          <w:iCs/>
          <w:sz w:val="20"/>
          <w:szCs w:val="20"/>
          <w:lang w:val="es-ES_tradnl"/>
        </w:rPr>
        <w:t>n que fue notificada</w:t>
      </w:r>
      <w:r w:rsidRPr="009D520B">
        <w:rPr>
          <w:rFonts w:ascii="Verdana" w:eastAsia="Cambria" w:hAnsi="Verdana" w:cs="Cambria"/>
          <w:i w:val="0"/>
          <w:iCs/>
          <w:sz w:val="20"/>
          <w:szCs w:val="20"/>
          <w:lang w:val="es-ES_tradnl"/>
        </w:rPr>
        <w:t xml:space="preserve"> </w:t>
      </w:r>
      <w:r w:rsidR="00EE7730" w:rsidRPr="009D520B">
        <w:rPr>
          <w:rFonts w:ascii="Verdana" w:eastAsia="Cambria" w:hAnsi="Verdana" w:cs="Cambria"/>
          <w:i w:val="0"/>
          <w:iCs/>
          <w:sz w:val="20"/>
          <w:szCs w:val="20"/>
          <w:lang w:val="es-ES_tradnl"/>
        </w:rPr>
        <w:t xml:space="preserve">por escrito la orden de arraigo dictada en su contra por el Juez Quinto Penal de Primera Instancia del Distrito Judicial de Tlalnepantla el 25 de febrero de 2002 que </w:t>
      </w:r>
      <w:r w:rsidR="00E83562" w:rsidRPr="009D520B">
        <w:rPr>
          <w:rFonts w:ascii="Verdana" w:eastAsia="Cambria" w:hAnsi="Verdana" w:cs="Cambria"/>
          <w:i w:val="0"/>
          <w:iCs/>
          <w:sz w:val="20"/>
          <w:szCs w:val="20"/>
          <w:lang w:val="es-ES_tradnl"/>
        </w:rPr>
        <w:t>Daniel García Rodríguez fue informado de los motivos de su detención</w:t>
      </w:r>
      <w:r w:rsidR="00EE7730" w:rsidRPr="009D520B">
        <w:rPr>
          <w:rFonts w:ascii="Verdana" w:eastAsia="Cambria" w:hAnsi="Verdana" w:cs="Cambria"/>
          <w:i w:val="0"/>
          <w:iCs/>
          <w:sz w:val="20"/>
          <w:szCs w:val="20"/>
          <w:lang w:val="es-ES_tradnl"/>
        </w:rPr>
        <w:t xml:space="preserve">. Corresponde recordar que, en ese punto, Daniel García había estado detenido desde varias horas atrás. </w:t>
      </w:r>
      <w:r w:rsidR="00476986" w:rsidRPr="009D520B">
        <w:rPr>
          <w:rFonts w:ascii="Verdana" w:eastAsia="Cambria" w:hAnsi="Verdana" w:cs="Cambria"/>
          <w:i w:val="0"/>
          <w:iCs/>
          <w:sz w:val="20"/>
          <w:szCs w:val="20"/>
          <w:lang w:val="es-ES_tradnl"/>
        </w:rPr>
        <w:t xml:space="preserve">En ese sentido, queda demostrado que </w:t>
      </w:r>
      <w:r w:rsidR="003E0246" w:rsidRPr="009D520B">
        <w:rPr>
          <w:rFonts w:ascii="Verdana" w:eastAsia="Cambria" w:hAnsi="Verdana" w:cs="Cambria"/>
          <w:i w:val="0"/>
          <w:iCs/>
          <w:sz w:val="20"/>
          <w:szCs w:val="20"/>
          <w:lang w:val="es-ES_tradnl"/>
        </w:rPr>
        <w:t>el Estado</w:t>
      </w:r>
      <w:r w:rsidR="00EE7730" w:rsidRPr="009D520B">
        <w:rPr>
          <w:rFonts w:ascii="Verdana" w:eastAsia="Cambria" w:hAnsi="Verdana" w:cs="Cambria"/>
          <w:i w:val="0"/>
          <w:iCs/>
          <w:sz w:val="20"/>
          <w:szCs w:val="20"/>
          <w:lang w:val="es-ES_tradnl"/>
        </w:rPr>
        <w:t xml:space="preserve"> vulneró el derecho a ser informado </w:t>
      </w:r>
      <w:r w:rsidR="00476986" w:rsidRPr="009D520B">
        <w:rPr>
          <w:rFonts w:ascii="Verdana" w:eastAsia="Cambria" w:hAnsi="Verdana" w:cs="Cambria"/>
          <w:i w:val="0"/>
          <w:iCs/>
          <w:sz w:val="20"/>
          <w:szCs w:val="20"/>
          <w:lang w:val="es-ES_tradnl"/>
        </w:rPr>
        <w:t xml:space="preserve">oportunamente </w:t>
      </w:r>
      <w:r w:rsidR="00EE7730" w:rsidRPr="009D520B">
        <w:rPr>
          <w:rFonts w:ascii="Verdana" w:eastAsia="Cambria" w:hAnsi="Verdana" w:cs="Cambria"/>
          <w:i w:val="0"/>
          <w:iCs/>
          <w:sz w:val="20"/>
          <w:szCs w:val="20"/>
          <w:lang w:val="es-ES_tradnl"/>
        </w:rPr>
        <w:t>sobre las razones de la detención contenido en el artículo 7.4 de la Convención</w:t>
      </w:r>
      <w:r w:rsidR="004C5A3A">
        <w:rPr>
          <w:rFonts w:ascii="Verdana" w:eastAsia="Cambria" w:hAnsi="Verdana" w:cs="Cambria"/>
          <w:i w:val="0"/>
          <w:iCs/>
          <w:sz w:val="20"/>
          <w:szCs w:val="20"/>
          <w:lang w:val="es-ES_tradnl"/>
        </w:rPr>
        <w:t>,</w:t>
      </w:r>
      <w:r w:rsidR="00EE7730" w:rsidRPr="009D520B">
        <w:rPr>
          <w:rFonts w:ascii="Verdana" w:eastAsia="Cambria" w:hAnsi="Verdana" w:cs="Cambria"/>
          <w:i w:val="0"/>
          <w:iCs/>
          <w:sz w:val="20"/>
          <w:szCs w:val="20"/>
          <w:lang w:val="es-ES_tradnl"/>
        </w:rPr>
        <w:t xml:space="preserve"> en perjuicio de Daniel García Rodríguez.</w:t>
      </w:r>
    </w:p>
    <w:p w14:paraId="47689579" w14:textId="65E351DB" w:rsidR="00EE7730" w:rsidRPr="0064310B" w:rsidRDefault="00EE7730" w:rsidP="00D73463">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mbria" w:hAnsi="Verdana" w:cs="Cambria"/>
          <w:i w:val="0"/>
          <w:iCs/>
          <w:sz w:val="20"/>
          <w:szCs w:val="20"/>
          <w:lang w:val="es-ES_tradnl"/>
        </w:rPr>
      </w:pPr>
      <w:r w:rsidRPr="0064310B">
        <w:rPr>
          <w:rFonts w:ascii="Verdana" w:eastAsia="Cambria" w:hAnsi="Verdana" w:cs="Cambria"/>
          <w:i w:val="0"/>
          <w:iCs/>
          <w:sz w:val="20"/>
          <w:szCs w:val="20"/>
          <w:lang w:val="es-ES_tradnl"/>
        </w:rPr>
        <w:t xml:space="preserve">En lo que concierne el caso de Reyes Alpízar </w:t>
      </w:r>
      <w:r w:rsidR="00D349F9">
        <w:rPr>
          <w:rFonts w:ascii="Verdana" w:eastAsia="Cambria" w:hAnsi="Verdana" w:cs="Cambria"/>
          <w:i w:val="0"/>
          <w:iCs/>
          <w:sz w:val="20"/>
          <w:szCs w:val="20"/>
          <w:lang w:val="es-ES_tradnl"/>
        </w:rPr>
        <w:t>Ortiz</w:t>
      </w:r>
      <w:r w:rsidRPr="0064310B">
        <w:rPr>
          <w:rFonts w:ascii="Verdana" w:eastAsia="Cambria" w:hAnsi="Verdana" w:cs="Cambria"/>
          <w:i w:val="0"/>
          <w:iCs/>
          <w:sz w:val="20"/>
          <w:szCs w:val="20"/>
          <w:lang w:val="es-ES_tradnl"/>
        </w:rPr>
        <w:t xml:space="preserve">, </w:t>
      </w:r>
      <w:r w:rsidR="003E0246" w:rsidRPr="0064310B">
        <w:rPr>
          <w:rFonts w:ascii="Verdana" w:eastAsia="Cambria" w:hAnsi="Verdana" w:cs="Cambria"/>
          <w:i w:val="0"/>
          <w:iCs/>
          <w:sz w:val="20"/>
          <w:szCs w:val="20"/>
          <w:lang w:val="es-ES_tradnl"/>
        </w:rPr>
        <w:t>el Estado afirmó que, al momento de su detención</w:t>
      </w:r>
      <w:r w:rsidR="002460F3" w:rsidRPr="0064310B">
        <w:rPr>
          <w:rFonts w:ascii="Verdana" w:eastAsia="Cambria" w:hAnsi="Verdana" w:cs="Cambria"/>
          <w:i w:val="0"/>
          <w:iCs/>
          <w:sz w:val="20"/>
          <w:szCs w:val="20"/>
          <w:lang w:val="es-ES_tradnl"/>
        </w:rPr>
        <w:t>, el 25 de octubre de 2002</w:t>
      </w:r>
      <w:r w:rsidR="003E0246" w:rsidRPr="0064310B">
        <w:rPr>
          <w:rFonts w:ascii="Verdana" w:eastAsia="Cambria" w:hAnsi="Verdana" w:cs="Cambria"/>
          <w:i w:val="0"/>
          <w:iCs/>
          <w:sz w:val="20"/>
          <w:szCs w:val="20"/>
          <w:lang w:val="es-ES_tradnl"/>
        </w:rPr>
        <w:t xml:space="preserve">, se le informó que había sido detenido por el delito de cohecho en flagrancia, aunque no queda claro si se le brindó información sobre los otros delitos por los cuales fue detenido. </w:t>
      </w:r>
      <w:r w:rsidR="001556D8" w:rsidRPr="0064310B">
        <w:rPr>
          <w:rFonts w:ascii="Verdana" w:eastAsia="Cambria" w:hAnsi="Verdana" w:cs="Cambria"/>
          <w:i w:val="0"/>
          <w:iCs/>
          <w:sz w:val="20"/>
          <w:szCs w:val="20"/>
          <w:lang w:val="es-ES_tradnl"/>
        </w:rPr>
        <w:t xml:space="preserve">Del mismo modo, </w:t>
      </w:r>
      <w:r w:rsidR="003E0246" w:rsidRPr="0064310B">
        <w:rPr>
          <w:rFonts w:ascii="Verdana" w:eastAsia="Cambria" w:hAnsi="Verdana" w:cs="Cambria"/>
          <w:i w:val="0"/>
          <w:iCs/>
          <w:sz w:val="20"/>
          <w:szCs w:val="20"/>
          <w:lang w:val="es-ES_tradnl"/>
        </w:rPr>
        <w:t>Reyes Alpízar</w:t>
      </w:r>
      <w:r w:rsidR="007C78FA" w:rsidRPr="0064310B">
        <w:rPr>
          <w:rFonts w:ascii="Verdana" w:eastAsia="Cambria" w:hAnsi="Verdana" w:cs="Cambria"/>
          <w:i w:val="0"/>
          <w:iCs/>
          <w:sz w:val="20"/>
          <w:szCs w:val="20"/>
          <w:lang w:val="es-ES_tradnl"/>
        </w:rPr>
        <w:t xml:space="preserve"> Ortiz </w:t>
      </w:r>
      <w:r w:rsidR="001556D8" w:rsidRPr="0064310B">
        <w:rPr>
          <w:rFonts w:ascii="Verdana" w:eastAsia="Cambria" w:hAnsi="Verdana" w:cs="Cambria"/>
          <w:i w:val="0"/>
          <w:iCs/>
          <w:sz w:val="20"/>
          <w:szCs w:val="20"/>
          <w:lang w:val="es-ES_tradnl"/>
        </w:rPr>
        <w:t>declaró</w:t>
      </w:r>
      <w:r w:rsidR="003E0246" w:rsidRPr="0064310B">
        <w:rPr>
          <w:rFonts w:ascii="Verdana" w:eastAsia="Cambria" w:hAnsi="Verdana" w:cs="Cambria"/>
          <w:i w:val="0"/>
          <w:iCs/>
          <w:sz w:val="20"/>
          <w:szCs w:val="20"/>
          <w:lang w:val="es-ES_tradnl"/>
        </w:rPr>
        <w:t xml:space="preserve"> que </w:t>
      </w:r>
      <w:r w:rsidR="001556D8" w:rsidRPr="0064310B">
        <w:rPr>
          <w:rFonts w:ascii="Verdana" w:eastAsia="Cambria" w:hAnsi="Verdana" w:cs="Cambria"/>
          <w:i w:val="0"/>
          <w:iCs/>
          <w:sz w:val="20"/>
          <w:szCs w:val="20"/>
          <w:lang w:val="es-ES_tradnl"/>
        </w:rPr>
        <w:t>fue detenido “sin mediar palabra, sin orden de presentación, ni orden de aprehensión cuando iba rumbo a [su] casa</w:t>
      </w:r>
      <w:r w:rsidR="00E83562" w:rsidRPr="0064310B">
        <w:rPr>
          <w:rFonts w:ascii="Verdana" w:eastAsia="Cambria" w:hAnsi="Verdana" w:cs="Cambria"/>
          <w:i w:val="0"/>
          <w:iCs/>
          <w:sz w:val="20"/>
          <w:szCs w:val="20"/>
          <w:lang w:val="es-ES_tradnl"/>
        </w:rPr>
        <w:t>” y que lo “</w:t>
      </w:r>
      <w:r w:rsidR="001556D8" w:rsidRPr="0064310B">
        <w:rPr>
          <w:rFonts w:ascii="Verdana" w:eastAsia="Cambria" w:hAnsi="Verdana" w:cs="Cambria"/>
          <w:i w:val="0"/>
          <w:iCs/>
          <w:sz w:val="20"/>
          <w:szCs w:val="20"/>
          <w:lang w:val="es-ES_tradnl"/>
        </w:rPr>
        <w:t>subieron a vehículos particulares, varias personas armadas vestidas de civil”</w:t>
      </w:r>
      <w:r w:rsidR="001556D8" w:rsidRPr="0064310B">
        <w:rPr>
          <w:rStyle w:val="Refdenotaalpie"/>
          <w:rFonts w:ascii="Verdana" w:eastAsia="Cambria" w:hAnsi="Verdana"/>
          <w:i w:val="0"/>
          <w:iCs/>
          <w:sz w:val="20"/>
          <w:lang w:val="es-ES_tradnl"/>
        </w:rPr>
        <w:footnoteReference w:id="170"/>
      </w:r>
      <w:r w:rsidR="003E0246" w:rsidRPr="0064310B">
        <w:rPr>
          <w:rFonts w:ascii="Verdana" w:eastAsia="Cambria" w:hAnsi="Verdana" w:cs="Cambria"/>
          <w:i w:val="0"/>
          <w:iCs/>
          <w:sz w:val="20"/>
          <w:szCs w:val="20"/>
          <w:lang w:val="es-ES_tradnl"/>
        </w:rPr>
        <w:t xml:space="preserve">. </w:t>
      </w:r>
      <w:r w:rsidR="00A847CF" w:rsidRPr="0064310B">
        <w:rPr>
          <w:rFonts w:ascii="Verdana" w:eastAsia="Cambria" w:hAnsi="Verdana" w:cs="Cambria"/>
          <w:i w:val="0"/>
          <w:iCs/>
          <w:sz w:val="20"/>
          <w:szCs w:val="20"/>
          <w:lang w:val="es-ES_tradnl"/>
        </w:rPr>
        <w:t>Por otra parte, los agentes del Grupo de Operaciones Especiales de la P</w:t>
      </w:r>
      <w:r w:rsidR="001631DB" w:rsidRPr="0064310B">
        <w:rPr>
          <w:rFonts w:ascii="Verdana" w:eastAsia="Cambria" w:hAnsi="Verdana" w:cs="Cambria"/>
          <w:i w:val="0"/>
          <w:iCs/>
          <w:sz w:val="20"/>
          <w:szCs w:val="20"/>
          <w:lang w:val="es-ES_tradnl"/>
        </w:rPr>
        <w:t>GJ</w:t>
      </w:r>
      <w:r w:rsidR="00CE2A28" w:rsidRPr="0064310B">
        <w:rPr>
          <w:rFonts w:ascii="Verdana" w:eastAsia="Cambria" w:hAnsi="Verdana" w:cs="Cambria"/>
          <w:i w:val="0"/>
          <w:iCs/>
          <w:sz w:val="20"/>
          <w:szCs w:val="20"/>
          <w:lang w:val="es-ES_tradnl"/>
        </w:rPr>
        <w:t>E</w:t>
      </w:r>
      <w:r w:rsidR="001631DB" w:rsidRPr="0064310B">
        <w:rPr>
          <w:rFonts w:ascii="Verdana" w:eastAsia="Cambria" w:hAnsi="Verdana" w:cs="Cambria"/>
          <w:i w:val="0"/>
          <w:iCs/>
          <w:sz w:val="20"/>
          <w:szCs w:val="20"/>
          <w:lang w:val="es-ES_tradnl"/>
        </w:rPr>
        <w:t>M</w:t>
      </w:r>
      <w:r w:rsidR="00A847CF" w:rsidRPr="0064310B">
        <w:rPr>
          <w:rFonts w:ascii="Verdana" w:eastAsia="Cambria" w:hAnsi="Verdana" w:cs="Cambria"/>
          <w:i w:val="0"/>
          <w:iCs/>
          <w:sz w:val="20"/>
          <w:szCs w:val="20"/>
          <w:lang w:val="es-ES_tradnl"/>
        </w:rPr>
        <w:t xml:space="preserve"> que procedieron a la </w:t>
      </w:r>
      <w:r w:rsidR="0047170B" w:rsidRPr="0064310B">
        <w:rPr>
          <w:rFonts w:ascii="Verdana" w:eastAsia="Cambria" w:hAnsi="Verdana" w:cs="Cambria"/>
          <w:i w:val="0"/>
          <w:iCs/>
          <w:sz w:val="20"/>
          <w:szCs w:val="20"/>
          <w:lang w:val="es-ES_tradnl"/>
        </w:rPr>
        <w:t>detención</w:t>
      </w:r>
      <w:r w:rsidR="00A847CF" w:rsidRPr="0064310B">
        <w:rPr>
          <w:rFonts w:ascii="Verdana" w:eastAsia="Cambria" w:hAnsi="Verdana" w:cs="Cambria"/>
          <w:i w:val="0"/>
          <w:iCs/>
          <w:sz w:val="20"/>
          <w:szCs w:val="20"/>
          <w:lang w:val="es-ES_tradnl"/>
        </w:rPr>
        <w:t xml:space="preserve"> no hicieron alusión en sus declaraciones al hecho que se habría informado a Reyes Alpízar</w:t>
      </w:r>
      <w:r w:rsidR="007C78FA" w:rsidRPr="0064310B">
        <w:rPr>
          <w:rFonts w:ascii="Verdana" w:eastAsia="Cambria" w:hAnsi="Verdana" w:cs="Cambria"/>
          <w:i w:val="0"/>
          <w:iCs/>
          <w:sz w:val="20"/>
          <w:szCs w:val="20"/>
          <w:lang w:val="es-ES_tradnl"/>
        </w:rPr>
        <w:t xml:space="preserve"> Ortiz </w:t>
      </w:r>
      <w:r w:rsidR="00A847CF" w:rsidRPr="0064310B">
        <w:rPr>
          <w:rFonts w:ascii="Verdana" w:eastAsia="Cambria" w:hAnsi="Verdana" w:cs="Cambria"/>
          <w:i w:val="0"/>
          <w:iCs/>
          <w:sz w:val="20"/>
          <w:szCs w:val="20"/>
          <w:lang w:val="es-ES_tradnl"/>
        </w:rPr>
        <w:t>sobre los motivos de su detención</w:t>
      </w:r>
      <w:r w:rsidR="00A847CF" w:rsidRPr="0064310B">
        <w:rPr>
          <w:rStyle w:val="Refdenotaalpie"/>
          <w:rFonts w:ascii="Verdana" w:hAnsi="Verdana"/>
          <w:i w:val="0"/>
          <w:iCs/>
          <w:sz w:val="20"/>
        </w:rPr>
        <w:footnoteReference w:id="171"/>
      </w:r>
      <w:r w:rsidR="00A847CF" w:rsidRPr="0064310B">
        <w:rPr>
          <w:rFonts w:ascii="Verdana" w:eastAsia="Cambria" w:hAnsi="Verdana" w:cs="Cambria"/>
          <w:i w:val="0"/>
          <w:iCs/>
          <w:sz w:val="20"/>
          <w:szCs w:val="20"/>
          <w:lang w:val="es-ES_tradnl"/>
        </w:rPr>
        <w:t xml:space="preserve">. </w:t>
      </w:r>
      <w:r w:rsidR="003E0246" w:rsidRPr="0064310B">
        <w:rPr>
          <w:rFonts w:ascii="Verdana" w:eastAsia="Cambria" w:hAnsi="Verdana" w:cs="Cambria"/>
          <w:i w:val="0"/>
          <w:iCs/>
          <w:sz w:val="20"/>
          <w:szCs w:val="20"/>
          <w:lang w:val="es-ES_tradnl"/>
        </w:rPr>
        <w:t>De acuerdo con lo anterior, el Tribunal concluye que el Estado violó el derecho a ser informado sobre las razones de la detención contenido en el artículo 7.4 de la Convención en perjuicio de Reyes Alpízar Ort</w:t>
      </w:r>
      <w:r w:rsidR="00EB5573" w:rsidRPr="0064310B">
        <w:rPr>
          <w:rFonts w:ascii="Verdana" w:eastAsia="Cambria" w:hAnsi="Verdana" w:cs="Cambria"/>
          <w:i w:val="0"/>
          <w:iCs/>
          <w:sz w:val="20"/>
          <w:szCs w:val="20"/>
          <w:lang w:val="es-ES_tradnl"/>
        </w:rPr>
        <w:t>i</w:t>
      </w:r>
      <w:r w:rsidR="003E0246" w:rsidRPr="0064310B">
        <w:rPr>
          <w:rFonts w:ascii="Verdana" w:eastAsia="Cambria" w:hAnsi="Verdana" w:cs="Cambria"/>
          <w:i w:val="0"/>
          <w:iCs/>
          <w:sz w:val="20"/>
          <w:szCs w:val="20"/>
          <w:lang w:val="es-ES_tradnl"/>
        </w:rPr>
        <w:t>z</w:t>
      </w:r>
      <w:r w:rsidR="002460F3" w:rsidRPr="0064310B">
        <w:rPr>
          <w:rFonts w:ascii="Verdana" w:eastAsia="Cambria" w:hAnsi="Verdana" w:cs="Cambria"/>
          <w:i w:val="0"/>
          <w:iCs/>
          <w:sz w:val="20"/>
          <w:szCs w:val="20"/>
          <w:lang w:val="es-ES_tradnl"/>
        </w:rPr>
        <w:t>.</w:t>
      </w:r>
      <w:r w:rsidR="00C877B0" w:rsidRPr="0064310B">
        <w:rPr>
          <w:rFonts w:ascii="Verdana" w:eastAsia="Cambria" w:hAnsi="Verdana" w:cs="Cambria"/>
          <w:i w:val="0"/>
          <w:iCs/>
          <w:sz w:val="20"/>
          <w:szCs w:val="20"/>
          <w:lang w:val="es-ES_tradnl"/>
        </w:rPr>
        <w:t xml:space="preserve"> </w:t>
      </w:r>
    </w:p>
    <w:p w14:paraId="079C1431" w14:textId="0FC11054" w:rsidR="00654EE2" w:rsidRPr="00351298" w:rsidRDefault="00654EE2" w:rsidP="00654EE2">
      <w:pPr>
        <w:pStyle w:val="Ttulo3"/>
        <w:spacing w:before="240" w:after="240"/>
        <w:ind w:left="567"/>
        <w:jc w:val="both"/>
        <w:rPr>
          <w:rFonts w:ascii="Verdana" w:hAnsi="Verdana"/>
          <w:b w:val="0"/>
          <w:snapToGrid w:val="0"/>
          <w:spacing w:val="-2"/>
          <w:sz w:val="20"/>
          <w:szCs w:val="20"/>
          <w:lang w:eastAsia="es-ES"/>
        </w:rPr>
      </w:pPr>
      <w:bookmarkStart w:id="93" w:name="_Toc132133919"/>
      <w:r w:rsidRPr="00351298">
        <w:rPr>
          <w:rFonts w:ascii="Verdana" w:hAnsi="Verdana"/>
          <w:b w:val="0"/>
          <w:snapToGrid w:val="0"/>
          <w:spacing w:val="-2"/>
          <w:sz w:val="20"/>
          <w:szCs w:val="20"/>
          <w:lang w:eastAsia="es-ES"/>
        </w:rPr>
        <w:t>B.</w:t>
      </w:r>
      <w:r w:rsidR="00E83562" w:rsidRPr="00351298">
        <w:rPr>
          <w:rFonts w:ascii="Verdana" w:hAnsi="Verdana"/>
          <w:b w:val="0"/>
          <w:snapToGrid w:val="0"/>
          <w:spacing w:val="-2"/>
          <w:sz w:val="20"/>
          <w:szCs w:val="20"/>
          <w:lang w:eastAsia="es-ES"/>
        </w:rPr>
        <w:t>2</w:t>
      </w:r>
      <w:r w:rsidRPr="00351298">
        <w:rPr>
          <w:rFonts w:ascii="Verdana" w:hAnsi="Verdana"/>
          <w:b w:val="0"/>
          <w:snapToGrid w:val="0"/>
          <w:spacing w:val="-2"/>
          <w:sz w:val="20"/>
          <w:szCs w:val="20"/>
          <w:lang w:eastAsia="es-ES"/>
        </w:rPr>
        <w:t xml:space="preserve">. El derecho a ser llevado sin demora ante </w:t>
      </w:r>
      <w:r w:rsidR="00077059" w:rsidRPr="00351298">
        <w:rPr>
          <w:rFonts w:ascii="Verdana" w:hAnsi="Verdana"/>
          <w:b w:val="0"/>
          <w:snapToGrid w:val="0"/>
          <w:spacing w:val="-2"/>
          <w:sz w:val="20"/>
          <w:szCs w:val="20"/>
          <w:lang w:eastAsia="es-ES"/>
        </w:rPr>
        <w:t>“un juez u otro un funcionario autorizado por la ley para ejercer funciones judiciales”</w:t>
      </w:r>
      <w:bookmarkEnd w:id="93"/>
    </w:p>
    <w:p w14:paraId="22605A90" w14:textId="627602D4" w:rsidR="007A0F81" w:rsidRPr="00351298" w:rsidRDefault="007A0F81" w:rsidP="40DDB40B">
      <w:pPr>
        <w:pStyle w:val="Prrafodelista"/>
        <w:numPr>
          <w:ilvl w:val="0"/>
          <w:numId w:val="2"/>
        </w:numPr>
        <w:spacing w:before="120" w:after="120"/>
        <w:ind w:left="0" w:firstLine="0"/>
        <w:contextualSpacing w:val="0"/>
        <w:jc w:val="both"/>
        <w:rPr>
          <w:rFonts w:ascii="Verdana" w:eastAsia="Cambria" w:hAnsi="Verdana" w:cs="Cambria"/>
          <w:sz w:val="20"/>
          <w:szCs w:val="20"/>
          <w:lang w:val="es-ES"/>
        </w:rPr>
      </w:pPr>
      <w:r w:rsidRPr="40DDB40B">
        <w:rPr>
          <w:rFonts w:ascii="Verdana" w:eastAsia="Cambria" w:hAnsi="Verdana" w:cs="Cambria"/>
          <w:sz w:val="20"/>
          <w:szCs w:val="20"/>
          <w:lang w:val="es-ES"/>
        </w:rPr>
        <w:t xml:space="preserve">En lo que se refiere al alegato sobre una vulneración al derecho a ser llevado sin demora ante una autoridad judicial, el Tribunal recuerda que el artículo 7.5 de la Convención exige que el detenido debe </w:t>
      </w:r>
      <w:r w:rsidR="00C2154A" w:rsidRPr="40DDB40B">
        <w:rPr>
          <w:rFonts w:ascii="Verdana" w:eastAsia="Cambria" w:hAnsi="Verdana" w:cs="Cambria"/>
          <w:sz w:val="20"/>
          <w:szCs w:val="20"/>
          <w:lang w:val="es-ES"/>
        </w:rPr>
        <w:t>“</w:t>
      </w:r>
      <w:r w:rsidRPr="40DDB40B">
        <w:rPr>
          <w:rFonts w:ascii="Verdana" w:eastAsia="Cambria" w:hAnsi="Verdana" w:cs="Cambria"/>
          <w:sz w:val="20"/>
          <w:szCs w:val="20"/>
          <w:lang w:val="es-ES"/>
        </w:rPr>
        <w:t>ser llevado</w:t>
      </w:r>
      <w:r w:rsidR="00C2154A" w:rsidRPr="40DDB40B">
        <w:rPr>
          <w:rFonts w:ascii="Verdana" w:eastAsia="Cambria" w:hAnsi="Verdana" w:cs="Cambria"/>
          <w:sz w:val="20"/>
          <w:szCs w:val="20"/>
          <w:lang w:val="es-ES"/>
        </w:rPr>
        <w:t>”</w:t>
      </w:r>
      <w:r w:rsidRPr="40DDB40B">
        <w:rPr>
          <w:rFonts w:ascii="Verdana" w:eastAsia="Cambria" w:hAnsi="Verdana" w:cs="Cambria"/>
          <w:sz w:val="20"/>
          <w:szCs w:val="20"/>
          <w:lang w:val="es-ES"/>
        </w:rPr>
        <w:t xml:space="preserve"> ante </w:t>
      </w:r>
      <w:r w:rsidR="00077059" w:rsidRPr="40DDB40B">
        <w:rPr>
          <w:rFonts w:ascii="Verdana" w:eastAsia="Cambria" w:hAnsi="Verdana" w:cs="Cambria"/>
          <w:sz w:val="20"/>
          <w:szCs w:val="20"/>
          <w:lang w:val="es-ES"/>
        </w:rPr>
        <w:t>“un juez u otro un funcionario autorizado por la ley para ejercer funciones judiciales”</w:t>
      </w:r>
      <w:r w:rsidRPr="40DDB40B">
        <w:rPr>
          <w:rFonts w:ascii="Verdana" w:eastAsia="Cambria" w:hAnsi="Verdana" w:cs="Cambria"/>
          <w:sz w:val="20"/>
          <w:szCs w:val="20"/>
          <w:lang w:val="es-ES"/>
        </w:rPr>
        <w:t xml:space="preserve">, lo cual implica que la autoridad </w:t>
      </w:r>
      <w:r w:rsidR="00836127" w:rsidRPr="40DDB40B">
        <w:rPr>
          <w:rFonts w:ascii="Verdana" w:eastAsia="Cambria" w:hAnsi="Verdana" w:cs="Cambria"/>
          <w:sz w:val="20"/>
          <w:szCs w:val="20"/>
          <w:lang w:val="es-ES"/>
        </w:rPr>
        <w:t xml:space="preserve">judicial </w:t>
      </w:r>
      <w:r w:rsidRPr="40DDB40B">
        <w:rPr>
          <w:rFonts w:ascii="Verdana" w:eastAsia="Cambria" w:hAnsi="Verdana" w:cs="Cambria"/>
          <w:sz w:val="20"/>
          <w:szCs w:val="20"/>
          <w:lang w:val="es-ES"/>
        </w:rPr>
        <w:t>debe oír personalmente al detenido y valorar todas las explicaciones que éste le proporcione, para decidir si procede la liberación o el mantenimiento de la privación de libertad</w:t>
      </w:r>
      <w:r w:rsidRPr="40DDB40B">
        <w:rPr>
          <w:rStyle w:val="Refdenotaalpie"/>
          <w:rFonts w:ascii="Verdana" w:eastAsia="Cambria" w:hAnsi="Verdana"/>
          <w:sz w:val="20"/>
          <w:lang w:val="es-ES"/>
        </w:rPr>
        <w:footnoteReference w:id="172"/>
      </w:r>
      <w:r w:rsidRPr="40DDB40B">
        <w:rPr>
          <w:rFonts w:ascii="Verdana" w:eastAsia="Cambria" w:hAnsi="Verdana" w:cs="Cambria"/>
          <w:sz w:val="20"/>
          <w:szCs w:val="20"/>
          <w:lang w:val="es-ES"/>
        </w:rPr>
        <w:t>.</w:t>
      </w:r>
      <w:r w:rsidR="00C2154A" w:rsidRPr="40DDB40B">
        <w:rPr>
          <w:rFonts w:ascii="Verdana" w:eastAsia="Cambria" w:hAnsi="Verdana" w:cs="Cambria"/>
          <w:sz w:val="20"/>
          <w:szCs w:val="20"/>
          <w:lang w:val="es-ES"/>
        </w:rPr>
        <w:t xml:space="preserve"> Sobre ese punto, corresponde recordar que el control judicial inmediato es una medida tendiente a evitar la arbitrariedad o ilegalidad de las detenciones, tomando en cuenta que en un Estado de Derecho corresponde al juzgador garantizar los derechos del detenido, autorizar la adopción de medidas cautelares o de coerción, cuando sea estrictamente necesario y procurar, en general, que se trate al inculpado de manera consecuente con la presunción de inocencia</w:t>
      </w:r>
      <w:r w:rsidR="00C2154A" w:rsidRPr="40DDB40B">
        <w:rPr>
          <w:rStyle w:val="Refdenotaalpie"/>
          <w:rFonts w:ascii="Verdana" w:eastAsia="Cambria" w:hAnsi="Verdana"/>
          <w:sz w:val="20"/>
          <w:lang w:val="es-ES"/>
        </w:rPr>
        <w:footnoteReference w:id="173"/>
      </w:r>
      <w:r w:rsidR="00C2154A" w:rsidRPr="40DDB40B">
        <w:rPr>
          <w:rFonts w:ascii="Verdana" w:eastAsia="Cambria" w:hAnsi="Verdana" w:cs="Cambria"/>
          <w:sz w:val="20"/>
          <w:szCs w:val="20"/>
          <w:lang w:val="es-ES"/>
        </w:rPr>
        <w:t>.</w:t>
      </w:r>
    </w:p>
    <w:p w14:paraId="76555710" w14:textId="79074FC6" w:rsidR="007A0F81" w:rsidRPr="00351298" w:rsidRDefault="007A0F81" w:rsidP="002029D4">
      <w:pPr>
        <w:pStyle w:val="Prrafodelista"/>
        <w:numPr>
          <w:ilvl w:val="0"/>
          <w:numId w:val="2"/>
        </w:numPr>
        <w:spacing w:before="120" w:after="120"/>
        <w:ind w:left="0" w:firstLine="0"/>
        <w:contextualSpacing w:val="0"/>
        <w:jc w:val="both"/>
        <w:rPr>
          <w:rFonts w:ascii="Verdana" w:eastAsia="Cambria" w:hAnsi="Verdana" w:cs="Cambria"/>
          <w:sz w:val="20"/>
          <w:szCs w:val="20"/>
          <w:lang w:val="es-ES_tradnl"/>
        </w:rPr>
      </w:pPr>
      <w:r w:rsidRPr="00351298">
        <w:rPr>
          <w:rFonts w:ascii="Verdana" w:eastAsia="Cambria" w:hAnsi="Verdana" w:cs="Cambria"/>
          <w:sz w:val="20"/>
          <w:szCs w:val="20"/>
          <w:lang w:val="es-ES_tradnl"/>
        </w:rPr>
        <w:lastRenderedPageBreak/>
        <w:t xml:space="preserve">En el presente caso, el Estado no controvirtió el hecho que </w:t>
      </w:r>
      <w:bookmarkStart w:id="94" w:name="_Hlk120807221"/>
      <w:r w:rsidRPr="00351298">
        <w:rPr>
          <w:rFonts w:ascii="Verdana" w:eastAsia="Cambria" w:hAnsi="Verdana" w:cs="Cambria"/>
          <w:sz w:val="20"/>
          <w:szCs w:val="20"/>
          <w:lang w:val="es-ES_tradnl"/>
        </w:rPr>
        <w:t xml:space="preserve">Daniel García Rodríguez </w:t>
      </w:r>
      <w:bookmarkEnd w:id="94"/>
      <w:r w:rsidRPr="00351298">
        <w:rPr>
          <w:rFonts w:ascii="Verdana" w:eastAsia="Cambria" w:hAnsi="Verdana" w:cs="Cambria"/>
          <w:sz w:val="20"/>
          <w:szCs w:val="20"/>
          <w:lang w:val="es-ES_tradnl"/>
        </w:rPr>
        <w:t xml:space="preserve">fue llevado por primera vez ante una autoridad judicial el 11 de abril de 2002, esto es </w:t>
      </w:r>
      <w:r w:rsidR="00395596">
        <w:rPr>
          <w:rFonts w:ascii="Verdana" w:eastAsia="Cambria" w:hAnsi="Verdana" w:cs="Cambria"/>
          <w:sz w:val="20"/>
          <w:szCs w:val="20"/>
          <w:lang w:val="es-ES_tradnl"/>
        </w:rPr>
        <w:t>47</w:t>
      </w:r>
      <w:r w:rsidRPr="00351298">
        <w:rPr>
          <w:rFonts w:ascii="Verdana" w:eastAsia="Cambria" w:hAnsi="Verdana" w:cs="Cambria"/>
          <w:sz w:val="20"/>
          <w:szCs w:val="20"/>
          <w:lang w:val="es-ES_tradnl"/>
        </w:rPr>
        <w:t xml:space="preserve"> días después que tuviera lugar su detención el 25 de febrero de 2002. Por su parte, tampoco es controvertido por el Estado </w:t>
      </w:r>
      <w:bookmarkStart w:id="95" w:name="_Hlk120807212"/>
      <w:r w:rsidRPr="00351298">
        <w:rPr>
          <w:rFonts w:ascii="Verdana" w:eastAsia="Cambria" w:hAnsi="Verdana" w:cs="Cambria"/>
          <w:sz w:val="20"/>
          <w:szCs w:val="20"/>
          <w:lang w:val="es-ES_tradnl"/>
        </w:rPr>
        <w:t>que Reyes Alpízar</w:t>
      </w:r>
      <w:r w:rsidR="007C78FA" w:rsidRPr="00351298">
        <w:rPr>
          <w:rFonts w:ascii="Verdana" w:eastAsia="Cambria" w:hAnsi="Verdana" w:cs="Cambria"/>
          <w:sz w:val="20"/>
          <w:szCs w:val="20"/>
          <w:lang w:val="es-ES_tradnl"/>
        </w:rPr>
        <w:t xml:space="preserve"> Ortiz </w:t>
      </w:r>
      <w:bookmarkEnd w:id="95"/>
      <w:r w:rsidRPr="00351298">
        <w:rPr>
          <w:rFonts w:ascii="Verdana" w:eastAsia="Cambria" w:hAnsi="Verdana" w:cs="Cambria"/>
          <w:sz w:val="20"/>
          <w:szCs w:val="20"/>
          <w:lang w:val="es-ES_tradnl"/>
        </w:rPr>
        <w:t>fue llevado por primera vez ante una autoridad judicial el 28 de noviembre de 2002, esto es 31 días después que tuviera lugar su detención el 28 de octubre de febrero de 2002</w:t>
      </w:r>
      <w:r w:rsidR="00B02437" w:rsidRPr="00351298">
        <w:rPr>
          <w:rFonts w:ascii="Verdana" w:eastAsia="Cambria" w:hAnsi="Verdana" w:cs="Cambria"/>
          <w:sz w:val="20"/>
          <w:szCs w:val="20"/>
          <w:lang w:val="es-ES_tradnl"/>
        </w:rPr>
        <w:t xml:space="preserve"> (</w:t>
      </w:r>
      <w:r w:rsidR="00B02437" w:rsidRPr="00351298">
        <w:rPr>
          <w:rFonts w:ascii="Verdana" w:eastAsia="Cambria" w:hAnsi="Verdana" w:cs="Cambria"/>
          <w:i/>
          <w:iCs/>
          <w:sz w:val="20"/>
          <w:szCs w:val="20"/>
          <w:lang w:val="es-ES_tradnl"/>
        </w:rPr>
        <w:t>supra</w:t>
      </w:r>
      <w:r w:rsidR="00B02437" w:rsidRPr="00351298">
        <w:rPr>
          <w:rFonts w:ascii="Verdana" w:eastAsia="Cambria" w:hAnsi="Verdana" w:cs="Cambria"/>
          <w:sz w:val="20"/>
          <w:szCs w:val="20"/>
          <w:lang w:val="es-ES_tradnl"/>
        </w:rPr>
        <w:t xml:space="preserve"> párr. </w:t>
      </w:r>
      <w:r w:rsidR="00953615">
        <w:rPr>
          <w:rFonts w:ascii="Verdana" w:eastAsia="Cambria" w:hAnsi="Verdana" w:cs="Cambria"/>
          <w:sz w:val="20"/>
          <w:szCs w:val="20"/>
          <w:lang w:val="es-ES_tradnl"/>
        </w:rPr>
        <w:t>77</w:t>
      </w:r>
      <w:r w:rsidR="00B02437" w:rsidRPr="00351298">
        <w:rPr>
          <w:rFonts w:ascii="Verdana" w:eastAsia="Cambria" w:hAnsi="Verdana" w:cs="Cambria"/>
          <w:sz w:val="20"/>
          <w:szCs w:val="20"/>
          <w:lang w:val="es-ES_tradnl"/>
        </w:rPr>
        <w:t>)</w:t>
      </w:r>
      <w:r w:rsidRPr="00351298">
        <w:rPr>
          <w:rFonts w:ascii="Verdana" w:eastAsia="Cambria" w:hAnsi="Verdana" w:cs="Cambria"/>
          <w:sz w:val="20"/>
          <w:szCs w:val="20"/>
          <w:lang w:val="es-ES_tradnl"/>
        </w:rPr>
        <w:t xml:space="preserve">. </w:t>
      </w:r>
    </w:p>
    <w:p w14:paraId="73A9505B" w14:textId="4D46B0A5" w:rsidR="00C2154A" w:rsidRPr="007808D1" w:rsidRDefault="00476B19" w:rsidP="007808D1">
      <w:pPr>
        <w:pStyle w:val="Prrafodelista"/>
        <w:numPr>
          <w:ilvl w:val="0"/>
          <w:numId w:val="2"/>
        </w:numPr>
        <w:spacing w:before="120" w:after="120"/>
        <w:ind w:left="0" w:firstLine="0"/>
        <w:contextualSpacing w:val="0"/>
        <w:jc w:val="both"/>
        <w:rPr>
          <w:rFonts w:ascii="Verdana" w:eastAsia="Cambria" w:hAnsi="Verdana" w:cs="Cambria"/>
          <w:sz w:val="20"/>
          <w:szCs w:val="20"/>
          <w:lang w:val="es-ES_tradnl"/>
        </w:rPr>
      </w:pPr>
      <w:r w:rsidRPr="00351298">
        <w:rPr>
          <w:rFonts w:ascii="Verdana" w:eastAsia="Calibri" w:hAnsi="Verdana"/>
          <w:spacing w:val="-2"/>
          <w:sz w:val="20"/>
          <w:lang w:val="es-MX"/>
        </w:rPr>
        <w:t xml:space="preserve">De conformidad con lo anterior, para este Tribunal, Daniel García Rodríguez y </w:t>
      </w:r>
      <w:r w:rsidRPr="00351298">
        <w:rPr>
          <w:rFonts w:ascii="Verdana" w:eastAsia="Cambria" w:hAnsi="Verdana" w:cs="Cambria"/>
          <w:sz w:val="20"/>
          <w:szCs w:val="20"/>
          <w:lang w:val="es-ES_tradnl"/>
        </w:rPr>
        <w:t>Reyes Alpízar</w:t>
      </w:r>
      <w:r w:rsidR="007C78FA" w:rsidRPr="00351298">
        <w:rPr>
          <w:rFonts w:ascii="Verdana" w:eastAsia="Cambria" w:hAnsi="Verdana" w:cs="Cambria"/>
          <w:sz w:val="20"/>
          <w:szCs w:val="20"/>
          <w:lang w:val="es-ES_tradnl"/>
        </w:rPr>
        <w:t xml:space="preserve"> Ortiz </w:t>
      </w:r>
      <w:r w:rsidRPr="00351298">
        <w:rPr>
          <w:rFonts w:ascii="Verdana" w:eastAsia="Cambria" w:hAnsi="Verdana" w:cs="Cambria"/>
          <w:sz w:val="20"/>
          <w:szCs w:val="20"/>
          <w:lang w:val="es-ES_tradnl"/>
        </w:rPr>
        <w:t xml:space="preserve">fueron llevados </w:t>
      </w:r>
      <w:r w:rsidRPr="00351298">
        <w:rPr>
          <w:rFonts w:ascii="Verdana" w:eastAsia="Calibri" w:hAnsi="Verdana"/>
          <w:spacing w:val="-2"/>
          <w:sz w:val="20"/>
          <w:lang w:val="es-MX"/>
        </w:rPr>
        <w:t xml:space="preserve">por primera vez ante una autoridad judicial </w:t>
      </w:r>
      <w:r w:rsidR="0047170B" w:rsidRPr="00ED733D">
        <w:rPr>
          <w:rFonts w:ascii="Verdana" w:eastAsia="Calibri" w:hAnsi="Verdana"/>
          <w:spacing w:val="-2"/>
          <w:sz w:val="20"/>
          <w:lang w:val="es-MX"/>
        </w:rPr>
        <w:t>en término</w:t>
      </w:r>
      <w:r w:rsidR="007808D1" w:rsidRPr="00ED733D">
        <w:rPr>
          <w:rFonts w:ascii="Verdana" w:eastAsia="Calibri" w:hAnsi="Verdana"/>
          <w:spacing w:val="-2"/>
          <w:sz w:val="20"/>
          <w:lang w:val="es-MX"/>
        </w:rPr>
        <w:t>s que no se ajustan al contenido del artículo 7.5 de la Convención Americana</w:t>
      </w:r>
      <w:r w:rsidRPr="00ED733D">
        <w:rPr>
          <w:rFonts w:ascii="Verdana" w:eastAsia="Calibri" w:hAnsi="Verdana"/>
          <w:spacing w:val="-2"/>
          <w:sz w:val="20"/>
          <w:lang w:val="es-MX"/>
        </w:rPr>
        <w:t>,</w:t>
      </w:r>
      <w:r w:rsidRPr="007808D1">
        <w:rPr>
          <w:rFonts w:ascii="Verdana" w:eastAsia="Calibri" w:hAnsi="Verdana"/>
          <w:spacing w:val="-2"/>
          <w:sz w:val="20"/>
          <w:lang w:val="es-MX"/>
        </w:rPr>
        <w:t xml:space="preserve"> que claramente exige la remisión “sin demora” ante el juez o funcionario autorizado por la ley para ejercer funciones judiciales sobre control de la libertad</w:t>
      </w:r>
      <w:r w:rsidR="007516F2" w:rsidRPr="007808D1">
        <w:rPr>
          <w:rFonts w:ascii="Verdana" w:eastAsia="Calibri" w:hAnsi="Verdana"/>
          <w:spacing w:val="-2"/>
          <w:sz w:val="20"/>
          <w:lang w:val="es-MX"/>
        </w:rPr>
        <w:t xml:space="preserve">, puesto que no se podría inferir razonablemente que </w:t>
      </w:r>
      <w:r w:rsidR="00395596">
        <w:rPr>
          <w:rFonts w:ascii="Verdana" w:eastAsia="Calibri" w:hAnsi="Verdana"/>
          <w:spacing w:val="-2"/>
          <w:sz w:val="20"/>
          <w:lang w:val="es-MX"/>
        </w:rPr>
        <w:t>47</w:t>
      </w:r>
      <w:r w:rsidR="007516F2" w:rsidRPr="007808D1">
        <w:rPr>
          <w:rFonts w:ascii="Verdana" w:eastAsia="Calibri" w:hAnsi="Verdana"/>
          <w:spacing w:val="-2"/>
          <w:sz w:val="20"/>
          <w:lang w:val="es-MX"/>
        </w:rPr>
        <w:t xml:space="preserve"> días y 31 días de detención sin ser llevados ante una autoridad judicial cumple a cabalidad con ese precepto de la Convención Americana. </w:t>
      </w:r>
      <w:r w:rsidRPr="007808D1">
        <w:rPr>
          <w:rFonts w:ascii="Verdana" w:eastAsia="Calibri" w:hAnsi="Verdana"/>
          <w:spacing w:val="-2"/>
          <w:sz w:val="20"/>
          <w:lang w:val="es-MX"/>
        </w:rPr>
        <w:t>En consecuencia, la Corte considera que se vulneró el artículo 7.5 de la Convención Americana en perjuicio</w:t>
      </w:r>
      <w:r w:rsidR="007516F2" w:rsidRPr="007808D1">
        <w:rPr>
          <w:rFonts w:ascii="Verdana" w:eastAsia="Calibri" w:hAnsi="Verdana"/>
          <w:spacing w:val="-2"/>
          <w:sz w:val="20"/>
          <w:lang w:val="es-MX"/>
        </w:rPr>
        <w:t xml:space="preserve"> de que Reyes Alpízar Ortiz y Daniel García Rodríguez</w:t>
      </w:r>
      <w:r w:rsidRPr="007808D1">
        <w:rPr>
          <w:rFonts w:ascii="Verdana" w:eastAsia="Calibri" w:hAnsi="Verdana"/>
          <w:spacing w:val="-2"/>
          <w:sz w:val="20"/>
          <w:lang w:val="es-MX"/>
        </w:rPr>
        <w:t>.</w:t>
      </w:r>
    </w:p>
    <w:p w14:paraId="0191C372" w14:textId="4801DBE5" w:rsidR="00654EE2" w:rsidRPr="00351298" w:rsidRDefault="00654EE2" w:rsidP="00CE7DBF">
      <w:pPr>
        <w:pStyle w:val="Ttulo3"/>
        <w:spacing w:before="240" w:after="240"/>
        <w:ind w:left="567"/>
        <w:jc w:val="both"/>
        <w:rPr>
          <w:rFonts w:ascii="Verdana" w:hAnsi="Verdana"/>
          <w:b w:val="0"/>
          <w:snapToGrid w:val="0"/>
          <w:spacing w:val="-2"/>
          <w:sz w:val="20"/>
          <w:szCs w:val="20"/>
          <w:lang w:eastAsia="es-ES"/>
        </w:rPr>
      </w:pPr>
      <w:bookmarkStart w:id="96" w:name="_Toc132133920"/>
      <w:r w:rsidRPr="00351298">
        <w:rPr>
          <w:rFonts w:ascii="Verdana" w:hAnsi="Verdana"/>
          <w:b w:val="0"/>
          <w:snapToGrid w:val="0"/>
          <w:spacing w:val="-2"/>
          <w:sz w:val="20"/>
          <w:szCs w:val="20"/>
          <w:lang w:eastAsia="es-ES"/>
        </w:rPr>
        <w:t>B.</w:t>
      </w:r>
      <w:r w:rsidR="00E83562" w:rsidRPr="00351298">
        <w:rPr>
          <w:rFonts w:ascii="Verdana" w:hAnsi="Verdana"/>
          <w:b w:val="0"/>
          <w:snapToGrid w:val="0"/>
          <w:spacing w:val="-2"/>
          <w:sz w:val="20"/>
          <w:szCs w:val="20"/>
          <w:lang w:eastAsia="es-ES"/>
        </w:rPr>
        <w:t>3</w:t>
      </w:r>
      <w:r w:rsidRPr="00351298">
        <w:rPr>
          <w:rFonts w:ascii="Verdana" w:hAnsi="Verdana"/>
          <w:b w:val="0"/>
          <w:snapToGrid w:val="0"/>
          <w:spacing w:val="-2"/>
          <w:sz w:val="20"/>
          <w:szCs w:val="20"/>
          <w:lang w:eastAsia="es-ES"/>
        </w:rPr>
        <w:t xml:space="preserve">. La aplicación de la figura del arraigo y la posterior prisión preventiva en contra de Daniel García Rodríguez y Reyes Alpízar </w:t>
      </w:r>
      <w:r w:rsidR="00D349F9">
        <w:rPr>
          <w:rFonts w:ascii="Verdana" w:hAnsi="Verdana"/>
          <w:b w:val="0"/>
          <w:snapToGrid w:val="0"/>
          <w:spacing w:val="-2"/>
          <w:sz w:val="20"/>
          <w:szCs w:val="20"/>
          <w:lang w:eastAsia="es-ES"/>
        </w:rPr>
        <w:t>Ortiz</w:t>
      </w:r>
      <w:bookmarkEnd w:id="96"/>
    </w:p>
    <w:p w14:paraId="47FB89D9" w14:textId="69B19C08" w:rsidR="00574250" w:rsidRPr="009D520B" w:rsidRDefault="00574250" w:rsidP="00574250">
      <w:pPr>
        <w:pStyle w:val="Prrafodelista"/>
        <w:numPr>
          <w:ilvl w:val="0"/>
          <w:numId w:val="2"/>
        </w:numPr>
        <w:spacing w:before="120" w:after="120"/>
        <w:ind w:left="0" w:firstLine="0"/>
        <w:contextualSpacing w:val="0"/>
        <w:jc w:val="both"/>
        <w:rPr>
          <w:rFonts w:ascii="Verdana" w:hAnsi="Verdana"/>
          <w:sz w:val="20"/>
          <w:szCs w:val="20"/>
        </w:rPr>
      </w:pPr>
      <w:r w:rsidRPr="00351298">
        <w:rPr>
          <w:rFonts w:ascii="Verdana" w:hAnsi="Verdana"/>
          <w:sz w:val="20"/>
          <w:szCs w:val="20"/>
        </w:rPr>
        <w:t xml:space="preserve">Se alega por parte de los representantes y de la Comisión que la figura del arraigo contenida en el artículo 154 del </w:t>
      </w:r>
      <w:r w:rsidR="003705CC" w:rsidRPr="00351298">
        <w:rPr>
          <w:rFonts w:ascii="Verdana" w:hAnsi="Verdana"/>
          <w:sz w:val="20"/>
          <w:szCs w:val="20"/>
        </w:rPr>
        <w:t xml:space="preserve">Código </w:t>
      </w:r>
      <w:r w:rsidRPr="00351298">
        <w:rPr>
          <w:rFonts w:ascii="Verdana" w:hAnsi="Verdana"/>
          <w:sz w:val="20"/>
          <w:szCs w:val="20"/>
        </w:rPr>
        <w:t xml:space="preserve">de Procedimientos Penales para el Estado de México de 2000, norma que fue aplicada en el </w:t>
      </w:r>
      <w:r w:rsidRPr="009D520B">
        <w:rPr>
          <w:rFonts w:ascii="Verdana" w:hAnsi="Verdana"/>
          <w:sz w:val="20"/>
          <w:szCs w:val="20"/>
        </w:rPr>
        <w:t xml:space="preserve">presente caso, no es acorde al contenido de la Convención </w:t>
      </w:r>
      <w:r w:rsidR="00953615">
        <w:rPr>
          <w:rFonts w:ascii="Verdana" w:hAnsi="Verdana"/>
          <w:sz w:val="20"/>
          <w:szCs w:val="20"/>
        </w:rPr>
        <w:t xml:space="preserve">Americana </w:t>
      </w:r>
      <w:r w:rsidRPr="009D520B">
        <w:rPr>
          <w:rFonts w:ascii="Verdana" w:hAnsi="Verdana"/>
          <w:sz w:val="20"/>
          <w:szCs w:val="20"/>
        </w:rPr>
        <w:t xml:space="preserve">y que vulnera los derechos a la libertad personal y a la presunción de inocencia y la obligación de adoptar </w:t>
      </w:r>
      <w:r w:rsidRPr="009D520B">
        <w:rPr>
          <w:rFonts w:ascii="Verdana" w:hAnsi="Verdana" w:cs="Verdana"/>
          <w:sz w:val="20"/>
          <w:szCs w:val="20"/>
        </w:rPr>
        <w:t>disposiciones</w:t>
      </w:r>
      <w:r w:rsidRPr="009D520B">
        <w:rPr>
          <w:rFonts w:ascii="Verdana" w:hAnsi="Verdana"/>
          <w:sz w:val="20"/>
          <w:szCs w:val="20"/>
        </w:rPr>
        <w:t xml:space="preserve"> de derecho interno (artículos 7, 8.2 y 2). Del mismo modo, llegaron a conclusiones similares con respecto a la figura de la prisión preventiva que fue aplicada en el presente caso. De acuerdo con lo anterior, corresponde por tanto examinar esas </w:t>
      </w:r>
      <w:r w:rsidR="00953615">
        <w:rPr>
          <w:rFonts w:ascii="Verdana" w:hAnsi="Verdana"/>
          <w:sz w:val="20"/>
          <w:szCs w:val="20"/>
        </w:rPr>
        <w:t>normas</w:t>
      </w:r>
      <w:r w:rsidRPr="009D520B">
        <w:rPr>
          <w:rFonts w:ascii="Verdana" w:hAnsi="Verdana"/>
          <w:sz w:val="20"/>
          <w:szCs w:val="20"/>
        </w:rPr>
        <w:t>, y determinar si las mismas resultan contrari</w:t>
      </w:r>
      <w:r w:rsidR="004C5A3A">
        <w:rPr>
          <w:rFonts w:ascii="Verdana" w:hAnsi="Verdana"/>
          <w:sz w:val="20"/>
          <w:szCs w:val="20"/>
        </w:rPr>
        <w:t>a</w:t>
      </w:r>
      <w:r w:rsidRPr="009D520B">
        <w:rPr>
          <w:rFonts w:ascii="Verdana" w:hAnsi="Verdana"/>
          <w:sz w:val="20"/>
          <w:szCs w:val="20"/>
        </w:rPr>
        <w:t>s al derecho a la libertad personal y a la presunción de inocencia</w:t>
      </w:r>
      <w:r w:rsidR="00021DFA" w:rsidRPr="009D520B">
        <w:rPr>
          <w:rFonts w:ascii="Verdana" w:hAnsi="Verdana"/>
          <w:sz w:val="20"/>
          <w:szCs w:val="20"/>
        </w:rPr>
        <w:t xml:space="preserve"> a la luz de lo establecido en la Convención Americana</w:t>
      </w:r>
      <w:r w:rsidRPr="009D520B">
        <w:rPr>
          <w:rFonts w:ascii="Verdana" w:hAnsi="Verdana"/>
          <w:sz w:val="20"/>
          <w:szCs w:val="20"/>
        </w:rPr>
        <w:t>.</w:t>
      </w:r>
    </w:p>
    <w:p w14:paraId="580B436B" w14:textId="589E3D6D" w:rsidR="00574250" w:rsidRPr="009D520B" w:rsidRDefault="00574250" w:rsidP="00574250">
      <w:pPr>
        <w:numPr>
          <w:ilvl w:val="0"/>
          <w:numId w:val="2"/>
        </w:numPr>
        <w:spacing w:before="120" w:after="120"/>
        <w:ind w:left="0" w:firstLine="0"/>
        <w:jc w:val="both"/>
        <w:rPr>
          <w:rFonts w:ascii="Verdana" w:hAnsi="Verdana"/>
          <w:sz w:val="20"/>
          <w:szCs w:val="20"/>
        </w:rPr>
      </w:pPr>
      <w:r w:rsidRPr="009D520B">
        <w:rPr>
          <w:rFonts w:ascii="Verdana" w:hAnsi="Verdana"/>
          <w:sz w:val="20"/>
          <w:szCs w:val="20"/>
          <w:lang w:val="es-CO"/>
        </w:rPr>
        <w:t xml:space="preserve">Para llevar a cabo </w:t>
      </w:r>
      <w:r w:rsidR="00021DFA" w:rsidRPr="009D520B">
        <w:rPr>
          <w:rFonts w:ascii="Verdana" w:hAnsi="Verdana"/>
          <w:sz w:val="20"/>
          <w:szCs w:val="20"/>
          <w:lang w:val="es-CO"/>
        </w:rPr>
        <w:t xml:space="preserve">ese </w:t>
      </w:r>
      <w:r w:rsidRPr="009D520B">
        <w:rPr>
          <w:rFonts w:ascii="Verdana" w:hAnsi="Verdana"/>
          <w:sz w:val="20"/>
          <w:szCs w:val="20"/>
          <w:lang w:val="es-CO"/>
        </w:rPr>
        <w:t xml:space="preserve">análisis, la Corte recuerda que el artículo 2 de la Convención </w:t>
      </w:r>
      <w:r w:rsidR="00953615">
        <w:rPr>
          <w:rFonts w:ascii="Verdana" w:hAnsi="Verdana"/>
          <w:sz w:val="20"/>
          <w:szCs w:val="20"/>
          <w:lang w:val="es-CO"/>
        </w:rPr>
        <w:t xml:space="preserve">Americana </w:t>
      </w:r>
      <w:r w:rsidRPr="009D520B">
        <w:rPr>
          <w:rFonts w:ascii="Verdana" w:hAnsi="Verdana"/>
          <w:sz w:val="20"/>
          <w:szCs w:val="20"/>
          <w:lang w:val="es-CO"/>
        </w:rPr>
        <w:t xml:space="preserve">obliga a los </w:t>
      </w:r>
      <w:r w:rsidR="001631DB" w:rsidRPr="009D520B">
        <w:rPr>
          <w:rFonts w:ascii="Verdana" w:hAnsi="Verdana"/>
          <w:sz w:val="20"/>
          <w:szCs w:val="20"/>
          <w:lang w:val="es-CO"/>
        </w:rPr>
        <w:t>Estados Parte</w:t>
      </w:r>
      <w:r w:rsidRPr="009D520B">
        <w:rPr>
          <w:rFonts w:ascii="Verdana" w:hAnsi="Verdana"/>
          <w:sz w:val="20"/>
          <w:szCs w:val="20"/>
          <w:lang w:val="es-CO"/>
        </w:rPr>
        <w:t xml:space="preserve"> a adoptar, con arreglo a sus procedimientos constitucionales y a las disposiciones de la </w:t>
      </w:r>
      <w:r w:rsidRPr="009D520B">
        <w:rPr>
          <w:rFonts w:ascii="Verdana" w:hAnsi="Verdana"/>
          <w:sz w:val="20"/>
          <w:szCs w:val="20"/>
          <w:lang w:val="es-CO" w:eastAsia="es-ES"/>
        </w:rPr>
        <w:t>Convención</w:t>
      </w:r>
      <w:r w:rsidRPr="009D520B">
        <w:rPr>
          <w:rFonts w:ascii="Verdana" w:hAnsi="Verdana"/>
          <w:sz w:val="20"/>
          <w:szCs w:val="20"/>
          <w:lang w:val="es-CO"/>
        </w:rPr>
        <w:t>, las medidas legislativas o de otro carácter que fueren necesarias para hacer efectivos los derechos y libertades protegidos por la</w:t>
      </w:r>
      <w:r w:rsidR="00953615">
        <w:rPr>
          <w:rFonts w:ascii="Verdana" w:hAnsi="Verdana"/>
          <w:sz w:val="20"/>
          <w:szCs w:val="20"/>
          <w:lang w:val="es-CO"/>
        </w:rPr>
        <w:t xml:space="preserve"> misma</w:t>
      </w:r>
      <w:r w:rsidRPr="009D520B">
        <w:rPr>
          <w:rFonts w:ascii="Verdana" w:hAnsi="Verdana"/>
          <w:sz w:val="20"/>
          <w:szCs w:val="20"/>
          <w:lang w:val="es-CO"/>
        </w:rPr>
        <w:t xml:space="preserve"> Convención</w:t>
      </w:r>
      <w:r w:rsidRPr="40DDB40B">
        <w:rPr>
          <w:rFonts w:ascii="Verdana" w:hAnsi="Verdana"/>
          <w:sz w:val="20"/>
          <w:szCs w:val="20"/>
          <w:vertAlign w:val="superscript"/>
          <w:lang w:val="es-ES"/>
        </w:rPr>
        <w:footnoteReference w:id="174"/>
      </w:r>
      <w:r w:rsidRPr="009D520B">
        <w:rPr>
          <w:rFonts w:ascii="Verdana" w:hAnsi="Verdana"/>
          <w:sz w:val="20"/>
          <w:szCs w:val="20"/>
          <w:lang w:val="es-CO"/>
        </w:rPr>
        <w:t xml:space="preserve">. </w:t>
      </w:r>
      <w:r w:rsidRPr="009D520B">
        <w:rPr>
          <w:rFonts w:ascii="Verdana" w:hAnsi="Verdana"/>
          <w:sz w:val="20"/>
          <w:szCs w:val="20"/>
        </w:rPr>
        <w:t>Dicho deber implica la adopción de medidas en dos vertientes. Por una parte, la supresión de las normas y prácticas de cualquier naturaleza que entrañen violación a las garantías previstas en la Convención</w:t>
      </w:r>
      <w:r w:rsidRPr="40DDB40B">
        <w:rPr>
          <w:rStyle w:val="Refdenotaalpie"/>
          <w:rFonts w:ascii="Verdana" w:hAnsi="Verdana"/>
          <w:sz w:val="20"/>
        </w:rPr>
        <w:footnoteReference w:id="175"/>
      </w:r>
      <w:r w:rsidRPr="009D520B">
        <w:rPr>
          <w:rFonts w:ascii="Verdana" w:hAnsi="Verdana"/>
          <w:sz w:val="20"/>
          <w:szCs w:val="20"/>
        </w:rPr>
        <w:t>, ya sea porque desconozcan esos derechos o libertades u obstaculicen su ejercicio</w:t>
      </w:r>
      <w:r w:rsidRPr="40DDB40B">
        <w:rPr>
          <w:rStyle w:val="Refdenotaalpie"/>
          <w:rFonts w:ascii="Verdana" w:hAnsi="Verdana"/>
          <w:sz w:val="20"/>
        </w:rPr>
        <w:footnoteReference w:id="176"/>
      </w:r>
      <w:r w:rsidRPr="009D520B">
        <w:rPr>
          <w:rFonts w:ascii="Verdana" w:hAnsi="Verdana"/>
          <w:sz w:val="20"/>
          <w:szCs w:val="20"/>
        </w:rPr>
        <w:t>. Por otra</w:t>
      </w:r>
      <w:r w:rsidR="3BF92891" w:rsidRPr="3BF92891">
        <w:rPr>
          <w:rFonts w:ascii="Verdana" w:hAnsi="Verdana"/>
          <w:sz w:val="20"/>
          <w:szCs w:val="20"/>
        </w:rPr>
        <w:t xml:space="preserve"> parte</w:t>
      </w:r>
      <w:r w:rsidRPr="009D520B">
        <w:rPr>
          <w:rFonts w:ascii="Verdana" w:hAnsi="Verdana"/>
          <w:sz w:val="20"/>
          <w:szCs w:val="20"/>
        </w:rPr>
        <w:t>, la expedición de normas y el desarrollo de prácticas conducentes a la efectiva observancia de dichas garantías</w:t>
      </w:r>
      <w:r w:rsidRPr="40DDB40B">
        <w:rPr>
          <w:rStyle w:val="Refdenotaalpie"/>
          <w:rFonts w:ascii="Verdana" w:hAnsi="Verdana"/>
          <w:sz w:val="20"/>
        </w:rPr>
        <w:footnoteReference w:id="177"/>
      </w:r>
      <w:r w:rsidRPr="009D520B">
        <w:rPr>
          <w:rFonts w:ascii="Verdana" w:hAnsi="Verdana"/>
          <w:sz w:val="20"/>
          <w:szCs w:val="20"/>
        </w:rPr>
        <w:t xml:space="preserve">. </w:t>
      </w:r>
    </w:p>
    <w:p w14:paraId="514B3475" w14:textId="33A87A97" w:rsidR="00574250" w:rsidRPr="009D520B" w:rsidRDefault="00574250" w:rsidP="00574250">
      <w:pPr>
        <w:numPr>
          <w:ilvl w:val="0"/>
          <w:numId w:val="2"/>
        </w:numPr>
        <w:spacing w:before="120" w:after="120"/>
        <w:ind w:left="0" w:firstLine="0"/>
        <w:jc w:val="both"/>
        <w:rPr>
          <w:lang w:val="es-CO" w:eastAsia="es-ES"/>
        </w:rPr>
      </w:pPr>
      <w:r w:rsidRPr="009D520B">
        <w:rPr>
          <w:rFonts w:ascii="Verdana" w:hAnsi="Verdana"/>
          <w:sz w:val="20"/>
          <w:szCs w:val="20"/>
        </w:rPr>
        <w:t xml:space="preserve">Como este Tribunal ha señalado en otras oportunidades, las disposiciones de derecho interno que se adopten para tales fines han de ser efectivas, lo que significa que el Estado tiene la obligación de consagrar y adoptar en su ordenamiento jurídico interno todas las medidas necesarias </w:t>
      </w:r>
      <w:r w:rsidRPr="009D520B">
        <w:rPr>
          <w:rFonts w:ascii="Verdana" w:hAnsi="Verdana"/>
          <w:sz w:val="20"/>
          <w:szCs w:val="20"/>
          <w:lang w:val="es-CO"/>
        </w:rPr>
        <w:t>para</w:t>
      </w:r>
      <w:r w:rsidRPr="009D520B">
        <w:rPr>
          <w:rFonts w:ascii="Verdana" w:hAnsi="Verdana"/>
          <w:sz w:val="20"/>
          <w:szCs w:val="20"/>
        </w:rPr>
        <w:t xml:space="preserve"> que lo establecido en la Convención sea realmente cumplido y puesto en </w:t>
      </w:r>
      <w:r w:rsidRPr="009D520B">
        <w:rPr>
          <w:rFonts w:ascii="Verdana" w:hAnsi="Verdana"/>
          <w:sz w:val="20"/>
          <w:szCs w:val="20"/>
        </w:rPr>
        <w:lastRenderedPageBreak/>
        <w:t>práctica</w:t>
      </w:r>
      <w:r w:rsidRPr="40DDB40B">
        <w:rPr>
          <w:rStyle w:val="Refdenotaalpie"/>
          <w:rFonts w:ascii="Verdana" w:hAnsi="Verdana"/>
          <w:sz w:val="20"/>
        </w:rPr>
        <w:footnoteReference w:id="178"/>
      </w:r>
      <w:r w:rsidR="00953615" w:rsidRPr="00D04822">
        <w:rPr>
          <w:rFonts w:ascii="Verdana" w:hAnsi="Verdana"/>
          <w:sz w:val="20"/>
        </w:rPr>
        <w:t>.</w:t>
      </w:r>
      <w:r w:rsidRPr="00D04822">
        <w:rPr>
          <w:rFonts w:ascii="Verdana" w:hAnsi="Verdana"/>
          <w:sz w:val="20"/>
          <w:szCs w:val="20"/>
        </w:rPr>
        <w:t xml:space="preserve"> </w:t>
      </w:r>
      <w:r w:rsidRPr="009D520B">
        <w:rPr>
          <w:rFonts w:ascii="Verdana" w:hAnsi="Verdana"/>
          <w:sz w:val="20"/>
          <w:szCs w:val="20"/>
          <w:lang w:eastAsia="es-ES"/>
        </w:rPr>
        <w:t>En ese sentido, est</w:t>
      </w:r>
      <w:r w:rsidR="004C5A3A">
        <w:rPr>
          <w:rFonts w:ascii="Verdana" w:hAnsi="Verdana"/>
          <w:sz w:val="20"/>
          <w:szCs w:val="20"/>
          <w:lang w:eastAsia="es-ES"/>
        </w:rPr>
        <w:t>a</w:t>
      </w:r>
      <w:r w:rsidRPr="009D520B">
        <w:rPr>
          <w:rFonts w:ascii="Verdana" w:hAnsi="Verdana"/>
          <w:sz w:val="20"/>
          <w:szCs w:val="20"/>
          <w:lang w:eastAsia="es-ES"/>
        </w:rPr>
        <w:t xml:space="preserve"> </w:t>
      </w:r>
      <w:r w:rsidR="004C5A3A">
        <w:rPr>
          <w:rFonts w:ascii="Verdana" w:hAnsi="Verdana"/>
          <w:sz w:val="20"/>
          <w:szCs w:val="20"/>
          <w:lang w:eastAsia="es-ES"/>
        </w:rPr>
        <w:t>Corte</w:t>
      </w:r>
      <w:r w:rsidRPr="009D520B">
        <w:rPr>
          <w:rFonts w:ascii="Verdana" w:hAnsi="Verdana"/>
          <w:sz w:val="20"/>
          <w:szCs w:val="20"/>
          <w:lang w:eastAsia="es-ES"/>
        </w:rPr>
        <w:t xml:space="preserve"> ha indicado que l</w:t>
      </w:r>
      <w:r w:rsidRPr="009D520B">
        <w:rPr>
          <w:rFonts w:ascii="Verdana" w:hAnsi="Verdana"/>
          <w:sz w:val="20"/>
          <w:szCs w:val="20"/>
          <w:lang w:val="es-CO" w:eastAsia="es-ES"/>
        </w:rPr>
        <w:t>os Estados no solo tienen la obligación positiva de adoptar las medidas legislativas necesarias para garantizar el ejercicio de los derechos en ella consagrados, sino que también deben evitar promulgar leyes que impidan el libre ejercicio de estos derechos y, a la vez, evitar que se supriman o modifiquen las leyes que los protegen</w:t>
      </w:r>
      <w:r w:rsidRPr="009D520B">
        <w:rPr>
          <w:rFonts w:ascii="Verdana" w:hAnsi="Verdana"/>
          <w:sz w:val="20"/>
          <w:szCs w:val="20"/>
          <w:vertAlign w:val="superscript"/>
          <w:lang w:val="es-ES"/>
        </w:rPr>
        <w:footnoteReference w:id="179"/>
      </w:r>
      <w:r w:rsidRPr="009D520B">
        <w:rPr>
          <w:rFonts w:ascii="Verdana" w:hAnsi="Verdana"/>
          <w:sz w:val="20"/>
          <w:szCs w:val="20"/>
          <w:lang w:val="es-CO" w:eastAsia="es-ES"/>
        </w:rPr>
        <w:t>.</w:t>
      </w:r>
    </w:p>
    <w:p w14:paraId="68412703" w14:textId="2B1EAB28" w:rsidR="00574250" w:rsidRPr="00351298" w:rsidRDefault="4D38B166" w:rsidP="4D38B166">
      <w:pPr>
        <w:numPr>
          <w:ilvl w:val="0"/>
          <w:numId w:val="2"/>
        </w:numPr>
        <w:spacing w:before="120" w:after="120"/>
        <w:ind w:left="0" w:firstLine="0"/>
        <w:jc w:val="both"/>
        <w:rPr>
          <w:b/>
          <w:bCs/>
          <w:lang w:eastAsia="es-ES"/>
        </w:rPr>
      </w:pPr>
      <w:r w:rsidRPr="4D38B166">
        <w:rPr>
          <w:rFonts w:ascii="Verdana" w:hAnsi="Verdana"/>
          <w:sz w:val="20"/>
          <w:szCs w:val="20"/>
          <w:lang w:val="es-CO" w:eastAsia="es-ES"/>
        </w:rPr>
        <w:t>A continuación, la Corte analizará la compatibilidad de las figuras del arraigo y de la prisión preventiva con la Convención Americana en el siguiente orden: a) la figura del arraigo en el artículo 154 del Código de Procedimientos Penales para el Estado de México de 2000</w:t>
      </w:r>
      <w:r w:rsidR="00953615">
        <w:rPr>
          <w:rFonts w:ascii="Verdana" w:hAnsi="Verdana"/>
          <w:sz w:val="20"/>
          <w:szCs w:val="20"/>
          <w:lang w:val="es-CO" w:eastAsia="es-ES"/>
        </w:rPr>
        <w:t>;</w:t>
      </w:r>
      <w:r w:rsidRPr="4D38B166">
        <w:rPr>
          <w:rFonts w:ascii="Verdana" w:hAnsi="Verdana"/>
          <w:sz w:val="20"/>
          <w:szCs w:val="20"/>
          <w:lang w:val="es-CO" w:eastAsia="es-ES"/>
        </w:rPr>
        <w:t xml:space="preserve"> b) la prisión preventiva en </w:t>
      </w:r>
      <w:r w:rsidR="00953615">
        <w:rPr>
          <w:rFonts w:ascii="Verdana" w:hAnsi="Verdana"/>
          <w:sz w:val="20"/>
          <w:szCs w:val="20"/>
          <w:lang w:val="es-CO" w:eastAsia="es-ES"/>
        </w:rPr>
        <w:t xml:space="preserve">el </w:t>
      </w:r>
      <w:r w:rsidRPr="4D38B166">
        <w:rPr>
          <w:rFonts w:ascii="Verdana" w:hAnsi="Verdana"/>
          <w:sz w:val="20"/>
          <w:szCs w:val="20"/>
          <w:lang w:val="es-CO" w:eastAsia="es-ES"/>
        </w:rPr>
        <w:t>Código de Procedimientos Penales para el Estado de México de 2000 y en el artículo 19 de la Constitución mexicana, y c) la aplicación del arraigo y de la prisión preventiva en el caso concreto.</w:t>
      </w:r>
    </w:p>
    <w:p w14:paraId="64E581BE" w14:textId="7AB826F6" w:rsidR="003F2179" w:rsidRPr="00351298" w:rsidRDefault="001512FD" w:rsidP="00D73463">
      <w:pPr>
        <w:numPr>
          <w:ilvl w:val="0"/>
          <w:numId w:val="29"/>
        </w:numPr>
        <w:spacing w:before="240" w:after="240"/>
        <w:jc w:val="both"/>
        <w:outlineLvl w:val="3"/>
        <w:rPr>
          <w:rFonts w:ascii="Verdana" w:hAnsi="Verdana"/>
          <w:b/>
          <w:iCs/>
          <w:snapToGrid w:val="0"/>
          <w:spacing w:val="-2"/>
          <w:sz w:val="20"/>
          <w:szCs w:val="20"/>
          <w:lang w:eastAsia="es-ES"/>
        </w:rPr>
      </w:pPr>
      <w:r w:rsidRPr="00351298">
        <w:rPr>
          <w:rFonts w:ascii="Verdana" w:hAnsi="Verdana"/>
          <w:i/>
          <w:iCs/>
          <w:sz w:val="20"/>
          <w:szCs w:val="20"/>
        </w:rPr>
        <w:t>L</w:t>
      </w:r>
      <w:r w:rsidR="00CE7DBF" w:rsidRPr="00351298">
        <w:rPr>
          <w:rFonts w:ascii="Verdana" w:hAnsi="Verdana"/>
          <w:i/>
          <w:iCs/>
          <w:snapToGrid w:val="0"/>
          <w:spacing w:val="-2"/>
          <w:sz w:val="20"/>
          <w:szCs w:val="20"/>
          <w:lang w:eastAsia="es-ES"/>
        </w:rPr>
        <w:t>a</w:t>
      </w:r>
      <w:r w:rsidR="003F2179" w:rsidRPr="00351298">
        <w:rPr>
          <w:rFonts w:ascii="Verdana" w:hAnsi="Verdana"/>
          <w:i/>
          <w:iCs/>
          <w:snapToGrid w:val="0"/>
          <w:spacing w:val="-2"/>
          <w:sz w:val="20"/>
          <w:szCs w:val="20"/>
          <w:lang w:eastAsia="es-ES"/>
        </w:rPr>
        <w:t xml:space="preserve"> figura del arraigo </w:t>
      </w:r>
      <w:r w:rsidRPr="00351298">
        <w:rPr>
          <w:rFonts w:ascii="Verdana" w:hAnsi="Verdana"/>
          <w:i/>
          <w:iCs/>
          <w:snapToGrid w:val="0"/>
          <w:spacing w:val="-2"/>
          <w:sz w:val="20"/>
          <w:szCs w:val="20"/>
          <w:lang w:eastAsia="es-ES"/>
        </w:rPr>
        <w:t xml:space="preserve">en el artículo 154 del Código de Procedimientos Penales para el Estado de México de 2000 </w:t>
      </w:r>
    </w:p>
    <w:p w14:paraId="43109B46" w14:textId="2FAC3AED" w:rsidR="005D44C1" w:rsidRPr="00351298" w:rsidRDefault="001512FD" w:rsidP="005D44C1">
      <w:pPr>
        <w:numPr>
          <w:ilvl w:val="0"/>
          <w:numId w:val="2"/>
        </w:numPr>
        <w:spacing w:before="120" w:after="120"/>
        <w:ind w:left="0" w:firstLine="0"/>
        <w:jc w:val="both"/>
        <w:rPr>
          <w:rFonts w:ascii="Verdana" w:hAnsi="Verdana"/>
          <w:sz w:val="20"/>
          <w:szCs w:val="20"/>
        </w:rPr>
      </w:pPr>
      <w:bookmarkStart w:id="97" w:name="_Ref308535770"/>
      <w:r w:rsidRPr="00351298">
        <w:rPr>
          <w:rFonts w:ascii="Verdana" w:hAnsi="Verdana"/>
          <w:sz w:val="20"/>
          <w:szCs w:val="20"/>
        </w:rPr>
        <w:t xml:space="preserve">En lo que respecta </w:t>
      </w:r>
      <w:r w:rsidR="004C5A3A">
        <w:rPr>
          <w:rFonts w:ascii="Verdana" w:hAnsi="Verdana"/>
          <w:sz w:val="20"/>
          <w:szCs w:val="20"/>
        </w:rPr>
        <w:t xml:space="preserve">a </w:t>
      </w:r>
      <w:r w:rsidRPr="00351298">
        <w:rPr>
          <w:rFonts w:ascii="Verdana" w:hAnsi="Verdana"/>
          <w:sz w:val="20"/>
          <w:szCs w:val="20"/>
        </w:rPr>
        <w:t xml:space="preserve">los alegatos relacionados con la figura del arraigo, </w:t>
      </w:r>
      <w:r w:rsidR="00CE7DBF" w:rsidRPr="00351298">
        <w:rPr>
          <w:rFonts w:ascii="Verdana" w:hAnsi="Verdana"/>
          <w:sz w:val="20"/>
          <w:szCs w:val="20"/>
        </w:rPr>
        <w:t xml:space="preserve">esta Corte recuerda que en la Sentencia del caso </w:t>
      </w:r>
      <w:r w:rsidR="00CE7DBF" w:rsidRPr="40DDB40B">
        <w:rPr>
          <w:rFonts w:ascii="Verdana" w:hAnsi="Verdana"/>
          <w:i/>
          <w:iCs/>
          <w:sz w:val="20"/>
          <w:szCs w:val="20"/>
        </w:rPr>
        <w:t>Tzompaxtle Tecpile y otro Vs. México</w:t>
      </w:r>
      <w:r w:rsidR="00CE7DBF" w:rsidRPr="00351298">
        <w:rPr>
          <w:rFonts w:ascii="Verdana" w:hAnsi="Verdana"/>
          <w:sz w:val="20"/>
          <w:szCs w:val="20"/>
        </w:rPr>
        <w:t xml:space="preserve"> indicó </w:t>
      </w:r>
      <w:r w:rsidR="005D44C1" w:rsidRPr="00351298">
        <w:rPr>
          <w:rFonts w:ascii="Verdana" w:hAnsi="Verdana"/>
          <w:sz w:val="20"/>
          <w:szCs w:val="20"/>
        </w:rPr>
        <w:t xml:space="preserve">que, </w:t>
      </w:r>
      <w:r w:rsidR="0085272D">
        <w:rPr>
          <w:rFonts w:ascii="Verdana" w:hAnsi="Verdana"/>
          <w:sz w:val="20"/>
          <w:szCs w:val="20"/>
        </w:rPr>
        <w:t xml:space="preserve">en </w:t>
      </w:r>
      <w:r w:rsidR="005D44C1" w:rsidRPr="00351298">
        <w:rPr>
          <w:rFonts w:ascii="Verdana" w:hAnsi="Verdana"/>
          <w:sz w:val="20"/>
          <w:szCs w:val="20"/>
        </w:rPr>
        <w:t>términos generales, cualquier figura de naturaleza pre-procesal que busque restringir la libertad de una persona para llevar a cabo una investigación sobre delitos que ella presuntamente habría cometido, resulta intrínsecamente contraria al contenido de la Convención Americana y vulnera de forma manifiesta sus derechos a la libertad personal y a la presunción de inocencia</w:t>
      </w:r>
      <w:r w:rsidR="005D44C1" w:rsidRPr="40DDB40B">
        <w:rPr>
          <w:rStyle w:val="Refdenotaalpie"/>
          <w:rFonts w:ascii="Verdana" w:hAnsi="Verdana"/>
          <w:sz w:val="20"/>
        </w:rPr>
        <w:footnoteReference w:id="180"/>
      </w:r>
      <w:r w:rsidR="005D44C1" w:rsidRPr="00351298">
        <w:rPr>
          <w:rFonts w:ascii="Verdana" w:hAnsi="Verdana"/>
          <w:sz w:val="20"/>
          <w:szCs w:val="20"/>
        </w:rPr>
        <w:t xml:space="preserve">. </w:t>
      </w:r>
    </w:p>
    <w:p w14:paraId="3DCB1AAF" w14:textId="182F56B0" w:rsidR="008144A6" w:rsidRPr="004C5A3A" w:rsidRDefault="004C5A3A" w:rsidP="00817812">
      <w:pPr>
        <w:numPr>
          <w:ilvl w:val="0"/>
          <w:numId w:val="2"/>
        </w:numPr>
        <w:spacing w:before="120" w:after="120"/>
        <w:ind w:left="0" w:firstLine="0"/>
        <w:jc w:val="both"/>
        <w:rPr>
          <w:rFonts w:ascii="Verdana" w:hAnsi="Verdana"/>
          <w:b/>
          <w:bCs/>
          <w:color w:val="FF0000"/>
          <w:sz w:val="20"/>
          <w:szCs w:val="20"/>
        </w:rPr>
      </w:pPr>
      <w:r w:rsidRPr="004C5A3A">
        <w:rPr>
          <w:rFonts w:ascii="Verdana" w:hAnsi="Verdana"/>
          <w:sz w:val="20"/>
          <w:szCs w:val="20"/>
        </w:rPr>
        <w:t>En cuanto a esos alegatos, la Corte advierte que el Estado indicó, durante la audiencia pública del presente caso, que la figura del arraigo ha dejado de existir en todos los Estados y que, por tanto, la codificación procesal no contempla esa figura a nivel estadual</w:t>
      </w:r>
      <w:r w:rsidR="00817812" w:rsidRPr="004C5A3A">
        <w:rPr>
          <w:rStyle w:val="Refdenotaalpie"/>
          <w:rFonts w:ascii="Verdana" w:hAnsi="Verdana"/>
          <w:sz w:val="20"/>
        </w:rPr>
        <w:footnoteReference w:id="181"/>
      </w:r>
      <w:r w:rsidR="00AC5CCA" w:rsidRPr="004C5A3A">
        <w:rPr>
          <w:rFonts w:ascii="Verdana" w:hAnsi="Verdana"/>
          <w:sz w:val="20"/>
          <w:szCs w:val="20"/>
        </w:rPr>
        <w:t>. Acorde a lo anterior,</w:t>
      </w:r>
      <w:r w:rsidR="003E77F3" w:rsidRPr="004C5A3A">
        <w:rPr>
          <w:rFonts w:ascii="Verdana" w:hAnsi="Verdana"/>
          <w:sz w:val="20"/>
          <w:szCs w:val="20"/>
        </w:rPr>
        <w:t xml:space="preserve"> </w:t>
      </w:r>
      <w:r w:rsidR="00953615" w:rsidRPr="004C5A3A">
        <w:rPr>
          <w:rFonts w:ascii="Verdana" w:hAnsi="Verdana"/>
          <w:sz w:val="20"/>
          <w:szCs w:val="20"/>
        </w:rPr>
        <w:t xml:space="preserve">afirmó que </w:t>
      </w:r>
      <w:r w:rsidR="003E77F3" w:rsidRPr="004C5A3A">
        <w:rPr>
          <w:rFonts w:ascii="Verdana" w:hAnsi="Verdana"/>
          <w:sz w:val="20"/>
          <w:szCs w:val="20"/>
        </w:rPr>
        <w:t>ningún Estado impone una medida cautelar sin que exista una contradicción entre las partes,</w:t>
      </w:r>
      <w:r w:rsidR="00F857E5" w:rsidRPr="004C5A3A">
        <w:rPr>
          <w:rFonts w:ascii="Verdana" w:hAnsi="Verdana"/>
          <w:sz w:val="20"/>
          <w:szCs w:val="20"/>
        </w:rPr>
        <w:t xml:space="preserve"> </w:t>
      </w:r>
      <w:r w:rsidR="00083E3B" w:rsidRPr="004C5A3A">
        <w:rPr>
          <w:rFonts w:ascii="Verdana" w:hAnsi="Verdana"/>
          <w:sz w:val="20"/>
          <w:szCs w:val="20"/>
        </w:rPr>
        <w:t>al ser</w:t>
      </w:r>
      <w:r w:rsidR="005E0A45" w:rsidRPr="004C5A3A">
        <w:rPr>
          <w:rFonts w:ascii="Verdana" w:hAnsi="Verdana"/>
          <w:sz w:val="20"/>
          <w:szCs w:val="20"/>
        </w:rPr>
        <w:t xml:space="preserve"> el arraigo </w:t>
      </w:r>
      <w:r w:rsidR="00E658CA" w:rsidRPr="004C5A3A">
        <w:rPr>
          <w:rFonts w:ascii="Verdana" w:hAnsi="Verdana"/>
          <w:sz w:val="20"/>
          <w:szCs w:val="20"/>
        </w:rPr>
        <w:t>una medida</w:t>
      </w:r>
      <w:r w:rsidR="003E77F3" w:rsidRPr="004C5A3A">
        <w:rPr>
          <w:rFonts w:ascii="Verdana" w:hAnsi="Verdana"/>
          <w:sz w:val="20"/>
          <w:szCs w:val="20"/>
        </w:rPr>
        <w:t xml:space="preserve"> excepcional para la delincuencia organizada a nivel federal</w:t>
      </w:r>
      <w:r w:rsidR="001D301E" w:rsidRPr="004C5A3A">
        <w:rPr>
          <w:rFonts w:ascii="Verdana" w:hAnsi="Verdana"/>
          <w:sz w:val="20"/>
          <w:szCs w:val="20"/>
        </w:rPr>
        <w:t>, lo cual se encuentra establecido en el artículo 16 de la Constitución</w:t>
      </w:r>
      <w:r w:rsidR="003E77F3" w:rsidRPr="004C5A3A">
        <w:rPr>
          <w:rStyle w:val="Refdenotaalpie"/>
          <w:rFonts w:ascii="Verdana" w:hAnsi="Verdana"/>
          <w:sz w:val="20"/>
        </w:rPr>
        <w:footnoteReference w:id="182"/>
      </w:r>
      <w:r w:rsidR="001D301E" w:rsidRPr="004C5A3A">
        <w:rPr>
          <w:rFonts w:ascii="Verdana" w:hAnsi="Verdana"/>
          <w:sz w:val="20"/>
          <w:szCs w:val="20"/>
        </w:rPr>
        <w:t xml:space="preserve">. </w:t>
      </w:r>
      <w:r w:rsidRPr="004C5A3A">
        <w:rPr>
          <w:rFonts w:ascii="Verdana" w:hAnsi="Verdana"/>
          <w:sz w:val="20"/>
          <w:szCs w:val="20"/>
        </w:rPr>
        <w:t>Del mismo modo, en cuanto al alegato sobre falta de adecuación del marco jurídico, el Estado se refirió a las sanciones legislativas, ejecutivas y judiciales para reformar y adoptar medidas legales que sean necesarias para evitar que hechos similares vuelvan a ocurrir en el futuro. De manera específica destacó que, si los mismos hechos del presente caso ocurrieran el día de hoy, la medida de arraigo impuesta a las presuntas víctimas no sería procedente, y que la ley de manera paulatina se ha venido reformando, “permeando los derechos fundamentales”, como lo serían el derecho a la libertad</w:t>
      </w:r>
      <w:r w:rsidR="00817812" w:rsidRPr="004C5A3A">
        <w:rPr>
          <w:rStyle w:val="Refdenotaalpie"/>
          <w:rFonts w:ascii="Verdana" w:hAnsi="Verdana"/>
          <w:sz w:val="20"/>
        </w:rPr>
        <w:footnoteReference w:id="183"/>
      </w:r>
      <w:r w:rsidR="00F00ADC" w:rsidRPr="004C5A3A">
        <w:rPr>
          <w:rFonts w:ascii="Verdana" w:hAnsi="Verdana"/>
          <w:sz w:val="20"/>
          <w:szCs w:val="20"/>
        </w:rPr>
        <w:t xml:space="preserve">. </w:t>
      </w:r>
      <w:r w:rsidRPr="004C5A3A">
        <w:rPr>
          <w:rFonts w:ascii="Verdana" w:hAnsi="Verdana"/>
          <w:sz w:val="20"/>
          <w:szCs w:val="20"/>
        </w:rPr>
        <w:t xml:space="preserve">Agregó que existe actualmente un proceso para “transitar a una convencionalidad, a </w:t>
      </w:r>
      <w:r w:rsidRPr="004C5A3A">
        <w:rPr>
          <w:rFonts w:ascii="Verdana" w:hAnsi="Verdana"/>
          <w:sz w:val="20"/>
          <w:szCs w:val="20"/>
        </w:rPr>
        <w:lastRenderedPageBreak/>
        <w:t>un mayor ajuste para llegar al punto en que no solo las figuras del arraigo y de la prisión preventiva oficiosa y justificada, si no cualquier otra restricción a un derecho humano, por ejemplo la libertad de movilidad, que está restringida, a limitaciones administrativas o judiciales, que estas se hagan de manera legal, proporcional, necesaria y de manera excepcional”. Respondiendo a una pregunta específica, en la audiencia el Estado reconoció no obstante, que la figura del arraigo sigue aplicándose aún a nivel federal hoy en los casos de crimen organizado</w:t>
      </w:r>
      <w:r w:rsidR="00C1165C" w:rsidRPr="004C5A3A">
        <w:rPr>
          <w:rStyle w:val="Refdenotaalpie"/>
          <w:rFonts w:ascii="Verdana" w:hAnsi="Verdana"/>
          <w:sz w:val="20"/>
        </w:rPr>
        <w:footnoteReference w:id="184"/>
      </w:r>
      <w:r w:rsidR="00EC6CFC" w:rsidRPr="004C5A3A">
        <w:rPr>
          <w:rFonts w:ascii="Verdana" w:hAnsi="Verdana"/>
          <w:sz w:val="20"/>
          <w:szCs w:val="20"/>
        </w:rPr>
        <w:t xml:space="preserve">. </w:t>
      </w:r>
    </w:p>
    <w:p w14:paraId="01566ACB" w14:textId="19F6CED6" w:rsidR="005D44C1" w:rsidRPr="00351298" w:rsidRDefault="00474D04" w:rsidP="00CE7DBF">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sidRPr="00351298">
        <w:rPr>
          <w:rFonts w:ascii="Verdana" w:eastAsia="Calibri" w:hAnsi="Verdana" w:cs="Arial"/>
          <w:bCs/>
          <w:i w:val="0"/>
          <w:iCs/>
          <w:sz w:val="20"/>
          <w:szCs w:val="20"/>
          <w:lang w:eastAsia="es-CR"/>
        </w:rPr>
        <w:t xml:space="preserve">En el presente caso, fue aplicada la figura del arraigo contenida en una norma distinta a las que fueron analizadas por la Corte en </w:t>
      </w:r>
      <w:r w:rsidR="00890F4D">
        <w:rPr>
          <w:rFonts w:ascii="Verdana" w:eastAsia="Calibri" w:hAnsi="Verdana" w:cs="Arial"/>
          <w:bCs/>
          <w:i w:val="0"/>
          <w:iCs/>
          <w:sz w:val="20"/>
          <w:szCs w:val="20"/>
          <w:lang w:eastAsia="es-CR"/>
        </w:rPr>
        <w:t xml:space="preserve">el referido caso </w:t>
      </w:r>
      <w:r w:rsidR="00890F4D" w:rsidRPr="00890F4D">
        <w:rPr>
          <w:rFonts w:ascii="Verdana" w:eastAsia="Calibri" w:hAnsi="Verdana" w:cs="Arial"/>
          <w:bCs/>
          <w:sz w:val="20"/>
          <w:szCs w:val="20"/>
          <w:lang w:eastAsia="es-CR"/>
        </w:rPr>
        <w:t>Tzompaxtle Tecpile y otro Vs. México</w:t>
      </w:r>
      <w:r w:rsidRPr="00351298">
        <w:rPr>
          <w:rFonts w:ascii="Verdana" w:eastAsia="Calibri" w:hAnsi="Verdana" w:cs="Arial"/>
          <w:bCs/>
          <w:i w:val="0"/>
          <w:iCs/>
          <w:sz w:val="20"/>
          <w:szCs w:val="20"/>
          <w:lang w:eastAsia="es-CR"/>
        </w:rPr>
        <w:t xml:space="preserve">. Según consta en </w:t>
      </w:r>
      <w:r w:rsidR="00B41644" w:rsidRPr="00351298">
        <w:rPr>
          <w:rFonts w:ascii="Verdana" w:eastAsia="Calibri" w:hAnsi="Verdana" w:cs="Arial"/>
          <w:bCs/>
          <w:i w:val="0"/>
          <w:iCs/>
          <w:sz w:val="20"/>
          <w:szCs w:val="20"/>
          <w:lang w:eastAsia="es-CR"/>
        </w:rPr>
        <w:t>las</w:t>
      </w:r>
      <w:r w:rsidRPr="00351298">
        <w:rPr>
          <w:rFonts w:ascii="Verdana" w:eastAsia="Calibri" w:hAnsi="Verdana" w:cs="Arial"/>
          <w:bCs/>
          <w:i w:val="0"/>
          <w:iCs/>
          <w:sz w:val="20"/>
          <w:szCs w:val="20"/>
          <w:lang w:eastAsia="es-CR"/>
        </w:rPr>
        <w:t xml:space="preserve"> decisi</w:t>
      </w:r>
      <w:r w:rsidR="00B41644" w:rsidRPr="00351298">
        <w:rPr>
          <w:rFonts w:ascii="Verdana" w:eastAsia="Calibri" w:hAnsi="Verdana" w:cs="Arial"/>
          <w:bCs/>
          <w:i w:val="0"/>
          <w:iCs/>
          <w:sz w:val="20"/>
          <w:szCs w:val="20"/>
          <w:lang w:eastAsia="es-CR"/>
        </w:rPr>
        <w:t>ones de 25 de febrero de 2002 del Juez Penal de Turno en Tlalnepantla y de 28 de octubre de 2002 del Juez Séptimo Penal de Primera Instancia de Tlalnepantla</w:t>
      </w:r>
      <w:r w:rsidRPr="00351298">
        <w:rPr>
          <w:rFonts w:ascii="Verdana" w:eastAsia="Calibri" w:hAnsi="Verdana" w:cs="Arial"/>
          <w:bCs/>
          <w:i w:val="0"/>
          <w:iCs/>
          <w:sz w:val="20"/>
          <w:szCs w:val="20"/>
          <w:lang w:eastAsia="es-CR"/>
        </w:rPr>
        <w:t xml:space="preserve"> (</w:t>
      </w:r>
      <w:r w:rsidRPr="00351298">
        <w:rPr>
          <w:rFonts w:ascii="Verdana" w:eastAsia="Calibri" w:hAnsi="Verdana" w:cs="Arial"/>
          <w:bCs/>
          <w:sz w:val="20"/>
          <w:szCs w:val="20"/>
          <w:lang w:eastAsia="es-CR"/>
        </w:rPr>
        <w:t>supra</w:t>
      </w:r>
      <w:r w:rsidRPr="00351298">
        <w:rPr>
          <w:rFonts w:ascii="Verdana" w:eastAsia="Calibri" w:hAnsi="Verdana" w:cs="Arial"/>
          <w:bCs/>
          <w:i w:val="0"/>
          <w:iCs/>
          <w:sz w:val="20"/>
          <w:szCs w:val="20"/>
          <w:lang w:eastAsia="es-CR"/>
        </w:rPr>
        <w:t xml:space="preserve"> párr</w:t>
      </w:r>
      <w:r w:rsidR="00953615">
        <w:rPr>
          <w:rFonts w:ascii="Verdana" w:eastAsia="Calibri" w:hAnsi="Verdana" w:cs="Arial"/>
          <w:bCs/>
          <w:i w:val="0"/>
          <w:iCs/>
          <w:sz w:val="20"/>
          <w:szCs w:val="20"/>
          <w:lang w:eastAsia="es-CR"/>
        </w:rPr>
        <w:t>s</w:t>
      </w:r>
      <w:r w:rsidRPr="00351298">
        <w:rPr>
          <w:rFonts w:ascii="Verdana" w:eastAsia="Calibri" w:hAnsi="Verdana" w:cs="Arial"/>
          <w:bCs/>
          <w:i w:val="0"/>
          <w:iCs/>
          <w:sz w:val="20"/>
          <w:szCs w:val="20"/>
          <w:lang w:eastAsia="es-CR"/>
        </w:rPr>
        <w:t xml:space="preserve">. </w:t>
      </w:r>
      <w:r w:rsidR="00953615">
        <w:rPr>
          <w:rFonts w:ascii="Verdana" w:eastAsia="Calibri" w:hAnsi="Verdana" w:cs="Arial"/>
          <w:bCs/>
          <w:i w:val="0"/>
          <w:iCs/>
          <w:sz w:val="20"/>
          <w:szCs w:val="20"/>
          <w:lang w:eastAsia="es-CR"/>
        </w:rPr>
        <w:t>68 y 75</w:t>
      </w:r>
      <w:r w:rsidR="00953615" w:rsidRPr="00351298">
        <w:rPr>
          <w:rFonts w:ascii="Verdana" w:eastAsia="Calibri" w:hAnsi="Verdana" w:cs="Arial"/>
          <w:bCs/>
          <w:i w:val="0"/>
          <w:iCs/>
          <w:sz w:val="20"/>
          <w:szCs w:val="20"/>
          <w:lang w:eastAsia="es-CR"/>
        </w:rPr>
        <w:t xml:space="preserve">), </w:t>
      </w:r>
      <w:r w:rsidRPr="00351298">
        <w:rPr>
          <w:rFonts w:ascii="Verdana" w:eastAsia="Calibri" w:hAnsi="Verdana" w:cs="Arial"/>
          <w:bCs/>
          <w:i w:val="0"/>
          <w:iCs/>
          <w:sz w:val="20"/>
          <w:szCs w:val="20"/>
          <w:lang w:eastAsia="es-CR"/>
        </w:rPr>
        <w:t xml:space="preserve">el arraigo contenido en el artículo 154 del </w:t>
      </w:r>
      <w:r w:rsidR="00F07CDC" w:rsidRPr="00351298">
        <w:rPr>
          <w:rFonts w:ascii="Verdana" w:eastAsia="Calibri" w:hAnsi="Verdana" w:cs="Arial"/>
          <w:bCs/>
          <w:i w:val="0"/>
          <w:iCs/>
          <w:sz w:val="20"/>
          <w:szCs w:val="20"/>
          <w:lang w:eastAsia="es-CR"/>
        </w:rPr>
        <w:t>C</w:t>
      </w:r>
      <w:r w:rsidRPr="00351298">
        <w:rPr>
          <w:rFonts w:ascii="Verdana" w:eastAsia="Calibri" w:hAnsi="Verdana" w:cs="Arial"/>
          <w:bCs/>
          <w:i w:val="0"/>
          <w:iCs/>
          <w:sz w:val="20"/>
          <w:szCs w:val="20"/>
          <w:lang w:eastAsia="es-CR"/>
        </w:rPr>
        <w:t xml:space="preserve">ódigo de Procedimientos Penales para el Estado de México de 2000 es el que fue aplicado en contra de Daniel García Rodríguez y Reyes Alpízar </w:t>
      </w:r>
      <w:r w:rsidR="00646EB3" w:rsidRPr="00351298">
        <w:rPr>
          <w:rFonts w:ascii="Verdana" w:eastAsia="Calibri" w:hAnsi="Verdana" w:cs="Arial"/>
          <w:bCs/>
          <w:i w:val="0"/>
          <w:iCs/>
          <w:sz w:val="20"/>
          <w:szCs w:val="20"/>
          <w:lang w:eastAsia="es-CR"/>
        </w:rPr>
        <w:t>Ortiz</w:t>
      </w:r>
      <w:r w:rsidRPr="00351298">
        <w:rPr>
          <w:rFonts w:ascii="Verdana" w:eastAsia="Calibri" w:hAnsi="Verdana" w:cs="Arial"/>
          <w:bCs/>
          <w:i w:val="0"/>
          <w:iCs/>
          <w:sz w:val="20"/>
          <w:szCs w:val="20"/>
          <w:lang w:eastAsia="es-CR"/>
        </w:rPr>
        <w:t>.</w:t>
      </w:r>
    </w:p>
    <w:p w14:paraId="79CA5DA8" w14:textId="2A5E42F7" w:rsidR="005D44C1" w:rsidRPr="009D520B" w:rsidRDefault="004C5A3A" w:rsidP="00CE7DBF">
      <w:pPr>
        <w:pStyle w:val="Estilo1"/>
        <w:widowControl w:val="0"/>
        <w:numPr>
          <w:ilvl w:val="0"/>
          <w:numId w:val="2"/>
        </w:numPr>
        <w:tabs>
          <w:tab w:val="left" w:pos="0"/>
          <w:tab w:val="left" w:pos="567"/>
          <w:tab w:val="num" w:pos="1569"/>
          <w:tab w:val="num" w:pos="12305"/>
        </w:tabs>
        <w:adjustRightInd w:val="0"/>
        <w:spacing w:before="120"/>
        <w:ind w:left="0" w:right="-4" w:firstLine="0"/>
        <w:jc w:val="both"/>
        <w:textAlignment w:val="baseline"/>
        <w:rPr>
          <w:rFonts w:ascii="Verdana" w:eastAsia="Calibri" w:hAnsi="Verdana" w:cs="Arial"/>
          <w:bCs/>
          <w:i w:val="0"/>
          <w:iCs/>
          <w:sz w:val="20"/>
          <w:szCs w:val="20"/>
          <w:lang w:eastAsia="es-CR"/>
        </w:rPr>
      </w:pPr>
      <w:r>
        <w:rPr>
          <w:rFonts w:ascii="Verdana" w:hAnsi="Verdana"/>
          <w:i w:val="0"/>
          <w:iCs/>
          <w:sz w:val="20"/>
          <w:szCs w:val="20"/>
        </w:rPr>
        <w:t>Al respecto, s</w:t>
      </w:r>
      <w:r w:rsidR="00474D04" w:rsidRPr="009D520B">
        <w:rPr>
          <w:rFonts w:ascii="Verdana" w:hAnsi="Verdana"/>
          <w:i w:val="0"/>
          <w:iCs/>
          <w:sz w:val="20"/>
          <w:szCs w:val="20"/>
        </w:rPr>
        <w:t>e recuerda al respe</w:t>
      </w:r>
      <w:r w:rsidR="0043091C" w:rsidRPr="009D520B">
        <w:rPr>
          <w:rFonts w:ascii="Verdana" w:hAnsi="Verdana"/>
          <w:i w:val="0"/>
          <w:iCs/>
          <w:sz w:val="20"/>
          <w:szCs w:val="20"/>
        </w:rPr>
        <w:t>cto</w:t>
      </w:r>
      <w:r w:rsidR="00474D04" w:rsidRPr="009D520B">
        <w:rPr>
          <w:rFonts w:ascii="Verdana" w:hAnsi="Verdana"/>
          <w:i w:val="0"/>
          <w:iCs/>
          <w:sz w:val="20"/>
          <w:szCs w:val="20"/>
        </w:rPr>
        <w:t xml:space="preserve"> que el contenido de </w:t>
      </w:r>
      <w:r w:rsidR="00A45EF9" w:rsidRPr="009D520B">
        <w:rPr>
          <w:rFonts w:ascii="Verdana" w:hAnsi="Verdana"/>
          <w:i w:val="0"/>
          <w:iCs/>
          <w:sz w:val="20"/>
          <w:szCs w:val="20"/>
        </w:rPr>
        <w:t xml:space="preserve">la </w:t>
      </w:r>
      <w:r w:rsidR="00474D04" w:rsidRPr="009D520B">
        <w:rPr>
          <w:rFonts w:ascii="Verdana" w:hAnsi="Verdana"/>
          <w:i w:val="0"/>
          <w:iCs/>
          <w:sz w:val="20"/>
          <w:szCs w:val="20"/>
        </w:rPr>
        <w:t xml:space="preserve">norma </w:t>
      </w:r>
      <w:r w:rsidR="00A45EF9" w:rsidRPr="009D520B">
        <w:rPr>
          <w:rFonts w:ascii="Verdana" w:hAnsi="Verdana"/>
          <w:i w:val="0"/>
          <w:iCs/>
          <w:sz w:val="20"/>
          <w:szCs w:val="20"/>
        </w:rPr>
        <w:t xml:space="preserve">aplicada en el caso en estudio </w:t>
      </w:r>
      <w:r w:rsidR="00474D04" w:rsidRPr="009D520B">
        <w:rPr>
          <w:rFonts w:ascii="Verdana" w:hAnsi="Verdana"/>
          <w:i w:val="0"/>
          <w:iCs/>
          <w:sz w:val="20"/>
          <w:szCs w:val="20"/>
        </w:rPr>
        <w:t xml:space="preserve">es </w:t>
      </w:r>
      <w:r w:rsidR="00A45EF9" w:rsidRPr="009D520B">
        <w:rPr>
          <w:rFonts w:ascii="Verdana" w:hAnsi="Verdana"/>
          <w:i w:val="0"/>
          <w:iCs/>
          <w:sz w:val="20"/>
          <w:szCs w:val="20"/>
        </w:rPr>
        <w:t>la</w:t>
      </w:r>
      <w:r w:rsidR="00474D04" w:rsidRPr="009D520B">
        <w:rPr>
          <w:rFonts w:ascii="Verdana" w:hAnsi="Verdana"/>
          <w:i w:val="0"/>
          <w:iCs/>
          <w:sz w:val="20"/>
          <w:szCs w:val="20"/>
        </w:rPr>
        <w:t xml:space="preserve"> siguiente:</w:t>
      </w:r>
    </w:p>
    <w:p w14:paraId="2B2BE794" w14:textId="12CFAAD5" w:rsidR="00474D04" w:rsidRPr="00351298" w:rsidRDefault="00474D04" w:rsidP="00D73463">
      <w:pPr>
        <w:pStyle w:val="Prrafodelista"/>
        <w:spacing w:before="120" w:after="120"/>
        <w:ind w:left="567" w:right="561"/>
        <w:contextualSpacing w:val="0"/>
        <w:jc w:val="both"/>
        <w:rPr>
          <w:rFonts w:ascii="Verdana" w:eastAsia="Calibri" w:hAnsi="Verdana" w:cs="Arial"/>
          <w:bCs/>
          <w:sz w:val="18"/>
          <w:szCs w:val="18"/>
          <w:lang w:eastAsia="es-CR"/>
        </w:rPr>
      </w:pPr>
      <w:r w:rsidRPr="00351298">
        <w:rPr>
          <w:rFonts w:ascii="Verdana" w:eastAsia="Calibri" w:hAnsi="Verdana" w:cs="Arial"/>
          <w:bCs/>
          <w:sz w:val="18"/>
          <w:szCs w:val="18"/>
          <w:lang w:eastAsia="es-CR"/>
        </w:rPr>
        <w:t>Cuando con motivo de una averiguación previa el Ministerio Público estime necesario el arraigo del indiciado o la prohibición de abandonar una demarcación geográfica sin autorización de la autoridad judicial, tomando en cuenta las características del hecho imputado y las circunstancias personales de aquél recurrirá al órgano jurisdiccional, fundando y motivando su petición para que éste resuelva de inmediato sobre la procedencia del arraigo o prohibición, con vigilancia de la autoridad que ejercerán el Ministerio Público y sus auxiliares. El arraigo o prohibición se notificarán inmediatamente al indiciado y se prolongarán por el tiempo estrictamente indispensable para la debida integración de la averiguación de que se trate, pero no excederá de treinta días, prorrogables por otros treinta días, a solicitud del Ministerio Público.</w:t>
      </w:r>
    </w:p>
    <w:p w14:paraId="13A405F5" w14:textId="12A679DA" w:rsidR="00474D04" w:rsidRPr="00351298" w:rsidRDefault="00474D04" w:rsidP="00D73463">
      <w:pPr>
        <w:pStyle w:val="Prrafodelista"/>
        <w:spacing w:before="120" w:after="120"/>
        <w:ind w:left="567" w:right="561"/>
        <w:contextualSpacing w:val="0"/>
        <w:jc w:val="both"/>
        <w:rPr>
          <w:rFonts w:ascii="Verdana" w:eastAsia="Calibri" w:hAnsi="Verdana" w:cs="Arial"/>
          <w:bCs/>
          <w:i/>
          <w:iCs/>
          <w:sz w:val="20"/>
          <w:szCs w:val="20"/>
          <w:lang w:eastAsia="es-CR"/>
        </w:rPr>
      </w:pPr>
      <w:r w:rsidRPr="00351298">
        <w:rPr>
          <w:rFonts w:ascii="Verdana" w:eastAsia="Calibri" w:hAnsi="Verdana" w:cs="Arial"/>
          <w:bCs/>
          <w:sz w:val="18"/>
          <w:szCs w:val="18"/>
          <w:lang w:eastAsia="es-CR"/>
        </w:rPr>
        <w:t>El juez resolverá, escuchando al Ministerio Público y al afectado, sobre la subsistencia o el levantamiento del arraigo o prohibición.</w:t>
      </w:r>
    </w:p>
    <w:p w14:paraId="4E5C66B1" w14:textId="4BDFCB0E" w:rsidR="00474D04" w:rsidRPr="00ED733D" w:rsidRDefault="004C5A3A" w:rsidP="00D73463">
      <w:pPr>
        <w:numPr>
          <w:ilvl w:val="0"/>
          <w:numId w:val="2"/>
        </w:numPr>
        <w:spacing w:before="120" w:after="120"/>
        <w:ind w:left="0" w:firstLine="0"/>
        <w:jc w:val="both"/>
        <w:rPr>
          <w:rFonts w:ascii="Verdana" w:hAnsi="Verdana"/>
          <w:i/>
          <w:iCs/>
          <w:sz w:val="20"/>
          <w:szCs w:val="20"/>
        </w:rPr>
      </w:pPr>
      <w:r w:rsidRPr="00ED733D">
        <w:rPr>
          <w:rFonts w:ascii="Verdana" w:hAnsi="Verdana"/>
          <w:sz w:val="20"/>
          <w:szCs w:val="20"/>
        </w:rPr>
        <w:t>El artículo 154 del Código de Procedimientos Penales para el Estado de México de 2000 presentaba varias de las problemáticas que fueron subrayadas por este Tribunal en relación con el artículo 12 de la Ley Federal contra la Delincuencia de 1996</w:t>
      </w:r>
      <w:r>
        <w:rPr>
          <w:rFonts w:ascii="Verdana" w:hAnsi="Verdana"/>
          <w:sz w:val="20"/>
          <w:szCs w:val="20"/>
        </w:rPr>
        <w:t>,</w:t>
      </w:r>
      <w:r w:rsidRPr="00ED733D">
        <w:rPr>
          <w:rFonts w:ascii="Verdana" w:hAnsi="Verdana"/>
          <w:sz w:val="20"/>
          <w:szCs w:val="20"/>
        </w:rPr>
        <w:t xml:space="preserve"> así como </w:t>
      </w:r>
      <w:r>
        <w:rPr>
          <w:rFonts w:ascii="Verdana" w:hAnsi="Verdana"/>
          <w:sz w:val="20"/>
          <w:szCs w:val="20"/>
        </w:rPr>
        <w:t>co</w:t>
      </w:r>
      <w:r w:rsidRPr="00ED733D">
        <w:rPr>
          <w:rFonts w:ascii="Verdana" w:hAnsi="Verdana"/>
          <w:sz w:val="20"/>
          <w:szCs w:val="20"/>
        </w:rPr>
        <w:t>n el artículo 133 bis al Código Federal Procesal Penal de 1999</w:t>
      </w:r>
      <w:r>
        <w:rPr>
          <w:rFonts w:ascii="Verdana" w:hAnsi="Verdana"/>
          <w:sz w:val="20"/>
          <w:szCs w:val="20"/>
        </w:rPr>
        <w:t>,</w:t>
      </w:r>
      <w:r w:rsidRPr="00ED733D">
        <w:rPr>
          <w:rFonts w:ascii="Verdana" w:hAnsi="Verdana"/>
          <w:sz w:val="20"/>
          <w:szCs w:val="20"/>
        </w:rPr>
        <w:t xml:space="preserve"> </w:t>
      </w:r>
      <w:r>
        <w:rPr>
          <w:rFonts w:ascii="Verdana" w:hAnsi="Verdana"/>
          <w:sz w:val="20"/>
          <w:szCs w:val="20"/>
        </w:rPr>
        <w:t xml:space="preserve">y </w:t>
      </w:r>
      <w:r w:rsidRPr="00ED733D">
        <w:rPr>
          <w:rFonts w:ascii="Verdana" w:hAnsi="Verdana"/>
          <w:sz w:val="20"/>
          <w:szCs w:val="20"/>
        </w:rPr>
        <w:t xml:space="preserve">que fueran analizadas en el </w:t>
      </w:r>
      <w:r w:rsidRPr="00D04822">
        <w:rPr>
          <w:rFonts w:ascii="Verdana" w:hAnsi="Verdana"/>
          <w:i/>
          <w:iCs/>
          <w:sz w:val="20"/>
          <w:szCs w:val="20"/>
        </w:rPr>
        <w:t>caso Tzompaxtle Tecpile y otro Vs. México</w:t>
      </w:r>
      <w:r w:rsidRPr="00ED733D">
        <w:rPr>
          <w:rFonts w:ascii="Verdana" w:hAnsi="Verdana"/>
          <w:sz w:val="20"/>
          <w:szCs w:val="20"/>
        </w:rPr>
        <w:t>. En particular, el arraigo contemplado en el artículo 154 del Código de Procedimientos Penales para el Estado de México de 2000: a) consistía en una figura de naturaleza pre-procesal que busca</w:t>
      </w:r>
      <w:r>
        <w:rPr>
          <w:rFonts w:ascii="Verdana" w:hAnsi="Verdana"/>
          <w:sz w:val="20"/>
          <w:szCs w:val="20"/>
        </w:rPr>
        <w:t>b</w:t>
      </w:r>
      <w:r w:rsidRPr="00ED733D">
        <w:rPr>
          <w:rFonts w:ascii="Verdana" w:hAnsi="Verdana"/>
          <w:sz w:val="20"/>
          <w:szCs w:val="20"/>
        </w:rPr>
        <w:t>a restringir la libertad de una persona para llevar a cabo una investigación sobre delitos que ella presuntamente habría cometido y</w:t>
      </w:r>
      <w:r>
        <w:rPr>
          <w:rFonts w:ascii="Verdana" w:hAnsi="Verdana"/>
          <w:sz w:val="20"/>
          <w:szCs w:val="20"/>
        </w:rPr>
        <w:t>,</w:t>
      </w:r>
      <w:r w:rsidRPr="00ED733D">
        <w:rPr>
          <w:rFonts w:ascii="Verdana" w:hAnsi="Verdana"/>
          <w:sz w:val="20"/>
          <w:szCs w:val="20"/>
        </w:rPr>
        <w:t xml:space="preserve"> en ese sentido</w:t>
      </w:r>
      <w:r>
        <w:rPr>
          <w:rFonts w:ascii="Verdana" w:hAnsi="Verdana"/>
          <w:sz w:val="20"/>
          <w:szCs w:val="20"/>
        </w:rPr>
        <w:t>,</w:t>
      </w:r>
      <w:r w:rsidRPr="00ED733D">
        <w:rPr>
          <w:rFonts w:ascii="Verdana" w:hAnsi="Verdana"/>
          <w:sz w:val="20"/>
          <w:szCs w:val="20"/>
        </w:rPr>
        <w:t xml:space="preserve"> era intrínsecamente contraria al contenido de la Convención Americana y vulneraba de forma manifiesta sus derechos a la libertad personal y a la presunción de inocencia; b) no permitía que la persona arraigada fuese oída por una autoridad judicial antes de que se decretase la medida que restringía su libertad personal o su libertad de circulación, y c) el objetivo de la medida restrictiva </w:t>
      </w:r>
      <w:r>
        <w:rPr>
          <w:rFonts w:ascii="Verdana" w:hAnsi="Verdana"/>
          <w:sz w:val="20"/>
          <w:szCs w:val="20"/>
        </w:rPr>
        <w:t>de</w:t>
      </w:r>
      <w:r w:rsidRPr="00ED733D">
        <w:rPr>
          <w:rFonts w:ascii="Verdana" w:hAnsi="Verdana"/>
          <w:sz w:val="20"/>
          <w:szCs w:val="20"/>
        </w:rPr>
        <w:t xml:space="preserve"> la libertad no resultaba compatible con las finalidades legítimas para la restricción a la libertad personal puesto que consistían esencialmente en fines investigativos</w:t>
      </w:r>
      <w:r w:rsidR="008C0D45" w:rsidRPr="00ED733D">
        <w:rPr>
          <w:rFonts w:ascii="Verdana" w:hAnsi="Verdana"/>
          <w:sz w:val="20"/>
          <w:szCs w:val="20"/>
        </w:rPr>
        <w:t xml:space="preserve">. </w:t>
      </w:r>
    </w:p>
    <w:p w14:paraId="30A34FBA" w14:textId="4CDD001F" w:rsidR="00474D04" w:rsidRPr="00351298" w:rsidRDefault="004C5A3A" w:rsidP="00474D04">
      <w:pPr>
        <w:numPr>
          <w:ilvl w:val="0"/>
          <w:numId w:val="2"/>
        </w:numPr>
        <w:spacing w:before="120" w:after="120"/>
        <w:ind w:left="0" w:firstLine="0"/>
        <w:jc w:val="both"/>
        <w:rPr>
          <w:rFonts w:ascii="Verdana" w:hAnsi="Verdana"/>
          <w:b/>
          <w:bCs/>
          <w:color w:val="FF0000"/>
          <w:sz w:val="20"/>
          <w:szCs w:val="20"/>
        </w:rPr>
      </w:pPr>
      <w:r w:rsidRPr="00351298">
        <w:rPr>
          <w:rFonts w:ascii="Verdana" w:hAnsi="Verdana"/>
          <w:sz w:val="20"/>
          <w:szCs w:val="20"/>
        </w:rPr>
        <w:t>Por todos estos motivos, est</w:t>
      </w:r>
      <w:r>
        <w:rPr>
          <w:rFonts w:ascii="Verdana" w:hAnsi="Verdana"/>
          <w:sz w:val="20"/>
          <w:szCs w:val="20"/>
        </w:rPr>
        <w:t>a Corte</w:t>
      </w:r>
      <w:r w:rsidRPr="00351298">
        <w:rPr>
          <w:rFonts w:ascii="Verdana" w:hAnsi="Verdana"/>
          <w:sz w:val="20"/>
          <w:szCs w:val="20"/>
        </w:rPr>
        <w:t xml:space="preserve"> encuentra que el artículo 154 del Código de Procedimientos Penales para el Estado de México de 2000 que se refería a la figura del arraigo, y que fue aplicado en el presente caso (</w:t>
      </w:r>
      <w:r w:rsidRPr="00351298">
        <w:rPr>
          <w:rFonts w:ascii="Verdana" w:hAnsi="Verdana"/>
          <w:i/>
          <w:iCs/>
          <w:sz w:val="20"/>
          <w:szCs w:val="20"/>
        </w:rPr>
        <w:t>supra</w:t>
      </w:r>
      <w:r w:rsidRPr="00351298">
        <w:rPr>
          <w:rFonts w:ascii="Verdana" w:hAnsi="Verdana"/>
          <w:sz w:val="20"/>
          <w:szCs w:val="20"/>
        </w:rPr>
        <w:t xml:space="preserve"> párr. </w:t>
      </w:r>
      <w:r>
        <w:rPr>
          <w:rFonts w:ascii="Verdana" w:hAnsi="Verdana"/>
          <w:sz w:val="20"/>
          <w:szCs w:val="20"/>
        </w:rPr>
        <w:t>148</w:t>
      </w:r>
      <w:r w:rsidRPr="00351298">
        <w:rPr>
          <w:rFonts w:ascii="Verdana" w:hAnsi="Verdana"/>
          <w:sz w:val="20"/>
          <w:szCs w:val="20"/>
        </w:rPr>
        <w:t xml:space="preserve">), contenía cláusulas que, </w:t>
      </w:r>
      <w:r w:rsidRPr="00351298">
        <w:rPr>
          <w:rFonts w:ascii="Verdana" w:hAnsi="Verdana"/>
          <w:i/>
          <w:iCs/>
          <w:sz w:val="20"/>
          <w:szCs w:val="20"/>
        </w:rPr>
        <w:t>per se</w:t>
      </w:r>
      <w:r w:rsidRPr="00351298">
        <w:rPr>
          <w:rFonts w:ascii="Verdana" w:hAnsi="Verdana"/>
          <w:sz w:val="20"/>
          <w:szCs w:val="20"/>
        </w:rPr>
        <w:t xml:space="preserve">, son contrarias a varios derechos establecidos en la Convención Americana, a saber: </w:t>
      </w:r>
      <w:r>
        <w:rPr>
          <w:rFonts w:ascii="Verdana" w:hAnsi="Verdana"/>
          <w:sz w:val="20"/>
          <w:szCs w:val="20"/>
        </w:rPr>
        <w:t>los</w:t>
      </w:r>
      <w:r w:rsidRPr="00351298">
        <w:rPr>
          <w:rFonts w:ascii="Verdana" w:hAnsi="Verdana"/>
          <w:sz w:val="20"/>
          <w:szCs w:val="20"/>
        </w:rPr>
        <w:t xml:space="preserve"> derecho</w:t>
      </w:r>
      <w:r>
        <w:rPr>
          <w:rFonts w:ascii="Verdana" w:hAnsi="Verdana"/>
          <w:sz w:val="20"/>
          <w:szCs w:val="20"/>
        </w:rPr>
        <w:t>s</w:t>
      </w:r>
      <w:r w:rsidRPr="00351298">
        <w:t xml:space="preserve"> </w:t>
      </w:r>
      <w:r w:rsidRPr="00351298">
        <w:rPr>
          <w:rFonts w:ascii="Verdana" w:hAnsi="Verdana"/>
          <w:sz w:val="20"/>
          <w:szCs w:val="20"/>
        </w:rPr>
        <w:t>a no ser privado de la libertad arbitrariamente (art</w:t>
      </w:r>
      <w:r>
        <w:rPr>
          <w:rFonts w:ascii="Verdana" w:hAnsi="Verdana"/>
          <w:sz w:val="20"/>
          <w:szCs w:val="20"/>
        </w:rPr>
        <w:t xml:space="preserve">ículo </w:t>
      </w:r>
      <w:r w:rsidRPr="00351298">
        <w:rPr>
          <w:rFonts w:ascii="Verdana" w:hAnsi="Verdana"/>
          <w:sz w:val="20"/>
          <w:szCs w:val="20"/>
        </w:rPr>
        <w:t>7.3), al control judicial de la privación de la libertad y la razonabilidad del plazo de la prisión preventiva (art</w:t>
      </w:r>
      <w:r>
        <w:rPr>
          <w:rFonts w:ascii="Verdana" w:hAnsi="Verdana"/>
          <w:sz w:val="20"/>
          <w:szCs w:val="20"/>
        </w:rPr>
        <w:t>ículo</w:t>
      </w:r>
      <w:r w:rsidRPr="00351298">
        <w:rPr>
          <w:rFonts w:ascii="Verdana" w:hAnsi="Verdana"/>
          <w:sz w:val="20"/>
          <w:szCs w:val="20"/>
        </w:rPr>
        <w:t xml:space="preserve"> 7.5), a ser oído (art</w:t>
      </w:r>
      <w:r>
        <w:rPr>
          <w:rFonts w:ascii="Verdana" w:hAnsi="Verdana"/>
          <w:sz w:val="20"/>
          <w:szCs w:val="20"/>
        </w:rPr>
        <w:t>ículo</w:t>
      </w:r>
      <w:r w:rsidRPr="00351298">
        <w:rPr>
          <w:rFonts w:ascii="Verdana" w:hAnsi="Verdana"/>
          <w:sz w:val="20"/>
          <w:szCs w:val="20"/>
        </w:rPr>
        <w:t xml:space="preserve"> 8.1) </w:t>
      </w:r>
      <w:r w:rsidRPr="00351298">
        <w:rPr>
          <w:rFonts w:ascii="Verdana" w:hAnsi="Verdana"/>
          <w:sz w:val="20"/>
          <w:szCs w:val="20"/>
        </w:rPr>
        <w:lastRenderedPageBreak/>
        <w:t>y a la presunción de inocencia (art</w:t>
      </w:r>
      <w:r>
        <w:rPr>
          <w:rFonts w:ascii="Verdana" w:hAnsi="Verdana"/>
          <w:sz w:val="20"/>
          <w:szCs w:val="20"/>
        </w:rPr>
        <w:t>ículo</w:t>
      </w:r>
      <w:r w:rsidRPr="00351298">
        <w:rPr>
          <w:rFonts w:ascii="Verdana" w:hAnsi="Verdana"/>
          <w:sz w:val="20"/>
          <w:szCs w:val="20"/>
        </w:rPr>
        <w:t xml:space="preserve"> 8.2). En esa medida, la Corte concluye que el Estado violó </w:t>
      </w:r>
      <w:r>
        <w:rPr>
          <w:rFonts w:ascii="Verdana" w:hAnsi="Verdana"/>
          <w:sz w:val="20"/>
          <w:szCs w:val="20"/>
        </w:rPr>
        <w:t xml:space="preserve">esos derechos, </w:t>
      </w:r>
      <w:r w:rsidRPr="00351298">
        <w:rPr>
          <w:rFonts w:ascii="Verdana" w:hAnsi="Verdana"/>
          <w:sz w:val="20"/>
          <w:szCs w:val="20"/>
        </w:rPr>
        <w:t>en relación con la obligación de adoptar disposiciones de derecho interno establecida en el artículo 2 de dicho tratado, en perjuicio de Daniel García Rodríguez y Reyes Alpízar Ortiz</w:t>
      </w:r>
      <w:r w:rsidR="00474D04" w:rsidRPr="00351298">
        <w:rPr>
          <w:rFonts w:ascii="Verdana" w:hAnsi="Verdana"/>
          <w:sz w:val="20"/>
          <w:szCs w:val="20"/>
        </w:rPr>
        <w:t xml:space="preserve">. </w:t>
      </w:r>
    </w:p>
    <w:bookmarkEnd w:id="97"/>
    <w:p w14:paraId="1323B656" w14:textId="413BEBC3" w:rsidR="00215137" w:rsidRPr="00F54E2B" w:rsidRDefault="001512FD" w:rsidP="00D73463">
      <w:pPr>
        <w:numPr>
          <w:ilvl w:val="0"/>
          <w:numId w:val="29"/>
        </w:numPr>
        <w:spacing w:before="240" w:after="240"/>
        <w:jc w:val="both"/>
        <w:outlineLvl w:val="3"/>
        <w:rPr>
          <w:rFonts w:ascii="Verdana" w:hAnsi="Verdana"/>
          <w:i/>
          <w:sz w:val="20"/>
          <w:szCs w:val="20"/>
        </w:rPr>
      </w:pPr>
      <w:r w:rsidRPr="00F54E2B">
        <w:rPr>
          <w:rFonts w:ascii="Verdana" w:hAnsi="Verdana"/>
          <w:i/>
          <w:sz w:val="20"/>
          <w:szCs w:val="20"/>
        </w:rPr>
        <w:t>La prisión preventiva</w:t>
      </w:r>
      <w:r w:rsidR="00EC6CFC" w:rsidRPr="00F54E2B">
        <w:rPr>
          <w:rFonts w:ascii="Verdana" w:hAnsi="Verdana"/>
          <w:i/>
          <w:sz w:val="20"/>
          <w:szCs w:val="20"/>
        </w:rPr>
        <w:t xml:space="preserve"> en el artículo 19 de la Constitución mexicana y</w:t>
      </w:r>
      <w:r w:rsidRPr="00F54E2B">
        <w:rPr>
          <w:rFonts w:ascii="Verdana" w:hAnsi="Verdana"/>
          <w:i/>
          <w:sz w:val="20"/>
          <w:szCs w:val="20"/>
        </w:rPr>
        <w:t xml:space="preserve"> en</w:t>
      </w:r>
      <w:r w:rsidR="00872A22" w:rsidRPr="00F54E2B">
        <w:rPr>
          <w:rFonts w:ascii="Verdana" w:hAnsi="Verdana"/>
          <w:i/>
          <w:sz w:val="20"/>
          <w:szCs w:val="20"/>
        </w:rPr>
        <w:t xml:space="preserve"> el</w:t>
      </w:r>
      <w:r w:rsidRPr="00F54E2B">
        <w:rPr>
          <w:rFonts w:ascii="Verdana" w:hAnsi="Verdana"/>
          <w:i/>
          <w:sz w:val="20"/>
          <w:szCs w:val="20"/>
        </w:rPr>
        <w:t xml:space="preserve"> Código de Procedimientos Penales para el Estado de México de 2000 </w:t>
      </w:r>
    </w:p>
    <w:p w14:paraId="13FB2007" w14:textId="3E262F3A" w:rsidR="008C0D45" w:rsidRPr="00351298" w:rsidRDefault="00830B66" w:rsidP="00647E17">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Los representantes y la Comisión alegaron que la figura de la prisión preventiva </w:t>
      </w:r>
      <w:r w:rsidR="000020B3" w:rsidRPr="00351298">
        <w:rPr>
          <w:rFonts w:ascii="Verdana" w:hAnsi="Verdana"/>
          <w:sz w:val="20"/>
          <w:szCs w:val="20"/>
        </w:rPr>
        <w:t xml:space="preserve">oficiosa </w:t>
      </w:r>
      <w:r w:rsidRPr="00351298">
        <w:rPr>
          <w:rFonts w:ascii="Verdana" w:hAnsi="Verdana"/>
          <w:sz w:val="20"/>
          <w:szCs w:val="20"/>
        </w:rPr>
        <w:t>que fue aplicada en el caso concreto resulta</w:t>
      </w:r>
      <w:r w:rsidR="00872A22" w:rsidRPr="00351298">
        <w:rPr>
          <w:rFonts w:ascii="Verdana" w:hAnsi="Verdana"/>
          <w:sz w:val="20"/>
          <w:szCs w:val="20"/>
        </w:rPr>
        <w:t>ba</w:t>
      </w:r>
      <w:r w:rsidRPr="00351298">
        <w:rPr>
          <w:rFonts w:ascii="Verdana" w:hAnsi="Verdana"/>
          <w:sz w:val="20"/>
          <w:szCs w:val="20"/>
        </w:rPr>
        <w:t xml:space="preserve"> contraria </w:t>
      </w:r>
      <w:r w:rsidRPr="00351298">
        <w:rPr>
          <w:rFonts w:ascii="Verdana" w:hAnsi="Verdana"/>
          <w:i/>
          <w:iCs/>
          <w:sz w:val="20"/>
          <w:szCs w:val="20"/>
        </w:rPr>
        <w:t>per se</w:t>
      </w:r>
      <w:r w:rsidRPr="00351298">
        <w:rPr>
          <w:rFonts w:ascii="Verdana" w:hAnsi="Verdana"/>
          <w:sz w:val="20"/>
          <w:szCs w:val="20"/>
        </w:rPr>
        <w:t xml:space="preserve"> a la Convención Americana y vulnera</w:t>
      </w:r>
      <w:r w:rsidR="00872A22" w:rsidRPr="00351298">
        <w:rPr>
          <w:rFonts w:ascii="Verdana" w:hAnsi="Verdana"/>
          <w:sz w:val="20"/>
          <w:szCs w:val="20"/>
        </w:rPr>
        <w:t>ba</w:t>
      </w:r>
      <w:r w:rsidRPr="00351298">
        <w:rPr>
          <w:rFonts w:ascii="Verdana" w:hAnsi="Verdana"/>
          <w:sz w:val="20"/>
          <w:szCs w:val="20"/>
        </w:rPr>
        <w:t xml:space="preserve"> los derechos a la libertad personal (artículo 7 de la Convención Americana) y a la presunción de inocencia (artículo 8.2 de la Convención). </w:t>
      </w:r>
    </w:p>
    <w:p w14:paraId="7DE70D79" w14:textId="5FAEF64B" w:rsidR="00830B66" w:rsidRPr="00351298" w:rsidRDefault="00830B66" w:rsidP="00830B66">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A continuación, la Corte analizará esos alegatos en el siguiente orden: a) aspectos generales sobre la prisión preventiva, el derecho a la libertad personal y la presunción de inocencia; b) la </w:t>
      </w:r>
      <w:r w:rsidR="00872A22" w:rsidRPr="00351298">
        <w:rPr>
          <w:rFonts w:ascii="Verdana" w:hAnsi="Verdana"/>
          <w:sz w:val="20"/>
          <w:szCs w:val="20"/>
        </w:rPr>
        <w:t xml:space="preserve">compatibilidad de la figura de la prisión preventiva contenida en el Código de Procedimientos Penales para el Estado de México de 2000 y en el artículo 19 de la Constitución mexicana con la </w:t>
      </w:r>
      <w:r w:rsidR="004A1A67" w:rsidRPr="00351298">
        <w:rPr>
          <w:rFonts w:ascii="Verdana" w:hAnsi="Verdana"/>
          <w:sz w:val="20"/>
          <w:szCs w:val="20"/>
        </w:rPr>
        <w:t xml:space="preserve">Convención </w:t>
      </w:r>
      <w:r w:rsidR="00872A22" w:rsidRPr="00351298">
        <w:rPr>
          <w:rFonts w:ascii="Verdana" w:hAnsi="Verdana"/>
          <w:sz w:val="20"/>
          <w:szCs w:val="20"/>
        </w:rPr>
        <w:t xml:space="preserve">Americana, y c) conclusión. </w:t>
      </w:r>
    </w:p>
    <w:p w14:paraId="7C0C6568" w14:textId="753B4934" w:rsidR="00872A22" w:rsidRPr="00351298" w:rsidRDefault="00872A22" w:rsidP="00D73463">
      <w:pPr>
        <w:pStyle w:val="Prrafodelista"/>
        <w:spacing w:before="240" w:after="240"/>
        <w:ind w:left="1418"/>
        <w:jc w:val="both"/>
        <w:outlineLvl w:val="4"/>
        <w:rPr>
          <w:rFonts w:ascii="Verdana" w:hAnsi="Verdana"/>
          <w:i/>
          <w:sz w:val="20"/>
          <w:szCs w:val="20"/>
          <w:lang w:val="es-ES"/>
        </w:rPr>
      </w:pPr>
      <w:r w:rsidRPr="00351298">
        <w:rPr>
          <w:rFonts w:ascii="Verdana" w:hAnsi="Verdana"/>
          <w:i/>
          <w:sz w:val="20"/>
          <w:szCs w:val="20"/>
        </w:rPr>
        <w:t>i. Aspectos generales sobre la prisión preventiva, el derecho a la libertad personal y la presunción de inocencia</w:t>
      </w:r>
    </w:p>
    <w:p w14:paraId="05D2CC48" w14:textId="572D40A7" w:rsidR="00872A22" w:rsidRPr="009D520B" w:rsidRDefault="1F677F0D" w:rsidP="00872A22">
      <w:pPr>
        <w:numPr>
          <w:ilvl w:val="0"/>
          <w:numId w:val="2"/>
        </w:numPr>
        <w:spacing w:before="120" w:after="120"/>
        <w:ind w:left="0" w:firstLine="0"/>
        <w:jc w:val="both"/>
        <w:rPr>
          <w:rFonts w:ascii="Verdana" w:hAnsi="Verdana"/>
          <w:b/>
          <w:bCs/>
          <w:color w:val="FF0000"/>
          <w:sz w:val="20"/>
          <w:szCs w:val="20"/>
        </w:rPr>
      </w:pPr>
      <w:r w:rsidRPr="1D64B15C">
        <w:rPr>
          <w:rFonts w:ascii="Verdana" w:eastAsia="Cambria" w:hAnsi="Verdana" w:cs="Cambria"/>
          <w:sz w:val="20"/>
          <w:szCs w:val="20"/>
          <w:lang w:val="es-ES"/>
        </w:rPr>
        <w:t xml:space="preserve">De forma preliminar, corresponde recordar que los Estados tienen la obligación de garantizar la seguridad y mantener el orden público dentro de su territorio, y que, </w:t>
      </w:r>
      <w:r w:rsidR="185170D4" w:rsidRPr="1D64B15C">
        <w:rPr>
          <w:rFonts w:ascii="Verdana" w:eastAsia="Cambria" w:hAnsi="Verdana" w:cs="Cambria"/>
          <w:sz w:val="20"/>
          <w:szCs w:val="20"/>
          <w:lang w:val="es-ES"/>
        </w:rPr>
        <w:t>por consiguiente</w:t>
      </w:r>
      <w:r w:rsidRPr="1D64B15C">
        <w:rPr>
          <w:rFonts w:ascii="Verdana" w:eastAsia="Cambria" w:hAnsi="Verdana" w:cs="Cambria"/>
          <w:sz w:val="20"/>
          <w:szCs w:val="20"/>
          <w:lang w:val="es-ES"/>
        </w:rPr>
        <w:t xml:space="preserve">, deben emplear los medios necesarios para luchar contra los fenómenos de delincuencia y criminalidad organizada incluyendo medidas que impliquen restricciones o incluso privaciones a la libertad personal. Sin perjuicio de lo anterior, el poder del Estado no es ilimitado para alcanzar sus fines, independientemente de la gravedad de ciertas acciones y de la culpabilidad de sus presuntos autores. En particular, las autoridades no pueden vulnerar los derechos </w:t>
      </w:r>
      <w:r w:rsidRPr="009D520B">
        <w:rPr>
          <w:rFonts w:ascii="Verdana" w:hAnsi="Verdana"/>
          <w:sz w:val="20"/>
          <w:szCs w:val="20"/>
        </w:rPr>
        <w:t>reconocidos</w:t>
      </w:r>
      <w:r w:rsidRPr="1D64B15C">
        <w:rPr>
          <w:rFonts w:ascii="Verdana" w:eastAsia="Cambria" w:hAnsi="Verdana" w:cs="Cambria"/>
          <w:sz w:val="20"/>
          <w:szCs w:val="20"/>
          <w:lang w:val="es-ES"/>
        </w:rPr>
        <w:t xml:space="preserve"> en la Convención Americana tales como los derechos a la presunción de inocencia, a la libertad personal, al debido proceso y no pueden llevar a cabo detenciones ilegales o arbitrarias, entre otros</w:t>
      </w:r>
      <w:r w:rsidR="00872A22" w:rsidRPr="40DDB40B">
        <w:rPr>
          <w:rStyle w:val="Refdenotaalpie"/>
          <w:rFonts w:ascii="Verdana" w:hAnsi="Verdana"/>
          <w:sz w:val="20"/>
        </w:rPr>
        <w:footnoteReference w:id="185"/>
      </w:r>
      <w:r w:rsidRPr="1D64B15C">
        <w:rPr>
          <w:rFonts w:ascii="Verdana" w:eastAsia="Cambria" w:hAnsi="Verdana" w:cs="Cambria"/>
          <w:sz w:val="20"/>
          <w:szCs w:val="20"/>
          <w:lang w:val="es-ES"/>
        </w:rPr>
        <w:t>.</w:t>
      </w:r>
      <w:r w:rsidR="40DAABF5" w:rsidRPr="1D64B15C">
        <w:rPr>
          <w:rFonts w:ascii="Verdana" w:eastAsia="Cambria" w:hAnsi="Verdana" w:cs="Cambria"/>
          <w:sz w:val="20"/>
          <w:szCs w:val="20"/>
          <w:lang w:val="es-ES"/>
        </w:rPr>
        <w:t xml:space="preserve"> </w:t>
      </w:r>
      <w:r w:rsidR="2DFD90FF" w:rsidRPr="1D64B15C">
        <w:rPr>
          <w:rFonts w:ascii="Verdana" w:eastAsia="Cambria" w:hAnsi="Verdana" w:cs="Cambria"/>
          <w:sz w:val="20"/>
          <w:szCs w:val="20"/>
          <w:lang w:val="es-ES"/>
        </w:rPr>
        <w:t>La prisión preventiva en sí misma no es contraria al Derecho Internacional de los Derechos Humanos y constituye una medida que los Estados pueden adoptar siempre y cuando se ajusten a los requisitos convencionales.</w:t>
      </w:r>
    </w:p>
    <w:p w14:paraId="67EA87F7" w14:textId="60FFE24D" w:rsidR="00872A22" w:rsidRPr="009D520B" w:rsidRDefault="00872A22" w:rsidP="00872A22">
      <w:pPr>
        <w:numPr>
          <w:ilvl w:val="0"/>
          <w:numId w:val="2"/>
        </w:numPr>
        <w:spacing w:before="120" w:after="120"/>
        <w:ind w:left="0" w:firstLine="0"/>
        <w:jc w:val="both"/>
        <w:rPr>
          <w:rFonts w:ascii="Verdana" w:hAnsi="Verdana"/>
          <w:sz w:val="20"/>
          <w:szCs w:val="20"/>
        </w:rPr>
      </w:pPr>
      <w:r w:rsidRPr="009D520B">
        <w:rPr>
          <w:rFonts w:ascii="Verdana" w:hAnsi="Verdana"/>
          <w:sz w:val="20"/>
          <w:szCs w:val="20"/>
        </w:rPr>
        <w:t>Sobre la arbitrariedad referida en el artículo 7.3 de la Convención Americana, la Corte ha establecido que nadie puede ser sometido a detenci</w:t>
      </w:r>
      <w:r w:rsidR="00953615">
        <w:rPr>
          <w:rFonts w:ascii="Verdana" w:hAnsi="Verdana"/>
          <w:sz w:val="20"/>
          <w:szCs w:val="20"/>
        </w:rPr>
        <w:t>ones</w:t>
      </w:r>
      <w:r w:rsidRPr="009D520B">
        <w:rPr>
          <w:rFonts w:ascii="Verdana" w:hAnsi="Verdana"/>
          <w:sz w:val="20"/>
          <w:szCs w:val="20"/>
        </w:rPr>
        <w:t xml:space="preserve"> o encarcelamiento</w:t>
      </w:r>
      <w:r w:rsidR="00953615">
        <w:rPr>
          <w:rFonts w:ascii="Verdana" w:hAnsi="Verdana"/>
          <w:sz w:val="20"/>
          <w:szCs w:val="20"/>
        </w:rPr>
        <w:t>s</w:t>
      </w:r>
      <w:r w:rsidRPr="009D520B">
        <w:rPr>
          <w:rFonts w:ascii="Verdana" w:hAnsi="Verdana"/>
          <w:sz w:val="20"/>
          <w:szCs w:val="20"/>
        </w:rPr>
        <w:t xml:space="preserve"> por causas y métodos que -aun calificados de legales- puedan reputarse como incompatibles con el respeto a los derechos fundamentales del individuo por ser, entre otras cosas, irrazonables, imprevisibles o faltos de proporcionalidad</w:t>
      </w:r>
      <w:r w:rsidRPr="7CDFE7CF">
        <w:rPr>
          <w:rStyle w:val="Refdenotaalpie"/>
          <w:rFonts w:ascii="Verdana" w:hAnsi="Verdana"/>
          <w:sz w:val="20"/>
        </w:rPr>
        <w:footnoteReference w:id="186"/>
      </w:r>
      <w:r w:rsidRPr="009D520B">
        <w:rPr>
          <w:rFonts w:ascii="Verdana" w:hAnsi="Verdana"/>
          <w:sz w:val="20"/>
          <w:szCs w:val="20"/>
        </w:rPr>
        <w:t xml:space="preserve">. Se requiere que la ley interna, el procedimiento aplicable y los principios generales expresos o tácitos correspondientes sean, en sí mismos, compatibles con la Convención. Así, no se debe equiparar el concepto de “arbitrariedad” con el de “contrario a ley”, sino que debe interpretarse de manera más amplia a fin de incluir elementos de incorrección, </w:t>
      </w:r>
      <w:r w:rsidRPr="009D520B">
        <w:rPr>
          <w:rFonts w:ascii="Verdana" w:hAnsi="Verdana"/>
          <w:sz w:val="20"/>
          <w:szCs w:val="20"/>
        </w:rPr>
        <w:lastRenderedPageBreak/>
        <w:t>injusticia e imprevisibilidad</w:t>
      </w:r>
      <w:r w:rsidRPr="7CDFE7CF">
        <w:rPr>
          <w:rStyle w:val="Refdenotaalpie"/>
          <w:rFonts w:ascii="Verdana" w:hAnsi="Verdana"/>
          <w:sz w:val="20"/>
        </w:rPr>
        <w:footnoteReference w:id="187"/>
      </w:r>
      <w:r w:rsidRPr="009D520B">
        <w:rPr>
          <w:rFonts w:ascii="Verdana" w:hAnsi="Verdana"/>
          <w:sz w:val="20"/>
          <w:szCs w:val="20"/>
        </w:rPr>
        <w:t>. Por otra parte, el artículo 8.2 se refiere al derecho a la presunción de inocencia.</w:t>
      </w:r>
    </w:p>
    <w:p w14:paraId="4EF7F296" w14:textId="11EBB6A1" w:rsidR="00872A22" w:rsidRPr="009D520B" w:rsidRDefault="00872A22" w:rsidP="00872A22">
      <w:pPr>
        <w:numPr>
          <w:ilvl w:val="0"/>
          <w:numId w:val="2"/>
        </w:numPr>
        <w:spacing w:before="120" w:after="120"/>
        <w:ind w:left="0" w:firstLine="0"/>
        <w:jc w:val="both"/>
        <w:rPr>
          <w:rFonts w:ascii="Verdana" w:hAnsi="Verdana"/>
          <w:sz w:val="20"/>
          <w:szCs w:val="20"/>
        </w:rPr>
      </w:pPr>
      <w:r w:rsidRPr="009D520B">
        <w:rPr>
          <w:rFonts w:ascii="Verdana" w:hAnsi="Verdana"/>
          <w:sz w:val="20"/>
          <w:szCs w:val="20"/>
        </w:rPr>
        <w:t xml:space="preserve">La Corte ha considerado que para que una medida cautelar restrictiva de la libertad no sea arbitraria y no se vea afectado el derecho a la presunción de inocencia, es necesario que: </w:t>
      </w:r>
      <w:r w:rsidR="00231AB1">
        <w:rPr>
          <w:rFonts w:ascii="Verdana" w:hAnsi="Verdana"/>
          <w:sz w:val="20"/>
          <w:szCs w:val="20"/>
        </w:rPr>
        <w:t>a)</w:t>
      </w:r>
      <w:r w:rsidRPr="009D520B">
        <w:rPr>
          <w:rFonts w:ascii="Verdana" w:hAnsi="Verdana"/>
          <w:sz w:val="20"/>
          <w:szCs w:val="20"/>
        </w:rPr>
        <w:t xml:space="preserve"> se presenten presupuestos materiales relacionados con la existencia de un hecho ilícito y con la vinculación de la persona procesada a ese hecho; </w:t>
      </w:r>
      <w:r w:rsidR="00231AB1">
        <w:rPr>
          <w:rFonts w:ascii="Verdana" w:hAnsi="Verdana"/>
          <w:sz w:val="20"/>
          <w:szCs w:val="20"/>
        </w:rPr>
        <w:t>b)</w:t>
      </w:r>
      <w:r w:rsidRPr="009D520B">
        <w:rPr>
          <w:rFonts w:ascii="Verdana" w:hAnsi="Verdana"/>
          <w:sz w:val="20"/>
          <w:szCs w:val="20"/>
        </w:rPr>
        <w:t xml:space="preserve"> esas medidas cumplan con los cuatro elementos del “test de proporcionalidad”, es decir con la finalidad de la medida que debe ser legítima (compatible con la Convención Americana)</w:t>
      </w:r>
      <w:r w:rsidRPr="7CDFE7CF">
        <w:rPr>
          <w:rStyle w:val="Refdenotaalpie"/>
          <w:rFonts w:ascii="Verdana" w:hAnsi="Verdana"/>
          <w:sz w:val="20"/>
        </w:rPr>
        <w:footnoteReference w:id="188"/>
      </w:r>
      <w:r w:rsidRPr="009D520B">
        <w:rPr>
          <w:rFonts w:ascii="Verdana" w:hAnsi="Verdana"/>
          <w:sz w:val="20"/>
          <w:szCs w:val="20"/>
        </w:rPr>
        <w:t>, idónea para cumplir con el fin que se persigue, necesaria y estrictamente proporcional</w:t>
      </w:r>
      <w:r w:rsidRPr="7CDFE7CF">
        <w:rPr>
          <w:rStyle w:val="Refdenotaalpie"/>
          <w:rFonts w:ascii="Verdana" w:hAnsi="Verdana"/>
          <w:sz w:val="20"/>
        </w:rPr>
        <w:footnoteReference w:id="189"/>
      </w:r>
      <w:r w:rsidRPr="009D520B">
        <w:rPr>
          <w:rFonts w:ascii="Verdana" w:hAnsi="Verdana"/>
          <w:sz w:val="20"/>
          <w:szCs w:val="20"/>
        </w:rPr>
        <w:t xml:space="preserve">, y </w:t>
      </w:r>
      <w:r w:rsidR="00231AB1">
        <w:rPr>
          <w:rFonts w:ascii="Verdana" w:hAnsi="Verdana"/>
          <w:sz w:val="20"/>
          <w:szCs w:val="20"/>
        </w:rPr>
        <w:t>c)</w:t>
      </w:r>
      <w:r w:rsidRPr="009D520B">
        <w:rPr>
          <w:rFonts w:ascii="Verdana" w:hAnsi="Verdana"/>
          <w:sz w:val="20"/>
          <w:szCs w:val="20"/>
        </w:rPr>
        <w:t xml:space="preserve"> la decisión que las impone contenga una motivación suficiente que permita evaluar si se ajusta a las condiciones señaladas</w:t>
      </w:r>
      <w:r w:rsidRPr="7CDFE7CF">
        <w:rPr>
          <w:rStyle w:val="Refdenotaalpie"/>
          <w:rFonts w:ascii="Verdana" w:hAnsi="Verdana"/>
          <w:sz w:val="20"/>
        </w:rPr>
        <w:footnoteReference w:id="190"/>
      </w:r>
      <w:r w:rsidRPr="009D520B">
        <w:rPr>
          <w:rFonts w:ascii="Verdana" w:hAnsi="Verdana"/>
          <w:sz w:val="20"/>
          <w:szCs w:val="20"/>
        </w:rPr>
        <w:t>.</w:t>
      </w:r>
    </w:p>
    <w:p w14:paraId="71B5EF2D" w14:textId="2C8EB249" w:rsidR="00D054B0" w:rsidRPr="009D520B" w:rsidRDefault="00872A22" w:rsidP="00D054B0">
      <w:pPr>
        <w:numPr>
          <w:ilvl w:val="0"/>
          <w:numId w:val="2"/>
        </w:numPr>
        <w:spacing w:before="120" w:after="120"/>
        <w:ind w:left="0" w:firstLine="0"/>
        <w:jc w:val="both"/>
        <w:rPr>
          <w:rFonts w:ascii="Verdana" w:hAnsi="Verdana"/>
          <w:sz w:val="20"/>
          <w:szCs w:val="20"/>
          <w:lang w:val="es-ES"/>
        </w:rPr>
      </w:pPr>
      <w:r w:rsidRPr="009D520B">
        <w:rPr>
          <w:rFonts w:ascii="Verdana" w:hAnsi="Verdana"/>
          <w:sz w:val="20"/>
          <w:szCs w:val="20"/>
        </w:rPr>
        <w:t>En lo que se refiere al “test de proporcionalidad”</w:t>
      </w:r>
      <w:r w:rsidR="00D054B0" w:rsidRPr="009D520B">
        <w:rPr>
          <w:rFonts w:ascii="Verdana" w:hAnsi="Verdana"/>
          <w:sz w:val="20"/>
          <w:szCs w:val="20"/>
        </w:rPr>
        <w:t xml:space="preserve">, </w:t>
      </w:r>
      <w:r w:rsidR="00D054B0" w:rsidRPr="009D520B">
        <w:rPr>
          <w:rFonts w:ascii="Verdana" w:hAnsi="Verdana"/>
          <w:sz w:val="20"/>
          <w:szCs w:val="20"/>
          <w:lang w:val="es-MX" w:eastAsia="es-ES"/>
        </w:rPr>
        <w:t>la Corte ha afirmado que corresponde a la autoridad judicial desarrollar un juicio de proporcionalidad al momento de imponer una medida privativa de la libertad. L</w:t>
      </w:r>
      <w:r w:rsidR="00D054B0" w:rsidRPr="009D520B">
        <w:rPr>
          <w:rFonts w:ascii="Verdana" w:hAnsi="Verdana"/>
          <w:sz w:val="20"/>
          <w:szCs w:val="20"/>
        </w:rPr>
        <w:t xml:space="preserve">a Corte ha considerado la prisión preventiva como una medida </w:t>
      </w:r>
      <w:r w:rsidR="00D054B0" w:rsidRPr="009D520B">
        <w:rPr>
          <w:rFonts w:ascii="Verdana" w:hAnsi="Verdana"/>
          <w:sz w:val="20"/>
          <w:szCs w:val="20"/>
          <w:lang w:val="es-ES"/>
        </w:rPr>
        <w:t>cautelar</w:t>
      </w:r>
      <w:r w:rsidR="00D054B0" w:rsidRPr="009D520B">
        <w:rPr>
          <w:rFonts w:ascii="Verdana" w:hAnsi="Verdana"/>
          <w:sz w:val="20"/>
          <w:szCs w:val="20"/>
        </w:rPr>
        <w:t xml:space="preserve"> y no una medida de carácter punitivo</w:t>
      </w:r>
      <w:r w:rsidR="00D054B0" w:rsidRPr="7CDFE7CF">
        <w:rPr>
          <w:rStyle w:val="Refdenotaalpie"/>
          <w:rFonts w:ascii="Verdana" w:hAnsi="Verdana"/>
          <w:sz w:val="20"/>
        </w:rPr>
        <w:footnoteReference w:id="191"/>
      </w:r>
      <w:r w:rsidR="00D054B0" w:rsidRPr="009D520B">
        <w:rPr>
          <w:rFonts w:ascii="Verdana" w:hAnsi="Verdana"/>
          <w:sz w:val="20"/>
          <w:szCs w:val="20"/>
        </w:rPr>
        <w:t>, la cual debe aplicarse excepcionalmente al ser la más severa que se puede imponer al procesado por un delito, quien goza del derecho a la presunción de inocencia</w:t>
      </w:r>
      <w:r w:rsidR="00D054B0" w:rsidRPr="7CDFE7CF">
        <w:rPr>
          <w:rStyle w:val="Refdenotaalpie"/>
          <w:rFonts w:ascii="Verdana" w:hAnsi="Verdana"/>
          <w:sz w:val="20"/>
        </w:rPr>
        <w:footnoteReference w:id="192"/>
      </w:r>
      <w:r w:rsidR="00D054B0" w:rsidRPr="009D520B">
        <w:rPr>
          <w:rFonts w:ascii="Verdana" w:hAnsi="Verdana"/>
          <w:sz w:val="20"/>
          <w:szCs w:val="20"/>
        </w:rPr>
        <w:t>.</w:t>
      </w:r>
      <w:r w:rsidR="3BF92891" w:rsidRPr="3BF92891">
        <w:rPr>
          <w:rFonts w:ascii="Verdana" w:hAnsi="Verdana"/>
          <w:sz w:val="20"/>
          <w:szCs w:val="20"/>
        </w:rPr>
        <w:t xml:space="preserve"> </w:t>
      </w:r>
      <w:r w:rsidR="00D054B0" w:rsidRPr="009D520B">
        <w:rPr>
          <w:rFonts w:ascii="Verdana" w:hAnsi="Verdana"/>
          <w:sz w:val="20"/>
          <w:szCs w:val="20"/>
          <w:lang w:val="es-ES"/>
        </w:rPr>
        <w:t xml:space="preserve">A su vez, este Tribunal ha indicado en otros casos que </w:t>
      </w:r>
      <w:r w:rsidR="00D054B0" w:rsidRPr="009D520B">
        <w:rPr>
          <w:rFonts w:ascii="Verdana" w:hAnsi="Verdana"/>
          <w:sz w:val="20"/>
          <w:szCs w:val="20"/>
        </w:rPr>
        <w:t>la privación de libertad de un imputado o de una persona procesada por un delito no puede residir en fines preventivo-generales o preventivo-especiales atribuibles a la pena</w:t>
      </w:r>
      <w:r w:rsidR="00D054B0" w:rsidRPr="7CDFE7CF">
        <w:rPr>
          <w:rStyle w:val="Refdenotaalpie"/>
          <w:rFonts w:ascii="Verdana" w:hAnsi="Verdana"/>
          <w:sz w:val="20"/>
        </w:rPr>
        <w:footnoteReference w:id="193"/>
      </w:r>
      <w:r w:rsidR="00D054B0" w:rsidRPr="009D520B">
        <w:rPr>
          <w:rFonts w:ascii="Verdana" w:hAnsi="Verdana"/>
          <w:sz w:val="20"/>
          <w:szCs w:val="20"/>
        </w:rPr>
        <w:t>. En consecuencia, ha indicado que</w:t>
      </w:r>
      <w:r w:rsidR="00283D88" w:rsidRPr="009D520B">
        <w:rPr>
          <w:rFonts w:ascii="Verdana" w:hAnsi="Verdana"/>
          <w:sz w:val="20"/>
          <w:szCs w:val="20"/>
        </w:rPr>
        <w:t xml:space="preserve"> la prisión preventiva, por tratarse de la medida más severa, debe aplicarse excepcionalmente y </w:t>
      </w:r>
      <w:r w:rsidR="00D054B0" w:rsidRPr="009D520B">
        <w:rPr>
          <w:rFonts w:ascii="Verdana" w:hAnsi="Verdana"/>
          <w:sz w:val="20"/>
          <w:szCs w:val="20"/>
        </w:rPr>
        <w:t>la regla debe ser la libertad del procesado mientras se resuelve acerca de su responsabilidad penal</w:t>
      </w:r>
      <w:r w:rsidR="00D054B0" w:rsidRPr="7CDFE7CF">
        <w:rPr>
          <w:rStyle w:val="Refdenotaalpie"/>
          <w:rFonts w:ascii="Verdana" w:hAnsi="Verdana"/>
          <w:sz w:val="20"/>
        </w:rPr>
        <w:footnoteReference w:id="194"/>
      </w:r>
      <w:r w:rsidR="00D054B0" w:rsidRPr="009D520B">
        <w:rPr>
          <w:rFonts w:ascii="Verdana" w:hAnsi="Verdana"/>
          <w:sz w:val="20"/>
          <w:szCs w:val="20"/>
        </w:rPr>
        <w:t xml:space="preserve">. </w:t>
      </w:r>
    </w:p>
    <w:p w14:paraId="6BA58EB3" w14:textId="77777777" w:rsidR="00D054B0" w:rsidRPr="009D520B" w:rsidRDefault="00D054B0" w:rsidP="00D054B0">
      <w:pPr>
        <w:numPr>
          <w:ilvl w:val="0"/>
          <w:numId w:val="2"/>
        </w:numPr>
        <w:spacing w:before="120" w:after="120"/>
        <w:ind w:left="0" w:firstLine="0"/>
        <w:jc w:val="both"/>
        <w:rPr>
          <w:rFonts w:ascii="Verdana" w:hAnsi="Verdana"/>
          <w:sz w:val="20"/>
          <w:szCs w:val="20"/>
          <w:lang w:val="es-ES"/>
        </w:rPr>
      </w:pPr>
      <w:r w:rsidRPr="009D520B">
        <w:rPr>
          <w:rFonts w:ascii="Verdana" w:hAnsi="Verdana"/>
          <w:sz w:val="20"/>
          <w:szCs w:val="20"/>
          <w:lang w:val="es-ES"/>
        </w:rPr>
        <w:t xml:space="preserve">Dado lo anterior, corresponde a la autoridad judicial </w:t>
      </w:r>
      <w:r w:rsidRPr="009D520B">
        <w:rPr>
          <w:rFonts w:ascii="Verdana" w:hAnsi="Verdana"/>
          <w:sz w:val="20"/>
          <w:szCs w:val="20"/>
        </w:rPr>
        <w:t xml:space="preserve">imponer medidas de esta naturaleza únicamente cuando acredite que: a) </w:t>
      </w:r>
      <w:r w:rsidRPr="009D520B">
        <w:rPr>
          <w:rFonts w:ascii="Verdana" w:hAnsi="Verdana"/>
          <w:spacing w:val="-2"/>
          <w:sz w:val="20"/>
          <w:szCs w:val="20"/>
        </w:rPr>
        <w:t>la finalidad de las medidas que priven o restrinjan la libertad sea compatible con la Convención; b) que las medidas adoptadas sean las idóneas para cumplir con el fin perseguido;</w:t>
      </w:r>
      <w:r w:rsidRPr="009D520B">
        <w:rPr>
          <w:rFonts w:ascii="Verdana" w:hAnsi="Verdana"/>
          <w:sz w:val="20"/>
          <w:szCs w:val="20"/>
        </w:rPr>
        <w:t xml:space="preserve"> c) que sean necesarias, en el sentido de que sean absolutamente indispensables para conseguir el fin deseado y que no exista una medida menos gravosa respecto al derecho </w:t>
      </w:r>
      <w:r w:rsidRPr="009D520B">
        <w:rPr>
          <w:rFonts w:ascii="Verdana" w:hAnsi="Verdana"/>
          <w:sz w:val="20"/>
          <w:szCs w:val="20"/>
          <w:lang w:val="es-ES"/>
        </w:rPr>
        <w:t>intervenido</w:t>
      </w:r>
      <w:r w:rsidRPr="009D520B">
        <w:rPr>
          <w:rFonts w:ascii="Verdana" w:hAnsi="Verdana"/>
          <w:sz w:val="20"/>
          <w:szCs w:val="20"/>
        </w:rPr>
        <w:t xml:space="preserve"> entre todas aquellas que cuentan con la misma idoneidad para alcanzar el objetivo propuesto, y d) que resulten estrictamente proporcionales, de tal forma que el sacrificio inherente </w:t>
      </w:r>
      <w:r w:rsidRPr="009D520B">
        <w:rPr>
          <w:rFonts w:ascii="Verdana" w:hAnsi="Verdana"/>
          <w:sz w:val="20"/>
          <w:szCs w:val="20"/>
        </w:rPr>
        <w:lastRenderedPageBreak/>
        <w:t>a la restricción del derecho a la libertad no resulte exagerado o desmedido frente a las ventajas que se obtienen mediante tal restricción y el cumplimiento de la finalidad perseguida</w:t>
      </w:r>
      <w:r w:rsidRPr="7CDFE7CF">
        <w:rPr>
          <w:rStyle w:val="Refdenotaalpie"/>
          <w:rFonts w:ascii="Verdana" w:hAnsi="Verdana"/>
          <w:sz w:val="20"/>
        </w:rPr>
        <w:footnoteReference w:id="195"/>
      </w:r>
      <w:r w:rsidRPr="009D520B">
        <w:rPr>
          <w:rFonts w:ascii="Verdana" w:hAnsi="Verdana"/>
          <w:sz w:val="20"/>
          <w:szCs w:val="20"/>
        </w:rPr>
        <w:t>.</w:t>
      </w:r>
    </w:p>
    <w:p w14:paraId="1E7FC073" w14:textId="331B97C8" w:rsidR="00872A22" w:rsidRPr="009D520B" w:rsidRDefault="00D054B0" w:rsidP="00D054B0">
      <w:pPr>
        <w:numPr>
          <w:ilvl w:val="0"/>
          <w:numId w:val="2"/>
        </w:numPr>
        <w:spacing w:before="120" w:after="120"/>
        <w:ind w:left="0" w:firstLine="0"/>
        <w:jc w:val="both"/>
        <w:rPr>
          <w:rFonts w:ascii="Verdana" w:hAnsi="Verdana"/>
          <w:sz w:val="20"/>
          <w:szCs w:val="20"/>
        </w:rPr>
      </w:pPr>
      <w:r w:rsidRPr="009D520B">
        <w:rPr>
          <w:rFonts w:ascii="Verdana" w:hAnsi="Verdana"/>
          <w:sz w:val="20"/>
          <w:szCs w:val="20"/>
          <w:lang w:val="es-ES"/>
        </w:rPr>
        <w:t xml:space="preserve">En lo que refiere al primer punto, el Tribunal ha indicado que la medida solo se debe imponer </w:t>
      </w:r>
      <w:r w:rsidRPr="009D520B">
        <w:rPr>
          <w:rFonts w:ascii="Verdana" w:hAnsi="Verdana"/>
          <w:sz w:val="20"/>
          <w:szCs w:val="20"/>
        </w:rPr>
        <w:t>cuando</w:t>
      </w:r>
      <w:r w:rsidRPr="009D520B">
        <w:rPr>
          <w:rFonts w:ascii="Verdana" w:hAnsi="Verdana"/>
          <w:sz w:val="20"/>
          <w:szCs w:val="20"/>
          <w:lang w:val="es-ES"/>
        </w:rPr>
        <w:t xml:space="preserve"> sea necesaria para la </w:t>
      </w:r>
      <w:r w:rsidRPr="009D520B">
        <w:rPr>
          <w:rFonts w:ascii="Verdana" w:hAnsi="Verdana"/>
          <w:sz w:val="20"/>
          <w:szCs w:val="20"/>
        </w:rPr>
        <w:t>satisfacción</w:t>
      </w:r>
      <w:r w:rsidRPr="009D520B">
        <w:rPr>
          <w:rFonts w:ascii="Verdana" w:hAnsi="Verdana"/>
          <w:sz w:val="20"/>
          <w:szCs w:val="20"/>
          <w:lang w:val="es-ES"/>
        </w:rPr>
        <w:t xml:space="preserve"> de un fin legítimo, a saber: que el acusado no impedirá el desarrollo del procedimiento ni eludirá la acción de la justicia</w:t>
      </w:r>
      <w:r w:rsidRPr="7CDFE7CF">
        <w:rPr>
          <w:rStyle w:val="Refdenotaalpie"/>
          <w:rFonts w:ascii="Verdana" w:hAnsi="Verdana"/>
          <w:sz w:val="20"/>
          <w:lang w:val="es-ES"/>
        </w:rPr>
        <w:footnoteReference w:id="196"/>
      </w:r>
      <w:r w:rsidRPr="009D520B">
        <w:rPr>
          <w:rFonts w:ascii="Verdana" w:hAnsi="Verdana"/>
          <w:sz w:val="20"/>
          <w:szCs w:val="20"/>
          <w:lang w:val="es-ES"/>
        </w:rPr>
        <w:t xml:space="preserve">. </w:t>
      </w:r>
      <w:r w:rsidRPr="009D520B">
        <w:rPr>
          <w:rFonts w:ascii="Verdana" w:hAnsi="Verdana"/>
          <w:spacing w:val="-2"/>
          <w:sz w:val="20"/>
          <w:szCs w:val="20"/>
        </w:rPr>
        <w:t xml:space="preserve">Asimismo, ha destacado que el peligro procesal no se presume, sino que debe realizarse </w:t>
      </w:r>
      <w:r w:rsidR="003B5E80" w:rsidRPr="009D520B">
        <w:rPr>
          <w:rFonts w:ascii="Verdana" w:hAnsi="Verdana"/>
          <w:spacing w:val="-2"/>
          <w:sz w:val="20"/>
          <w:szCs w:val="20"/>
        </w:rPr>
        <w:t xml:space="preserve">su </w:t>
      </w:r>
      <w:r w:rsidRPr="009D520B">
        <w:rPr>
          <w:rFonts w:ascii="Verdana" w:hAnsi="Verdana"/>
          <w:spacing w:val="-2"/>
          <w:sz w:val="20"/>
          <w:szCs w:val="20"/>
        </w:rPr>
        <w:t>verificación en cada caso, fundado en circunstancias objetivas y ciertas del caso concreto</w:t>
      </w:r>
      <w:r w:rsidRPr="7CDFE7CF">
        <w:rPr>
          <w:rStyle w:val="Refdenotaalpie"/>
          <w:rFonts w:ascii="Verdana" w:hAnsi="Verdana"/>
          <w:spacing w:val="-2"/>
          <w:sz w:val="20"/>
        </w:rPr>
        <w:footnoteReference w:id="197"/>
      </w:r>
      <w:r w:rsidRPr="009D520B">
        <w:rPr>
          <w:rFonts w:ascii="Verdana" w:hAnsi="Verdana"/>
          <w:spacing w:val="-2"/>
          <w:sz w:val="20"/>
          <w:szCs w:val="20"/>
        </w:rPr>
        <w:t xml:space="preserve">. </w:t>
      </w:r>
      <w:r w:rsidRPr="009D520B">
        <w:rPr>
          <w:rFonts w:ascii="Verdana" w:hAnsi="Verdana"/>
          <w:sz w:val="20"/>
          <w:szCs w:val="20"/>
          <w:lang w:val="es-ES"/>
        </w:rPr>
        <w:t xml:space="preserve">La exigencia de dichos fines encuentra fundamento en los artículos 7.3, 7.5 y 8.2 de la </w:t>
      </w:r>
      <w:r w:rsidRPr="009D520B">
        <w:rPr>
          <w:rFonts w:ascii="Verdana" w:hAnsi="Verdana"/>
          <w:sz w:val="20"/>
          <w:szCs w:val="20"/>
        </w:rPr>
        <w:t>Convención</w:t>
      </w:r>
      <w:r w:rsidRPr="009D520B">
        <w:rPr>
          <w:rFonts w:ascii="Verdana" w:hAnsi="Verdana"/>
          <w:sz w:val="20"/>
          <w:szCs w:val="20"/>
          <w:lang w:val="es-ES"/>
        </w:rPr>
        <w:t>.</w:t>
      </w:r>
      <w:r w:rsidR="00DA52BA" w:rsidRPr="009D520B">
        <w:rPr>
          <w:rFonts w:ascii="Verdana" w:hAnsi="Verdana"/>
          <w:sz w:val="20"/>
          <w:szCs w:val="20"/>
          <w:lang w:val="es-ES"/>
        </w:rPr>
        <w:t xml:space="preserve"> En ese sentido, corresponde recordar que el Comité de Derechos Humanos de Naciones Unidas indicó que la reclusión previa al juicio no puede ser preceptiva ante todo </w:t>
      </w:r>
      <w:r w:rsidR="003B5E80" w:rsidRPr="009D520B">
        <w:rPr>
          <w:rFonts w:ascii="Verdana" w:hAnsi="Verdana"/>
          <w:sz w:val="20"/>
          <w:szCs w:val="20"/>
          <w:lang w:val="es-ES"/>
        </w:rPr>
        <w:t>tipo</w:t>
      </w:r>
      <w:r w:rsidR="00DA52BA" w:rsidRPr="009D520B">
        <w:rPr>
          <w:rFonts w:ascii="Verdana" w:hAnsi="Verdana"/>
          <w:sz w:val="20"/>
          <w:szCs w:val="20"/>
          <w:lang w:val="es-ES"/>
        </w:rPr>
        <w:t xml:space="preserve"> de delito, sino que debe analizarse según las circunstancias de cada caso y que habrá de determinarse caso a caso cuándo la medida es razonable y necesaria</w:t>
      </w:r>
      <w:r w:rsidR="00DA52BA" w:rsidRPr="7CDFE7CF">
        <w:rPr>
          <w:rStyle w:val="Refdenotaalpie"/>
          <w:rFonts w:ascii="Verdana" w:hAnsi="Verdana"/>
          <w:spacing w:val="-2"/>
          <w:sz w:val="20"/>
        </w:rPr>
        <w:footnoteReference w:id="198"/>
      </w:r>
      <w:r w:rsidR="00DA52BA" w:rsidRPr="009D520B">
        <w:rPr>
          <w:rFonts w:ascii="Verdana" w:hAnsi="Verdana"/>
          <w:sz w:val="20"/>
          <w:szCs w:val="20"/>
          <w:lang w:val="es-ES"/>
        </w:rPr>
        <w:t>.</w:t>
      </w:r>
    </w:p>
    <w:p w14:paraId="1D742B1E" w14:textId="2881CF63" w:rsidR="00D054B0" w:rsidRPr="009D520B" w:rsidRDefault="00D054B0" w:rsidP="00D054B0">
      <w:pPr>
        <w:numPr>
          <w:ilvl w:val="0"/>
          <w:numId w:val="2"/>
        </w:numPr>
        <w:spacing w:before="120" w:after="120"/>
        <w:ind w:left="0" w:firstLine="0"/>
        <w:jc w:val="both"/>
        <w:rPr>
          <w:rFonts w:ascii="Verdana" w:hAnsi="Verdana"/>
          <w:sz w:val="20"/>
          <w:szCs w:val="20"/>
          <w:lang w:val="es-ES"/>
        </w:rPr>
      </w:pPr>
      <w:r w:rsidRPr="009D520B">
        <w:rPr>
          <w:rFonts w:ascii="Verdana" w:hAnsi="Verdana"/>
          <w:sz w:val="20"/>
          <w:szCs w:val="20"/>
        </w:rPr>
        <w:t xml:space="preserve">Respecto de la necesidad, la Corte encuentra que, al ser la privación de la libertad una medida que implica una restricción a la esfera de acción </w:t>
      </w:r>
      <w:r w:rsidR="00550CEE" w:rsidRPr="009D520B">
        <w:rPr>
          <w:rFonts w:ascii="Verdana" w:hAnsi="Verdana"/>
          <w:sz w:val="20"/>
          <w:szCs w:val="20"/>
        </w:rPr>
        <w:t>individual</w:t>
      </w:r>
      <w:r w:rsidRPr="009D520B">
        <w:rPr>
          <w:rFonts w:ascii="Verdana" w:hAnsi="Verdana"/>
          <w:sz w:val="20"/>
          <w:szCs w:val="20"/>
        </w:rPr>
        <w:t xml:space="preserve"> corresponde exigir a la autoridad judicial que imponga dicha medida, únicamente cuando considere que los demás mecanismos previstos en la ley, que impliquen un menor grado de injerencia en los derechos individuales, no son suficientes para satisfacer el fin procesal</w:t>
      </w:r>
      <w:r w:rsidRPr="7CDFE7CF">
        <w:rPr>
          <w:rStyle w:val="Refdenotaalpie"/>
          <w:rFonts w:ascii="Verdana" w:hAnsi="Verdana"/>
          <w:sz w:val="20"/>
        </w:rPr>
        <w:footnoteReference w:id="199"/>
      </w:r>
      <w:r w:rsidRPr="009D520B">
        <w:rPr>
          <w:rFonts w:ascii="Verdana" w:hAnsi="Verdana"/>
          <w:sz w:val="20"/>
          <w:szCs w:val="20"/>
        </w:rPr>
        <w:t>.</w:t>
      </w:r>
    </w:p>
    <w:p w14:paraId="01092C01" w14:textId="097BE9B4" w:rsidR="00317021" w:rsidRPr="009D520B" w:rsidRDefault="00D054B0" w:rsidP="004C27D1">
      <w:pPr>
        <w:numPr>
          <w:ilvl w:val="0"/>
          <w:numId w:val="2"/>
        </w:numPr>
        <w:spacing w:before="120" w:after="120"/>
        <w:ind w:left="0" w:firstLine="0"/>
        <w:jc w:val="both"/>
        <w:rPr>
          <w:rFonts w:ascii="Verdana" w:hAnsi="Verdana"/>
          <w:sz w:val="20"/>
          <w:szCs w:val="20"/>
        </w:rPr>
      </w:pPr>
      <w:r w:rsidRPr="009D520B">
        <w:rPr>
          <w:rFonts w:ascii="Verdana" w:hAnsi="Verdana"/>
          <w:sz w:val="20"/>
          <w:szCs w:val="20"/>
        </w:rPr>
        <w:t xml:space="preserve">Asimismo, esta Corte ha sostenido que las medidas alternativas deben estar disponibles y que solo se puede imponer una medida restrictiva de la libertad cuando no sea posible el uso de </w:t>
      </w:r>
      <w:r w:rsidR="00091582" w:rsidRPr="009D520B">
        <w:rPr>
          <w:rFonts w:ascii="Verdana" w:hAnsi="Verdana"/>
          <w:sz w:val="20"/>
          <w:szCs w:val="20"/>
        </w:rPr>
        <w:t xml:space="preserve">otras </w:t>
      </w:r>
      <w:r w:rsidRPr="009D520B">
        <w:rPr>
          <w:rFonts w:ascii="Verdana" w:hAnsi="Verdana"/>
          <w:sz w:val="20"/>
          <w:szCs w:val="20"/>
        </w:rPr>
        <w:t>medidas para mitigar sus fundamentos, y que las autoridades deben considerar medidas alternativas para garantizar la comparecencia en el juicio</w:t>
      </w:r>
      <w:r w:rsidRPr="009D520B">
        <w:rPr>
          <w:rFonts w:ascii="Verdana" w:hAnsi="Verdana"/>
          <w:sz w:val="20"/>
          <w:szCs w:val="20"/>
          <w:vertAlign w:val="superscript"/>
        </w:rPr>
        <w:footnoteReference w:id="200"/>
      </w:r>
      <w:r w:rsidRPr="009D520B">
        <w:rPr>
          <w:rFonts w:ascii="Verdana" w:hAnsi="Verdana"/>
          <w:sz w:val="20"/>
          <w:szCs w:val="20"/>
        </w:rPr>
        <w:t>. Por su parte, en el Sistema Universal de Protección de Derechos Humanos, las Reglas mínimas de las Naciones Unidas sobre las medidas no privativas de la libertad se refieren a la prisión preventiva como último recurso y aclara que en el procedimiento penal “sólo se recurrirá a la prisión preventiva como último recurso, teniendo debidamente en cuenta la investigación del supuesto delito y la protección de la sociedad y de la víctima”. Además, agregan que las medidas sustitutivas de la prisión preventiva “se aplicarán lo antes posible”</w:t>
      </w:r>
      <w:r w:rsidRPr="7CDFE7CF">
        <w:rPr>
          <w:rStyle w:val="Refdenotaalpie"/>
          <w:rFonts w:ascii="Verdana" w:hAnsi="Verdana"/>
          <w:sz w:val="20"/>
        </w:rPr>
        <w:footnoteReference w:id="201"/>
      </w:r>
      <w:r w:rsidRPr="009D520B">
        <w:rPr>
          <w:rFonts w:ascii="Verdana" w:hAnsi="Verdana"/>
          <w:sz w:val="20"/>
          <w:szCs w:val="20"/>
        </w:rPr>
        <w:t>.</w:t>
      </w:r>
      <w:r w:rsidR="007203B9" w:rsidRPr="009D520B">
        <w:rPr>
          <w:rFonts w:ascii="Verdana" w:hAnsi="Verdana"/>
          <w:sz w:val="20"/>
          <w:szCs w:val="20"/>
        </w:rPr>
        <w:t xml:space="preserve"> </w:t>
      </w:r>
      <w:r w:rsidR="00317021" w:rsidRPr="009D520B">
        <w:rPr>
          <w:rFonts w:ascii="Verdana" w:hAnsi="Verdana"/>
          <w:sz w:val="20"/>
          <w:szCs w:val="20"/>
        </w:rPr>
        <w:t>En un reciente caso</w:t>
      </w:r>
      <w:r w:rsidR="00AC361E" w:rsidRPr="009D520B">
        <w:rPr>
          <w:rFonts w:ascii="Verdana" w:hAnsi="Verdana"/>
          <w:sz w:val="20"/>
          <w:szCs w:val="20"/>
        </w:rPr>
        <w:t xml:space="preserve">, </w:t>
      </w:r>
      <w:r w:rsidR="00317021" w:rsidRPr="009D520B">
        <w:rPr>
          <w:rFonts w:ascii="Verdana" w:hAnsi="Verdana"/>
          <w:sz w:val="20"/>
          <w:szCs w:val="20"/>
        </w:rPr>
        <w:t xml:space="preserve">el Tribunal Europeo de Derechos Humanos ha señalado que la prisión preventiva consiste en una grave injerencia en los derechos fundamentales y solo se justifica cuando los tribunales han considerado y </w:t>
      </w:r>
      <w:r w:rsidR="008A33B0" w:rsidRPr="009D520B">
        <w:rPr>
          <w:rFonts w:ascii="Verdana" w:hAnsi="Verdana"/>
          <w:sz w:val="20"/>
          <w:szCs w:val="20"/>
        </w:rPr>
        <w:t>juzgado insuficientes</w:t>
      </w:r>
      <w:r w:rsidR="00317021" w:rsidRPr="009D520B">
        <w:rPr>
          <w:rFonts w:ascii="Verdana" w:hAnsi="Verdana"/>
          <w:sz w:val="20"/>
          <w:szCs w:val="20"/>
        </w:rPr>
        <w:t xml:space="preserve"> otras medidas menos lesivas</w:t>
      </w:r>
      <w:r w:rsidR="00AC361E" w:rsidRPr="7CDFE7CF">
        <w:rPr>
          <w:rStyle w:val="Refdenotaalpie"/>
          <w:rFonts w:ascii="Verdana" w:hAnsi="Verdana"/>
          <w:sz w:val="20"/>
        </w:rPr>
        <w:footnoteReference w:id="202"/>
      </w:r>
      <w:r w:rsidR="00317021" w:rsidRPr="009D520B">
        <w:rPr>
          <w:rFonts w:ascii="Verdana" w:hAnsi="Verdana"/>
          <w:sz w:val="20"/>
          <w:szCs w:val="20"/>
        </w:rPr>
        <w:t xml:space="preserve">.   </w:t>
      </w:r>
    </w:p>
    <w:p w14:paraId="3C5CEFA9" w14:textId="3E1F2639" w:rsidR="00D054B0" w:rsidRPr="009D520B" w:rsidRDefault="00231AB1" w:rsidP="00D054B0">
      <w:pPr>
        <w:numPr>
          <w:ilvl w:val="0"/>
          <w:numId w:val="2"/>
        </w:numPr>
        <w:spacing w:before="120" w:after="120"/>
        <w:ind w:left="0" w:firstLine="0"/>
        <w:jc w:val="both"/>
        <w:rPr>
          <w:rFonts w:ascii="Verdana" w:hAnsi="Verdana"/>
          <w:sz w:val="20"/>
          <w:szCs w:val="20"/>
          <w:lang w:val="es-ES"/>
        </w:rPr>
      </w:pPr>
      <w:r>
        <w:rPr>
          <w:rFonts w:ascii="Verdana" w:hAnsi="Verdana"/>
          <w:sz w:val="20"/>
          <w:szCs w:val="20"/>
          <w:lang w:val="es-ES"/>
        </w:rPr>
        <w:lastRenderedPageBreak/>
        <w:t>En el mismo sentido</w:t>
      </w:r>
      <w:r w:rsidR="00D054B0" w:rsidRPr="00351298">
        <w:rPr>
          <w:rFonts w:ascii="Verdana" w:hAnsi="Verdana"/>
          <w:sz w:val="20"/>
          <w:szCs w:val="20"/>
          <w:lang w:val="es-ES"/>
        </w:rPr>
        <w:t>, la Corte ha dicho -e</w:t>
      </w:r>
      <w:r w:rsidR="00D054B0" w:rsidRPr="00351298">
        <w:rPr>
          <w:rFonts w:ascii="Verdana" w:hAnsi="Verdana"/>
          <w:sz w:val="20"/>
          <w:szCs w:val="20"/>
        </w:rPr>
        <w:t xml:space="preserve">n los casos que se impongan medidas privativas de la libertad-, que el artículo 7.5 establece límites temporales a su duración, por ende, cuando el plazo de la prisión preventiva sobrepasa lo razonable, procede limitar la libertad del imputado con otras medidas menos lesivas que aseguren la comparecencia al juicio. Los criterios que podrán ser tenidos en cuenta </w:t>
      </w:r>
      <w:r w:rsidR="00D054B0" w:rsidRPr="009D520B">
        <w:rPr>
          <w:rFonts w:ascii="Verdana" w:hAnsi="Verdana"/>
          <w:sz w:val="20"/>
          <w:szCs w:val="20"/>
        </w:rPr>
        <w:t>para determinar la razonabilidad del plazo deberán tener estrecha relación con las circunstancias particulares del caso concreto. Teniendo en cuenta lo anterior, a la luz de lo dispuesto en el artículo 7.3, 7.5 y 8.2 (presunción de inocencia), la Corte considera que las autoridades internas deben propender a la imposición de medidas alternativas a la prisión preventiva</w:t>
      </w:r>
      <w:r w:rsidR="00B37DA1" w:rsidRPr="009D520B">
        <w:rPr>
          <w:rFonts w:ascii="Verdana" w:hAnsi="Verdana"/>
          <w:sz w:val="20"/>
          <w:szCs w:val="20"/>
        </w:rPr>
        <w:t xml:space="preserve">, </w:t>
      </w:r>
      <w:r w:rsidR="00D054B0" w:rsidRPr="009D520B">
        <w:rPr>
          <w:rFonts w:ascii="Verdana" w:hAnsi="Verdana"/>
          <w:sz w:val="20"/>
          <w:szCs w:val="20"/>
        </w:rPr>
        <w:t>a fin de evitar que se desvirtúe el carácter excepcional de la misma</w:t>
      </w:r>
      <w:r w:rsidR="00D054B0" w:rsidRPr="009D520B">
        <w:rPr>
          <w:rFonts w:ascii="Verdana" w:hAnsi="Verdana"/>
          <w:sz w:val="20"/>
          <w:szCs w:val="20"/>
          <w:vertAlign w:val="superscript"/>
        </w:rPr>
        <w:footnoteReference w:id="203"/>
      </w:r>
      <w:r w:rsidR="00D054B0" w:rsidRPr="009D520B">
        <w:rPr>
          <w:rFonts w:ascii="Verdana" w:hAnsi="Verdana"/>
          <w:sz w:val="20"/>
          <w:szCs w:val="20"/>
        </w:rPr>
        <w:t xml:space="preserve">. </w:t>
      </w:r>
      <w:r w:rsidR="00836F8D" w:rsidRPr="009D520B">
        <w:rPr>
          <w:rFonts w:ascii="Verdana" w:hAnsi="Verdana"/>
          <w:sz w:val="20"/>
          <w:szCs w:val="20"/>
        </w:rPr>
        <w:t xml:space="preserve">Sobre ese punto, corresponde recordar que </w:t>
      </w:r>
      <w:r w:rsidR="00CF40C9" w:rsidRPr="009D520B">
        <w:rPr>
          <w:rFonts w:ascii="Verdana" w:hAnsi="Verdana"/>
          <w:sz w:val="20"/>
          <w:szCs w:val="20"/>
        </w:rPr>
        <w:t>los Principios y Buenas Prácticas sobre la Protección de las Personas Privadas de Libertad en las Américas</w:t>
      </w:r>
      <w:r w:rsidR="008E45C1" w:rsidRPr="009D520B">
        <w:rPr>
          <w:rFonts w:ascii="Verdana" w:hAnsi="Verdana"/>
          <w:sz w:val="20"/>
          <w:szCs w:val="20"/>
        </w:rPr>
        <w:t xml:space="preserve"> </w:t>
      </w:r>
      <w:r w:rsidR="005F2EEA" w:rsidRPr="009D520B">
        <w:rPr>
          <w:rFonts w:ascii="Verdana" w:hAnsi="Verdana"/>
          <w:sz w:val="20"/>
          <w:szCs w:val="20"/>
        </w:rPr>
        <w:t>(</w:t>
      </w:r>
      <w:r w:rsidR="00CF40C9" w:rsidRPr="009D520B">
        <w:rPr>
          <w:rFonts w:ascii="Verdana" w:hAnsi="Verdana"/>
          <w:sz w:val="20"/>
          <w:szCs w:val="20"/>
        </w:rPr>
        <w:t>III</w:t>
      </w:r>
      <w:r w:rsidR="005F2EEA" w:rsidRPr="009D520B">
        <w:rPr>
          <w:rFonts w:ascii="Verdana" w:hAnsi="Verdana"/>
          <w:sz w:val="20"/>
          <w:szCs w:val="20"/>
        </w:rPr>
        <w:t>)</w:t>
      </w:r>
      <w:r w:rsidR="00180A68" w:rsidRPr="009D520B">
        <w:rPr>
          <w:rFonts w:ascii="Verdana" w:hAnsi="Verdana"/>
          <w:sz w:val="20"/>
          <w:szCs w:val="20"/>
        </w:rPr>
        <w:t xml:space="preserve"> </w:t>
      </w:r>
      <w:r w:rsidR="00CF40C9" w:rsidRPr="009D520B">
        <w:rPr>
          <w:rFonts w:ascii="Verdana" w:hAnsi="Verdana"/>
          <w:sz w:val="20"/>
          <w:szCs w:val="20"/>
        </w:rPr>
        <w:t>establecen que</w:t>
      </w:r>
      <w:r w:rsidR="00ED733D" w:rsidRPr="009D520B">
        <w:rPr>
          <w:rFonts w:ascii="Verdana" w:hAnsi="Verdana"/>
          <w:sz w:val="20"/>
          <w:szCs w:val="20"/>
        </w:rPr>
        <w:t>:</w:t>
      </w:r>
      <w:r w:rsidR="00CF40C9" w:rsidRPr="009D520B">
        <w:rPr>
          <w:rFonts w:ascii="Verdana" w:hAnsi="Verdana"/>
          <w:sz w:val="20"/>
          <w:szCs w:val="20"/>
        </w:rPr>
        <w:t xml:space="preserve"> </w:t>
      </w:r>
      <w:r>
        <w:rPr>
          <w:rFonts w:ascii="Verdana" w:hAnsi="Verdana"/>
          <w:sz w:val="20"/>
          <w:szCs w:val="20"/>
        </w:rPr>
        <w:t>a</w:t>
      </w:r>
      <w:r w:rsidR="00CF40C9" w:rsidRPr="009D520B">
        <w:rPr>
          <w:rFonts w:ascii="Verdana" w:hAnsi="Verdana"/>
          <w:sz w:val="20"/>
          <w:szCs w:val="20"/>
        </w:rPr>
        <w:t xml:space="preserve">) la privación de libertad previo a una sentencia condenatoria debe ser por el tiempo mínimo necesario; </w:t>
      </w:r>
      <w:r>
        <w:rPr>
          <w:rFonts w:ascii="Verdana" w:hAnsi="Verdana"/>
          <w:sz w:val="20"/>
          <w:szCs w:val="20"/>
        </w:rPr>
        <w:t>b</w:t>
      </w:r>
      <w:r w:rsidR="00CF40C9" w:rsidRPr="009D520B">
        <w:rPr>
          <w:rFonts w:ascii="Verdana" w:hAnsi="Verdana"/>
          <w:sz w:val="20"/>
          <w:szCs w:val="20"/>
        </w:rPr>
        <w:t xml:space="preserve">) la regla es la libertad del imputado y la excepción es la prisión preventiva; </w:t>
      </w:r>
      <w:r>
        <w:rPr>
          <w:rFonts w:ascii="Verdana" w:hAnsi="Verdana"/>
          <w:sz w:val="20"/>
          <w:szCs w:val="20"/>
        </w:rPr>
        <w:t>c</w:t>
      </w:r>
      <w:r w:rsidR="00CF40C9" w:rsidRPr="009D520B">
        <w:rPr>
          <w:rFonts w:ascii="Verdana" w:hAnsi="Verdana"/>
          <w:sz w:val="20"/>
          <w:szCs w:val="20"/>
        </w:rPr>
        <w:t xml:space="preserve">) en ciertos casos, cuando se prolonga en demasía, los requisitos que se reputan normales o suficientes para justificarla devienen insuficientes y se requiere un mayor esfuerzo argumentativo, y </w:t>
      </w:r>
      <w:r>
        <w:rPr>
          <w:rFonts w:ascii="Verdana" w:hAnsi="Verdana"/>
          <w:sz w:val="20"/>
          <w:szCs w:val="20"/>
        </w:rPr>
        <w:t>d</w:t>
      </w:r>
      <w:r w:rsidR="00CF40C9" w:rsidRPr="009D520B">
        <w:rPr>
          <w:rFonts w:ascii="Verdana" w:hAnsi="Verdana"/>
          <w:sz w:val="20"/>
          <w:szCs w:val="20"/>
        </w:rPr>
        <w:t>) se debe fundamentar y justificar en el caso concreto</w:t>
      </w:r>
      <w:r w:rsidR="00F65E31" w:rsidRPr="009D520B">
        <w:rPr>
          <w:rFonts w:ascii="Verdana" w:hAnsi="Verdana"/>
          <w:sz w:val="20"/>
          <w:szCs w:val="20"/>
        </w:rPr>
        <w:t>.</w:t>
      </w:r>
    </w:p>
    <w:p w14:paraId="76E9F8C3" w14:textId="1F58EFE5" w:rsidR="008230A0" w:rsidRPr="00351298" w:rsidRDefault="008230A0" w:rsidP="008230A0">
      <w:pPr>
        <w:numPr>
          <w:ilvl w:val="0"/>
          <w:numId w:val="2"/>
        </w:numPr>
        <w:spacing w:before="120" w:after="120"/>
        <w:ind w:left="0" w:firstLine="0"/>
        <w:jc w:val="both"/>
        <w:rPr>
          <w:rFonts w:ascii="Verdana" w:hAnsi="Verdana"/>
          <w:sz w:val="20"/>
          <w:szCs w:val="20"/>
          <w:lang w:val="es-ES" w:eastAsia="es-ES"/>
        </w:rPr>
      </w:pPr>
      <w:r w:rsidRPr="009D520B">
        <w:rPr>
          <w:rFonts w:ascii="Verdana" w:hAnsi="Verdana"/>
          <w:sz w:val="20"/>
          <w:szCs w:val="20"/>
          <w:lang w:val="es-MX" w:eastAsia="es-ES"/>
        </w:rPr>
        <w:t>Asimismo</w:t>
      </w:r>
      <w:r w:rsidRPr="009D520B">
        <w:rPr>
          <w:rFonts w:ascii="Verdana" w:hAnsi="Verdana"/>
          <w:sz w:val="20"/>
          <w:szCs w:val="20"/>
          <w:lang w:val="es-ES" w:eastAsia="es-ES"/>
        </w:rPr>
        <w:t>, la Corte ha considerado que cualquier restricción a la libertad que no contenga una motivación suficiente (artículo 8.1) que permita evaluar si se ajusta a las condiciones señaladas será arbitraria y, por tanto, viola el artículo</w:t>
      </w:r>
      <w:r w:rsidRPr="00351298">
        <w:rPr>
          <w:rFonts w:ascii="Verdana" w:hAnsi="Verdana"/>
          <w:sz w:val="20"/>
          <w:szCs w:val="20"/>
          <w:lang w:val="es-ES" w:eastAsia="es-ES"/>
        </w:rPr>
        <w:t xml:space="preserve"> 7.3 de la Convención. De este modo, para que se respete la presunción de inocencia (artículo 8.2) al ordenarse medidas cautelares restrictivas de la libertad, es preciso que el Estado fundamente y acredite, de manera clara y motivada, según cada caso concreto, la existencia de los referidos requisitos exigidos por la Convención</w:t>
      </w:r>
      <w:r w:rsidRPr="00351298">
        <w:rPr>
          <w:rFonts w:ascii="Verdana" w:hAnsi="Verdana"/>
          <w:sz w:val="20"/>
          <w:szCs w:val="20"/>
          <w:vertAlign w:val="superscript"/>
          <w:lang w:val="es-ES" w:eastAsia="es-ES"/>
        </w:rPr>
        <w:footnoteReference w:id="204"/>
      </w:r>
      <w:r w:rsidRPr="00351298">
        <w:rPr>
          <w:rFonts w:ascii="Verdana" w:hAnsi="Verdana"/>
          <w:sz w:val="20"/>
          <w:szCs w:val="20"/>
          <w:lang w:val="es-ES" w:eastAsia="es-ES"/>
        </w:rPr>
        <w:t xml:space="preserve">. </w:t>
      </w:r>
    </w:p>
    <w:p w14:paraId="2354BA93" w14:textId="77777777" w:rsidR="00C60F60" w:rsidRPr="009D520B" w:rsidRDefault="00D054B0" w:rsidP="00C60F60">
      <w:pPr>
        <w:pStyle w:val="Prrafodelista"/>
        <w:spacing w:before="240" w:after="240"/>
        <w:ind w:left="1418"/>
        <w:jc w:val="both"/>
        <w:outlineLvl w:val="4"/>
        <w:rPr>
          <w:rFonts w:ascii="Verdana" w:hAnsi="Verdana"/>
          <w:i/>
          <w:sz w:val="20"/>
          <w:szCs w:val="20"/>
        </w:rPr>
      </w:pPr>
      <w:r w:rsidRPr="00351298">
        <w:rPr>
          <w:rFonts w:ascii="Verdana" w:hAnsi="Verdana"/>
          <w:i/>
          <w:sz w:val="20"/>
          <w:szCs w:val="20"/>
        </w:rPr>
        <w:t xml:space="preserve">ii. La compatibilidad de la figura de la prisión preventiva </w:t>
      </w:r>
      <w:r w:rsidR="00C60F60" w:rsidRPr="00351298">
        <w:rPr>
          <w:rFonts w:ascii="Verdana" w:hAnsi="Verdana"/>
          <w:i/>
          <w:sz w:val="20"/>
          <w:szCs w:val="20"/>
        </w:rPr>
        <w:t xml:space="preserve">en el artículo 19 de la Constitución mexicana y </w:t>
      </w:r>
      <w:r w:rsidRPr="00351298">
        <w:rPr>
          <w:rFonts w:ascii="Verdana" w:hAnsi="Verdana"/>
          <w:i/>
          <w:sz w:val="20"/>
          <w:szCs w:val="20"/>
        </w:rPr>
        <w:t xml:space="preserve">en el Código de Procedimientos Penales para el Estado de </w:t>
      </w:r>
      <w:r w:rsidRPr="009D520B">
        <w:rPr>
          <w:rFonts w:ascii="Verdana" w:hAnsi="Verdana"/>
          <w:i/>
          <w:sz w:val="20"/>
          <w:szCs w:val="20"/>
        </w:rPr>
        <w:t xml:space="preserve">México de 2000 </w:t>
      </w:r>
      <w:r w:rsidR="00C60F60" w:rsidRPr="009D520B">
        <w:rPr>
          <w:rFonts w:ascii="Verdana" w:hAnsi="Verdana"/>
          <w:i/>
          <w:sz w:val="20"/>
          <w:szCs w:val="20"/>
        </w:rPr>
        <w:t>con la Convención Americana</w:t>
      </w:r>
    </w:p>
    <w:p w14:paraId="1B1D966B" w14:textId="07530854" w:rsidR="008C0D45" w:rsidRPr="009D520B" w:rsidRDefault="00D054B0" w:rsidP="00C42DD4">
      <w:pPr>
        <w:numPr>
          <w:ilvl w:val="0"/>
          <w:numId w:val="2"/>
        </w:numPr>
        <w:spacing w:before="120" w:after="120"/>
        <w:ind w:left="0" w:firstLine="0"/>
        <w:jc w:val="both"/>
        <w:rPr>
          <w:rFonts w:ascii="Verdana" w:hAnsi="Verdana"/>
          <w:b/>
          <w:bCs/>
          <w:color w:val="FF0000"/>
          <w:sz w:val="20"/>
          <w:szCs w:val="20"/>
        </w:rPr>
      </w:pPr>
      <w:r w:rsidRPr="009D520B">
        <w:rPr>
          <w:rFonts w:ascii="Verdana" w:hAnsi="Verdana"/>
          <w:sz w:val="20"/>
          <w:szCs w:val="20"/>
        </w:rPr>
        <w:t>L</w:t>
      </w:r>
      <w:r w:rsidR="00830B66" w:rsidRPr="009D520B">
        <w:rPr>
          <w:rFonts w:ascii="Verdana" w:hAnsi="Verdana"/>
          <w:sz w:val="20"/>
          <w:szCs w:val="20"/>
        </w:rPr>
        <w:t xml:space="preserve">a Corte </w:t>
      </w:r>
      <w:r w:rsidR="00B37DA1" w:rsidRPr="009D520B">
        <w:rPr>
          <w:rFonts w:ascii="Verdana" w:hAnsi="Verdana"/>
          <w:sz w:val="20"/>
          <w:szCs w:val="20"/>
        </w:rPr>
        <w:t xml:space="preserve">considera </w:t>
      </w:r>
      <w:r w:rsidR="00830B66" w:rsidRPr="009D520B">
        <w:rPr>
          <w:rFonts w:ascii="Verdana" w:hAnsi="Verdana"/>
          <w:sz w:val="20"/>
          <w:szCs w:val="20"/>
        </w:rPr>
        <w:t xml:space="preserve">que en el presente caso fue aplicada la figura de la prisión preventiva </w:t>
      </w:r>
      <w:r w:rsidR="00891369" w:rsidRPr="009D520B">
        <w:rPr>
          <w:rFonts w:ascii="Verdana" w:hAnsi="Verdana"/>
          <w:sz w:val="20"/>
          <w:szCs w:val="20"/>
        </w:rPr>
        <w:t xml:space="preserve">de conformidad con lo establecido en la Constitución mexicana y lo dispuesto en el Código de Procedimientos Penales para el Estado de México de 2000. </w:t>
      </w:r>
      <w:r w:rsidR="00F224A0" w:rsidRPr="009D520B">
        <w:rPr>
          <w:rFonts w:ascii="Verdana" w:hAnsi="Verdana"/>
          <w:sz w:val="20"/>
          <w:szCs w:val="20"/>
        </w:rPr>
        <w:t>En ese sentido, el</w:t>
      </w:r>
      <w:r w:rsidR="002A1EA4" w:rsidRPr="009D520B">
        <w:rPr>
          <w:rFonts w:ascii="Verdana" w:hAnsi="Verdana"/>
          <w:sz w:val="20"/>
          <w:szCs w:val="20"/>
        </w:rPr>
        <w:t xml:space="preserve"> </w:t>
      </w:r>
      <w:r w:rsidR="002A1EA4" w:rsidRPr="009D520B">
        <w:rPr>
          <w:rFonts w:ascii="Verdana" w:hAnsi="Verdana"/>
          <w:sz w:val="20"/>
          <w:szCs w:val="20"/>
          <w:lang w:val="es-ES_tradnl"/>
        </w:rPr>
        <w:t xml:space="preserve">auto formal de prisión </w:t>
      </w:r>
      <w:r w:rsidR="002A1EA4" w:rsidRPr="009D520B">
        <w:rPr>
          <w:rFonts w:ascii="Verdana" w:hAnsi="Verdana"/>
          <w:sz w:val="20"/>
          <w:szCs w:val="20"/>
        </w:rPr>
        <w:t>de 16 de abril de 2002 del Juez Quinto Penal</w:t>
      </w:r>
      <w:r w:rsidR="00830B66" w:rsidRPr="009D520B">
        <w:rPr>
          <w:rFonts w:ascii="Verdana" w:hAnsi="Verdana"/>
          <w:sz w:val="20"/>
          <w:szCs w:val="20"/>
        </w:rPr>
        <w:t xml:space="preserve"> </w:t>
      </w:r>
      <w:r w:rsidRPr="009D520B">
        <w:rPr>
          <w:rFonts w:ascii="Verdana" w:hAnsi="Verdana"/>
          <w:sz w:val="20"/>
          <w:szCs w:val="20"/>
        </w:rPr>
        <w:t xml:space="preserve">que dispuso </w:t>
      </w:r>
      <w:r w:rsidR="002A1EA4" w:rsidRPr="009D520B">
        <w:rPr>
          <w:rFonts w:ascii="Verdana" w:hAnsi="Verdana"/>
          <w:sz w:val="20"/>
          <w:szCs w:val="20"/>
        </w:rPr>
        <w:t>la prisión preventiva de Daniel García Rodríguez</w:t>
      </w:r>
      <w:r w:rsidR="00F224A0" w:rsidRPr="009D520B">
        <w:rPr>
          <w:rFonts w:ascii="Verdana" w:hAnsi="Verdana"/>
          <w:sz w:val="20"/>
          <w:szCs w:val="20"/>
        </w:rPr>
        <w:t>, así como la decisión de 30 de noviembre de 2002 del mismo juzgado mediante la cual se dispuso la prisión preventiva de Reyes Alpízar</w:t>
      </w:r>
      <w:r w:rsidR="007C78FA" w:rsidRPr="009D520B">
        <w:rPr>
          <w:rFonts w:ascii="Verdana" w:hAnsi="Verdana"/>
          <w:sz w:val="20"/>
          <w:szCs w:val="20"/>
        </w:rPr>
        <w:t xml:space="preserve"> Ortiz </w:t>
      </w:r>
      <w:r w:rsidR="00830B66" w:rsidRPr="009D520B">
        <w:rPr>
          <w:rFonts w:ascii="Verdana" w:hAnsi="Verdana"/>
          <w:sz w:val="20"/>
          <w:szCs w:val="20"/>
        </w:rPr>
        <w:t xml:space="preserve">se </w:t>
      </w:r>
      <w:r w:rsidRPr="009D520B">
        <w:rPr>
          <w:rFonts w:ascii="Verdana" w:hAnsi="Verdana"/>
          <w:sz w:val="20"/>
          <w:szCs w:val="20"/>
        </w:rPr>
        <w:t>bas</w:t>
      </w:r>
      <w:r w:rsidR="00F224A0" w:rsidRPr="009D520B">
        <w:rPr>
          <w:rFonts w:ascii="Verdana" w:hAnsi="Verdana"/>
          <w:sz w:val="20"/>
          <w:szCs w:val="20"/>
        </w:rPr>
        <w:t>aron</w:t>
      </w:r>
      <w:r w:rsidR="00830B66" w:rsidRPr="009D520B">
        <w:rPr>
          <w:rFonts w:ascii="Verdana" w:hAnsi="Verdana"/>
          <w:sz w:val="20"/>
          <w:szCs w:val="20"/>
        </w:rPr>
        <w:t xml:space="preserve"> </w:t>
      </w:r>
      <w:r w:rsidRPr="009D520B">
        <w:rPr>
          <w:rFonts w:ascii="Verdana" w:hAnsi="Verdana"/>
          <w:sz w:val="20"/>
          <w:szCs w:val="20"/>
        </w:rPr>
        <w:t>en</w:t>
      </w:r>
      <w:r w:rsidR="00830B66" w:rsidRPr="009D520B">
        <w:rPr>
          <w:rFonts w:ascii="Verdana" w:hAnsi="Verdana"/>
          <w:sz w:val="20"/>
          <w:szCs w:val="20"/>
        </w:rPr>
        <w:t xml:space="preserve"> el artículo 19 de la Constitución </w:t>
      </w:r>
      <w:r w:rsidRPr="009D520B">
        <w:rPr>
          <w:rFonts w:ascii="Verdana" w:hAnsi="Verdana"/>
          <w:sz w:val="20"/>
          <w:szCs w:val="20"/>
        </w:rPr>
        <w:t xml:space="preserve">vigente en el año 2002 y en </w:t>
      </w:r>
      <w:r w:rsidR="00891369" w:rsidRPr="009D520B">
        <w:rPr>
          <w:rFonts w:ascii="Verdana" w:hAnsi="Verdana"/>
          <w:sz w:val="20"/>
          <w:szCs w:val="20"/>
        </w:rPr>
        <w:t xml:space="preserve">el </w:t>
      </w:r>
      <w:r w:rsidRPr="009D520B">
        <w:rPr>
          <w:rFonts w:ascii="Verdana" w:hAnsi="Verdana"/>
          <w:sz w:val="20"/>
          <w:szCs w:val="20"/>
        </w:rPr>
        <w:t>Código de Procedimientos Penales para el Estado de México de 2000</w:t>
      </w:r>
      <w:r w:rsidR="00891369" w:rsidRPr="009D520B">
        <w:rPr>
          <w:rFonts w:ascii="Verdana" w:hAnsi="Verdana"/>
          <w:sz w:val="20"/>
          <w:szCs w:val="20"/>
        </w:rPr>
        <w:t xml:space="preserve"> que preveía la posibilidad de otorgar la libertad provisional de la persona procesada bajo caución, salvo cuando se trata de “delitos graves” (artículo 319)</w:t>
      </w:r>
      <w:r w:rsidRPr="009D520B">
        <w:rPr>
          <w:rFonts w:ascii="Verdana" w:hAnsi="Verdana"/>
          <w:sz w:val="20"/>
          <w:szCs w:val="20"/>
        </w:rPr>
        <w:t>;</w:t>
      </w:r>
      <w:r w:rsidR="00F224A0" w:rsidRPr="009D520B">
        <w:rPr>
          <w:rFonts w:ascii="Verdana" w:hAnsi="Verdana"/>
          <w:sz w:val="20"/>
          <w:szCs w:val="20"/>
        </w:rPr>
        <w:t xml:space="preserve"> mientras que otras decisiones posteriores que revisaron esas medidas cautelares privativas de la libertad se basaron también en la versión revisada del artículo 19 de la Constitución mexicana que dispone la llamada prisión preventiva oficiosa (como por ejemplo la decisión de 24 de noviembre </w:t>
      </w:r>
      <w:r w:rsidR="00231AB1">
        <w:rPr>
          <w:rFonts w:ascii="Verdana" w:hAnsi="Verdana"/>
          <w:sz w:val="20"/>
          <w:szCs w:val="20"/>
        </w:rPr>
        <w:t xml:space="preserve">de 2011 </w:t>
      </w:r>
      <w:r w:rsidR="00F224A0" w:rsidRPr="009D520B">
        <w:rPr>
          <w:rFonts w:ascii="Verdana" w:hAnsi="Verdana"/>
          <w:sz w:val="20"/>
          <w:szCs w:val="20"/>
        </w:rPr>
        <w:t xml:space="preserve">del Juzgado Quinto Penal de Primera Instancia, </w:t>
      </w:r>
      <w:r w:rsidR="00F224A0" w:rsidRPr="009D520B">
        <w:rPr>
          <w:rFonts w:ascii="Verdana" w:hAnsi="Verdana"/>
          <w:i/>
          <w:iCs/>
          <w:sz w:val="20"/>
          <w:szCs w:val="20"/>
        </w:rPr>
        <w:t>supra</w:t>
      </w:r>
      <w:r w:rsidR="00F224A0" w:rsidRPr="009D520B">
        <w:rPr>
          <w:rFonts w:ascii="Verdana" w:hAnsi="Verdana"/>
          <w:sz w:val="20"/>
          <w:szCs w:val="20"/>
        </w:rPr>
        <w:t xml:space="preserve"> párr. </w:t>
      </w:r>
      <w:r w:rsidR="00231AB1">
        <w:rPr>
          <w:rFonts w:ascii="Verdana" w:hAnsi="Verdana"/>
          <w:sz w:val="20"/>
          <w:szCs w:val="20"/>
        </w:rPr>
        <w:t>81</w:t>
      </w:r>
      <w:r w:rsidR="00F224A0" w:rsidRPr="009D520B">
        <w:rPr>
          <w:rFonts w:ascii="Verdana" w:hAnsi="Verdana"/>
          <w:sz w:val="20"/>
          <w:szCs w:val="20"/>
        </w:rPr>
        <w:t>).</w:t>
      </w:r>
      <w:r w:rsidRPr="009D520B">
        <w:rPr>
          <w:rFonts w:ascii="Verdana" w:hAnsi="Verdana"/>
          <w:sz w:val="20"/>
          <w:szCs w:val="20"/>
        </w:rPr>
        <w:t xml:space="preserve"> </w:t>
      </w:r>
      <w:r w:rsidR="00F224A0" w:rsidRPr="009D520B">
        <w:rPr>
          <w:rFonts w:ascii="Verdana" w:hAnsi="Verdana"/>
          <w:sz w:val="20"/>
          <w:szCs w:val="20"/>
        </w:rPr>
        <w:t>De conformidad con lo anterior, corresponde que esta Corte analice la compatib</w:t>
      </w:r>
      <w:r w:rsidR="00F4067E" w:rsidRPr="009D520B">
        <w:rPr>
          <w:rFonts w:ascii="Verdana" w:hAnsi="Verdana"/>
          <w:sz w:val="20"/>
          <w:szCs w:val="20"/>
        </w:rPr>
        <w:t>i</w:t>
      </w:r>
      <w:r w:rsidR="00F224A0" w:rsidRPr="009D520B">
        <w:rPr>
          <w:rFonts w:ascii="Verdana" w:hAnsi="Verdana"/>
          <w:sz w:val="20"/>
          <w:szCs w:val="20"/>
        </w:rPr>
        <w:t xml:space="preserve">lidad de la figura de la prisión preventiva contenida </w:t>
      </w:r>
      <w:r w:rsidR="00F224A0" w:rsidRPr="009D520B">
        <w:rPr>
          <w:rFonts w:ascii="Verdana" w:hAnsi="Verdana"/>
          <w:iCs/>
          <w:sz w:val="20"/>
          <w:szCs w:val="20"/>
        </w:rPr>
        <w:t xml:space="preserve">en el artículo 19 de la Constitución mexicana, </w:t>
      </w:r>
      <w:r w:rsidR="001206E8" w:rsidRPr="009D520B">
        <w:rPr>
          <w:rFonts w:ascii="Verdana" w:hAnsi="Verdana"/>
          <w:iCs/>
          <w:sz w:val="20"/>
          <w:szCs w:val="20"/>
        </w:rPr>
        <w:t xml:space="preserve">tanto en la redacción que tenía cuando las presuntas víctimas fueron objeto de la medida cautelar, como en la redacción reformada en el año </w:t>
      </w:r>
      <w:r w:rsidR="00231AB1">
        <w:rPr>
          <w:rFonts w:ascii="Verdana" w:hAnsi="Verdana"/>
          <w:iCs/>
          <w:sz w:val="20"/>
          <w:szCs w:val="20"/>
        </w:rPr>
        <w:t>2008</w:t>
      </w:r>
      <w:r w:rsidR="001206E8" w:rsidRPr="009D520B">
        <w:rPr>
          <w:rFonts w:ascii="Verdana" w:hAnsi="Verdana"/>
          <w:iCs/>
          <w:sz w:val="20"/>
          <w:szCs w:val="20"/>
        </w:rPr>
        <w:t xml:space="preserve">, </w:t>
      </w:r>
      <w:r w:rsidR="00F224A0" w:rsidRPr="009D520B">
        <w:rPr>
          <w:rFonts w:ascii="Verdana" w:hAnsi="Verdana"/>
          <w:iCs/>
          <w:sz w:val="20"/>
          <w:szCs w:val="20"/>
        </w:rPr>
        <w:t xml:space="preserve">con la </w:t>
      </w:r>
      <w:r w:rsidR="00F224A0" w:rsidRPr="009D520B">
        <w:rPr>
          <w:rFonts w:ascii="Verdana" w:hAnsi="Verdana"/>
          <w:iCs/>
          <w:sz w:val="20"/>
          <w:szCs w:val="20"/>
        </w:rPr>
        <w:lastRenderedPageBreak/>
        <w:t>Convención Americana</w:t>
      </w:r>
      <w:r w:rsidR="003C19CF" w:rsidRPr="009D520B">
        <w:rPr>
          <w:rFonts w:ascii="Verdana" w:hAnsi="Verdana"/>
          <w:iCs/>
          <w:sz w:val="20"/>
          <w:szCs w:val="20"/>
        </w:rPr>
        <w:t xml:space="preserve">. Además, corresponde analizar la figura de la prisión preventiva </w:t>
      </w:r>
      <w:r w:rsidR="003C19CF" w:rsidRPr="009D520B">
        <w:rPr>
          <w:rFonts w:ascii="Verdana" w:hAnsi="Verdana"/>
          <w:sz w:val="20"/>
          <w:szCs w:val="20"/>
        </w:rPr>
        <w:t xml:space="preserve">en el </w:t>
      </w:r>
      <w:r w:rsidR="003C19CF" w:rsidRPr="009D520B">
        <w:rPr>
          <w:rFonts w:ascii="Verdana" w:hAnsi="Verdana"/>
          <w:iCs/>
          <w:sz w:val="20"/>
          <w:szCs w:val="20"/>
        </w:rPr>
        <w:t>Código</w:t>
      </w:r>
      <w:r w:rsidR="003C19CF" w:rsidRPr="009D520B">
        <w:rPr>
          <w:rFonts w:ascii="Verdana" w:hAnsi="Verdana"/>
          <w:i/>
          <w:sz w:val="20"/>
          <w:szCs w:val="20"/>
        </w:rPr>
        <w:t xml:space="preserve"> </w:t>
      </w:r>
      <w:r w:rsidR="003C19CF" w:rsidRPr="009D520B">
        <w:rPr>
          <w:rFonts w:ascii="Verdana" w:hAnsi="Verdana"/>
          <w:iCs/>
          <w:sz w:val="20"/>
          <w:szCs w:val="20"/>
        </w:rPr>
        <w:t>de Procedimientos Penales para el Estado de México de 2000</w:t>
      </w:r>
      <w:r w:rsidR="00F224A0" w:rsidRPr="009D520B">
        <w:rPr>
          <w:rFonts w:ascii="Verdana" w:hAnsi="Verdana"/>
          <w:iCs/>
          <w:sz w:val="20"/>
          <w:szCs w:val="20"/>
        </w:rPr>
        <w:t>.</w:t>
      </w:r>
      <w:r w:rsidR="00C60F60" w:rsidRPr="009D520B">
        <w:rPr>
          <w:rFonts w:ascii="Verdana" w:hAnsi="Verdana"/>
          <w:iCs/>
          <w:sz w:val="20"/>
          <w:szCs w:val="20"/>
        </w:rPr>
        <w:t xml:space="preserve"> </w:t>
      </w:r>
    </w:p>
    <w:p w14:paraId="7CA9CF81" w14:textId="06679D66" w:rsidR="00F4067E" w:rsidRPr="009D520B" w:rsidRDefault="00F224A0" w:rsidP="00D73463">
      <w:pPr>
        <w:numPr>
          <w:ilvl w:val="0"/>
          <w:numId w:val="2"/>
        </w:numPr>
        <w:spacing w:before="120" w:after="120"/>
        <w:ind w:left="0" w:firstLine="0"/>
        <w:jc w:val="both"/>
        <w:rPr>
          <w:rFonts w:ascii="Verdana" w:hAnsi="Verdana"/>
          <w:sz w:val="20"/>
          <w:szCs w:val="20"/>
        </w:rPr>
      </w:pPr>
      <w:r w:rsidRPr="009D520B">
        <w:rPr>
          <w:rFonts w:ascii="Verdana" w:hAnsi="Verdana"/>
          <w:sz w:val="20"/>
          <w:szCs w:val="20"/>
        </w:rPr>
        <w:t xml:space="preserve">Se mencionó que </w:t>
      </w:r>
      <w:r w:rsidR="00F4067E" w:rsidRPr="009D520B">
        <w:rPr>
          <w:rFonts w:ascii="Verdana" w:hAnsi="Verdana"/>
          <w:sz w:val="20"/>
          <w:szCs w:val="20"/>
        </w:rPr>
        <w:t>la Constitución Política de México vigente al momento en que tuvieron lugar los hechos del caso establecía en su artículo 19 que “[n]inguna detención ante autoridad judicial podrá exceder del plazo de setenta y dos horas, a partir de que el indiciado sea puesto a su disposición, sin que se justifique con un auto de formal prisión en el que se expresarán: el delito que se impute al acusado; el lugar, tiempo y circunstancias de ejecución, así como los datos que arroje la averiguación previa, los que deberán ser bastantes para comprobar el cuerpo del delito y hacer probable la responsabilidad del indiciado</w:t>
      </w:r>
      <w:r w:rsidR="00B65263" w:rsidRPr="009D520B">
        <w:rPr>
          <w:rFonts w:ascii="Verdana" w:hAnsi="Verdana"/>
          <w:sz w:val="20"/>
          <w:szCs w:val="20"/>
        </w:rPr>
        <w:t>”</w:t>
      </w:r>
      <w:r w:rsidR="00F4067E" w:rsidRPr="009D520B">
        <w:rPr>
          <w:rFonts w:ascii="Verdana" w:hAnsi="Verdana"/>
          <w:sz w:val="20"/>
          <w:szCs w:val="20"/>
        </w:rPr>
        <w:t>.</w:t>
      </w:r>
    </w:p>
    <w:p w14:paraId="68BDBAD5" w14:textId="6FFFA9D0" w:rsidR="00B65263" w:rsidRPr="009D520B" w:rsidRDefault="00B65263" w:rsidP="00B65263">
      <w:pPr>
        <w:numPr>
          <w:ilvl w:val="0"/>
          <w:numId w:val="2"/>
        </w:numPr>
        <w:spacing w:before="120" w:after="120"/>
        <w:ind w:left="0" w:firstLine="0"/>
        <w:jc w:val="both"/>
        <w:rPr>
          <w:rFonts w:ascii="Verdana" w:hAnsi="Verdana"/>
          <w:sz w:val="20"/>
          <w:szCs w:val="20"/>
        </w:rPr>
      </w:pPr>
      <w:r w:rsidRPr="009D520B">
        <w:rPr>
          <w:rFonts w:ascii="Verdana" w:hAnsi="Verdana"/>
          <w:sz w:val="20"/>
          <w:szCs w:val="20"/>
        </w:rPr>
        <w:t xml:space="preserve">Del mismo modo, la redacción de ese artículo 19 de la Constitución luego de la reforma del año </w:t>
      </w:r>
      <w:r w:rsidR="00231AB1">
        <w:rPr>
          <w:rFonts w:ascii="Verdana" w:hAnsi="Verdana"/>
          <w:sz w:val="20"/>
          <w:szCs w:val="20"/>
        </w:rPr>
        <w:t>2008</w:t>
      </w:r>
      <w:r w:rsidR="00231AB1" w:rsidRPr="009D520B">
        <w:rPr>
          <w:rFonts w:ascii="Verdana" w:hAnsi="Verdana"/>
          <w:sz w:val="20"/>
          <w:szCs w:val="20"/>
        </w:rPr>
        <w:t xml:space="preserve"> </w:t>
      </w:r>
      <w:r w:rsidRPr="009D520B">
        <w:rPr>
          <w:rFonts w:ascii="Verdana" w:hAnsi="Verdana"/>
          <w:sz w:val="20"/>
          <w:szCs w:val="20"/>
        </w:rPr>
        <w:t xml:space="preserve">agregó un segundo párrafo a continuación del mencionado </w:t>
      </w:r>
      <w:r w:rsidRPr="00D04822">
        <w:rPr>
          <w:rFonts w:ascii="Verdana" w:hAnsi="Verdana"/>
          <w:i/>
          <w:iCs/>
          <w:sz w:val="20"/>
          <w:szCs w:val="20"/>
        </w:rPr>
        <w:t>supra</w:t>
      </w:r>
      <w:r w:rsidRPr="009D520B">
        <w:rPr>
          <w:rFonts w:ascii="Verdana" w:hAnsi="Verdana"/>
          <w:sz w:val="20"/>
          <w:szCs w:val="20"/>
        </w:rPr>
        <w:t xml:space="preserve"> en el que se establece que el “Ministerio Público sólo podrá solicitar al juez la prisión preventiva cuando otras medidas cautelares no sean suficientes para garantizar la comparecencia del imputado en el juicio, el desarrollo de la investigación, la protección de la víctima, de los testigos o de la comunidad, así como cuando el imputado esté siendo procesado o haya sido sentenciado previamente por la comisión de un delito doloso. El juez ordenará la prisión preventiva, oficiosamente, en los casos de delincuencia organizada, homicidio doloso, violación, secuestro, trata de personas, delitos cometidos con medios violentos como armas y explosivos, así como delitos graves que determine la ley en contra de la seguridad de la nación, el libre desarrollo de la personalidad y de la salud”.</w:t>
      </w:r>
      <w:r w:rsidR="003C19CF" w:rsidRPr="009D520B">
        <w:rPr>
          <w:rFonts w:ascii="Verdana" w:hAnsi="Verdana"/>
          <w:sz w:val="20"/>
          <w:szCs w:val="20"/>
        </w:rPr>
        <w:t xml:space="preserve"> </w:t>
      </w:r>
    </w:p>
    <w:p w14:paraId="425EEB0A" w14:textId="4C44218A" w:rsidR="006D20F9" w:rsidRPr="009D520B" w:rsidRDefault="2BC821FB" w:rsidP="1D64B15C">
      <w:pPr>
        <w:numPr>
          <w:ilvl w:val="0"/>
          <w:numId w:val="2"/>
        </w:numPr>
        <w:spacing w:before="120" w:after="120"/>
        <w:ind w:left="0" w:firstLine="0"/>
        <w:jc w:val="both"/>
        <w:rPr>
          <w:rFonts w:ascii="Verdana" w:eastAsia="Calibri" w:hAnsi="Verdana" w:cs="Arial"/>
          <w:sz w:val="20"/>
          <w:szCs w:val="20"/>
          <w:lang w:eastAsia="es-CR"/>
        </w:rPr>
      </w:pPr>
      <w:r w:rsidRPr="1D64B15C">
        <w:rPr>
          <w:rFonts w:ascii="Verdana" w:eastAsia="Calibri" w:hAnsi="Verdana" w:cs="Arial"/>
          <w:sz w:val="20"/>
          <w:szCs w:val="20"/>
          <w:lang w:eastAsia="es-CR"/>
        </w:rPr>
        <w:t>Por su parte, el artículo 319 del Código de Procedimientos Penales para el Estado de México de 2000</w:t>
      </w:r>
      <w:r w:rsidR="0416C9BF" w:rsidRPr="1D64B15C">
        <w:rPr>
          <w:rFonts w:ascii="Verdana" w:eastAsia="Calibri" w:hAnsi="Verdana" w:cs="Arial"/>
          <w:sz w:val="20"/>
          <w:szCs w:val="20"/>
          <w:lang w:eastAsia="es-CR"/>
        </w:rPr>
        <w:t>, vigente a la época de los hechos,</w:t>
      </w:r>
      <w:r w:rsidRPr="1D64B15C">
        <w:rPr>
          <w:rFonts w:ascii="Verdana" w:eastAsia="Calibri" w:hAnsi="Verdana" w:cs="Arial"/>
          <w:sz w:val="20"/>
          <w:szCs w:val="20"/>
          <w:lang w:eastAsia="es-CR"/>
        </w:rPr>
        <w:t xml:space="preserve"> </w:t>
      </w:r>
      <w:r w:rsidRPr="1D64B15C">
        <w:rPr>
          <w:rFonts w:ascii="Verdana" w:hAnsi="Verdana"/>
          <w:sz w:val="20"/>
          <w:szCs w:val="20"/>
        </w:rPr>
        <w:t>establecía</w:t>
      </w:r>
      <w:r w:rsidRPr="1D64B15C">
        <w:rPr>
          <w:rFonts w:ascii="Verdana" w:eastAsia="Calibri" w:hAnsi="Verdana" w:cs="Arial"/>
          <w:sz w:val="20"/>
          <w:szCs w:val="20"/>
          <w:lang w:eastAsia="es-CR"/>
        </w:rPr>
        <w:t xml:space="preserve"> que: “Desde el momento en que quede a disposición del órgano jurisdiccional, todo inculpado tendrá derecho a ser puesto en libertad provisional bajo caución inmediatamente que lo solicite, si se reúnen los siguientes requisitos […] IV. Que no se trate de alguno de los delitos señalados como graves en la ley penal”. </w:t>
      </w:r>
      <w:r w:rsidR="0D4DA40A" w:rsidRPr="1D64B15C">
        <w:rPr>
          <w:rFonts w:ascii="Verdana" w:eastAsia="Calibri" w:hAnsi="Verdana" w:cs="Arial"/>
          <w:sz w:val="20"/>
          <w:szCs w:val="20"/>
          <w:lang w:eastAsia="es-CR"/>
        </w:rPr>
        <w:t>A su vez, el artículo 9 del código Penal del Estado de México de 20 marzo de 2000 establecía que “Se califican como delitos graves para todos los efectos legales: (…) el de delincuencia organizada, previsto en el artículo 178; (…) el de homicidio, contenido en el artículo 241; el de secuestro, señalado por el artículo 259; (…) y los previstos en las leyes especiales cuando la pena máxima exceda de diez años de prisión”.</w:t>
      </w:r>
    </w:p>
    <w:p w14:paraId="0C31FE70" w14:textId="4102862E" w:rsidR="00663ED6" w:rsidRPr="009D520B" w:rsidRDefault="00663ED6" w:rsidP="00B67EAC">
      <w:pPr>
        <w:numPr>
          <w:ilvl w:val="0"/>
          <w:numId w:val="2"/>
        </w:numPr>
        <w:spacing w:before="120" w:after="120"/>
        <w:ind w:left="0" w:firstLine="0"/>
        <w:jc w:val="both"/>
        <w:rPr>
          <w:rFonts w:ascii="Verdana" w:hAnsi="Verdana"/>
          <w:snapToGrid w:val="0"/>
          <w:spacing w:val="-2"/>
          <w:sz w:val="20"/>
          <w:szCs w:val="20"/>
          <w:lang w:eastAsia="es-ES"/>
        </w:rPr>
      </w:pPr>
      <w:r w:rsidRPr="009D520B">
        <w:rPr>
          <w:rFonts w:ascii="Verdana" w:eastAsia="Calibri" w:hAnsi="Verdana" w:cs="Arial"/>
          <w:bCs/>
          <w:sz w:val="20"/>
          <w:szCs w:val="20"/>
          <w:lang w:eastAsia="es-CR"/>
        </w:rPr>
        <w:t>En lo que se refiere a la privación a la libertad sin condena en el marco de un proceso penal, tal como lo establecía</w:t>
      </w:r>
      <w:r w:rsidRPr="009D520B">
        <w:rPr>
          <w:rFonts w:ascii="Verdana" w:hAnsi="Verdana"/>
          <w:snapToGrid w:val="0"/>
          <w:spacing w:val="-2"/>
          <w:sz w:val="20"/>
          <w:szCs w:val="20"/>
          <w:lang w:eastAsia="es-ES"/>
        </w:rPr>
        <w:t xml:space="preserve"> el artículo 319 del </w:t>
      </w:r>
      <w:r w:rsidRPr="009D520B">
        <w:rPr>
          <w:rFonts w:ascii="Verdana" w:eastAsia="Calibri" w:hAnsi="Verdana" w:cs="Arial"/>
          <w:bCs/>
          <w:sz w:val="20"/>
          <w:szCs w:val="20"/>
          <w:lang w:eastAsia="es-CR"/>
        </w:rPr>
        <w:t xml:space="preserve">Código de Procedimientos Penales para el Estado de México de 2000, </w:t>
      </w:r>
      <w:r w:rsidR="00DD07A4" w:rsidRPr="009D520B">
        <w:rPr>
          <w:rFonts w:ascii="Verdana" w:hAnsi="Verdana"/>
          <w:snapToGrid w:val="0"/>
          <w:spacing w:val="-2"/>
          <w:sz w:val="20"/>
          <w:szCs w:val="20"/>
          <w:lang w:eastAsia="es-ES"/>
        </w:rPr>
        <w:t xml:space="preserve">el Tribunal constata que la norma </w:t>
      </w:r>
      <w:r w:rsidRPr="009D520B">
        <w:rPr>
          <w:rFonts w:ascii="Verdana" w:eastAsia="Calibri" w:hAnsi="Verdana" w:cs="Arial"/>
          <w:bCs/>
          <w:sz w:val="20"/>
          <w:szCs w:val="20"/>
          <w:lang w:eastAsia="es-CR"/>
        </w:rPr>
        <w:t>aludida se refiere únicamente a la concurrencia de los presupuestos materiales, es decir al hecho punible y a la participación del imputado</w:t>
      </w:r>
      <w:r w:rsidR="00B67EAC" w:rsidRPr="009D520B">
        <w:rPr>
          <w:rFonts w:ascii="Verdana" w:eastAsia="Calibri" w:hAnsi="Verdana" w:cs="Arial"/>
          <w:bCs/>
          <w:sz w:val="20"/>
          <w:szCs w:val="20"/>
          <w:lang w:eastAsia="es-CR"/>
        </w:rPr>
        <w:t xml:space="preserve">, así como a la gravedad del delito que se le está </w:t>
      </w:r>
      <w:r w:rsidR="00C138A5" w:rsidRPr="009D520B">
        <w:rPr>
          <w:rFonts w:ascii="Verdana" w:eastAsia="Calibri" w:hAnsi="Verdana" w:cs="Arial"/>
          <w:bCs/>
          <w:sz w:val="20"/>
          <w:szCs w:val="20"/>
          <w:lang w:eastAsia="es-CR"/>
        </w:rPr>
        <w:t>atribuyendo</w:t>
      </w:r>
      <w:r w:rsidRPr="009D520B">
        <w:rPr>
          <w:rFonts w:ascii="Verdana" w:eastAsia="Calibri" w:hAnsi="Verdana" w:cs="Arial"/>
          <w:bCs/>
          <w:sz w:val="20"/>
          <w:szCs w:val="20"/>
          <w:lang w:eastAsia="es-CR"/>
        </w:rPr>
        <w:t>. La norma no hace referencia a las finalidades de la prisión preventiva, ni a los peligros procesales que buscaría precaver, ni tampoco a la exigencia de hacer un análisis de la necesidad de la medida frente a otras menos lesivas para los derechos de la persona procesada, como lo serían las medidas alternativas a la privación a la libertad. Por lo tanto, tal como está concebida, la prisión preventiva no tiene</w:t>
      </w:r>
      <w:r w:rsidR="00ED733D" w:rsidRPr="009D520B">
        <w:rPr>
          <w:rFonts w:ascii="Verdana" w:eastAsia="Calibri" w:hAnsi="Verdana" w:cs="Arial"/>
          <w:bCs/>
          <w:sz w:val="20"/>
          <w:szCs w:val="20"/>
          <w:lang w:eastAsia="es-CR"/>
        </w:rPr>
        <w:t xml:space="preserve"> </w:t>
      </w:r>
      <w:r w:rsidRPr="009D520B">
        <w:rPr>
          <w:rFonts w:ascii="Verdana" w:eastAsia="Calibri" w:hAnsi="Verdana" w:cs="Arial"/>
          <w:bCs/>
          <w:sz w:val="20"/>
          <w:szCs w:val="20"/>
          <w:lang w:eastAsia="es-CR"/>
        </w:rPr>
        <w:t>finalidad cautelar alguna y se transforma en una pena anticipada.</w:t>
      </w:r>
    </w:p>
    <w:p w14:paraId="44E537F5" w14:textId="0FA51472" w:rsidR="00B77109" w:rsidRPr="009D520B" w:rsidRDefault="00B77109" w:rsidP="00B77109">
      <w:pPr>
        <w:numPr>
          <w:ilvl w:val="0"/>
          <w:numId w:val="2"/>
        </w:numPr>
        <w:spacing w:before="120" w:after="120"/>
        <w:ind w:left="0" w:firstLine="0"/>
        <w:jc w:val="both"/>
        <w:rPr>
          <w:rFonts w:ascii="Verdana" w:hAnsi="Verdana"/>
          <w:snapToGrid w:val="0"/>
          <w:spacing w:val="-2"/>
          <w:sz w:val="20"/>
          <w:szCs w:val="20"/>
          <w:lang w:eastAsia="es-ES"/>
        </w:rPr>
      </w:pPr>
      <w:r w:rsidRPr="009D520B">
        <w:rPr>
          <w:rFonts w:ascii="Verdana" w:hAnsi="Verdana"/>
          <w:snapToGrid w:val="0"/>
          <w:spacing w:val="-2"/>
          <w:sz w:val="20"/>
          <w:szCs w:val="20"/>
          <w:lang w:eastAsia="es-ES"/>
        </w:rPr>
        <w:t xml:space="preserve">En el mismo sentido, esta Corte constata que el artículo 19 reformado de la Constitución mexicana, el cual establece que la autoridad judicial </w:t>
      </w:r>
      <w:r w:rsidRPr="009D520B">
        <w:rPr>
          <w:rFonts w:ascii="Verdana" w:hAnsi="Verdana"/>
          <w:sz w:val="20"/>
          <w:szCs w:val="20"/>
        </w:rPr>
        <w:t>“ordenará la prisión preventiva, oficiosamente</w:t>
      </w:r>
      <w:r w:rsidRPr="009D520B">
        <w:rPr>
          <w:rFonts w:ascii="Verdana" w:hAnsi="Verdana"/>
          <w:snapToGrid w:val="0"/>
          <w:spacing w:val="-2"/>
          <w:sz w:val="20"/>
          <w:szCs w:val="20"/>
          <w:lang w:eastAsia="es-ES"/>
        </w:rPr>
        <w:t>” para ciertos delitos, adolece de las mismas problemáticas que fueron señaladas para el artículo 319 del Código de Procedimientos Penales para el Estado de México de 2000.</w:t>
      </w:r>
    </w:p>
    <w:p w14:paraId="4B0E1AE7" w14:textId="25293D6D" w:rsidR="00254DFD" w:rsidRPr="009D520B" w:rsidRDefault="7A048BBC" w:rsidP="00B77109">
      <w:pPr>
        <w:numPr>
          <w:ilvl w:val="0"/>
          <w:numId w:val="2"/>
        </w:numPr>
        <w:spacing w:before="120" w:after="120"/>
        <w:ind w:left="0" w:firstLine="0"/>
        <w:jc w:val="both"/>
        <w:rPr>
          <w:rFonts w:ascii="Verdana" w:hAnsi="Verdana"/>
          <w:snapToGrid w:val="0"/>
          <w:spacing w:val="-2"/>
          <w:sz w:val="20"/>
          <w:szCs w:val="20"/>
          <w:lang w:eastAsia="es-ES"/>
        </w:rPr>
      </w:pPr>
      <w:r w:rsidRPr="009D520B">
        <w:rPr>
          <w:rFonts w:ascii="Verdana" w:hAnsi="Verdana"/>
          <w:snapToGrid w:val="0"/>
          <w:spacing w:val="-2"/>
          <w:sz w:val="20"/>
          <w:szCs w:val="20"/>
          <w:lang w:eastAsia="es-ES"/>
        </w:rPr>
        <w:t xml:space="preserve">En ambas disposiciones legales, la </w:t>
      </w:r>
      <w:r w:rsidR="00231AB1">
        <w:rPr>
          <w:rFonts w:ascii="Verdana" w:hAnsi="Verdana"/>
          <w:snapToGrid w:val="0"/>
          <w:spacing w:val="-2"/>
          <w:sz w:val="20"/>
          <w:szCs w:val="20"/>
          <w:lang w:eastAsia="es-ES"/>
        </w:rPr>
        <w:t>p</w:t>
      </w:r>
      <w:r w:rsidR="614BBC9E" w:rsidRPr="009D520B">
        <w:rPr>
          <w:rFonts w:ascii="Verdana" w:hAnsi="Verdana"/>
          <w:snapToGrid w:val="0"/>
          <w:spacing w:val="-2"/>
          <w:sz w:val="20"/>
          <w:szCs w:val="20"/>
          <w:lang w:eastAsia="es-ES"/>
        </w:rPr>
        <w:t>receptividad</w:t>
      </w:r>
      <w:r w:rsidRPr="009D520B">
        <w:rPr>
          <w:rFonts w:ascii="Verdana" w:hAnsi="Verdana"/>
          <w:snapToGrid w:val="0"/>
          <w:spacing w:val="-2"/>
          <w:sz w:val="20"/>
          <w:szCs w:val="20"/>
          <w:lang w:eastAsia="es-ES"/>
        </w:rPr>
        <w:t xml:space="preserve"> del instituto, además, limita el rol del juez afectando su independencia (porque carece de margen de decisión) y supone un acto que deviene exento de todo control real, al tener por motivación la mera aplicación de la norma constitucional, impidiendo al imputado controvertir los hechos o discutir el fundamento.</w:t>
      </w:r>
    </w:p>
    <w:p w14:paraId="52C3D942" w14:textId="02F36C36" w:rsidR="00663ED6" w:rsidRPr="009D520B" w:rsidRDefault="00B77109" w:rsidP="00663ED6">
      <w:pPr>
        <w:numPr>
          <w:ilvl w:val="0"/>
          <w:numId w:val="2"/>
        </w:numPr>
        <w:spacing w:before="120" w:after="120"/>
        <w:ind w:left="0" w:firstLine="0"/>
        <w:jc w:val="both"/>
        <w:rPr>
          <w:rFonts w:ascii="Verdana" w:hAnsi="Verdana"/>
          <w:snapToGrid w:val="0"/>
          <w:spacing w:val="-2"/>
          <w:sz w:val="20"/>
          <w:szCs w:val="20"/>
          <w:lang w:eastAsia="es-ES"/>
        </w:rPr>
      </w:pPr>
      <w:r w:rsidRPr="009D520B">
        <w:rPr>
          <w:rFonts w:ascii="Verdana" w:hAnsi="Verdana"/>
          <w:snapToGrid w:val="0"/>
          <w:spacing w:val="-2"/>
          <w:sz w:val="20"/>
          <w:szCs w:val="20"/>
          <w:lang w:eastAsia="es-ES"/>
        </w:rPr>
        <w:t>En suma</w:t>
      </w:r>
      <w:r w:rsidR="00663ED6" w:rsidRPr="009D520B">
        <w:rPr>
          <w:rFonts w:ascii="Verdana" w:hAnsi="Verdana"/>
          <w:snapToGrid w:val="0"/>
          <w:spacing w:val="-2"/>
          <w:sz w:val="20"/>
          <w:szCs w:val="20"/>
          <w:lang w:eastAsia="es-ES"/>
        </w:rPr>
        <w:t xml:space="preserve">, de la lectura del </w:t>
      </w:r>
      <w:r w:rsidR="00B67EAC" w:rsidRPr="009D520B">
        <w:rPr>
          <w:rFonts w:ascii="Verdana" w:hAnsi="Verdana"/>
          <w:snapToGrid w:val="0"/>
          <w:spacing w:val="-2"/>
          <w:sz w:val="20"/>
          <w:szCs w:val="20"/>
          <w:lang w:eastAsia="es-ES"/>
        </w:rPr>
        <w:t xml:space="preserve">artículo 319 del Código de Procedimientos Penales para el Estado de México de 2000, </w:t>
      </w:r>
      <w:r w:rsidRPr="009D520B">
        <w:rPr>
          <w:rFonts w:ascii="Verdana" w:hAnsi="Verdana"/>
          <w:snapToGrid w:val="0"/>
          <w:spacing w:val="-2"/>
          <w:sz w:val="20"/>
          <w:szCs w:val="20"/>
          <w:lang w:eastAsia="es-ES"/>
        </w:rPr>
        <w:t>y del</w:t>
      </w:r>
      <w:r w:rsidR="00B67EAC" w:rsidRPr="009D520B">
        <w:rPr>
          <w:rFonts w:ascii="Verdana" w:hAnsi="Verdana"/>
          <w:snapToGrid w:val="0"/>
          <w:spacing w:val="-2"/>
          <w:sz w:val="20"/>
          <w:szCs w:val="20"/>
          <w:lang w:eastAsia="es-ES"/>
        </w:rPr>
        <w:t xml:space="preserve"> artículo 19 de la Constitución</w:t>
      </w:r>
      <w:r w:rsidR="00663ED6" w:rsidRPr="009D520B">
        <w:rPr>
          <w:rFonts w:ascii="Verdana" w:hAnsi="Verdana"/>
          <w:snapToGrid w:val="0"/>
          <w:spacing w:val="-2"/>
          <w:sz w:val="20"/>
          <w:szCs w:val="20"/>
          <w:lang w:eastAsia="es-ES"/>
        </w:rPr>
        <w:t>, cuando se trata de un proceso penal por un delito que conlleva sanciones privativas a la libertad, pareciera que</w:t>
      </w:r>
      <w:r w:rsidR="009D520B" w:rsidRPr="009D520B">
        <w:rPr>
          <w:rFonts w:ascii="Verdana" w:hAnsi="Verdana"/>
          <w:snapToGrid w:val="0"/>
          <w:spacing w:val="-2"/>
          <w:sz w:val="20"/>
          <w:szCs w:val="20"/>
          <w:lang w:eastAsia="es-ES"/>
        </w:rPr>
        <w:t>,</w:t>
      </w:r>
      <w:r w:rsidR="00663ED6" w:rsidRPr="009D520B">
        <w:rPr>
          <w:rFonts w:ascii="Verdana" w:hAnsi="Verdana"/>
          <w:snapToGrid w:val="0"/>
          <w:spacing w:val="-2"/>
          <w:sz w:val="20"/>
          <w:szCs w:val="20"/>
          <w:lang w:eastAsia="es-ES"/>
        </w:rPr>
        <w:t xml:space="preserve"> una vez comprobados los </w:t>
      </w:r>
      <w:r w:rsidR="00663ED6" w:rsidRPr="009D520B">
        <w:rPr>
          <w:rFonts w:ascii="Verdana" w:hAnsi="Verdana"/>
          <w:snapToGrid w:val="0"/>
          <w:spacing w:val="-2"/>
          <w:sz w:val="20"/>
          <w:szCs w:val="20"/>
          <w:lang w:eastAsia="es-ES"/>
        </w:rPr>
        <w:lastRenderedPageBreak/>
        <w:t>supuestos materiales, basta con verificar que se le tomó la declaración a la persona procesada (o que conste que se rehusó a declarar) para que se aplique la prisión preventiva. De es</w:t>
      </w:r>
      <w:r w:rsidR="00E87730" w:rsidRPr="009D520B">
        <w:rPr>
          <w:rFonts w:ascii="Verdana" w:hAnsi="Verdana"/>
          <w:snapToGrid w:val="0"/>
          <w:spacing w:val="-2"/>
          <w:sz w:val="20"/>
          <w:szCs w:val="20"/>
          <w:lang w:eastAsia="es-ES"/>
        </w:rPr>
        <w:t>e</w:t>
      </w:r>
      <w:r w:rsidR="00663ED6" w:rsidRPr="009D520B">
        <w:rPr>
          <w:rFonts w:ascii="Verdana" w:hAnsi="Verdana"/>
          <w:snapToGrid w:val="0"/>
          <w:spacing w:val="-2"/>
          <w:sz w:val="20"/>
          <w:szCs w:val="20"/>
          <w:lang w:eastAsia="es-ES"/>
        </w:rPr>
        <w:t xml:space="preserve"> modo, el referido artículo establece preceptivamente la aplicación de la prisión preventiva para los delitos que revisten cierta gravedad una vez establecidos los presupuestos materiales, sin que se llev</w:t>
      </w:r>
      <w:r w:rsidR="007774C7" w:rsidRPr="009D520B">
        <w:rPr>
          <w:rFonts w:ascii="Verdana" w:hAnsi="Verdana"/>
          <w:snapToGrid w:val="0"/>
          <w:spacing w:val="-2"/>
          <w:sz w:val="20"/>
          <w:szCs w:val="20"/>
          <w:lang w:eastAsia="es-ES"/>
        </w:rPr>
        <w:t>e</w:t>
      </w:r>
      <w:r w:rsidR="00663ED6" w:rsidRPr="009D520B">
        <w:rPr>
          <w:rFonts w:ascii="Verdana" w:hAnsi="Verdana"/>
          <w:snapToGrid w:val="0"/>
          <w:spacing w:val="-2"/>
          <w:sz w:val="20"/>
          <w:szCs w:val="20"/>
          <w:lang w:eastAsia="es-ES"/>
        </w:rPr>
        <w:t xml:space="preserve"> a cabo un análisis de la necesidad de la cautela frente a las circunstancias particulares del caso. </w:t>
      </w:r>
      <w:r w:rsidR="00231AB1">
        <w:rPr>
          <w:rFonts w:ascii="Verdana" w:hAnsi="Verdana"/>
          <w:snapToGrid w:val="0"/>
          <w:spacing w:val="-2"/>
          <w:sz w:val="20"/>
          <w:szCs w:val="20"/>
          <w:lang w:eastAsia="es-ES"/>
        </w:rPr>
        <w:t>A fin de cuentas,</w:t>
      </w:r>
      <w:r w:rsidR="00B67EAC" w:rsidRPr="009D520B">
        <w:rPr>
          <w:rFonts w:ascii="Verdana" w:hAnsi="Verdana"/>
          <w:snapToGrid w:val="0"/>
          <w:spacing w:val="-2"/>
          <w:sz w:val="20"/>
          <w:szCs w:val="20"/>
          <w:lang w:eastAsia="es-ES"/>
        </w:rPr>
        <w:t xml:space="preserve"> nos encontramos frente a </w:t>
      </w:r>
      <w:r w:rsidR="00B30E67" w:rsidRPr="009D520B">
        <w:rPr>
          <w:rFonts w:ascii="Verdana" w:hAnsi="Verdana"/>
          <w:snapToGrid w:val="0"/>
          <w:spacing w:val="-2"/>
          <w:sz w:val="20"/>
          <w:szCs w:val="20"/>
          <w:lang w:eastAsia="es-ES"/>
        </w:rPr>
        <w:t>un</w:t>
      </w:r>
      <w:r w:rsidR="00B67EAC" w:rsidRPr="009D520B">
        <w:rPr>
          <w:rFonts w:ascii="Verdana" w:hAnsi="Verdana"/>
          <w:snapToGrid w:val="0"/>
          <w:spacing w:val="-2"/>
          <w:sz w:val="20"/>
          <w:szCs w:val="20"/>
          <w:lang w:eastAsia="es-ES"/>
        </w:rPr>
        <w:t xml:space="preserve"> tipo de prisión preventiva automática o de oficio cuando se imputan ciertos delitos sin que las autoridades tengan la posibilidad de determinar la finalidad, la necesidad o la proporcionalidad de la medida cautelar en cada caso</w:t>
      </w:r>
      <w:r w:rsidR="00D326ED" w:rsidRPr="009D520B">
        <w:rPr>
          <w:rFonts w:ascii="Verdana" w:hAnsi="Verdana"/>
          <w:sz w:val="20"/>
          <w:szCs w:val="20"/>
          <w:vertAlign w:val="superscript"/>
        </w:rPr>
        <w:footnoteReference w:id="205"/>
      </w:r>
      <w:r w:rsidR="00B67EAC" w:rsidRPr="009D520B">
        <w:rPr>
          <w:rFonts w:ascii="Verdana" w:hAnsi="Verdana"/>
          <w:snapToGrid w:val="0"/>
          <w:spacing w:val="-2"/>
          <w:sz w:val="20"/>
          <w:szCs w:val="20"/>
          <w:lang w:eastAsia="es-ES"/>
        </w:rPr>
        <w:t>.</w:t>
      </w:r>
    </w:p>
    <w:p w14:paraId="0CA5A858" w14:textId="13828ACE" w:rsidR="00497B71" w:rsidRPr="00351298" w:rsidRDefault="002C777F" w:rsidP="00497B71">
      <w:pPr>
        <w:numPr>
          <w:ilvl w:val="0"/>
          <w:numId w:val="2"/>
        </w:numPr>
        <w:spacing w:before="120" w:after="120"/>
        <w:ind w:left="0" w:firstLine="0"/>
        <w:jc w:val="both"/>
        <w:rPr>
          <w:rFonts w:ascii="Verdana" w:hAnsi="Verdana"/>
          <w:i/>
          <w:sz w:val="20"/>
          <w:szCs w:val="20"/>
        </w:rPr>
      </w:pPr>
      <w:r w:rsidRPr="00351298">
        <w:rPr>
          <w:rFonts w:ascii="Verdana" w:hAnsi="Verdana"/>
          <w:snapToGrid w:val="0"/>
          <w:spacing w:val="-2"/>
          <w:sz w:val="20"/>
          <w:szCs w:val="20"/>
          <w:lang w:eastAsia="es-ES"/>
        </w:rPr>
        <w:t xml:space="preserve">Por otra parte, se podría también </w:t>
      </w:r>
      <w:r w:rsidR="00497B71" w:rsidRPr="00351298">
        <w:rPr>
          <w:rFonts w:ascii="Verdana" w:hAnsi="Verdana"/>
          <w:snapToGrid w:val="0"/>
          <w:spacing w:val="-2"/>
          <w:sz w:val="20"/>
          <w:szCs w:val="20"/>
          <w:lang w:eastAsia="es-ES"/>
        </w:rPr>
        <w:t xml:space="preserve">analizar si </w:t>
      </w:r>
      <w:r w:rsidRPr="00351298">
        <w:rPr>
          <w:rFonts w:ascii="Verdana" w:hAnsi="Verdana"/>
          <w:snapToGrid w:val="0"/>
          <w:spacing w:val="-2"/>
          <w:sz w:val="20"/>
          <w:szCs w:val="20"/>
          <w:lang w:eastAsia="es-ES"/>
        </w:rPr>
        <w:t xml:space="preserve">la prisión preventiva oficiosa dispuesta en el artículo 19 constitucional vulnera el principio de igualdad y </w:t>
      </w:r>
      <w:r w:rsidR="3BF92891" w:rsidRPr="3BF92891">
        <w:rPr>
          <w:rFonts w:ascii="Verdana" w:hAnsi="Verdana"/>
          <w:sz w:val="20"/>
          <w:szCs w:val="20"/>
          <w:lang w:eastAsia="es-ES"/>
        </w:rPr>
        <w:t>no discriminación establecid</w:t>
      </w:r>
      <w:r w:rsidR="00231AB1">
        <w:rPr>
          <w:rFonts w:ascii="Verdana" w:hAnsi="Verdana"/>
          <w:sz w:val="20"/>
          <w:szCs w:val="20"/>
          <w:lang w:eastAsia="es-ES"/>
        </w:rPr>
        <w:t>o</w:t>
      </w:r>
      <w:r w:rsidRPr="00351298">
        <w:rPr>
          <w:rFonts w:ascii="Verdana" w:hAnsi="Verdana"/>
          <w:snapToGrid w:val="0"/>
          <w:spacing w:val="-2"/>
          <w:sz w:val="20"/>
          <w:szCs w:val="20"/>
          <w:lang w:eastAsia="es-ES"/>
        </w:rPr>
        <w:t xml:space="preserve"> en el artículo 24 de la Convención Americana puesto que el mismo introduce un trato diferente entre las personas imputadas por determinados delitos con respecto a l</w:t>
      </w:r>
      <w:r w:rsidR="00144011" w:rsidRPr="00351298">
        <w:rPr>
          <w:rFonts w:ascii="Verdana" w:hAnsi="Verdana"/>
          <w:snapToGrid w:val="0"/>
          <w:spacing w:val="-2"/>
          <w:sz w:val="20"/>
          <w:szCs w:val="20"/>
          <w:lang w:eastAsia="es-ES"/>
        </w:rPr>
        <w:t>a</w:t>
      </w:r>
      <w:r w:rsidRPr="00351298">
        <w:rPr>
          <w:rFonts w:ascii="Verdana" w:hAnsi="Verdana"/>
          <w:snapToGrid w:val="0"/>
          <w:spacing w:val="-2"/>
          <w:sz w:val="20"/>
          <w:szCs w:val="20"/>
          <w:lang w:eastAsia="es-ES"/>
        </w:rPr>
        <w:t>s demás</w:t>
      </w:r>
      <w:r w:rsidR="00144011" w:rsidRPr="00351298">
        <w:rPr>
          <w:rFonts w:ascii="Verdana" w:hAnsi="Verdana"/>
          <w:snapToGrid w:val="0"/>
          <w:spacing w:val="-2"/>
          <w:sz w:val="20"/>
          <w:szCs w:val="20"/>
          <w:lang w:eastAsia="es-ES"/>
        </w:rPr>
        <w:t>.</w:t>
      </w:r>
      <w:r w:rsidR="00497B71" w:rsidRPr="00351298">
        <w:rPr>
          <w:rFonts w:ascii="Verdana" w:hAnsi="Verdana"/>
          <w:snapToGrid w:val="0"/>
          <w:spacing w:val="-2"/>
          <w:sz w:val="20"/>
          <w:szCs w:val="20"/>
          <w:lang w:eastAsia="es-ES"/>
        </w:rPr>
        <w:t xml:space="preserve"> </w:t>
      </w:r>
      <w:r w:rsidR="00497B71" w:rsidRPr="00351298">
        <w:rPr>
          <w:rFonts w:ascii="Verdana" w:hAnsi="Verdana"/>
          <w:sz w:val="20"/>
          <w:szCs w:val="20"/>
        </w:rPr>
        <w:t xml:space="preserve">A este respecto, el Tribunal ha establecido que los Estados deben abstenerse de realizar acciones que de cualquier manera vayan dirigidas, directa o indirectamente, a crear situaciones de discriminación </w:t>
      </w:r>
      <w:r w:rsidR="00497B71" w:rsidRPr="3BF92891">
        <w:rPr>
          <w:rFonts w:ascii="Verdana" w:hAnsi="Verdana"/>
          <w:i/>
          <w:iCs/>
          <w:sz w:val="20"/>
          <w:szCs w:val="20"/>
        </w:rPr>
        <w:t xml:space="preserve">de </w:t>
      </w:r>
      <w:r w:rsidR="00231AB1">
        <w:rPr>
          <w:rFonts w:ascii="Verdana" w:hAnsi="Verdana"/>
          <w:i/>
          <w:iCs/>
          <w:sz w:val="20"/>
          <w:szCs w:val="20"/>
        </w:rPr>
        <w:t>i</w:t>
      </w:r>
      <w:r w:rsidR="00497B71" w:rsidRPr="3BF92891">
        <w:rPr>
          <w:rFonts w:ascii="Verdana" w:hAnsi="Verdana"/>
          <w:i/>
          <w:iCs/>
          <w:sz w:val="20"/>
          <w:szCs w:val="20"/>
        </w:rPr>
        <w:t>ure</w:t>
      </w:r>
      <w:r w:rsidR="00497B71" w:rsidRPr="00351298">
        <w:rPr>
          <w:rFonts w:ascii="Verdana" w:hAnsi="Verdana"/>
          <w:sz w:val="20"/>
          <w:szCs w:val="20"/>
        </w:rPr>
        <w:t xml:space="preserve"> o </w:t>
      </w:r>
      <w:r w:rsidR="00497B71" w:rsidRPr="3BF92891">
        <w:rPr>
          <w:rFonts w:ascii="Verdana" w:hAnsi="Verdana"/>
          <w:i/>
          <w:iCs/>
          <w:sz w:val="20"/>
          <w:szCs w:val="20"/>
        </w:rPr>
        <w:t>de facto</w:t>
      </w:r>
      <w:r w:rsidR="00497B71" w:rsidRPr="7CDFE7CF">
        <w:rPr>
          <w:rStyle w:val="Refdenotaalpie"/>
          <w:rFonts w:ascii="Verdana" w:eastAsia="Batang" w:hAnsi="Verdana"/>
          <w:sz w:val="20"/>
        </w:rPr>
        <w:footnoteReference w:id="206"/>
      </w:r>
      <w:r w:rsidR="00497B71" w:rsidRPr="00351298">
        <w:rPr>
          <w:rFonts w:ascii="Verdana" w:hAnsi="Verdana"/>
          <w:sz w:val="20"/>
          <w:szCs w:val="20"/>
        </w:rPr>
        <w:t>. Asimismo, en caso de que el trato discriminatorio</w:t>
      </w:r>
      <w:r w:rsidR="00497B71" w:rsidRPr="00351298">
        <w:rPr>
          <w:rFonts w:ascii="Verdana" w:hAnsi="Verdana"/>
          <w:sz w:val="20"/>
          <w:szCs w:val="20"/>
          <w:lang w:eastAsia="es-ES"/>
        </w:rPr>
        <w:t xml:space="preserve"> se refiera a una protección desigual de la ley interna o su aplicación, el hecho debe analizarse a la luz del artículo 24 de la Convención Americana</w:t>
      </w:r>
      <w:bookmarkStart w:id="98" w:name="_Ref318128267"/>
      <w:r w:rsidR="00497B71" w:rsidRPr="7CDFE7CF">
        <w:rPr>
          <w:rStyle w:val="Refdenotaalpie"/>
          <w:rFonts w:ascii="Verdana" w:eastAsia="Batang" w:hAnsi="Verdana"/>
          <w:sz w:val="20"/>
          <w:lang w:eastAsia="es-ES"/>
        </w:rPr>
        <w:footnoteReference w:id="207"/>
      </w:r>
      <w:bookmarkEnd w:id="98"/>
      <w:r w:rsidR="00497B71" w:rsidRPr="00351298">
        <w:rPr>
          <w:rFonts w:ascii="Verdana" w:hAnsi="Verdana"/>
          <w:sz w:val="20"/>
          <w:szCs w:val="20"/>
          <w:lang w:eastAsia="es-ES"/>
        </w:rPr>
        <w:t xml:space="preserve"> en relación con las categorías protegidas por el artículo 1.1 de la Convención. La</w:t>
      </w:r>
      <w:r w:rsidR="00497B71" w:rsidRPr="00351298">
        <w:rPr>
          <w:rFonts w:ascii="Verdana" w:hAnsi="Verdana"/>
          <w:sz w:val="20"/>
          <w:szCs w:val="20"/>
        </w:rPr>
        <w:t xml:space="preserve"> Corte recuerda que </w:t>
      </w:r>
      <w:r w:rsidR="00497B71" w:rsidRPr="00351298">
        <w:rPr>
          <w:rFonts w:ascii="Verdana" w:eastAsia="Calibri" w:hAnsi="Verdana" w:cs="Arial"/>
          <w:spacing w:val="-2"/>
          <w:sz w:val="20"/>
          <w:szCs w:val="20"/>
        </w:rPr>
        <w:t xml:space="preserve">una diferencia de trato es discriminatoria cuando la misma no </w:t>
      </w:r>
      <w:r w:rsidR="00497B71" w:rsidRPr="00351298">
        <w:rPr>
          <w:rFonts w:ascii="Verdana" w:hAnsi="Verdana"/>
          <w:spacing w:val="-2"/>
          <w:sz w:val="20"/>
          <w:szCs w:val="20"/>
        </w:rPr>
        <w:t>tiene</w:t>
      </w:r>
      <w:r w:rsidR="00497B71" w:rsidRPr="00351298">
        <w:rPr>
          <w:rFonts w:ascii="Verdana" w:eastAsia="Calibri" w:hAnsi="Verdana" w:cs="Arial"/>
          <w:spacing w:val="-2"/>
          <w:sz w:val="20"/>
          <w:szCs w:val="20"/>
        </w:rPr>
        <w:t xml:space="preserve"> una </w:t>
      </w:r>
      <w:r w:rsidR="00497B71" w:rsidRPr="00351298">
        <w:rPr>
          <w:rFonts w:ascii="Verdana" w:eastAsia="Calibri" w:hAnsi="Verdana"/>
          <w:spacing w:val="-2"/>
          <w:sz w:val="20"/>
          <w:szCs w:val="20"/>
        </w:rPr>
        <w:t>justificación</w:t>
      </w:r>
      <w:r w:rsidR="00497B71" w:rsidRPr="00351298">
        <w:rPr>
          <w:rFonts w:ascii="Verdana" w:eastAsia="Calibri" w:hAnsi="Verdana" w:cs="Arial"/>
          <w:spacing w:val="-2"/>
          <w:sz w:val="20"/>
          <w:szCs w:val="20"/>
        </w:rPr>
        <w:t xml:space="preserve"> objetiva y razonable</w:t>
      </w:r>
      <w:r w:rsidR="00497B71" w:rsidRPr="00351298">
        <w:rPr>
          <w:rFonts w:ascii="Verdana" w:eastAsia="Calibri" w:hAnsi="Verdana" w:cs="Arial"/>
          <w:spacing w:val="-2"/>
          <w:sz w:val="20"/>
          <w:szCs w:val="20"/>
          <w:vertAlign w:val="superscript"/>
        </w:rPr>
        <w:footnoteReference w:id="208"/>
      </w:r>
      <w:r w:rsidR="00497B71" w:rsidRPr="00351298">
        <w:rPr>
          <w:rFonts w:ascii="Verdana" w:eastAsia="Calibri" w:hAnsi="Verdana" w:cs="Arial"/>
          <w:spacing w:val="-2"/>
          <w:sz w:val="20"/>
          <w:szCs w:val="20"/>
        </w:rPr>
        <w:t>, es decir, cuando no persigue un fin legítimo y no existe una relación razonable de proporcionalidad entre los medios utilizados y el fin perseguido</w:t>
      </w:r>
      <w:r w:rsidR="00497B71" w:rsidRPr="00351298">
        <w:rPr>
          <w:rFonts w:ascii="Verdana" w:eastAsia="Calibri" w:hAnsi="Verdana" w:cs="Arial"/>
          <w:spacing w:val="-2"/>
          <w:sz w:val="20"/>
          <w:szCs w:val="20"/>
          <w:vertAlign w:val="superscript"/>
        </w:rPr>
        <w:footnoteReference w:id="209"/>
      </w:r>
      <w:r w:rsidR="00497B71" w:rsidRPr="00351298">
        <w:rPr>
          <w:rFonts w:ascii="Verdana" w:eastAsia="Calibri" w:hAnsi="Verdana" w:cs="Arial"/>
          <w:spacing w:val="-2"/>
          <w:sz w:val="20"/>
          <w:szCs w:val="20"/>
        </w:rPr>
        <w:t>.</w:t>
      </w:r>
      <w:r w:rsidR="00497B71" w:rsidRPr="00351298">
        <w:rPr>
          <w:rFonts w:ascii="Verdana" w:hAnsi="Verdana"/>
          <w:sz w:val="20"/>
          <w:szCs w:val="20"/>
        </w:rPr>
        <w:t xml:space="preserve"> </w:t>
      </w:r>
    </w:p>
    <w:p w14:paraId="2DC999BF" w14:textId="61764FBF" w:rsidR="00497B71" w:rsidRPr="00F31F8B" w:rsidRDefault="0BD5F218" w:rsidP="004C27D1">
      <w:pPr>
        <w:numPr>
          <w:ilvl w:val="0"/>
          <w:numId w:val="2"/>
        </w:numPr>
        <w:spacing w:before="120" w:after="120"/>
        <w:ind w:left="0" w:firstLine="0"/>
        <w:jc w:val="both"/>
        <w:rPr>
          <w:rFonts w:ascii="Verdana" w:hAnsi="Verdana"/>
          <w:sz w:val="20"/>
          <w:szCs w:val="20"/>
        </w:rPr>
      </w:pPr>
      <w:r w:rsidRPr="00351298">
        <w:rPr>
          <w:rFonts w:ascii="Verdana" w:hAnsi="Verdana"/>
          <w:snapToGrid w:val="0"/>
          <w:spacing w:val="-2"/>
          <w:sz w:val="20"/>
          <w:szCs w:val="20"/>
          <w:lang w:eastAsia="es-ES"/>
        </w:rPr>
        <w:t xml:space="preserve">En el caso </w:t>
      </w:r>
      <w:r w:rsidRPr="00F31F8B">
        <w:rPr>
          <w:rFonts w:ascii="Verdana" w:hAnsi="Verdana"/>
          <w:snapToGrid w:val="0"/>
          <w:spacing w:val="-2"/>
          <w:sz w:val="20"/>
          <w:szCs w:val="20"/>
          <w:lang w:eastAsia="es-ES"/>
        </w:rPr>
        <w:t>de la prisión preventiva oficiosa, el trato diferen</w:t>
      </w:r>
      <w:r w:rsidR="3C7AE41C" w:rsidRPr="00F31F8B">
        <w:rPr>
          <w:rFonts w:ascii="Verdana" w:hAnsi="Verdana"/>
          <w:snapToGrid w:val="0"/>
          <w:spacing w:val="-2"/>
          <w:sz w:val="20"/>
          <w:szCs w:val="20"/>
          <w:lang w:eastAsia="es-ES"/>
        </w:rPr>
        <w:t>ciado</w:t>
      </w:r>
      <w:r w:rsidRPr="00F31F8B">
        <w:rPr>
          <w:rFonts w:ascii="Verdana" w:hAnsi="Verdana"/>
          <w:snapToGrid w:val="0"/>
          <w:spacing w:val="-2"/>
          <w:sz w:val="20"/>
          <w:szCs w:val="20"/>
          <w:lang w:eastAsia="es-ES"/>
        </w:rPr>
        <w:t xml:space="preserve"> </w:t>
      </w:r>
      <w:r w:rsidRPr="00F31F8B">
        <w:rPr>
          <w:rFonts w:ascii="Verdana" w:hAnsi="Verdana"/>
          <w:sz w:val="20"/>
          <w:szCs w:val="20"/>
        </w:rPr>
        <w:t xml:space="preserve">puede verificarse en el hecho </w:t>
      </w:r>
      <w:r w:rsidR="1F7815F0" w:rsidRPr="00F31F8B">
        <w:rPr>
          <w:rFonts w:ascii="Verdana" w:hAnsi="Verdana"/>
          <w:sz w:val="20"/>
          <w:szCs w:val="20"/>
        </w:rPr>
        <w:t xml:space="preserve">de </w:t>
      </w:r>
      <w:r w:rsidRPr="00F31F8B">
        <w:rPr>
          <w:rFonts w:ascii="Verdana" w:hAnsi="Verdana"/>
          <w:sz w:val="20"/>
          <w:szCs w:val="20"/>
        </w:rPr>
        <w:t xml:space="preserve">que quienes están imputados de cometer ciertos delitos no tendrán posibilidad de controlar ni de defenderse adecuadamente de la medida toda vez que hay un mandato constitucional que </w:t>
      </w:r>
      <w:r w:rsidRPr="00F31F8B">
        <w:rPr>
          <w:rFonts w:ascii="Verdana" w:hAnsi="Verdana"/>
          <w:sz w:val="20"/>
          <w:szCs w:val="20"/>
        </w:rPr>
        <w:lastRenderedPageBreak/>
        <w:t xml:space="preserve">impone preceptivamente la medida cautelar privativa de la libertad. </w:t>
      </w:r>
      <w:r w:rsidR="3018BD6A" w:rsidRPr="00F31F8B">
        <w:rPr>
          <w:rFonts w:ascii="Verdana" w:hAnsi="Verdana"/>
          <w:sz w:val="20"/>
          <w:szCs w:val="20"/>
        </w:rPr>
        <w:t xml:space="preserve">Sobre ese punto, es preciso recordar que el artículo 8.2 de la Convención estipula </w:t>
      </w:r>
      <w:r w:rsidR="08A5F3CB" w:rsidRPr="00F31F8B">
        <w:rPr>
          <w:rFonts w:ascii="Verdana" w:hAnsi="Verdana"/>
          <w:sz w:val="20"/>
          <w:szCs w:val="20"/>
        </w:rPr>
        <w:t>que,</w:t>
      </w:r>
      <w:r w:rsidR="3018BD6A" w:rsidRPr="00F31F8B">
        <w:rPr>
          <w:rFonts w:ascii="Verdana" w:hAnsi="Verdana"/>
          <w:sz w:val="20"/>
          <w:szCs w:val="20"/>
        </w:rPr>
        <w:t xml:space="preserve"> durante el proceso, toda persona tiene derecho</w:t>
      </w:r>
      <w:r w:rsidR="2F7D72AE" w:rsidRPr="00F31F8B">
        <w:rPr>
          <w:rFonts w:ascii="Verdana" w:hAnsi="Verdana"/>
          <w:sz w:val="20"/>
          <w:szCs w:val="20"/>
        </w:rPr>
        <w:t>, en plena igua</w:t>
      </w:r>
      <w:r w:rsidR="31533A16" w:rsidRPr="00F31F8B">
        <w:rPr>
          <w:rFonts w:ascii="Verdana" w:hAnsi="Verdana"/>
          <w:sz w:val="20"/>
          <w:szCs w:val="20"/>
        </w:rPr>
        <w:t>l</w:t>
      </w:r>
      <w:r w:rsidR="2F7D72AE" w:rsidRPr="00F31F8B">
        <w:rPr>
          <w:rFonts w:ascii="Verdana" w:hAnsi="Verdana"/>
          <w:sz w:val="20"/>
          <w:szCs w:val="20"/>
        </w:rPr>
        <w:t>dad,</w:t>
      </w:r>
      <w:r w:rsidR="3018BD6A" w:rsidRPr="00F31F8B">
        <w:rPr>
          <w:rFonts w:ascii="Verdana" w:hAnsi="Verdana"/>
          <w:sz w:val="20"/>
          <w:szCs w:val="20"/>
        </w:rPr>
        <w:t xml:space="preserve"> a distintas garantías mínimas </w:t>
      </w:r>
      <w:r w:rsidR="2F7D72AE" w:rsidRPr="00F31F8B">
        <w:rPr>
          <w:rFonts w:ascii="Verdana" w:hAnsi="Verdana"/>
          <w:sz w:val="20"/>
          <w:szCs w:val="20"/>
        </w:rPr>
        <w:t xml:space="preserve">del debido proceso. </w:t>
      </w:r>
      <w:r w:rsidR="75D198FC" w:rsidRPr="00F31F8B">
        <w:rPr>
          <w:rFonts w:ascii="Verdana" w:hAnsi="Verdana"/>
          <w:sz w:val="20"/>
          <w:szCs w:val="20"/>
        </w:rPr>
        <w:t xml:space="preserve">Para este Tribunal, es claro que la aplicación automática de la prisión preventiva oficiosa sin considerar el caso concreto y las finalidades legítimas para restringir la </w:t>
      </w:r>
      <w:r w:rsidR="6D47549B" w:rsidRPr="00F31F8B">
        <w:rPr>
          <w:rFonts w:ascii="Verdana" w:hAnsi="Verdana"/>
          <w:sz w:val="20"/>
          <w:szCs w:val="20"/>
        </w:rPr>
        <w:t>libertad de una</w:t>
      </w:r>
      <w:r w:rsidR="75D198FC" w:rsidRPr="00F31F8B">
        <w:rPr>
          <w:rFonts w:ascii="Verdana" w:hAnsi="Verdana"/>
          <w:sz w:val="20"/>
          <w:szCs w:val="20"/>
        </w:rPr>
        <w:t xml:space="preserve"> persona</w:t>
      </w:r>
      <w:r w:rsidR="6D47549B" w:rsidRPr="00F31F8B">
        <w:rPr>
          <w:rFonts w:ascii="Verdana" w:hAnsi="Verdana"/>
          <w:sz w:val="20"/>
          <w:szCs w:val="20"/>
        </w:rPr>
        <w:t xml:space="preserve">, así como su situación diferencial respecto de otros que, también </w:t>
      </w:r>
      <w:r w:rsidR="00083E3B">
        <w:rPr>
          <w:rFonts w:ascii="Verdana" w:hAnsi="Verdana"/>
          <w:sz w:val="20"/>
          <w:szCs w:val="20"/>
        </w:rPr>
        <w:t>al ser</w:t>
      </w:r>
      <w:r w:rsidR="6D47549B" w:rsidRPr="00F31F8B">
        <w:rPr>
          <w:rFonts w:ascii="Verdana" w:hAnsi="Verdana"/>
          <w:sz w:val="20"/>
          <w:szCs w:val="20"/>
        </w:rPr>
        <w:t xml:space="preserve"> imputados por delitos, no están comprendidos en el elenco del artículo 19 de la Constitución</w:t>
      </w:r>
      <w:r w:rsidR="31533A16" w:rsidRPr="00F31F8B">
        <w:rPr>
          <w:rFonts w:ascii="Verdana" w:hAnsi="Verdana"/>
          <w:sz w:val="20"/>
          <w:szCs w:val="20"/>
        </w:rPr>
        <w:t xml:space="preserve"> mexicana</w:t>
      </w:r>
      <w:r w:rsidR="6D47549B" w:rsidRPr="00F31F8B">
        <w:rPr>
          <w:rFonts w:ascii="Verdana" w:hAnsi="Verdana"/>
          <w:sz w:val="20"/>
          <w:szCs w:val="20"/>
        </w:rPr>
        <w:t xml:space="preserve">, supone necesariamente una lesión </w:t>
      </w:r>
      <w:r w:rsidR="2F7D72AE" w:rsidRPr="00F31F8B">
        <w:rPr>
          <w:rFonts w:ascii="Verdana" w:hAnsi="Verdana"/>
          <w:sz w:val="20"/>
          <w:szCs w:val="20"/>
        </w:rPr>
        <w:t xml:space="preserve">al derecho a la igualdad ante la </w:t>
      </w:r>
      <w:r w:rsidR="72297898" w:rsidRPr="00F31F8B">
        <w:rPr>
          <w:rFonts w:ascii="Verdana" w:hAnsi="Verdana"/>
          <w:sz w:val="20"/>
          <w:szCs w:val="20"/>
        </w:rPr>
        <w:t>ley</w:t>
      </w:r>
      <w:r w:rsidR="47B88152" w:rsidRPr="00F31F8B">
        <w:rPr>
          <w:rFonts w:ascii="Verdana" w:hAnsi="Verdana"/>
          <w:sz w:val="20"/>
          <w:szCs w:val="20"/>
        </w:rPr>
        <w:t xml:space="preserve"> </w:t>
      </w:r>
      <w:r w:rsidR="6D47549B" w:rsidRPr="00F31F8B">
        <w:rPr>
          <w:rFonts w:ascii="Verdana" w:hAnsi="Verdana"/>
          <w:sz w:val="20"/>
          <w:szCs w:val="20"/>
        </w:rPr>
        <w:t>vulnerando el artículo 24 de la Convención Americana</w:t>
      </w:r>
      <w:r w:rsidR="2F7D72AE" w:rsidRPr="00F31F8B">
        <w:rPr>
          <w:rFonts w:ascii="Verdana" w:hAnsi="Verdana"/>
          <w:sz w:val="20"/>
          <w:szCs w:val="20"/>
        </w:rPr>
        <w:t>, y a gozar, en plena igualdad, ciertas garantías del debido proceso vulnerando el artículo 8.2 de dicho instr</w:t>
      </w:r>
      <w:r w:rsidR="31533A16" w:rsidRPr="00F31F8B">
        <w:rPr>
          <w:rFonts w:ascii="Verdana" w:hAnsi="Verdana"/>
          <w:sz w:val="20"/>
          <w:szCs w:val="20"/>
        </w:rPr>
        <w:t>u</w:t>
      </w:r>
      <w:r w:rsidR="2F7D72AE" w:rsidRPr="00F31F8B">
        <w:rPr>
          <w:rFonts w:ascii="Verdana" w:hAnsi="Verdana"/>
          <w:sz w:val="20"/>
          <w:szCs w:val="20"/>
        </w:rPr>
        <w:t>mento.</w:t>
      </w:r>
    </w:p>
    <w:p w14:paraId="2B73AE9D" w14:textId="0355D7F3" w:rsidR="00B77109" w:rsidRPr="00F31F8B" w:rsidRDefault="0D4DA40A" w:rsidP="00DD07A4">
      <w:pPr>
        <w:numPr>
          <w:ilvl w:val="0"/>
          <w:numId w:val="2"/>
        </w:numPr>
        <w:spacing w:before="120" w:after="120"/>
        <w:ind w:left="0" w:firstLine="0"/>
        <w:jc w:val="both"/>
        <w:rPr>
          <w:rFonts w:ascii="Verdana" w:hAnsi="Verdana"/>
          <w:snapToGrid w:val="0"/>
          <w:spacing w:val="-2"/>
          <w:sz w:val="20"/>
          <w:szCs w:val="20"/>
          <w:lang w:eastAsia="es-ES"/>
        </w:rPr>
      </w:pPr>
      <w:r w:rsidRPr="00F31F8B">
        <w:rPr>
          <w:rFonts w:ascii="Verdana" w:hAnsi="Verdana"/>
          <w:sz w:val="20"/>
          <w:szCs w:val="20"/>
        </w:rPr>
        <w:t xml:space="preserve">Por estos motivos, este Tribunal encuentra que el </w:t>
      </w:r>
      <w:r w:rsidRPr="00F31F8B">
        <w:rPr>
          <w:rFonts w:ascii="Verdana" w:hAnsi="Verdana"/>
          <w:snapToGrid w:val="0"/>
          <w:spacing w:val="-2"/>
          <w:sz w:val="20"/>
          <w:szCs w:val="20"/>
          <w:lang w:eastAsia="es-ES"/>
        </w:rPr>
        <w:t xml:space="preserve">artículo </w:t>
      </w:r>
      <w:r w:rsidR="7920B1E8" w:rsidRPr="00F31F8B">
        <w:rPr>
          <w:rFonts w:ascii="Verdana" w:hAnsi="Verdana"/>
          <w:snapToGrid w:val="0"/>
          <w:spacing w:val="-2"/>
          <w:sz w:val="20"/>
          <w:szCs w:val="20"/>
          <w:lang w:eastAsia="es-ES"/>
        </w:rPr>
        <w:t xml:space="preserve">319 del Código de Procedimientos Penales para el Estado de México de 2000 y 19 de la Constitución de acuerdo a su texto reformado en el año </w:t>
      </w:r>
      <w:r w:rsidR="00231AB1">
        <w:rPr>
          <w:rFonts w:ascii="Verdana" w:hAnsi="Verdana"/>
          <w:snapToGrid w:val="0"/>
          <w:spacing w:val="-2"/>
          <w:sz w:val="20"/>
          <w:szCs w:val="20"/>
          <w:lang w:eastAsia="es-ES"/>
        </w:rPr>
        <w:t>2008</w:t>
      </w:r>
      <w:r w:rsidRPr="00F31F8B">
        <w:rPr>
          <w:rFonts w:ascii="Verdana" w:hAnsi="Verdana"/>
          <w:sz w:val="20"/>
          <w:szCs w:val="20"/>
        </w:rPr>
        <w:t xml:space="preserve">, </w:t>
      </w:r>
      <w:r w:rsidR="7920B1E8" w:rsidRPr="00F31F8B">
        <w:rPr>
          <w:rFonts w:ascii="Verdana" w:hAnsi="Verdana"/>
          <w:sz w:val="20"/>
          <w:szCs w:val="20"/>
        </w:rPr>
        <w:t>los cuales fueron</w:t>
      </w:r>
      <w:r w:rsidRPr="00F31F8B">
        <w:rPr>
          <w:rFonts w:ascii="Verdana" w:hAnsi="Verdana"/>
          <w:sz w:val="20"/>
          <w:szCs w:val="20"/>
        </w:rPr>
        <w:t xml:space="preserve"> aplicado</w:t>
      </w:r>
      <w:r w:rsidR="7920B1E8" w:rsidRPr="00F31F8B">
        <w:rPr>
          <w:rFonts w:ascii="Verdana" w:hAnsi="Verdana"/>
          <w:sz w:val="20"/>
          <w:szCs w:val="20"/>
        </w:rPr>
        <w:t>s</w:t>
      </w:r>
      <w:r w:rsidRPr="00F31F8B">
        <w:rPr>
          <w:rFonts w:ascii="Verdana" w:hAnsi="Verdana"/>
          <w:sz w:val="20"/>
          <w:szCs w:val="20"/>
        </w:rPr>
        <w:t xml:space="preserve"> en el presente caso (</w:t>
      </w:r>
      <w:r w:rsidRPr="1D64B15C">
        <w:rPr>
          <w:rFonts w:ascii="Verdana" w:hAnsi="Verdana"/>
          <w:i/>
          <w:iCs/>
          <w:sz w:val="20"/>
          <w:szCs w:val="20"/>
        </w:rPr>
        <w:t>supra</w:t>
      </w:r>
      <w:r w:rsidRPr="00F31F8B">
        <w:rPr>
          <w:rFonts w:ascii="Verdana" w:hAnsi="Verdana"/>
          <w:sz w:val="20"/>
          <w:szCs w:val="20"/>
        </w:rPr>
        <w:t xml:space="preserve"> párr. </w:t>
      </w:r>
      <w:r w:rsidR="00231AB1">
        <w:rPr>
          <w:rFonts w:ascii="Verdana" w:hAnsi="Verdana"/>
          <w:sz w:val="20"/>
          <w:szCs w:val="20"/>
        </w:rPr>
        <w:t>164</w:t>
      </w:r>
      <w:r w:rsidRPr="00F31F8B">
        <w:rPr>
          <w:rFonts w:ascii="Verdana" w:hAnsi="Verdana"/>
          <w:sz w:val="20"/>
          <w:szCs w:val="20"/>
        </w:rPr>
        <w:t xml:space="preserve">), </w:t>
      </w:r>
      <w:r w:rsidR="7920B1E8" w:rsidRPr="00F31F8B">
        <w:rPr>
          <w:rFonts w:ascii="Verdana" w:hAnsi="Verdana"/>
          <w:sz w:val="20"/>
          <w:szCs w:val="20"/>
        </w:rPr>
        <w:t>contenían</w:t>
      </w:r>
      <w:r w:rsidRPr="00F31F8B">
        <w:rPr>
          <w:rFonts w:ascii="Verdana" w:hAnsi="Verdana"/>
          <w:sz w:val="20"/>
          <w:szCs w:val="20"/>
        </w:rPr>
        <w:t xml:space="preserve"> cláusulas</w:t>
      </w:r>
      <w:r w:rsidR="7720324E" w:rsidRPr="00F31F8B">
        <w:rPr>
          <w:rFonts w:ascii="Verdana" w:hAnsi="Verdana"/>
          <w:sz w:val="20"/>
          <w:szCs w:val="20"/>
        </w:rPr>
        <w:t>,</w:t>
      </w:r>
      <w:r w:rsidRPr="00F31F8B">
        <w:rPr>
          <w:rFonts w:ascii="Verdana" w:hAnsi="Verdana"/>
          <w:sz w:val="20"/>
          <w:szCs w:val="20"/>
        </w:rPr>
        <w:t xml:space="preserve"> </w:t>
      </w:r>
      <w:r w:rsidR="7720324E" w:rsidRPr="00F31F8B">
        <w:rPr>
          <w:rFonts w:ascii="Verdana" w:hAnsi="Verdana"/>
          <w:sz w:val="20"/>
          <w:szCs w:val="20"/>
        </w:rPr>
        <w:t xml:space="preserve">y siguen conteniendo </w:t>
      </w:r>
      <w:r w:rsidR="729C3F0E" w:rsidRPr="00F31F8B">
        <w:rPr>
          <w:rFonts w:ascii="Verdana" w:hAnsi="Verdana"/>
          <w:sz w:val="20"/>
          <w:szCs w:val="20"/>
        </w:rPr>
        <w:t>en</w:t>
      </w:r>
      <w:r w:rsidR="7720324E" w:rsidRPr="00F31F8B">
        <w:rPr>
          <w:rFonts w:ascii="Verdana" w:hAnsi="Verdana"/>
          <w:sz w:val="20"/>
          <w:szCs w:val="20"/>
        </w:rPr>
        <w:t xml:space="preserve"> el caso del artículo 19 de la Constitución, </w:t>
      </w:r>
      <w:r w:rsidRPr="00F31F8B">
        <w:rPr>
          <w:rFonts w:ascii="Verdana" w:hAnsi="Verdana"/>
          <w:sz w:val="20"/>
          <w:szCs w:val="20"/>
        </w:rPr>
        <w:t xml:space="preserve">que, </w:t>
      </w:r>
      <w:r w:rsidRPr="1D64B15C">
        <w:rPr>
          <w:rFonts w:ascii="Verdana" w:hAnsi="Verdana"/>
          <w:i/>
          <w:iCs/>
          <w:sz w:val="20"/>
          <w:szCs w:val="20"/>
        </w:rPr>
        <w:t>per se</w:t>
      </w:r>
      <w:r w:rsidRPr="00F31F8B">
        <w:rPr>
          <w:rFonts w:ascii="Verdana" w:hAnsi="Verdana"/>
          <w:sz w:val="20"/>
          <w:szCs w:val="20"/>
        </w:rPr>
        <w:t>, resultaban contrarias a varios derechos establecidos en la Convención Americana</w:t>
      </w:r>
      <w:r w:rsidR="7720324E" w:rsidRPr="00F31F8B">
        <w:rPr>
          <w:rFonts w:ascii="Verdana" w:hAnsi="Verdana"/>
          <w:sz w:val="20"/>
          <w:szCs w:val="20"/>
        </w:rPr>
        <w:t xml:space="preserve">. Esos serían </w:t>
      </w:r>
      <w:r w:rsidR="00383A79">
        <w:rPr>
          <w:rFonts w:ascii="Verdana" w:hAnsi="Verdana"/>
          <w:sz w:val="20"/>
          <w:szCs w:val="20"/>
        </w:rPr>
        <w:t>los</w:t>
      </w:r>
      <w:r w:rsidRPr="00F31F8B">
        <w:rPr>
          <w:rFonts w:ascii="Verdana" w:hAnsi="Verdana"/>
          <w:sz w:val="20"/>
          <w:szCs w:val="20"/>
        </w:rPr>
        <w:t xml:space="preserve"> derecho</w:t>
      </w:r>
      <w:r w:rsidR="00383A79">
        <w:rPr>
          <w:rFonts w:ascii="Verdana" w:hAnsi="Verdana"/>
          <w:sz w:val="20"/>
          <w:szCs w:val="20"/>
        </w:rPr>
        <w:t>s</w:t>
      </w:r>
      <w:r w:rsidRPr="00F31F8B">
        <w:rPr>
          <w:rFonts w:ascii="Verdana" w:hAnsi="Verdana"/>
          <w:sz w:val="20"/>
          <w:szCs w:val="20"/>
        </w:rPr>
        <w:t xml:space="preserve"> a no ser privado de la libertad arbitrariamente (art. 7.3), al control judicial de la privación de la libertad (art. 7.5), a la presunción de inocencia (art. 8.2)</w:t>
      </w:r>
      <w:r w:rsidR="40DAABF5" w:rsidRPr="00F31F8B">
        <w:rPr>
          <w:rFonts w:ascii="Verdana" w:hAnsi="Verdana"/>
          <w:sz w:val="20"/>
          <w:szCs w:val="20"/>
        </w:rPr>
        <w:t>, y a la igualdad y no discriminación (artículo 24)</w:t>
      </w:r>
      <w:r w:rsidRPr="00F31F8B">
        <w:rPr>
          <w:rFonts w:ascii="Verdana" w:hAnsi="Verdana"/>
          <w:sz w:val="20"/>
          <w:szCs w:val="20"/>
        </w:rPr>
        <w:t xml:space="preserve">. En esa medida, la Corte concluye que el Estado vulneró </w:t>
      </w:r>
      <w:r w:rsidR="00231AB1">
        <w:rPr>
          <w:rFonts w:ascii="Verdana" w:hAnsi="Verdana"/>
          <w:sz w:val="20"/>
          <w:szCs w:val="20"/>
        </w:rPr>
        <w:t>esos</w:t>
      </w:r>
      <w:r w:rsidR="00231AB1" w:rsidRPr="00F31F8B">
        <w:rPr>
          <w:rFonts w:ascii="Verdana" w:hAnsi="Verdana"/>
          <w:sz w:val="20"/>
          <w:szCs w:val="20"/>
        </w:rPr>
        <w:t xml:space="preserve"> </w:t>
      </w:r>
      <w:r w:rsidR="284D7113" w:rsidRPr="00F31F8B">
        <w:rPr>
          <w:rFonts w:ascii="Verdana" w:hAnsi="Verdana"/>
          <w:sz w:val="20"/>
          <w:szCs w:val="20"/>
        </w:rPr>
        <w:t>derechos,</w:t>
      </w:r>
      <w:r w:rsidRPr="00F31F8B">
        <w:rPr>
          <w:rFonts w:ascii="Verdana" w:hAnsi="Verdana"/>
          <w:sz w:val="20"/>
          <w:szCs w:val="20"/>
        </w:rPr>
        <w:t xml:space="preserve"> </w:t>
      </w:r>
      <w:r w:rsidR="7720324E" w:rsidRPr="00F31F8B">
        <w:rPr>
          <w:rFonts w:ascii="Verdana" w:hAnsi="Verdana"/>
          <w:sz w:val="20"/>
          <w:szCs w:val="20"/>
        </w:rPr>
        <w:t>en relación con la obligación de adoptar disposiciones de derecho interno establecida en el artículo 2 de dicho tratado, en perjuicio de Daniel García Rodríguez y Reyes Alpízar Ortiz</w:t>
      </w:r>
      <w:r w:rsidR="781F5DD5" w:rsidRPr="00F31F8B">
        <w:rPr>
          <w:rFonts w:ascii="Verdana" w:hAnsi="Verdana"/>
          <w:sz w:val="20"/>
          <w:szCs w:val="20"/>
        </w:rPr>
        <w:t>.</w:t>
      </w:r>
    </w:p>
    <w:p w14:paraId="7D98AB3B" w14:textId="1A5CD160" w:rsidR="00EF3F18" w:rsidRPr="00F31F8B" w:rsidRDefault="00EF3F18" w:rsidP="00D73463">
      <w:pPr>
        <w:numPr>
          <w:ilvl w:val="0"/>
          <w:numId w:val="29"/>
        </w:numPr>
        <w:spacing w:before="240" w:after="240"/>
        <w:jc w:val="both"/>
        <w:outlineLvl w:val="3"/>
        <w:rPr>
          <w:rFonts w:ascii="Verdana" w:hAnsi="Verdana"/>
          <w:i/>
          <w:sz w:val="20"/>
          <w:szCs w:val="20"/>
        </w:rPr>
      </w:pPr>
      <w:r w:rsidRPr="00F31F8B">
        <w:rPr>
          <w:rFonts w:ascii="Verdana" w:hAnsi="Verdana"/>
          <w:i/>
          <w:sz w:val="20"/>
          <w:szCs w:val="20"/>
        </w:rPr>
        <w:t>Sobre la aplicación del arraigo y de la prisión preventiva en el caso concreto</w:t>
      </w:r>
    </w:p>
    <w:p w14:paraId="75912EF2" w14:textId="0F4A3FF3" w:rsidR="00F07044" w:rsidRPr="00AC4593" w:rsidRDefault="00F07044" w:rsidP="00AC4593">
      <w:pPr>
        <w:numPr>
          <w:ilvl w:val="0"/>
          <w:numId w:val="2"/>
        </w:numPr>
        <w:spacing w:before="120" w:after="120"/>
        <w:ind w:left="0" w:firstLine="0"/>
        <w:jc w:val="both"/>
        <w:rPr>
          <w:rFonts w:ascii="Verdana" w:hAnsi="Verdana"/>
          <w:sz w:val="20"/>
          <w:szCs w:val="20"/>
        </w:rPr>
      </w:pPr>
      <w:r w:rsidRPr="008A33B0">
        <w:rPr>
          <w:rFonts w:ascii="Verdana" w:hAnsi="Verdana"/>
          <w:sz w:val="20"/>
          <w:szCs w:val="20"/>
        </w:rPr>
        <w:t>En los acápites anterior</w:t>
      </w:r>
      <w:r w:rsidR="00AF6970" w:rsidRPr="008A33B0">
        <w:rPr>
          <w:rFonts w:ascii="Verdana" w:hAnsi="Verdana"/>
          <w:sz w:val="20"/>
          <w:szCs w:val="20"/>
        </w:rPr>
        <w:t>es</w:t>
      </w:r>
      <w:r w:rsidRPr="008A33B0">
        <w:rPr>
          <w:rFonts w:ascii="Verdana" w:hAnsi="Verdana"/>
          <w:sz w:val="20"/>
          <w:szCs w:val="20"/>
        </w:rPr>
        <w:t>, el Tribunal determinó que tanto la figura del arraigo contenida en el artículo 154 del Código de Procedimientos Penales para el Estado de México de 2000 como la de la prisión preventiva contenida</w:t>
      </w:r>
      <w:r w:rsidR="00341264" w:rsidRPr="008A33B0">
        <w:rPr>
          <w:rFonts w:ascii="Verdana" w:hAnsi="Verdana"/>
          <w:sz w:val="20"/>
          <w:szCs w:val="20"/>
        </w:rPr>
        <w:t xml:space="preserve"> en el</w:t>
      </w:r>
      <w:r w:rsidRPr="008A33B0">
        <w:rPr>
          <w:rFonts w:ascii="Verdana" w:hAnsi="Verdana"/>
          <w:sz w:val="20"/>
          <w:szCs w:val="20"/>
        </w:rPr>
        <w:t xml:space="preserve"> artículo 319 del </w:t>
      </w:r>
      <w:r w:rsidR="00EC3E1D" w:rsidRPr="008A33B0">
        <w:rPr>
          <w:rFonts w:ascii="Verdana" w:hAnsi="Verdana"/>
          <w:sz w:val="20"/>
          <w:szCs w:val="20"/>
        </w:rPr>
        <w:t>mismo Código</w:t>
      </w:r>
      <w:r w:rsidRPr="008A33B0">
        <w:rPr>
          <w:rFonts w:ascii="Verdana" w:hAnsi="Verdana"/>
          <w:sz w:val="20"/>
          <w:szCs w:val="20"/>
        </w:rPr>
        <w:t xml:space="preserve"> y 19 de la Constitución de acuerdo a su texto reformado en el año </w:t>
      </w:r>
      <w:r w:rsidR="00A50B4A">
        <w:rPr>
          <w:rFonts w:ascii="Verdana" w:hAnsi="Verdana"/>
          <w:sz w:val="20"/>
          <w:szCs w:val="20"/>
        </w:rPr>
        <w:t>2008</w:t>
      </w:r>
      <w:r w:rsidR="00341264" w:rsidRPr="008A33B0">
        <w:rPr>
          <w:rFonts w:ascii="Verdana" w:hAnsi="Verdana"/>
          <w:sz w:val="20"/>
          <w:szCs w:val="20"/>
        </w:rPr>
        <w:t>,</w:t>
      </w:r>
      <w:r w:rsidRPr="008A33B0">
        <w:rPr>
          <w:rFonts w:ascii="Verdana" w:hAnsi="Verdana"/>
          <w:sz w:val="20"/>
          <w:szCs w:val="20"/>
        </w:rPr>
        <w:t xml:space="preserve"> resultaban contrarias a la Convención Americana vulnerando</w:t>
      </w:r>
      <w:r w:rsidR="00AC4593">
        <w:rPr>
          <w:rFonts w:ascii="Verdana" w:hAnsi="Verdana"/>
          <w:sz w:val="20"/>
          <w:szCs w:val="20"/>
        </w:rPr>
        <w:t xml:space="preserve"> los derechos </w:t>
      </w:r>
      <w:r w:rsidR="00AC4593" w:rsidRPr="00F31F8B">
        <w:rPr>
          <w:rFonts w:ascii="Verdana" w:hAnsi="Verdana"/>
          <w:sz w:val="20"/>
          <w:szCs w:val="20"/>
        </w:rPr>
        <w:t>a no ser privado de la libertad arbitrariamente (art</w:t>
      </w:r>
      <w:r w:rsidR="00AC4593">
        <w:rPr>
          <w:rFonts w:ascii="Verdana" w:hAnsi="Verdana"/>
          <w:sz w:val="20"/>
          <w:szCs w:val="20"/>
        </w:rPr>
        <w:t>ículo</w:t>
      </w:r>
      <w:r w:rsidR="00AC4593" w:rsidRPr="00F31F8B">
        <w:rPr>
          <w:rFonts w:ascii="Verdana" w:hAnsi="Verdana"/>
          <w:sz w:val="20"/>
          <w:szCs w:val="20"/>
        </w:rPr>
        <w:t xml:space="preserve"> 7.3)</w:t>
      </w:r>
      <w:r w:rsidR="00AC4593">
        <w:rPr>
          <w:rFonts w:ascii="Verdana" w:hAnsi="Verdana"/>
          <w:sz w:val="20"/>
          <w:szCs w:val="20"/>
        </w:rPr>
        <w:t>;</w:t>
      </w:r>
      <w:r w:rsidR="00AC4593" w:rsidRPr="00F31F8B">
        <w:rPr>
          <w:rFonts w:ascii="Verdana" w:hAnsi="Verdana"/>
          <w:sz w:val="20"/>
          <w:szCs w:val="20"/>
        </w:rPr>
        <w:t xml:space="preserve"> al control judicial de la privación de la libertad (art. 7.5)</w:t>
      </w:r>
      <w:r w:rsidR="00E21BDE">
        <w:rPr>
          <w:rFonts w:ascii="Verdana" w:hAnsi="Verdana"/>
          <w:sz w:val="20"/>
          <w:szCs w:val="20"/>
        </w:rPr>
        <w:t>;</w:t>
      </w:r>
      <w:r w:rsidR="00AC4593">
        <w:rPr>
          <w:rFonts w:ascii="Verdana" w:hAnsi="Verdana"/>
          <w:sz w:val="20"/>
          <w:szCs w:val="20"/>
        </w:rPr>
        <w:t xml:space="preserve"> </w:t>
      </w:r>
      <w:r w:rsidR="00E21BDE">
        <w:rPr>
          <w:rFonts w:ascii="Verdana" w:hAnsi="Verdana"/>
          <w:sz w:val="20"/>
          <w:szCs w:val="20"/>
        </w:rPr>
        <w:t xml:space="preserve">a ser oído (artículo 8.1), </w:t>
      </w:r>
      <w:r w:rsidR="00AC4593">
        <w:rPr>
          <w:rFonts w:ascii="Verdana" w:hAnsi="Verdana"/>
          <w:sz w:val="20"/>
          <w:szCs w:val="20"/>
        </w:rPr>
        <w:t xml:space="preserve">y </w:t>
      </w:r>
      <w:r w:rsidR="00AC4593" w:rsidRPr="00F31F8B">
        <w:rPr>
          <w:rFonts w:ascii="Verdana" w:hAnsi="Verdana"/>
          <w:sz w:val="20"/>
          <w:szCs w:val="20"/>
        </w:rPr>
        <w:t>a la presunción de inocencia (art. 8.2)</w:t>
      </w:r>
      <w:r w:rsidR="00AC4593">
        <w:rPr>
          <w:rFonts w:ascii="Verdana" w:hAnsi="Verdana"/>
          <w:sz w:val="20"/>
          <w:szCs w:val="20"/>
        </w:rPr>
        <w:t>. Además</w:t>
      </w:r>
      <w:r w:rsidR="006B53AC">
        <w:rPr>
          <w:rFonts w:ascii="Verdana" w:hAnsi="Verdana"/>
          <w:sz w:val="20"/>
          <w:szCs w:val="20"/>
        </w:rPr>
        <w:t>,</w:t>
      </w:r>
      <w:r w:rsidR="00AC4593">
        <w:rPr>
          <w:rFonts w:ascii="Verdana" w:hAnsi="Verdana"/>
          <w:sz w:val="20"/>
          <w:szCs w:val="20"/>
        </w:rPr>
        <w:t xml:space="preserve"> para la figura el arraigo, la Corte concluyó que la misma vulneraba también </w:t>
      </w:r>
      <w:r w:rsidR="00AC4593" w:rsidRPr="00AC4593">
        <w:rPr>
          <w:rFonts w:ascii="Verdana" w:hAnsi="Verdana"/>
          <w:sz w:val="20"/>
          <w:szCs w:val="20"/>
        </w:rPr>
        <w:t>al derecho a ser oído (artículo 8.1</w:t>
      </w:r>
      <w:r w:rsidR="00AC4593">
        <w:rPr>
          <w:rFonts w:ascii="Verdana" w:hAnsi="Verdana"/>
          <w:sz w:val="20"/>
          <w:szCs w:val="20"/>
        </w:rPr>
        <w:t xml:space="preserve"> de la Convención Americana</w:t>
      </w:r>
      <w:r w:rsidR="00AC4593" w:rsidRPr="00AC4593">
        <w:rPr>
          <w:rFonts w:ascii="Verdana" w:hAnsi="Verdana"/>
          <w:sz w:val="20"/>
          <w:szCs w:val="20"/>
        </w:rPr>
        <w:t>)</w:t>
      </w:r>
      <w:r w:rsidR="00AC4593">
        <w:rPr>
          <w:rFonts w:ascii="Verdana" w:hAnsi="Verdana"/>
          <w:sz w:val="20"/>
          <w:szCs w:val="20"/>
        </w:rPr>
        <w:t xml:space="preserve">, y que la prisión preventiva oficiosa violaba del mismo modo el derecho a la igualdad y </w:t>
      </w:r>
      <w:r w:rsidR="00AC4593" w:rsidRPr="00F31F8B">
        <w:rPr>
          <w:rFonts w:ascii="Verdana" w:hAnsi="Verdana"/>
          <w:sz w:val="20"/>
          <w:szCs w:val="20"/>
        </w:rPr>
        <w:t>no discriminación (artículo 24</w:t>
      </w:r>
      <w:r w:rsidR="00AC4593">
        <w:rPr>
          <w:rFonts w:ascii="Verdana" w:hAnsi="Verdana"/>
          <w:sz w:val="20"/>
          <w:szCs w:val="20"/>
        </w:rPr>
        <w:t xml:space="preserve"> de la Convención Americana</w:t>
      </w:r>
      <w:r w:rsidR="00AC4593" w:rsidRPr="00F31F8B">
        <w:rPr>
          <w:rFonts w:ascii="Verdana" w:hAnsi="Verdana"/>
          <w:sz w:val="20"/>
          <w:szCs w:val="20"/>
        </w:rPr>
        <w:t>)</w:t>
      </w:r>
      <w:r w:rsidR="00AC4593">
        <w:rPr>
          <w:rFonts w:ascii="Verdana" w:hAnsi="Verdana"/>
          <w:sz w:val="20"/>
          <w:szCs w:val="20"/>
        </w:rPr>
        <w:t xml:space="preserve">. Todos esos derechos se vulneraron </w:t>
      </w:r>
      <w:r w:rsidR="00244D34">
        <w:rPr>
          <w:rFonts w:ascii="Verdana" w:hAnsi="Verdana"/>
          <w:sz w:val="20"/>
          <w:szCs w:val="20"/>
        </w:rPr>
        <w:t xml:space="preserve">en </w:t>
      </w:r>
      <w:r w:rsidR="00AC4593">
        <w:rPr>
          <w:rFonts w:ascii="Verdana" w:hAnsi="Verdana"/>
          <w:sz w:val="20"/>
          <w:szCs w:val="20"/>
        </w:rPr>
        <w:t xml:space="preserve">relación </w:t>
      </w:r>
      <w:r w:rsidR="00244D34">
        <w:rPr>
          <w:rFonts w:ascii="Verdana" w:hAnsi="Verdana"/>
          <w:sz w:val="20"/>
          <w:szCs w:val="20"/>
        </w:rPr>
        <w:t>con</w:t>
      </w:r>
      <w:r w:rsidR="00AC4593">
        <w:rPr>
          <w:rFonts w:ascii="Verdana" w:hAnsi="Verdana"/>
          <w:sz w:val="20"/>
          <w:szCs w:val="20"/>
        </w:rPr>
        <w:t xml:space="preserve"> </w:t>
      </w:r>
      <w:r w:rsidRPr="00AC4593">
        <w:rPr>
          <w:rFonts w:ascii="Verdana" w:hAnsi="Verdana"/>
          <w:sz w:val="20"/>
          <w:szCs w:val="20"/>
        </w:rPr>
        <w:t xml:space="preserve">la obligación de adoptar disposiciones de derecho interno </w:t>
      </w:r>
      <w:r w:rsidR="00341264" w:rsidRPr="00AC4593">
        <w:rPr>
          <w:rFonts w:ascii="Verdana" w:hAnsi="Verdana"/>
          <w:sz w:val="20"/>
          <w:szCs w:val="20"/>
        </w:rPr>
        <w:t xml:space="preserve">establecida </w:t>
      </w:r>
      <w:r w:rsidRPr="00AC4593">
        <w:rPr>
          <w:rFonts w:ascii="Verdana" w:hAnsi="Verdana"/>
          <w:sz w:val="20"/>
          <w:szCs w:val="20"/>
        </w:rPr>
        <w:t>en el artículo 2</w:t>
      </w:r>
      <w:r w:rsidR="00AC4593">
        <w:rPr>
          <w:rFonts w:ascii="Verdana" w:hAnsi="Verdana"/>
          <w:sz w:val="20"/>
          <w:szCs w:val="20"/>
        </w:rPr>
        <w:t xml:space="preserve"> de la Convención Americana</w:t>
      </w:r>
      <w:r w:rsidRPr="00AC4593">
        <w:rPr>
          <w:rFonts w:ascii="Verdana" w:hAnsi="Verdana"/>
          <w:sz w:val="20"/>
          <w:szCs w:val="20"/>
        </w:rPr>
        <w:t xml:space="preserve">. </w:t>
      </w:r>
    </w:p>
    <w:p w14:paraId="3F2921E9" w14:textId="58BFA6E9" w:rsidR="00181C63" w:rsidRPr="00351298" w:rsidRDefault="21FDA27E" w:rsidP="00181C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Lo anterior resulta aún más problemático debido a la jurisprudencia de la Suprema Corte de Justicia de México en la contradicción de tesis 293/2011</w:t>
      </w:r>
      <w:r w:rsidR="009E5118" w:rsidRPr="1D64B15C">
        <w:rPr>
          <w:rStyle w:val="Refdenotaalpie"/>
          <w:rFonts w:ascii="Verdana" w:hAnsi="Verdana"/>
          <w:sz w:val="20"/>
        </w:rPr>
        <w:footnoteReference w:id="210"/>
      </w:r>
      <w:r w:rsidRPr="00351298">
        <w:rPr>
          <w:rFonts w:ascii="Verdana" w:hAnsi="Verdana"/>
          <w:sz w:val="20"/>
          <w:szCs w:val="20"/>
        </w:rPr>
        <w:t xml:space="preserve">, por medio de la cual aceptó que las restricciones expresas contenidas en la Constitución Nacional desplazaban a las normas internacionales, entre las cuales se encuentra las de la Convención Americana y las demás integrantes del Sistema </w:t>
      </w:r>
      <w:r w:rsidR="0087486E">
        <w:rPr>
          <w:rFonts w:ascii="Verdana" w:hAnsi="Verdana"/>
          <w:sz w:val="20"/>
          <w:szCs w:val="20"/>
        </w:rPr>
        <w:t>Intera</w:t>
      </w:r>
      <w:r w:rsidRPr="00351298">
        <w:rPr>
          <w:rFonts w:ascii="Verdana" w:hAnsi="Verdana"/>
          <w:sz w:val="20"/>
          <w:szCs w:val="20"/>
        </w:rPr>
        <w:t>mericano de Derechos Humanos</w:t>
      </w:r>
      <w:r w:rsidR="00D4091D" w:rsidRPr="1D64B15C">
        <w:rPr>
          <w:rStyle w:val="Refdenotaalpie"/>
          <w:rFonts w:ascii="Verdana" w:hAnsi="Verdana"/>
          <w:sz w:val="20"/>
        </w:rPr>
        <w:footnoteReference w:id="211"/>
      </w:r>
      <w:r w:rsidRPr="00351298">
        <w:rPr>
          <w:rFonts w:ascii="Verdana" w:hAnsi="Verdana"/>
          <w:sz w:val="20"/>
          <w:szCs w:val="20"/>
        </w:rPr>
        <w:t>.</w:t>
      </w:r>
      <w:r w:rsidR="6891351E" w:rsidRPr="00351298">
        <w:rPr>
          <w:rFonts w:ascii="Verdana" w:hAnsi="Verdana"/>
          <w:sz w:val="20"/>
          <w:szCs w:val="20"/>
        </w:rPr>
        <w:t xml:space="preserve"> En ese sentido, según indicó el perito José Ramón Cossío Díaz, “los jueces y magistrados del Poder Judicial de la Federación están </w:t>
      </w:r>
      <w:r w:rsidR="6891351E" w:rsidRPr="00351298">
        <w:rPr>
          <w:rFonts w:ascii="Verdana" w:hAnsi="Verdana"/>
          <w:sz w:val="20"/>
          <w:szCs w:val="20"/>
        </w:rPr>
        <w:lastRenderedPageBreak/>
        <w:t xml:space="preserve">obligados a acatar lo resuelto en la contradicción de tesis 293/2011 y en el expediente varios 1396/2011, so pena de ser sancionados, sin que puedan plantear su desavenencia o cuestionar los criterios del Pleno o las salas de la propia Suprema Corte”. </w:t>
      </w:r>
      <w:r w:rsidR="00AC4593">
        <w:rPr>
          <w:rFonts w:ascii="Verdana" w:hAnsi="Verdana"/>
          <w:sz w:val="20"/>
          <w:szCs w:val="20"/>
        </w:rPr>
        <w:t>Además</w:t>
      </w:r>
      <w:r w:rsidR="5B12A7A0" w:rsidRPr="00351298">
        <w:rPr>
          <w:rFonts w:ascii="Verdana" w:hAnsi="Verdana"/>
          <w:sz w:val="20"/>
          <w:szCs w:val="20"/>
        </w:rPr>
        <w:t>, s</w:t>
      </w:r>
      <w:r w:rsidR="6891351E" w:rsidRPr="00351298">
        <w:rPr>
          <w:rFonts w:ascii="Verdana" w:hAnsi="Verdana"/>
          <w:sz w:val="20"/>
          <w:szCs w:val="20"/>
        </w:rPr>
        <w:t>egún ese perito, al aceptarse que las restricciones constitucionales prevalecen frente a los derechos de fuente convencional y a la jurisprudencia y las resoluciones de la Corte Interamericana de Derechos Humanos, “se hace nugatoria la posibilidad de avanzar en el criterio que fortaleciera el principio pro-persona. […] Lo anterior, genera que los alcances de la tutela judicial en México en los mecanismos de control de detención, revisión por vías ordinarias y mediante juicio de amparo de las detenciones impuestas bajo las figuras de arraigo y prisión preventiva oficiosa, sean ineficaces al no ser posible aplicar de manera adecuada el principio pro-persona”</w:t>
      </w:r>
      <w:r w:rsidR="00181C63" w:rsidRPr="1D64B15C">
        <w:rPr>
          <w:rStyle w:val="Refdenotaalpie"/>
          <w:rFonts w:ascii="Verdana" w:hAnsi="Verdana"/>
          <w:sz w:val="20"/>
        </w:rPr>
        <w:footnoteReference w:id="212"/>
      </w:r>
      <w:r w:rsidR="6891351E" w:rsidRPr="00351298">
        <w:rPr>
          <w:rFonts w:ascii="Verdana" w:hAnsi="Verdana"/>
          <w:sz w:val="20"/>
          <w:szCs w:val="20"/>
        </w:rPr>
        <w:t>. En ese sentido y de conformidad con esa interpretación</w:t>
      </w:r>
      <w:r w:rsidR="009E5118" w:rsidRPr="1D64B15C">
        <w:rPr>
          <w:rStyle w:val="Refdenotaalpie"/>
          <w:rFonts w:ascii="Verdana" w:hAnsi="Verdana"/>
          <w:sz w:val="20"/>
        </w:rPr>
        <w:footnoteReference w:id="213"/>
      </w:r>
      <w:r w:rsidR="6891351E" w:rsidRPr="00351298">
        <w:rPr>
          <w:rFonts w:ascii="Verdana" w:hAnsi="Verdana"/>
          <w:sz w:val="20"/>
          <w:szCs w:val="20"/>
        </w:rPr>
        <w:t xml:space="preserve">, el Estado mexicano podría estar incumpliendo obligaciones internacionales que se comprometió a acatar al firmar y ratificar los instrumentos internacionales como la Convención Americana y las decisiones de la Corte Interamericana que son de obligatorio </w:t>
      </w:r>
      <w:r w:rsidR="5B12A7A0" w:rsidRPr="00351298">
        <w:rPr>
          <w:rFonts w:ascii="Verdana" w:hAnsi="Verdana"/>
          <w:sz w:val="20"/>
          <w:szCs w:val="20"/>
        </w:rPr>
        <w:t>cumplim</w:t>
      </w:r>
      <w:r w:rsidR="05A9433D" w:rsidRPr="00D04822">
        <w:rPr>
          <w:rFonts w:ascii="Verdana" w:hAnsi="Verdana"/>
          <w:sz w:val="20"/>
          <w:szCs w:val="20"/>
        </w:rPr>
        <w:t>i</w:t>
      </w:r>
      <w:r w:rsidR="05A9433D">
        <w:rPr>
          <w:rFonts w:ascii="Verdana" w:hAnsi="Verdana"/>
          <w:sz w:val="20"/>
          <w:szCs w:val="20"/>
        </w:rPr>
        <w:t>ento</w:t>
      </w:r>
      <w:r w:rsidR="6891351E" w:rsidRPr="00351298">
        <w:rPr>
          <w:rFonts w:ascii="Verdana" w:hAnsi="Verdana"/>
          <w:sz w:val="20"/>
          <w:szCs w:val="20"/>
        </w:rPr>
        <w:t xml:space="preserve"> para los Estados Parte.  </w:t>
      </w:r>
    </w:p>
    <w:p w14:paraId="35778456" w14:textId="03AB5A28" w:rsidR="00D4091D" w:rsidRPr="00351298" w:rsidRDefault="21FDA27E" w:rsidP="00D4091D">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En cuanto a lo anterior, corresponde recordar que este Tribunal ha señalado de forma constante que las distintas autoridades estatales </w:t>
      </w:r>
      <w:r w:rsidR="72322A42" w:rsidRPr="7CDFE7CF">
        <w:rPr>
          <w:rFonts w:ascii="Verdana" w:hAnsi="Verdana"/>
          <w:sz w:val="20"/>
          <w:szCs w:val="20"/>
        </w:rPr>
        <w:t>tienen</w:t>
      </w:r>
      <w:r w:rsidRPr="00351298">
        <w:rPr>
          <w:rFonts w:ascii="Verdana" w:hAnsi="Verdana"/>
          <w:sz w:val="20"/>
          <w:szCs w:val="20"/>
        </w:rPr>
        <w:t xml:space="preserve"> en la obligación de ejercer </w:t>
      </w:r>
      <w:r w:rsidRPr="7CDFE7CF">
        <w:rPr>
          <w:rFonts w:ascii="Verdana" w:hAnsi="Verdana"/>
          <w:i/>
          <w:iCs/>
          <w:sz w:val="20"/>
          <w:szCs w:val="20"/>
        </w:rPr>
        <w:t>ex officio</w:t>
      </w:r>
      <w:r w:rsidRPr="00351298">
        <w:rPr>
          <w:rFonts w:ascii="Verdana" w:hAnsi="Verdana"/>
          <w:sz w:val="20"/>
          <w:szCs w:val="20"/>
        </w:rPr>
        <w:t xml:space="preserve"> un control de convencionalidad entre las normas y prácticas internas y la Convención Americana, en el marco de sus respectivas competencias y de las regulaciones procesales correspondientes. </w:t>
      </w:r>
      <w:r w:rsidR="094A53D4" w:rsidRPr="7CDFE7CF">
        <w:rPr>
          <w:rFonts w:ascii="Verdana" w:hAnsi="Verdana"/>
          <w:sz w:val="20"/>
          <w:szCs w:val="20"/>
        </w:rPr>
        <w:t>Para llevar a cabo esa tarea</w:t>
      </w:r>
      <w:r w:rsidRPr="00351298">
        <w:rPr>
          <w:rFonts w:ascii="Verdana" w:hAnsi="Verdana"/>
          <w:sz w:val="20"/>
          <w:szCs w:val="20"/>
        </w:rPr>
        <w:t xml:space="preserve">, las autoridades internas deben tener cuenta no solamente el tratado, sino también la interpretación que del mismo ha hecho la Corte, </w:t>
      </w:r>
      <w:r w:rsidR="124D69E4" w:rsidRPr="7CDFE7CF">
        <w:rPr>
          <w:rFonts w:ascii="Verdana" w:hAnsi="Verdana"/>
          <w:sz w:val="20"/>
          <w:szCs w:val="20"/>
        </w:rPr>
        <w:t xml:space="preserve">como última </w:t>
      </w:r>
      <w:r w:rsidRPr="00351298">
        <w:rPr>
          <w:rFonts w:ascii="Verdana" w:hAnsi="Verdana"/>
          <w:sz w:val="20"/>
          <w:szCs w:val="20"/>
        </w:rPr>
        <w:t>intérprete última de la Convención</w:t>
      </w:r>
      <w:r w:rsidR="00D4091D" w:rsidRPr="7CDFE7CF">
        <w:rPr>
          <w:rStyle w:val="Refdenotaalpie"/>
          <w:rFonts w:ascii="Verdana" w:hAnsi="Verdana"/>
          <w:sz w:val="20"/>
        </w:rPr>
        <w:footnoteReference w:id="214"/>
      </w:r>
      <w:r w:rsidRPr="00351298">
        <w:rPr>
          <w:rFonts w:ascii="Verdana" w:hAnsi="Verdana"/>
          <w:sz w:val="20"/>
          <w:szCs w:val="20"/>
        </w:rPr>
        <w:t>.</w:t>
      </w:r>
    </w:p>
    <w:p w14:paraId="690A860A" w14:textId="789B1ED8" w:rsidR="00E6439A" w:rsidRPr="00F31F8B" w:rsidRDefault="7E59B297" w:rsidP="00181C63">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Los representantes y la Comisión alegaron que adicionalmente a la existencia de normas restrictivas a la libertad que eran </w:t>
      </w:r>
      <w:r w:rsidRPr="1D64B15C">
        <w:rPr>
          <w:rFonts w:ascii="Verdana" w:hAnsi="Verdana"/>
          <w:i/>
          <w:iCs/>
          <w:sz w:val="20"/>
          <w:szCs w:val="20"/>
        </w:rPr>
        <w:t>per se</w:t>
      </w:r>
      <w:r w:rsidRPr="1D64B15C">
        <w:rPr>
          <w:rFonts w:ascii="Verdana" w:hAnsi="Verdana"/>
          <w:sz w:val="20"/>
          <w:szCs w:val="20"/>
        </w:rPr>
        <w:t xml:space="preserve"> incompatibles con la Convención Americana, lo cual vulnera la obligación de adoptar disposiciones de derecho interno contenida en </w:t>
      </w:r>
      <w:r w:rsidR="006F581D" w:rsidRPr="1D64B15C">
        <w:rPr>
          <w:rFonts w:ascii="Verdana" w:hAnsi="Verdana"/>
          <w:sz w:val="20"/>
          <w:szCs w:val="20"/>
        </w:rPr>
        <w:t xml:space="preserve">su </w:t>
      </w:r>
      <w:r w:rsidRPr="1D64B15C">
        <w:rPr>
          <w:rFonts w:ascii="Verdana" w:hAnsi="Verdana"/>
          <w:sz w:val="20"/>
          <w:szCs w:val="20"/>
        </w:rPr>
        <w:t>artículo 2</w:t>
      </w:r>
      <w:r w:rsidR="2B87412D" w:rsidRPr="1D64B15C">
        <w:rPr>
          <w:rFonts w:ascii="Verdana" w:hAnsi="Verdana"/>
          <w:sz w:val="20"/>
          <w:szCs w:val="20"/>
        </w:rPr>
        <w:t xml:space="preserve">, </w:t>
      </w:r>
      <w:r w:rsidRPr="1D64B15C">
        <w:rPr>
          <w:rFonts w:ascii="Verdana" w:hAnsi="Verdana"/>
          <w:sz w:val="20"/>
          <w:szCs w:val="20"/>
        </w:rPr>
        <w:t>en el presente caso</w:t>
      </w:r>
      <w:r w:rsidR="7C5BEB40" w:rsidRPr="1D64B15C">
        <w:rPr>
          <w:rFonts w:ascii="Verdana" w:hAnsi="Verdana"/>
          <w:sz w:val="20"/>
          <w:szCs w:val="20"/>
        </w:rPr>
        <w:t>,</w:t>
      </w:r>
      <w:r w:rsidRPr="1D64B15C">
        <w:rPr>
          <w:rFonts w:ascii="Verdana" w:hAnsi="Verdana"/>
          <w:sz w:val="20"/>
          <w:szCs w:val="20"/>
        </w:rPr>
        <w:t xml:space="preserve"> el actuar de las autoridades judiciales que aplicaron esas figuras convencionales también vulneró los derechos a la libertad personal y a la presunción de inocencia </w:t>
      </w:r>
      <w:r w:rsidR="49EB05EE" w:rsidRPr="1D64B15C">
        <w:rPr>
          <w:rFonts w:ascii="Verdana" w:hAnsi="Verdana"/>
          <w:sz w:val="20"/>
          <w:szCs w:val="20"/>
        </w:rPr>
        <w:t xml:space="preserve">reconocidos en </w:t>
      </w:r>
      <w:r w:rsidRPr="1D64B15C">
        <w:rPr>
          <w:rFonts w:ascii="Verdana" w:hAnsi="Verdana"/>
          <w:sz w:val="20"/>
          <w:szCs w:val="20"/>
        </w:rPr>
        <w:t xml:space="preserve">los artículos 7 y 8.2 de la Convención Americana en relación con </w:t>
      </w:r>
      <w:r w:rsidR="38610A22" w:rsidRPr="1D64B15C">
        <w:rPr>
          <w:rFonts w:ascii="Verdana" w:hAnsi="Verdana"/>
          <w:sz w:val="20"/>
          <w:szCs w:val="20"/>
        </w:rPr>
        <w:t>la</w:t>
      </w:r>
      <w:r w:rsidRPr="1D64B15C">
        <w:rPr>
          <w:rFonts w:ascii="Verdana" w:hAnsi="Verdana"/>
          <w:sz w:val="20"/>
          <w:szCs w:val="20"/>
        </w:rPr>
        <w:t xml:space="preserve"> obligación de respeto contenida en el artículo 1.1 del mismo instrumento</w:t>
      </w:r>
      <w:r w:rsidR="2D8ED338" w:rsidRPr="1D64B15C">
        <w:rPr>
          <w:rFonts w:ascii="Verdana" w:hAnsi="Verdana"/>
          <w:sz w:val="20"/>
          <w:szCs w:val="20"/>
        </w:rPr>
        <w:t xml:space="preserve"> en perjuicio de Daniel García Rodríguez y Reyes Alpízar</w:t>
      </w:r>
      <w:r w:rsidR="394F9CB0" w:rsidRPr="1D64B15C">
        <w:rPr>
          <w:rFonts w:ascii="Verdana" w:hAnsi="Verdana"/>
          <w:sz w:val="20"/>
          <w:szCs w:val="20"/>
        </w:rPr>
        <w:t xml:space="preserve"> Ortiz </w:t>
      </w:r>
      <w:r w:rsidR="2D8ED338" w:rsidRPr="1D64B15C">
        <w:rPr>
          <w:rFonts w:ascii="Verdana" w:hAnsi="Verdana"/>
          <w:sz w:val="20"/>
          <w:szCs w:val="20"/>
        </w:rPr>
        <w:t xml:space="preserve">quienes estuvieron privados de la libertad bajo la modalidad del arraigo, </w:t>
      </w:r>
      <w:r w:rsidR="00395596">
        <w:rPr>
          <w:rFonts w:ascii="Verdana" w:hAnsi="Verdana"/>
          <w:sz w:val="20"/>
          <w:szCs w:val="20"/>
        </w:rPr>
        <w:t>47</w:t>
      </w:r>
      <w:r w:rsidR="2D8ED338" w:rsidRPr="1D64B15C">
        <w:rPr>
          <w:rFonts w:ascii="Verdana" w:hAnsi="Verdana"/>
          <w:sz w:val="20"/>
          <w:szCs w:val="20"/>
        </w:rPr>
        <w:t xml:space="preserve"> y 31 </w:t>
      </w:r>
      <w:r w:rsidR="7F088AE1" w:rsidRPr="1D64B15C">
        <w:rPr>
          <w:rFonts w:ascii="Verdana" w:hAnsi="Verdana"/>
          <w:sz w:val="20"/>
          <w:szCs w:val="20"/>
        </w:rPr>
        <w:t xml:space="preserve">días </w:t>
      </w:r>
      <w:r w:rsidR="2D8ED338" w:rsidRPr="1D64B15C">
        <w:rPr>
          <w:rFonts w:ascii="Verdana" w:hAnsi="Verdana"/>
          <w:sz w:val="20"/>
          <w:szCs w:val="20"/>
        </w:rPr>
        <w:t>respectivamente, y alrededor de 17 años bajo la figura de la prisión preventiva oficiosa</w:t>
      </w:r>
      <w:r w:rsidRPr="1D64B15C">
        <w:rPr>
          <w:rFonts w:ascii="Verdana" w:hAnsi="Verdana"/>
          <w:sz w:val="20"/>
          <w:szCs w:val="20"/>
        </w:rPr>
        <w:t>.</w:t>
      </w:r>
      <w:r w:rsidR="08FE221D" w:rsidRPr="1D64B15C">
        <w:rPr>
          <w:rFonts w:ascii="Verdana" w:hAnsi="Verdana"/>
          <w:sz w:val="20"/>
          <w:szCs w:val="20"/>
        </w:rPr>
        <w:t xml:space="preserve"> </w:t>
      </w:r>
    </w:p>
    <w:p w14:paraId="654FFE68" w14:textId="128AB918" w:rsidR="00511C2E" w:rsidRPr="00351298" w:rsidRDefault="00181C63" w:rsidP="00511C2E">
      <w:pPr>
        <w:numPr>
          <w:ilvl w:val="0"/>
          <w:numId w:val="2"/>
        </w:numPr>
        <w:spacing w:before="120" w:after="120"/>
        <w:ind w:left="0" w:firstLine="0"/>
        <w:jc w:val="both"/>
        <w:rPr>
          <w:rFonts w:ascii="Verdana" w:hAnsi="Verdana"/>
          <w:sz w:val="16"/>
          <w:szCs w:val="16"/>
        </w:rPr>
      </w:pPr>
      <w:r w:rsidRPr="00F31F8B">
        <w:rPr>
          <w:rFonts w:ascii="Verdana" w:hAnsi="Verdana"/>
          <w:sz w:val="20"/>
          <w:szCs w:val="20"/>
        </w:rPr>
        <w:t>Para este Tribunal</w:t>
      </w:r>
      <w:r w:rsidR="00D4091D" w:rsidRPr="00F31F8B">
        <w:rPr>
          <w:rFonts w:ascii="Verdana" w:hAnsi="Verdana"/>
          <w:sz w:val="20"/>
          <w:szCs w:val="20"/>
        </w:rPr>
        <w:t xml:space="preserve">, no cabe duda de que, al aplicar figuras que </w:t>
      </w:r>
      <w:r w:rsidR="00D4091D" w:rsidRPr="00F31F8B">
        <w:rPr>
          <w:rFonts w:ascii="Verdana" w:hAnsi="Verdana"/>
          <w:i/>
          <w:iCs/>
          <w:sz w:val="20"/>
          <w:szCs w:val="20"/>
        </w:rPr>
        <w:t xml:space="preserve">per se </w:t>
      </w:r>
      <w:r w:rsidR="00D4091D" w:rsidRPr="00F31F8B">
        <w:rPr>
          <w:rFonts w:ascii="Verdana" w:hAnsi="Verdana"/>
          <w:sz w:val="20"/>
          <w:szCs w:val="20"/>
        </w:rPr>
        <w:t>son contrarias a la Convención Americana, las autoridades internas vulneraron los derechos a la libertad personal y a la presunción de inocencia en perjuicio de Daniel García Rodríguez y Reyes Alpízar</w:t>
      </w:r>
      <w:r w:rsidR="007C78FA" w:rsidRPr="00F31F8B">
        <w:rPr>
          <w:rFonts w:ascii="Verdana" w:hAnsi="Verdana"/>
          <w:sz w:val="20"/>
          <w:szCs w:val="20"/>
        </w:rPr>
        <w:t xml:space="preserve"> Ortiz </w:t>
      </w:r>
      <w:r w:rsidR="00D4091D" w:rsidRPr="00F31F8B">
        <w:rPr>
          <w:rFonts w:ascii="Verdana" w:hAnsi="Verdana"/>
          <w:sz w:val="20"/>
          <w:szCs w:val="20"/>
        </w:rPr>
        <w:t>incumpliendo su obligación de respeto contenida en el artículo 1.1 de la Convención Americana.</w:t>
      </w:r>
      <w:r w:rsidR="00E6439A" w:rsidRPr="00F31F8B">
        <w:rPr>
          <w:rFonts w:ascii="Verdana" w:hAnsi="Verdana"/>
          <w:sz w:val="20"/>
          <w:szCs w:val="20"/>
        </w:rPr>
        <w:t xml:space="preserve"> Sobre este punto, cabe recordar por ejemplo que el 24 de noviembre de 2011 la Jueza Quinta Penal </w:t>
      </w:r>
      <w:r w:rsidR="00FB73CD" w:rsidRPr="00F31F8B">
        <w:rPr>
          <w:rFonts w:ascii="Verdana" w:hAnsi="Verdana"/>
          <w:sz w:val="20"/>
          <w:szCs w:val="20"/>
        </w:rPr>
        <w:t>se basó en la gravedad del delito para fundamentar su permanencia en prisión</w:t>
      </w:r>
      <w:r w:rsidR="00FB73CD" w:rsidRPr="00351298">
        <w:rPr>
          <w:rFonts w:ascii="Verdana" w:hAnsi="Verdana"/>
          <w:sz w:val="20"/>
          <w:szCs w:val="20"/>
        </w:rPr>
        <w:t xml:space="preserve"> preventiva. </w:t>
      </w:r>
      <w:r w:rsidR="00FB73CD" w:rsidRPr="00351298">
        <w:rPr>
          <w:rFonts w:ascii="Verdana" w:hAnsi="Verdana"/>
          <w:sz w:val="20"/>
          <w:szCs w:val="20"/>
        </w:rPr>
        <w:lastRenderedPageBreak/>
        <w:t xml:space="preserve">Es así como en esa oportunidad </w:t>
      </w:r>
      <w:r w:rsidR="00E6439A" w:rsidRPr="00351298">
        <w:rPr>
          <w:rFonts w:ascii="Verdana" w:hAnsi="Verdana"/>
          <w:sz w:val="20"/>
          <w:szCs w:val="20"/>
        </w:rPr>
        <w:t xml:space="preserve">indicó que el delito que se les imputaba “era y continúa siendo grave”, </w:t>
      </w:r>
      <w:r w:rsidR="00083E3B">
        <w:rPr>
          <w:rFonts w:ascii="Verdana" w:hAnsi="Verdana"/>
          <w:sz w:val="20"/>
          <w:szCs w:val="20"/>
        </w:rPr>
        <w:t>dado</w:t>
      </w:r>
      <w:r w:rsidR="00E6439A" w:rsidRPr="00351298">
        <w:rPr>
          <w:rFonts w:ascii="Verdana" w:hAnsi="Verdana"/>
          <w:sz w:val="20"/>
          <w:szCs w:val="20"/>
        </w:rPr>
        <w:t xml:space="preserve"> que la ley vigente al momento de la comisión “jurídicamente impide la concesión de la libertad provisional bajo caución”</w:t>
      </w:r>
      <w:r w:rsidR="00D4091D" w:rsidRPr="00351298">
        <w:rPr>
          <w:rFonts w:ascii="Verdana" w:hAnsi="Verdana"/>
          <w:sz w:val="20"/>
          <w:szCs w:val="20"/>
        </w:rPr>
        <w:t xml:space="preserve"> </w:t>
      </w:r>
      <w:r w:rsidR="00E6439A" w:rsidRPr="00351298">
        <w:rPr>
          <w:rFonts w:ascii="Verdana" w:hAnsi="Verdana"/>
          <w:sz w:val="20"/>
          <w:szCs w:val="20"/>
        </w:rPr>
        <w:t>(</w:t>
      </w:r>
      <w:r w:rsidR="00E6439A" w:rsidRPr="00351298">
        <w:rPr>
          <w:rFonts w:ascii="Verdana" w:hAnsi="Verdana"/>
          <w:i/>
          <w:iCs/>
          <w:sz w:val="20"/>
          <w:szCs w:val="20"/>
        </w:rPr>
        <w:t>supra</w:t>
      </w:r>
      <w:r w:rsidR="00E6439A" w:rsidRPr="00351298">
        <w:rPr>
          <w:rFonts w:ascii="Verdana" w:hAnsi="Verdana"/>
          <w:sz w:val="20"/>
          <w:szCs w:val="20"/>
        </w:rPr>
        <w:t xml:space="preserve"> párr. </w:t>
      </w:r>
      <w:r w:rsidR="00AC4593">
        <w:rPr>
          <w:rFonts w:ascii="Verdana" w:hAnsi="Verdana"/>
          <w:sz w:val="20"/>
          <w:szCs w:val="20"/>
        </w:rPr>
        <w:t>81</w:t>
      </w:r>
      <w:r w:rsidR="00E6439A" w:rsidRPr="00351298">
        <w:rPr>
          <w:rFonts w:ascii="Verdana" w:hAnsi="Verdana"/>
          <w:sz w:val="20"/>
          <w:szCs w:val="20"/>
        </w:rPr>
        <w:t>).</w:t>
      </w:r>
      <w:r w:rsidR="00511C2E" w:rsidRPr="00351298">
        <w:rPr>
          <w:rFonts w:ascii="Verdana" w:hAnsi="Verdana"/>
          <w:sz w:val="20"/>
          <w:szCs w:val="20"/>
        </w:rPr>
        <w:t xml:space="preserve"> </w:t>
      </w:r>
    </w:p>
    <w:p w14:paraId="073F230C" w14:textId="79CCEAA6" w:rsidR="00511C2E" w:rsidRPr="00351298" w:rsidRDefault="1C07FEDF" w:rsidP="000A6AE2">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Por otra parte, </w:t>
      </w:r>
      <w:r w:rsidR="34FB9E16" w:rsidRPr="1D64B15C">
        <w:rPr>
          <w:rFonts w:ascii="Verdana" w:hAnsi="Verdana"/>
          <w:sz w:val="20"/>
          <w:szCs w:val="20"/>
        </w:rPr>
        <w:t>el 30 de enero de 2018, la Jueza Penal de Primera Instancia negó un recurso de revisión</w:t>
      </w:r>
      <w:r w:rsidR="35118EB5" w:rsidRPr="1D64B15C">
        <w:rPr>
          <w:rFonts w:ascii="Verdana" w:hAnsi="Verdana"/>
          <w:sz w:val="20"/>
          <w:szCs w:val="20"/>
        </w:rPr>
        <w:t>.</w:t>
      </w:r>
      <w:r w:rsidR="34FB9E16" w:rsidRPr="1D64B15C">
        <w:rPr>
          <w:rFonts w:ascii="Verdana" w:hAnsi="Verdana"/>
          <w:sz w:val="20"/>
          <w:szCs w:val="20"/>
        </w:rPr>
        <w:t xml:space="preserve"> </w:t>
      </w:r>
      <w:r w:rsidR="06719AD2" w:rsidRPr="1D64B15C">
        <w:rPr>
          <w:rFonts w:ascii="Verdana" w:hAnsi="Verdana"/>
          <w:sz w:val="20"/>
          <w:szCs w:val="20"/>
        </w:rPr>
        <w:t xml:space="preserve">Para decidir de esa manera, indicó </w:t>
      </w:r>
      <w:r w:rsidR="34FB9E16" w:rsidRPr="1D64B15C">
        <w:rPr>
          <w:rFonts w:ascii="Verdana" w:hAnsi="Verdana"/>
          <w:sz w:val="20"/>
          <w:szCs w:val="20"/>
        </w:rPr>
        <w:t>que la duración del juicio era atribuible a la intensa actividad de los procesados y</w:t>
      </w:r>
      <w:r w:rsidR="380C2DA2" w:rsidRPr="1D64B15C">
        <w:rPr>
          <w:rFonts w:ascii="Verdana" w:hAnsi="Verdana"/>
          <w:sz w:val="20"/>
          <w:szCs w:val="20"/>
        </w:rPr>
        <w:t xml:space="preserve"> que había</w:t>
      </w:r>
      <w:r w:rsidR="34FB9E16" w:rsidRPr="1D64B15C">
        <w:rPr>
          <w:rFonts w:ascii="Verdana" w:hAnsi="Verdana"/>
          <w:sz w:val="20"/>
          <w:szCs w:val="20"/>
        </w:rPr>
        <w:t xml:space="preserve"> riesgo de fuga </w:t>
      </w:r>
      <w:r w:rsidR="13E472EF" w:rsidRPr="1D64B15C">
        <w:rPr>
          <w:rFonts w:ascii="Verdana" w:hAnsi="Verdana"/>
          <w:sz w:val="20"/>
          <w:szCs w:val="20"/>
        </w:rPr>
        <w:t xml:space="preserve">por parte </w:t>
      </w:r>
      <w:r w:rsidR="34FB9E16" w:rsidRPr="1D64B15C">
        <w:rPr>
          <w:rFonts w:ascii="Verdana" w:hAnsi="Verdana"/>
          <w:sz w:val="20"/>
          <w:szCs w:val="20"/>
        </w:rPr>
        <w:t xml:space="preserve">de Daniel García. En esa </w:t>
      </w:r>
      <w:r w:rsidRPr="1D64B15C">
        <w:rPr>
          <w:rFonts w:ascii="Verdana" w:hAnsi="Verdana"/>
          <w:sz w:val="20"/>
          <w:szCs w:val="20"/>
        </w:rPr>
        <w:t>decisión,</w:t>
      </w:r>
      <w:r w:rsidR="34FB9E16" w:rsidRPr="1D64B15C">
        <w:rPr>
          <w:rFonts w:ascii="Verdana" w:hAnsi="Verdana"/>
          <w:sz w:val="20"/>
          <w:szCs w:val="20"/>
        </w:rPr>
        <w:t xml:space="preserve"> </w:t>
      </w:r>
      <w:r w:rsidRPr="1D64B15C">
        <w:rPr>
          <w:rFonts w:ascii="Verdana" w:hAnsi="Verdana"/>
          <w:sz w:val="20"/>
          <w:szCs w:val="20"/>
        </w:rPr>
        <w:t xml:space="preserve">analizó el peligro de fuga del procesado </w:t>
      </w:r>
      <w:r w:rsidR="5A8C3E46" w:rsidRPr="1D64B15C">
        <w:rPr>
          <w:rFonts w:ascii="Verdana" w:hAnsi="Verdana"/>
          <w:sz w:val="20"/>
          <w:szCs w:val="20"/>
        </w:rPr>
        <w:t>basándose</w:t>
      </w:r>
      <w:r w:rsidRPr="1D64B15C">
        <w:rPr>
          <w:rFonts w:ascii="Verdana" w:hAnsi="Verdana"/>
          <w:sz w:val="20"/>
          <w:szCs w:val="20"/>
        </w:rPr>
        <w:t xml:space="preserve"> en condic</w:t>
      </w:r>
      <w:r w:rsidR="5A8C3E46" w:rsidRPr="1D64B15C">
        <w:rPr>
          <w:rFonts w:ascii="Verdana" w:hAnsi="Verdana"/>
          <w:sz w:val="20"/>
          <w:szCs w:val="20"/>
        </w:rPr>
        <w:t>i</w:t>
      </w:r>
      <w:r w:rsidRPr="1D64B15C">
        <w:rPr>
          <w:rFonts w:ascii="Verdana" w:hAnsi="Verdana"/>
          <w:sz w:val="20"/>
          <w:szCs w:val="20"/>
        </w:rPr>
        <w:t xml:space="preserve">ones subjetivas </w:t>
      </w:r>
      <w:r w:rsidR="5A8C3E46" w:rsidRPr="1D64B15C">
        <w:rPr>
          <w:rFonts w:ascii="Verdana" w:hAnsi="Verdana"/>
          <w:sz w:val="20"/>
          <w:szCs w:val="20"/>
        </w:rPr>
        <w:t>tales como la honradez, la lealtad o la rectitud del procesado en lugar de analizar elementos que permitan</w:t>
      </w:r>
      <w:r w:rsidRPr="1D64B15C">
        <w:rPr>
          <w:rFonts w:ascii="Verdana" w:hAnsi="Verdana"/>
          <w:sz w:val="20"/>
          <w:szCs w:val="20"/>
        </w:rPr>
        <w:t xml:space="preserve"> </w:t>
      </w:r>
      <w:r w:rsidR="5A8C3E46" w:rsidRPr="1D64B15C">
        <w:rPr>
          <w:rFonts w:ascii="Verdana" w:hAnsi="Verdana"/>
          <w:sz w:val="20"/>
          <w:szCs w:val="20"/>
        </w:rPr>
        <w:t>determinar de manera objetiva la posibilidad de materialización de ese riesgo procesal. De ese modo, indicó en es</w:t>
      </w:r>
      <w:r w:rsidR="31260AF1" w:rsidRPr="1D64B15C">
        <w:rPr>
          <w:rFonts w:ascii="Verdana" w:hAnsi="Verdana"/>
          <w:sz w:val="20"/>
          <w:szCs w:val="20"/>
        </w:rPr>
        <w:t>a</w:t>
      </w:r>
      <w:r w:rsidR="5A8C3E46" w:rsidRPr="1D64B15C">
        <w:rPr>
          <w:rFonts w:ascii="Verdana" w:hAnsi="Verdana"/>
          <w:sz w:val="20"/>
          <w:szCs w:val="20"/>
        </w:rPr>
        <w:t xml:space="preserve"> decisión que </w:t>
      </w:r>
      <w:r w:rsidR="34FB9E16" w:rsidRPr="1D64B15C">
        <w:rPr>
          <w:rFonts w:ascii="Verdana" w:hAnsi="Verdana"/>
          <w:sz w:val="20"/>
          <w:szCs w:val="20"/>
        </w:rPr>
        <w:t>después de analizar las declaraciones de diversos testigos relativos a la conducta de Daniel García mientras éste se desempeñaba como servidor público, afirmó que “se puede establecer que dicho acusado no se conducía con honradez, lealtad ni rectitud en el ejercicio de sus funciones como secretario particular del presidente Municipal de Atizapán de Zaragoza, motivo por el cual indicaron que fue despedido de ese ayuntamiento […] lo que hace más proclive el riesgo de que el acusado se sustraiga de la acción de la justicia en caso de que sea modificada la medida cautelar de prisión preventiva” (</w:t>
      </w:r>
      <w:r w:rsidR="34FB9E16" w:rsidRPr="1D64B15C">
        <w:rPr>
          <w:rFonts w:ascii="Verdana" w:hAnsi="Verdana"/>
          <w:i/>
          <w:iCs/>
          <w:sz w:val="20"/>
          <w:szCs w:val="20"/>
        </w:rPr>
        <w:t>supra</w:t>
      </w:r>
      <w:r w:rsidR="34FB9E16" w:rsidRPr="1D64B15C">
        <w:rPr>
          <w:rFonts w:ascii="Verdana" w:hAnsi="Verdana"/>
          <w:sz w:val="20"/>
          <w:szCs w:val="20"/>
        </w:rPr>
        <w:t xml:space="preserve"> párr. </w:t>
      </w:r>
      <w:r w:rsidR="00AC4593">
        <w:rPr>
          <w:rFonts w:ascii="Verdana" w:hAnsi="Verdana"/>
          <w:sz w:val="20"/>
          <w:szCs w:val="20"/>
        </w:rPr>
        <w:t>86</w:t>
      </w:r>
      <w:r w:rsidR="34FB9E16" w:rsidRPr="1D64B15C">
        <w:rPr>
          <w:rFonts w:ascii="Verdana" w:hAnsi="Verdana"/>
          <w:sz w:val="20"/>
          <w:szCs w:val="20"/>
        </w:rPr>
        <w:t>).</w:t>
      </w:r>
    </w:p>
    <w:p w14:paraId="27340AD5" w14:textId="03100B8E" w:rsidR="00E252D3" w:rsidRPr="00351298" w:rsidRDefault="00181C63" w:rsidP="00D4091D">
      <w:pPr>
        <w:numPr>
          <w:ilvl w:val="0"/>
          <w:numId w:val="2"/>
        </w:numPr>
        <w:spacing w:before="120" w:after="120"/>
        <w:ind w:left="0" w:firstLine="0"/>
        <w:jc w:val="both"/>
        <w:rPr>
          <w:rFonts w:ascii="Verdana" w:hAnsi="Verdana"/>
          <w:sz w:val="20"/>
          <w:szCs w:val="20"/>
        </w:rPr>
      </w:pPr>
      <w:r w:rsidRPr="00351298">
        <w:rPr>
          <w:rFonts w:ascii="Verdana" w:hAnsi="Verdana"/>
          <w:sz w:val="20"/>
          <w:szCs w:val="20"/>
        </w:rPr>
        <w:t>Del mismo modo</w:t>
      </w:r>
      <w:r w:rsidR="0016433F" w:rsidRPr="00351298">
        <w:rPr>
          <w:rFonts w:ascii="Verdana" w:hAnsi="Verdana"/>
          <w:sz w:val="20"/>
          <w:szCs w:val="20"/>
        </w:rPr>
        <w:t xml:space="preserve">, </w:t>
      </w:r>
      <w:r w:rsidR="001E0471" w:rsidRPr="00351298">
        <w:rPr>
          <w:rFonts w:ascii="Verdana" w:hAnsi="Verdana"/>
          <w:sz w:val="20"/>
          <w:szCs w:val="20"/>
        </w:rPr>
        <w:t xml:space="preserve">en </w:t>
      </w:r>
      <w:r w:rsidR="00E252D3" w:rsidRPr="00351298">
        <w:rPr>
          <w:rFonts w:ascii="Verdana" w:hAnsi="Verdana"/>
          <w:sz w:val="20"/>
          <w:szCs w:val="20"/>
        </w:rPr>
        <w:t xml:space="preserve">cuanto </w:t>
      </w:r>
      <w:r w:rsidR="001E0471" w:rsidRPr="00351298">
        <w:rPr>
          <w:rFonts w:ascii="Verdana" w:hAnsi="Verdana"/>
          <w:sz w:val="20"/>
          <w:szCs w:val="20"/>
        </w:rPr>
        <w:t>a</w:t>
      </w:r>
      <w:r w:rsidR="00E252D3" w:rsidRPr="00351298">
        <w:rPr>
          <w:rFonts w:ascii="Verdana" w:hAnsi="Verdana"/>
          <w:sz w:val="20"/>
          <w:szCs w:val="20"/>
        </w:rPr>
        <w:t xml:space="preserve"> la prolongación de la prisión preventiva, </w:t>
      </w:r>
      <w:r w:rsidR="00F07044" w:rsidRPr="00351298">
        <w:rPr>
          <w:rFonts w:ascii="Verdana" w:hAnsi="Verdana"/>
          <w:sz w:val="20"/>
          <w:szCs w:val="20"/>
        </w:rPr>
        <w:t xml:space="preserve">la Corte constata que el artículo 20.IX de la Constitución </w:t>
      </w:r>
      <w:r w:rsidR="00E60E9C" w:rsidRPr="00351298">
        <w:rPr>
          <w:rFonts w:ascii="Verdana" w:hAnsi="Verdana"/>
          <w:sz w:val="20"/>
          <w:szCs w:val="20"/>
        </w:rPr>
        <w:t>mexicana</w:t>
      </w:r>
      <w:r w:rsidR="00F07044" w:rsidRPr="00351298">
        <w:rPr>
          <w:rFonts w:ascii="Verdana" w:hAnsi="Verdana"/>
          <w:sz w:val="20"/>
          <w:szCs w:val="20"/>
        </w:rPr>
        <w:t>, establece desde su reforma en el año 2008, que “[l]a prisión preventiva no podrá exceder del tiempo que como máximo de pena fije la ley al delito que motivare el proceso y en ningún caso será superior a dos años, salvo que su prolongación se deba al ejercicio del derecho de defensa del imputado. Si cumplido este término no se ha pronunciado sentencia, el imputado será puesto en libertad de inmediato mientras se sigue el proceso, sin que ello obste para imponer otras medidas cautelares</w:t>
      </w:r>
      <w:r w:rsidR="00E252D3" w:rsidRPr="00351298">
        <w:rPr>
          <w:rFonts w:ascii="Verdana" w:hAnsi="Verdana"/>
          <w:sz w:val="20"/>
          <w:szCs w:val="20"/>
        </w:rPr>
        <w:t xml:space="preserve">”. </w:t>
      </w:r>
    </w:p>
    <w:p w14:paraId="70DDDBCD" w14:textId="06263A9E" w:rsidR="00127EFC" w:rsidRPr="00F31F8B" w:rsidRDefault="59A2926E" w:rsidP="00D73463">
      <w:pPr>
        <w:numPr>
          <w:ilvl w:val="0"/>
          <w:numId w:val="2"/>
        </w:numPr>
        <w:spacing w:before="120" w:after="120"/>
        <w:ind w:left="0" w:firstLine="0"/>
        <w:jc w:val="both"/>
        <w:rPr>
          <w:rFonts w:ascii="Verdana" w:hAnsi="Verdana"/>
          <w:b/>
          <w:bCs/>
          <w:sz w:val="20"/>
          <w:szCs w:val="20"/>
        </w:rPr>
      </w:pPr>
      <w:r w:rsidRPr="1D64B15C">
        <w:rPr>
          <w:rFonts w:ascii="Verdana" w:hAnsi="Verdana"/>
          <w:sz w:val="20"/>
          <w:szCs w:val="20"/>
        </w:rPr>
        <w:t>Por tanto, e</w:t>
      </w:r>
      <w:r w:rsidR="1931C6D5" w:rsidRPr="1D64B15C">
        <w:rPr>
          <w:rFonts w:ascii="Verdana" w:hAnsi="Verdana"/>
          <w:sz w:val="20"/>
          <w:szCs w:val="20"/>
        </w:rPr>
        <w:t xml:space="preserve">l artículo 20.IX de la Constitución obliga </w:t>
      </w:r>
      <w:r w:rsidR="7C5BEB40" w:rsidRPr="1D64B15C">
        <w:rPr>
          <w:rFonts w:ascii="Verdana" w:hAnsi="Verdana"/>
          <w:sz w:val="20"/>
          <w:szCs w:val="20"/>
        </w:rPr>
        <w:t>a</w:t>
      </w:r>
      <w:r w:rsidR="1931C6D5" w:rsidRPr="1D64B15C">
        <w:rPr>
          <w:rFonts w:ascii="Verdana" w:hAnsi="Verdana"/>
          <w:sz w:val="20"/>
          <w:szCs w:val="20"/>
        </w:rPr>
        <w:t xml:space="preserve"> ordenar la liberación de las personas en prisión preventiva que hubiesen </w:t>
      </w:r>
      <w:r w:rsidR="00334E09">
        <w:rPr>
          <w:rFonts w:ascii="Verdana" w:hAnsi="Verdana"/>
          <w:sz w:val="20"/>
          <w:szCs w:val="20"/>
        </w:rPr>
        <w:t>permanecido</w:t>
      </w:r>
      <w:r w:rsidR="1931C6D5" w:rsidRPr="1D64B15C">
        <w:rPr>
          <w:rFonts w:ascii="Verdana" w:hAnsi="Verdana"/>
          <w:sz w:val="20"/>
          <w:szCs w:val="20"/>
        </w:rPr>
        <w:t xml:space="preserve"> más de dos años en ese </w:t>
      </w:r>
      <w:r w:rsidR="0087486E">
        <w:rPr>
          <w:rFonts w:ascii="Verdana" w:hAnsi="Verdana"/>
          <w:sz w:val="20"/>
          <w:szCs w:val="20"/>
        </w:rPr>
        <w:t>e</w:t>
      </w:r>
      <w:r w:rsidR="1931C6D5" w:rsidRPr="1D64B15C">
        <w:rPr>
          <w:rFonts w:ascii="Verdana" w:hAnsi="Verdana"/>
          <w:sz w:val="20"/>
          <w:szCs w:val="20"/>
        </w:rPr>
        <w:t xml:space="preserve">stado salvo que la prolongación del proceso se deba a su estrategia de defensa. En ese sentido, la Corte nota que </w:t>
      </w:r>
      <w:bookmarkStart w:id="99" w:name="_Hlk118466347"/>
      <w:r w:rsidR="1FBD7834" w:rsidRPr="1D64B15C">
        <w:rPr>
          <w:rFonts w:ascii="Verdana" w:hAnsi="Verdana"/>
          <w:sz w:val="20"/>
          <w:szCs w:val="20"/>
        </w:rPr>
        <w:t>Daniel García Rodríguez y Reyes Alpízar</w:t>
      </w:r>
      <w:r w:rsidR="394F9CB0" w:rsidRPr="1D64B15C">
        <w:rPr>
          <w:rFonts w:ascii="Verdana" w:hAnsi="Verdana"/>
          <w:sz w:val="20"/>
          <w:szCs w:val="20"/>
        </w:rPr>
        <w:t xml:space="preserve"> Ortiz </w:t>
      </w:r>
      <w:bookmarkEnd w:id="99"/>
      <w:r w:rsidR="1FBD7834" w:rsidRPr="1D64B15C">
        <w:rPr>
          <w:rFonts w:ascii="Verdana" w:hAnsi="Verdana"/>
          <w:sz w:val="20"/>
          <w:szCs w:val="20"/>
        </w:rPr>
        <w:t xml:space="preserve">presentaron varios recursos para solicitar su revisión </w:t>
      </w:r>
      <w:r w:rsidR="19446DD2" w:rsidRPr="1D64B15C">
        <w:rPr>
          <w:rFonts w:ascii="Verdana" w:hAnsi="Verdana"/>
          <w:sz w:val="20"/>
          <w:szCs w:val="20"/>
        </w:rPr>
        <w:t>con el fundamento de</w:t>
      </w:r>
      <w:r w:rsidR="1FBD7834" w:rsidRPr="1D64B15C">
        <w:rPr>
          <w:rFonts w:ascii="Verdana" w:hAnsi="Verdana"/>
          <w:sz w:val="20"/>
          <w:szCs w:val="20"/>
        </w:rPr>
        <w:t xml:space="preserve"> que ésta se había convertido en pena anticipada, pero sus solicitudes fueron rechazadas bajo el argumento de que la legislación penal no permitía otorgar libertad provisional en atención a la gravedad del delito y el procedimiento penal que se les aplicaba no contemplaba revisión de medidas cautelares</w:t>
      </w:r>
      <w:r w:rsidR="463485A5" w:rsidRPr="1D64B15C">
        <w:rPr>
          <w:rFonts w:ascii="Verdana" w:hAnsi="Verdana"/>
          <w:sz w:val="20"/>
          <w:szCs w:val="20"/>
        </w:rPr>
        <w:t xml:space="preserve"> (</w:t>
      </w:r>
      <w:r w:rsidR="463485A5" w:rsidRPr="1D64B15C">
        <w:rPr>
          <w:rFonts w:ascii="Verdana" w:hAnsi="Verdana"/>
          <w:i/>
          <w:iCs/>
          <w:sz w:val="20"/>
          <w:szCs w:val="20"/>
        </w:rPr>
        <w:t>supra</w:t>
      </w:r>
      <w:r w:rsidR="463485A5" w:rsidRPr="1D64B15C">
        <w:rPr>
          <w:rFonts w:ascii="Verdana" w:hAnsi="Verdana"/>
          <w:sz w:val="20"/>
          <w:szCs w:val="20"/>
        </w:rPr>
        <w:t xml:space="preserve"> párrs. </w:t>
      </w:r>
      <w:r w:rsidR="00AC4593">
        <w:rPr>
          <w:rFonts w:ascii="Verdana" w:hAnsi="Verdana"/>
          <w:sz w:val="20"/>
          <w:szCs w:val="20"/>
        </w:rPr>
        <w:t>81</w:t>
      </w:r>
      <w:r w:rsidR="463485A5" w:rsidRPr="1D64B15C">
        <w:rPr>
          <w:rFonts w:ascii="Verdana" w:hAnsi="Verdana"/>
          <w:sz w:val="20"/>
          <w:szCs w:val="20"/>
        </w:rPr>
        <w:t xml:space="preserve">, </w:t>
      </w:r>
      <w:r w:rsidR="00AC4593">
        <w:rPr>
          <w:rFonts w:ascii="Verdana" w:hAnsi="Verdana"/>
          <w:sz w:val="20"/>
          <w:szCs w:val="20"/>
        </w:rPr>
        <w:t>83, 84</w:t>
      </w:r>
      <w:r w:rsidR="463485A5" w:rsidRPr="1D64B15C">
        <w:rPr>
          <w:rFonts w:ascii="Verdana" w:hAnsi="Verdana"/>
          <w:sz w:val="20"/>
          <w:szCs w:val="20"/>
        </w:rPr>
        <w:t xml:space="preserve">, y </w:t>
      </w:r>
      <w:r w:rsidR="00AC4593">
        <w:rPr>
          <w:rFonts w:ascii="Verdana" w:hAnsi="Verdana"/>
          <w:sz w:val="20"/>
          <w:szCs w:val="20"/>
        </w:rPr>
        <w:t>86</w:t>
      </w:r>
      <w:r w:rsidR="463485A5" w:rsidRPr="1D64B15C">
        <w:rPr>
          <w:rFonts w:ascii="Verdana" w:hAnsi="Verdana"/>
          <w:sz w:val="20"/>
          <w:szCs w:val="20"/>
        </w:rPr>
        <w:t>)</w:t>
      </w:r>
      <w:r w:rsidR="1FBD7834" w:rsidRPr="1D64B15C">
        <w:rPr>
          <w:rFonts w:ascii="Verdana" w:hAnsi="Verdana"/>
          <w:sz w:val="20"/>
          <w:szCs w:val="20"/>
        </w:rPr>
        <w:t>. En esas decisiones no se efectuó un análisis a la luz de las disposiciones del artículo 20.IX de la Constitución.</w:t>
      </w:r>
      <w:r w:rsidR="4028CFAD" w:rsidRPr="1D64B15C">
        <w:rPr>
          <w:rFonts w:ascii="Verdana" w:hAnsi="Verdana"/>
          <w:sz w:val="20"/>
          <w:szCs w:val="20"/>
        </w:rPr>
        <w:t xml:space="preserve"> Lo anterior</w:t>
      </w:r>
      <w:r w:rsidR="466A7942" w:rsidRPr="1D64B15C">
        <w:rPr>
          <w:rFonts w:ascii="Verdana" w:hAnsi="Verdana"/>
          <w:sz w:val="20"/>
          <w:szCs w:val="20"/>
        </w:rPr>
        <w:t xml:space="preserve"> se produjo de ese modo,</w:t>
      </w:r>
      <w:r w:rsidR="4028CFAD" w:rsidRPr="1D64B15C">
        <w:rPr>
          <w:rFonts w:ascii="Verdana" w:hAnsi="Verdana"/>
          <w:sz w:val="20"/>
          <w:szCs w:val="20"/>
        </w:rPr>
        <w:t xml:space="preserve"> aun cuando </w:t>
      </w:r>
      <w:r w:rsidR="466A7942" w:rsidRPr="1D64B15C">
        <w:rPr>
          <w:rFonts w:ascii="Verdana" w:hAnsi="Verdana"/>
          <w:sz w:val="20"/>
          <w:szCs w:val="20"/>
        </w:rPr>
        <w:t>las presuntas víctimas que presentaron los recursos</w:t>
      </w:r>
      <w:r w:rsidR="4028CFAD" w:rsidRPr="1D64B15C">
        <w:rPr>
          <w:rFonts w:ascii="Verdana" w:hAnsi="Verdana"/>
          <w:sz w:val="20"/>
          <w:szCs w:val="20"/>
        </w:rPr>
        <w:t xml:space="preserve"> solicitaron el control de convencionalidad de la legislación o, la aplicación retroactiva de las normas del sistema de penal vigente a partir de 2008</w:t>
      </w:r>
      <w:r w:rsidR="466A7942" w:rsidRPr="1D64B15C">
        <w:rPr>
          <w:rFonts w:ascii="Verdana" w:hAnsi="Verdana"/>
          <w:sz w:val="20"/>
          <w:szCs w:val="20"/>
        </w:rPr>
        <w:t>.</w:t>
      </w:r>
      <w:r w:rsidR="6E005A65" w:rsidRPr="1D64B15C">
        <w:rPr>
          <w:rFonts w:ascii="Verdana" w:hAnsi="Verdana"/>
          <w:sz w:val="20"/>
          <w:szCs w:val="20"/>
        </w:rPr>
        <w:t xml:space="preserve"> </w:t>
      </w:r>
      <w:r w:rsidR="6BBA9557" w:rsidRPr="1D64B15C">
        <w:rPr>
          <w:rFonts w:ascii="Verdana" w:hAnsi="Verdana"/>
          <w:sz w:val="20"/>
          <w:szCs w:val="20"/>
        </w:rPr>
        <w:t>Lo anterior significa que</w:t>
      </w:r>
      <w:r w:rsidR="0BA9F515" w:rsidRPr="1D64B15C">
        <w:rPr>
          <w:rFonts w:ascii="Verdana" w:hAnsi="Verdana"/>
          <w:sz w:val="20"/>
          <w:szCs w:val="20"/>
        </w:rPr>
        <w:t>,</w:t>
      </w:r>
      <w:r w:rsidR="6BBA9557" w:rsidRPr="1D64B15C">
        <w:rPr>
          <w:rFonts w:ascii="Verdana" w:hAnsi="Verdana"/>
          <w:sz w:val="20"/>
          <w:szCs w:val="20"/>
        </w:rPr>
        <w:t xml:space="preserve"> en el presente caso, las disposiciones del artículo 19 de la Constitución sobre prisión preventiva oficiosa han sido interpretadas</w:t>
      </w:r>
      <w:r w:rsidR="6B820EB6" w:rsidRPr="1D64B15C">
        <w:rPr>
          <w:rFonts w:ascii="Verdana" w:hAnsi="Verdana"/>
          <w:sz w:val="20"/>
          <w:szCs w:val="20"/>
        </w:rPr>
        <w:t>,</w:t>
      </w:r>
      <w:r w:rsidR="6BBA9557" w:rsidRPr="1D64B15C">
        <w:rPr>
          <w:rFonts w:ascii="Verdana" w:hAnsi="Verdana"/>
          <w:sz w:val="20"/>
          <w:szCs w:val="20"/>
        </w:rPr>
        <w:t xml:space="preserve"> por las autoridades que tuvieron conocimiento de esos recursos</w:t>
      </w:r>
      <w:r w:rsidR="6B820EB6" w:rsidRPr="1D64B15C">
        <w:rPr>
          <w:rFonts w:ascii="Verdana" w:hAnsi="Verdana"/>
          <w:sz w:val="20"/>
          <w:szCs w:val="20"/>
        </w:rPr>
        <w:t>,</w:t>
      </w:r>
      <w:r w:rsidR="6BBA9557" w:rsidRPr="1D64B15C">
        <w:rPr>
          <w:rFonts w:ascii="Verdana" w:hAnsi="Verdana"/>
          <w:sz w:val="20"/>
          <w:szCs w:val="20"/>
        </w:rPr>
        <w:t xml:space="preserve"> como una </w:t>
      </w:r>
      <w:r w:rsidR="6B820EB6" w:rsidRPr="1D64B15C">
        <w:rPr>
          <w:rFonts w:ascii="Verdana" w:hAnsi="Verdana"/>
          <w:sz w:val="20"/>
          <w:szCs w:val="20"/>
        </w:rPr>
        <w:t>excepción</w:t>
      </w:r>
      <w:r w:rsidR="6BBA9557" w:rsidRPr="1D64B15C">
        <w:rPr>
          <w:rFonts w:ascii="Verdana" w:hAnsi="Verdana"/>
          <w:sz w:val="20"/>
          <w:szCs w:val="20"/>
        </w:rPr>
        <w:t xml:space="preserve"> a </w:t>
      </w:r>
      <w:r w:rsidR="6B820EB6" w:rsidRPr="1D64B15C">
        <w:rPr>
          <w:rFonts w:ascii="Verdana" w:hAnsi="Verdana"/>
          <w:sz w:val="20"/>
          <w:szCs w:val="20"/>
        </w:rPr>
        <w:t>lo dispuesto en el artículo 20.IX de la misma Constitución sobre la duración máxima de esa medida</w:t>
      </w:r>
      <w:r w:rsidR="1E1C3BEC" w:rsidRPr="1D64B15C">
        <w:rPr>
          <w:rFonts w:ascii="Verdana" w:hAnsi="Verdana"/>
          <w:sz w:val="20"/>
          <w:szCs w:val="20"/>
        </w:rPr>
        <w:t xml:space="preserve">. En ese sentido, </w:t>
      </w:r>
      <w:r w:rsidR="36D558E9" w:rsidRPr="1D64B15C">
        <w:rPr>
          <w:rFonts w:ascii="Verdana" w:hAnsi="Verdana"/>
          <w:sz w:val="20"/>
          <w:szCs w:val="20"/>
        </w:rPr>
        <w:t xml:space="preserve">según esta interpretación, </w:t>
      </w:r>
      <w:r w:rsidR="1E1C3BEC" w:rsidRPr="1D64B15C">
        <w:rPr>
          <w:rFonts w:ascii="Verdana" w:hAnsi="Verdana"/>
          <w:sz w:val="20"/>
          <w:szCs w:val="20"/>
        </w:rPr>
        <w:t xml:space="preserve">para los delitos enunciados en el artículo 19 de la Constitución, no existiría la posibilidad de excarcelación al cabo de los dos años tal como lo establece el artículo 20.IX de ese mismo cuerpo normativo, ni tampoco una necesidad de revisión periódica de la medida </w:t>
      </w:r>
      <w:r w:rsidR="36D558E9" w:rsidRPr="1D64B15C">
        <w:rPr>
          <w:rFonts w:ascii="Verdana" w:hAnsi="Verdana"/>
          <w:sz w:val="20"/>
          <w:szCs w:val="20"/>
        </w:rPr>
        <w:t>cautelar</w:t>
      </w:r>
      <w:r w:rsidR="23F36929" w:rsidRPr="1D64B15C">
        <w:rPr>
          <w:rFonts w:ascii="Verdana" w:hAnsi="Verdana"/>
          <w:sz w:val="20"/>
          <w:szCs w:val="20"/>
        </w:rPr>
        <w:t>.</w:t>
      </w:r>
      <w:r w:rsidR="36D558E9" w:rsidRPr="1D64B15C">
        <w:rPr>
          <w:rFonts w:ascii="Verdana" w:hAnsi="Verdana"/>
          <w:sz w:val="20"/>
          <w:szCs w:val="20"/>
        </w:rPr>
        <w:t xml:space="preserve"> Lo anterior se deber</w:t>
      </w:r>
      <w:r w:rsidR="0BA9F515" w:rsidRPr="1D64B15C">
        <w:rPr>
          <w:rFonts w:ascii="Verdana" w:hAnsi="Verdana"/>
          <w:sz w:val="20"/>
          <w:szCs w:val="20"/>
        </w:rPr>
        <w:t>í</w:t>
      </w:r>
      <w:r w:rsidR="36D558E9" w:rsidRPr="1D64B15C">
        <w:rPr>
          <w:rFonts w:ascii="Verdana" w:hAnsi="Verdana"/>
          <w:sz w:val="20"/>
          <w:szCs w:val="20"/>
        </w:rPr>
        <w:t xml:space="preserve">a al hecho </w:t>
      </w:r>
      <w:r w:rsidR="1AE5CED4" w:rsidRPr="1D64B15C">
        <w:rPr>
          <w:rFonts w:ascii="Verdana" w:hAnsi="Verdana"/>
          <w:sz w:val="20"/>
          <w:szCs w:val="20"/>
        </w:rPr>
        <w:t xml:space="preserve">de </w:t>
      </w:r>
      <w:r w:rsidR="1E1C3BEC" w:rsidRPr="1D64B15C">
        <w:rPr>
          <w:rFonts w:ascii="Verdana" w:hAnsi="Verdana"/>
          <w:sz w:val="20"/>
          <w:szCs w:val="20"/>
        </w:rPr>
        <w:t>que</w:t>
      </w:r>
      <w:r w:rsidR="08A5F3CB" w:rsidRPr="1D64B15C">
        <w:rPr>
          <w:rFonts w:ascii="Verdana" w:hAnsi="Verdana"/>
          <w:sz w:val="20"/>
          <w:szCs w:val="20"/>
        </w:rPr>
        <w:t>,</w:t>
      </w:r>
      <w:r w:rsidR="1E1C3BEC" w:rsidRPr="1D64B15C">
        <w:rPr>
          <w:rFonts w:ascii="Verdana" w:hAnsi="Verdana"/>
          <w:sz w:val="20"/>
          <w:szCs w:val="20"/>
        </w:rPr>
        <w:t xml:space="preserve"> en el caso de la prisión preventiva oficiosa, es suficiente con la imputación de un delito para que la misma proceda</w:t>
      </w:r>
      <w:r w:rsidR="36D558E9" w:rsidRPr="1D64B15C">
        <w:rPr>
          <w:rFonts w:ascii="Verdana" w:hAnsi="Verdana"/>
          <w:sz w:val="20"/>
          <w:szCs w:val="20"/>
        </w:rPr>
        <w:t xml:space="preserve">, situación que se actualiza permanentemente hasta el dictado de la </w:t>
      </w:r>
      <w:r w:rsidR="585F70C8" w:rsidRPr="1D64B15C">
        <w:rPr>
          <w:rFonts w:ascii="Verdana" w:hAnsi="Verdana"/>
          <w:sz w:val="20"/>
          <w:szCs w:val="20"/>
        </w:rPr>
        <w:t>sentencia</w:t>
      </w:r>
      <w:r w:rsidR="36D558E9" w:rsidRPr="1D64B15C">
        <w:rPr>
          <w:rFonts w:ascii="Verdana" w:hAnsi="Verdana"/>
          <w:sz w:val="20"/>
          <w:szCs w:val="20"/>
        </w:rPr>
        <w:t>,</w:t>
      </w:r>
      <w:r w:rsidR="1E1C3BEC" w:rsidRPr="1D64B15C">
        <w:rPr>
          <w:rFonts w:ascii="Verdana" w:hAnsi="Verdana"/>
          <w:sz w:val="20"/>
          <w:szCs w:val="20"/>
        </w:rPr>
        <w:t xml:space="preserve"> sin que sea posible, en cada caso, determinar </w:t>
      </w:r>
      <w:r w:rsidR="000F9345" w:rsidRPr="1D64B15C">
        <w:rPr>
          <w:rFonts w:ascii="Verdana" w:hAnsi="Verdana"/>
          <w:sz w:val="20"/>
          <w:szCs w:val="20"/>
        </w:rPr>
        <w:t xml:space="preserve">si la medida cautelar </w:t>
      </w:r>
      <w:r w:rsidR="1E1C3BEC" w:rsidRPr="1D64B15C">
        <w:rPr>
          <w:rFonts w:ascii="Verdana" w:hAnsi="Verdana"/>
          <w:sz w:val="20"/>
          <w:szCs w:val="20"/>
        </w:rPr>
        <w:t xml:space="preserve">es idónea, necesaria o </w:t>
      </w:r>
      <w:r w:rsidR="36D558E9" w:rsidRPr="1D64B15C">
        <w:rPr>
          <w:rFonts w:ascii="Verdana" w:hAnsi="Verdana"/>
          <w:sz w:val="20"/>
          <w:szCs w:val="20"/>
        </w:rPr>
        <w:t>proporcional.</w:t>
      </w:r>
      <w:r w:rsidR="6BBA9557" w:rsidRPr="1D64B15C">
        <w:rPr>
          <w:rFonts w:ascii="Verdana" w:hAnsi="Verdana"/>
          <w:sz w:val="20"/>
          <w:szCs w:val="20"/>
        </w:rPr>
        <w:t xml:space="preserve"> </w:t>
      </w:r>
      <w:r w:rsidR="33ECAF4F" w:rsidRPr="1D64B15C">
        <w:rPr>
          <w:rFonts w:ascii="Verdana" w:hAnsi="Verdana"/>
          <w:sz w:val="20"/>
          <w:szCs w:val="20"/>
        </w:rPr>
        <w:t xml:space="preserve">En esas circunstancias, el principio de </w:t>
      </w:r>
      <w:r w:rsidR="00AC4593">
        <w:rPr>
          <w:rFonts w:ascii="Verdana" w:hAnsi="Verdana"/>
          <w:sz w:val="20"/>
          <w:szCs w:val="20"/>
        </w:rPr>
        <w:t xml:space="preserve">presunción de </w:t>
      </w:r>
      <w:r w:rsidR="33ECAF4F" w:rsidRPr="1D64B15C">
        <w:rPr>
          <w:rFonts w:ascii="Verdana" w:hAnsi="Verdana"/>
          <w:sz w:val="20"/>
          <w:szCs w:val="20"/>
        </w:rPr>
        <w:t>inocencia queda vaciado de contenido</w:t>
      </w:r>
      <w:r w:rsidR="1368F179" w:rsidRPr="1D64B15C">
        <w:rPr>
          <w:rFonts w:ascii="Verdana" w:hAnsi="Verdana"/>
          <w:sz w:val="20"/>
          <w:szCs w:val="20"/>
        </w:rPr>
        <w:t>.</w:t>
      </w:r>
    </w:p>
    <w:p w14:paraId="59A4E814" w14:textId="79A08869" w:rsidR="00506447" w:rsidRPr="00F31F8B" w:rsidRDefault="00D8639C" w:rsidP="00506447">
      <w:pPr>
        <w:numPr>
          <w:ilvl w:val="0"/>
          <w:numId w:val="2"/>
        </w:numPr>
        <w:spacing w:before="120" w:after="120"/>
        <w:ind w:left="0" w:firstLine="0"/>
        <w:jc w:val="both"/>
        <w:rPr>
          <w:rFonts w:ascii="Verdana" w:hAnsi="Verdana"/>
          <w:sz w:val="20"/>
          <w:szCs w:val="20"/>
        </w:rPr>
      </w:pPr>
      <w:r w:rsidRPr="00F31F8B">
        <w:rPr>
          <w:rFonts w:ascii="Verdana" w:hAnsi="Verdana"/>
          <w:sz w:val="20"/>
          <w:szCs w:val="20"/>
        </w:rPr>
        <w:t>Adicionalmente</w:t>
      </w:r>
      <w:r w:rsidR="00EC3E1D" w:rsidRPr="00F31F8B">
        <w:rPr>
          <w:rFonts w:ascii="Verdana" w:hAnsi="Verdana"/>
          <w:sz w:val="20"/>
          <w:szCs w:val="20"/>
        </w:rPr>
        <w:t xml:space="preserve">, la Corte observa que las revisiones periódicas sobre la pertinencia de mantener </w:t>
      </w:r>
      <w:r w:rsidR="00506447" w:rsidRPr="00F31F8B">
        <w:rPr>
          <w:rFonts w:ascii="Verdana" w:hAnsi="Verdana"/>
          <w:sz w:val="20"/>
          <w:szCs w:val="20"/>
        </w:rPr>
        <w:t xml:space="preserve">la prisión preventiva en perjuicio de Daniel García Rodríguez y Reyes Alpízar Ortiz fueron efectuadas siempre a solicitud de parte interesada y nunca correspondió a </w:t>
      </w:r>
      <w:r w:rsidR="0028251F" w:rsidRPr="00F31F8B">
        <w:rPr>
          <w:rFonts w:ascii="Verdana" w:hAnsi="Verdana"/>
          <w:sz w:val="20"/>
          <w:szCs w:val="20"/>
        </w:rPr>
        <w:t xml:space="preserve">una revisión </w:t>
      </w:r>
      <w:r w:rsidR="00506447" w:rsidRPr="00F31F8B">
        <w:rPr>
          <w:rFonts w:ascii="Verdana" w:hAnsi="Verdana"/>
          <w:sz w:val="20"/>
          <w:szCs w:val="20"/>
        </w:rPr>
        <w:t xml:space="preserve">de oficio por parte de las autoridades judiciales. </w:t>
      </w:r>
    </w:p>
    <w:p w14:paraId="4FBAB376" w14:textId="1E9E1CB5" w:rsidR="00506447" w:rsidRPr="00F31F8B" w:rsidRDefault="6BAD7D0B" w:rsidP="00506447">
      <w:pPr>
        <w:numPr>
          <w:ilvl w:val="0"/>
          <w:numId w:val="2"/>
        </w:numPr>
        <w:spacing w:before="120" w:after="120"/>
        <w:ind w:left="0" w:firstLine="0"/>
        <w:jc w:val="both"/>
        <w:rPr>
          <w:rFonts w:ascii="Verdana" w:hAnsi="Verdana"/>
          <w:sz w:val="20"/>
          <w:szCs w:val="20"/>
        </w:rPr>
      </w:pPr>
      <w:r w:rsidRPr="00F31F8B">
        <w:rPr>
          <w:rFonts w:ascii="Verdana" w:hAnsi="Verdana"/>
          <w:sz w:val="20"/>
          <w:szCs w:val="20"/>
          <w:lang w:val="es-ES" w:eastAsia="es-ES"/>
        </w:rPr>
        <w:lastRenderedPageBreak/>
        <w:t xml:space="preserve">Sobre este último punto, </w:t>
      </w:r>
      <w:r w:rsidRPr="00F31F8B">
        <w:rPr>
          <w:rFonts w:ascii="Verdana" w:hAnsi="Verdana"/>
          <w:sz w:val="20"/>
          <w:szCs w:val="20"/>
          <w:lang w:val="es-ES"/>
        </w:rPr>
        <w:t xml:space="preserve">la Corte ha </w:t>
      </w:r>
      <w:r w:rsidR="19C96E0A" w:rsidRPr="00F31F8B">
        <w:rPr>
          <w:rFonts w:ascii="Verdana" w:hAnsi="Verdana"/>
          <w:sz w:val="20"/>
          <w:szCs w:val="20"/>
          <w:lang w:val="es-ES"/>
        </w:rPr>
        <w:t>sostenido</w:t>
      </w:r>
      <w:r w:rsidR="195BF775" w:rsidRPr="00F31F8B">
        <w:rPr>
          <w:rFonts w:ascii="Verdana" w:hAnsi="Verdana"/>
          <w:sz w:val="20"/>
          <w:szCs w:val="20"/>
          <w:lang w:val="es-ES"/>
        </w:rPr>
        <w:t xml:space="preserve"> </w:t>
      </w:r>
      <w:r w:rsidR="21325D1E" w:rsidRPr="00F31F8B">
        <w:rPr>
          <w:rFonts w:ascii="Verdana" w:hAnsi="Verdana"/>
          <w:sz w:val="20"/>
          <w:szCs w:val="20"/>
          <w:lang w:val="es-ES"/>
        </w:rPr>
        <w:t xml:space="preserve">que </w:t>
      </w:r>
      <w:r w:rsidRPr="00F31F8B">
        <w:rPr>
          <w:rFonts w:ascii="Verdana" w:hAnsi="Verdana"/>
          <w:sz w:val="20"/>
          <w:szCs w:val="20"/>
          <w:lang w:val="es-ES"/>
        </w:rPr>
        <w:t xml:space="preserve">la </w:t>
      </w:r>
      <w:r w:rsidRPr="00F31F8B">
        <w:rPr>
          <w:rFonts w:ascii="Verdana" w:hAnsi="Verdana"/>
          <w:sz w:val="20"/>
          <w:szCs w:val="20"/>
        </w:rPr>
        <w:t xml:space="preserve">prisión </w:t>
      </w:r>
      <w:r w:rsidRPr="00F31F8B">
        <w:rPr>
          <w:rFonts w:ascii="Verdana" w:hAnsi="Verdana"/>
          <w:sz w:val="20"/>
          <w:szCs w:val="20"/>
          <w:lang w:val="es-ES"/>
        </w:rPr>
        <w:t>preventiva debe estar sometida a revisión periódica, de tal forma que no se prolongue cuando no subsistan las razones que motivaron su adopción</w:t>
      </w:r>
      <w:r w:rsidR="00506447" w:rsidRPr="00F31F8B">
        <w:rPr>
          <w:rFonts w:ascii="Verdana" w:hAnsi="Verdana"/>
          <w:sz w:val="20"/>
          <w:szCs w:val="20"/>
          <w:vertAlign w:val="superscript"/>
          <w:lang w:val="es-ES"/>
        </w:rPr>
        <w:footnoteReference w:id="215"/>
      </w:r>
      <w:r w:rsidRPr="00F31F8B">
        <w:rPr>
          <w:rFonts w:ascii="Verdana" w:hAnsi="Verdana"/>
          <w:sz w:val="20"/>
          <w:szCs w:val="20"/>
          <w:lang w:val="es-ES"/>
        </w:rPr>
        <w:t xml:space="preserve">. </w:t>
      </w:r>
      <w:r w:rsidR="3BF92891" w:rsidRPr="3BF92891">
        <w:rPr>
          <w:rFonts w:ascii="Verdana" w:hAnsi="Verdana"/>
          <w:sz w:val="20"/>
          <w:szCs w:val="20"/>
          <w:lang w:val="es-ES"/>
        </w:rPr>
        <w:t>En concreto,</w:t>
      </w:r>
      <w:r w:rsidRPr="00F31F8B">
        <w:rPr>
          <w:rFonts w:ascii="Verdana" w:hAnsi="Verdana"/>
          <w:sz w:val="20"/>
          <w:szCs w:val="20"/>
          <w:lang w:val="es-ES"/>
        </w:rPr>
        <w:t xml:space="preserve"> afirmó que la autoridad judicial no tiene que esperar hasta el momento de dictar sentencia absolutoria para que una persona detenida recupere su libertad, sino que debe </w:t>
      </w:r>
      <w:r w:rsidR="21325D1E" w:rsidRPr="00F31F8B">
        <w:rPr>
          <w:rFonts w:ascii="Verdana" w:hAnsi="Verdana"/>
          <w:sz w:val="20"/>
          <w:szCs w:val="20"/>
          <w:lang w:val="es-ES"/>
        </w:rPr>
        <w:t>evaluar</w:t>
      </w:r>
      <w:r w:rsidRPr="00F31F8B">
        <w:rPr>
          <w:rFonts w:ascii="Verdana" w:hAnsi="Verdana"/>
          <w:sz w:val="20"/>
          <w:szCs w:val="20"/>
          <w:lang w:val="es-ES"/>
        </w:rPr>
        <w:t xml:space="preserve"> periódicamente si la </w:t>
      </w:r>
      <w:r w:rsidR="358E2C99" w:rsidRPr="00F31F8B">
        <w:rPr>
          <w:rFonts w:ascii="Verdana" w:hAnsi="Verdana"/>
          <w:sz w:val="20"/>
          <w:szCs w:val="20"/>
          <w:lang w:val="es-ES"/>
        </w:rPr>
        <w:t>finalidad</w:t>
      </w:r>
      <w:r w:rsidRPr="00F31F8B">
        <w:rPr>
          <w:rFonts w:ascii="Verdana" w:hAnsi="Verdana"/>
          <w:sz w:val="20"/>
          <w:szCs w:val="20"/>
          <w:lang w:val="es-ES"/>
        </w:rPr>
        <w:t>, necesidad y proporcionalidad de la medida se mantienen, y si el plazo de la privación a la libertad ha sobrepasado los límites que imponen la ley y</w:t>
      </w:r>
      <w:r w:rsidR="3BF92891" w:rsidRPr="3BF92891">
        <w:rPr>
          <w:rFonts w:ascii="Verdana" w:hAnsi="Verdana"/>
          <w:sz w:val="20"/>
          <w:szCs w:val="20"/>
          <w:lang w:val="es-ES"/>
        </w:rPr>
        <w:t>, en su caso,</w:t>
      </w:r>
      <w:r w:rsidRPr="00F31F8B">
        <w:rPr>
          <w:rFonts w:ascii="Verdana" w:hAnsi="Verdana"/>
          <w:sz w:val="20"/>
          <w:szCs w:val="20"/>
          <w:lang w:val="es-ES"/>
        </w:rPr>
        <w:t xml:space="preserve"> la razón</w:t>
      </w:r>
      <w:r w:rsidR="3BF92891" w:rsidRPr="3BF92891">
        <w:rPr>
          <w:rFonts w:ascii="Verdana" w:hAnsi="Verdana"/>
          <w:sz w:val="20"/>
          <w:szCs w:val="20"/>
          <w:lang w:val="es-ES"/>
        </w:rPr>
        <w:t xml:space="preserve"> de dicha extensión</w:t>
      </w:r>
      <w:r w:rsidRPr="00F31F8B">
        <w:rPr>
          <w:rFonts w:ascii="Verdana" w:hAnsi="Verdana"/>
          <w:sz w:val="20"/>
          <w:szCs w:val="20"/>
          <w:lang w:val="es-ES"/>
        </w:rPr>
        <w:t xml:space="preserve">. En ese sentido, en cualquier momento en que aparezca que la prisión preventiva no satisface estas </w:t>
      </w:r>
      <w:r w:rsidR="2026C279" w:rsidRPr="00F31F8B">
        <w:rPr>
          <w:rFonts w:ascii="Verdana" w:hAnsi="Verdana"/>
          <w:sz w:val="20"/>
          <w:szCs w:val="20"/>
          <w:lang w:val="es-ES"/>
        </w:rPr>
        <w:t>condiciones,</w:t>
      </w:r>
      <w:r w:rsidRPr="00F31F8B">
        <w:rPr>
          <w:rFonts w:ascii="Verdana" w:hAnsi="Verdana"/>
          <w:sz w:val="20"/>
          <w:szCs w:val="20"/>
          <w:lang w:val="es-ES"/>
        </w:rPr>
        <w:t xml:space="preserve"> deberá decretarse la libertad, sin perjuicio de que el proceso respectivo continúe</w:t>
      </w:r>
      <w:r w:rsidR="00506447" w:rsidRPr="00F31F8B">
        <w:rPr>
          <w:rFonts w:ascii="Verdana" w:hAnsi="Verdana"/>
          <w:sz w:val="20"/>
          <w:szCs w:val="20"/>
          <w:vertAlign w:val="superscript"/>
          <w:lang w:val="es-ES"/>
        </w:rPr>
        <w:footnoteReference w:id="216"/>
      </w:r>
      <w:r w:rsidRPr="00F31F8B">
        <w:rPr>
          <w:rFonts w:ascii="Verdana" w:hAnsi="Verdana"/>
          <w:sz w:val="20"/>
          <w:szCs w:val="20"/>
          <w:lang w:val="es-ES"/>
        </w:rPr>
        <w:t>.</w:t>
      </w:r>
    </w:p>
    <w:p w14:paraId="06DAC881" w14:textId="3B9E7867" w:rsidR="00E422A0" w:rsidRPr="00F31F8B" w:rsidRDefault="00E422A0" w:rsidP="00E422A0">
      <w:pPr>
        <w:numPr>
          <w:ilvl w:val="0"/>
          <w:numId w:val="2"/>
        </w:numPr>
        <w:spacing w:before="120" w:after="120"/>
        <w:ind w:left="0" w:firstLine="0"/>
        <w:jc w:val="both"/>
        <w:rPr>
          <w:rFonts w:ascii="Verdana" w:hAnsi="Verdana"/>
          <w:sz w:val="20"/>
          <w:szCs w:val="20"/>
        </w:rPr>
      </w:pPr>
      <w:r w:rsidRPr="00F31F8B">
        <w:rPr>
          <w:rFonts w:ascii="Verdana" w:hAnsi="Verdana"/>
          <w:sz w:val="20"/>
          <w:szCs w:val="20"/>
        </w:rPr>
        <w:t xml:space="preserve">Por último, para esta Corte es claro que la extensión por más de </w:t>
      </w:r>
      <w:r w:rsidR="00083E3B">
        <w:rPr>
          <w:rFonts w:ascii="Verdana" w:hAnsi="Verdana"/>
          <w:sz w:val="20"/>
          <w:szCs w:val="20"/>
        </w:rPr>
        <w:t>17</w:t>
      </w:r>
      <w:r w:rsidRPr="00F31F8B">
        <w:rPr>
          <w:rFonts w:ascii="Verdana" w:hAnsi="Verdana"/>
          <w:sz w:val="20"/>
          <w:szCs w:val="20"/>
        </w:rPr>
        <w:t xml:space="preserve"> años de la prisión </w:t>
      </w:r>
      <w:r w:rsidR="00F31F8B" w:rsidRPr="00F31F8B">
        <w:rPr>
          <w:rFonts w:ascii="Verdana" w:hAnsi="Verdana"/>
          <w:sz w:val="20"/>
          <w:szCs w:val="20"/>
        </w:rPr>
        <w:t>preventiva</w:t>
      </w:r>
      <w:r w:rsidRPr="00F31F8B">
        <w:rPr>
          <w:rFonts w:ascii="Verdana" w:hAnsi="Verdana"/>
          <w:sz w:val="20"/>
          <w:szCs w:val="20"/>
        </w:rPr>
        <w:t xml:space="preserve"> significó en los hechos que se aplicara a los procesados una pena encubierta sin una condena, puesto que constituyó una medida punitiva sin previo juicio acompañado de sus garantías, y por un lapso que excede </w:t>
      </w:r>
      <w:r w:rsidR="00F81BBA" w:rsidRPr="00F31F8B">
        <w:rPr>
          <w:rFonts w:ascii="Verdana" w:hAnsi="Verdana"/>
          <w:sz w:val="20"/>
          <w:szCs w:val="20"/>
        </w:rPr>
        <w:t>todo plazo</w:t>
      </w:r>
      <w:r w:rsidRPr="00F31F8B">
        <w:rPr>
          <w:rFonts w:ascii="Verdana" w:hAnsi="Verdana"/>
          <w:sz w:val="20"/>
          <w:szCs w:val="20"/>
        </w:rPr>
        <w:t xml:space="preserve"> razonable ya que </w:t>
      </w:r>
      <w:r w:rsidR="00083E3B">
        <w:rPr>
          <w:rFonts w:ascii="Verdana" w:hAnsi="Verdana"/>
          <w:sz w:val="20"/>
          <w:szCs w:val="20"/>
        </w:rPr>
        <w:t>e</w:t>
      </w:r>
      <w:r w:rsidRPr="00F31F8B">
        <w:rPr>
          <w:rFonts w:ascii="Verdana" w:hAnsi="Verdana"/>
          <w:sz w:val="20"/>
          <w:szCs w:val="20"/>
        </w:rPr>
        <w:t>ste correspondió aproximativamente a la mitad de la pena que se impuso en la sentencia condenatoria (</w:t>
      </w:r>
      <w:r w:rsidRPr="7CDFE7CF">
        <w:rPr>
          <w:rFonts w:ascii="Verdana" w:hAnsi="Verdana"/>
          <w:i/>
          <w:iCs/>
          <w:sz w:val="20"/>
          <w:szCs w:val="20"/>
        </w:rPr>
        <w:t>supra</w:t>
      </w:r>
      <w:r w:rsidRPr="00F31F8B">
        <w:rPr>
          <w:rFonts w:ascii="Verdana" w:hAnsi="Verdana"/>
          <w:sz w:val="20"/>
          <w:szCs w:val="20"/>
        </w:rPr>
        <w:t xml:space="preserve"> párr. </w:t>
      </w:r>
      <w:r w:rsidR="00AC4593">
        <w:rPr>
          <w:rFonts w:ascii="Verdana" w:hAnsi="Verdana"/>
          <w:sz w:val="20"/>
          <w:szCs w:val="20"/>
        </w:rPr>
        <w:t>10</w:t>
      </w:r>
      <w:r w:rsidRPr="00F31F8B">
        <w:rPr>
          <w:rFonts w:ascii="Verdana" w:hAnsi="Verdana"/>
          <w:sz w:val="20"/>
          <w:szCs w:val="20"/>
        </w:rPr>
        <w:t>). Sobre este punto corresponde recordar que el Comité de Derechos Humanos ha señalado que este régimen no puede utilizarse como forma de eludir los límites y garantías del proceso penal o imponer una pena sin proceso</w:t>
      </w:r>
      <w:r w:rsidRPr="00F31F8B">
        <w:rPr>
          <w:rFonts w:ascii="Verdana" w:hAnsi="Verdana"/>
          <w:sz w:val="20"/>
          <w:szCs w:val="20"/>
          <w:vertAlign w:val="superscript"/>
          <w:lang w:val="es-ES"/>
        </w:rPr>
        <w:footnoteReference w:id="217"/>
      </w:r>
      <w:r w:rsidRPr="00F31F8B">
        <w:rPr>
          <w:rFonts w:ascii="Verdana" w:hAnsi="Verdana"/>
          <w:sz w:val="20"/>
          <w:szCs w:val="20"/>
        </w:rPr>
        <w:t xml:space="preserve">. En ese </w:t>
      </w:r>
      <w:r w:rsidR="00F81BBA" w:rsidRPr="00F31F8B">
        <w:rPr>
          <w:rFonts w:ascii="Verdana" w:hAnsi="Verdana"/>
          <w:sz w:val="20"/>
          <w:szCs w:val="20"/>
        </w:rPr>
        <w:t>s</w:t>
      </w:r>
      <w:r w:rsidRPr="00F31F8B">
        <w:rPr>
          <w:rFonts w:ascii="Verdana" w:hAnsi="Verdana"/>
          <w:sz w:val="20"/>
          <w:szCs w:val="20"/>
        </w:rPr>
        <w:t xml:space="preserve">entido, no hay duda acerca del hecho que, de forma </w:t>
      </w:r>
      <w:r w:rsidR="00F81BBA" w:rsidRPr="00F31F8B">
        <w:rPr>
          <w:rFonts w:ascii="Verdana" w:hAnsi="Verdana"/>
          <w:sz w:val="20"/>
          <w:szCs w:val="20"/>
        </w:rPr>
        <w:t xml:space="preserve">flagrante </w:t>
      </w:r>
      <w:r w:rsidRPr="00F31F8B">
        <w:rPr>
          <w:rFonts w:ascii="Verdana" w:hAnsi="Verdana"/>
          <w:sz w:val="20"/>
          <w:szCs w:val="20"/>
        </w:rPr>
        <w:t xml:space="preserve">y por la vía de los hechos, se vulneró el artículo 8.2 de la Convención Americana, el cual establece </w:t>
      </w:r>
      <w:r w:rsidR="00F64B3B" w:rsidRPr="00F31F8B">
        <w:rPr>
          <w:rFonts w:ascii="Verdana" w:hAnsi="Verdana"/>
          <w:sz w:val="20"/>
          <w:szCs w:val="20"/>
        </w:rPr>
        <w:t xml:space="preserve">que </w:t>
      </w:r>
      <w:r w:rsidRPr="00F31F8B">
        <w:rPr>
          <w:rFonts w:ascii="Verdana" w:hAnsi="Verdana"/>
          <w:sz w:val="20"/>
          <w:szCs w:val="20"/>
        </w:rPr>
        <w:t>toda persona inculpada de delito tiene derecho a que se presuma su inocencia mientras no se establezca legalmente su culpabilidad.</w:t>
      </w:r>
    </w:p>
    <w:p w14:paraId="2FDAC7DE" w14:textId="0C307AC7" w:rsidR="00A47E86" w:rsidRPr="00351298" w:rsidRDefault="00F452D6" w:rsidP="004A2AA7">
      <w:pPr>
        <w:pStyle w:val="Ttulo3"/>
        <w:spacing w:before="240" w:after="240"/>
        <w:ind w:left="567"/>
        <w:jc w:val="both"/>
        <w:rPr>
          <w:rFonts w:ascii="Verdana" w:hAnsi="Verdana"/>
          <w:b w:val="0"/>
          <w:snapToGrid w:val="0"/>
          <w:spacing w:val="-2"/>
          <w:sz w:val="20"/>
          <w:szCs w:val="20"/>
          <w:lang w:eastAsia="es-ES"/>
        </w:rPr>
      </w:pPr>
      <w:bookmarkStart w:id="100" w:name="_Toc132133921"/>
      <w:r w:rsidRPr="00F31F8B">
        <w:rPr>
          <w:rFonts w:ascii="Verdana" w:hAnsi="Verdana"/>
          <w:b w:val="0"/>
          <w:snapToGrid w:val="0"/>
          <w:spacing w:val="-2"/>
          <w:sz w:val="20"/>
          <w:szCs w:val="20"/>
          <w:lang w:eastAsia="es-ES"/>
        </w:rPr>
        <w:t>B.</w:t>
      </w:r>
      <w:r w:rsidR="00BD1D31">
        <w:rPr>
          <w:rFonts w:ascii="Verdana" w:hAnsi="Verdana"/>
          <w:b w:val="0"/>
          <w:snapToGrid w:val="0"/>
          <w:spacing w:val="-2"/>
          <w:sz w:val="20"/>
          <w:szCs w:val="20"/>
          <w:lang w:eastAsia="es-ES"/>
        </w:rPr>
        <w:t>4</w:t>
      </w:r>
      <w:r w:rsidRPr="00F31F8B">
        <w:rPr>
          <w:rFonts w:ascii="Verdana" w:hAnsi="Verdana"/>
          <w:b w:val="0"/>
          <w:snapToGrid w:val="0"/>
          <w:spacing w:val="-2"/>
          <w:sz w:val="20"/>
          <w:szCs w:val="20"/>
          <w:lang w:eastAsia="es-ES"/>
        </w:rPr>
        <w:t xml:space="preserve">. </w:t>
      </w:r>
      <w:r w:rsidR="00A47E86" w:rsidRPr="00F31F8B">
        <w:rPr>
          <w:rFonts w:ascii="Verdana" w:hAnsi="Verdana"/>
          <w:b w:val="0"/>
          <w:snapToGrid w:val="0"/>
          <w:spacing w:val="-2"/>
          <w:sz w:val="20"/>
          <w:szCs w:val="20"/>
          <w:lang w:eastAsia="es-ES"/>
        </w:rPr>
        <w:t>Conclusión</w:t>
      </w:r>
      <w:bookmarkEnd w:id="100"/>
    </w:p>
    <w:p w14:paraId="114A9704" w14:textId="268A370B" w:rsidR="008B7356" w:rsidRPr="00405209" w:rsidRDefault="008B7356" w:rsidP="008B7356">
      <w:pPr>
        <w:numPr>
          <w:ilvl w:val="0"/>
          <w:numId w:val="2"/>
        </w:numPr>
        <w:spacing w:before="120" w:after="120"/>
        <w:ind w:left="0" w:firstLine="0"/>
        <w:jc w:val="both"/>
        <w:rPr>
          <w:rFonts w:ascii="Verdana" w:hAnsi="Verdana"/>
          <w:i/>
          <w:iCs/>
          <w:sz w:val="20"/>
          <w:szCs w:val="20"/>
        </w:rPr>
      </w:pPr>
      <w:r w:rsidRPr="00405209">
        <w:rPr>
          <w:rFonts w:ascii="Verdana" w:hAnsi="Verdana"/>
          <w:sz w:val="20"/>
          <w:szCs w:val="20"/>
        </w:rPr>
        <w:t xml:space="preserve">De conformidad con lo expuesto, esta Corte determina que el </w:t>
      </w:r>
      <w:r w:rsidRPr="00405209">
        <w:rPr>
          <w:rFonts w:ascii="Verdana" w:hAnsi="Verdana"/>
          <w:sz w:val="20"/>
          <w:szCs w:val="20"/>
          <w:lang w:val="es-PE"/>
        </w:rPr>
        <w:t xml:space="preserve">Estado es responsable por la violación al derecho a la libertad personal contenido en los artículos 7.1, 7.2, 7.4, y 7.5 de la Convención Americana sobre Derechos Humanos, en relación con la obligación de respetar los derechos establecida en el artículo 1.1 de la Convención, </w:t>
      </w:r>
      <w:r w:rsidR="0016433F" w:rsidRPr="00405209">
        <w:rPr>
          <w:rFonts w:ascii="Verdana" w:hAnsi="Verdana"/>
          <w:sz w:val="20"/>
          <w:szCs w:val="20"/>
          <w:lang w:val="es-PE"/>
        </w:rPr>
        <w:t xml:space="preserve">en perjuicio de Daniel García Rodríguez y Reyes Alpízar </w:t>
      </w:r>
      <w:r w:rsidR="00D349F9">
        <w:rPr>
          <w:rFonts w:ascii="Verdana" w:hAnsi="Verdana"/>
          <w:sz w:val="20"/>
          <w:szCs w:val="20"/>
          <w:lang w:val="es-PE"/>
        </w:rPr>
        <w:t>Ortiz</w:t>
      </w:r>
      <w:r w:rsidR="0016433F" w:rsidRPr="00405209">
        <w:rPr>
          <w:rFonts w:ascii="Verdana" w:hAnsi="Verdana"/>
          <w:sz w:val="20"/>
          <w:szCs w:val="20"/>
          <w:lang w:val="es-PE"/>
        </w:rPr>
        <w:t>,</w:t>
      </w:r>
      <w:r w:rsidR="0016433F" w:rsidRPr="00405209">
        <w:rPr>
          <w:rFonts w:ascii="Verdana" w:hAnsi="Verdana"/>
          <w:sz w:val="20"/>
          <w:szCs w:val="20"/>
        </w:rPr>
        <w:t xml:space="preserve"> </w:t>
      </w:r>
      <w:r w:rsidRPr="00405209">
        <w:rPr>
          <w:rFonts w:ascii="Verdana" w:hAnsi="Verdana"/>
          <w:sz w:val="20"/>
          <w:szCs w:val="20"/>
          <w:lang w:val="es-PE"/>
        </w:rPr>
        <w:t xml:space="preserve">por la </w:t>
      </w:r>
      <w:r w:rsidR="005F6D51" w:rsidRPr="00405209">
        <w:rPr>
          <w:rFonts w:ascii="Verdana" w:hAnsi="Verdana"/>
          <w:sz w:val="20"/>
          <w:szCs w:val="20"/>
          <w:lang w:val="es-PE"/>
        </w:rPr>
        <w:t xml:space="preserve">ilegalidad de </w:t>
      </w:r>
      <w:r w:rsidR="0016433F" w:rsidRPr="00405209">
        <w:rPr>
          <w:rFonts w:ascii="Verdana" w:hAnsi="Verdana"/>
          <w:sz w:val="20"/>
          <w:szCs w:val="20"/>
          <w:lang w:val="es-PE"/>
        </w:rPr>
        <w:t>su</w:t>
      </w:r>
      <w:r w:rsidR="005F6D51" w:rsidRPr="00405209">
        <w:rPr>
          <w:rFonts w:ascii="Verdana" w:hAnsi="Verdana"/>
          <w:sz w:val="20"/>
          <w:szCs w:val="20"/>
          <w:lang w:val="es-PE"/>
        </w:rPr>
        <w:t xml:space="preserve"> detención, por </w:t>
      </w:r>
      <w:r w:rsidR="0016433F" w:rsidRPr="00405209">
        <w:rPr>
          <w:rFonts w:ascii="Verdana" w:hAnsi="Verdana"/>
          <w:sz w:val="20"/>
          <w:szCs w:val="20"/>
          <w:lang w:val="es-PE"/>
        </w:rPr>
        <w:t>la falta de información sobre las razones de la misma y por no haber sido llevado sin demora ante una autoridad judicial</w:t>
      </w:r>
      <w:r w:rsidR="005F6D51" w:rsidRPr="00405209">
        <w:rPr>
          <w:rFonts w:ascii="Verdana" w:hAnsi="Verdana"/>
          <w:sz w:val="20"/>
          <w:szCs w:val="20"/>
          <w:lang w:val="es-PE"/>
        </w:rPr>
        <w:t xml:space="preserve"> </w:t>
      </w:r>
      <w:r w:rsidR="002C131E" w:rsidRPr="00405209">
        <w:rPr>
          <w:rFonts w:ascii="Verdana" w:hAnsi="Verdana"/>
          <w:sz w:val="20"/>
          <w:szCs w:val="20"/>
          <w:lang w:val="es-PE"/>
        </w:rPr>
        <w:t>luego</w:t>
      </w:r>
      <w:r w:rsidR="0016433F" w:rsidRPr="00405209">
        <w:rPr>
          <w:rFonts w:ascii="Verdana" w:hAnsi="Verdana"/>
          <w:sz w:val="20"/>
          <w:szCs w:val="20"/>
          <w:lang w:val="es-PE"/>
        </w:rPr>
        <w:t xml:space="preserve"> de su aprehensión</w:t>
      </w:r>
      <w:r w:rsidRPr="00405209">
        <w:rPr>
          <w:rFonts w:ascii="Verdana" w:hAnsi="Verdana"/>
          <w:sz w:val="20"/>
          <w:szCs w:val="20"/>
          <w:lang w:val="es-PE"/>
        </w:rPr>
        <w:t xml:space="preserve"> </w:t>
      </w:r>
      <w:r w:rsidRPr="00405209">
        <w:rPr>
          <w:rFonts w:ascii="Verdana" w:hAnsi="Verdana"/>
          <w:sz w:val="20"/>
          <w:szCs w:val="20"/>
        </w:rPr>
        <w:t>(</w:t>
      </w:r>
      <w:r w:rsidRPr="00405209">
        <w:rPr>
          <w:rFonts w:ascii="Verdana" w:hAnsi="Verdana"/>
          <w:i/>
          <w:iCs/>
          <w:sz w:val="20"/>
          <w:szCs w:val="20"/>
        </w:rPr>
        <w:t>supra</w:t>
      </w:r>
      <w:r w:rsidRPr="00405209">
        <w:rPr>
          <w:rFonts w:ascii="Verdana" w:hAnsi="Verdana"/>
          <w:sz w:val="20"/>
          <w:szCs w:val="20"/>
        </w:rPr>
        <w:t xml:space="preserve"> párr</w:t>
      </w:r>
      <w:r w:rsidR="00AC4593">
        <w:rPr>
          <w:rFonts w:ascii="Verdana" w:hAnsi="Verdana"/>
          <w:sz w:val="20"/>
          <w:szCs w:val="20"/>
        </w:rPr>
        <w:t>s</w:t>
      </w:r>
      <w:r w:rsidRPr="00405209">
        <w:rPr>
          <w:rFonts w:ascii="Verdana" w:hAnsi="Verdana"/>
          <w:sz w:val="20"/>
          <w:szCs w:val="20"/>
        </w:rPr>
        <w:t xml:space="preserve">. </w:t>
      </w:r>
      <w:r w:rsidR="00AC4593">
        <w:rPr>
          <w:rFonts w:ascii="Verdana" w:hAnsi="Verdana"/>
          <w:sz w:val="20"/>
          <w:szCs w:val="20"/>
        </w:rPr>
        <w:t>132, 135, 138</w:t>
      </w:r>
      <w:r w:rsidR="00666497">
        <w:rPr>
          <w:rFonts w:ascii="Verdana" w:hAnsi="Verdana"/>
          <w:sz w:val="20"/>
          <w:szCs w:val="20"/>
        </w:rPr>
        <w:t xml:space="preserve"> y 141</w:t>
      </w:r>
      <w:r w:rsidRPr="00405209">
        <w:rPr>
          <w:rFonts w:ascii="Verdana" w:hAnsi="Verdana"/>
          <w:sz w:val="20"/>
          <w:szCs w:val="20"/>
        </w:rPr>
        <w:t xml:space="preserve">). </w:t>
      </w:r>
    </w:p>
    <w:p w14:paraId="5D7FBE35" w14:textId="07CEDB7C" w:rsidR="008B7356" w:rsidRPr="00F31F8B" w:rsidRDefault="002C131E" w:rsidP="008B7356">
      <w:pPr>
        <w:numPr>
          <w:ilvl w:val="0"/>
          <w:numId w:val="2"/>
        </w:numPr>
        <w:spacing w:before="120" w:after="120"/>
        <w:ind w:left="0" w:firstLine="0"/>
        <w:jc w:val="both"/>
        <w:rPr>
          <w:rFonts w:ascii="Verdana" w:hAnsi="Verdana"/>
          <w:i/>
          <w:iCs/>
          <w:sz w:val="20"/>
          <w:szCs w:val="20"/>
        </w:rPr>
      </w:pPr>
      <w:r w:rsidRPr="00351298">
        <w:rPr>
          <w:rFonts w:ascii="Verdana" w:hAnsi="Verdana"/>
          <w:sz w:val="20"/>
          <w:szCs w:val="20"/>
        </w:rPr>
        <w:t>Asimismo,</w:t>
      </w:r>
      <w:r w:rsidR="008B7356" w:rsidRPr="00351298">
        <w:rPr>
          <w:rFonts w:ascii="Verdana" w:hAnsi="Verdana"/>
          <w:sz w:val="20"/>
          <w:szCs w:val="20"/>
        </w:rPr>
        <w:t xml:space="preserve"> el </w:t>
      </w:r>
      <w:r w:rsidR="008B7356" w:rsidRPr="00351298">
        <w:rPr>
          <w:rFonts w:ascii="Verdana" w:hAnsi="Verdana"/>
          <w:sz w:val="20"/>
          <w:szCs w:val="20"/>
          <w:lang w:val="es-PE"/>
        </w:rPr>
        <w:t xml:space="preserve">Estado es responsable por la violación al derecho a la libertad personal contenido en los artículos 7.1, 7.3, </w:t>
      </w:r>
      <w:r w:rsidR="002F3A52">
        <w:rPr>
          <w:rFonts w:ascii="Verdana" w:hAnsi="Verdana"/>
          <w:sz w:val="20"/>
          <w:szCs w:val="20"/>
          <w:lang w:val="es-PE"/>
        </w:rPr>
        <w:t xml:space="preserve">y </w:t>
      </w:r>
      <w:r w:rsidR="008B7356" w:rsidRPr="00351298">
        <w:rPr>
          <w:rFonts w:ascii="Verdana" w:hAnsi="Verdana"/>
          <w:sz w:val="20"/>
          <w:szCs w:val="20"/>
          <w:lang w:val="es-PE"/>
        </w:rPr>
        <w:t xml:space="preserve">7.5 de la Convención Americana sobre Derechos Humanos, </w:t>
      </w:r>
      <w:r w:rsidR="00E21BDE">
        <w:rPr>
          <w:rFonts w:ascii="Verdana" w:hAnsi="Verdana"/>
          <w:sz w:val="20"/>
          <w:szCs w:val="20"/>
          <w:lang w:val="es-PE"/>
        </w:rPr>
        <w:t xml:space="preserve">al derecho a ser oido y </w:t>
      </w:r>
      <w:r w:rsidR="008B7356" w:rsidRPr="00351298">
        <w:rPr>
          <w:rFonts w:ascii="Verdana" w:hAnsi="Verdana"/>
          <w:sz w:val="20"/>
          <w:szCs w:val="20"/>
          <w:lang w:val="es-PE"/>
        </w:rPr>
        <w:t>a la presunción de inocencia reconocido</w:t>
      </w:r>
      <w:r w:rsidR="00E21BDE">
        <w:rPr>
          <w:rFonts w:ascii="Verdana" w:hAnsi="Verdana"/>
          <w:sz w:val="20"/>
          <w:szCs w:val="20"/>
          <w:lang w:val="es-PE"/>
        </w:rPr>
        <w:t>s</w:t>
      </w:r>
      <w:r w:rsidR="008B7356" w:rsidRPr="00351298">
        <w:rPr>
          <w:rFonts w:ascii="Verdana" w:hAnsi="Verdana"/>
          <w:sz w:val="20"/>
          <w:szCs w:val="20"/>
          <w:lang w:val="es-PE"/>
        </w:rPr>
        <w:t xml:space="preserve"> en </w:t>
      </w:r>
      <w:r w:rsidR="00E21BDE">
        <w:rPr>
          <w:rFonts w:ascii="Verdana" w:hAnsi="Verdana"/>
          <w:sz w:val="20"/>
          <w:szCs w:val="20"/>
          <w:lang w:val="es-PE"/>
        </w:rPr>
        <w:t>los</w:t>
      </w:r>
      <w:r w:rsidR="008B7356" w:rsidRPr="00351298">
        <w:rPr>
          <w:rFonts w:ascii="Verdana" w:hAnsi="Verdana"/>
          <w:sz w:val="20"/>
          <w:szCs w:val="20"/>
          <w:lang w:val="es-PE"/>
        </w:rPr>
        <w:t xml:space="preserve"> artículo</w:t>
      </w:r>
      <w:r w:rsidR="00E21BDE">
        <w:rPr>
          <w:rFonts w:ascii="Verdana" w:hAnsi="Verdana"/>
          <w:sz w:val="20"/>
          <w:szCs w:val="20"/>
          <w:lang w:val="es-PE"/>
        </w:rPr>
        <w:t>s 8.1 y</w:t>
      </w:r>
      <w:r w:rsidR="008B7356" w:rsidRPr="00351298">
        <w:rPr>
          <w:rFonts w:ascii="Verdana" w:hAnsi="Verdana"/>
          <w:sz w:val="20"/>
          <w:szCs w:val="20"/>
          <w:lang w:val="es-PE"/>
        </w:rPr>
        <w:t xml:space="preserve"> 8.2, en relación con la obligación de respetar y de garantizar los derechos establecida en el artículo 1.1 de la Convención, así como la obligación de adoptar disposiciones de derecho interno contenida en el artículo 2 de dicho instrumento, por la aplicación de la figura del arraigo</w:t>
      </w:r>
      <w:r w:rsidR="00915839">
        <w:rPr>
          <w:rFonts w:ascii="Verdana" w:hAnsi="Verdana"/>
          <w:sz w:val="20"/>
          <w:szCs w:val="20"/>
          <w:lang w:val="es-PE"/>
        </w:rPr>
        <w:t xml:space="preserve">, contenida en el </w:t>
      </w:r>
      <w:r w:rsidR="00287CEF">
        <w:rPr>
          <w:rFonts w:ascii="Verdana" w:hAnsi="Verdana"/>
          <w:sz w:val="20"/>
          <w:szCs w:val="20"/>
          <w:lang w:val="es-PE"/>
        </w:rPr>
        <w:t>ar</w:t>
      </w:r>
      <w:r w:rsidR="00915839" w:rsidRPr="00915839">
        <w:rPr>
          <w:rFonts w:ascii="Verdana" w:hAnsi="Verdana"/>
          <w:sz w:val="20"/>
          <w:szCs w:val="20"/>
          <w:lang w:val="es-PE"/>
        </w:rPr>
        <w:t>tículo 154 del Código de Procedimientos Penales para el Estado de México de 2000</w:t>
      </w:r>
      <w:r w:rsidR="00915839">
        <w:rPr>
          <w:rFonts w:ascii="Verdana" w:hAnsi="Verdana"/>
          <w:sz w:val="20"/>
          <w:szCs w:val="20"/>
          <w:lang w:val="es-PE"/>
        </w:rPr>
        <w:t>,</w:t>
      </w:r>
      <w:r w:rsidR="008B7356" w:rsidRPr="00351298">
        <w:rPr>
          <w:rFonts w:ascii="Verdana" w:hAnsi="Verdana"/>
          <w:sz w:val="20"/>
          <w:szCs w:val="20"/>
          <w:lang w:val="es-PE"/>
        </w:rPr>
        <w:t xml:space="preserve"> en perjuicio de </w:t>
      </w:r>
      <w:r w:rsidRPr="00351298">
        <w:rPr>
          <w:rFonts w:ascii="Verdana" w:hAnsi="Verdana"/>
          <w:sz w:val="20"/>
          <w:szCs w:val="20"/>
          <w:lang w:val="es-PE"/>
        </w:rPr>
        <w:t>Daniel García Rodríguez y Reyes Alpízar</w:t>
      </w:r>
      <w:r w:rsidR="007C78FA" w:rsidRPr="00351298">
        <w:rPr>
          <w:rFonts w:ascii="Verdana" w:hAnsi="Verdana"/>
          <w:sz w:val="20"/>
          <w:szCs w:val="20"/>
          <w:lang w:val="es-PE"/>
        </w:rPr>
        <w:t xml:space="preserve"> Ortiz </w:t>
      </w:r>
      <w:r w:rsidR="008B7356" w:rsidRPr="00351298">
        <w:rPr>
          <w:rFonts w:ascii="Verdana" w:hAnsi="Verdana"/>
          <w:sz w:val="20"/>
          <w:szCs w:val="20"/>
        </w:rPr>
        <w:t>(</w:t>
      </w:r>
      <w:r w:rsidR="008B7356" w:rsidRPr="00F31F8B">
        <w:rPr>
          <w:rFonts w:ascii="Verdana" w:hAnsi="Verdana"/>
          <w:i/>
          <w:iCs/>
          <w:sz w:val="20"/>
          <w:szCs w:val="20"/>
        </w:rPr>
        <w:t>supra</w:t>
      </w:r>
      <w:r w:rsidR="008B7356" w:rsidRPr="00F31F8B">
        <w:rPr>
          <w:rFonts w:ascii="Verdana" w:hAnsi="Verdana"/>
          <w:sz w:val="20"/>
          <w:szCs w:val="20"/>
        </w:rPr>
        <w:t xml:space="preserve"> párr</w:t>
      </w:r>
      <w:r w:rsidR="00AC4593">
        <w:rPr>
          <w:rFonts w:ascii="Verdana" w:hAnsi="Verdana"/>
          <w:sz w:val="20"/>
          <w:szCs w:val="20"/>
        </w:rPr>
        <w:t>s</w:t>
      </w:r>
      <w:r w:rsidR="008B7356" w:rsidRPr="00F31F8B">
        <w:rPr>
          <w:rFonts w:ascii="Verdana" w:hAnsi="Verdana"/>
          <w:sz w:val="20"/>
          <w:szCs w:val="20"/>
        </w:rPr>
        <w:t xml:space="preserve">. </w:t>
      </w:r>
      <w:r w:rsidR="00AC4593">
        <w:rPr>
          <w:rFonts w:ascii="Verdana" w:hAnsi="Verdana"/>
          <w:sz w:val="20"/>
          <w:szCs w:val="20"/>
        </w:rPr>
        <w:t>151 y 179</w:t>
      </w:r>
      <w:r w:rsidR="008B7356" w:rsidRPr="00F31F8B">
        <w:rPr>
          <w:rFonts w:ascii="Verdana" w:hAnsi="Verdana"/>
          <w:sz w:val="20"/>
          <w:szCs w:val="20"/>
        </w:rPr>
        <w:t xml:space="preserve">). </w:t>
      </w:r>
    </w:p>
    <w:p w14:paraId="75901F29" w14:textId="03A37CD8" w:rsidR="008B7356" w:rsidRPr="00F31F8B" w:rsidRDefault="4871B4C7" w:rsidP="008B7356">
      <w:pPr>
        <w:numPr>
          <w:ilvl w:val="0"/>
          <w:numId w:val="2"/>
        </w:numPr>
        <w:spacing w:before="120" w:after="120"/>
        <w:ind w:left="0" w:firstLine="0"/>
        <w:jc w:val="both"/>
        <w:rPr>
          <w:rFonts w:ascii="Verdana" w:hAnsi="Verdana"/>
          <w:sz w:val="20"/>
          <w:szCs w:val="20"/>
          <w:lang w:val="es-PE"/>
        </w:rPr>
      </w:pPr>
      <w:r w:rsidRPr="1D64B15C">
        <w:rPr>
          <w:rFonts w:ascii="Verdana" w:hAnsi="Verdana"/>
          <w:sz w:val="20"/>
          <w:szCs w:val="20"/>
          <w:lang w:val="es-PE"/>
        </w:rPr>
        <w:t>Por último</w:t>
      </w:r>
      <w:r w:rsidR="09EA2C26" w:rsidRPr="1D64B15C">
        <w:rPr>
          <w:rFonts w:ascii="Verdana" w:hAnsi="Verdana"/>
          <w:sz w:val="20"/>
          <w:szCs w:val="20"/>
          <w:lang w:val="es-PE"/>
        </w:rPr>
        <w:t>, el Estado es responsable por la violación al derecho a la libertad personal contenido en los artículos 7.1, 7.3, y 7.5 de la Convención Americana sobre Derechos Humanos, al derecho a la presunción de inocencia reconocido en el artículo 8.2</w:t>
      </w:r>
      <w:r w:rsidR="062DAA40" w:rsidRPr="1D64B15C">
        <w:rPr>
          <w:rFonts w:ascii="Verdana" w:hAnsi="Verdana"/>
          <w:sz w:val="20"/>
          <w:szCs w:val="20"/>
          <w:lang w:val="es-PE"/>
        </w:rPr>
        <w:t xml:space="preserve"> d</w:t>
      </w:r>
      <w:r w:rsidR="09EA2C26" w:rsidRPr="1D64B15C">
        <w:rPr>
          <w:rFonts w:ascii="Verdana" w:hAnsi="Verdana"/>
          <w:sz w:val="20"/>
          <w:szCs w:val="20"/>
          <w:lang w:val="es-PE"/>
        </w:rPr>
        <w:t xml:space="preserve">el mismo instrumento, </w:t>
      </w:r>
      <w:r w:rsidR="062DAA40" w:rsidRPr="1D64B15C">
        <w:rPr>
          <w:rFonts w:ascii="Verdana" w:hAnsi="Verdana"/>
          <w:sz w:val="20"/>
          <w:szCs w:val="20"/>
          <w:lang w:val="es-PE"/>
        </w:rPr>
        <w:t>y el derecho a la igualdad ante la</w:t>
      </w:r>
      <w:r w:rsidR="2838C07F" w:rsidRPr="1D64B15C">
        <w:rPr>
          <w:rFonts w:ascii="Verdana" w:hAnsi="Verdana"/>
          <w:sz w:val="20"/>
          <w:szCs w:val="20"/>
          <w:lang w:val="es-PE"/>
        </w:rPr>
        <w:t xml:space="preserve"> ley</w:t>
      </w:r>
      <w:r w:rsidR="062DAA40" w:rsidRPr="1D64B15C">
        <w:rPr>
          <w:rFonts w:ascii="Verdana" w:hAnsi="Verdana"/>
          <w:sz w:val="20"/>
          <w:szCs w:val="20"/>
          <w:lang w:val="es-PE"/>
        </w:rPr>
        <w:t xml:space="preserve"> establecido en el artículo 24 de dicho tratado, todos esos derechos </w:t>
      </w:r>
      <w:r w:rsidR="09EA2C26" w:rsidRPr="1D64B15C">
        <w:rPr>
          <w:rFonts w:ascii="Verdana" w:hAnsi="Verdana"/>
          <w:sz w:val="20"/>
          <w:szCs w:val="20"/>
          <w:lang w:val="es-PE"/>
        </w:rPr>
        <w:t xml:space="preserve">en relación con la obligación de respetar y de garantizar los derechos establecida en el artículo 1.1 de la Convención, así como la obligación de adoptar disposiciones de derecho interno contenida en el artículo 2 de dicho instrumento, por la aplicación de la prisión preventiva </w:t>
      </w:r>
      <w:r w:rsidR="177C8933" w:rsidRPr="1D64B15C">
        <w:rPr>
          <w:rFonts w:ascii="Verdana" w:hAnsi="Verdana"/>
          <w:sz w:val="20"/>
          <w:szCs w:val="20"/>
          <w:lang w:val="es-PE"/>
        </w:rPr>
        <w:t>oficiosa</w:t>
      </w:r>
      <w:r w:rsidR="066CF23C" w:rsidRPr="1D64B15C">
        <w:rPr>
          <w:rFonts w:ascii="Verdana" w:hAnsi="Verdana"/>
          <w:sz w:val="20"/>
          <w:szCs w:val="20"/>
          <w:lang w:val="es-PE"/>
        </w:rPr>
        <w:t xml:space="preserve">, </w:t>
      </w:r>
      <w:r w:rsidR="7CAB8B64" w:rsidRPr="1D64B15C">
        <w:rPr>
          <w:rFonts w:ascii="Verdana" w:hAnsi="Verdana"/>
          <w:sz w:val="20"/>
          <w:szCs w:val="20"/>
          <w:lang w:val="es-PE"/>
        </w:rPr>
        <w:t>establecida</w:t>
      </w:r>
      <w:r w:rsidR="195BF775" w:rsidRPr="1D64B15C">
        <w:rPr>
          <w:rFonts w:ascii="Verdana" w:hAnsi="Verdana"/>
          <w:sz w:val="20"/>
          <w:szCs w:val="20"/>
          <w:lang w:val="es-PE"/>
        </w:rPr>
        <w:t xml:space="preserve"> </w:t>
      </w:r>
      <w:r w:rsidR="066CF23C" w:rsidRPr="1D64B15C">
        <w:rPr>
          <w:rFonts w:ascii="Verdana" w:hAnsi="Verdana"/>
          <w:sz w:val="20"/>
          <w:szCs w:val="20"/>
          <w:lang w:val="es-PE"/>
        </w:rPr>
        <w:lastRenderedPageBreak/>
        <w:t>en el artículo 19 de la Constitución mexicana y en el Código de Procedimientos Penales para el Estado de México de 2000,</w:t>
      </w:r>
      <w:r w:rsidR="177C8933" w:rsidRPr="1D64B15C">
        <w:rPr>
          <w:rFonts w:ascii="Verdana" w:hAnsi="Verdana"/>
          <w:sz w:val="20"/>
          <w:szCs w:val="20"/>
          <w:lang w:val="es-PE"/>
        </w:rPr>
        <w:t xml:space="preserve"> </w:t>
      </w:r>
      <w:r w:rsidR="09EA2C26" w:rsidRPr="1D64B15C">
        <w:rPr>
          <w:rFonts w:ascii="Verdana" w:hAnsi="Verdana"/>
          <w:sz w:val="20"/>
          <w:szCs w:val="20"/>
          <w:lang w:val="es-PE"/>
        </w:rPr>
        <w:t xml:space="preserve">en perjuicio de </w:t>
      </w:r>
      <w:r w:rsidR="177C8933" w:rsidRPr="1D64B15C">
        <w:rPr>
          <w:rFonts w:ascii="Verdana" w:hAnsi="Verdana"/>
          <w:sz w:val="20"/>
          <w:szCs w:val="20"/>
          <w:lang w:val="es-PE"/>
        </w:rPr>
        <w:t xml:space="preserve">Daniel García Rodríguez y Reyes Alpízar </w:t>
      </w:r>
      <w:r w:rsidR="0BBEF268" w:rsidRPr="1D64B15C">
        <w:rPr>
          <w:rFonts w:ascii="Verdana" w:hAnsi="Verdana"/>
          <w:sz w:val="20"/>
          <w:szCs w:val="20"/>
          <w:lang w:val="es-PE"/>
        </w:rPr>
        <w:t>Ortiz</w:t>
      </w:r>
      <w:r w:rsidR="00AC4593">
        <w:rPr>
          <w:rFonts w:ascii="Verdana" w:hAnsi="Verdana"/>
          <w:sz w:val="20"/>
          <w:szCs w:val="20"/>
          <w:lang w:val="es-PE"/>
        </w:rPr>
        <w:t xml:space="preserve"> </w:t>
      </w:r>
      <w:r w:rsidR="00AC4593" w:rsidRPr="00351298">
        <w:rPr>
          <w:rFonts w:ascii="Verdana" w:hAnsi="Verdana"/>
          <w:sz w:val="20"/>
          <w:szCs w:val="20"/>
        </w:rPr>
        <w:t>(</w:t>
      </w:r>
      <w:r w:rsidR="00AC4593" w:rsidRPr="00F31F8B">
        <w:rPr>
          <w:rFonts w:ascii="Verdana" w:hAnsi="Verdana"/>
          <w:i/>
          <w:iCs/>
          <w:sz w:val="20"/>
          <w:szCs w:val="20"/>
        </w:rPr>
        <w:t>supra</w:t>
      </w:r>
      <w:r w:rsidR="00AC4593" w:rsidRPr="00F31F8B">
        <w:rPr>
          <w:rFonts w:ascii="Verdana" w:hAnsi="Verdana"/>
          <w:sz w:val="20"/>
          <w:szCs w:val="20"/>
        </w:rPr>
        <w:t xml:space="preserve"> párr</w:t>
      </w:r>
      <w:r w:rsidR="00AC4593">
        <w:rPr>
          <w:rFonts w:ascii="Verdana" w:hAnsi="Verdana"/>
          <w:sz w:val="20"/>
          <w:szCs w:val="20"/>
        </w:rPr>
        <w:t>s</w:t>
      </w:r>
      <w:r w:rsidR="00AC4593" w:rsidRPr="00F31F8B">
        <w:rPr>
          <w:rFonts w:ascii="Verdana" w:hAnsi="Verdana"/>
          <w:sz w:val="20"/>
          <w:szCs w:val="20"/>
        </w:rPr>
        <w:t xml:space="preserve">. </w:t>
      </w:r>
      <w:r w:rsidR="00AC4593">
        <w:rPr>
          <w:rFonts w:ascii="Verdana" w:hAnsi="Verdana"/>
          <w:sz w:val="20"/>
          <w:szCs w:val="20"/>
        </w:rPr>
        <w:t>174</w:t>
      </w:r>
      <w:r w:rsidR="00666497">
        <w:rPr>
          <w:rFonts w:ascii="Verdana" w:hAnsi="Verdana"/>
          <w:sz w:val="20"/>
          <w:szCs w:val="20"/>
        </w:rPr>
        <w:t xml:space="preserve">, </w:t>
      </w:r>
      <w:r w:rsidR="00AC4593">
        <w:rPr>
          <w:rFonts w:ascii="Verdana" w:hAnsi="Verdana"/>
          <w:sz w:val="20"/>
          <w:szCs w:val="20"/>
        </w:rPr>
        <w:t>179</w:t>
      </w:r>
      <w:r w:rsidR="00666497">
        <w:rPr>
          <w:rFonts w:ascii="Verdana" w:hAnsi="Verdana"/>
          <w:sz w:val="20"/>
          <w:szCs w:val="20"/>
        </w:rPr>
        <w:t xml:space="preserve"> y 185</w:t>
      </w:r>
      <w:r w:rsidR="00AC4593" w:rsidRPr="00F31F8B">
        <w:rPr>
          <w:rFonts w:ascii="Verdana" w:hAnsi="Verdana"/>
          <w:sz w:val="20"/>
          <w:szCs w:val="20"/>
        </w:rPr>
        <w:t>)</w:t>
      </w:r>
      <w:r w:rsidR="09EA2C26" w:rsidRPr="1D64B15C">
        <w:rPr>
          <w:rFonts w:ascii="Verdana" w:hAnsi="Verdana"/>
          <w:sz w:val="20"/>
          <w:szCs w:val="20"/>
          <w:lang w:val="es-MX"/>
        </w:rPr>
        <w:t>.</w:t>
      </w:r>
    </w:p>
    <w:p w14:paraId="14158110" w14:textId="6325B74F" w:rsidR="00957115" w:rsidRPr="00F31F8B" w:rsidRDefault="00957115" w:rsidP="005B635B">
      <w:pPr>
        <w:pStyle w:val="Ttulo1"/>
        <w:ind w:firstLine="6"/>
        <w:rPr>
          <w:rFonts w:ascii="Verdana" w:eastAsia="Batang" w:hAnsi="Verdana"/>
          <w:bCs w:val="0"/>
          <w:caps w:val="0"/>
          <w:snapToGrid/>
          <w:sz w:val="20"/>
          <w:lang w:val="es-ES_tradnl"/>
        </w:rPr>
      </w:pPr>
      <w:bookmarkStart w:id="101" w:name="_Toc132133922"/>
      <w:r w:rsidRPr="00F31F8B">
        <w:rPr>
          <w:rFonts w:ascii="Verdana" w:hAnsi="Verdana"/>
          <w:caps w:val="0"/>
          <w:sz w:val="20"/>
          <w:lang w:val="es-ES_tradnl"/>
        </w:rPr>
        <w:t>V</w:t>
      </w:r>
      <w:r w:rsidR="0085104D" w:rsidRPr="00F31F8B">
        <w:rPr>
          <w:rFonts w:ascii="Verdana" w:hAnsi="Verdana"/>
          <w:caps w:val="0"/>
          <w:sz w:val="20"/>
          <w:lang w:val="es-ES_tradnl"/>
        </w:rPr>
        <w:t>II</w:t>
      </w:r>
      <w:r w:rsidRPr="00F31F8B">
        <w:rPr>
          <w:rFonts w:ascii="Verdana" w:hAnsi="Verdana"/>
          <w:caps w:val="0"/>
          <w:sz w:val="20"/>
          <w:lang w:val="es-ES_tradnl"/>
        </w:rPr>
        <w:t>I.</w:t>
      </w:r>
      <w:r w:rsidR="00295348" w:rsidRPr="00F31F8B">
        <w:rPr>
          <w:rFonts w:ascii="Verdana" w:hAnsi="Verdana"/>
          <w:caps w:val="0"/>
          <w:sz w:val="20"/>
          <w:lang w:val="es-ES_tradnl"/>
        </w:rPr>
        <w:t>2</w:t>
      </w:r>
      <w:r w:rsidRPr="00F31F8B">
        <w:rPr>
          <w:rFonts w:ascii="Verdana" w:hAnsi="Verdana"/>
          <w:caps w:val="0"/>
          <w:color w:val="FDE9D9" w:themeColor="accent6" w:themeTint="33"/>
          <w:sz w:val="20"/>
          <w:lang w:val="es-ES_tradnl"/>
        </w:rPr>
        <w:t>.</w:t>
      </w:r>
      <w:r w:rsidRPr="00F31F8B">
        <w:rPr>
          <w:rFonts w:ascii="Verdana" w:hAnsi="Verdana"/>
          <w:b w:val="0"/>
          <w:caps w:val="0"/>
          <w:sz w:val="20"/>
          <w:lang w:val="es-ES_tradnl"/>
        </w:rPr>
        <w:br/>
      </w:r>
      <w:r w:rsidR="004C4A82" w:rsidRPr="00F31F8B">
        <w:rPr>
          <w:rFonts w:ascii="Verdana" w:hAnsi="Verdana"/>
          <w:caps w:val="0"/>
          <w:sz w:val="20"/>
          <w:lang w:val="es-ES_tradnl"/>
        </w:rPr>
        <w:t>EL DERECHO</w:t>
      </w:r>
      <w:r w:rsidR="00F562B8" w:rsidRPr="00F31F8B">
        <w:rPr>
          <w:rFonts w:ascii="Verdana" w:hAnsi="Verdana"/>
          <w:caps w:val="0"/>
          <w:sz w:val="20"/>
          <w:lang w:val="es-ES_tradnl"/>
        </w:rPr>
        <w:t xml:space="preserve"> A LA INTEGRIDAD PERSONAL</w:t>
      </w:r>
      <w:r w:rsidR="00F562B8" w:rsidRPr="00F31F8B">
        <w:rPr>
          <w:rStyle w:val="Refdenotaalpie"/>
          <w:rFonts w:ascii="Verdana" w:hAnsi="Verdana"/>
          <w:sz w:val="20"/>
          <w:lang w:val="es-ES_tradnl"/>
        </w:rPr>
        <w:footnoteReference w:id="218"/>
      </w:r>
      <w:r w:rsidR="004C4A82" w:rsidRPr="00F31F8B">
        <w:rPr>
          <w:rFonts w:ascii="Verdana" w:hAnsi="Verdana"/>
          <w:caps w:val="0"/>
          <w:sz w:val="20"/>
          <w:lang w:val="es-ES_tradnl"/>
        </w:rPr>
        <w:t xml:space="preserve"> </w:t>
      </w:r>
      <w:r w:rsidR="00F562B8" w:rsidRPr="00F31F8B">
        <w:rPr>
          <w:rFonts w:ascii="Verdana" w:hAnsi="Verdana"/>
          <w:caps w:val="0"/>
          <w:sz w:val="20"/>
          <w:lang w:val="es-ES_tradnl"/>
        </w:rPr>
        <w:t>EN RELACIÓN CON LA OBLIGACIÓN DE RESPETAR LOS DERECHOS</w:t>
      </w:r>
      <w:r w:rsidR="00F562B8" w:rsidRPr="00F31F8B">
        <w:rPr>
          <w:rStyle w:val="Refdenotaalpie"/>
          <w:rFonts w:ascii="Verdana" w:hAnsi="Verdana"/>
          <w:sz w:val="20"/>
          <w:lang w:val="es-ES_tradnl"/>
        </w:rPr>
        <w:footnoteReference w:id="219"/>
      </w:r>
      <w:r w:rsidR="00E36127" w:rsidRPr="00F31F8B">
        <w:rPr>
          <w:rFonts w:ascii="Verdana" w:hAnsi="Verdana"/>
          <w:caps w:val="0"/>
          <w:sz w:val="20"/>
          <w:lang w:val="es-ES_tradnl"/>
        </w:rPr>
        <w:t xml:space="preserve"> </w:t>
      </w:r>
      <w:r w:rsidR="004B6FF1" w:rsidRPr="00F31F8B">
        <w:rPr>
          <w:rFonts w:ascii="Verdana" w:hAnsi="Verdana"/>
          <w:caps w:val="0"/>
          <w:sz w:val="20"/>
          <w:lang w:val="es-ES_tradnl"/>
        </w:rPr>
        <w:t>Y ARTÍCULOS 1, 6 Y 8 DE LA CONVENCIÓN INTERAMERICANA PARA PREVENIR Y SANCIONAR LA TORTURA</w:t>
      </w:r>
      <w:bookmarkEnd w:id="101"/>
    </w:p>
    <w:p w14:paraId="18050175" w14:textId="77777777" w:rsidR="00957115" w:rsidRPr="00F31F8B" w:rsidRDefault="00957115" w:rsidP="004603BD">
      <w:pPr>
        <w:pStyle w:val="Ttulo2"/>
        <w:numPr>
          <w:ilvl w:val="0"/>
          <w:numId w:val="16"/>
        </w:numPr>
        <w:spacing w:before="240" w:after="240"/>
        <w:rPr>
          <w:rFonts w:ascii="Verdana" w:hAnsi="Verdana"/>
          <w:i/>
          <w:color w:val="auto"/>
          <w:sz w:val="20"/>
          <w:szCs w:val="20"/>
        </w:rPr>
      </w:pPr>
      <w:bookmarkStart w:id="102" w:name="_Toc132133923"/>
      <w:r w:rsidRPr="00F31F8B">
        <w:rPr>
          <w:rFonts w:ascii="Verdana" w:hAnsi="Verdana"/>
          <w:i/>
          <w:color w:val="auto"/>
          <w:sz w:val="20"/>
          <w:szCs w:val="20"/>
        </w:rPr>
        <w:t>Alegatos de las partes y de la Comisión</w:t>
      </w:r>
      <w:bookmarkEnd w:id="102"/>
    </w:p>
    <w:p w14:paraId="71F923E3" w14:textId="03339AF7" w:rsidR="004B6FF1" w:rsidRPr="00351298" w:rsidRDefault="00E36127" w:rsidP="00DD04E2">
      <w:pPr>
        <w:numPr>
          <w:ilvl w:val="0"/>
          <w:numId w:val="2"/>
        </w:numPr>
        <w:spacing w:before="120" w:after="120"/>
        <w:ind w:left="0" w:firstLine="0"/>
        <w:jc w:val="both"/>
        <w:rPr>
          <w:rFonts w:ascii="Verdana" w:hAnsi="Verdana"/>
          <w:sz w:val="20"/>
          <w:szCs w:val="20"/>
          <w:lang w:val="es-ES_tradnl"/>
        </w:rPr>
      </w:pPr>
      <w:bookmarkStart w:id="103" w:name="_Toc33431608"/>
      <w:r w:rsidRPr="00F31F8B">
        <w:rPr>
          <w:rFonts w:ascii="Verdana" w:hAnsi="Verdana"/>
          <w:sz w:val="20"/>
          <w:szCs w:val="20"/>
          <w:lang w:val="es-ES_tradnl"/>
        </w:rPr>
        <w:t xml:space="preserve">La </w:t>
      </w:r>
      <w:r w:rsidRPr="00F31F8B">
        <w:rPr>
          <w:rFonts w:ascii="Verdana" w:hAnsi="Verdana"/>
          <w:b/>
          <w:bCs/>
          <w:i/>
          <w:iCs/>
          <w:sz w:val="20"/>
          <w:szCs w:val="20"/>
          <w:lang w:val="es-ES_tradnl"/>
        </w:rPr>
        <w:t>Comisión</w:t>
      </w:r>
      <w:r w:rsidRPr="00F31F8B">
        <w:rPr>
          <w:rFonts w:ascii="Verdana" w:hAnsi="Verdana"/>
          <w:sz w:val="20"/>
          <w:szCs w:val="20"/>
          <w:lang w:val="es-ES_tradnl"/>
        </w:rPr>
        <w:t xml:space="preserve"> y los </w:t>
      </w:r>
      <w:r w:rsidRPr="00F31F8B">
        <w:rPr>
          <w:rFonts w:ascii="Verdana" w:hAnsi="Verdana"/>
          <w:b/>
          <w:bCs/>
          <w:i/>
          <w:iCs/>
          <w:sz w:val="20"/>
          <w:szCs w:val="20"/>
          <w:lang w:val="es-ES_tradnl"/>
        </w:rPr>
        <w:t>representantes</w:t>
      </w:r>
      <w:r w:rsidRPr="00F31F8B">
        <w:rPr>
          <w:rFonts w:ascii="Verdana" w:hAnsi="Verdana"/>
          <w:sz w:val="20"/>
          <w:szCs w:val="20"/>
          <w:lang w:val="es-ES_tradnl"/>
        </w:rPr>
        <w:t xml:space="preserve"> alegaron que tanto Daniel García como Reyes </w:t>
      </w:r>
      <w:r w:rsidR="007F4A7E" w:rsidRPr="00F31F8B">
        <w:rPr>
          <w:rFonts w:ascii="Verdana" w:hAnsi="Verdana"/>
          <w:sz w:val="20"/>
          <w:szCs w:val="20"/>
          <w:lang w:val="es-ES_tradnl"/>
        </w:rPr>
        <w:t>Alpízar</w:t>
      </w:r>
      <w:r w:rsidRPr="00F31F8B">
        <w:rPr>
          <w:rFonts w:ascii="Verdana" w:hAnsi="Verdana"/>
          <w:sz w:val="20"/>
          <w:szCs w:val="20"/>
          <w:lang w:val="es-ES_tradnl"/>
        </w:rPr>
        <w:t xml:space="preserve"> </w:t>
      </w:r>
      <w:r w:rsidR="00E02F92" w:rsidRPr="00F31F8B">
        <w:rPr>
          <w:rFonts w:ascii="Verdana" w:hAnsi="Verdana"/>
          <w:sz w:val="20"/>
          <w:szCs w:val="20"/>
          <w:lang w:val="es-ES_tradnl"/>
        </w:rPr>
        <w:t xml:space="preserve">fueron </w:t>
      </w:r>
      <w:r w:rsidRPr="00F31F8B">
        <w:rPr>
          <w:rFonts w:ascii="Verdana" w:hAnsi="Verdana"/>
          <w:sz w:val="20"/>
          <w:szCs w:val="20"/>
        </w:rPr>
        <w:t>objeto</w:t>
      </w:r>
      <w:r w:rsidRPr="00F31F8B">
        <w:rPr>
          <w:rFonts w:ascii="Verdana" w:hAnsi="Verdana"/>
          <w:sz w:val="20"/>
          <w:szCs w:val="20"/>
          <w:lang w:val="es-ES_tradnl"/>
        </w:rPr>
        <w:t xml:space="preserve"> de violencia física y psicológica durante su detención</w:t>
      </w:r>
      <w:r w:rsidRPr="00351298">
        <w:rPr>
          <w:rFonts w:ascii="Verdana" w:hAnsi="Verdana"/>
          <w:sz w:val="20"/>
          <w:szCs w:val="20"/>
          <w:lang w:val="es-ES_tradnl"/>
        </w:rPr>
        <w:t>, interrogatorios y arraigo. Frente a tales alegaciones, observ</w:t>
      </w:r>
      <w:r w:rsidR="00E02F92" w:rsidRPr="00351298">
        <w:rPr>
          <w:rFonts w:ascii="Verdana" w:hAnsi="Verdana"/>
          <w:sz w:val="20"/>
          <w:szCs w:val="20"/>
          <w:lang w:val="es-ES_tradnl"/>
        </w:rPr>
        <w:t>aron</w:t>
      </w:r>
      <w:r w:rsidRPr="00351298">
        <w:rPr>
          <w:rFonts w:ascii="Verdana" w:hAnsi="Verdana"/>
          <w:sz w:val="20"/>
          <w:szCs w:val="20"/>
          <w:lang w:val="es-ES_tradnl"/>
        </w:rPr>
        <w:t xml:space="preserve"> que, a través de sus mecanismos internos, tanto de verificaciones o </w:t>
      </w:r>
      <w:r w:rsidR="00DC2E04" w:rsidRPr="00351298">
        <w:rPr>
          <w:rFonts w:ascii="Verdana" w:hAnsi="Verdana"/>
          <w:sz w:val="20"/>
          <w:szCs w:val="20"/>
          <w:lang w:val="es-ES_tradnl"/>
        </w:rPr>
        <w:t xml:space="preserve">exámenes </w:t>
      </w:r>
      <w:r w:rsidRPr="00351298">
        <w:rPr>
          <w:rFonts w:ascii="Verdana" w:hAnsi="Verdana"/>
          <w:sz w:val="20"/>
          <w:szCs w:val="20"/>
          <w:lang w:val="es-ES_tradnl"/>
        </w:rPr>
        <w:t>médic</w:t>
      </w:r>
      <w:r w:rsidR="00DC1721" w:rsidRPr="00351298">
        <w:rPr>
          <w:rFonts w:ascii="Verdana" w:hAnsi="Verdana"/>
          <w:sz w:val="20"/>
          <w:szCs w:val="20"/>
          <w:lang w:val="es-ES_tradnl"/>
        </w:rPr>
        <w:t>o</w:t>
      </w:r>
      <w:r w:rsidRPr="00351298">
        <w:rPr>
          <w:rFonts w:ascii="Verdana" w:hAnsi="Verdana"/>
          <w:sz w:val="20"/>
          <w:szCs w:val="20"/>
          <w:lang w:val="es-ES_tradnl"/>
        </w:rPr>
        <w:t>s, como en el ámbito de la investigación de las denuncias realizadas, no se ha llegado a conclusiones que desvirtúen las alegaciones de los peticionarios y los indicios respectivos. Por otra parte, advirtieron que una serie de pericias realizadas en el curso de proceso penal dan cuenta de que la opinión mayoritaria de los expertos era que Reyes Alpízar había sido víctima de torturas físicas y psicológicas.</w:t>
      </w:r>
      <w:r w:rsidR="00DD04E2" w:rsidRPr="00351298">
        <w:rPr>
          <w:rFonts w:ascii="Verdana" w:hAnsi="Verdana"/>
          <w:sz w:val="20"/>
          <w:szCs w:val="20"/>
          <w:lang w:val="es-ES_tradnl"/>
        </w:rPr>
        <w:t xml:space="preserve"> </w:t>
      </w:r>
      <w:r w:rsidR="001014B6" w:rsidRPr="00351298">
        <w:rPr>
          <w:rFonts w:ascii="Verdana" w:hAnsi="Verdana"/>
          <w:sz w:val="20"/>
          <w:szCs w:val="20"/>
          <w:lang w:val="es-ES_tradnl"/>
        </w:rPr>
        <w:t>Además</w:t>
      </w:r>
      <w:r w:rsidRPr="00351298">
        <w:rPr>
          <w:rFonts w:ascii="Verdana" w:hAnsi="Verdana"/>
          <w:sz w:val="20"/>
          <w:szCs w:val="20"/>
          <w:lang w:val="es-ES_tradnl"/>
        </w:rPr>
        <w:t>, arguyeron que el Estado no ha aportado una explicación satisfactoria que</w:t>
      </w:r>
      <w:r w:rsidR="00DD04E2" w:rsidRPr="00351298">
        <w:rPr>
          <w:rFonts w:ascii="Verdana" w:hAnsi="Verdana"/>
          <w:sz w:val="20"/>
          <w:szCs w:val="20"/>
          <w:lang w:val="es-ES_tradnl"/>
        </w:rPr>
        <w:t xml:space="preserve"> </w:t>
      </w:r>
      <w:r w:rsidRPr="00351298">
        <w:rPr>
          <w:rFonts w:ascii="Verdana" w:hAnsi="Verdana"/>
          <w:sz w:val="20"/>
          <w:szCs w:val="20"/>
          <w:lang w:val="es-ES_tradnl"/>
        </w:rPr>
        <w:t xml:space="preserve">desvirtúe </w:t>
      </w:r>
      <w:r w:rsidR="00DD04E2" w:rsidRPr="00351298">
        <w:rPr>
          <w:rFonts w:ascii="Verdana" w:hAnsi="Verdana"/>
          <w:sz w:val="20"/>
          <w:szCs w:val="20"/>
          <w:lang w:val="es-ES_tradnl"/>
        </w:rPr>
        <w:t xml:space="preserve">esas </w:t>
      </w:r>
      <w:r w:rsidRPr="00351298">
        <w:rPr>
          <w:rFonts w:ascii="Verdana" w:hAnsi="Verdana"/>
          <w:sz w:val="20"/>
          <w:szCs w:val="20"/>
          <w:lang w:val="es-ES_tradnl"/>
        </w:rPr>
        <w:t xml:space="preserve">alegaciones, así como los indicios de su ocurrencia. Por lo tanto, y teniendo en cuenta que habrían tenido </w:t>
      </w:r>
      <w:r w:rsidR="00B2076E">
        <w:rPr>
          <w:rFonts w:ascii="Verdana" w:hAnsi="Verdana"/>
          <w:sz w:val="20"/>
          <w:szCs w:val="20"/>
          <w:lang w:val="es-ES_tradnl"/>
        </w:rPr>
        <w:t>el</w:t>
      </w:r>
      <w:r w:rsidR="00B2076E" w:rsidRPr="00351298">
        <w:rPr>
          <w:rFonts w:ascii="Verdana" w:hAnsi="Verdana"/>
          <w:sz w:val="20"/>
          <w:szCs w:val="20"/>
          <w:lang w:val="es-ES_tradnl"/>
        </w:rPr>
        <w:t xml:space="preserve"> </w:t>
      </w:r>
      <w:r w:rsidRPr="00351298">
        <w:rPr>
          <w:rFonts w:ascii="Verdana" w:hAnsi="Verdana"/>
          <w:sz w:val="20"/>
          <w:szCs w:val="20"/>
          <w:lang w:val="es-ES_tradnl"/>
        </w:rPr>
        <w:t>propósito de doblegar su resistencia psíquica y obligar a las presuntas víctimas a auto-inculparse o vincular a determinadas personas en hechos delictivos, consider</w:t>
      </w:r>
      <w:r w:rsidR="008F74D7" w:rsidRPr="00351298">
        <w:rPr>
          <w:rFonts w:ascii="Verdana" w:hAnsi="Verdana"/>
          <w:sz w:val="20"/>
          <w:szCs w:val="20"/>
          <w:lang w:val="es-ES_tradnl"/>
        </w:rPr>
        <w:t>aron</w:t>
      </w:r>
      <w:r w:rsidRPr="00351298">
        <w:rPr>
          <w:rFonts w:ascii="Verdana" w:hAnsi="Verdana"/>
          <w:sz w:val="20"/>
          <w:szCs w:val="20"/>
          <w:lang w:val="es-ES_tradnl"/>
        </w:rPr>
        <w:t xml:space="preserve"> que las </w:t>
      </w:r>
      <w:r w:rsidR="000E182A">
        <w:rPr>
          <w:rFonts w:ascii="Verdana" w:hAnsi="Verdana"/>
          <w:sz w:val="20"/>
          <w:szCs w:val="20"/>
          <w:lang w:val="es-ES_tradnl"/>
        </w:rPr>
        <w:t xml:space="preserve">presuntas </w:t>
      </w:r>
      <w:r w:rsidRPr="00351298">
        <w:rPr>
          <w:rFonts w:ascii="Verdana" w:hAnsi="Verdana"/>
          <w:sz w:val="20"/>
          <w:szCs w:val="20"/>
          <w:lang w:val="es-ES_tradnl"/>
        </w:rPr>
        <w:t xml:space="preserve">víctimas fueron sometidas a prácticas de tortura. </w:t>
      </w:r>
      <w:bookmarkEnd w:id="103"/>
      <w:r w:rsidRPr="00351298">
        <w:rPr>
          <w:rFonts w:ascii="Verdana" w:hAnsi="Verdana"/>
          <w:sz w:val="20"/>
          <w:szCs w:val="20"/>
          <w:lang w:val="es-ES_tradnl"/>
        </w:rPr>
        <w:t>En virtud de lo anterior, concluyeron que México violó el derecho a la integridad personal de Daniel García Rodríguez y Reyes Alpízar Ortiz, conforme a lo establecido en el artículo 5.1 y 5.2 de la Convención Americana</w:t>
      </w:r>
      <w:r w:rsidR="008F74D7" w:rsidRPr="00351298">
        <w:rPr>
          <w:rStyle w:val="Refdenotaalpie"/>
          <w:rFonts w:ascii="Verdana" w:hAnsi="Verdana"/>
          <w:sz w:val="20"/>
          <w:lang w:val="es-ES_tradnl"/>
        </w:rPr>
        <w:footnoteReference w:id="220"/>
      </w:r>
      <w:r w:rsidRPr="00351298">
        <w:rPr>
          <w:rFonts w:ascii="Verdana" w:hAnsi="Verdana"/>
          <w:sz w:val="20"/>
          <w:szCs w:val="20"/>
          <w:lang w:val="es-ES_tradnl"/>
        </w:rPr>
        <w:t xml:space="preserve">. </w:t>
      </w:r>
      <w:r w:rsidR="004B6FF1" w:rsidRPr="00351298">
        <w:rPr>
          <w:rFonts w:ascii="Verdana" w:hAnsi="Verdana"/>
          <w:sz w:val="20"/>
          <w:szCs w:val="20"/>
          <w:lang w:val="es-ES_tradnl"/>
        </w:rPr>
        <w:t>Asimismo, alegaron que la falta de investigación de las denuncias de tortura constituyó una violación de las obligaciones contenidas en los artículos 8 y 25 de la Convención Americana, así como de los artículos 1, 6 y 8 de la Convención Interamericana para Prevenir y Sancionar la Tortura.</w:t>
      </w:r>
    </w:p>
    <w:p w14:paraId="03832979" w14:textId="2D0BEA8F" w:rsidR="004B6FF1" w:rsidRPr="0094475C" w:rsidRDefault="1ED7EC01" w:rsidP="0094475C">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 xml:space="preserve">El </w:t>
      </w:r>
      <w:r w:rsidRPr="1D64B15C">
        <w:rPr>
          <w:rFonts w:ascii="Verdana" w:hAnsi="Verdana"/>
          <w:b/>
          <w:bCs/>
          <w:i/>
          <w:iCs/>
          <w:sz w:val="20"/>
          <w:szCs w:val="20"/>
          <w:lang w:val="es-ES"/>
        </w:rPr>
        <w:t>Estado</w:t>
      </w:r>
      <w:r w:rsidRPr="1D64B15C">
        <w:rPr>
          <w:rFonts w:ascii="Verdana" w:hAnsi="Verdana"/>
          <w:sz w:val="20"/>
          <w:szCs w:val="20"/>
          <w:lang w:val="es-ES"/>
        </w:rPr>
        <w:t xml:space="preserve"> negó las alegaciones de presuntos actos de tortura. Sostuvo</w:t>
      </w:r>
      <w:r w:rsidR="1A5A0B19" w:rsidRPr="1D64B15C">
        <w:rPr>
          <w:rFonts w:ascii="Verdana" w:hAnsi="Verdana"/>
          <w:sz w:val="20"/>
          <w:szCs w:val="20"/>
          <w:lang w:val="es-ES"/>
        </w:rPr>
        <w:t>,</w:t>
      </w:r>
      <w:r w:rsidRPr="1D64B15C">
        <w:rPr>
          <w:rFonts w:ascii="Verdana" w:hAnsi="Verdana"/>
          <w:sz w:val="20"/>
          <w:szCs w:val="20"/>
          <w:lang w:val="es-ES"/>
        </w:rPr>
        <w:t xml:space="preserve"> entre </w:t>
      </w:r>
      <w:r w:rsidR="2FB071D3" w:rsidRPr="1D64B15C">
        <w:rPr>
          <w:rFonts w:ascii="Verdana" w:hAnsi="Verdana"/>
          <w:sz w:val="20"/>
          <w:szCs w:val="20"/>
          <w:lang w:val="es-ES"/>
        </w:rPr>
        <w:t>otr</w:t>
      </w:r>
      <w:r w:rsidR="08E21B2B" w:rsidRPr="1D64B15C">
        <w:rPr>
          <w:rFonts w:ascii="Verdana" w:hAnsi="Verdana"/>
          <w:sz w:val="20"/>
          <w:szCs w:val="20"/>
          <w:lang w:val="es-ES"/>
        </w:rPr>
        <w:t>os argumentos</w:t>
      </w:r>
      <w:r w:rsidR="195BF775" w:rsidRPr="1D64B15C">
        <w:rPr>
          <w:rFonts w:ascii="Verdana" w:hAnsi="Verdana"/>
          <w:sz w:val="20"/>
          <w:szCs w:val="20"/>
        </w:rPr>
        <w:t>,</w:t>
      </w:r>
      <w:r w:rsidRPr="1D64B15C">
        <w:rPr>
          <w:rFonts w:ascii="Verdana" w:hAnsi="Verdana"/>
          <w:sz w:val="20"/>
          <w:szCs w:val="20"/>
          <w:lang w:val="es-ES"/>
        </w:rPr>
        <w:t xml:space="preserve"> que la Comisión y los representantes sustentan sus alegatos </w:t>
      </w:r>
      <w:r w:rsidR="195BF775" w:rsidRPr="1D64B15C">
        <w:rPr>
          <w:rFonts w:ascii="Verdana" w:hAnsi="Verdana"/>
          <w:sz w:val="20"/>
          <w:szCs w:val="20"/>
          <w:lang w:val="es-ES"/>
        </w:rPr>
        <w:t>sobre hechos de tortura</w:t>
      </w:r>
      <w:r w:rsidR="40078CB0" w:rsidRPr="1D64B15C">
        <w:rPr>
          <w:rFonts w:ascii="Verdana" w:hAnsi="Verdana"/>
          <w:sz w:val="20"/>
          <w:szCs w:val="20"/>
          <w:lang w:val="es-ES"/>
        </w:rPr>
        <w:t xml:space="preserve"> contra el señor Reyes Alpízar Ortiz</w:t>
      </w:r>
      <w:r w:rsidR="195BF775" w:rsidRPr="1D64B15C">
        <w:rPr>
          <w:rFonts w:ascii="Verdana" w:hAnsi="Verdana"/>
          <w:sz w:val="20"/>
          <w:szCs w:val="20"/>
          <w:lang w:val="es-ES"/>
        </w:rPr>
        <w:t xml:space="preserve"> tomando en consideración únicamente </w:t>
      </w:r>
      <w:r w:rsidR="000E182A">
        <w:rPr>
          <w:rFonts w:ascii="Verdana" w:hAnsi="Verdana"/>
          <w:sz w:val="20"/>
          <w:szCs w:val="20"/>
          <w:lang w:val="es-ES"/>
        </w:rPr>
        <w:t>algunas de las</w:t>
      </w:r>
      <w:r w:rsidR="000E182A" w:rsidRPr="1D64B15C">
        <w:rPr>
          <w:rFonts w:ascii="Verdana" w:hAnsi="Verdana"/>
          <w:sz w:val="20"/>
          <w:szCs w:val="20"/>
          <w:lang w:val="es-ES"/>
        </w:rPr>
        <w:t xml:space="preserve"> </w:t>
      </w:r>
      <w:r w:rsidRPr="1D64B15C">
        <w:rPr>
          <w:rFonts w:ascii="Verdana" w:hAnsi="Verdana"/>
          <w:sz w:val="20"/>
          <w:szCs w:val="20"/>
          <w:lang w:val="es-ES"/>
        </w:rPr>
        <w:t>pericia</w:t>
      </w:r>
      <w:r w:rsidR="365960FE" w:rsidRPr="1D64B15C">
        <w:rPr>
          <w:rFonts w:ascii="Verdana" w:hAnsi="Verdana"/>
          <w:sz w:val="20"/>
          <w:szCs w:val="20"/>
          <w:lang w:val="es-ES"/>
        </w:rPr>
        <w:t>s</w:t>
      </w:r>
      <w:r w:rsidRPr="1D64B15C">
        <w:rPr>
          <w:rFonts w:ascii="Verdana" w:hAnsi="Verdana"/>
          <w:sz w:val="20"/>
          <w:szCs w:val="20"/>
          <w:lang w:val="es-ES"/>
        </w:rPr>
        <w:t xml:space="preserve"> de los médicos legistas adscritos a la entonces </w:t>
      </w:r>
      <w:r w:rsidR="71CB328A" w:rsidRPr="1D64B15C">
        <w:rPr>
          <w:rFonts w:ascii="Verdana" w:hAnsi="Verdana"/>
          <w:sz w:val="20"/>
          <w:szCs w:val="20"/>
          <w:lang w:val="es-ES"/>
        </w:rPr>
        <w:t>PGJEM</w:t>
      </w:r>
      <w:r w:rsidR="000E182A">
        <w:rPr>
          <w:rFonts w:ascii="Verdana" w:hAnsi="Verdana"/>
          <w:sz w:val="20"/>
          <w:szCs w:val="20"/>
          <w:lang w:val="es-ES"/>
        </w:rPr>
        <w:t>, y que por otro lado</w:t>
      </w:r>
      <w:r w:rsidR="195BF775" w:rsidRPr="1D64B15C">
        <w:rPr>
          <w:rFonts w:ascii="Verdana" w:hAnsi="Verdana"/>
          <w:sz w:val="20"/>
          <w:szCs w:val="20"/>
          <w:lang w:val="es-ES"/>
        </w:rPr>
        <w:t xml:space="preserve"> </w:t>
      </w:r>
      <w:r w:rsidRPr="1D64B15C">
        <w:rPr>
          <w:rFonts w:ascii="Verdana" w:hAnsi="Verdana"/>
          <w:sz w:val="20"/>
          <w:szCs w:val="20"/>
          <w:lang w:val="es-ES"/>
        </w:rPr>
        <w:t>alega</w:t>
      </w:r>
      <w:r w:rsidR="7DE860AE" w:rsidRPr="1D64B15C">
        <w:rPr>
          <w:rFonts w:ascii="Verdana" w:hAnsi="Verdana"/>
          <w:sz w:val="20"/>
          <w:szCs w:val="20"/>
          <w:lang w:val="es-ES"/>
        </w:rPr>
        <w:t>n</w:t>
      </w:r>
      <w:r w:rsidRPr="1D64B15C">
        <w:rPr>
          <w:rFonts w:ascii="Verdana" w:hAnsi="Verdana"/>
          <w:sz w:val="20"/>
          <w:szCs w:val="20"/>
          <w:lang w:val="es-ES"/>
        </w:rPr>
        <w:t xml:space="preserve"> falta de independencia de </w:t>
      </w:r>
      <w:r w:rsidR="195BF775" w:rsidRPr="1D64B15C">
        <w:rPr>
          <w:rFonts w:ascii="Verdana" w:hAnsi="Verdana"/>
          <w:sz w:val="20"/>
          <w:szCs w:val="20"/>
          <w:lang w:val="es-ES"/>
        </w:rPr>
        <w:t xml:space="preserve">los médicos legistas adscritos a la </w:t>
      </w:r>
      <w:r w:rsidR="000E182A">
        <w:rPr>
          <w:rFonts w:ascii="Verdana" w:hAnsi="Verdana"/>
          <w:sz w:val="20"/>
          <w:szCs w:val="20"/>
          <w:lang w:val="es-ES"/>
        </w:rPr>
        <w:t>misma</w:t>
      </w:r>
      <w:r w:rsidR="000E182A" w:rsidRPr="1D64B15C">
        <w:rPr>
          <w:rFonts w:ascii="Verdana" w:hAnsi="Verdana"/>
          <w:sz w:val="20"/>
          <w:szCs w:val="20"/>
          <w:lang w:val="es-ES"/>
        </w:rPr>
        <w:t xml:space="preserve"> </w:t>
      </w:r>
      <w:r w:rsidR="195BF775" w:rsidRPr="1D64B15C">
        <w:rPr>
          <w:rFonts w:ascii="Verdana" w:hAnsi="Verdana"/>
          <w:sz w:val="20"/>
          <w:szCs w:val="20"/>
          <w:lang w:val="es-ES"/>
        </w:rPr>
        <w:t xml:space="preserve">PGJEM </w:t>
      </w:r>
      <w:r w:rsidRPr="1D64B15C">
        <w:rPr>
          <w:rFonts w:ascii="Verdana" w:hAnsi="Verdana"/>
          <w:sz w:val="20"/>
          <w:szCs w:val="20"/>
          <w:lang w:val="es-ES"/>
        </w:rPr>
        <w:t xml:space="preserve">cuando los resultados son negativos a cualquier posible hecho de tortura. </w:t>
      </w:r>
      <w:r w:rsidR="0FB66AF8" w:rsidRPr="1D64B15C">
        <w:rPr>
          <w:rFonts w:ascii="Verdana" w:hAnsi="Verdana"/>
          <w:sz w:val="20"/>
          <w:szCs w:val="20"/>
          <w:lang w:val="es-ES"/>
        </w:rPr>
        <w:t>S</w:t>
      </w:r>
      <w:r w:rsidRPr="1D64B15C">
        <w:rPr>
          <w:rFonts w:ascii="Verdana" w:hAnsi="Verdana"/>
          <w:sz w:val="20"/>
          <w:szCs w:val="20"/>
          <w:lang w:val="es-ES"/>
        </w:rPr>
        <w:t>ubrayó la total independencia del cuerpo médico forense adscrito al entonces PGJEM, lo cual se garantizaba a través de los mecanismos de supervisión y del marco jurídico aplicable a la época de los hechos.</w:t>
      </w:r>
      <w:r w:rsidR="0FB66AF8" w:rsidRPr="1D64B15C">
        <w:rPr>
          <w:rFonts w:ascii="Verdana" w:hAnsi="Verdana"/>
          <w:sz w:val="20"/>
          <w:szCs w:val="20"/>
          <w:lang w:val="es-ES"/>
        </w:rPr>
        <w:t xml:space="preserve"> </w:t>
      </w:r>
      <w:r w:rsidRPr="1D64B15C">
        <w:rPr>
          <w:rFonts w:ascii="Verdana" w:hAnsi="Verdana"/>
          <w:sz w:val="20"/>
          <w:szCs w:val="20"/>
          <w:lang w:val="es-ES"/>
        </w:rPr>
        <w:t xml:space="preserve">Por lo que se refiere a los supuestos actos de tortura en contra del señor Daniel García Rodríguez, sostuvo que las certificaciones periciales no muestran ninguna lesión física durante su arraigo, por lo que no </w:t>
      </w:r>
      <w:r w:rsidRPr="1D64B15C">
        <w:rPr>
          <w:rFonts w:ascii="Verdana" w:hAnsi="Verdana"/>
          <w:sz w:val="20"/>
          <w:szCs w:val="20"/>
          <w:lang w:val="es-ES"/>
        </w:rPr>
        <w:lastRenderedPageBreak/>
        <w:t xml:space="preserve">existen conductas que reúnan los elementos desarrollados por la Corte para considerarlos como tortura. En cuanto al posible sufrimiento mental, </w:t>
      </w:r>
      <w:r w:rsidR="196CE64B" w:rsidRPr="1D64B15C">
        <w:rPr>
          <w:rFonts w:ascii="Verdana" w:hAnsi="Verdana"/>
          <w:sz w:val="20"/>
          <w:szCs w:val="20"/>
          <w:lang w:val="es-ES"/>
        </w:rPr>
        <w:t xml:space="preserve">el Estado entendió que, </w:t>
      </w:r>
      <w:r w:rsidRPr="1D64B15C">
        <w:rPr>
          <w:rFonts w:ascii="Verdana" w:hAnsi="Verdana"/>
          <w:sz w:val="20"/>
          <w:szCs w:val="20"/>
          <w:lang w:val="es-ES"/>
        </w:rPr>
        <w:t>de las pruebas realizadas en el marco de la investigación</w:t>
      </w:r>
      <w:r w:rsidR="01C3512E" w:rsidRPr="1D64B15C">
        <w:rPr>
          <w:rFonts w:ascii="Verdana" w:hAnsi="Verdana"/>
          <w:sz w:val="20"/>
          <w:szCs w:val="20"/>
          <w:lang w:val="es-ES"/>
        </w:rPr>
        <w:t>,</w:t>
      </w:r>
      <w:r w:rsidRPr="1D64B15C">
        <w:rPr>
          <w:rFonts w:ascii="Verdana" w:hAnsi="Verdana"/>
          <w:sz w:val="20"/>
          <w:szCs w:val="20"/>
          <w:lang w:val="es-ES"/>
        </w:rPr>
        <w:t xml:space="preserve"> se concluye que tampoco existió dicho sufrimiento mental intenso, y que las supuestas amenazas fueron infundadas.</w:t>
      </w:r>
      <w:r w:rsidR="18214D0F" w:rsidRPr="1D64B15C">
        <w:rPr>
          <w:rFonts w:ascii="Verdana" w:hAnsi="Verdana"/>
          <w:sz w:val="20"/>
          <w:szCs w:val="20"/>
          <w:lang w:val="es-ES"/>
        </w:rPr>
        <w:t xml:space="preserve"> </w:t>
      </w:r>
      <w:r w:rsidRPr="1D64B15C">
        <w:rPr>
          <w:rFonts w:ascii="Verdana" w:hAnsi="Verdana"/>
          <w:sz w:val="20"/>
          <w:szCs w:val="20"/>
          <w:lang w:val="es-ES"/>
        </w:rPr>
        <w:t xml:space="preserve">Asimismo, por lo que se refiere a los supuestos actos de tortura en contra del señor Reyes Alpízar Ortiz, </w:t>
      </w:r>
      <w:r w:rsidR="000E182A">
        <w:rPr>
          <w:rFonts w:ascii="Verdana" w:hAnsi="Verdana"/>
          <w:sz w:val="20"/>
          <w:szCs w:val="20"/>
          <w:lang w:val="es-ES"/>
        </w:rPr>
        <w:t xml:space="preserve">indicó que </w:t>
      </w:r>
      <w:r w:rsidRPr="1D64B15C">
        <w:rPr>
          <w:rFonts w:ascii="Verdana" w:hAnsi="Verdana"/>
          <w:sz w:val="20"/>
          <w:szCs w:val="20"/>
          <w:lang w:val="es-ES"/>
        </w:rPr>
        <w:t xml:space="preserve">las certificaciones periciales practicadas durante su arraigo </w:t>
      </w:r>
      <w:r w:rsidR="5EB18864" w:rsidRPr="1D64B15C">
        <w:rPr>
          <w:rFonts w:ascii="Verdana" w:hAnsi="Verdana"/>
          <w:sz w:val="20"/>
          <w:szCs w:val="20"/>
          <w:lang w:val="es-ES"/>
        </w:rPr>
        <w:t>mostraban</w:t>
      </w:r>
      <w:r w:rsidRPr="1D64B15C">
        <w:rPr>
          <w:rFonts w:ascii="Verdana" w:hAnsi="Verdana"/>
          <w:sz w:val="20"/>
          <w:szCs w:val="20"/>
          <w:lang w:val="es-ES"/>
        </w:rPr>
        <w:t xml:space="preserve"> lesiones físicas naturales al momento de ser sometido durante la detención el 25 de octubre de 2002, </w:t>
      </w:r>
      <w:r w:rsidR="007F47C9">
        <w:rPr>
          <w:rFonts w:ascii="Verdana" w:hAnsi="Verdana"/>
          <w:sz w:val="20"/>
          <w:szCs w:val="20"/>
          <w:lang w:val="es-ES"/>
        </w:rPr>
        <w:t>las cuales habría desparecid</w:t>
      </w:r>
      <w:r w:rsidRPr="1D64B15C">
        <w:rPr>
          <w:rFonts w:ascii="Verdana" w:hAnsi="Verdana"/>
          <w:sz w:val="20"/>
          <w:szCs w:val="20"/>
          <w:lang w:val="es-ES"/>
        </w:rPr>
        <w:t>o en su totalidad a partir 11 de noviembre de 2002. En cuanto al posible sufrimiento mental, de las pruebas realizadas en el marco de la investigación</w:t>
      </w:r>
      <w:r w:rsidR="0FB66AF8" w:rsidRPr="1D64B15C">
        <w:rPr>
          <w:rFonts w:ascii="Verdana" w:hAnsi="Verdana"/>
          <w:sz w:val="20"/>
          <w:szCs w:val="20"/>
          <w:lang w:val="es-ES"/>
        </w:rPr>
        <w:t>,</w:t>
      </w:r>
      <w:r w:rsidRPr="1D64B15C">
        <w:rPr>
          <w:rFonts w:ascii="Verdana" w:hAnsi="Verdana"/>
          <w:sz w:val="20"/>
          <w:szCs w:val="20"/>
          <w:lang w:val="es-ES"/>
        </w:rPr>
        <w:t xml:space="preserve"> se concluye que </w:t>
      </w:r>
      <w:r w:rsidR="0FB66AF8" w:rsidRPr="1D64B15C">
        <w:rPr>
          <w:rFonts w:ascii="Verdana" w:hAnsi="Verdana"/>
          <w:sz w:val="20"/>
          <w:szCs w:val="20"/>
          <w:lang w:val="es-ES"/>
        </w:rPr>
        <w:t>n</w:t>
      </w:r>
      <w:r w:rsidR="00863B6E">
        <w:rPr>
          <w:rFonts w:ascii="Verdana" w:hAnsi="Verdana"/>
          <w:sz w:val="20"/>
          <w:szCs w:val="20"/>
          <w:lang w:val="es-ES"/>
        </w:rPr>
        <w:t>o</w:t>
      </w:r>
      <w:r w:rsidR="0FB66AF8" w:rsidRPr="1D64B15C">
        <w:rPr>
          <w:rFonts w:ascii="Verdana" w:hAnsi="Verdana"/>
          <w:sz w:val="20"/>
          <w:szCs w:val="20"/>
          <w:lang w:val="es-ES"/>
        </w:rPr>
        <w:t xml:space="preserve"> </w:t>
      </w:r>
      <w:r w:rsidRPr="1D64B15C">
        <w:rPr>
          <w:rFonts w:ascii="Verdana" w:hAnsi="Verdana"/>
          <w:sz w:val="20"/>
          <w:szCs w:val="20"/>
          <w:lang w:val="es-ES"/>
        </w:rPr>
        <w:t xml:space="preserve">existió </w:t>
      </w:r>
      <w:r w:rsidR="0FB66AF8" w:rsidRPr="1D64B15C">
        <w:rPr>
          <w:rFonts w:ascii="Verdana" w:hAnsi="Verdana"/>
          <w:sz w:val="20"/>
          <w:szCs w:val="20"/>
          <w:lang w:val="es-ES"/>
        </w:rPr>
        <w:t xml:space="preserve">tal </w:t>
      </w:r>
      <w:r w:rsidRPr="1D64B15C">
        <w:rPr>
          <w:rFonts w:ascii="Verdana" w:hAnsi="Verdana"/>
          <w:sz w:val="20"/>
          <w:szCs w:val="20"/>
          <w:lang w:val="es-ES"/>
        </w:rPr>
        <w:t xml:space="preserve">sufrimiento. </w:t>
      </w:r>
    </w:p>
    <w:p w14:paraId="4ACAEDAB" w14:textId="54C958A8" w:rsidR="00E36127" w:rsidRPr="00351298" w:rsidRDefault="79FEC4D1" w:rsidP="00D73463">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En cuanto a</w:t>
      </w:r>
      <w:r w:rsidR="3665107E" w:rsidRPr="1D64B15C">
        <w:rPr>
          <w:rFonts w:ascii="Verdana" w:hAnsi="Verdana"/>
          <w:sz w:val="20"/>
          <w:szCs w:val="20"/>
          <w:lang w:val="es-ES"/>
        </w:rPr>
        <w:t xml:space="preserve"> las </w:t>
      </w:r>
      <w:r w:rsidR="3665107E" w:rsidRPr="00351298">
        <w:rPr>
          <w:rFonts w:ascii="Verdana" w:hAnsi="Verdana"/>
          <w:sz w:val="20"/>
          <w:szCs w:val="20"/>
          <w:lang w:val="es-ES"/>
        </w:rPr>
        <w:t>investigaciones</w:t>
      </w:r>
      <w:r w:rsidR="3665107E" w:rsidRPr="1D64B15C">
        <w:rPr>
          <w:rFonts w:ascii="Verdana" w:hAnsi="Verdana"/>
          <w:sz w:val="20"/>
          <w:szCs w:val="20"/>
          <w:lang w:val="es-ES"/>
        </w:rPr>
        <w:t xml:space="preserve"> por los alegados hechos de tortura, el </w:t>
      </w:r>
      <w:r w:rsidR="3665107E" w:rsidRPr="1D64B15C">
        <w:rPr>
          <w:rFonts w:ascii="Verdana" w:hAnsi="Verdana"/>
          <w:b/>
          <w:bCs/>
          <w:i/>
          <w:iCs/>
          <w:sz w:val="20"/>
          <w:szCs w:val="20"/>
          <w:lang w:val="es-ES"/>
        </w:rPr>
        <w:t>Estado</w:t>
      </w:r>
      <w:r w:rsidR="3665107E" w:rsidRPr="1D64B15C">
        <w:rPr>
          <w:rFonts w:ascii="Verdana" w:hAnsi="Verdana"/>
          <w:sz w:val="20"/>
          <w:szCs w:val="20"/>
          <w:lang w:val="es-ES"/>
        </w:rPr>
        <w:t xml:space="preserve"> alegó que la Comisión omit</w:t>
      </w:r>
      <w:r w:rsidR="68A56388" w:rsidRPr="1D64B15C">
        <w:rPr>
          <w:rFonts w:ascii="Verdana" w:hAnsi="Verdana"/>
          <w:sz w:val="20"/>
          <w:szCs w:val="20"/>
          <w:lang w:val="es-ES"/>
        </w:rPr>
        <w:t>ió</w:t>
      </w:r>
      <w:r w:rsidR="3665107E" w:rsidRPr="1D64B15C">
        <w:rPr>
          <w:rFonts w:ascii="Verdana" w:hAnsi="Verdana"/>
          <w:sz w:val="20"/>
          <w:szCs w:val="20"/>
          <w:lang w:val="es-ES"/>
        </w:rPr>
        <w:t xml:space="preserve"> analizar la investigación realizada por el Estado y </w:t>
      </w:r>
      <w:r w:rsidR="000E182A">
        <w:rPr>
          <w:rFonts w:ascii="Verdana" w:hAnsi="Verdana"/>
          <w:sz w:val="20"/>
          <w:szCs w:val="20"/>
          <w:lang w:val="es-ES"/>
        </w:rPr>
        <w:t xml:space="preserve">no tuvo en cuenta </w:t>
      </w:r>
      <w:r w:rsidR="3665107E" w:rsidRPr="1D64B15C">
        <w:rPr>
          <w:rFonts w:ascii="Verdana" w:hAnsi="Verdana"/>
          <w:sz w:val="20"/>
          <w:szCs w:val="20"/>
          <w:lang w:val="es-ES"/>
        </w:rPr>
        <w:t xml:space="preserve">la actividad procesal de las presuntas víctimas del 2011 a 2018, </w:t>
      </w:r>
      <w:r w:rsidR="000E182A">
        <w:rPr>
          <w:rFonts w:ascii="Verdana" w:hAnsi="Verdana"/>
          <w:sz w:val="20"/>
          <w:szCs w:val="20"/>
          <w:lang w:val="es-ES"/>
        </w:rPr>
        <w:t>sin embargo, la Comisión concluyó que hubo un retardo</w:t>
      </w:r>
      <w:r w:rsidR="000E182A" w:rsidRPr="1D64B15C">
        <w:rPr>
          <w:rFonts w:ascii="Verdana" w:hAnsi="Verdana"/>
          <w:sz w:val="20"/>
          <w:szCs w:val="20"/>
          <w:lang w:val="es-ES"/>
        </w:rPr>
        <w:t xml:space="preserve"> </w:t>
      </w:r>
      <w:r w:rsidR="3665107E" w:rsidRPr="1D64B15C">
        <w:rPr>
          <w:rFonts w:ascii="Verdana" w:hAnsi="Verdana"/>
          <w:sz w:val="20"/>
          <w:szCs w:val="20"/>
          <w:lang w:val="es-ES"/>
        </w:rPr>
        <w:t xml:space="preserve">injustificado. </w:t>
      </w:r>
      <w:r w:rsidR="000E182A">
        <w:rPr>
          <w:rFonts w:ascii="Verdana" w:hAnsi="Verdana"/>
          <w:sz w:val="20"/>
          <w:szCs w:val="20"/>
          <w:lang w:val="es-ES"/>
        </w:rPr>
        <w:t>Además, s</w:t>
      </w:r>
      <w:r w:rsidR="3665107E" w:rsidRPr="1D64B15C">
        <w:rPr>
          <w:rFonts w:ascii="Verdana" w:hAnsi="Verdana"/>
          <w:sz w:val="20"/>
          <w:szCs w:val="20"/>
          <w:lang w:val="es-ES"/>
        </w:rPr>
        <w:t>e refirió a 536 diligencias realizadas por la Fiscalía Especializada en Combate a la Corrupción con sede en Tlalnepantla, en el marco de la investigación por los presuntos hechos de tortura</w:t>
      </w:r>
      <w:r w:rsidR="000E182A">
        <w:rPr>
          <w:rFonts w:ascii="Verdana" w:hAnsi="Verdana"/>
          <w:sz w:val="20"/>
          <w:szCs w:val="20"/>
          <w:lang w:val="es-ES"/>
        </w:rPr>
        <w:t>. Estas diligencias se refieren,</w:t>
      </w:r>
      <w:r w:rsidR="3665107E" w:rsidRPr="1D64B15C">
        <w:rPr>
          <w:rFonts w:ascii="Verdana" w:hAnsi="Verdana"/>
          <w:sz w:val="20"/>
          <w:szCs w:val="20"/>
          <w:lang w:val="es-ES"/>
        </w:rPr>
        <w:t xml:space="preserve"> </w:t>
      </w:r>
      <w:r w:rsidR="000E182A">
        <w:rPr>
          <w:rFonts w:ascii="Verdana" w:hAnsi="Verdana"/>
          <w:sz w:val="20"/>
          <w:szCs w:val="20"/>
          <w:lang w:val="es-ES"/>
        </w:rPr>
        <w:t xml:space="preserve">entre otro, a </w:t>
      </w:r>
      <w:r w:rsidR="3665107E" w:rsidRPr="1D64B15C">
        <w:rPr>
          <w:rFonts w:ascii="Verdana" w:hAnsi="Verdana"/>
          <w:sz w:val="20"/>
          <w:szCs w:val="20"/>
          <w:lang w:val="es-ES"/>
        </w:rPr>
        <w:t xml:space="preserve">los peritajes rendidos en su momento en 2002, como </w:t>
      </w:r>
      <w:r w:rsidR="000E182A">
        <w:rPr>
          <w:rFonts w:ascii="Verdana" w:hAnsi="Verdana"/>
          <w:sz w:val="20"/>
          <w:szCs w:val="20"/>
          <w:lang w:val="es-ES"/>
        </w:rPr>
        <w:t xml:space="preserve">a </w:t>
      </w:r>
      <w:r w:rsidR="3665107E" w:rsidRPr="1D64B15C">
        <w:rPr>
          <w:rFonts w:ascii="Verdana" w:hAnsi="Verdana"/>
          <w:sz w:val="20"/>
          <w:szCs w:val="20"/>
          <w:lang w:val="es-ES"/>
        </w:rPr>
        <w:t xml:space="preserve">nuevas pruebas periciales, así como </w:t>
      </w:r>
      <w:r w:rsidR="000E182A">
        <w:rPr>
          <w:rFonts w:ascii="Verdana" w:hAnsi="Verdana"/>
          <w:sz w:val="20"/>
          <w:szCs w:val="20"/>
          <w:lang w:val="es-ES"/>
        </w:rPr>
        <w:t xml:space="preserve">a </w:t>
      </w:r>
      <w:r w:rsidR="3665107E" w:rsidRPr="1D64B15C">
        <w:rPr>
          <w:rFonts w:ascii="Verdana" w:hAnsi="Verdana"/>
          <w:sz w:val="20"/>
          <w:szCs w:val="20"/>
          <w:lang w:val="es-ES"/>
        </w:rPr>
        <w:t>la búsqueda y rendición de testimonios de personas que presenciaron los hechos en su momento</w:t>
      </w:r>
      <w:r w:rsidR="004B6FF1" w:rsidRPr="1D64B15C">
        <w:rPr>
          <w:rStyle w:val="Refdenotaalpie"/>
          <w:rFonts w:ascii="Verdana" w:hAnsi="Verdana"/>
          <w:sz w:val="20"/>
          <w:lang w:val="es-ES"/>
        </w:rPr>
        <w:footnoteReference w:id="221"/>
      </w:r>
      <w:r w:rsidR="3665107E" w:rsidRPr="1D64B15C">
        <w:rPr>
          <w:rFonts w:ascii="Verdana" w:hAnsi="Verdana"/>
          <w:sz w:val="20"/>
          <w:szCs w:val="20"/>
          <w:lang w:val="es-ES"/>
        </w:rPr>
        <w:t>.</w:t>
      </w:r>
    </w:p>
    <w:p w14:paraId="64865898" w14:textId="466BF070" w:rsidR="00957115" w:rsidRPr="00351298" w:rsidRDefault="00957115" w:rsidP="004603BD">
      <w:pPr>
        <w:pStyle w:val="Ttulo2"/>
        <w:numPr>
          <w:ilvl w:val="0"/>
          <w:numId w:val="16"/>
        </w:numPr>
        <w:spacing w:before="240" w:after="240"/>
        <w:rPr>
          <w:rFonts w:ascii="Verdana" w:hAnsi="Verdana"/>
          <w:i/>
          <w:color w:val="auto"/>
          <w:sz w:val="20"/>
          <w:szCs w:val="20"/>
        </w:rPr>
      </w:pPr>
      <w:bookmarkStart w:id="104" w:name="_Toc132133924"/>
      <w:r w:rsidRPr="00351298">
        <w:rPr>
          <w:rFonts w:ascii="Verdana" w:hAnsi="Verdana"/>
          <w:i/>
          <w:color w:val="auto"/>
          <w:sz w:val="20"/>
          <w:szCs w:val="20"/>
        </w:rPr>
        <w:t>Consideraciones de la Corte</w:t>
      </w:r>
      <w:bookmarkEnd w:id="104"/>
    </w:p>
    <w:p w14:paraId="38364AF3" w14:textId="016A74D6" w:rsidR="00B633F3" w:rsidRPr="00351298" w:rsidRDefault="00850F4B" w:rsidP="002B12E8">
      <w:pPr>
        <w:numPr>
          <w:ilvl w:val="0"/>
          <w:numId w:val="2"/>
        </w:numPr>
        <w:spacing w:before="120" w:after="120"/>
        <w:ind w:left="0" w:firstLine="0"/>
        <w:jc w:val="both"/>
        <w:rPr>
          <w:rFonts w:ascii="Verdana" w:hAnsi="Verdana"/>
          <w:sz w:val="20"/>
          <w:szCs w:val="20"/>
        </w:rPr>
      </w:pPr>
      <w:r w:rsidRPr="7CDFE7CF">
        <w:rPr>
          <w:rFonts w:ascii="Verdana" w:eastAsia="Cambria" w:hAnsi="Verdana" w:cs="Cambria"/>
          <w:sz w:val="20"/>
          <w:szCs w:val="20"/>
          <w:lang w:val="es-ES"/>
        </w:rPr>
        <w:t xml:space="preserve">De conformidad con el artículo 5 de la Convención, toda persona privada de libertad tiene derecho a vivir en situación de detención compatible con su dignidad personal. En ese sentido, el Tribunal ha </w:t>
      </w:r>
      <w:r w:rsidRPr="7CDFE7CF">
        <w:rPr>
          <w:rFonts w:ascii="Verdana" w:hAnsi="Verdana"/>
          <w:sz w:val="20"/>
          <w:szCs w:val="20"/>
          <w:lang w:val="es-ES"/>
        </w:rPr>
        <w:t>señalado</w:t>
      </w:r>
      <w:r w:rsidRPr="7CDFE7CF">
        <w:rPr>
          <w:rFonts w:ascii="Verdana" w:eastAsia="Cambria" w:hAnsi="Verdana" w:cs="Cambria"/>
          <w:sz w:val="20"/>
          <w:szCs w:val="20"/>
          <w:lang w:val="es-ES"/>
        </w:rPr>
        <w:t xml:space="preserve"> que las lesiones, sufrimientos, daños a la salud o perjuicios sufridos por una persona mientras se encuentra privada de libertad pueden llegar a constituir una forma de pena cruel cuando, debido a las condiciones de encierro, exista un deterioro de la integridad física, psíquica y moral, estrictamente prohibido por el inciso 2 del artículo 5 de la Convención, que no es consecuencia natural y directa de la privación de libertad en sí misma. En relación con las condiciones de las instalaciones en las cuales se encuentran las personas privadas de libertad, mantener a una persona detenida en condiciones de hacinamiento, con falta de ventilación y luz natural, sin cama para su reposo ni condiciones adecuadas de higiene, en aislamiento e incomunicación o con restricciones indebidas al régimen de visitas constituye una violación a la integridad personal</w:t>
      </w:r>
      <w:r w:rsidRPr="7CDFE7CF">
        <w:rPr>
          <w:rStyle w:val="Refdenotaalpie"/>
          <w:rFonts w:ascii="Verdana" w:eastAsia="Cambria" w:hAnsi="Verdana"/>
          <w:sz w:val="20"/>
          <w:lang w:val="es-ES"/>
        </w:rPr>
        <w:footnoteReference w:id="222"/>
      </w:r>
      <w:r w:rsidRPr="00351298">
        <w:rPr>
          <w:rFonts w:ascii="Verdana" w:hAnsi="Verdana"/>
          <w:sz w:val="20"/>
          <w:szCs w:val="20"/>
        </w:rPr>
        <w:t>.</w:t>
      </w:r>
    </w:p>
    <w:p w14:paraId="16E3A24C" w14:textId="40C7DBFA" w:rsidR="00560817" w:rsidRPr="00F31F8B" w:rsidRDefault="228F7D26" w:rsidP="1D64B15C">
      <w:pPr>
        <w:numPr>
          <w:ilvl w:val="0"/>
          <w:numId w:val="2"/>
        </w:numPr>
        <w:spacing w:before="120" w:after="120"/>
        <w:ind w:left="0" w:firstLine="0"/>
        <w:jc w:val="both"/>
        <w:rPr>
          <w:rFonts w:ascii="Verdana" w:eastAsia="Cambria" w:hAnsi="Verdana" w:cs="Cambria"/>
          <w:sz w:val="20"/>
          <w:szCs w:val="20"/>
          <w:lang w:val="es-ES"/>
        </w:rPr>
      </w:pPr>
      <w:r w:rsidRPr="1D64B15C">
        <w:rPr>
          <w:rFonts w:ascii="Verdana" w:eastAsia="Cambria" w:hAnsi="Verdana" w:cs="Cambria"/>
          <w:sz w:val="20"/>
          <w:szCs w:val="20"/>
          <w:lang w:val="es-ES"/>
        </w:rPr>
        <w:t>Por otra parte, s</w:t>
      </w:r>
      <w:r w:rsidR="418746F4" w:rsidRPr="1D64B15C">
        <w:rPr>
          <w:rFonts w:ascii="Verdana" w:eastAsia="Cambria" w:hAnsi="Verdana" w:cs="Cambria"/>
          <w:sz w:val="20"/>
          <w:szCs w:val="20"/>
          <w:lang w:val="es-ES"/>
        </w:rPr>
        <w:t xml:space="preserve">i bien el artículo 5.1 de la Convención consagra en términos generales el derecho a la integridad personal –tanto física como psíquica y moral–, el artículo 5.2 establece, de manera más específica, la prohibición absoluta de someter a alguien a torturas o a penas o tratos crueles, inhumanos o degradantes. La Corte ha señalado 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situación concreta. </w:t>
      </w:r>
      <w:r w:rsidR="113FC6D2" w:rsidRPr="1D64B15C">
        <w:rPr>
          <w:rFonts w:ascii="Verdana" w:eastAsia="Cambria" w:hAnsi="Verdana" w:cs="Cambria"/>
          <w:sz w:val="20"/>
          <w:szCs w:val="20"/>
          <w:lang w:val="es-ES"/>
        </w:rPr>
        <w:t>Asimismo, e</w:t>
      </w:r>
      <w:r w:rsidR="418746F4" w:rsidRPr="1D64B15C">
        <w:rPr>
          <w:rFonts w:ascii="Verdana" w:eastAsia="Cambria" w:hAnsi="Verdana" w:cs="Cambria"/>
          <w:sz w:val="20"/>
          <w:szCs w:val="20"/>
          <w:lang w:val="es-ES"/>
        </w:rPr>
        <w:t xml:space="preserve">l Tribunal recuerda que la </w:t>
      </w:r>
      <w:r w:rsidR="418746F4" w:rsidRPr="1D64B15C">
        <w:rPr>
          <w:rFonts w:ascii="Verdana" w:eastAsia="Cambria" w:hAnsi="Verdana" w:cs="Cambria"/>
          <w:sz w:val="20"/>
          <w:szCs w:val="20"/>
          <w:lang w:val="es-ES"/>
        </w:rPr>
        <w:lastRenderedPageBreak/>
        <w:t xml:space="preserve">prohibición absoluta de la tortura, tanto física como psicológica, pertenece hoy </w:t>
      </w:r>
      <w:r w:rsidR="3BF92891" w:rsidRPr="3BF92891">
        <w:rPr>
          <w:rFonts w:ascii="Verdana" w:eastAsia="Cambria" w:hAnsi="Verdana" w:cs="Cambria"/>
          <w:sz w:val="20"/>
          <w:szCs w:val="20"/>
          <w:lang w:val="es-ES"/>
        </w:rPr>
        <w:t xml:space="preserve">en </w:t>
      </w:r>
      <w:r w:rsidR="418746F4" w:rsidRPr="1D64B15C">
        <w:rPr>
          <w:rFonts w:ascii="Verdana" w:eastAsia="Cambria" w:hAnsi="Verdana" w:cs="Cambria"/>
          <w:sz w:val="20"/>
          <w:szCs w:val="20"/>
          <w:lang w:val="es-ES"/>
        </w:rPr>
        <w:t xml:space="preserve">día al dominio del </w:t>
      </w:r>
      <w:r w:rsidR="000E182A">
        <w:rPr>
          <w:rFonts w:ascii="Verdana" w:eastAsia="Cambria" w:hAnsi="Verdana" w:cs="Cambria"/>
          <w:i/>
          <w:iCs/>
          <w:sz w:val="20"/>
          <w:szCs w:val="20"/>
          <w:lang w:val="es-ES"/>
        </w:rPr>
        <w:t>i</w:t>
      </w:r>
      <w:r w:rsidR="418746F4" w:rsidRPr="3BF92891">
        <w:rPr>
          <w:rFonts w:ascii="Verdana" w:eastAsia="Cambria" w:hAnsi="Verdana" w:cs="Cambria"/>
          <w:i/>
          <w:iCs/>
          <w:sz w:val="20"/>
          <w:szCs w:val="20"/>
          <w:lang w:val="es-ES"/>
        </w:rPr>
        <w:t>us cogens</w:t>
      </w:r>
      <w:r w:rsidR="418746F4" w:rsidRPr="1D64B15C">
        <w:rPr>
          <w:rFonts w:ascii="Verdana" w:eastAsia="Cambria" w:hAnsi="Verdana" w:cs="Cambria"/>
          <w:sz w:val="20"/>
          <w:szCs w:val="20"/>
          <w:lang w:val="es-ES"/>
        </w:rPr>
        <w:t xml:space="preserve"> internacional</w:t>
      </w:r>
      <w:r w:rsidR="00B633F3" w:rsidRPr="7CDFE7CF">
        <w:rPr>
          <w:rStyle w:val="Refdenotaalpie"/>
          <w:rFonts w:ascii="Verdana" w:eastAsia="Cambria" w:hAnsi="Verdana"/>
          <w:sz w:val="20"/>
          <w:lang w:val="es-ES"/>
        </w:rPr>
        <w:footnoteReference w:id="223"/>
      </w:r>
      <w:r w:rsidR="418746F4" w:rsidRPr="1D64B15C">
        <w:rPr>
          <w:rFonts w:ascii="Verdana" w:eastAsia="Cambria" w:hAnsi="Verdana" w:cs="Cambria"/>
          <w:sz w:val="20"/>
          <w:szCs w:val="20"/>
          <w:lang w:val="es-ES"/>
        </w:rPr>
        <w:t>.</w:t>
      </w:r>
      <w:r w:rsidR="4CF72E4B" w:rsidRPr="1D64B15C">
        <w:rPr>
          <w:rFonts w:ascii="Verdana" w:eastAsia="Cambria" w:hAnsi="Verdana" w:cs="Cambria"/>
          <w:sz w:val="20"/>
          <w:szCs w:val="20"/>
          <w:lang w:val="es-ES"/>
        </w:rPr>
        <w:t xml:space="preserve"> </w:t>
      </w:r>
    </w:p>
    <w:p w14:paraId="045B419F" w14:textId="52B41FFF" w:rsidR="00A903C6" w:rsidRPr="00F31F8B" w:rsidRDefault="418746F4" w:rsidP="1D64B15C">
      <w:pPr>
        <w:numPr>
          <w:ilvl w:val="0"/>
          <w:numId w:val="2"/>
        </w:numPr>
        <w:spacing w:before="120" w:after="120"/>
        <w:ind w:left="0" w:firstLine="0"/>
        <w:jc w:val="both"/>
        <w:rPr>
          <w:rFonts w:ascii="Verdana" w:eastAsia="Cambria" w:hAnsi="Verdana" w:cs="Cambria"/>
          <w:sz w:val="20"/>
          <w:szCs w:val="20"/>
          <w:lang w:val="es-ES"/>
        </w:rPr>
      </w:pPr>
      <w:r w:rsidRPr="1D64B15C">
        <w:rPr>
          <w:rFonts w:ascii="Verdana" w:eastAsia="Cambria" w:hAnsi="Verdana" w:cs="Cambria"/>
          <w:sz w:val="20"/>
          <w:szCs w:val="20"/>
          <w:lang w:val="es-ES"/>
        </w:rPr>
        <w:t>En razón de que el artículo 5.2 de la Convención Americana no precisa lo que debe entenderse como “tortura”, la Corte ha recurrido tanto al artículo 2 de la CIPST, como a otras definiciones contenidas en los instrumentos internacionales que prescriben la prohibición de la tortura, para interpretar cuáles son los elementos constitutivos de la tortura</w:t>
      </w:r>
      <w:r w:rsidR="1945A4E1" w:rsidRPr="7CDFE7CF">
        <w:rPr>
          <w:rFonts w:ascii="Verdana" w:eastAsia="Cambria" w:hAnsi="Verdana" w:cs="Cambria"/>
          <w:sz w:val="20"/>
          <w:szCs w:val="20"/>
          <w:lang w:val="es-ES"/>
        </w:rPr>
        <w:t>.</w:t>
      </w:r>
      <w:r w:rsidRPr="1D64B15C">
        <w:rPr>
          <w:rFonts w:ascii="Verdana" w:eastAsia="Cambria" w:hAnsi="Verdana" w:cs="Cambria"/>
          <w:sz w:val="20"/>
          <w:szCs w:val="20"/>
          <w:lang w:val="es-ES"/>
        </w:rPr>
        <w:t xml:space="preserve"> </w:t>
      </w:r>
      <w:r w:rsidR="12360FE2" w:rsidRPr="7CDFE7CF">
        <w:rPr>
          <w:rFonts w:ascii="Verdana" w:eastAsia="Cambria" w:hAnsi="Verdana" w:cs="Cambria"/>
          <w:sz w:val="20"/>
          <w:szCs w:val="20"/>
          <w:lang w:val="es-ES"/>
        </w:rPr>
        <w:t>A</w:t>
      </w:r>
      <w:r w:rsidRPr="1D64B15C">
        <w:rPr>
          <w:rFonts w:ascii="Verdana" w:eastAsia="Cambria" w:hAnsi="Verdana" w:cs="Cambria"/>
          <w:sz w:val="20"/>
          <w:szCs w:val="20"/>
          <w:lang w:val="es-ES"/>
        </w:rPr>
        <w:t xml:space="preserve"> partir de estos instrumentos ha determinado que se está frente a un acto constitutivo de tortura cuando el maltrato: </w:t>
      </w:r>
      <w:r w:rsidR="000E182A">
        <w:rPr>
          <w:rFonts w:ascii="Verdana" w:eastAsia="Cambria" w:hAnsi="Verdana" w:cs="Cambria"/>
          <w:sz w:val="20"/>
          <w:szCs w:val="20"/>
          <w:lang w:val="es-ES"/>
        </w:rPr>
        <w:t>a</w:t>
      </w:r>
      <w:r w:rsidRPr="1D64B15C">
        <w:rPr>
          <w:rFonts w:ascii="Verdana" w:eastAsia="Cambria" w:hAnsi="Verdana" w:cs="Cambria"/>
          <w:sz w:val="20"/>
          <w:szCs w:val="20"/>
          <w:lang w:val="es-ES"/>
        </w:rPr>
        <w:t xml:space="preserve">) es intencional; </w:t>
      </w:r>
      <w:r w:rsidR="000E182A">
        <w:rPr>
          <w:rFonts w:ascii="Verdana" w:eastAsia="Cambria" w:hAnsi="Verdana" w:cs="Cambria"/>
          <w:sz w:val="20"/>
          <w:szCs w:val="20"/>
          <w:lang w:val="es-ES"/>
        </w:rPr>
        <w:t>b</w:t>
      </w:r>
      <w:r w:rsidRPr="1D64B15C">
        <w:rPr>
          <w:rFonts w:ascii="Verdana" w:eastAsia="Cambria" w:hAnsi="Verdana" w:cs="Cambria"/>
          <w:sz w:val="20"/>
          <w:szCs w:val="20"/>
          <w:lang w:val="es-ES"/>
        </w:rPr>
        <w:t xml:space="preserve">) cause severos sufrimientos físicos o mentales, y </w:t>
      </w:r>
      <w:r w:rsidR="000E182A">
        <w:rPr>
          <w:rFonts w:ascii="Verdana" w:eastAsia="Cambria" w:hAnsi="Verdana" w:cs="Cambria"/>
          <w:sz w:val="20"/>
          <w:szCs w:val="20"/>
          <w:lang w:val="es-ES"/>
        </w:rPr>
        <w:t>c</w:t>
      </w:r>
      <w:r w:rsidRPr="1D64B15C">
        <w:rPr>
          <w:rFonts w:ascii="Verdana" w:eastAsia="Cambria" w:hAnsi="Verdana" w:cs="Cambria"/>
          <w:sz w:val="20"/>
          <w:szCs w:val="20"/>
          <w:lang w:val="es-ES"/>
        </w:rPr>
        <w:t>) se cometa con cualquier fin o propósito</w:t>
      </w:r>
      <w:r w:rsidR="004B6FF1" w:rsidRPr="7CDFE7CF">
        <w:rPr>
          <w:rStyle w:val="Refdenotaalpie"/>
          <w:rFonts w:ascii="Verdana" w:eastAsia="Cambria" w:hAnsi="Verdana"/>
          <w:sz w:val="20"/>
          <w:lang w:val="es-ES"/>
        </w:rPr>
        <w:footnoteReference w:id="224"/>
      </w:r>
      <w:r w:rsidRPr="1D64B15C">
        <w:rPr>
          <w:rFonts w:ascii="Verdana" w:eastAsia="Cambria" w:hAnsi="Verdana" w:cs="Cambria"/>
          <w:sz w:val="20"/>
          <w:szCs w:val="20"/>
          <w:lang w:val="es-ES"/>
        </w:rPr>
        <w:t>.</w:t>
      </w:r>
    </w:p>
    <w:p w14:paraId="341455B5" w14:textId="66BBE94A" w:rsidR="00510399" w:rsidRPr="00F31F8B" w:rsidRDefault="00560817" w:rsidP="0053355D">
      <w:pPr>
        <w:numPr>
          <w:ilvl w:val="0"/>
          <w:numId w:val="2"/>
        </w:numPr>
        <w:spacing w:before="120" w:after="120"/>
        <w:ind w:left="0" w:firstLine="0"/>
        <w:jc w:val="both"/>
        <w:rPr>
          <w:rFonts w:ascii="Verdana" w:hAnsi="Verdana"/>
          <w:sz w:val="20"/>
          <w:szCs w:val="20"/>
        </w:rPr>
      </w:pPr>
      <w:r w:rsidRPr="00F31F8B">
        <w:rPr>
          <w:rFonts w:ascii="Verdana" w:hAnsi="Verdana"/>
          <w:sz w:val="20"/>
          <w:szCs w:val="20"/>
        </w:rPr>
        <w:t>Por otra parte, l</w:t>
      </w:r>
      <w:r w:rsidR="00510399" w:rsidRPr="00F31F8B">
        <w:rPr>
          <w:rFonts w:ascii="Verdana" w:hAnsi="Verdana"/>
          <w:sz w:val="20"/>
          <w:szCs w:val="20"/>
        </w:rPr>
        <w:t>a</w:t>
      </w:r>
      <w:r w:rsidR="00510399" w:rsidRPr="00F31F8B">
        <w:rPr>
          <w:rFonts w:ascii="Verdana" w:eastAsia="Calibri" w:hAnsi="Verdana"/>
          <w:sz w:val="20"/>
          <w:szCs w:val="20"/>
        </w:rPr>
        <w:t xml:space="preserve"> </w:t>
      </w:r>
      <w:r w:rsidR="00510399" w:rsidRPr="7CDFE7CF">
        <w:rPr>
          <w:rFonts w:ascii="Verdana" w:eastAsia="Cambria" w:hAnsi="Verdana" w:cs="Cambria"/>
          <w:sz w:val="20"/>
          <w:szCs w:val="20"/>
          <w:lang w:val="es-ES"/>
        </w:rPr>
        <w:t>Corte</w:t>
      </w:r>
      <w:r w:rsidR="00510399" w:rsidRPr="00F31F8B">
        <w:rPr>
          <w:rFonts w:ascii="Verdana" w:eastAsia="Calibri" w:hAnsi="Verdana"/>
          <w:sz w:val="20"/>
          <w:szCs w:val="20"/>
        </w:rPr>
        <w:t xml:space="preserve"> ha </w:t>
      </w:r>
      <w:r w:rsidR="00510399" w:rsidRPr="00F31F8B">
        <w:rPr>
          <w:rFonts w:ascii="Verdana" w:hAnsi="Verdana"/>
          <w:sz w:val="20"/>
          <w:szCs w:val="20"/>
        </w:rPr>
        <w:t>reiterado</w:t>
      </w:r>
      <w:r w:rsidR="00510399" w:rsidRPr="00F31F8B">
        <w:rPr>
          <w:rFonts w:ascii="Verdana" w:eastAsia="Calibri" w:hAnsi="Verdana"/>
          <w:sz w:val="20"/>
          <w:szCs w:val="20"/>
        </w:rPr>
        <w:t xml:space="preserve"> que, de conformidad con la Convención Americana, </w:t>
      </w:r>
      <w:r w:rsidRPr="00F31F8B">
        <w:rPr>
          <w:rFonts w:ascii="Verdana" w:eastAsia="Calibri" w:hAnsi="Verdana"/>
          <w:sz w:val="20"/>
          <w:szCs w:val="20"/>
        </w:rPr>
        <w:t>l</w:t>
      </w:r>
      <w:r w:rsidR="00510399" w:rsidRPr="00F31F8B">
        <w:rPr>
          <w:rFonts w:ascii="Verdana" w:eastAsia="Calibri" w:hAnsi="Verdana"/>
          <w:sz w:val="20"/>
          <w:szCs w:val="20"/>
        </w:rPr>
        <w:t xml:space="preserve">os Estados Partes están </w:t>
      </w:r>
      <w:r w:rsidR="00510399" w:rsidRPr="00F31F8B">
        <w:rPr>
          <w:rFonts w:ascii="Verdana" w:hAnsi="Verdana"/>
          <w:sz w:val="20"/>
          <w:szCs w:val="20"/>
        </w:rPr>
        <w:t>obligados</w:t>
      </w:r>
      <w:r w:rsidR="00510399" w:rsidRPr="00F31F8B">
        <w:rPr>
          <w:rFonts w:ascii="Verdana" w:eastAsia="Calibri" w:hAnsi="Verdana"/>
          <w:sz w:val="20"/>
          <w:szCs w:val="20"/>
        </w:rPr>
        <w:t xml:space="preserve"> a suministrar recursos judiciales efectivos a las víctimas de </w:t>
      </w:r>
      <w:r w:rsidR="00510399" w:rsidRPr="00F31F8B">
        <w:rPr>
          <w:rFonts w:ascii="Verdana" w:hAnsi="Verdana"/>
          <w:sz w:val="20"/>
          <w:szCs w:val="20"/>
        </w:rPr>
        <w:t>violaciones</w:t>
      </w:r>
      <w:r w:rsidR="00510399" w:rsidRPr="00F31F8B">
        <w:rPr>
          <w:rFonts w:ascii="Verdana" w:eastAsia="Calibri" w:hAnsi="Verdana"/>
          <w:sz w:val="20"/>
          <w:szCs w:val="20"/>
        </w:rPr>
        <w:t xml:space="preserve"> a los derechos </w:t>
      </w:r>
      <w:r w:rsidR="00510399" w:rsidRPr="00F31F8B">
        <w:rPr>
          <w:rFonts w:ascii="Verdana" w:hAnsi="Verdana"/>
          <w:sz w:val="20"/>
          <w:szCs w:val="20"/>
        </w:rPr>
        <w:t>humanos</w:t>
      </w:r>
      <w:r w:rsidR="00510399" w:rsidRPr="00F31F8B">
        <w:rPr>
          <w:rFonts w:ascii="Verdana" w:eastAsia="Calibri" w:hAnsi="Verdana"/>
          <w:sz w:val="20"/>
          <w:szCs w:val="20"/>
        </w:rPr>
        <w:t xml:space="preserve">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00510399" w:rsidRPr="00F31F8B">
        <w:rPr>
          <w:rFonts w:ascii="Verdana" w:hAnsi="Verdana"/>
          <w:sz w:val="20"/>
          <w:szCs w:val="20"/>
          <w:vertAlign w:val="superscript"/>
        </w:rPr>
        <w:footnoteReference w:id="225"/>
      </w:r>
      <w:r w:rsidR="00510399" w:rsidRPr="00F31F8B">
        <w:rPr>
          <w:rFonts w:ascii="Verdana" w:eastAsia="Calibri" w:hAnsi="Verdana"/>
          <w:sz w:val="20"/>
          <w:szCs w:val="20"/>
        </w:rPr>
        <w:t xml:space="preserve">. </w:t>
      </w:r>
    </w:p>
    <w:p w14:paraId="3590F658" w14:textId="633C65FB" w:rsidR="00510399" w:rsidRPr="00351298" w:rsidRDefault="00510399" w:rsidP="0053355D">
      <w:pPr>
        <w:numPr>
          <w:ilvl w:val="0"/>
          <w:numId w:val="2"/>
        </w:numPr>
        <w:spacing w:before="120" w:after="120"/>
        <w:ind w:left="0" w:firstLine="0"/>
        <w:jc w:val="both"/>
        <w:rPr>
          <w:rFonts w:ascii="Verdana" w:hAnsi="Verdana"/>
          <w:sz w:val="20"/>
          <w:szCs w:val="20"/>
        </w:rPr>
      </w:pPr>
      <w:r w:rsidRPr="00F31F8B">
        <w:rPr>
          <w:rFonts w:ascii="Verdana" w:eastAsia="Calibri" w:hAnsi="Verdana"/>
          <w:kern w:val="2"/>
          <w:sz w:val="20"/>
          <w:szCs w:val="20"/>
        </w:rPr>
        <w:t xml:space="preserve">El </w:t>
      </w:r>
      <w:r w:rsidRPr="7CDFE7CF">
        <w:rPr>
          <w:rFonts w:ascii="Verdana" w:eastAsia="Cambria" w:hAnsi="Verdana" w:cs="Cambria"/>
          <w:sz w:val="20"/>
          <w:szCs w:val="20"/>
          <w:lang w:val="es-ES"/>
        </w:rPr>
        <w:t>Tribunal</w:t>
      </w:r>
      <w:r w:rsidRPr="00F31F8B">
        <w:rPr>
          <w:rFonts w:ascii="Verdana" w:eastAsia="Calibri" w:hAnsi="Verdana"/>
          <w:kern w:val="2"/>
          <w:sz w:val="20"/>
          <w:szCs w:val="20"/>
        </w:rPr>
        <w:t xml:space="preserve"> ha señalado que hay</w:t>
      </w:r>
      <w:r w:rsidRPr="00F31F8B">
        <w:rPr>
          <w:rFonts w:ascii="Verdana" w:hAnsi="Verdana"/>
          <w:sz w:val="20"/>
          <w:szCs w:val="20"/>
        </w:rPr>
        <w:t xml:space="preserve"> acceso a la justicia cuando el Estado garantiza, en un tiempo razonable, el derecho de las presuntas víctimas o sus familiares a que se lleven a cabo todas las medidas necesarias para conocer la verdad de lo sucedido y, en su caso, sancionar a los eventuales responsables</w:t>
      </w:r>
      <w:r w:rsidRPr="00F31F8B">
        <w:rPr>
          <w:rFonts w:ascii="Verdana" w:hAnsi="Verdana"/>
          <w:sz w:val="20"/>
          <w:szCs w:val="20"/>
          <w:vertAlign w:val="superscript"/>
        </w:rPr>
        <w:footnoteReference w:id="226"/>
      </w:r>
      <w:r w:rsidRPr="00F31F8B">
        <w:rPr>
          <w:rFonts w:ascii="Verdana" w:hAnsi="Verdana"/>
          <w:sz w:val="20"/>
          <w:szCs w:val="20"/>
        </w:rPr>
        <w:t>. En este sentido, la Corte recuerda que los</w:t>
      </w:r>
      <w:r w:rsidRPr="00351298">
        <w:rPr>
          <w:rFonts w:ascii="Verdana" w:hAnsi="Verdana"/>
          <w:sz w:val="20"/>
          <w:szCs w:val="20"/>
        </w:rPr>
        <w:t xml:space="preserve"> artículos 8 y 25 de la Convención también </w:t>
      </w:r>
      <w:r w:rsidR="007D549B">
        <w:rPr>
          <w:rFonts w:ascii="Verdana" w:hAnsi="Verdana"/>
          <w:sz w:val="20"/>
          <w:szCs w:val="20"/>
        </w:rPr>
        <w:t>establecen</w:t>
      </w:r>
      <w:r w:rsidR="007D549B" w:rsidRPr="00351298">
        <w:rPr>
          <w:rFonts w:ascii="Verdana" w:hAnsi="Verdana"/>
          <w:sz w:val="20"/>
          <w:szCs w:val="20"/>
        </w:rPr>
        <w:t xml:space="preserve"> </w:t>
      </w:r>
      <w:r w:rsidRPr="00351298">
        <w:rPr>
          <w:rFonts w:ascii="Verdana" w:hAnsi="Verdana"/>
          <w:sz w:val="20"/>
          <w:szCs w:val="20"/>
        </w:rPr>
        <w:t>el derecho de obtener respuesta a las demandas y solicitudes planteadas a las autoridades judiciales, ya que la eficacia del recurso implica una obligación positiva de proporcionar una respuesta en un plazo razonable</w:t>
      </w:r>
      <w:r w:rsidRPr="7CDFE7CF">
        <w:rPr>
          <w:rStyle w:val="Refdenotaalpie"/>
          <w:rFonts w:ascii="Verdana" w:eastAsia="Batang" w:hAnsi="Verdana"/>
          <w:sz w:val="20"/>
        </w:rPr>
        <w:footnoteReference w:id="227"/>
      </w:r>
      <w:r w:rsidRPr="00351298">
        <w:rPr>
          <w:rFonts w:ascii="Verdana" w:hAnsi="Verdana"/>
          <w:sz w:val="20"/>
          <w:szCs w:val="20"/>
        </w:rPr>
        <w:t>.</w:t>
      </w:r>
    </w:p>
    <w:p w14:paraId="3BF12D4E" w14:textId="693F0529" w:rsidR="00A903C6" w:rsidRPr="00351298" w:rsidRDefault="00560817" w:rsidP="00510399">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eastAsia="Cambria" w:hAnsi="Verdana" w:cs="Cambria"/>
          <w:sz w:val="20"/>
          <w:szCs w:val="20"/>
          <w:lang w:val="es-ES_tradnl"/>
        </w:rPr>
        <w:t>Asimismo</w:t>
      </w:r>
      <w:r w:rsidR="008D2C8D" w:rsidRPr="00351298">
        <w:rPr>
          <w:rFonts w:ascii="Verdana" w:eastAsia="Cambria" w:hAnsi="Verdana" w:cs="Cambria"/>
          <w:sz w:val="20"/>
          <w:szCs w:val="20"/>
          <w:lang w:val="es-ES_tradnl"/>
        </w:rPr>
        <w:t>, e</w:t>
      </w:r>
      <w:r w:rsidR="00A903C6" w:rsidRPr="00351298">
        <w:rPr>
          <w:rFonts w:ascii="Verdana" w:eastAsia="Cambria" w:hAnsi="Verdana" w:cs="Cambria"/>
          <w:sz w:val="20"/>
          <w:szCs w:val="20"/>
          <w:lang w:val="es-ES_tradnl"/>
        </w:rPr>
        <w:t xml:space="preserve">l artículo 1 de la Convención Interamericana </w:t>
      </w:r>
      <w:r w:rsidR="004D6346">
        <w:rPr>
          <w:rFonts w:ascii="Verdana" w:eastAsia="Cambria" w:hAnsi="Verdana" w:cs="Cambria"/>
          <w:sz w:val="20"/>
          <w:szCs w:val="20"/>
          <w:lang w:val="es-ES_tradnl"/>
        </w:rPr>
        <w:t>p</w:t>
      </w:r>
      <w:r w:rsidR="00A903C6" w:rsidRPr="00351298">
        <w:rPr>
          <w:rFonts w:ascii="Verdana" w:eastAsia="Cambria" w:hAnsi="Verdana" w:cs="Cambria"/>
          <w:sz w:val="20"/>
          <w:szCs w:val="20"/>
          <w:lang w:val="es-ES_tradnl"/>
        </w:rPr>
        <w:t xml:space="preserve">ara Prevenir y Sancionar la Tortura establece que “[l]os Estados parte se obligan a prevenir y a sancionar la tortura en los términos de la […] Convención”. El artículo 6 de la Convención establece que “[d]e conformidad con lo dispuesto en el artículo 1, los Estados parte tomarán medidas efectivas para prevenir y sancionar la tortura […], además, otros tratos o penas crueles, inhumanos o degradantes en el ámbito de su jurisdicción”. El artículo 8 de </w:t>
      </w:r>
      <w:r w:rsidR="00334E09">
        <w:rPr>
          <w:rFonts w:ascii="Verdana" w:eastAsia="Cambria" w:hAnsi="Verdana" w:cs="Cambria"/>
          <w:sz w:val="20"/>
          <w:szCs w:val="20"/>
          <w:lang w:val="es-ES_tradnl"/>
        </w:rPr>
        <w:t>esa</w:t>
      </w:r>
      <w:r w:rsidR="00A903C6" w:rsidRPr="00351298">
        <w:rPr>
          <w:rFonts w:ascii="Verdana" w:eastAsia="Cambria" w:hAnsi="Verdana" w:cs="Cambria"/>
          <w:sz w:val="20"/>
          <w:szCs w:val="20"/>
          <w:lang w:val="es-ES_tradnl"/>
        </w:rPr>
        <w:t xml:space="preserve"> Convención estipula que cuando exista “razón fundada para creer que se ha cometido un acto de tortura en el ámbito de su jurisdicción, los Estados parte garantizarán que sus respectivas autoridades procederán de oficio y de inmediato a realizar una investigación sobre el caso y a iniciar, cuando corresponda, el respectivo proceso penal</w:t>
      </w:r>
      <w:r w:rsidR="00F45051">
        <w:rPr>
          <w:rFonts w:ascii="Verdana" w:eastAsia="Cambria" w:hAnsi="Verdana" w:cs="Cambria"/>
          <w:sz w:val="20"/>
          <w:szCs w:val="20"/>
          <w:lang w:val="es-ES_tradnl"/>
        </w:rPr>
        <w:t>”</w:t>
      </w:r>
      <w:r w:rsidR="004B6FF1" w:rsidRPr="00351298">
        <w:rPr>
          <w:rFonts w:ascii="Verdana" w:eastAsia="Cambria" w:hAnsi="Verdana" w:cs="Cambria"/>
          <w:sz w:val="20"/>
          <w:szCs w:val="20"/>
          <w:lang w:val="es-ES_tradnl"/>
        </w:rPr>
        <w:t>.</w:t>
      </w:r>
    </w:p>
    <w:p w14:paraId="0870548C" w14:textId="76C91827" w:rsidR="00850F4B" w:rsidRPr="00351298" w:rsidRDefault="00850F4B" w:rsidP="00510399">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eastAsia="Cambria" w:hAnsi="Verdana" w:cs="Cambria"/>
          <w:sz w:val="20"/>
          <w:szCs w:val="20"/>
          <w:lang w:val="es-ES_tradnl"/>
        </w:rPr>
        <w:lastRenderedPageBreak/>
        <w:t>A continuación, se analizarán los alegatos de las partes en el siguiente orden: a) las alegadas torturas sufridas por Daniel García Rodríguez y Reyes Alpízar Ortiz</w:t>
      </w:r>
      <w:r w:rsidR="00620D59" w:rsidRPr="00351298">
        <w:rPr>
          <w:rFonts w:ascii="Verdana" w:eastAsia="Cambria" w:hAnsi="Verdana" w:cs="Cambria"/>
          <w:sz w:val="20"/>
          <w:szCs w:val="20"/>
          <w:lang w:val="es-ES_tradnl"/>
        </w:rPr>
        <w:t xml:space="preserve">, y </w:t>
      </w:r>
      <w:r w:rsidRPr="00351298">
        <w:rPr>
          <w:rFonts w:ascii="Verdana" w:eastAsia="Cambria" w:hAnsi="Verdana" w:cs="Cambria"/>
          <w:sz w:val="20"/>
          <w:szCs w:val="20"/>
          <w:lang w:val="es-ES_tradnl"/>
        </w:rPr>
        <w:t>b)</w:t>
      </w:r>
      <w:r w:rsidR="0094475C">
        <w:rPr>
          <w:rFonts w:ascii="Verdana" w:eastAsia="Cambria" w:hAnsi="Verdana" w:cs="Cambria"/>
          <w:sz w:val="20"/>
          <w:szCs w:val="20"/>
          <w:lang w:val="es-ES_tradnl"/>
        </w:rPr>
        <w:t xml:space="preserve"> </w:t>
      </w:r>
      <w:r w:rsidRPr="00351298">
        <w:rPr>
          <w:rFonts w:ascii="Verdana" w:eastAsia="Cambria" w:hAnsi="Verdana" w:cs="Cambria"/>
          <w:sz w:val="20"/>
          <w:szCs w:val="20"/>
          <w:lang w:val="es-ES_tradnl"/>
        </w:rPr>
        <w:t>las investigaciones sobre los alegados hechos de tortura.</w:t>
      </w:r>
    </w:p>
    <w:p w14:paraId="6DA2EC51" w14:textId="15C2CCDE" w:rsidR="00850F4B" w:rsidRPr="00F31F8B" w:rsidRDefault="00850F4B" w:rsidP="00D73463">
      <w:pPr>
        <w:pStyle w:val="Ttulo3"/>
        <w:spacing w:before="240" w:after="240"/>
        <w:ind w:left="567"/>
        <w:jc w:val="both"/>
        <w:rPr>
          <w:rFonts w:ascii="Verdana" w:hAnsi="Verdana"/>
          <w:b w:val="0"/>
          <w:snapToGrid w:val="0"/>
          <w:spacing w:val="-2"/>
          <w:sz w:val="20"/>
          <w:szCs w:val="20"/>
          <w:lang w:eastAsia="es-ES"/>
        </w:rPr>
      </w:pPr>
      <w:bookmarkStart w:id="105" w:name="_Toc132133925"/>
      <w:r w:rsidRPr="00351298">
        <w:rPr>
          <w:rFonts w:ascii="Verdana" w:hAnsi="Verdana"/>
          <w:b w:val="0"/>
          <w:snapToGrid w:val="0"/>
          <w:spacing w:val="-2"/>
          <w:sz w:val="20"/>
          <w:szCs w:val="20"/>
          <w:lang w:eastAsia="es-ES"/>
        </w:rPr>
        <w:t xml:space="preserve">B.1. Las </w:t>
      </w:r>
      <w:r w:rsidRPr="00F31F8B">
        <w:rPr>
          <w:rFonts w:ascii="Verdana" w:hAnsi="Verdana"/>
          <w:b w:val="0"/>
          <w:snapToGrid w:val="0"/>
          <w:spacing w:val="-2"/>
          <w:sz w:val="20"/>
          <w:szCs w:val="20"/>
          <w:lang w:eastAsia="es-ES"/>
        </w:rPr>
        <w:t>alegadas torturas sufridas por Daniel García Rodríguez y Reyes Alpízar Ortiz</w:t>
      </w:r>
      <w:bookmarkEnd w:id="105"/>
    </w:p>
    <w:p w14:paraId="32D27331" w14:textId="31B5F32D" w:rsidR="00850F4B" w:rsidRPr="00F31F8B" w:rsidRDefault="003767E5" w:rsidP="00850F4B">
      <w:pPr>
        <w:numPr>
          <w:ilvl w:val="0"/>
          <w:numId w:val="2"/>
        </w:numPr>
        <w:spacing w:before="120" w:after="120"/>
        <w:ind w:left="0" w:firstLine="0"/>
        <w:jc w:val="both"/>
        <w:rPr>
          <w:rFonts w:ascii="Verdana" w:eastAsia="Cambria" w:hAnsi="Verdana" w:cs="Cambria"/>
          <w:i/>
          <w:iCs/>
          <w:sz w:val="20"/>
          <w:szCs w:val="20"/>
          <w:lang w:val="es-ES_tradnl"/>
        </w:rPr>
      </w:pPr>
      <w:r w:rsidRPr="00F31F8B">
        <w:rPr>
          <w:rFonts w:ascii="Verdana" w:eastAsia="Cambria" w:hAnsi="Verdana" w:cs="Cambria"/>
          <w:sz w:val="20"/>
          <w:szCs w:val="20"/>
          <w:lang w:val="es-ES_tradnl"/>
        </w:rPr>
        <w:t>L</w:t>
      </w:r>
      <w:r w:rsidR="00850F4B" w:rsidRPr="00F31F8B">
        <w:rPr>
          <w:rFonts w:ascii="Verdana" w:eastAsia="Cambria" w:hAnsi="Verdana" w:cs="Cambria"/>
          <w:sz w:val="20"/>
          <w:szCs w:val="20"/>
          <w:lang w:val="es-ES_tradnl"/>
        </w:rPr>
        <w:t>os alegatos de la Comisión y los representantes sobre los alegados hechos de tortura en perjuicio de Daniel García y Reyes Alpízar se basan en los siguientes elementos:</w:t>
      </w:r>
      <w:r w:rsidR="001014B6" w:rsidRPr="00F31F8B">
        <w:rPr>
          <w:rFonts w:ascii="Verdana" w:eastAsia="Cambria" w:hAnsi="Verdana" w:cs="Cambria"/>
          <w:sz w:val="20"/>
          <w:szCs w:val="20"/>
          <w:lang w:val="es-ES_tradnl"/>
        </w:rPr>
        <w:t xml:space="preserve"> a) las declaraciones de las presuntas víctimas que afirmaron en varias </w:t>
      </w:r>
      <w:r w:rsidR="00B87829" w:rsidRPr="00F31F8B">
        <w:rPr>
          <w:rFonts w:ascii="Verdana" w:eastAsia="Cambria" w:hAnsi="Verdana" w:cs="Cambria"/>
          <w:sz w:val="20"/>
          <w:szCs w:val="20"/>
          <w:lang w:val="es-ES_tradnl"/>
        </w:rPr>
        <w:t>oportunidades</w:t>
      </w:r>
      <w:r w:rsidR="001014B6" w:rsidRPr="00F31F8B">
        <w:rPr>
          <w:rFonts w:ascii="Verdana" w:eastAsia="Cambria" w:hAnsi="Verdana" w:cs="Cambria"/>
          <w:sz w:val="20"/>
          <w:szCs w:val="20"/>
          <w:lang w:val="es-ES_tradnl"/>
        </w:rPr>
        <w:t xml:space="preserve"> </w:t>
      </w:r>
      <w:r w:rsidR="00B87829" w:rsidRPr="00F31F8B">
        <w:rPr>
          <w:rFonts w:ascii="Verdana" w:eastAsia="Cambria" w:hAnsi="Verdana" w:cs="Cambria"/>
          <w:sz w:val="20"/>
          <w:szCs w:val="20"/>
          <w:lang w:val="es-ES_tradnl"/>
        </w:rPr>
        <w:t>que</w:t>
      </w:r>
      <w:r w:rsidR="001014B6" w:rsidRPr="00F31F8B">
        <w:rPr>
          <w:rFonts w:ascii="Verdana" w:eastAsia="Cambria" w:hAnsi="Verdana" w:cs="Cambria"/>
          <w:sz w:val="20"/>
          <w:szCs w:val="20"/>
          <w:lang w:val="es-ES_tradnl"/>
        </w:rPr>
        <w:t xml:space="preserve"> </w:t>
      </w:r>
      <w:r w:rsidR="00B87829" w:rsidRPr="00F31F8B">
        <w:rPr>
          <w:rFonts w:ascii="Verdana" w:eastAsia="Cambria" w:hAnsi="Verdana" w:cs="Cambria"/>
          <w:sz w:val="20"/>
          <w:szCs w:val="20"/>
          <w:lang w:val="es-ES_tradnl"/>
        </w:rPr>
        <w:t>fueron objeto de violencia física y psicológica durante su detención, interrogatorios y arraigo</w:t>
      </w:r>
      <w:r w:rsidR="001014B6" w:rsidRPr="00F31F8B">
        <w:rPr>
          <w:rFonts w:ascii="Verdana" w:eastAsia="Cambria" w:hAnsi="Verdana" w:cs="Cambria"/>
          <w:sz w:val="20"/>
          <w:szCs w:val="20"/>
          <w:lang w:val="es-ES_tradnl"/>
        </w:rPr>
        <w:t xml:space="preserve">; b) </w:t>
      </w:r>
      <w:r w:rsidR="00B87829" w:rsidRPr="00F31F8B">
        <w:rPr>
          <w:rFonts w:ascii="Verdana" w:hAnsi="Verdana"/>
          <w:sz w:val="20"/>
          <w:szCs w:val="20"/>
          <w:lang w:val="es-ES_tradnl"/>
        </w:rPr>
        <w:t>no se ha llegado a conclusiones que desvirtúen las alegaciones de los peticionarios y los indicios respectivos en el marco de las verificaciones o examinaciones médicas; c) una serie de pericias realizadas en el curso de</w:t>
      </w:r>
      <w:r w:rsidR="00334E09">
        <w:rPr>
          <w:rFonts w:ascii="Verdana" w:hAnsi="Verdana"/>
          <w:sz w:val="20"/>
          <w:szCs w:val="20"/>
          <w:lang w:val="es-ES_tradnl"/>
        </w:rPr>
        <w:t>l</w:t>
      </w:r>
      <w:r w:rsidR="00B87829" w:rsidRPr="00F31F8B">
        <w:rPr>
          <w:rFonts w:ascii="Verdana" w:hAnsi="Verdana"/>
          <w:sz w:val="20"/>
          <w:szCs w:val="20"/>
          <w:lang w:val="es-ES_tradnl"/>
        </w:rPr>
        <w:t xml:space="preserve"> proceso penal dan cuenta de que la opinión </w:t>
      </w:r>
      <w:r w:rsidR="007D549B">
        <w:rPr>
          <w:rFonts w:ascii="Verdana" w:hAnsi="Verdana"/>
          <w:sz w:val="20"/>
          <w:szCs w:val="20"/>
          <w:lang w:val="es-ES_tradnl"/>
        </w:rPr>
        <w:t>de varios</w:t>
      </w:r>
      <w:r w:rsidR="007D549B" w:rsidRPr="00F31F8B">
        <w:rPr>
          <w:rFonts w:ascii="Verdana" w:hAnsi="Verdana"/>
          <w:sz w:val="20"/>
          <w:szCs w:val="20"/>
          <w:lang w:val="es-ES_tradnl"/>
        </w:rPr>
        <w:t xml:space="preserve"> </w:t>
      </w:r>
      <w:r w:rsidR="00B87829" w:rsidRPr="00F31F8B">
        <w:rPr>
          <w:rFonts w:ascii="Verdana" w:hAnsi="Verdana"/>
          <w:sz w:val="20"/>
          <w:szCs w:val="20"/>
          <w:lang w:val="es-ES_tradnl"/>
        </w:rPr>
        <w:t>expertos era que Reyes Alpízar había sido víctima de torturas físicas y psicológicas, y d) el Estado no ha aportado una explicación satisfactoria que, mediante elementos probatorios adecuados, desvirtúe las alegaciones de las presuntas víctimas, así como los indicios de su ocurrencia.</w:t>
      </w:r>
    </w:p>
    <w:p w14:paraId="3D65DA53" w14:textId="0B68A672" w:rsidR="00BC2926" w:rsidRPr="00F31F8B" w:rsidRDefault="00334E09" w:rsidP="00BC2926">
      <w:pPr>
        <w:numPr>
          <w:ilvl w:val="0"/>
          <w:numId w:val="2"/>
        </w:numPr>
        <w:spacing w:before="120" w:after="120"/>
        <w:ind w:left="0" w:firstLine="0"/>
        <w:jc w:val="both"/>
        <w:rPr>
          <w:rFonts w:ascii="Verdana" w:eastAsia="Cambria" w:hAnsi="Verdana" w:cs="Cambria"/>
          <w:i/>
          <w:iCs/>
          <w:sz w:val="20"/>
          <w:szCs w:val="20"/>
          <w:lang w:val="es-ES_tradnl"/>
        </w:rPr>
      </w:pPr>
      <w:r w:rsidRPr="00F31F8B">
        <w:rPr>
          <w:rFonts w:ascii="Verdana" w:hAnsi="Verdana"/>
          <w:sz w:val="20"/>
          <w:szCs w:val="20"/>
          <w:lang w:val="es-ES_tradnl"/>
        </w:rPr>
        <w:t>A continuación, se analizará de forma separada l</w:t>
      </w:r>
      <w:r>
        <w:rPr>
          <w:rFonts w:ascii="Verdana" w:hAnsi="Verdana"/>
          <w:sz w:val="20"/>
          <w:szCs w:val="20"/>
          <w:lang w:val="es-ES_tradnl"/>
        </w:rPr>
        <w:t>os actos de</w:t>
      </w:r>
      <w:r w:rsidRPr="00F31F8B">
        <w:rPr>
          <w:rFonts w:ascii="Verdana" w:hAnsi="Verdana"/>
          <w:sz w:val="20"/>
          <w:szCs w:val="20"/>
          <w:lang w:val="es-ES_tradnl"/>
        </w:rPr>
        <w:t xml:space="preserve"> tortura alegad</w:t>
      </w:r>
      <w:r>
        <w:rPr>
          <w:rFonts w:ascii="Verdana" w:hAnsi="Verdana"/>
          <w:sz w:val="20"/>
          <w:szCs w:val="20"/>
          <w:lang w:val="es-ES_tradnl"/>
        </w:rPr>
        <w:t>o</w:t>
      </w:r>
      <w:r w:rsidRPr="00F31F8B">
        <w:rPr>
          <w:rFonts w:ascii="Verdana" w:hAnsi="Verdana"/>
          <w:sz w:val="20"/>
          <w:szCs w:val="20"/>
          <w:lang w:val="es-ES_tradnl"/>
        </w:rPr>
        <w:t>s en contra de cada una de las presuntas víctimas</w:t>
      </w:r>
      <w:r w:rsidR="00BC2926" w:rsidRPr="00F31F8B">
        <w:rPr>
          <w:rFonts w:ascii="Verdana" w:hAnsi="Verdana"/>
          <w:sz w:val="20"/>
          <w:szCs w:val="20"/>
          <w:lang w:val="es-ES_tradnl"/>
        </w:rPr>
        <w:t>.</w:t>
      </w:r>
    </w:p>
    <w:p w14:paraId="08039759" w14:textId="6366EB3C" w:rsidR="00D42BFB" w:rsidRPr="00F31F8B" w:rsidRDefault="00D42BFB" w:rsidP="00D42BFB">
      <w:pPr>
        <w:numPr>
          <w:ilvl w:val="0"/>
          <w:numId w:val="34"/>
        </w:numPr>
        <w:spacing w:before="240" w:after="240"/>
        <w:jc w:val="both"/>
        <w:outlineLvl w:val="3"/>
        <w:rPr>
          <w:rFonts w:ascii="Verdana" w:hAnsi="Verdana"/>
          <w:i/>
          <w:iCs/>
          <w:sz w:val="20"/>
          <w:szCs w:val="20"/>
        </w:rPr>
      </w:pPr>
      <w:r w:rsidRPr="00F31F8B">
        <w:rPr>
          <w:rFonts w:ascii="Verdana" w:hAnsi="Verdana"/>
          <w:i/>
          <w:iCs/>
          <w:sz w:val="20"/>
          <w:szCs w:val="20"/>
        </w:rPr>
        <w:t>Sobre las alegadas torturas en perjuicio de Reyes Alpízar</w:t>
      </w:r>
      <w:r w:rsidR="00BC2926" w:rsidRPr="00F31F8B">
        <w:rPr>
          <w:rFonts w:ascii="Verdana" w:hAnsi="Verdana"/>
          <w:i/>
          <w:iCs/>
          <w:sz w:val="20"/>
          <w:szCs w:val="20"/>
        </w:rPr>
        <w:t xml:space="preserve"> Ortiz</w:t>
      </w:r>
    </w:p>
    <w:p w14:paraId="5524E862" w14:textId="6B9A5770" w:rsidR="00BC2926" w:rsidRPr="00F31F8B" w:rsidRDefault="0DCC3E12" w:rsidP="1D64B15C">
      <w:pPr>
        <w:numPr>
          <w:ilvl w:val="0"/>
          <w:numId w:val="2"/>
        </w:numPr>
        <w:spacing w:before="120" w:after="120"/>
        <w:ind w:left="0" w:firstLine="0"/>
        <w:jc w:val="both"/>
        <w:rPr>
          <w:rFonts w:ascii="Verdana" w:eastAsia="Cambria" w:hAnsi="Verdana" w:cs="Cambria"/>
          <w:i/>
          <w:iCs/>
          <w:sz w:val="20"/>
          <w:szCs w:val="20"/>
          <w:lang w:val="es-ES"/>
        </w:rPr>
      </w:pPr>
      <w:r w:rsidRPr="1D64B15C">
        <w:rPr>
          <w:rFonts w:ascii="Verdana" w:eastAsia="Cambria" w:hAnsi="Verdana" w:cs="Cambria"/>
          <w:sz w:val="20"/>
          <w:szCs w:val="20"/>
          <w:lang w:val="es-ES"/>
        </w:rPr>
        <w:t xml:space="preserve">Para llegar a </w:t>
      </w:r>
      <w:r w:rsidR="002E1C95">
        <w:rPr>
          <w:rFonts w:ascii="Verdana" w:eastAsia="Cambria" w:hAnsi="Verdana" w:cs="Cambria"/>
          <w:sz w:val="20"/>
          <w:szCs w:val="20"/>
          <w:lang w:val="es-ES"/>
        </w:rPr>
        <w:t>establecer</w:t>
      </w:r>
      <w:r w:rsidR="002E1C95" w:rsidRPr="1D64B15C">
        <w:rPr>
          <w:rFonts w:ascii="Verdana" w:eastAsia="Cambria" w:hAnsi="Verdana" w:cs="Cambria"/>
          <w:sz w:val="20"/>
          <w:szCs w:val="20"/>
          <w:lang w:val="es-ES"/>
        </w:rPr>
        <w:t xml:space="preserve"> </w:t>
      </w:r>
      <w:r w:rsidRPr="1D64B15C">
        <w:rPr>
          <w:rFonts w:ascii="Verdana" w:eastAsia="Cambria" w:hAnsi="Verdana" w:cs="Cambria"/>
          <w:sz w:val="20"/>
          <w:szCs w:val="20"/>
          <w:lang w:val="es-ES"/>
        </w:rPr>
        <w:t>si se produjeron hechos de tortura en perjuicio de Reyes Alpízar Ortiz</w:t>
      </w:r>
      <w:r w:rsidR="002E1C95">
        <w:rPr>
          <w:rFonts w:ascii="Verdana" w:eastAsia="Cambria" w:hAnsi="Verdana" w:cs="Cambria"/>
          <w:sz w:val="20"/>
          <w:szCs w:val="20"/>
          <w:lang w:val="es-ES"/>
        </w:rPr>
        <w:t>,</w:t>
      </w:r>
      <w:r w:rsidRPr="1D64B15C">
        <w:rPr>
          <w:rFonts w:ascii="Verdana" w:eastAsia="Cambria" w:hAnsi="Verdana" w:cs="Cambria"/>
          <w:sz w:val="20"/>
          <w:szCs w:val="20"/>
          <w:lang w:val="es-ES"/>
        </w:rPr>
        <w:t xml:space="preserve"> se buscará determinar</w:t>
      </w:r>
      <w:r w:rsidR="7C5A840A" w:rsidRPr="1D64B15C">
        <w:rPr>
          <w:rFonts w:ascii="Verdana" w:eastAsia="Cambria" w:hAnsi="Verdana" w:cs="Cambria"/>
          <w:sz w:val="20"/>
          <w:szCs w:val="20"/>
          <w:lang w:val="es-ES"/>
        </w:rPr>
        <w:t>,</w:t>
      </w:r>
      <w:r w:rsidRPr="1D64B15C">
        <w:rPr>
          <w:rFonts w:ascii="Verdana" w:eastAsia="Cambria" w:hAnsi="Verdana" w:cs="Cambria"/>
          <w:sz w:val="20"/>
          <w:szCs w:val="20"/>
          <w:lang w:val="es-ES"/>
        </w:rPr>
        <w:t xml:space="preserve"> en primer lugar</w:t>
      </w:r>
      <w:r w:rsidR="0887802F" w:rsidRPr="1D64B15C">
        <w:rPr>
          <w:rFonts w:ascii="Verdana" w:eastAsia="Cambria" w:hAnsi="Verdana" w:cs="Cambria"/>
          <w:sz w:val="20"/>
          <w:szCs w:val="20"/>
          <w:lang w:val="es-ES"/>
        </w:rPr>
        <w:t>,</w:t>
      </w:r>
      <w:r w:rsidRPr="1D64B15C">
        <w:rPr>
          <w:rFonts w:ascii="Verdana" w:eastAsia="Cambria" w:hAnsi="Verdana" w:cs="Cambria"/>
          <w:sz w:val="20"/>
          <w:szCs w:val="20"/>
          <w:lang w:val="es-ES"/>
        </w:rPr>
        <w:t xml:space="preserve"> si fue objeto de maltratos por parte de servidores públicos durante el período en el que estuvo bajo control del Estado. En segundo lugar, se evaluará la severidad de ese maltrato</w:t>
      </w:r>
      <w:r w:rsidR="57D73F74" w:rsidRPr="1D64B15C">
        <w:rPr>
          <w:rFonts w:ascii="Verdana" w:eastAsia="Cambria" w:hAnsi="Verdana" w:cs="Cambria"/>
          <w:sz w:val="20"/>
          <w:szCs w:val="20"/>
          <w:lang w:val="es-ES"/>
        </w:rPr>
        <w:t xml:space="preserve"> y</w:t>
      </w:r>
      <w:r w:rsidR="002E1C95">
        <w:rPr>
          <w:rFonts w:ascii="Verdana" w:eastAsia="Cambria" w:hAnsi="Verdana" w:cs="Cambria"/>
          <w:sz w:val="20"/>
          <w:szCs w:val="20"/>
          <w:lang w:val="es-ES"/>
        </w:rPr>
        <w:t xml:space="preserve"> </w:t>
      </w:r>
      <w:r w:rsidRPr="1D64B15C">
        <w:rPr>
          <w:rFonts w:ascii="Verdana" w:eastAsia="Cambria" w:hAnsi="Verdana" w:cs="Cambria"/>
          <w:sz w:val="20"/>
          <w:szCs w:val="20"/>
          <w:lang w:val="es-ES"/>
        </w:rPr>
        <w:t>su intencionalidad.</w:t>
      </w:r>
    </w:p>
    <w:p w14:paraId="59B22003" w14:textId="5EBC4A02" w:rsidR="00B87829" w:rsidRPr="00F31F8B" w:rsidRDefault="00BC2926" w:rsidP="00850F4B">
      <w:pPr>
        <w:numPr>
          <w:ilvl w:val="0"/>
          <w:numId w:val="2"/>
        </w:numPr>
        <w:spacing w:before="120" w:after="120"/>
        <w:ind w:left="0" w:firstLine="0"/>
        <w:jc w:val="both"/>
        <w:rPr>
          <w:rFonts w:ascii="Verdana" w:eastAsia="Cambria" w:hAnsi="Verdana" w:cs="Cambria"/>
          <w:i/>
          <w:iCs/>
          <w:sz w:val="20"/>
          <w:szCs w:val="20"/>
          <w:lang w:val="es-ES_tradnl"/>
        </w:rPr>
      </w:pPr>
      <w:r w:rsidRPr="00F31F8B">
        <w:rPr>
          <w:rFonts w:ascii="Verdana" w:eastAsia="Cambria" w:hAnsi="Verdana" w:cs="Cambria"/>
          <w:sz w:val="20"/>
          <w:szCs w:val="20"/>
          <w:lang w:val="es-ES_tradnl"/>
        </w:rPr>
        <w:t xml:space="preserve">Corresponde recordar como punto de partida que </w:t>
      </w:r>
      <w:r w:rsidR="0078034E" w:rsidRPr="00F31F8B">
        <w:rPr>
          <w:rFonts w:ascii="Verdana" w:eastAsia="Cambria" w:hAnsi="Verdana" w:cs="Cambria"/>
          <w:sz w:val="20"/>
          <w:szCs w:val="20"/>
          <w:lang w:val="es-ES_tradnl"/>
        </w:rPr>
        <w:t xml:space="preserve">Reyes </w:t>
      </w:r>
      <w:r w:rsidR="00D57148" w:rsidRPr="00F31F8B">
        <w:rPr>
          <w:rFonts w:ascii="Verdana" w:hAnsi="Verdana"/>
          <w:sz w:val="20"/>
          <w:szCs w:val="20"/>
          <w:lang w:val="es-ES_tradnl"/>
        </w:rPr>
        <w:t>Alpízar Ortiz fue detenido el 25 de octubre de 2002 y</w:t>
      </w:r>
      <w:r w:rsidR="002E1C95">
        <w:rPr>
          <w:rFonts w:ascii="Verdana" w:hAnsi="Verdana"/>
          <w:sz w:val="20"/>
          <w:szCs w:val="20"/>
          <w:lang w:val="es-ES_tradnl"/>
        </w:rPr>
        <w:t>,</w:t>
      </w:r>
      <w:r w:rsidR="00D57148" w:rsidRPr="00F31F8B">
        <w:rPr>
          <w:rFonts w:ascii="Verdana" w:hAnsi="Verdana"/>
          <w:sz w:val="20"/>
          <w:szCs w:val="20"/>
          <w:lang w:val="es-ES_tradnl"/>
        </w:rPr>
        <w:t xml:space="preserve"> desde entonces</w:t>
      </w:r>
      <w:r w:rsidR="002E1C95">
        <w:rPr>
          <w:rFonts w:ascii="Verdana" w:hAnsi="Verdana"/>
          <w:sz w:val="20"/>
          <w:szCs w:val="20"/>
          <w:lang w:val="es-ES_tradnl"/>
        </w:rPr>
        <w:t>,</w:t>
      </w:r>
      <w:r w:rsidR="00D57148" w:rsidRPr="00F31F8B">
        <w:rPr>
          <w:rFonts w:ascii="Verdana" w:hAnsi="Verdana"/>
          <w:sz w:val="20"/>
          <w:szCs w:val="20"/>
          <w:lang w:val="es-ES_tradnl"/>
        </w:rPr>
        <w:t xml:space="preserve"> estuvo bajo custodia del Estado hasta el año 2019, sea prestando declaraciones ante el Ministerio Público, sea en situación de arraigo o en un recinto carcelario en prisión preventiva.</w:t>
      </w:r>
    </w:p>
    <w:p w14:paraId="5F28307D" w14:textId="5AD85BBE" w:rsidR="00BC2926" w:rsidRPr="00351298" w:rsidRDefault="0031731F" w:rsidP="0031731F">
      <w:pPr>
        <w:numPr>
          <w:ilvl w:val="0"/>
          <w:numId w:val="2"/>
        </w:numPr>
        <w:spacing w:before="120" w:after="120"/>
        <w:ind w:left="0" w:firstLine="0"/>
        <w:jc w:val="both"/>
        <w:rPr>
          <w:rFonts w:ascii="Verdana" w:hAnsi="Verdana"/>
          <w:b/>
          <w:sz w:val="20"/>
          <w:szCs w:val="20"/>
        </w:rPr>
      </w:pPr>
      <w:r w:rsidRPr="00F31F8B">
        <w:rPr>
          <w:rFonts w:ascii="Verdana" w:hAnsi="Verdana"/>
          <w:sz w:val="20"/>
          <w:szCs w:val="20"/>
        </w:rPr>
        <w:t>En este punto es útil reiterar que de conformidad con los artículos 5.1 y 5.2 de la Convención Americana, el Estado debe de garantizar el derecho a la vida y a la integridad personal de las personas privadas de la libertad, en razón de que éste se encuentra en po</w:t>
      </w:r>
      <w:r w:rsidRPr="00351298">
        <w:rPr>
          <w:rFonts w:ascii="Verdana" w:hAnsi="Verdana"/>
          <w:sz w:val="20"/>
          <w:szCs w:val="20"/>
        </w:rPr>
        <w:t>sición especial de garante con respecto de dichas personas, porque las autoridades penitenciarias ejercen un control total sobre éstas</w:t>
      </w:r>
      <w:r w:rsidRPr="7CDFE7CF">
        <w:rPr>
          <w:rStyle w:val="Refdenotaalpie"/>
          <w:rFonts w:ascii="Verdana" w:hAnsi="Verdana"/>
          <w:sz w:val="20"/>
        </w:rPr>
        <w:footnoteReference w:id="228"/>
      </w:r>
      <w:r w:rsidRPr="00351298">
        <w:rPr>
          <w:rFonts w:ascii="Verdana" w:hAnsi="Verdana"/>
          <w:sz w:val="20"/>
          <w:szCs w:val="20"/>
        </w:rPr>
        <w:t>. Asimismo, el Tribunal ha señalado que, de las obligaciones generales de respetar y garantizar los derechos humanos establecidas en el artículo 1.1 de la Convención Americana, derivan deberes especiales determinables en función de las particulares necesidades de protección del sujeto de derecho, ya sea por su condición personal o por la situación específica en que se encuentre</w:t>
      </w:r>
      <w:r w:rsidRPr="7CDFE7CF">
        <w:rPr>
          <w:rStyle w:val="Refdenotaalpie"/>
          <w:rFonts w:ascii="Verdana" w:hAnsi="Verdana"/>
          <w:sz w:val="20"/>
        </w:rPr>
        <w:footnoteReference w:id="229"/>
      </w:r>
      <w:r w:rsidRPr="00351298">
        <w:rPr>
          <w:rFonts w:ascii="Verdana" w:hAnsi="Verdana"/>
          <w:sz w:val="20"/>
          <w:szCs w:val="20"/>
        </w:rPr>
        <w:t>. Bajo esta misma línea, en los supuestos de las personas que han sido privadas de su libertad, el Estado se encuentra en una posición especial de garante, toda vez que las autoridades penitenciarias ejercen un fuerte control o dominio sobre las personas que se encuentran sujetas a su custodia</w:t>
      </w:r>
      <w:r w:rsidRPr="7CDFE7CF">
        <w:rPr>
          <w:rStyle w:val="Refdenotaalpie"/>
          <w:rFonts w:ascii="Verdana" w:hAnsi="Verdana"/>
          <w:sz w:val="20"/>
        </w:rPr>
        <w:footnoteReference w:id="230"/>
      </w:r>
      <w:r w:rsidRPr="00351298">
        <w:rPr>
          <w:rFonts w:ascii="Verdana" w:hAnsi="Verdana"/>
          <w:sz w:val="20"/>
          <w:szCs w:val="20"/>
        </w:rPr>
        <w:t>.</w:t>
      </w:r>
    </w:p>
    <w:p w14:paraId="484AEF6F" w14:textId="37F1B563" w:rsidR="0024521F" w:rsidRPr="00F31F8B" w:rsidRDefault="16604426" w:rsidP="0024521F">
      <w:pPr>
        <w:numPr>
          <w:ilvl w:val="0"/>
          <w:numId w:val="2"/>
        </w:numPr>
        <w:spacing w:before="120" w:after="120"/>
        <w:ind w:left="0" w:firstLine="0"/>
        <w:jc w:val="both"/>
        <w:rPr>
          <w:rFonts w:ascii="Verdana" w:hAnsi="Verdana"/>
          <w:sz w:val="20"/>
          <w:szCs w:val="20"/>
        </w:rPr>
      </w:pPr>
      <w:r w:rsidRPr="1D64B15C">
        <w:rPr>
          <w:rFonts w:ascii="Verdana" w:hAnsi="Verdana"/>
          <w:sz w:val="20"/>
          <w:szCs w:val="20"/>
        </w:rPr>
        <w:lastRenderedPageBreak/>
        <w:t>Así,</w:t>
      </w:r>
      <w:r w:rsidR="002E1C95">
        <w:rPr>
          <w:rFonts w:ascii="Verdana" w:hAnsi="Verdana"/>
          <w:sz w:val="20"/>
          <w:szCs w:val="20"/>
        </w:rPr>
        <w:t xml:space="preserve"> </w:t>
      </w:r>
      <w:r w:rsidRPr="1D64B15C">
        <w:rPr>
          <w:rFonts w:ascii="Verdana" w:hAnsi="Verdana"/>
          <w:sz w:val="20"/>
          <w:szCs w:val="20"/>
        </w:rPr>
        <w:t xml:space="preserve">se ha considerado que siempre que una persona es privada de la libertad en un estado de salud normal y posteriormente aparece con afectaciones a su salud, corresponde al Estado proveer una explicación satisfactoria y convincente de esa situación y desvirtuar las alegaciones sobre su responsabilidad, mediante elementos probatorios adecuados. La Corte ha considerado que la falta de tal explicación </w:t>
      </w:r>
      <w:r w:rsidR="4DD2A8B8" w:rsidRPr="1D64B15C">
        <w:rPr>
          <w:rFonts w:ascii="Verdana" w:hAnsi="Verdana"/>
          <w:sz w:val="20"/>
          <w:szCs w:val="20"/>
        </w:rPr>
        <w:t xml:space="preserve">implica </w:t>
      </w:r>
      <w:r w:rsidRPr="1D64B15C">
        <w:rPr>
          <w:rFonts w:ascii="Verdana" w:hAnsi="Verdana"/>
          <w:sz w:val="20"/>
          <w:szCs w:val="20"/>
        </w:rPr>
        <w:t>la presunción de responsabilidad estatal por tales lesiones</w:t>
      </w:r>
      <w:r w:rsidR="002E1C95" w:rsidRPr="7CDFE7CF">
        <w:rPr>
          <w:rStyle w:val="Refdenotaalpie"/>
          <w:rFonts w:ascii="Verdana" w:hAnsi="Verdana"/>
          <w:sz w:val="20"/>
        </w:rPr>
        <w:footnoteReference w:id="231"/>
      </w:r>
      <w:r w:rsidRPr="1D64B15C">
        <w:rPr>
          <w:rFonts w:ascii="Verdana" w:hAnsi="Verdana"/>
          <w:sz w:val="20"/>
          <w:szCs w:val="20"/>
        </w:rPr>
        <w:t>.</w:t>
      </w:r>
    </w:p>
    <w:p w14:paraId="01E7C010" w14:textId="1C053EC4" w:rsidR="006158E2" w:rsidRPr="00F31F8B" w:rsidRDefault="006158E2" w:rsidP="00B87829">
      <w:pPr>
        <w:numPr>
          <w:ilvl w:val="0"/>
          <w:numId w:val="2"/>
        </w:numPr>
        <w:spacing w:before="120" w:after="120"/>
        <w:ind w:left="0" w:firstLine="0"/>
        <w:jc w:val="both"/>
        <w:rPr>
          <w:rFonts w:ascii="Verdana" w:hAnsi="Verdana"/>
          <w:sz w:val="20"/>
          <w:szCs w:val="20"/>
          <w:lang w:val="es-ES_tradnl"/>
        </w:rPr>
      </w:pPr>
      <w:r w:rsidRPr="00F31F8B">
        <w:rPr>
          <w:rFonts w:ascii="Verdana" w:hAnsi="Verdana"/>
          <w:sz w:val="20"/>
          <w:szCs w:val="20"/>
          <w:lang w:val="es-ES_tradnl"/>
        </w:rPr>
        <w:t xml:space="preserve">En este punto corresponde recordar </w:t>
      </w:r>
      <w:r w:rsidR="005F1FD4" w:rsidRPr="00F31F8B">
        <w:rPr>
          <w:rFonts w:ascii="Verdana" w:hAnsi="Verdana"/>
          <w:sz w:val="20"/>
          <w:szCs w:val="20"/>
          <w:lang w:val="es-ES_tradnl"/>
        </w:rPr>
        <w:t>que,</w:t>
      </w:r>
      <w:r w:rsidRPr="00F31F8B">
        <w:rPr>
          <w:rFonts w:ascii="Verdana" w:hAnsi="Verdana"/>
          <w:sz w:val="20"/>
          <w:szCs w:val="20"/>
          <w:lang w:val="es-ES_tradnl"/>
        </w:rPr>
        <w:t xml:space="preserve"> desde sus primeras declaraciones en el año 2002, Reyes Alpízar Ortiz denunció haber sido sometido a </w:t>
      </w:r>
      <w:r w:rsidR="00FC16F3" w:rsidRPr="00F31F8B">
        <w:rPr>
          <w:rFonts w:ascii="Verdana" w:hAnsi="Verdana"/>
          <w:sz w:val="20"/>
          <w:szCs w:val="20"/>
          <w:lang w:val="es-ES_tradnl"/>
        </w:rPr>
        <w:t xml:space="preserve">malos tratos severos para obtener su confesión por su </w:t>
      </w:r>
      <w:r w:rsidR="002E1C95">
        <w:rPr>
          <w:rFonts w:ascii="Verdana" w:hAnsi="Verdana"/>
          <w:sz w:val="20"/>
          <w:szCs w:val="20"/>
          <w:lang w:val="es-ES_tradnl"/>
        </w:rPr>
        <w:t xml:space="preserve">alegada </w:t>
      </w:r>
      <w:r w:rsidR="00FC16F3" w:rsidRPr="00F31F8B">
        <w:rPr>
          <w:rFonts w:ascii="Verdana" w:hAnsi="Verdana"/>
          <w:sz w:val="20"/>
          <w:szCs w:val="20"/>
          <w:lang w:val="es-ES_tradnl"/>
        </w:rPr>
        <w:t>participación en el homicidio de María de los Ángeles Tamés Pérez</w:t>
      </w:r>
      <w:r w:rsidRPr="00F31F8B">
        <w:rPr>
          <w:rFonts w:ascii="Verdana" w:hAnsi="Verdana"/>
          <w:sz w:val="20"/>
          <w:szCs w:val="20"/>
          <w:lang w:val="es-ES_tradnl"/>
        </w:rPr>
        <w:t>. De ese modo, ante esta Corte, declaró que:</w:t>
      </w:r>
    </w:p>
    <w:p w14:paraId="5FA9FAEF" w14:textId="4EC8644A" w:rsidR="006158E2" w:rsidRPr="00F31F8B" w:rsidRDefault="001C5F21" w:rsidP="005F1FD4">
      <w:pPr>
        <w:spacing w:before="120" w:after="120"/>
        <w:ind w:left="567" w:right="616"/>
        <w:jc w:val="both"/>
        <w:rPr>
          <w:rFonts w:ascii="Verdana" w:hAnsi="Verdana"/>
          <w:sz w:val="18"/>
          <w:szCs w:val="18"/>
          <w:lang w:val="es-ES_tradnl"/>
        </w:rPr>
      </w:pPr>
      <w:r>
        <w:rPr>
          <w:rFonts w:ascii="Verdana" w:hAnsi="Verdana"/>
          <w:sz w:val="18"/>
          <w:szCs w:val="18"/>
          <w:lang w:val="es-ES_tradnl"/>
        </w:rPr>
        <w:t xml:space="preserve">[…] </w:t>
      </w:r>
      <w:r w:rsidR="006158E2" w:rsidRPr="00F31F8B">
        <w:rPr>
          <w:rFonts w:ascii="Verdana" w:hAnsi="Verdana"/>
          <w:sz w:val="18"/>
          <w:szCs w:val="18"/>
          <w:lang w:val="es-ES_tradnl"/>
        </w:rPr>
        <w:t>cuando me llevaron a la Subprocuraduría me pusieron las vendas en las manos, me tiraron al suelo, me daban pata</w:t>
      </w:r>
      <w:r w:rsidR="00DC2E04" w:rsidRPr="00F31F8B">
        <w:rPr>
          <w:rFonts w:ascii="Verdana" w:hAnsi="Verdana"/>
          <w:sz w:val="18"/>
          <w:szCs w:val="18"/>
          <w:lang w:val="es-ES_tradnl"/>
        </w:rPr>
        <w:t>[da]</w:t>
      </w:r>
      <w:r w:rsidR="006158E2" w:rsidRPr="00F31F8B">
        <w:rPr>
          <w:rFonts w:ascii="Verdana" w:hAnsi="Verdana"/>
          <w:sz w:val="18"/>
          <w:szCs w:val="18"/>
          <w:lang w:val="es-ES_tradnl"/>
        </w:rPr>
        <w:t>s y me echaron agua por la boca y la nariz, me golpeaban con las manos y por todo el cuerpo, me hacían la licuadora (me movían la cabeza en círculos y me jalaban el pelo), me seguían preguntando dónde estaba Jaime (es la persona que dijeron que accionó el arma en contra de la regidora), yo no podía contestar porque tenía la boca llena de toallas femeninas.</w:t>
      </w:r>
    </w:p>
    <w:p w14:paraId="0B073921" w14:textId="58FEAF5D" w:rsidR="006158E2" w:rsidRPr="00F31F8B" w:rsidRDefault="006158E2" w:rsidP="005F1FD4">
      <w:pPr>
        <w:spacing w:before="120" w:after="120"/>
        <w:ind w:left="567" w:right="616"/>
        <w:jc w:val="both"/>
        <w:rPr>
          <w:rFonts w:ascii="Verdana" w:hAnsi="Verdana"/>
          <w:sz w:val="18"/>
          <w:szCs w:val="18"/>
          <w:lang w:val="es-ES_tradnl"/>
        </w:rPr>
      </w:pPr>
      <w:r w:rsidRPr="00F31F8B">
        <w:rPr>
          <w:rFonts w:ascii="Verdana" w:hAnsi="Verdana"/>
          <w:sz w:val="18"/>
          <w:szCs w:val="18"/>
          <w:lang w:val="es-ES_tradnl"/>
        </w:rPr>
        <w:t>Me tenían atado de las manos, me empezaron a vendar el cuerpo y los ojos y solo me dejaban destapada la nariz y la boca, y me decían ¿dónde estaba Jaime?, yo no podía hablar, me pegaban en el estómago para sacarme el aire y al mismo tiempo me echaban agua en la boca. […]</w:t>
      </w:r>
    </w:p>
    <w:p w14:paraId="3961C8D9" w14:textId="7BAD4CE1" w:rsidR="006158E2" w:rsidRPr="00F31F8B" w:rsidRDefault="006158E2" w:rsidP="005F1FD4">
      <w:pPr>
        <w:spacing w:before="120" w:after="120"/>
        <w:ind w:left="567" w:right="616"/>
        <w:jc w:val="both"/>
        <w:rPr>
          <w:rFonts w:ascii="Verdana" w:hAnsi="Verdana"/>
          <w:sz w:val="18"/>
          <w:szCs w:val="18"/>
          <w:lang w:val="es-ES_tradnl"/>
        </w:rPr>
      </w:pPr>
      <w:r w:rsidRPr="00F31F8B">
        <w:rPr>
          <w:rFonts w:ascii="Verdana" w:hAnsi="Verdana"/>
          <w:sz w:val="18"/>
          <w:szCs w:val="18"/>
          <w:lang w:val="es-ES_tradnl"/>
        </w:rPr>
        <w:t>También me pegaban en forma de cazuelita así como con la mano medio en forma de concha- en los oídos y en los ojos, también con la picana y me la metían en todos lados y me daban toques, cuando se le acababa la corriente me daban patadas, y más golpes […] experimenté una sensación de separación de mi cuerpo, me oriné y me hice del baño, yo veía mi cuerpo de afuera mientras me golpeaban.</w:t>
      </w:r>
    </w:p>
    <w:p w14:paraId="13284157" w14:textId="0E7A4794" w:rsidR="006158E2" w:rsidRPr="00F31F8B" w:rsidRDefault="006158E2" w:rsidP="005F1FD4">
      <w:pPr>
        <w:spacing w:before="120" w:after="120"/>
        <w:ind w:left="567" w:right="616"/>
        <w:jc w:val="both"/>
        <w:rPr>
          <w:rFonts w:ascii="Verdana" w:hAnsi="Verdana"/>
          <w:sz w:val="18"/>
          <w:szCs w:val="18"/>
          <w:lang w:val="es-ES_tradnl"/>
        </w:rPr>
      </w:pPr>
      <w:r w:rsidRPr="00F31F8B">
        <w:rPr>
          <w:rFonts w:ascii="Verdana" w:hAnsi="Verdana"/>
          <w:sz w:val="18"/>
          <w:szCs w:val="18"/>
          <w:lang w:val="es-ES_tradnl"/>
        </w:rPr>
        <w:t>Me pisaban, pateaban, como si fuera un animal y me subían mucho los brazos para que recuperara el aire y me pudieran seguir golpeando</w:t>
      </w:r>
      <w:r w:rsidR="00FC16F3" w:rsidRPr="00F31F8B">
        <w:rPr>
          <w:rStyle w:val="Refdenotaalpie"/>
          <w:rFonts w:ascii="Verdana" w:hAnsi="Verdana"/>
          <w:sz w:val="18"/>
          <w:lang w:val="es-ES_tradnl"/>
        </w:rPr>
        <w:footnoteReference w:id="232"/>
      </w:r>
      <w:r w:rsidRPr="00F31F8B">
        <w:rPr>
          <w:rFonts w:ascii="Verdana" w:hAnsi="Verdana"/>
          <w:sz w:val="18"/>
          <w:szCs w:val="18"/>
          <w:lang w:val="es-ES_tradnl"/>
        </w:rPr>
        <w:t>.</w:t>
      </w:r>
    </w:p>
    <w:p w14:paraId="6166DDDC" w14:textId="445689A0" w:rsidR="006F4A2E" w:rsidRPr="00351298" w:rsidRDefault="7C6E5426" w:rsidP="1D64B15C">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En lo que se refiere a los exámenes médicos o psicológicos que le fueron practicados</w:t>
      </w:r>
      <w:r w:rsidR="16604426" w:rsidRPr="1D64B15C">
        <w:rPr>
          <w:rFonts w:ascii="Verdana" w:hAnsi="Verdana"/>
          <w:sz w:val="20"/>
          <w:szCs w:val="20"/>
          <w:lang w:val="es-ES"/>
        </w:rPr>
        <w:t xml:space="preserve"> a Reyes Alpízar</w:t>
      </w:r>
      <w:r w:rsidRPr="1D64B15C">
        <w:rPr>
          <w:rFonts w:ascii="Verdana" w:hAnsi="Verdana"/>
          <w:sz w:val="20"/>
          <w:szCs w:val="20"/>
          <w:lang w:val="es-ES"/>
        </w:rPr>
        <w:t>, esta Corte advierte</w:t>
      </w:r>
      <w:r w:rsidR="16604426" w:rsidRPr="1D64B15C">
        <w:rPr>
          <w:rFonts w:ascii="Verdana" w:hAnsi="Verdana"/>
          <w:sz w:val="20"/>
          <w:szCs w:val="20"/>
          <w:lang w:val="es-ES"/>
        </w:rPr>
        <w:t xml:space="preserve"> </w:t>
      </w:r>
      <w:r w:rsidRPr="1D64B15C">
        <w:rPr>
          <w:rFonts w:ascii="Verdana" w:hAnsi="Verdana"/>
          <w:sz w:val="20"/>
          <w:szCs w:val="20"/>
          <w:lang w:val="es-ES"/>
        </w:rPr>
        <w:t>lo siguiente: a) el 25 de octubre de 2002 fue examinado por primera vez, luego de que hubiese sido detenido. En esa oportunidad, se encontraron una serie de lesiones y hematomas “que por su naturaleza no ponen en peligro la vida, tardan en sanar menos de quince días, no ameritan hospital”</w:t>
      </w:r>
      <w:r w:rsidR="00A93DE4">
        <w:rPr>
          <w:rFonts w:ascii="Verdana" w:hAnsi="Verdana"/>
          <w:sz w:val="20"/>
          <w:szCs w:val="20"/>
          <w:lang w:val="es-ES"/>
        </w:rPr>
        <w:t xml:space="preserve"> (</w:t>
      </w:r>
      <w:r w:rsidR="00A93DE4" w:rsidRPr="00A93DE4">
        <w:rPr>
          <w:rFonts w:ascii="Verdana" w:hAnsi="Verdana"/>
          <w:i/>
          <w:iCs/>
          <w:sz w:val="20"/>
          <w:szCs w:val="20"/>
          <w:lang w:val="es-ES"/>
        </w:rPr>
        <w:t>supra</w:t>
      </w:r>
      <w:r w:rsidR="00A93DE4">
        <w:rPr>
          <w:rFonts w:ascii="Verdana" w:hAnsi="Verdana"/>
          <w:sz w:val="20"/>
          <w:szCs w:val="20"/>
          <w:lang w:val="es-ES"/>
        </w:rPr>
        <w:t xml:space="preserve"> párr. 90)</w:t>
      </w:r>
      <w:r w:rsidRPr="1D64B15C">
        <w:rPr>
          <w:rFonts w:ascii="Verdana" w:hAnsi="Verdana"/>
          <w:sz w:val="20"/>
          <w:szCs w:val="20"/>
          <w:lang w:val="es-ES"/>
        </w:rPr>
        <w:t xml:space="preserve">; b) en el examen médico que le fue practicado el 26 de octubre de 2002, se llegó a las mismas conclusiones; c) el día 28 de octubre de 2002 le fueron practicados tres exámenes médicos. </w:t>
      </w:r>
      <w:r w:rsidR="006F7096" w:rsidRPr="1D64B15C">
        <w:rPr>
          <w:rFonts w:ascii="Verdana" w:hAnsi="Verdana"/>
          <w:sz w:val="20"/>
          <w:szCs w:val="20"/>
          <w:lang w:val="es-ES"/>
        </w:rPr>
        <w:t>El primero de ello</w:t>
      </w:r>
      <w:r w:rsidR="006F7096">
        <w:rPr>
          <w:rFonts w:ascii="Verdana" w:hAnsi="Verdana"/>
          <w:sz w:val="20"/>
          <w:szCs w:val="20"/>
          <w:lang w:val="es-ES"/>
        </w:rPr>
        <w:t>s</w:t>
      </w:r>
      <w:r w:rsidR="006F7096" w:rsidRPr="1D64B15C">
        <w:rPr>
          <w:rFonts w:ascii="Verdana" w:hAnsi="Verdana"/>
          <w:sz w:val="20"/>
          <w:szCs w:val="20"/>
          <w:lang w:val="es-ES"/>
        </w:rPr>
        <w:t xml:space="preserve"> reveló que se constataron diversas lesiones “no recientes”</w:t>
      </w:r>
      <w:r w:rsidR="006F7096">
        <w:rPr>
          <w:rFonts w:ascii="Verdana" w:hAnsi="Verdana"/>
          <w:sz w:val="20"/>
          <w:szCs w:val="20"/>
          <w:lang w:val="es-ES"/>
        </w:rPr>
        <w:t>,</w:t>
      </w:r>
      <w:r w:rsidR="006F7096" w:rsidRPr="1D64B15C">
        <w:rPr>
          <w:rFonts w:ascii="Verdana" w:hAnsi="Verdana"/>
          <w:sz w:val="20"/>
          <w:szCs w:val="20"/>
          <w:lang w:val="es-ES"/>
        </w:rPr>
        <w:t xml:space="preserve"> pero también se encontraron otras no registradas en exámenes anteriores. Sin embargo, el tercer examen médico llevado a cabo ese día por una médica distinta, destacó que las lesiones que refiere no son recientes; d) el día 30 de octubre de 2002 se practicó otro examen médico que reveló también lesiones no referidas anteriormente; e) el examen practicado el 28 de noviembre de 2002 reveló que si bien Reyes Alpízar hacía referencia a dolores en el tórax anterior, no tenía “lesiones corporales aparentes” ni presentaba “huellas de lesiones externas”, y f) el examen practicado el 4 de diciembre de 2002 arrojó resultados similares </w:t>
      </w:r>
      <w:r w:rsidR="006F7096">
        <w:rPr>
          <w:rFonts w:ascii="Verdana" w:hAnsi="Verdana"/>
          <w:sz w:val="20"/>
          <w:szCs w:val="20"/>
          <w:lang w:val="es-ES"/>
        </w:rPr>
        <w:t xml:space="preserve">a los del examen de 28 de noviembre </w:t>
      </w:r>
      <w:r w:rsidR="006F7096" w:rsidRPr="1D64B15C">
        <w:rPr>
          <w:rFonts w:ascii="Verdana" w:hAnsi="Verdana"/>
          <w:sz w:val="20"/>
          <w:szCs w:val="20"/>
          <w:lang w:val="es-ES"/>
        </w:rPr>
        <w:t>(</w:t>
      </w:r>
      <w:r w:rsidR="006F7096" w:rsidRPr="1D64B15C">
        <w:rPr>
          <w:rFonts w:ascii="Verdana" w:hAnsi="Verdana"/>
          <w:i/>
          <w:iCs/>
          <w:sz w:val="20"/>
          <w:szCs w:val="20"/>
          <w:lang w:val="es-ES"/>
        </w:rPr>
        <w:t>supra</w:t>
      </w:r>
      <w:r w:rsidR="006F7096" w:rsidRPr="1D64B15C">
        <w:rPr>
          <w:rFonts w:ascii="Verdana" w:hAnsi="Verdana"/>
          <w:sz w:val="20"/>
          <w:szCs w:val="20"/>
          <w:lang w:val="es-ES"/>
        </w:rPr>
        <w:t xml:space="preserve"> párrs. </w:t>
      </w:r>
      <w:r w:rsidR="006F7096">
        <w:rPr>
          <w:rFonts w:ascii="Verdana" w:hAnsi="Verdana"/>
          <w:sz w:val="20"/>
          <w:szCs w:val="20"/>
          <w:lang w:val="es-ES"/>
        </w:rPr>
        <w:t>90 y 91</w:t>
      </w:r>
      <w:r w:rsidR="006F7096" w:rsidRPr="1D64B15C">
        <w:rPr>
          <w:rFonts w:ascii="Verdana" w:hAnsi="Verdana"/>
          <w:sz w:val="20"/>
          <w:szCs w:val="20"/>
          <w:lang w:val="es-ES"/>
        </w:rPr>
        <w:t>)</w:t>
      </w:r>
      <w:r w:rsidR="25FB54A7" w:rsidRPr="1D64B15C">
        <w:rPr>
          <w:rFonts w:ascii="Verdana" w:hAnsi="Verdana"/>
          <w:sz w:val="20"/>
          <w:szCs w:val="20"/>
          <w:lang w:val="es-ES"/>
        </w:rPr>
        <w:t>.</w:t>
      </w:r>
    </w:p>
    <w:p w14:paraId="41F75033" w14:textId="792FF107" w:rsidR="00A02772" w:rsidRPr="00351298" w:rsidRDefault="006F4A2E" w:rsidP="00B87829">
      <w:pPr>
        <w:numPr>
          <w:ilvl w:val="0"/>
          <w:numId w:val="2"/>
        </w:numPr>
        <w:spacing w:before="120" w:after="120"/>
        <w:ind w:left="0" w:firstLine="0"/>
        <w:jc w:val="both"/>
        <w:rPr>
          <w:rFonts w:ascii="Verdana" w:hAnsi="Verdana"/>
          <w:sz w:val="20"/>
          <w:szCs w:val="20"/>
          <w:lang w:val="es-ES_tradnl"/>
        </w:rPr>
      </w:pPr>
      <w:r w:rsidRPr="00351298">
        <w:rPr>
          <w:rFonts w:ascii="Verdana" w:hAnsi="Verdana"/>
          <w:sz w:val="20"/>
          <w:szCs w:val="20"/>
          <w:lang w:val="es-ES_tradnl"/>
        </w:rPr>
        <w:t xml:space="preserve"> Del mismo modo, este Tribunal nota que unos años más tarde, en un informe de 7 de noviembre de 2007 por parte de un perito médico, </w:t>
      </w:r>
      <w:r w:rsidR="002E1C95">
        <w:rPr>
          <w:rFonts w:ascii="Verdana" w:hAnsi="Verdana"/>
          <w:sz w:val="20"/>
          <w:szCs w:val="20"/>
          <w:lang w:val="es-ES_tradnl"/>
        </w:rPr>
        <w:t xml:space="preserve">se indica </w:t>
      </w:r>
      <w:r w:rsidRPr="00351298">
        <w:rPr>
          <w:rFonts w:ascii="Verdana" w:hAnsi="Verdana"/>
          <w:sz w:val="20"/>
          <w:szCs w:val="20"/>
          <w:lang w:val="es-ES_tradnl"/>
        </w:rPr>
        <w:t xml:space="preserve">que Reyes Alpízar había sido víctima de tortura y existía “una firme relación de las evidencias físicas y psicológicas que se correlacionan con lo referido por el examinado, que demuestran que, las lesiones que presenta Reyes </w:t>
      </w:r>
      <w:r w:rsidR="007F4A7E" w:rsidRPr="00351298">
        <w:rPr>
          <w:rFonts w:ascii="Verdana" w:hAnsi="Verdana"/>
          <w:sz w:val="20"/>
          <w:szCs w:val="20"/>
          <w:lang w:val="es-ES_tradnl"/>
        </w:rPr>
        <w:t>Alpízar</w:t>
      </w:r>
      <w:r w:rsidRPr="00351298">
        <w:rPr>
          <w:rFonts w:ascii="Verdana" w:hAnsi="Verdana"/>
          <w:sz w:val="20"/>
          <w:szCs w:val="20"/>
          <w:lang w:val="es-ES_tradnl"/>
        </w:rPr>
        <w:t xml:space="preserve"> </w:t>
      </w:r>
      <w:r w:rsidRPr="00351298">
        <w:rPr>
          <w:rFonts w:ascii="Verdana" w:hAnsi="Verdana"/>
          <w:sz w:val="20"/>
          <w:szCs w:val="20"/>
          <w:lang w:val="es-ES_tradnl"/>
        </w:rPr>
        <w:lastRenderedPageBreak/>
        <w:t xml:space="preserve">Ortiz fueron causadas por los traumatismos descritos por él y que fue objeto de severas presiones psicológicas”. El perito constató que existe una serie de lesiones que se debieron presentar y que no se consignaron o fueron minimizadas, y cuyas secuelas persisten, y refiere irregularidades en los informes, </w:t>
      </w:r>
      <w:r w:rsidR="006F7096" w:rsidRPr="00351298">
        <w:rPr>
          <w:rFonts w:ascii="Verdana" w:hAnsi="Verdana"/>
          <w:sz w:val="20"/>
          <w:szCs w:val="20"/>
          <w:lang w:val="es-ES_tradnl"/>
        </w:rPr>
        <w:t>incluyendo un ingreso hospitalario de urgencia el 29 de octubre de 2002, no registrado (</w:t>
      </w:r>
      <w:r w:rsidR="006F7096" w:rsidRPr="00351298">
        <w:rPr>
          <w:rFonts w:ascii="Verdana" w:hAnsi="Verdana"/>
          <w:i/>
          <w:iCs/>
          <w:sz w:val="20"/>
          <w:szCs w:val="20"/>
          <w:lang w:val="es-ES_tradnl"/>
        </w:rPr>
        <w:t>supra</w:t>
      </w:r>
      <w:r w:rsidR="006F7096" w:rsidRPr="00351298">
        <w:rPr>
          <w:rFonts w:ascii="Verdana" w:hAnsi="Verdana"/>
          <w:sz w:val="20"/>
          <w:szCs w:val="20"/>
          <w:lang w:val="es-ES_tradnl"/>
        </w:rPr>
        <w:t xml:space="preserve"> párr. </w:t>
      </w:r>
      <w:r w:rsidR="006F7096">
        <w:rPr>
          <w:rFonts w:ascii="Verdana" w:hAnsi="Verdana"/>
          <w:sz w:val="20"/>
          <w:szCs w:val="20"/>
          <w:lang w:val="es-ES_tradnl"/>
        </w:rPr>
        <w:t>92</w:t>
      </w:r>
      <w:r w:rsidR="006F7096" w:rsidRPr="00351298">
        <w:rPr>
          <w:rFonts w:ascii="Verdana" w:hAnsi="Verdana"/>
          <w:sz w:val="20"/>
          <w:szCs w:val="20"/>
          <w:lang w:val="es-ES_tradnl"/>
        </w:rPr>
        <w:t>)</w:t>
      </w:r>
      <w:r w:rsidRPr="00351298">
        <w:rPr>
          <w:rFonts w:ascii="Verdana" w:hAnsi="Verdana"/>
          <w:sz w:val="20"/>
          <w:szCs w:val="20"/>
          <w:lang w:val="es-ES_tradnl"/>
        </w:rPr>
        <w:t>.</w:t>
      </w:r>
    </w:p>
    <w:p w14:paraId="6014EDA4" w14:textId="56E35599" w:rsidR="00D42BFB" w:rsidRPr="00351298" w:rsidRDefault="00D42BFB" w:rsidP="00D42BFB">
      <w:pPr>
        <w:numPr>
          <w:ilvl w:val="0"/>
          <w:numId w:val="2"/>
        </w:numPr>
        <w:spacing w:before="120" w:after="120"/>
        <w:ind w:left="0" w:firstLine="0"/>
        <w:jc w:val="both"/>
        <w:rPr>
          <w:rFonts w:ascii="Verdana" w:hAnsi="Verdana"/>
          <w:sz w:val="20"/>
          <w:szCs w:val="20"/>
          <w:lang w:val="es-ES_tradnl"/>
        </w:rPr>
      </w:pPr>
      <w:r w:rsidRPr="00351298">
        <w:rPr>
          <w:rFonts w:ascii="Verdana" w:hAnsi="Verdana"/>
          <w:sz w:val="20"/>
          <w:szCs w:val="20"/>
          <w:lang w:val="es-ES_tradnl"/>
        </w:rPr>
        <w:t>Por otra parte, la CODHEM practicó un examen médico a Reyes Alpízar el 11 de diciembre de 2007 y concluyó que “desde el punto de vista médico forense no existen elementos técnicos ni médicos que nos permitan acreditar o descartar lo referido por el agraviado”</w:t>
      </w:r>
      <w:r w:rsidR="002E1C95">
        <w:rPr>
          <w:rFonts w:ascii="Verdana" w:hAnsi="Verdana"/>
          <w:sz w:val="20"/>
          <w:szCs w:val="20"/>
          <w:lang w:val="es-ES_tradnl"/>
        </w:rPr>
        <w:t xml:space="preserve"> </w:t>
      </w:r>
      <w:r w:rsidR="002E1C95" w:rsidRPr="00351298">
        <w:rPr>
          <w:rFonts w:ascii="Verdana" w:hAnsi="Verdana"/>
          <w:sz w:val="20"/>
          <w:szCs w:val="20"/>
          <w:lang w:val="es-ES_tradnl"/>
        </w:rPr>
        <w:t>(</w:t>
      </w:r>
      <w:r w:rsidR="002E1C95" w:rsidRPr="00351298">
        <w:rPr>
          <w:rFonts w:ascii="Verdana" w:hAnsi="Verdana"/>
          <w:i/>
          <w:iCs/>
          <w:sz w:val="20"/>
          <w:szCs w:val="20"/>
          <w:lang w:val="es-ES_tradnl"/>
        </w:rPr>
        <w:t>supra</w:t>
      </w:r>
      <w:r w:rsidR="002E1C95" w:rsidRPr="00351298">
        <w:rPr>
          <w:rFonts w:ascii="Verdana" w:hAnsi="Verdana"/>
          <w:sz w:val="20"/>
          <w:szCs w:val="20"/>
          <w:lang w:val="es-ES_tradnl"/>
        </w:rPr>
        <w:t xml:space="preserve"> párrs. </w:t>
      </w:r>
      <w:r w:rsidR="00556ED7">
        <w:rPr>
          <w:rFonts w:ascii="Verdana" w:hAnsi="Verdana"/>
          <w:sz w:val="20"/>
          <w:szCs w:val="20"/>
          <w:lang w:val="es-ES_tradnl"/>
        </w:rPr>
        <w:t>94</w:t>
      </w:r>
      <w:r w:rsidR="002E1C95" w:rsidRPr="00351298">
        <w:rPr>
          <w:rFonts w:ascii="Verdana" w:hAnsi="Verdana"/>
          <w:sz w:val="20"/>
          <w:szCs w:val="20"/>
          <w:lang w:val="es-ES_tradnl"/>
        </w:rPr>
        <w:t>)</w:t>
      </w:r>
      <w:r w:rsidRPr="00351298">
        <w:rPr>
          <w:rFonts w:ascii="Verdana" w:hAnsi="Verdana"/>
          <w:sz w:val="20"/>
          <w:szCs w:val="20"/>
          <w:lang w:val="es-ES_tradnl"/>
        </w:rPr>
        <w:t>.</w:t>
      </w:r>
    </w:p>
    <w:p w14:paraId="4576DD70" w14:textId="04F459CB" w:rsidR="00D42BFB" w:rsidRPr="00351298" w:rsidRDefault="006F7096" w:rsidP="00D42BFB">
      <w:pPr>
        <w:numPr>
          <w:ilvl w:val="0"/>
          <w:numId w:val="2"/>
        </w:numPr>
        <w:spacing w:before="120" w:after="120"/>
        <w:ind w:left="0" w:firstLine="0"/>
        <w:jc w:val="both"/>
        <w:rPr>
          <w:rFonts w:ascii="Verdana" w:hAnsi="Verdana"/>
          <w:sz w:val="20"/>
          <w:szCs w:val="20"/>
          <w:lang w:val="es-ES_tradnl"/>
        </w:rPr>
      </w:pPr>
      <w:r w:rsidRPr="00351298">
        <w:rPr>
          <w:rFonts w:ascii="Verdana" w:hAnsi="Verdana"/>
          <w:sz w:val="20"/>
          <w:szCs w:val="20"/>
          <w:lang w:val="es-ES_tradnl"/>
        </w:rPr>
        <w:t>Asimismo, en una pericia médica de 8 de mayo de 2008 llevad</w:t>
      </w:r>
      <w:r>
        <w:rPr>
          <w:rFonts w:ascii="Verdana" w:hAnsi="Verdana"/>
          <w:sz w:val="20"/>
          <w:szCs w:val="20"/>
          <w:lang w:val="es-ES_tradnl"/>
        </w:rPr>
        <w:t>a</w:t>
      </w:r>
      <w:r w:rsidRPr="00351298">
        <w:rPr>
          <w:rFonts w:ascii="Verdana" w:hAnsi="Verdana"/>
          <w:sz w:val="20"/>
          <w:szCs w:val="20"/>
          <w:lang w:val="es-ES_tradnl"/>
        </w:rPr>
        <w:t xml:space="preserve"> a cabo por la perita médico de la Subprocuraduría de Tlalnepantla, que había inspeccionado a Reyes Alpízar en su arraigo, contrastó las alegaciones con certificados médicos emitidos durante el arresto y arraigo y un examen físico de febrero del año 2008 y concluyó que Reyes Alpízar contaba con lesiones “desde el momento de su detención y durante su arraigo. Desapareciendo dichas lesiones a partir del siete de noviembre”. Del mismo modo, dos psicólogas de la PGJEM concluyeron que “no se detectaron en Reyes Alpízar Ortiz signos o síntomas de estrés postraumático o depresión, o de alguna alteración psicológica característica de los casos de tortura” (</w:t>
      </w:r>
      <w:r w:rsidRPr="00351298">
        <w:rPr>
          <w:rFonts w:ascii="Verdana" w:hAnsi="Verdana"/>
          <w:i/>
          <w:iCs/>
          <w:sz w:val="20"/>
          <w:szCs w:val="20"/>
          <w:lang w:val="es-ES_tradnl"/>
        </w:rPr>
        <w:t>supra</w:t>
      </w:r>
      <w:r w:rsidRPr="00351298">
        <w:rPr>
          <w:rFonts w:ascii="Verdana" w:hAnsi="Verdana"/>
          <w:sz w:val="20"/>
          <w:szCs w:val="20"/>
          <w:lang w:val="es-ES_tradnl"/>
        </w:rPr>
        <w:t xml:space="preserve"> párr. </w:t>
      </w:r>
      <w:r>
        <w:rPr>
          <w:rFonts w:ascii="Verdana" w:hAnsi="Verdana"/>
          <w:sz w:val="20"/>
          <w:szCs w:val="20"/>
          <w:lang w:val="es-ES_tradnl"/>
        </w:rPr>
        <w:t>93</w:t>
      </w:r>
      <w:r w:rsidRPr="00351298">
        <w:rPr>
          <w:rFonts w:ascii="Verdana" w:hAnsi="Verdana"/>
          <w:sz w:val="20"/>
          <w:szCs w:val="20"/>
          <w:lang w:val="es-ES_tradnl"/>
        </w:rPr>
        <w:t>)</w:t>
      </w:r>
      <w:r w:rsidR="00D42BFB" w:rsidRPr="00351298">
        <w:rPr>
          <w:rFonts w:ascii="Verdana" w:hAnsi="Verdana"/>
          <w:sz w:val="20"/>
          <w:szCs w:val="20"/>
          <w:lang w:val="es-ES_tradnl"/>
        </w:rPr>
        <w:t>.</w:t>
      </w:r>
    </w:p>
    <w:p w14:paraId="43F5F6B1" w14:textId="49C50FCA" w:rsidR="000D5E4F" w:rsidRPr="00F31F8B" w:rsidRDefault="00D42BFB" w:rsidP="000D5E4F">
      <w:pPr>
        <w:numPr>
          <w:ilvl w:val="0"/>
          <w:numId w:val="2"/>
        </w:numPr>
        <w:spacing w:before="120" w:after="120"/>
        <w:ind w:left="0" w:firstLine="0"/>
        <w:jc w:val="both"/>
        <w:rPr>
          <w:rFonts w:ascii="Verdana" w:hAnsi="Verdana"/>
          <w:sz w:val="20"/>
          <w:szCs w:val="20"/>
          <w:lang w:val="es-ES_tradnl"/>
        </w:rPr>
      </w:pPr>
      <w:r w:rsidRPr="00351298">
        <w:rPr>
          <w:rFonts w:ascii="Verdana" w:hAnsi="Verdana"/>
          <w:sz w:val="20"/>
          <w:szCs w:val="20"/>
          <w:lang w:val="es-ES_tradnl"/>
        </w:rPr>
        <w:t xml:space="preserve">Frente a esas contradicciones, el 5 de junio de 2008, el </w:t>
      </w:r>
      <w:r w:rsidR="00F76148" w:rsidRPr="00F76148">
        <w:rPr>
          <w:rFonts w:ascii="Verdana" w:hAnsi="Verdana"/>
          <w:sz w:val="20"/>
          <w:szCs w:val="20"/>
          <w:lang w:val="es-ES_tradnl"/>
        </w:rPr>
        <w:t>Juzgado Quinto Penal de Primera Instancia</w:t>
      </w:r>
      <w:r w:rsidR="00F76148" w:rsidRPr="00351298">
        <w:rPr>
          <w:rFonts w:ascii="Verdana" w:hAnsi="Verdana"/>
          <w:sz w:val="20"/>
          <w:szCs w:val="20"/>
          <w:lang w:val="es-ES_tradnl"/>
        </w:rPr>
        <w:t xml:space="preserve"> </w:t>
      </w:r>
      <w:r w:rsidRPr="00351298">
        <w:rPr>
          <w:rFonts w:ascii="Verdana" w:hAnsi="Verdana"/>
          <w:sz w:val="20"/>
          <w:szCs w:val="20"/>
          <w:lang w:val="es-ES_tradnl"/>
        </w:rPr>
        <w:t xml:space="preserve">ordenó la designación de peritos terceros en discordia. </w:t>
      </w:r>
      <w:r w:rsidR="000D5E4F" w:rsidRPr="00351298">
        <w:rPr>
          <w:rFonts w:ascii="Verdana" w:hAnsi="Verdana"/>
          <w:sz w:val="20"/>
          <w:szCs w:val="20"/>
          <w:lang w:val="es-ES_tradnl"/>
        </w:rPr>
        <w:t xml:space="preserve">En cumplimiento de lo anterior, dos psicólogas examinaron a Reyes Alpízar. El examen de la primera perita psicóloga concluyó que Reyes Alpízar presentaba “signos y síntomas propios del trastorno de estrés postraumático (TEPT), cambios duraderos de personalidad, depresión y angustia generalizadas. […las cuales] corresponden sin lugar a dudas con tratos y penas crueles e inhumanas propias de la tortura”. La segunda perita </w:t>
      </w:r>
      <w:r w:rsidR="0024521F" w:rsidRPr="00351298">
        <w:rPr>
          <w:rFonts w:ascii="Verdana" w:hAnsi="Verdana"/>
          <w:sz w:val="20"/>
          <w:szCs w:val="20"/>
          <w:lang w:val="es-ES_tradnl"/>
        </w:rPr>
        <w:t>p</w:t>
      </w:r>
      <w:r w:rsidR="000D5E4F" w:rsidRPr="00351298">
        <w:rPr>
          <w:rFonts w:ascii="Verdana" w:hAnsi="Verdana"/>
          <w:sz w:val="20"/>
          <w:szCs w:val="20"/>
          <w:lang w:val="es-ES_tradnl"/>
        </w:rPr>
        <w:t xml:space="preserve">sicóloga indicó que “presenta signos y </w:t>
      </w:r>
      <w:r w:rsidR="000D5E4F" w:rsidRPr="00F31F8B">
        <w:rPr>
          <w:rFonts w:ascii="Verdana" w:hAnsi="Verdana"/>
          <w:sz w:val="20"/>
          <w:szCs w:val="20"/>
          <w:lang w:val="es-ES_tradnl"/>
        </w:rPr>
        <w:t>síntomas del trastorno de estrés postraumático de tipo tortura”</w:t>
      </w:r>
      <w:r w:rsidR="00556ED7">
        <w:rPr>
          <w:rFonts w:ascii="Verdana" w:hAnsi="Verdana"/>
          <w:sz w:val="20"/>
          <w:szCs w:val="20"/>
          <w:lang w:val="es-ES_tradnl"/>
        </w:rPr>
        <w:t xml:space="preserve">. </w:t>
      </w:r>
      <w:r w:rsidR="000D5E4F" w:rsidRPr="00F31F8B">
        <w:rPr>
          <w:rFonts w:ascii="Verdana" w:hAnsi="Verdana"/>
          <w:sz w:val="20"/>
          <w:szCs w:val="20"/>
          <w:lang w:val="es-ES_tradnl"/>
        </w:rPr>
        <w:t xml:space="preserve">Finalmente, el 17 de febrero de 2010, el perito tercero en discordia, indicó que no contaba con “elementos de tipo técnico científico que sustenten que en el cuerpo del señor Reyes </w:t>
      </w:r>
      <w:r w:rsidR="007F4A7E" w:rsidRPr="00F31F8B">
        <w:rPr>
          <w:rFonts w:ascii="Verdana" w:hAnsi="Verdana"/>
          <w:sz w:val="20"/>
          <w:szCs w:val="20"/>
          <w:lang w:val="es-ES_tradnl"/>
        </w:rPr>
        <w:t>Alpízar</w:t>
      </w:r>
      <w:r w:rsidR="000D5E4F" w:rsidRPr="00F31F8B">
        <w:rPr>
          <w:rFonts w:ascii="Verdana" w:hAnsi="Verdana"/>
          <w:sz w:val="20"/>
          <w:szCs w:val="20"/>
          <w:lang w:val="es-ES_tradnl"/>
        </w:rPr>
        <w:t xml:space="preserve"> Ortiz haya existido tortura física” (</w:t>
      </w:r>
      <w:r w:rsidR="000D5E4F" w:rsidRPr="00F31F8B">
        <w:rPr>
          <w:rFonts w:ascii="Verdana" w:hAnsi="Verdana"/>
          <w:i/>
          <w:iCs/>
          <w:sz w:val="20"/>
          <w:szCs w:val="20"/>
          <w:lang w:val="es-ES_tradnl"/>
        </w:rPr>
        <w:t>supra</w:t>
      </w:r>
      <w:r w:rsidR="000D5E4F" w:rsidRPr="00F31F8B">
        <w:rPr>
          <w:rFonts w:ascii="Verdana" w:hAnsi="Verdana"/>
          <w:sz w:val="20"/>
          <w:szCs w:val="20"/>
          <w:lang w:val="es-ES_tradnl"/>
        </w:rPr>
        <w:t xml:space="preserve"> párr.</w:t>
      </w:r>
      <w:r w:rsidR="00556ED7">
        <w:rPr>
          <w:rFonts w:ascii="Verdana" w:hAnsi="Verdana"/>
          <w:sz w:val="20"/>
          <w:szCs w:val="20"/>
          <w:lang w:val="es-ES_tradnl"/>
        </w:rPr>
        <w:t xml:space="preserve"> 95</w:t>
      </w:r>
      <w:r w:rsidR="000D5E4F" w:rsidRPr="00F31F8B">
        <w:rPr>
          <w:rFonts w:ascii="Verdana" w:hAnsi="Verdana"/>
          <w:sz w:val="20"/>
          <w:szCs w:val="20"/>
          <w:lang w:val="es-ES_tradnl"/>
        </w:rPr>
        <w:t>).</w:t>
      </w:r>
    </w:p>
    <w:p w14:paraId="4E05C435" w14:textId="291FFA28" w:rsidR="000D5E4F" w:rsidRPr="00F31F8B" w:rsidRDefault="00F76148" w:rsidP="1D64B15C">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La Corte comprueba que</w:t>
      </w:r>
      <w:r>
        <w:rPr>
          <w:rFonts w:ascii="Verdana" w:hAnsi="Verdana"/>
          <w:sz w:val="20"/>
          <w:szCs w:val="20"/>
          <w:lang w:val="es-ES"/>
        </w:rPr>
        <w:t>,</w:t>
      </w:r>
      <w:r w:rsidRPr="1D64B15C">
        <w:rPr>
          <w:rFonts w:ascii="Verdana" w:hAnsi="Verdana"/>
          <w:sz w:val="20"/>
          <w:szCs w:val="20"/>
          <w:lang w:val="es-ES"/>
        </w:rPr>
        <w:t xml:space="preserve"> desde su detención, Reyes Alpízar fue sometido a numerosos exámenes médicos y psicológicos (el Estado indicó que fueron 54 pericias médicas), y que varios de ellos resultan contradictorios. Es así como en algunos exámenes practicados, se concluyó que fue objeto de torturas o apareció con lesiones que no tenía al momento de su privación a la libertad mientras que en otros se hace referencia a lesiones antiguas previas a su detención. Asimismo, algunos exámenes psicológicos indican que presenta un trastorno de estrés postraumático debido a tratos y penas crueles e inhumanas propias de la tortura mientras que otros afirman lo contrario (</w:t>
      </w:r>
      <w:r w:rsidRPr="1D64B15C">
        <w:rPr>
          <w:rFonts w:ascii="Verdana" w:hAnsi="Verdana"/>
          <w:i/>
          <w:iCs/>
          <w:sz w:val="20"/>
          <w:szCs w:val="20"/>
          <w:lang w:val="es-ES"/>
        </w:rPr>
        <w:t>supra</w:t>
      </w:r>
      <w:r w:rsidRPr="1D64B15C">
        <w:rPr>
          <w:rFonts w:ascii="Verdana" w:hAnsi="Verdana"/>
          <w:sz w:val="20"/>
          <w:szCs w:val="20"/>
          <w:lang w:val="es-ES"/>
        </w:rPr>
        <w:t xml:space="preserve"> párr.</w:t>
      </w:r>
      <w:r>
        <w:rPr>
          <w:rFonts w:ascii="Verdana" w:hAnsi="Verdana"/>
          <w:sz w:val="20"/>
          <w:szCs w:val="20"/>
          <w:lang w:val="es-ES"/>
        </w:rPr>
        <w:t xml:space="preserve"> 95</w:t>
      </w:r>
      <w:r w:rsidRPr="1D64B15C">
        <w:rPr>
          <w:rFonts w:ascii="Verdana" w:hAnsi="Verdana"/>
          <w:sz w:val="20"/>
          <w:szCs w:val="20"/>
          <w:lang w:val="es-ES"/>
        </w:rPr>
        <w:t>)</w:t>
      </w:r>
      <w:r w:rsidR="16604426" w:rsidRPr="1D64B15C">
        <w:rPr>
          <w:rFonts w:ascii="Verdana" w:hAnsi="Verdana"/>
          <w:sz w:val="20"/>
          <w:szCs w:val="20"/>
          <w:lang w:val="es-ES"/>
        </w:rPr>
        <w:t xml:space="preserve">. </w:t>
      </w:r>
    </w:p>
    <w:p w14:paraId="0ACACEB5" w14:textId="041C4271" w:rsidR="0024521F" w:rsidRPr="00F31F8B" w:rsidRDefault="00C06FCC" w:rsidP="000D5E4F">
      <w:pPr>
        <w:numPr>
          <w:ilvl w:val="0"/>
          <w:numId w:val="2"/>
        </w:numPr>
        <w:spacing w:before="120" w:after="120"/>
        <w:ind w:left="0" w:firstLine="0"/>
        <w:jc w:val="both"/>
        <w:rPr>
          <w:rFonts w:ascii="Verdana" w:hAnsi="Verdana"/>
          <w:sz w:val="20"/>
          <w:szCs w:val="20"/>
          <w:lang w:val="es-ES_tradnl"/>
        </w:rPr>
      </w:pPr>
      <w:r w:rsidRPr="00F31F8B">
        <w:rPr>
          <w:rFonts w:ascii="Verdana" w:hAnsi="Verdana"/>
          <w:sz w:val="20"/>
          <w:szCs w:val="20"/>
          <w:lang w:val="es-ES_tradnl"/>
        </w:rPr>
        <w:t>P</w:t>
      </w:r>
      <w:r w:rsidR="0024521F" w:rsidRPr="00F31F8B">
        <w:rPr>
          <w:rFonts w:ascii="Verdana" w:hAnsi="Verdana"/>
          <w:sz w:val="20"/>
          <w:szCs w:val="20"/>
          <w:lang w:val="es-ES_tradnl"/>
        </w:rPr>
        <w:t xml:space="preserve">ara esta Corte resulta </w:t>
      </w:r>
      <w:r w:rsidR="001D5DBF" w:rsidRPr="00F31F8B">
        <w:rPr>
          <w:rFonts w:ascii="Verdana" w:hAnsi="Verdana"/>
          <w:sz w:val="20"/>
          <w:szCs w:val="20"/>
          <w:lang w:val="es-ES_tradnl"/>
        </w:rPr>
        <w:t xml:space="preserve">evidente </w:t>
      </w:r>
      <w:r w:rsidR="0024521F" w:rsidRPr="00F31F8B">
        <w:rPr>
          <w:rFonts w:ascii="Verdana" w:hAnsi="Verdana"/>
          <w:sz w:val="20"/>
          <w:szCs w:val="20"/>
          <w:lang w:val="es-ES_tradnl"/>
        </w:rPr>
        <w:t xml:space="preserve">que el Estado no ha brindado una explicación plausible y satisfactoria que </w:t>
      </w:r>
      <w:r w:rsidR="00F76148">
        <w:rPr>
          <w:rFonts w:ascii="Verdana" w:hAnsi="Verdana"/>
          <w:sz w:val="20"/>
          <w:szCs w:val="20"/>
          <w:lang w:val="es-ES_tradnl"/>
        </w:rPr>
        <w:t>resuelva</w:t>
      </w:r>
      <w:r w:rsidR="0024521F" w:rsidRPr="00F31F8B">
        <w:rPr>
          <w:rFonts w:ascii="Verdana" w:hAnsi="Verdana"/>
          <w:sz w:val="20"/>
          <w:szCs w:val="20"/>
          <w:lang w:val="es-ES_tradnl"/>
        </w:rPr>
        <w:t xml:space="preserve"> esas contradicciones en los exámenes practicados</w:t>
      </w:r>
      <w:r w:rsidR="00F76148">
        <w:rPr>
          <w:rFonts w:ascii="Verdana" w:hAnsi="Verdana"/>
          <w:sz w:val="20"/>
          <w:szCs w:val="20"/>
          <w:lang w:val="es-ES_tradnl"/>
        </w:rPr>
        <w:t>,</w:t>
      </w:r>
      <w:r w:rsidR="00556ED7">
        <w:rPr>
          <w:rFonts w:ascii="Verdana" w:hAnsi="Verdana"/>
          <w:sz w:val="20"/>
          <w:szCs w:val="20"/>
          <w:lang w:val="es-ES_tradnl"/>
        </w:rPr>
        <w:t xml:space="preserve"> </w:t>
      </w:r>
      <w:r w:rsidR="005A4AE3">
        <w:rPr>
          <w:rFonts w:ascii="Verdana" w:hAnsi="Verdana"/>
          <w:sz w:val="20"/>
          <w:szCs w:val="20"/>
          <w:lang w:val="es-ES_tradnl"/>
        </w:rPr>
        <w:t>y</w:t>
      </w:r>
      <w:r w:rsidR="00E955AD" w:rsidRPr="00F31F8B">
        <w:rPr>
          <w:rFonts w:ascii="Verdana" w:hAnsi="Verdana"/>
          <w:sz w:val="20"/>
          <w:szCs w:val="20"/>
          <w:lang w:val="es-ES_tradnl"/>
        </w:rPr>
        <w:t xml:space="preserve"> las declaraciones de Reyes Alpízar denunciando los </w:t>
      </w:r>
      <w:r w:rsidR="00556ED7">
        <w:rPr>
          <w:rFonts w:ascii="Verdana" w:hAnsi="Verdana"/>
          <w:sz w:val="20"/>
          <w:szCs w:val="20"/>
          <w:lang w:val="es-ES_tradnl"/>
        </w:rPr>
        <w:t>maltratos</w:t>
      </w:r>
      <w:r w:rsidR="00E955AD" w:rsidRPr="00F31F8B">
        <w:rPr>
          <w:rFonts w:ascii="Verdana" w:hAnsi="Verdana"/>
          <w:sz w:val="20"/>
          <w:szCs w:val="20"/>
          <w:lang w:val="es-ES_tradnl"/>
        </w:rPr>
        <w:t xml:space="preserve"> a los que </w:t>
      </w:r>
      <w:r w:rsidR="00556ED7">
        <w:rPr>
          <w:rFonts w:ascii="Verdana" w:hAnsi="Verdana"/>
          <w:sz w:val="20"/>
          <w:szCs w:val="20"/>
          <w:lang w:val="es-ES_tradnl"/>
        </w:rPr>
        <w:t>habría sido</w:t>
      </w:r>
      <w:r w:rsidR="00556ED7" w:rsidRPr="00F31F8B">
        <w:rPr>
          <w:rFonts w:ascii="Verdana" w:hAnsi="Verdana"/>
          <w:sz w:val="20"/>
          <w:szCs w:val="20"/>
          <w:lang w:val="es-ES_tradnl"/>
        </w:rPr>
        <w:t xml:space="preserve"> </w:t>
      </w:r>
      <w:r w:rsidR="00E955AD" w:rsidRPr="00F31F8B">
        <w:rPr>
          <w:rFonts w:ascii="Verdana" w:hAnsi="Verdana"/>
          <w:sz w:val="20"/>
          <w:szCs w:val="20"/>
          <w:lang w:val="es-ES_tradnl"/>
        </w:rPr>
        <w:t>sometido</w:t>
      </w:r>
      <w:r w:rsidR="0024521F" w:rsidRPr="00F31F8B">
        <w:rPr>
          <w:rFonts w:ascii="Verdana" w:hAnsi="Verdana"/>
          <w:sz w:val="20"/>
          <w:szCs w:val="20"/>
          <w:lang w:val="es-ES_tradnl"/>
        </w:rPr>
        <w:t>. El hecho que Reyes Alpízar estuviera bajo</w:t>
      </w:r>
      <w:r w:rsidR="00EB4A4E" w:rsidRPr="00F31F8B">
        <w:rPr>
          <w:rFonts w:ascii="Verdana" w:hAnsi="Verdana"/>
          <w:sz w:val="20"/>
          <w:szCs w:val="20"/>
          <w:lang w:val="es-ES_tradnl"/>
        </w:rPr>
        <w:t xml:space="preserve"> el control total de las autoridades estatales durante el período en que se produjeron esas contradicciones en los exámenes, resulta aún más relevante a la hora de analizar la responsabilidad del Estado. </w:t>
      </w:r>
      <w:r w:rsidR="00F76148" w:rsidRPr="00F31F8B">
        <w:rPr>
          <w:rFonts w:ascii="Verdana" w:hAnsi="Verdana"/>
          <w:sz w:val="20"/>
          <w:szCs w:val="20"/>
          <w:lang w:val="es-ES_tradnl"/>
        </w:rPr>
        <w:t xml:space="preserve">Adicionalmente, esta Corte constata que algunos resultados de los exámenes médicos son consistentes con lo afirmado por Reyes Alpízar, el cual manifestó desde su primera declaración que había sido sometido a maltratos y coacciones para obtener su confesión por su </w:t>
      </w:r>
      <w:r w:rsidR="00F76148">
        <w:rPr>
          <w:rFonts w:ascii="Verdana" w:hAnsi="Verdana"/>
          <w:sz w:val="20"/>
          <w:szCs w:val="20"/>
          <w:lang w:val="es-ES_tradnl"/>
        </w:rPr>
        <w:t xml:space="preserve">alegada </w:t>
      </w:r>
      <w:r w:rsidR="00F76148" w:rsidRPr="00F31F8B">
        <w:rPr>
          <w:rFonts w:ascii="Verdana" w:hAnsi="Verdana"/>
          <w:sz w:val="20"/>
          <w:szCs w:val="20"/>
          <w:lang w:val="es-ES_tradnl"/>
        </w:rPr>
        <w:t>participación en el homicidio de la regidora. En ese sentido, no es extraño que Reyes Alpízar firmara confesiones y designara otros responsables por ese hecho, precisamente en los períodos en los cuales alega haber sido sometido a esos tratamientos, y que con posterioridad se negara a ratificar esas declaraciones (</w:t>
      </w:r>
      <w:r w:rsidR="00F76148" w:rsidRPr="00F31F8B">
        <w:rPr>
          <w:rFonts w:ascii="Verdana" w:hAnsi="Verdana"/>
          <w:i/>
          <w:iCs/>
          <w:sz w:val="20"/>
          <w:szCs w:val="20"/>
          <w:lang w:val="es-ES_tradnl"/>
        </w:rPr>
        <w:t>supra</w:t>
      </w:r>
      <w:r w:rsidR="00F76148" w:rsidRPr="00F31F8B">
        <w:rPr>
          <w:rFonts w:ascii="Verdana" w:hAnsi="Verdana"/>
          <w:sz w:val="20"/>
          <w:szCs w:val="20"/>
          <w:lang w:val="es-ES_tradnl"/>
        </w:rPr>
        <w:t xml:space="preserve"> párr. </w:t>
      </w:r>
      <w:r w:rsidR="00F76148">
        <w:rPr>
          <w:rFonts w:ascii="Verdana" w:hAnsi="Verdana"/>
          <w:sz w:val="20"/>
          <w:szCs w:val="20"/>
          <w:lang w:val="es-ES_tradnl"/>
        </w:rPr>
        <w:t>77</w:t>
      </w:r>
      <w:r w:rsidR="00F76148" w:rsidRPr="00F31F8B">
        <w:rPr>
          <w:rFonts w:ascii="Verdana" w:hAnsi="Verdana"/>
          <w:sz w:val="20"/>
          <w:szCs w:val="20"/>
          <w:lang w:val="es-ES_tradnl"/>
        </w:rPr>
        <w:t>)</w:t>
      </w:r>
      <w:r w:rsidR="00EB4A4E" w:rsidRPr="00F31F8B">
        <w:rPr>
          <w:rFonts w:ascii="Verdana" w:hAnsi="Verdana"/>
          <w:sz w:val="20"/>
          <w:szCs w:val="20"/>
          <w:lang w:val="es-ES_tradnl"/>
        </w:rPr>
        <w:t xml:space="preserve">.  </w:t>
      </w:r>
    </w:p>
    <w:p w14:paraId="286D1F79" w14:textId="7A508348" w:rsidR="00E955AD" w:rsidRPr="00F31F8B" w:rsidRDefault="239C3998" w:rsidP="1D64B15C">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Por otra parte</w:t>
      </w:r>
      <w:r w:rsidR="70554A26" w:rsidRPr="1D64B15C">
        <w:rPr>
          <w:rFonts w:ascii="Verdana" w:hAnsi="Verdana"/>
          <w:sz w:val="20"/>
          <w:szCs w:val="20"/>
          <w:lang w:val="es-ES"/>
        </w:rPr>
        <w:t xml:space="preserve">, cabe recordar que ese hecho se </w:t>
      </w:r>
      <w:r w:rsidR="74C975E0" w:rsidRPr="7CDFE7CF">
        <w:rPr>
          <w:rFonts w:ascii="Verdana" w:hAnsi="Verdana"/>
          <w:sz w:val="20"/>
          <w:szCs w:val="20"/>
          <w:lang w:val="es-ES"/>
        </w:rPr>
        <w:t>produjo</w:t>
      </w:r>
      <w:r w:rsidR="70554A26" w:rsidRPr="1D64B15C">
        <w:rPr>
          <w:rFonts w:ascii="Verdana" w:hAnsi="Verdana"/>
          <w:sz w:val="20"/>
          <w:szCs w:val="20"/>
          <w:lang w:val="es-ES"/>
        </w:rPr>
        <w:t xml:space="preserve"> en un contexto en el cual </w:t>
      </w:r>
      <w:r w:rsidR="5A6CD9AE" w:rsidRPr="1D64B15C">
        <w:rPr>
          <w:rFonts w:ascii="Verdana" w:hAnsi="Verdana"/>
          <w:sz w:val="20"/>
          <w:szCs w:val="20"/>
          <w:lang w:val="es-ES"/>
        </w:rPr>
        <w:t xml:space="preserve">era frecuente que las personas bajo arraigo fueran sometidas a hechos de tortura o coacciones para obtener sus confesiones por los hechos delictivos investigados. </w:t>
      </w:r>
      <w:r w:rsidR="5A6CD9AE" w:rsidRPr="00F31F8B">
        <w:rPr>
          <w:rFonts w:ascii="Verdana" w:hAnsi="Verdana"/>
          <w:sz w:val="20"/>
          <w:szCs w:val="20"/>
        </w:rPr>
        <w:t xml:space="preserve">Sobre ese punto, el Comité de Derechos Humanos de Naciones Unidas advirtió “que las personas detenidas en virtud del arraigo </w:t>
      </w:r>
      <w:r w:rsidR="5A6CD9AE" w:rsidRPr="00F31F8B">
        <w:rPr>
          <w:rFonts w:ascii="Verdana" w:hAnsi="Verdana"/>
          <w:sz w:val="20"/>
          <w:szCs w:val="20"/>
        </w:rPr>
        <w:lastRenderedPageBreak/>
        <w:t>corren peligro de ser sometidas a malos tratos”</w:t>
      </w:r>
      <w:r w:rsidR="00E955AD" w:rsidRPr="7CDFE7CF">
        <w:rPr>
          <w:rStyle w:val="Refdenotaalpie"/>
          <w:rFonts w:ascii="Verdana" w:eastAsia="Cambria" w:hAnsi="Verdana"/>
          <w:sz w:val="20"/>
          <w:lang w:val="es-ES"/>
        </w:rPr>
        <w:footnoteReference w:id="233"/>
      </w:r>
      <w:r w:rsidR="5A6CD9AE" w:rsidRPr="00F31F8B">
        <w:rPr>
          <w:rFonts w:ascii="Verdana" w:hAnsi="Verdana"/>
          <w:sz w:val="20"/>
          <w:szCs w:val="20"/>
        </w:rPr>
        <w:t xml:space="preserve">. Del mismo modo, del Subcomité para la Prevención de la Tortura y Otros Tratos o Penas Crueles, Inhumanos o Degradantes observó “cómo de todos los testimonios que la delegación escuchó durante su visita sobre maltrato, las alegaciones más alarmantes venían de personas bajo régimen de arraigo”. Del mismo modo señaló que cuando se dan detenciones bajo la figura del arraigo, “que supuestamente deberían ser las menos restrictivas a la libertad por no encontrarse las personas todavía sometidas a una averiguación formal, es justamente donde más se restringe la libertad de la persona, llegando a unos niveles de incomunicación total del mundo exterior sin que familiares ni abogados de las personas arraigadas tengan información sobre su paradero. Estas situaciones pueden dar lugar a casos de indefensión ante situaciones de </w:t>
      </w:r>
      <w:bookmarkStart w:id="106" w:name="_Hlk110952933"/>
      <w:r w:rsidR="5A6CD9AE" w:rsidRPr="00F31F8B">
        <w:rPr>
          <w:rFonts w:ascii="Verdana" w:hAnsi="Verdana"/>
          <w:sz w:val="20"/>
          <w:szCs w:val="20"/>
        </w:rPr>
        <w:t>tortura, trato cruel, inhumano o degradante</w:t>
      </w:r>
      <w:bookmarkEnd w:id="106"/>
      <w:r w:rsidR="5A6CD9AE" w:rsidRPr="00F31F8B">
        <w:rPr>
          <w:rFonts w:ascii="Verdana" w:hAnsi="Verdana"/>
          <w:sz w:val="20"/>
          <w:szCs w:val="20"/>
        </w:rPr>
        <w:t xml:space="preserve">. La delegación se entrevistó con personas arraigadas en todos los </w:t>
      </w:r>
      <w:r w:rsidR="1C2528A2" w:rsidRPr="00F31F8B">
        <w:rPr>
          <w:rFonts w:ascii="Verdana" w:hAnsi="Verdana"/>
          <w:sz w:val="20"/>
          <w:szCs w:val="20"/>
        </w:rPr>
        <w:t>Estados</w:t>
      </w:r>
      <w:r w:rsidR="5A6CD9AE" w:rsidRPr="00F31F8B">
        <w:rPr>
          <w:rFonts w:ascii="Verdana" w:hAnsi="Verdana"/>
          <w:sz w:val="20"/>
          <w:szCs w:val="20"/>
        </w:rPr>
        <w:t xml:space="preserve"> que visitó”. </w:t>
      </w:r>
      <w:r w:rsidR="53A41F37" w:rsidRPr="7CDFE7CF">
        <w:rPr>
          <w:rFonts w:ascii="Verdana" w:hAnsi="Verdana"/>
          <w:sz w:val="20"/>
          <w:szCs w:val="20"/>
        </w:rPr>
        <w:t>Así, c</w:t>
      </w:r>
      <w:r w:rsidR="5A6CD9AE" w:rsidRPr="00F31F8B">
        <w:rPr>
          <w:rFonts w:ascii="Verdana" w:hAnsi="Verdana"/>
          <w:sz w:val="20"/>
          <w:szCs w:val="20"/>
        </w:rPr>
        <w:t>oncluyó que “la figura jurídica del arraigo puede llegar a propiciar la práctica de la tortura al generar espacios de poca vigilancia y vulnerabilidad de los arraigados, quienes no tienen ninguna condición jurídica claramente definida para poder ejercer su derecho de defensa”</w:t>
      </w:r>
      <w:r w:rsidR="00E955AD" w:rsidRPr="7CDFE7CF">
        <w:rPr>
          <w:rStyle w:val="Refdenotaalpie"/>
          <w:rFonts w:ascii="Verdana" w:eastAsia="Cambria" w:hAnsi="Verdana"/>
          <w:sz w:val="20"/>
          <w:lang w:val="es-ES"/>
        </w:rPr>
        <w:footnoteReference w:id="234"/>
      </w:r>
      <w:r w:rsidR="5A6CD9AE" w:rsidRPr="00F31F8B">
        <w:rPr>
          <w:rFonts w:ascii="Verdana" w:hAnsi="Verdana"/>
          <w:sz w:val="20"/>
          <w:szCs w:val="20"/>
        </w:rPr>
        <w:t>.</w:t>
      </w:r>
    </w:p>
    <w:p w14:paraId="30114956" w14:textId="4F1C3C6C" w:rsidR="00A02772" w:rsidRPr="00F31F8B" w:rsidRDefault="005A4AE3" w:rsidP="005F1FD4">
      <w:pPr>
        <w:numPr>
          <w:ilvl w:val="0"/>
          <w:numId w:val="2"/>
        </w:numPr>
        <w:spacing w:before="120" w:after="120"/>
        <w:ind w:left="0" w:firstLine="0"/>
        <w:jc w:val="both"/>
        <w:rPr>
          <w:rFonts w:ascii="Verdana" w:hAnsi="Verdana"/>
          <w:sz w:val="20"/>
          <w:szCs w:val="20"/>
          <w:lang w:val="es-ES_tradnl"/>
        </w:rPr>
      </w:pPr>
      <w:r w:rsidRPr="00F31F8B">
        <w:rPr>
          <w:rFonts w:ascii="Verdana" w:hAnsi="Verdana"/>
          <w:sz w:val="20"/>
          <w:szCs w:val="20"/>
          <w:lang w:val="es-ES_tradnl"/>
        </w:rPr>
        <w:t>En suma, de conformidad con lo anterior, para este Tribunal existen suficientes elementos como para concluir que Reyes Alpízar fue sometido a maltratos por parte de las autoridades que lo estaban interrogando. Asimismo, no cabe duda sobre la severidad extrema de los mismos ni sobre la finalidad que perseguían los individuos que se los propiciaron. Todo ello permite llegar a la conclusión que Reyes Alpízar fue sometido a torturas por parte de las autoridades del Ministerio Público del Estado de México. Por esos motivos, est</w:t>
      </w:r>
      <w:r>
        <w:rPr>
          <w:rFonts w:ascii="Verdana" w:hAnsi="Verdana"/>
          <w:sz w:val="20"/>
          <w:szCs w:val="20"/>
          <w:lang w:val="es-ES_tradnl"/>
        </w:rPr>
        <w:t>a Cort</w:t>
      </w:r>
      <w:r w:rsidRPr="00F31F8B">
        <w:rPr>
          <w:rFonts w:ascii="Verdana" w:hAnsi="Verdana"/>
          <w:sz w:val="20"/>
          <w:szCs w:val="20"/>
          <w:lang w:val="es-ES_tradnl"/>
        </w:rPr>
        <w:t xml:space="preserve">e concluye que el Estado es responsable por la violación al </w:t>
      </w:r>
      <w:r>
        <w:rPr>
          <w:rFonts w:ascii="Verdana" w:hAnsi="Verdana"/>
          <w:sz w:val="20"/>
          <w:szCs w:val="20"/>
          <w:lang w:val="es-ES_tradnl"/>
        </w:rPr>
        <w:t xml:space="preserve">derecho a la integridad personal y al </w:t>
      </w:r>
      <w:r w:rsidRPr="00F31F8B">
        <w:rPr>
          <w:rFonts w:ascii="Verdana" w:hAnsi="Verdana"/>
          <w:sz w:val="20"/>
          <w:szCs w:val="20"/>
          <w:lang w:val="es-ES_tradnl"/>
        </w:rPr>
        <w:t>derecho a no ser sometido a torturas contenido</w:t>
      </w:r>
      <w:r>
        <w:rPr>
          <w:rFonts w:ascii="Verdana" w:hAnsi="Verdana"/>
          <w:sz w:val="20"/>
          <w:szCs w:val="20"/>
          <w:lang w:val="es-ES_tradnl"/>
        </w:rPr>
        <w:t>s</w:t>
      </w:r>
      <w:r w:rsidRPr="00F31F8B">
        <w:rPr>
          <w:rFonts w:ascii="Verdana" w:hAnsi="Verdana"/>
          <w:sz w:val="20"/>
          <w:szCs w:val="20"/>
          <w:lang w:val="es-ES_tradnl"/>
        </w:rPr>
        <w:t xml:space="preserve"> en el artículo </w:t>
      </w:r>
      <w:r>
        <w:rPr>
          <w:rFonts w:ascii="Verdana" w:hAnsi="Verdana"/>
          <w:sz w:val="20"/>
          <w:szCs w:val="20"/>
          <w:lang w:val="es-ES_tradnl"/>
        </w:rPr>
        <w:t xml:space="preserve">5.1 y </w:t>
      </w:r>
      <w:r w:rsidRPr="00F31F8B">
        <w:rPr>
          <w:rFonts w:ascii="Verdana" w:hAnsi="Verdana"/>
          <w:sz w:val="20"/>
          <w:szCs w:val="20"/>
          <w:lang w:val="es-ES_tradnl"/>
        </w:rPr>
        <w:t>5.2 de la Convención Americana,</w:t>
      </w:r>
      <w:r>
        <w:rPr>
          <w:rFonts w:ascii="Verdana" w:hAnsi="Verdana"/>
          <w:sz w:val="20"/>
          <w:szCs w:val="20"/>
          <w:lang w:val="es-ES_tradnl"/>
        </w:rPr>
        <w:t xml:space="preserve"> en relación con el artículo 1.1 del mismo instrumento,</w:t>
      </w:r>
      <w:r w:rsidRPr="00F31F8B">
        <w:rPr>
          <w:rFonts w:ascii="Verdana" w:hAnsi="Verdana"/>
          <w:sz w:val="20"/>
          <w:szCs w:val="20"/>
          <w:lang w:val="es-ES_tradnl"/>
        </w:rPr>
        <w:t xml:space="preserve"> </w:t>
      </w:r>
      <w:r w:rsidRPr="00F073D6">
        <w:rPr>
          <w:rFonts w:ascii="Verdana" w:hAnsi="Verdana"/>
          <w:sz w:val="20"/>
          <w:szCs w:val="20"/>
          <w:lang w:val="es-ES_tradnl"/>
        </w:rPr>
        <w:t xml:space="preserve">y </w:t>
      </w:r>
      <w:r>
        <w:rPr>
          <w:rFonts w:ascii="Verdana" w:hAnsi="Verdana"/>
          <w:sz w:val="20"/>
          <w:szCs w:val="20"/>
          <w:lang w:val="es-ES_tradnl"/>
        </w:rPr>
        <w:t xml:space="preserve">los artículos </w:t>
      </w:r>
      <w:r w:rsidRPr="00F073D6">
        <w:rPr>
          <w:rFonts w:ascii="Verdana" w:hAnsi="Verdana"/>
          <w:sz w:val="20"/>
          <w:szCs w:val="20"/>
          <w:lang w:val="es-ES_tradnl"/>
        </w:rPr>
        <w:t xml:space="preserve">1 </w:t>
      </w:r>
      <w:r>
        <w:rPr>
          <w:rFonts w:ascii="Verdana" w:hAnsi="Verdana"/>
          <w:sz w:val="20"/>
          <w:szCs w:val="20"/>
          <w:lang w:val="es-ES_tradnl"/>
        </w:rPr>
        <w:t xml:space="preserve">y </w:t>
      </w:r>
      <w:r w:rsidRPr="00F073D6">
        <w:rPr>
          <w:rFonts w:ascii="Verdana" w:hAnsi="Verdana"/>
          <w:sz w:val="20"/>
          <w:szCs w:val="20"/>
          <w:lang w:val="es-ES_tradnl"/>
        </w:rPr>
        <w:t>6</w:t>
      </w:r>
      <w:r>
        <w:rPr>
          <w:rFonts w:ascii="Verdana" w:hAnsi="Verdana"/>
          <w:sz w:val="20"/>
          <w:szCs w:val="20"/>
          <w:lang w:val="es-ES_tradnl"/>
        </w:rPr>
        <w:t xml:space="preserve"> </w:t>
      </w:r>
      <w:r w:rsidRPr="00F073D6">
        <w:rPr>
          <w:rFonts w:ascii="Verdana" w:hAnsi="Verdana"/>
          <w:sz w:val="20"/>
          <w:szCs w:val="20"/>
          <w:lang w:val="es-ES_tradnl"/>
        </w:rPr>
        <w:t xml:space="preserve">de la CIPST, </w:t>
      </w:r>
      <w:r w:rsidRPr="00F31F8B">
        <w:rPr>
          <w:rFonts w:ascii="Verdana" w:hAnsi="Verdana"/>
          <w:sz w:val="20"/>
          <w:szCs w:val="20"/>
          <w:lang w:val="es-ES_tradnl"/>
        </w:rPr>
        <w:t>en perjuicio de Reyes Alpízar Ortiz</w:t>
      </w:r>
      <w:r w:rsidR="005F1FD4" w:rsidRPr="00F31F8B">
        <w:rPr>
          <w:rFonts w:ascii="Verdana" w:hAnsi="Verdana"/>
          <w:sz w:val="20"/>
          <w:szCs w:val="20"/>
          <w:lang w:val="es-ES_tradnl"/>
        </w:rPr>
        <w:t>.</w:t>
      </w:r>
      <w:r w:rsidR="00E955AD" w:rsidRPr="00F31F8B">
        <w:rPr>
          <w:rFonts w:ascii="Verdana" w:hAnsi="Verdana"/>
          <w:sz w:val="20"/>
          <w:szCs w:val="20"/>
          <w:lang w:val="es-ES_tradnl"/>
        </w:rPr>
        <w:t xml:space="preserve"> </w:t>
      </w:r>
    </w:p>
    <w:p w14:paraId="0A22C828" w14:textId="620B6203" w:rsidR="00D42BFB" w:rsidRPr="00F31F8B" w:rsidRDefault="00D42BFB" w:rsidP="00D42BFB">
      <w:pPr>
        <w:numPr>
          <w:ilvl w:val="0"/>
          <w:numId w:val="34"/>
        </w:numPr>
        <w:spacing w:before="240" w:after="240"/>
        <w:jc w:val="both"/>
        <w:outlineLvl w:val="3"/>
        <w:rPr>
          <w:rFonts w:ascii="Verdana" w:hAnsi="Verdana"/>
          <w:i/>
          <w:iCs/>
          <w:sz w:val="20"/>
          <w:szCs w:val="20"/>
        </w:rPr>
      </w:pPr>
      <w:r w:rsidRPr="00F31F8B">
        <w:rPr>
          <w:rFonts w:ascii="Verdana" w:hAnsi="Verdana"/>
          <w:i/>
          <w:iCs/>
          <w:sz w:val="20"/>
          <w:szCs w:val="20"/>
        </w:rPr>
        <w:t>Sobre las alegadas torturas en perjuicio de Daniel García</w:t>
      </w:r>
      <w:r w:rsidR="005F1FD4" w:rsidRPr="00F31F8B">
        <w:rPr>
          <w:rFonts w:ascii="Verdana" w:hAnsi="Verdana"/>
          <w:i/>
          <w:iCs/>
          <w:sz w:val="20"/>
          <w:szCs w:val="20"/>
        </w:rPr>
        <w:t xml:space="preserve"> Rodríguez</w:t>
      </w:r>
    </w:p>
    <w:p w14:paraId="25CA49FA" w14:textId="3B9D837A" w:rsidR="005F1FD4" w:rsidRPr="00F31F8B" w:rsidRDefault="7A622C91" w:rsidP="1D64B15C">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 xml:space="preserve">En lo que se refiere a Daniel García Rodríguez, consta que el mismo fue detenido el 25 de febrero de 2002 </w:t>
      </w:r>
      <w:r w:rsidR="5CA076ED" w:rsidRPr="1D64B15C">
        <w:rPr>
          <w:rFonts w:ascii="Verdana" w:hAnsi="Verdana"/>
          <w:sz w:val="20"/>
          <w:szCs w:val="20"/>
          <w:lang w:val="es-ES"/>
        </w:rPr>
        <w:t xml:space="preserve">por </w:t>
      </w:r>
      <w:r w:rsidR="10EC5F69" w:rsidRPr="1D64B15C">
        <w:rPr>
          <w:rFonts w:ascii="Verdana" w:hAnsi="Verdana"/>
          <w:sz w:val="20"/>
          <w:szCs w:val="20"/>
          <w:lang w:val="es-ES"/>
        </w:rPr>
        <w:t xml:space="preserve">policías ministeriales de la </w:t>
      </w:r>
      <w:r w:rsidR="71CB328A" w:rsidRPr="1D64B15C">
        <w:rPr>
          <w:rFonts w:ascii="Verdana" w:hAnsi="Verdana"/>
          <w:sz w:val="20"/>
          <w:szCs w:val="20"/>
          <w:lang w:val="es-ES"/>
        </w:rPr>
        <w:t>PGJEM</w:t>
      </w:r>
      <w:r w:rsidR="70B8988C" w:rsidRPr="1D64B15C">
        <w:rPr>
          <w:rFonts w:ascii="Verdana" w:hAnsi="Verdana"/>
          <w:sz w:val="20"/>
          <w:szCs w:val="20"/>
          <w:lang w:val="es-ES"/>
        </w:rPr>
        <w:t>. D</w:t>
      </w:r>
      <w:r w:rsidRPr="1D64B15C">
        <w:rPr>
          <w:rFonts w:ascii="Verdana" w:hAnsi="Verdana"/>
          <w:sz w:val="20"/>
          <w:szCs w:val="20"/>
          <w:lang w:val="es-ES"/>
        </w:rPr>
        <w:t>esde entonces estuvo bajo custodia del Estado hasta el año 2019</w:t>
      </w:r>
      <w:r w:rsidR="418046C4" w:rsidRPr="1D64B15C">
        <w:rPr>
          <w:rFonts w:ascii="Verdana" w:hAnsi="Verdana"/>
          <w:sz w:val="20"/>
          <w:szCs w:val="20"/>
          <w:lang w:val="es-ES"/>
        </w:rPr>
        <w:t xml:space="preserve"> y</w:t>
      </w:r>
      <w:r w:rsidR="241D3D73" w:rsidRPr="1D64B15C">
        <w:rPr>
          <w:rFonts w:ascii="Verdana" w:hAnsi="Verdana"/>
          <w:sz w:val="20"/>
          <w:szCs w:val="20"/>
          <w:lang w:val="es-ES"/>
        </w:rPr>
        <w:t xml:space="preserve"> </w:t>
      </w:r>
      <w:r w:rsidRPr="1D64B15C">
        <w:rPr>
          <w:rFonts w:ascii="Verdana" w:hAnsi="Verdana"/>
          <w:sz w:val="20"/>
          <w:szCs w:val="20"/>
          <w:lang w:val="es-ES"/>
        </w:rPr>
        <w:t>prest</w:t>
      </w:r>
      <w:r w:rsidR="3658B8B2" w:rsidRPr="1D64B15C">
        <w:rPr>
          <w:rFonts w:ascii="Verdana" w:hAnsi="Verdana"/>
          <w:sz w:val="20"/>
          <w:szCs w:val="20"/>
          <w:lang w:val="es-ES"/>
        </w:rPr>
        <w:t>ó</w:t>
      </w:r>
      <w:r w:rsidRPr="1D64B15C">
        <w:rPr>
          <w:rFonts w:ascii="Verdana" w:hAnsi="Verdana"/>
          <w:sz w:val="20"/>
          <w:szCs w:val="20"/>
          <w:lang w:val="es-ES"/>
        </w:rPr>
        <w:t xml:space="preserve"> declaraciones ante el Ministerio Público</w:t>
      </w:r>
      <w:r w:rsidR="00556ED7">
        <w:rPr>
          <w:rFonts w:ascii="Verdana" w:hAnsi="Verdana"/>
          <w:sz w:val="20"/>
          <w:szCs w:val="20"/>
          <w:lang w:val="es-ES"/>
        </w:rPr>
        <w:t>, las cuales se prolongaron durante el período durante el cual estuvo arraigado</w:t>
      </w:r>
      <w:r w:rsidRPr="1D64B15C">
        <w:rPr>
          <w:rFonts w:ascii="Verdana" w:hAnsi="Verdana"/>
          <w:sz w:val="20"/>
          <w:szCs w:val="20"/>
          <w:lang w:val="es-ES"/>
        </w:rPr>
        <w:t xml:space="preserve"> </w:t>
      </w:r>
      <w:r w:rsidR="00556ED7">
        <w:rPr>
          <w:rFonts w:ascii="Verdana" w:hAnsi="Verdana"/>
          <w:sz w:val="20"/>
          <w:szCs w:val="20"/>
          <w:lang w:val="es-ES"/>
        </w:rPr>
        <w:t>(</w:t>
      </w:r>
      <w:r w:rsidR="00556ED7" w:rsidRPr="00D04822">
        <w:rPr>
          <w:rFonts w:ascii="Verdana" w:hAnsi="Verdana"/>
          <w:i/>
          <w:iCs/>
          <w:sz w:val="20"/>
          <w:szCs w:val="20"/>
          <w:lang w:val="es-ES"/>
        </w:rPr>
        <w:t>supra</w:t>
      </w:r>
      <w:r w:rsidR="00556ED7">
        <w:rPr>
          <w:rFonts w:ascii="Verdana" w:hAnsi="Verdana"/>
          <w:sz w:val="20"/>
          <w:szCs w:val="20"/>
          <w:lang w:val="es-ES"/>
        </w:rPr>
        <w:t xml:space="preserve"> párr. 68)</w:t>
      </w:r>
      <w:r w:rsidRPr="1D64B15C">
        <w:rPr>
          <w:rFonts w:ascii="Verdana" w:hAnsi="Verdana"/>
          <w:sz w:val="20"/>
          <w:szCs w:val="20"/>
          <w:lang w:val="es-ES"/>
        </w:rPr>
        <w:t>.</w:t>
      </w:r>
    </w:p>
    <w:p w14:paraId="0376661F" w14:textId="018FB73B" w:rsidR="005F1FD4" w:rsidRPr="00F31F8B" w:rsidRDefault="2B909049" w:rsidP="1D64B15C">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De acuerdo con</w:t>
      </w:r>
      <w:r w:rsidR="54905D3B" w:rsidRPr="1D64B15C">
        <w:rPr>
          <w:rFonts w:ascii="Verdana" w:hAnsi="Verdana"/>
          <w:sz w:val="20"/>
          <w:szCs w:val="20"/>
          <w:lang w:val="es-ES"/>
        </w:rPr>
        <w:t xml:space="preserve"> la información que figura en el expediente, </w:t>
      </w:r>
      <w:r w:rsidRPr="1D64B15C">
        <w:rPr>
          <w:rFonts w:ascii="Verdana" w:hAnsi="Verdana"/>
          <w:sz w:val="20"/>
          <w:szCs w:val="20"/>
          <w:lang w:val="es-ES"/>
        </w:rPr>
        <w:t xml:space="preserve">en oportunidad de su primera comparecencia ante el Juez Quinto Penal, </w:t>
      </w:r>
      <w:r w:rsidR="2D5E41F9" w:rsidRPr="1D64B15C">
        <w:rPr>
          <w:rFonts w:ascii="Verdana" w:hAnsi="Verdana"/>
          <w:sz w:val="20"/>
          <w:szCs w:val="20"/>
          <w:lang w:val="es-ES"/>
        </w:rPr>
        <w:t xml:space="preserve">Daniel García Rodríguez </w:t>
      </w:r>
      <w:r w:rsidRPr="1D64B15C">
        <w:rPr>
          <w:rFonts w:ascii="Verdana" w:hAnsi="Verdana"/>
          <w:sz w:val="20"/>
          <w:szCs w:val="20"/>
          <w:lang w:val="es-ES"/>
        </w:rPr>
        <w:t xml:space="preserve">declaró que había sido detenido con engaño, recluido por la fuerza y bajo amenaza, tanto por agentes de la policía judicial, como por el Subprocurador quien habría condicionado su libertad a la firma de declaraciones prefabricadas </w:t>
      </w:r>
      <w:r w:rsidR="3FECCEA1" w:rsidRPr="1D64B15C">
        <w:rPr>
          <w:rFonts w:ascii="Verdana" w:hAnsi="Verdana"/>
          <w:sz w:val="20"/>
          <w:szCs w:val="20"/>
          <w:lang w:val="es-ES"/>
        </w:rPr>
        <w:t xml:space="preserve">en las que se </w:t>
      </w:r>
      <w:r w:rsidR="186F4B44" w:rsidRPr="1D64B15C">
        <w:rPr>
          <w:rFonts w:ascii="Verdana" w:hAnsi="Verdana"/>
          <w:sz w:val="20"/>
          <w:szCs w:val="20"/>
          <w:lang w:val="es-ES"/>
        </w:rPr>
        <w:t xml:space="preserve">auto </w:t>
      </w:r>
      <w:r w:rsidRPr="1D64B15C">
        <w:rPr>
          <w:rFonts w:ascii="Verdana" w:hAnsi="Verdana"/>
          <w:sz w:val="20"/>
          <w:szCs w:val="20"/>
          <w:lang w:val="es-ES"/>
        </w:rPr>
        <w:t>incrimina</w:t>
      </w:r>
      <w:r w:rsidR="3FECCEA1" w:rsidRPr="1D64B15C">
        <w:rPr>
          <w:rFonts w:ascii="Verdana" w:hAnsi="Verdana"/>
          <w:sz w:val="20"/>
          <w:szCs w:val="20"/>
          <w:lang w:val="es-ES"/>
        </w:rPr>
        <w:t>ba e incriminaba a terceras personas</w:t>
      </w:r>
      <w:r w:rsidRPr="1D64B15C">
        <w:rPr>
          <w:rFonts w:ascii="Verdana" w:hAnsi="Verdana"/>
          <w:sz w:val="20"/>
          <w:szCs w:val="20"/>
          <w:lang w:val="es-ES"/>
        </w:rPr>
        <w:t xml:space="preserve">. Indicó que, al negarse a firmar, fue amenazado con </w:t>
      </w:r>
      <w:r w:rsidR="09EF4AB2" w:rsidRPr="1D64B15C">
        <w:rPr>
          <w:rFonts w:ascii="Verdana" w:hAnsi="Verdana"/>
          <w:sz w:val="20"/>
          <w:szCs w:val="20"/>
          <w:lang w:val="es-ES"/>
        </w:rPr>
        <w:t xml:space="preserve">el hecho de </w:t>
      </w:r>
      <w:r w:rsidRPr="1D64B15C">
        <w:rPr>
          <w:rFonts w:ascii="Verdana" w:hAnsi="Verdana"/>
          <w:sz w:val="20"/>
          <w:szCs w:val="20"/>
          <w:lang w:val="es-ES"/>
        </w:rPr>
        <w:t>que él y sus familiares serían los acusados, además,</w:t>
      </w:r>
      <w:r w:rsidR="7541230C" w:rsidRPr="1D64B15C">
        <w:rPr>
          <w:rFonts w:ascii="Verdana" w:hAnsi="Verdana"/>
          <w:sz w:val="20"/>
          <w:szCs w:val="20"/>
          <w:lang w:val="es-ES"/>
        </w:rPr>
        <w:t xml:space="preserve"> señaló</w:t>
      </w:r>
      <w:r w:rsidRPr="1D64B15C">
        <w:rPr>
          <w:rFonts w:ascii="Verdana" w:hAnsi="Verdana"/>
          <w:sz w:val="20"/>
          <w:szCs w:val="20"/>
          <w:lang w:val="es-ES"/>
        </w:rPr>
        <w:t xml:space="preserve"> que su esposa recibió llamadas para convencerlo a firmar para que sus hijas no tuvieran “problemas físicos” (</w:t>
      </w:r>
      <w:r w:rsidRPr="1D64B15C">
        <w:rPr>
          <w:rFonts w:ascii="Verdana" w:hAnsi="Verdana"/>
          <w:i/>
          <w:iCs/>
          <w:sz w:val="20"/>
          <w:szCs w:val="20"/>
          <w:lang w:val="es-ES"/>
        </w:rPr>
        <w:t>supra</w:t>
      </w:r>
      <w:r w:rsidRPr="1D64B15C">
        <w:rPr>
          <w:rFonts w:ascii="Verdana" w:hAnsi="Verdana"/>
          <w:sz w:val="20"/>
          <w:szCs w:val="20"/>
          <w:lang w:val="es-ES"/>
        </w:rPr>
        <w:t xml:space="preserve"> párr. </w:t>
      </w:r>
      <w:r w:rsidR="00556ED7">
        <w:rPr>
          <w:rFonts w:ascii="Verdana" w:hAnsi="Verdana"/>
          <w:sz w:val="20"/>
          <w:szCs w:val="20"/>
          <w:lang w:val="es-ES"/>
        </w:rPr>
        <w:t>71</w:t>
      </w:r>
      <w:r w:rsidRPr="1D64B15C">
        <w:rPr>
          <w:rFonts w:ascii="Verdana" w:hAnsi="Verdana"/>
          <w:sz w:val="20"/>
          <w:szCs w:val="20"/>
          <w:lang w:val="es-ES"/>
        </w:rPr>
        <w:t xml:space="preserve">). </w:t>
      </w:r>
    </w:p>
    <w:p w14:paraId="70E4340C" w14:textId="076858A0" w:rsidR="00D42BFB" w:rsidRPr="00351298" w:rsidRDefault="2B909049" w:rsidP="1D64B15C">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Por otra parte, consta en los hechos del caso que el Ministerio Público solicitó certificación de lesiones físicas y el defensor particular solicitó un examen para constatar violencia psicológica. Ambas solicitudes fueron negadas por el Juez Penal</w:t>
      </w:r>
      <w:r w:rsidR="2026C279" w:rsidRPr="1D64B15C">
        <w:rPr>
          <w:rFonts w:ascii="Verdana" w:hAnsi="Verdana"/>
          <w:sz w:val="20"/>
          <w:szCs w:val="20"/>
          <w:lang w:val="es-ES"/>
        </w:rPr>
        <w:t>.</w:t>
      </w:r>
      <w:r w:rsidR="69BAE8A7" w:rsidRPr="1D64B15C">
        <w:rPr>
          <w:rFonts w:ascii="Verdana" w:hAnsi="Verdana"/>
          <w:sz w:val="20"/>
          <w:szCs w:val="20"/>
          <w:lang w:val="es-ES"/>
        </w:rPr>
        <w:t xml:space="preserve"> </w:t>
      </w:r>
      <w:r w:rsidRPr="1D64B15C">
        <w:rPr>
          <w:rFonts w:ascii="Verdana" w:hAnsi="Verdana"/>
          <w:sz w:val="20"/>
          <w:szCs w:val="20"/>
          <w:lang w:val="es-ES"/>
        </w:rPr>
        <w:t>Además, la defensa solicitó se citara a declarar al Subprocurador que habría estado implicado en los maltratos y coacciones contra Daniel García</w:t>
      </w:r>
      <w:r w:rsidR="4BCF4A85" w:rsidRPr="1D64B15C">
        <w:rPr>
          <w:rFonts w:ascii="Verdana" w:hAnsi="Verdana"/>
          <w:sz w:val="20"/>
          <w:szCs w:val="20"/>
          <w:lang w:val="es-ES"/>
        </w:rPr>
        <w:t>.</w:t>
      </w:r>
      <w:r w:rsidRPr="1D64B15C">
        <w:rPr>
          <w:rFonts w:ascii="Verdana" w:hAnsi="Verdana"/>
          <w:sz w:val="20"/>
          <w:szCs w:val="20"/>
          <w:lang w:val="es-ES"/>
        </w:rPr>
        <w:t xml:space="preserve"> </w:t>
      </w:r>
      <w:r w:rsidR="1A217A9A" w:rsidRPr="1D64B15C">
        <w:rPr>
          <w:rFonts w:ascii="Verdana" w:hAnsi="Verdana"/>
          <w:sz w:val="20"/>
          <w:szCs w:val="20"/>
          <w:lang w:val="es-ES"/>
        </w:rPr>
        <w:t>S</w:t>
      </w:r>
      <w:r w:rsidRPr="1D64B15C">
        <w:rPr>
          <w:rFonts w:ascii="Verdana" w:hAnsi="Verdana"/>
          <w:sz w:val="20"/>
          <w:szCs w:val="20"/>
          <w:lang w:val="es-ES"/>
        </w:rPr>
        <w:t xml:space="preserve">in embargo, el Juez Quinto Penal no admitió dicho medio de prueba </w:t>
      </w:r>
      <w:r w:rsidR="1BA74FEF" w:rsidRPr="1D64B15C">
        <w:rPr>
          <w:rFonts w:ascii="Verdana" w:hAnsi="Verdana"/>
          <w:sz w:val="20"/>
          <w:szCs w:val="20"/>
          <w:lang w:val="es-ES"/>
        </w:rPr>
        <w:t xml:space="preserve">porque no existían indicios “que permita[n] establecer […] lo aseverado por el inculpado”, considerando que “las actuaciones </w:t>
      </w:r>
      <w:r w:rsidR="1BA74FEF" w:rsidRPr="1D64B15C">
        <w:rPr>
          <w:rFonts w:ascii="Verdana" w:hAnsi="Verdana"/>
          <w:sz w:val="20"/>
          <w:szCs w:val="20"/>
          <w:lang w:val="es-ES"/>
        </w:rPr>
        <w:lastRenderedPageBreak/>
        <w:t xml:space="preserve">ministeriales se encuentran revestidas de las prerrogativas de haber sido realizadas por autoridad pública”, por lo que hacían “prueba plena salvo prueba en contrario” </w:t>
      </w:r>
      <w:r w:rsidRPr="1D64B15C">
        <w:rPr>
          <w:rFonts w:ascii="Verdana" w:hAnsi="Verdana"/>
          <w:sz w:val="20"/>
          <w:szCs w:val="20"/>
          <w:lang w:val="es-ES"/>
        </w:rPr>
        <w:t>(</w:t>
      </w:r>
      <w:r w:rsidRPr="1D64B15C">
        <w:rPr>
          <w:rFonts w:ascii="Verdana" w:hAnsi="Verdana"/>
          <w:i/>
          <w:iCs/>
          <w:sz w:val="20"/>
          <w:szCs w:val="20"/>
          <w:lang w:val="es-ES"/>
        </w:rPr>
        <w:t>supra</w:t>
      </w:r>
      <w:r w:rsidRPr="1D64B15C">
        <w:rPr>
          <w:rFonts w:ascii="Verdana" w:hAnsi="Verdana"/>
          <w:sz w:val="20"/>
          <w:szCs w:val="20"/>
          <w:lang w:val="es-ES"/>
        </w:rPr>
        <w:t xml:space="preserve"> párr. </w:t>
      </w:r>
      <w:r w:rsidR="00556ED7">
        <w:rPr>
          <w:rFonts w:ascii="Verdana" w:hAnsi="Verdana"/>
          <w:sz w:val="20"/>
          <w:szCs w:val="20"/>
          <w:lang w:val="es-ES"/>
        </w:rPr>
        <w:t>72</w:t>
      </w:r>
      <w:r w:rsidRPr="1D64B15C">
        <w:rPr>
          <w:rFonts w:ascii="Verdana" w:hAnsi="Verdana"/>
          <w:sz w:val="20"/>
          <w:szCs w:val="20"/>
          <w:lang w:val="es-ES"/>
        </w:rPr>
        <w:t xml:space="preserve">). </w:t>
      </w:r>
    </w:p>
    <w:p w14:paraId="095E8D07" w14:textId="5D375619" w:rsidR="00D42BFB" w:rsidRPr="00351298" w:rsidRDefault="00874793" w:rsidP="00B87829">
      <w:pPr>
        <w:numPr>
          <w:ilvl w:val="0"/>
          <w:numId w:val="2"/>
        </w:numPr>
        <w:spacing w:before="120" w:after="120"/>
        <w:ind w:left="0" w:firstLine="0"/>
        <w:jc w:val="both"/>
        <w:rPr>
          <w:rFonts w:ascii="Verdana" w:hAnsi="Verdana"/>
          <w:sz w:val="20"/>
          <w:szCs w:val="20"/>
          <w:lang w:val="es-ES_tradnl"/>
        </w:rPr>
      </w:pPr>
      <w:r w:rsidRPr="00351298">
        <w:rPr>
          <w:rFonts w:ascii="Verdana" w:hAnsi="Verdana"/>
          <w:sz w:val="20"/>
          <w:szCs w:val="20"/>
          <w:lang w:val="es-ES_tradnl"/>
        </w:rPr>
        <w:t>D</w:t>
      </w:r>
      <w:r w:rsidR="00D045C2" w:rsidRPr="00351298">
        <w:rPr>
          <w:rFonts w:ascii="Verdana" w:hAnsi="Verdana"/>
          <w:sz w:val="20"/>
          <w:szCs w:val="20"/>
          <w:lang w:val="es-ES_tradnl"/>
        </w:rPr>
        <w:t xml:space="preserve">urante la audiencia pública del caso, Daniel García Rodríguez </w:t>
      </w:r>
      <w:r w:rsidR="002076D2">
        <w:rPr>
          <w:rFonts w:ascii="Verdana" w:hAnsi="Verdana"/>
          <w:sz w:val="20"/>
          <w:szCs w:val="20"/>
          <w:lang w:val="es-ES_tradnl"/>
        </w:rPr>
        <w:t>relató</w:t>
      </w:r>
      <w:r w:rsidR="00D045C2" w:rsidRPr="00351298">
        <w:rPr>
          <w:rFonts w:ascii="Verdana" w:hAnsi="Verdana"/>
          <w:sz w:val="20"/>
          <w:szCs w:val="20"/>
          <w:lang w:val="es-ES_tradnl"/>
        </w:rPr>
        <w:t xml:space="preserve"> ante la Corte </w:t>
      </w:r>
      <w:r w:rsidR="001646C0" w:rsidRPr="00351298">
        <w:rPr>
          <w:rFonts w:ascii="Verdana" w:hAnsi="Verdana"/>
          <w:sz w:val="20"/>
          <w:szCs w:val="20"/>
          <w:lang w:val="es-ES_tradnl"/>
        </w:rPr>
        <w:t>las amenazas y malos tratos a los que habría sido sometido mientras se encontraba arraigado:</w:t>
      </w:r>
    </w:p>
    <w:p w14:paraId="537EE811" w14:textId="6BB08F1D" w:rsidR="00EF67F1" w:rsidRPr="00351298" w:rsidRDefault="001646C0" w:rsidP="001646C0">
      <w:pPr>
        <w:spacing w:before="120" w:after="120"/>
        <w:ind w:left="567" w:right="616"/>
        <w:jc w:val="both"/>
        <w:rPr>
          <w:rFonts w:ascii="Verdana" w:hAnsi="Verdana"/>
          <w:sz w:val="18"/>
          <w:szCs w:val="18"/>
          <w:lang w:val="es-ES_tradnl"/>
        </w:rPr>
      </w:pPr>
      <w:r w:rsidRPr="00351298">
        <w:rPr>
          <w:rFonts w:ascii="Verdana" w:hAnsi="Verdana"/>
          <w:sz w:val="18"/>
          <w:szCs w:val="18"/>
          <w:lang w:val="es-ES_tradnl"/>
        </w:rPr>
        <w:t>[…] me encadenaron ahí en ese lugar de arraigo y por la madrugada llegó una persona que se dijo ser subprocurador de justicia el cual me llegó a despertar a decirme que tendría que firmar documentos que inculpaban a personas que si bien yo conocía no me constaba ningún hecho delictuoso. El señor me insistió que si no lo hacía, sería</w:t>
      </w:r>
      <w:r w:rsidR="009446AE" w:rsidRPr="00351298">
        <w:rPr>
          <w:rFonts w:ascii="Verdana" w:hAnsi="Verdana"/>
          <w:sz w:val="18"/>
          <w:szCs w:val="18"/>
          <w:lang w:val="es-ES_tradnl"/>
        </w:rPr>
        <w:t>n</w:t>
      </w:r>
      <w:r w:rsidRPr="00351298">
        <w:rPr>
          <w:rFonts w:ascii="Verdana" w:hAnsi="Verdana"/>
          <w:sz w:val="18"/>
          <w:szCs w:val="18"/>
          <w:lang w:val="es-ES_tradnl"/>
        </w:rPr>
        <w:t xml:space="preserve"> detenido</w:t>
      </w:r>
      <w:r w:rsidR="009446AE" w:rsidRPr="00351298">
        <w:rPr>
          <w:rFonts w:ascii="Verdana" w:hAnsi="Verdana"/>
          <w:sz w:val="18"/>
          <w:szCs w:val="18"/>
          <w:lang w:val="es-ES_tradnl"/>
        </w:rPr>
        <w:t xml:space="preserve"> y</w:t>
      </w:r>
      <w:r w:rsidRPr="00351298">
        <w:rPr>
          <w:rFonts w:ascii="Verdana" w:hAnsi="Verdana"/>
          <w:sz w:val="18"/>
          <w:szCs w:val="18"/>
          <w:lang w:val="es-ES_tradnl"/>
        </w:rPr>
        <w:t xml:space="preserve"> acusado de delitos mis familiares y que él estaba seguro que un día le iba yo a firmar </w:t>
      </w:r>
      <w:r w:rsidR="009446AE" w:rsidRPr="00351298">
        <w:rPr>
          <w:rFonts w:ascii="Verdana" w:hAnsi="Verdana"/>
          <w:sz w:val="18"/>
          <w:szCs w:val="18"/>
          <w:lang w:val="es-ES_tradnl"/>
        </w:rPr>
        <w:t>[…]</w:t>
      </w:r>
      <w:r w:rsidRPr="00351298">
        <w:rPr>
          <w:rFonts w:ascii="Verdana" w:hAnsi="Verdana"/>
          <w:sz w:val="18"/>
          <w:szCs w:val="18"/>
          <w:lang w:val="es-ES_tradnl"/>
        </w:rPr>
        <w:t>porque iba a detener hasta el momento que llegara con un familiar que más me doliera. Lo cumplió, comenzó a detener a mis familiares cercanos, primero a dos primeros hermanos a Martín Moreno Rodríguez y a Elvia Moreno Rodríguez yo me enteré de aquella atención por la televisión los policías sabían que iba ocurrir aquello porque prendían la televisión y en aquel momento vi el cateo en la casa de mi tía, yo de inmediato consideré inverosímil puesto que yo conocía perfectamente las actividades de mis familiares y las noticias avisaban de una supuesta actividad de espionaje y que habían un sofisticado sistema para espiar a funcionarios municipales y señalaban directamente al presidente municipal y a mí de esa responsabilidad. Días después detuvieron a mi papá al señor Isaías García Godínez, torturado arraigado junto conmigo y después consignado y después en prisión igual que yo también dictaron orden de apre</w:t>
      </w:r>
      <w:r w:rsidR="006227B4">
        <w:rPr>
          <w:rFonts w:ascii="Verdana" w:hAnsi="Verdana"/>
          <w:sz w:val="18"/>
          <w:szCs w:val="18"/>
          <w:lang w:val="es-ES_tradnl"/>
        </w:rPr>
        <w:t>hensión</w:t>
      </w:r>
      <w:r w:rsidRPr="00351298">
        <w:rPr>
          <w:rFonts w:ascii="Verdana" w:hAnsi="Verdana"/>
          <w:sz w:val="18"/>
          <w:szCs w:val="18"/>
          <w:lang w:val="es-ES_tradnl"/>
        </w:rPr>
        <w:t xml:space="preserve"> en contra de mi hermano de Isaías García Rodríguez de un primo de Francisco Javier Sánchez García y persiguieron a otros familiares directos.</w:t>
      </w:r>
      <w:r w:rsidR="00795815">
        <w:rPr>
          <w:rFonts w:ascii="Verdana" w:hAnsi="Verdana"/>
          <w:sz w:val="18"/>
          <w:szCs w:val="18"/>
          <w:lang w:val="es-ES_tradnl"/>
        </w:rPr>
        <w:t xml:space="preserve"> </w:t>
      </w:r>
      <w:r w:rsidRPr="00351298">
        <w:rPr>
          <w:rFonts w:ascii="Verdana" w:hAnsi="Verdana"/>
          <w:sz w:val="18"/>
          <w:szCs w:val="18"/>
          <w:lang w:val="es-ES_tradnl"/>
        </w:rPr>
        <w:t>Cada vez que ocurría eso, este funcionario me iba y me insistía con la inten</w:t>
      </w:r>
      <w:r w:rsidR="00C42DD4" w:rsidRPr="00351298">
        <w:rPr>
          <w:rFonts w:ascii="Verdana" w:hAnsi="Verdana"/>
          <w:sz w:val="18"/>
          <w:szCs w:val="18"/>
          <w:lang w:val="es-ES_tradnl"/>
        </w:rPr>
        <w:t>c</w:t>
      </w:r>
      <w:r w:rsidRPr="00351298">
        <w:rPr>
          <w:rFonts w:ascii="Verdana" w:hAnsi="Verdana"/>
          <w:sz w:val="18"/>
          <w:szCs w:val="18"/>
          <w:lang w:val="es-ES_tradnl"/>
        </w:rPr>
        <w:t>ión a ver si ya me dolía la detención de mis parientes […].</w:t>
      </w:r>
      <w:r w:rsidR="002E58F9" w:rsidRPr="00351298">
        <w:rPr>
          <w:rFonts w:ascii="Verdana" w:hAnsi="Verdana"/>
          <w:sz w:val="18"/>
          <w:szCs w:val="18"/>
          <w:lang w:val="es-ES_tradnl"/>
        </w:rPr>
        <w:t xml:space="preserve"> </w:t>
      </w:r>
    </w:p>
    <w:p w14:paraId="6E01C176" w14:textId="6AAA80E1" w:rsidR="00EF67F1" w:rsidRPr="00351298" w:rsidRDefault="00EF67F1" w:rsidP="00EF67F1">
      <w:pPr>
        <w:numPr>
          <w:ilvl w:val="0"/>
          <w:numId w:val="2"/>
        </w:numPr>
        <w:spacing w:before="120" w:after="120"/>
        <w:ind w:left="0" w:firstLine="0"/>
        <w:jc w:val="both"/>
        <w:rPr>
          <w:rFonts w:ascii="Verdana" w:hAnsi="Verdana"/>
          <w:sz w:val="20"/>
          <w:szCs w:val="20"/>
          <w:lang w:val="es-ES_tradnl"/>
        </w:rPr>
      </w:pPr>
      <w:r w:rsidRPr="00351298">
        <w:rPr>
          <w:rFonts w:ascii="Verdana" w:hAnsi="Verdana"/>
          <w:sz w:val="20"/>
          <w:szCs w:val="20"/>
          <w:lang w:val="es-ES_tradnl"/>
        </w:rPr>
        <w:t xml:space="preserve">Daniel García Rodríguez también </w:t>
      </w:r>
      <w:r w:rsidR="00027C44" w:rsidRPr="00351298">
        <w:rPr>
          <w:rFonts w:ascii="Verdana" w:hAnsi="Verdana"/>
          <w:sz w:val="20"/>
          <w:szCs w:val="20"/>
          <w:lang w:val="es-ES_tradnl"/>
        </w:rPr>
        <w:t>afirmó</w:t>
      </w:r>
      <w:r w:rsidRPr="00351298">
        <w:rPr>
          <w:rFonts w:ascii="Verdana" w:hAnsi="Verdana"/>
          <w:sz w:val="20"/>
          <w:szCs w:val="20"/>
          <w:lang w:val="es-ES_tradnl"/>
        </w:rPr>
        <w:t xml:space="preserve"> ante la Corte que:</w:t>
      </w:r>
    </w:p>
    <w:p w14:paraId="6354A188" w14:textId="502DAF08" w:rsidR="00A03C8E" w:rsidRDefault="00556ED7" w:rsidP="00F714A8">
      <w:pPr>
        <w:spacing w:before="120" w:after="120"/>
        <w:ind w:left="567" w:right="616"/>
        <w:jc w:val="both"/>
        <w:rPr>
          <w:rFonts w:ascii="Verdana" w:hAnsi="Verdana"/>
          <w:sz w:val="18"/>
          <w:szCs w:val="18"/>
          <w:lang w:val="es-ES_tradnl"/>
        </w:rPr>
      </w:pPr>
      <w:r>
        <w:rPr>
          <w:rFonts w:ascii="Verdana" w:hAnsi="Verdana"/>
          <w:sz w:val="18"/>
          <w:szCs w:val="18"/>
          <w:lang w:val="es-ES_tradnl"/>
        </w:rPr>
        <w:t xml:space="preserve">[…] </w:t>
      </w:r>
      <w:r w:rsidR="00EF67F1" w:rsidRPr="00351298">
        <w:rPr>
          <w:rFonts w:ascii="Verdana" w:hAnsi="Verdana"/>
          <w:sz w:val="18"/>
          <w:szCs w:val="18"/>
          <w:lang w:val="es-ES_tradnl"/>
        </w:rPr>
        <w:t xml:space="preserve">el </w:t>
      </w:r>
      <w:r w:rsidR="00DC1721" w:rsidRPr="00351298">
        <w:rPr>
          <w:rFonts w:ascii="Verdana" w:hAnsi="Verdana"/>
          <w:sz w:val="18"/>
          <w:szCs w:val="18"/>
          <w:lang w:val="es-ES_tradnl"/>
        </w:rPr>
        <w:t>entonces</w:t>
      </w:r>
      <w:r w:rsidR="00027C44" w:rsidRPr="00351298">
        <w:rPr>
          <w:rFonts w:ascii="Verdana" w:hAnsi="Verdana"/>
          <w:sz w:val="18"/>
          <w:szCs w:val="18"/>
          <w:lang w:val="es-ES_tradnl"/>
        </w:rPr>
        <w:t xml:space="preserve"> </w:t>
      </w:r>
      <w:r w:rsidR="00EF67F1" w:rsidRPr="00351298">
        <w:rPr>
          <w:rFonts w:ascii="Verdana" w:hAnsi="Verdana"/>
          <w:sz w:val="18"/>
          <w:szCs w:val="18"/>
          <w:lang w:val="es-ES_tradnl"/>
        </w:rPr>
        <w:t>gobernado</w:t>
      </w:r>
      <w:r w:rsidR="001B26DA" w:rsidRPr="00351298">
        <w:rPr>
          <w:rFonts w:ascii="Verdana" w:hAnsi="Verdana"/>
          <w:sz w:val="18"/>
          <w:szCs w:val="18"/>
          <w:lang w:val="es-ES_tradnl"/>
        </w:rPr>
        <w:t>r</w:t>
      </w:r>
      <w:r w:rsidR="00EF67F1" w:rsidRPr="00351298">
        <w:rPr>
          <w:rFonts w:ascii="Verdana" w:hAnsi="Verdana"/>
          <w:sz w:val="18"/>
          <w:szCs w:val="18"/>
          <w:lang w:val="es-ES_tradnl"/>
        </w:rPr>
        <w:t xml:space="preserve"> </w:t>
      </w:r>
      <w:r w:rsidR="00027C44" w:rsidRPr="00351298">
        <w:rPr>
          <w:rFonts w:ascii="Verdana" w:hAnsi="Verdana"/>
          <w:sz w:val="18"/>
          <w:szCs w:val="18"/>
          <w:lang w:val="es-ES_tradnl"/>
        </w:rPr>
        <w:t xml:space="preserve">[…] </w:t>
      </w:r>
      <w:r w:rsidR="00EF67F1" w:rsidRPr="00351298">
        <w:rPr>
          <w:rFonts w:ascii="Verdana" w:hAnsi="Verdana"/>
          <w:sz w:val="18"/>
          <w:szCs w:val="18"/>
          <w:lang w:val="es-ES_tradnl"/>
        </w:rPr>
        <w:t xml:space="preserve">y </w:t>
      </w:r>
      <w:r w:rsidR="002E58F9" w:rsidRPr="00351298">
        <w:rPr>
          <w:rFonts w:ascii="Verdana" w:hAnsi="Verdana"/>
          <w:sz w:val="18"/>
          <w:szCs w:val="18"/>
          <w:lang w:val="es-ES_tradnl"/>
        </w:rPr>
        <w:t xml:space="preserve">el </w:t>
      </w:r>
      <w:r w:rsidR="00EF67F1" w:rsidRPr="00351298">
        <w:rPr>
          <w:rFonts w:ascii="Verdana" w:hAnsi="Verdana"/>
          <w:sz w:val="18"/>
          <w:szCs w:val="18"/>
          <w:lang w:val="es-ES_tradnl"/>
        </w:rPr>
        <w:t xml:space="preserve">[entonces] </w:t>
      </w:r>
      <w:r w:rsidR="002E58F9" w:rsidRPr="00351298">
        <w:rPr>
          <w:rFonts w:ascii="Verdana" w:hAnsi="Verdana"/>
          <w:sz w:val="18"/>
          <w:szCs w:val="18"/>
          <w:lang w:val="es-ES_tradnl"/>
        </w:rPr>
        <w:t>procurado</w:t>
      </w:r>
      <w:r w:rsidR="00EF67F1" w:rsidRPr="00351298">
        <w:rPr>
          <w:rFonts w:ascii="Verdana" w:hAnsi="Verdana"/>
          <w:sz w:val="18"/>
          <w:szCs w:val="18"/>
          <w:lang w:val="es-ES_tradnl"/>
        </w:rPr>
        <w:t>r</w:t>
      </w:r>
      <w:r w:rsidR="002E58F9" w:rsidRPr="00351298">
        <w:rPr>
          <w:rFonts w:ascii="Verdana" w:hAnsi="Verdana"/>
          <w:sz w:val="18"/>
          <w:szCs w:val="18"/>
          <w:lang w:val="es-ES_tradnl"/>
        </w:rPr>
        <w:t xml:space="preserve"> </w:t>
      </w:r>
      <w:r w:rsidR="00EF67F1" w:rsidRPr="00351298">
        <w:rPr>
          <w:rFonts w:ascii="Verdana" w:hAnsi="Verdana"/>
          <w:sz w:val="18"/>
          <w:szCs w:val="18"/>
          <w:lang w:val="es-ES_tradnl"/>
        </w:rPr>
        <w:t>[…]</w:t>
      </w:r>
      <w:r w:rsidR="00027C44" w:rsidRPr="00351298">
        <w:rPr>
          <w:rFonts w:ascii="Verdana" w:hAnsi="Verdana"/>
          <w:sz w:val="18"/>
          <w:szCs w:val="18"/>
          <w:lang w:val="es-ES_tradnl"/>
        </w:rPr>
        <w:t xml:space="preserve"> </w:t>
      </w:r>
      <w:r w:rsidR="002E58F9" w:rsidRPr="00351298">
        <w:rPr>
          <w:rFonts w:ascii="Verdana" w:hAnsi="Verdana"/>
          <w:sz w:val="18"/>
          <w:szCs w:val="18"/>
          <w:lang w:val="es-ES_tradnl"/>
        </w:rPr>
        <w:t>exhibieron públicamente como delincuentes a quien se les ocurría</w:t>
      </w:r>
      <w:r w:rsidR="001B26DA" w:rsidRPr="00351298">
        <w:rPr>
          <w:rFonts w:ascii="Verdana" w:hAnsi="Verdana"/>
          <w:sz w:val="18"/>
          <w:szCs w:val="18"/>
          <w:lang w:val="es-ES_tradnl"/>
        </w:rPr>
        <w:t>,</w:t>
      </w:r>
      <w:r w:rsidR="002E58F9" w:rsidRPr="00351298">
        <w:rPr>
          <w:rFonts w:ascii="Verdana" w:hAnsi="Verdana"/>
          <w:sz w:val="18"/>
          <w:szCs w:val="18"/>
          <w:lang w:val="es-ES_tradnl"/>
        </w:rPr>
        <w:t xml:space="preserve"> publicitándose como gobernantes que no le temblaban la mano y para ejercer justicia </w:t>
      </w:r>
      <w:r w:rsidR="00027C44" w:rsidRPr="00351298">
        <w:rPr>
          <w:rFonts w:ascii="Verdana" w:hAnsi="Verdana"/>
          <w:sz w:val="18"/>
          <w:szCs w:val="18"/>
          <w:lang w:val="es-ES_tradnl"/>
        </w:rPr>
        <w:t>[…]</w:t>
      </w:r>
      <w:r w:rsidR="002E58F9" w:rsidRPr="00351298">
        <w:rPr>
          <w:rFonts w:ascii="Verdana" w:hAnsi="Verdana"/>
          <w:sz w:val="18"/>
          <w:szCs w:val="18"/>
          <w:lang w:val="es-ES_tradnl"/>
        </w:rPr>
        <w:t>, eso le</w:t>
      </w:r>
      <w:r w:rsidR="00027C44" w:rsidRPr="00351298">
        <w:rPr>
          <w:rFonts w:ascii="Verdana" w:hAnsi="Verdana"/>
          <w:sz w:val="18"/>
          <w:szCs w:val="18"/>
          <w:lang w:val="es-ES_tradnl"/>
        </w:rPr>
        <w:t>s</w:t>
      </w:r>
      <w:r w:rsidR="002E58F9" w:rsidRPr="00351298">
        <w:rPr>
          <w:rFonts w:ascii="Verdana" w:hAnsi="Verdana"/>
          <w:sz w:val="18"/>
          <w:szCs w:val="18"/>
          <w:lang w:val="es-ES_tradnl"/>
        </w:rPr>
        <w:t xml:space="preserve"> sirvió políticamente </w:t>
      </w:r>
      <w:r w:rsidR="00027C44" w:rsidRPr="00351298">
        <w:rPr>
          <w:rFonts w:ascii="Verdana" w:hAnsi="Verdana"/>
          <w:sz w:val="18"/>
          <w:szCs w:val="18"/>
          <w:lang w:val="es-ES_tradnl"/>
        </w:rPr>
        <w:t>[…]</w:t>
      </w:r>
      <w:r w:rsidR="002E58F9" w:rsidRPr="00351298">
        <w:rPr>
          <w:rFonts w:ascii="Verdana" w:hAnsi="Verdana"/>
          <w:sz w:val="18"/>
          <w:szCs w:val="18"/>
          <w:lang w:val="es-ES_tradnl"/>
        </w:rPr>
        <w:t xml:space="preserve"> una de sus frases públicas </w:t>
      </w:r>
      <w:r w:rsidR="00027C44" w:rsidRPr="00351298">
        <w:rPr>
          <w:rFonts w:ascii="Verdana" w:hAnsi="Verdana"/>
          <w:sz w:val="18"/>
          <w:szCs w:val="18"/>
          <w:lang w:val="es-ES_tradnl"/>
        </w:rPr>
        <w:t>[…]</w:t>
      </w:r>
      <w:r w:rsidR="002E58F9" w:rsidRPr="00351298">
        <w:rPr>
          <w:rFonts w:ascii="Verdana" w:hAnsi="Verdana"/>
          <w:sz w:val="18"/>
          <w:szCs w:val="18"/>
          <w:lang w:val="es-ES_tradnl"/>
        </w:rPr>
        <w:t xml:space="preserve"> era que los derechos humanos no eran para las ratas</w:t>
      </w:r>
      <w:r w:rsidR="00027C44" w:rsidRPr="00351298">
        <w:rPr>
          <w:rFonts w:ascii="Verdana" w:hAnsi="Verdana"/>
          <w:sz w:val="18"/>
          <w:szCs w:val="18"/>
          <w:lang w:val="es-ES_tradnl"/>
        </w:rPr>
        <w:t xml:space="preserve"> […]</w:t>
      </w:r>
      <w:r w:rsidR="005A4AE3">
        <w:rPr>
          <w:rFonts w:ascii="Verdana" w:hAnsi="Verdana"/>
          <w:sz w:val="18"/>
          <w:szCs w:val="18"/>
          <w:lang w:val="es-ES_tradnl"/>
        </w:rPr>
        <w:t>.</w:t>
      </w:r>
    </w:p>
    <w:p w14:paraId="4E346064" w14:textId="77777777" w:rsidR="00556ED7" w:rsidRPr="00D04822" w:rsidRDefault="005A0477" w:rsidP="005A0477">
      <w:pPr>
        <w:numPr>
          <w:ilvl w:val="0"/>
          <w:numId w:val="2"/>
        </w:numPr>
        <w:spacing w:before="120" w:after="120"/>
        <w:ind w:left="0" w:firstLine="0"/>
        <w:jc w:val="both"/>
        <w:rPr>
          <w:rFonts w:ascii="Verdana" w:hAnsi="Verdana"/>
          <w:sz w:val="20"/>
          <w:szCs w:val="20"/>
        </w:rPr>
      </w:pPr>
      <w:r w:rsidRPr="00D04822">
        <w:rPr>
          <w:rFonts w:ascii="Verdana" w:hAnsi="Verdana"/>
          <w:sz w:val="20"/>
          <w:szCs w:val="20"/>
          <w:lang w:val="es-ES"/>
        </w:rPr>
        <w:t xml:space="preserve">Sobre este punto corresponde recordar que </w:t>
      </w:r>
      <w:r w:rsidRPr="00D04822">
        <w:rPr>
          <w:rFonts w:ascii="Verdana" w:hAnsi="Verdana"/>
          <w:sz w:val="20"/>
          <w:szCs w:val="20"/>
        </w:rPr>
        <w:t>este Tribunal ha establecido que, de conformidad con el artículo 1.1 de la Convención Americana, la obligación de garantizar los derechos reconocidos en los artículos 5.1 y 5.2 de la Convención implica el deber del Estado de investigar posibles actos de tortura u otros tratos crueles, inhumanos o degradantes, el que se ve precisado por los artículos 1, 6 y 8 de la CIPST</w:t>
      </w:r>
      <w:r w:rsidRPr="00D04822">
        <w:rPr>
          <w:rStyle w:val="Refdenotaalpie"/>
          <w:rFonts w:ascii="Verdana" w:hAnsi="Verdana"/>
          <w:sz w:val="20"/>
        </w:rPr>
        <w:footnoteReference w:id="235"/>
      </w:r>
      <w:r w:rsidRPr="00D04822">
        <w:rPr>
          <w:rFonts w:ascii="Verdana" w:hAnsi="Verdana"/>
          <w:sz w:val="20"/>
          <w:szCs w:val="20"/>
        </w:rPr>
        <w:t>. De esa cuenta, el Tribunal ha señalado que el artículo 8 de la CIPST establece claramente que,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r w:rsidRPr="00D04822">
        <w:rPr>
          <w:rStyle w:val="Refdenotaalpie"/>
          <w:rFonts w:ascii="Verdana" w:hAnsi="Verdana"/>
          <w:sz w:val="20"/>
        </w:rPr>
        <w:footnoteReference w:id="236"/>
      </w:r>
      <w:r w:rsidRPr="00D04822">
        <w:rPr>
          <w:rFonts w:ascii="Verdana" w:hAnsi="Verdana"/>
          <w:sz w:val="20"/>
          <w:szCs w:val="20"/>
        </w:rPr>
        <w:t>.</w:t>
      </w:r>
      <w:r w:rsidR="00255340" w:rsidRPr="00D04822">
        <w:rPr>
          <w:rFonts w:ascii="Verdana" w:hAnsi="Verdana"/>
          <w:sz w:val="20"/>
          <w:szCs w:val="20"/>
        </w:rPr>
        <w:t xml:space="preserve"> </w:t>
      </w:r>
    </w:p>
    <w:p w14:paraId="0C4176A6" w14:textId="537BE6C2" w:rsidR="005A0477" w:rsidRPr="00D04822" w:rsidRDefault="00255340" w:rsidP="005A0477">
      <w:pPr>
        <w:numPr>
          <w:ilvl w:val="0"/>
          <w:numId w:val="2"/>
        </w:numPr>
        <w:spacing w:before="120" w:after="120"/>
        <w:ind w:left="0" w:firstLine="0"/>
        <w:jc w:val="both"/>
        <w:rPr>
          <w:rFonts w:ascii="Verdana" w:hAnsi="Verdana"/>
          <w:sz w:val="20"/>
          <w:szCs w:val="20"/>
        </w:rPr>
      </w:pPr>
      <w:r w:rsidRPr="00D04822">
        <w:rPr>
          <w:rFonts w:ascii="Verdana" w:hAnsi="Verdana"/>
          <w:sz w:val="20"/>
          <w:szCs w:val="20"/>
        </w:rPr>
        <w:t>En ese sentido, el juez encargado de resolver sobre la situación jurídica del detenido o imputado, ya sea para dejarlo en libertad o dictar medidas cautelares -al ser la primera autoridad imparcial con la que tiene contacto las personas detenidas</w:t>
      </w:r>
      <w:r w:rsidR="00F26098" w:rsidRPr="00D04822">
        <w:rPr>
          <w:rFonts w:ascii="Verdana" w:hAnsi="Verdana"/>
          <w:sz w:val="20"/>
          <w:szCs w:val="20"/>
        </w:rPr>
        <w:t>-, debe ser garante de que se cumpla el deber de investigar contenido en la Convención Interamericana para Prevenir y Sancionar la Tortura</w:t>
      </w:r>
      <w:r w:rsidR="00556ED7" w:rsidRPr="00D04822">
        <w:rPr>
          <w:rFonts w:ascii="Verdana" w:hAnsi="Verdana"/>
          <w:sz w:val="20"/>
          <w:szCs w:val="20"/>
        </w:rPr>
        <w:t>.</w:t>
      </w:r>
      <w:r w:rsidR="00F26098" w:rsidRPr="00D04822">
        <w:rPr>
          <w:rFonts w:ascii="Verdana" w:hAnsi="Verdana"/>
          <w:sz w:val="20"/>
          <w:szCs w:val="20"/>
        </w:rPr>
        <w:t xml:space="preserve"> </w:t>
      </w:r>
      <w:r w:rsidR="00556ED7" w:rsidRPr="00D04822">
        <w:rPr>
          <w:rFonts w:ascii="Verdana" w:hAnsi="Verdana"/>
          <w:sz w:val="20"/>
          <w:szCs w:val="20"/>
        </w:rPr>
        <w:t>E</w:t>
      </w:r>
      <w:r w:rsidR="00F26098" w:rsidRPr="00D04822">
        <w:rPr>
          <w:rFonts w:ascii="Verdana" w:hAnsi="Verdana"/>
          <w:sz w:val="20"/>
          <w:szCs w:val="20"/>
        </w:rPr>
        <w:t>n consecuencia</w:t>
      </w:r>
      <w:r w:rsidR="00556ED7" w:rsidRPr="00D04822">
        <w:rPr>
          <w:rFonts w:ascii="Verdana" w:hAnsi="Verdana"/>
          <w:sz w:val="20"/>
          <w:szCs w:val="20"/>
        </w:rPr>
        <w:t>,</w:t>
      </w:r>
      <w:r w:rsidR="00F26098" w:rsidRPr="00D04822">
        <w:rPr>
          <w:rFonts w:ascii="Verdana" w:hAnsi="Verdana"/>
          <w:sz w:val="20"/>
          <w:szCs w:val="20"/>
        </w:rPr>
        <w:t xml:space="preserve"> en casos </w:t>
      </w:r>
      <w:r w:rsidR="004D6346">
        <w:rPr>
          <w:rFonts w:ascii="Verdana" w:hAnsi="Verdana"/>
          <w:sz w:val="20"/>
          <w:szCs w:val="20"/>
        </w:rPr>
        <w:t>en los</w:t>
      </w:r>
      <w:r w:rsidR="00F26098" w:rsidRPr="00D04822">
        <w:rPr>
          <w:rFonts w:ascii="Verdana" w:hAnsi="Verdana"/>
          <w:sz w:val="20"/>
          <w:szCs w:val="20"/>
        </w:rPr>
        <w:t xml:space="preserve"> que exista denuncia o sospecha de que una persona detenida ha sido sometida a actos de tortura, </w:t>
      </w:r>
      <w:r w:rsidR="00556ED7" w:rsidRPr="00D04822">
        <w:rPr>
          <w:rFonts w:ascii="Verdana" w:hAnsi="Verdana"/>
          <w:sz w:val="20"/>
          <w:szCs w:val="20"/>
        </w:rPr>
        <w:t xml:space="preserve">la autoridad judicial </w:t>
      </w:r>
      <w:r w:rsidR="00F26098" w:rsidRPr="00D04822">
        <w:rPr>
          <w:rFonts w:ascii="Verdana" w:hAnsi="Verdana"/>
          <w:sz w:val="20"/>
          <w:szCs w:val="20"/>
        </w:rPr>
        <w:t xml:space="preserve">debe remitir de inmediato, a la persona detenida a la autoridad competente para que se lleve a cabo un examen médico que sirva </w:t>
      </w:r>
      <w:r w:rsidR="00F26098" w:rsidRPr="00D04822">
        <w:rPr>
          <w:rFonts w:ascii="Verdana" w:hAnsi="Verdana"/>
          <w:sz w:val="20"/>
          <w:szCs w:val="20"/>
        </w:rPr>
        <w:lastRenderedPageBreak/>
        <w:t xml:space="preserve">para recabar las evidencias necesarias oportunamente para </w:t>
      </w:r>
      <w:r w:rsidR="00556ED7" w:rsidRPr="00D04822">
        <w:rPr>
          <w:rFonts w:ascii="Verdana" w:hAnsi="Verdana"/>
          <w:sz w:val="20"/>
          <w:szCs w:val="20"/>
        </w:rPr>
        <w:t xml:space="preserve">iniciar eventualmente </w:t>
      </w:r>
      <w:r w:rsidR="00F26098" w:rsidRPr="00D04822">
        <w:rPr>
          <w:rFonts w:ascii="Verdana" w:hAnsi="Verdana"/>
          <w:sz w:val="20"/>
          <w:szCs w:val="20"/>
        </w:rPr>
        <w:t>el proceso que, de oficio. Asimismo, deberá asegurarse que la persona detenida que alega haber sido torturada o se sospecha que lo ha sido, sea evaluada por un médico que le pueda dar atención inmediata a su salud. El examen para efectos de documentación de las lesiones a la integridad física debe ser realizado por parte de un médico que no tenga vínculos con las autoridades penitenciarias o de detención. En ese sentido, un juez no puede desentenderse de una denuncia de tortura frente a la cual actúa como juez de garantía de la persona sometida al proceso.</w:t>
      </w:r>
    </w:p>
    <w:p w14:paraId="57FE6E2D" w14:textId="60722492" w:rsidR="00D42BFB" w:rsidRPr="00351298" w:rsidRDefault="001646C0" w:rsidP="00B87829">
      <w:pPr>
        <w:numPr>
          <w:ilvl w:val="0"/>
          <w:numId w:val="2"/>
        </w:numPr>
        <w:spacing w:before="120" w:after="120"/>
        <w:ind w:left="0" w:firstLine="0"/>
        <w:jc w:val="both"/>
        <w:rPr>
          <w:rFonts w:ascii="Verdana" w:hAnsi="Verdana"/>
          <w:sz w:val="20"/>
          <w:szCs w:val="20"/>
          <w:lang w:val="es-ES_tradnl"/>
        </w:rPr>
      </w:pPr>
      <w:r w:rsidRPr="00351298">
        <w:rPr>
          <w:rFonts w:ascii="Verdana" w:hAnsi="Verdana"/>
          <w:sz w:val="20"/>
          <w:szCs w:val="20"/>
          <w:lang w:val="es-ES_tradnl"/>
        </w:rPr>
        <w:t xml:space="preserve">En suma, </w:t>
      </w:r>
      <w:r w:rsidR="00E377BC" w:rsidRPr="00351298">
        <w:rPr>
          <w:rFonts w:ascii="Verdana" w:hAnsi="Verdana"/>
          <w:sz w:val="20"/>
          <w:szCs w:val="20"/>
          <w:lang w:val="es-ES_tradnl"/>
        </w:rPr>
        <w:t>para esta Corte es claro que Daniel García Rodríguez denunci</w:t>
      </w:r>
      <w:r w:rsidR="004F0AC1" w:rsidRPr="00351298">
        <w:rPr>
          <w:rFonts w:ascii="Verdana" w:hAnsi="Verdana"/>
          <w:sz w:val="20"/>
          <w:szCs w:val="20"/>
          <w:lang w:val="es-ES_tradnl"/>
        </w:rPr>
        <w:t>ó</w:t>
      </w:r>
      <w:r w:rsidR="00E377BC" w:rsidRPr="00351298">
        <w:rPr>
          <w:rFonts w:ascii="Verdana" w:hAnsi="Verdana"/>
          <w:sz w:val="20"/>
          <w:szCs w:val="20"/>
          <w:lang w:val="es-ES_tradnl"/>
        </w:rPr>
        <w:t xml:space="preserve"> haber sido sometido a maltratos físicos y psicológicos severos durante la época en que fue sometido a la medida de arraigo</w:t>
      </w:r>
      <w:r w:rsidR="00BC7EB3" w:rsidRPr="00351298">
        <w:rPr>
          <w:rFonts w:ascii="Verdana" w:hAnsi="Verdana"/>
          <w:sz w:val="20"/>
          <w:szCs w:val="20"/>
          <w:lang w:val="es-ES_tradnl"/>
        </w:rPr>
        <w:t>, y que no consta que esos hechos hubiesen sido investigados.</w:t>
      </w:r>
      <w:r w:rsidR="00E377BC" w:rsidRPr="00351298">
        <w:rPr>
          <w:rFonts w:ascii="Verdana" w:hAnsi="Verdana"/>
          <w:sz w:val="20"/>
          <w:szCs w:val="20"/>
          <w:lang w:val="es-ES_tradnl"/>
        </w:rPr>
        <w:t xml:space="preserve"> Los maltratos psicológicos que fueron descriptos por Daniel García son de una extrema severidad pues consistieron en amenazar y detener a sus familiares y seres queridos. </w:t>
      </w:r>
      <w:r w:rsidR="004F0AC1" w:rsidRPr="00351298">
        <w:rPr>
          <w:rFonts w:ascii="Verdana" w:hAnsi="Verdana"/>
          <w:sz w:val="20"/>
          <w:szCs w:val="20"/>
          <w:lang w:val="es-ES_tradnl"/>
        </w:rPr>
        <w:t>Además</w:t>
      </w:r>
      <w:r w:rsidR="005F16EF" w:rsidRPr="00351298">
        <w:rPr>
          <w:rFonts w:ascii="Verdana" w:hAnsi="Verdana"/>
          <w:sz w:val="20"/>
          <w:szCs w:val="20"/>
          <w:lang w:val="es-ES_tradnl"/>
        </w:rPr>
        <w:t>,</w:t>
      </w:r>
      <w:r w:rsidR="004F0AC1" w:rsidRPr="00351298">
        <w:rPr>
          <w:rFonts w:ascii="Verdana" w:hAnsi="Verdana"/>
          <w:sz w:val="20"/>
          <w:szCs w:val="20"/>
          <w:lang w:val="es-ES_tradnl"/>
        </w:rPr>
        <w:t xml:space="preserve"> buscaban una finalidad precisa que consistió en obtener su confesión y firma de documentos implicando a otras personas. </w:t>
      </w:r>
      <w:r w:rsidR="00E377BC" w:rsidRPr="00351298">
        <w:rPr>
          <w:rFonts w:ascii="Verdana" w:hAnsi="Verdana"/>
          <w:sz w:val="20"/>
          <w:szCs w:val="20"/>
          <w:lang w:val="es-ES_tradnl"/>
        </w:rPr>
        <w:t xml:space="preserve">Por </w:t>
      </w:r>
      <w:r w:rsidR="00E377BC" w:rsidRPr="00F31F8B">
        <w:rPr>
          <w:rFonts w:ascii="Verdana" w:hAnsi="Verdana"/>
          <w:sz w:val="20"/>
          <w:szCs w:val="20"/>
          <w:lang w:val="es-ES_tradnl"/>
        </w:rPr>
        <w:t>otra parte, las declaraciones de Daniel García fueron puestas en conocimiento de la autoridad competente y no fueron investigadas por parte de estas</w:t>
      </w:r>
      <w:r w:rsidR="00027C44" w:rsidRPr="00F31F8B">
        <w:rPr>
          <w:rFonts w:ascii="Verdana" w:hAnsi="Verdana"/>
          <w:sz w:val="20"/>
          <w:szCs w:val="20"/>
          <w:lang w:val="es-ES_tradnl"/>
        </w:rPr>
        <w:t xml:space="preserve">, incluso </w:t>
      </w:r>
      <w:r w:rsidR="004D6346">
        <w:rPr>
          <w:rFonts w:ascii="Verdana" w:hAnsi="Verdana"/>
          <w:sz w:val="20"/>
          <w:szCs w:val="20"/>
          <w:lang w:val="es-ES_tradnl"/>
        </w:rPr>
        <w:t xml:space="preserve">cuando </w:t>
      </w:r>
      <w:r w:rsidR="00027C44" w:rsidRPr="00F31F8B">
        <w:rPr>
          <w:rFonts w:ascii="Verdana" w:hAnsi="Verdana"/>
          <w:sz w:val="20"/>
          <w:szCs w:val="20"/>
          <w:lang w:val="es-ES_tradnl"/>
        </w:rPr>
        <w:t>el Juez Quinto Penal no admitió dicho medio de prueba porque consider</w:t>
      </w:r>
      <w:r w:rsidR="00022A58" w:rsidRPr="00F31F8B">
        <w:rPr>
          <w:rFonts w:ascii="Verdana" w:hAnsi="Verdana"/>
          <w:sz w:val="20"/>
          <w:szCs w:val="20"/>
          <w:lang w:val="es-ES_tradnl"/>
        </w:rPr>
        <w:t>ó</w:t>
      </w:r>
      <w:r w:rsidR="00027C44" w:rsidRPr="00F31F8B">
        <w:rPr>
          <w:rFonts w:ascii="Verdana" w:hAnsi="Verdana"/>
          <w:sz w:val="20"/>
          <w:szCs w:val="20"/>
          <w:lang w:val="es-ES_tradnl"/>
        </w:rPr>
        <w:t xml:space="preserve"> que “las actuaciones ministeriales se encuentran revestidas de las prerrogativas de haber sido realizadas por autoridad pública” (</w:t>
      </w:r>
      <w:r w:rsidR="00027C44" w:rsidRPr="00F31F8B">
        <w:rPr>
          <w:rFonts w:ascii="Verdana" w:hAnsi="Verdana"/>
          <w:i/>
          <w:iCs/>
          <w:sz w:val="20"/>
          <w:szCs w:val="20"/>
          <w:lang w:val="es-ES_tradnl"/>
        </w:rPr>
        <w:t>supra</w:t>
      </w:r>
      <w:r w:rsidR="00027C44" w:rsidRPr="00F31F8B">
        <w:rPr>
          <w:rFonts w:ascii="Verdana" w:hAnsi="Verdana"/>
          <w:sz w:val="20"/>
          <w:szCs w:val="20"/>
          <w:lang w:val="es-ES_tradnl"/>
        </w:rPr>
        <w:t xml:space="preserve"> párr. </w:t>
      </w:r>
      <w:r w:rsidR="00556ED7">
        <w:rPr>
          <w:rFonts w:ascii="Verdana" w:hAnsi="Verdana"/>
          <w:sz w:val="20"/>
          <w:szCs w:val="20"/>
          <w:lang w:val="es-ES_tradnl"/>
        </w:rPr>
        <w:t>72</w:t>
      </w:r>
      <w:r w:rsidR="00027C44" w:rsidRPr="00F31F8B">
        <w:rPr>
          <w:rFonts w:ascii="Verdana" w:hAnsi="Verdana"/>
          <w:sz w:val="20"/>
          <w:szCs w:val="20"/>
          <w:lang w:val="es-ES_tradnl"/>
        </w:rPr>
        <w:t>)</w:t>
      </w:r>
      <w:r w:rsidR="00E377BC" w:rsidRPr="00F31F8B">
        <w:rPr>
          <w:rFonts w:ascii="Verdana" w:hAnsi="Verdana"/>
          <w:sz w:val="20"/>
          <w:szCs w:val="20"/>
          <w:lang w:val="es-ES_tradnl"/>
        </w:rPr>
        <w:t>, por lo cual e</w:t>
      </w:r>
      <w:r w:rsidR="00556ED7">
        <w:rPr>
          <w:rFonts w:ascii="Verdana" w:hAnsi="Verdana"/>
          <w:sz w:val="20"/>
          <w:szCs w:val="20"/>
          <w:lang w:val="es-ES_tradnl"/>
        </w:rPr>
        <w:t>l</w:t>
      </w:r>
      <w:r w:rsidR="00E377BC" w:rsidRPr="00F31F8B">
        <w:rPr>
          <w:rFonts w:ascii="Verdana" w:hAnsi="Verdana"/>
          <w:sz w:val="20"/>
          <w:szCs w:val="20"/>
          <w:lang w:val="es-ES_tradnl"/>
        </w:rPr>
        <w:t xml:space="preserve"> Estado no desvirtuó esas alegaciones ni brindó una explicación plausible a las mismas. Lo anterior se </w:t>
      </w:r>
      <w:r w:rsidR="00BC7EB3" w:rsidRPr="00F31F8B">
        <w:rPr>
          <w:rFonts w:ascii="Verdana" w:hAnsi="Verdana"/>
          <w:sz w:val="20"/>
          <w:szCs w:val="20"/>
          <w:lang w:val="es-ES_tradnl"/>
        </w:rPr>
        <w:t xml:space="preserve">produjo en </w:t>
      </w:r>
      <w:r w:rsidR="00E377BC" w:rsidRPr="00F31F8B">
        <w:rPr>
          <w:rFonts w:ascii="Verdana" w:hAnsi="Verdana"/>
          <w:sz w:val="20"/>
          <w:szCs w:val="20"/>
          <w:lang w:val="es-ES_tradnl"/>
        </w:rPr>
        <w:t>un contexto particular en materia de arraigo y vulnerabilidad a hechos de tortura el cual fue mencionado en el apartado anterior (</w:t>
      </w:r>
      <w:r w:rsidR="00E377BC" w:rsidRPr="00F31F8B">
        <w:rPr>
          <w:rFonts w:ascii="Verdana" w:hAnsi="Verdana"/>
          <w:i/>
          <w:iCs/>
          <w:sz w:val="20"/>
          <w:szCs w:val="20"/>
          <w:lang w:val="es-ES_tradnl"/>
        </w:rPr>
        <w:t>supra</w:t>
      </w:r>
      <w:r w:rsidR="00E377BC" w:rsidRPr="00F31F8B">
        <w:rPr>
          <w:rFonts w:ascii="Verdana" w:hAnsi="Verdana"/>
          <w:sz w:val="20"/>
          <w:szCs w:val="20"/>
          <w:lang w:val="es-ES_tradnl"/>
        </w:rPr>
        <w:t xml:space="preserve"> párr. </w:t>
      </w:r>
      <w:r w:rsidR="00556ED7">
        <w:rPr>
          <w:rFonts w:ascii="Verdana" w:hAnsi="Verdana"/>
          <w:sz w:val="20"/>
          <w:szCs w:val="20"/>
          <w:lang w:val="es-ES_tradnl"/>
        </w:rPr>
        <w:t>213</w:t>
      </w:r>
      <w:r w:rsidR="00E377BC" w:rsidRPr="00F31F8B">
        <w:rPr>
          <w:rFonts w:ascii="Verdana" w:hAnsi="Verdana"/>
          <w:sz w:val="20"/>
          <w:szCs w:val="20"/>
          <w:lang w:val="es-ES_tradnl"/>
        </w:rPr>
        <w:t xml:space="preserve">). </w:t>
      </w:r>
      <w:r w:rsidR="005F16EF" w:rsidRPr="00F31F8B">
        <w:rPr>
          <w:rFonts w:ascii="Verdana" w:hAnsi="Verdana"/>
          <w:sz w:val="20"/>
          <w:szCs w:val="20"/>
          <w:lang w:val="es-ES_tradnl"/>
        </w:rPr>
        <w:t>A ello se suma</w:t>
      </w:r>
      <w:r w:rsidR="00A16462" w:rsidRPr="00F31F8B">
        <w:rPr>
          <w:rFonts w:ascii="Verdana" w:hAnsi="Verdana"/>
          <w:sz w:val="20"/>
          <w:szCs w:val="20"/>
          <w:lang w:val="es-ES_tradnl"/>
        </w:rPr>
        <w:t>n</w:t>
      </w:r>
      <w:r w:rsidR="005F16EF" w:rsidRPr="00F31F8B">
        <w:rPr>
          <w:rFonts w:ascii="Verdana" w:hAnsi="Verdana"/>
          <w:sz w:val="20"/>
          <w:szCs w:val="20"/>
          <w:lang w:val="es-ES_tradnl"/>
        </w:rPr>
        <w:t xml:space="preserve"> las condiciones de encadenamiento en las que estuvo durante el período durante el cual estuvo bajo arraigo</w:t>
      </w:r>
      <w:r w:rsidR="00BC7EB3" w:rsidRPr="00F31F8B">
        <w:rPr>
          <w:rFonts w:ascii="Verdana" w:hAnsi="Verdana"/>
          <w:sz w:val="20"/>
          <w:szCs w:val="20"/>
          <w:lang w:val="es-ES_tradnl"/>
        </w:rPr>
        <w:t xml:space="preserve">, lo cual no fue </w:t>
      </w:r>
      <w:r w:rsidR="008F602F" w:rsidRPr="00F31F8B">
        <w:rPr>
          <w:rFonts w:ascii="Verdana" w:hAnsi="Verdana"/>
          <w:sz w:val="20"/>
          <w:szCs w:val="20"/>
          <w:lang w:val="es-ES_tradnl"/>
        </w:rPr>
        <w:t>desvirtuado</w:t>
      </w:r>
      <w:r w:rsidR="00BC7EB3" w:rsidRPr="00F31F8B">
        <w:rPr>
          <w:rFonts w:ascii="Verdana" w:hAnsi="Verdana"/>
          <w:sz w:val="20"/>
          <w:szCs w:val="20"/>
          <w:lang w:val="es-ES_tradnl"/>
        </w:rPr>
        <w:t xml:space="preserve"> por el Estado</w:t>
      </w:r>
      <w:r w:rsidR="005F16EF" w:rsidRPr="00F31F8B">
        <w:rPr>
          <w:rFonts w:ascii="Verdana" w:hAnsi="Verdana"/>
          <w:sz w:val="20"/>
          <w:szCs w:val="20"/>
          <w:lang w:val="es-ES_tradnl"/>
        </w:rPr>
        <w:t xml:space="preserve">. </w:t>
      </w:r>
      <w:r w:rsidR="00E377BC" w:rsidRPr="00F31F8B">
        <w:rPr>
          <w:rFonts w:ascii="Verdana" w:hAnsi="Verdana"/>
          <w:sz w:val="20"/>
          <w:szCs w:val="20"/>
          <w:lang w:val="es-ES_tradnl"/>
        </w:rPr>
        <w:t>Por todos esos motivos, se puede concluir que fue sometido a malos tratos y torturas psicológicas por parte de las autoridades del Ministerio Público del</w:t>
      </w:r>
      <w:r w:rsidR="00E377BC" w:rsidRPr="00351298">
        <w:rPr>
          <w:rFonts w:ascii="Verdana" w:hAnsi="Verdana"/>
          <w:sz w:val="20"/>
          <w:szCs w:val="20"/>
          <w:lang w:val="es-ES_tradnl"/>
        </w:rPr>
        <w:t xml:space="preserve"> Estado de México. </w:t>
      </w:r>
      <w:r w:rsidR="005A4AE3" w:rsidRPr="00351298">
        <w:rPr>
          <w:rFonts w:ascii="Verdana" w:hAnsi="Verdana"/>
          <w:sz w:val="20"/>
          <w:szCs w:val="20"/>
          <w:lang w:val="es-ES_tradnl"/>
        </w:rPr>
        <w:t xml:space="preserve">En consecuencia, este Tribunal concluye que el Estado es responsable por la violación al derecho a </w:t>
      </w:r>
      <w:r w:rsidR="005A4AE3">
        <w:rPr>
          <w:rFonts w:ascii="Verdana" w:hAnsi="Verdana"/>
          <w:sz w:val="20"/>
          <w:szCs w:val="20"/>
          <w:lang w:val="es-ES_tradnl"/>
        </w:rPr>
        <w:t xml:space="preserve">la integridad personal y del derecho a </w:t>
      </w:r>
      <w:r w:rsidR="005A4AE3" w:rsidRPr="00351298">
        <w:rPr>
          <w:rFonts w:ascii="Verdana" w:hAnsi="Verdana"/>
          <w:sz w:val="20"/>
          <w:szCs w:val="20"/>
          <w:lang w:val="es-ES_tradnl"/>
        </w:rPr>
        <w:t>no ser sometido a torturas contenido</w:t>
      </w:r>
      <w:r w:rsidR="005A4AE3">
        <w:rPr>
          <w:rFonts w:ascii="Verdana" w:hAnsi="Verdana"/>
          <w:sz w:val="20"/>
          <w:szCs w:val="20"/>
          <w:lang w:val="es-ES_tradnl"/>
        </w:rPr>
        <w:t>s</w:t>
      </w:r>
      <w:r w:rsidR="005A4AE3" w:rsidRPr="00351298">
        <w:rPr>
          <w:rFonts w:ascii="Verdana" w:hAnsi="Verdana"/>
          <w:sz w:val="20"/>
          <w:szCs w:val="20"/>
          <w:lang w:val="es-ES_tradnl"/>
        </w:rPr>
        <w:t xml:space="preserve"> en el artículo</w:t>
      </w:r>
      <w:r w:rsidR="005A4AE3">
        <w:rPr>
          <w:rFonts w:ascii="Verdana" w:hAnsi="Verdana"/>
          <w:sz w:val="20"/>
          <w:szCs w:val="20"/>
          <w:lang w:val="es-ES_tradnl"/>
        </w:rPr>
        <w:t xml:space="preserve"> 5.1 y</w:t>
      </w:r>
      <w:r w:rsidR="005A4AE3" w:rsidRPr="00351298">
        <w:rPr>
          <w:rFonts w:ascii="Verdana" w:hAnsi="Verdana"/>
          <w:sz w:val="20"/>
          <w:szCs w:val="20"/>
          <w:lang w:val="es-ES_tradnl"/>
        </w:rPr>
        <w:t xml:space="preserve"> 5.2 de la Convención Americana </w:t>
      </w:r>
      <w:r w:rsidR="005A4AE3">
        <w:rPr>
          <w:rFonts w:ascii="Verdana" w:hAnsi="Verdana"/>
          <w:sz w:val="20"/>
          <w:szCs w:val="20"/>
          <w:lang w:val="es-ES_tradnl"/>
        </w:rPr>
        <w:t xml:space="preserve">en relación con el artículo 1.1 del mismo instrumento, </w:t>
      </w:r>
      <w:r w:rsidR="005A4AE3" w:rsidRPr="00F43DFD">
        <w:rPr>
          <w:rFonts w:ascii="Verdana" w:hAnsi="Verdana"/>
          <w:sz w:val="20"/>
          <w:szCs w:val="20"/>
          <w:lang w:val="es-ES_tradnl"/>
        </w:rPr>
        <w:t>y</w:t>
      </w:r>
      <w:r w:rsidR="005A4AE3">
        <w:rPr>
          <w:rFonts w:ascii="Verdana" w:hAnsi="Verdana"/>
          <w:sz w:val="20"/>
          <w:szCs w:val="20"/>
          <w:lang w:val="es-ES_tradnl"/>
        </w:rPr>
        <w:t xml:space="preserve"> los artículos</w:t>
      </w:r>
      <w:r w:rsidR="005A4AE3" w:rsidRPr="00F43DFD">
        <w:rPr>
          <w:rFonts w:ascii="Verdana" w:hAnsi="Verdana"/>
          <w:sz w:val="20"/>
          <w:szCs w:val="20"/>
          <w:lang w:val="es-ES_tradnl"/>
        </w:rPr>
        <w:t xml:space="preserve"> 1</w:t>
      </w:r>
      <w:r w:rsidR="005A4AE3">
        <w:rPr>
          <w:rFonts w:ascii="Verdana" w:hAnsi="Verdana"/>
          <w:sz w:val="20"/>
          <w:szCs w:val="20"/>
          <w:lang w:val="es-ES_tradnl"/>
        </w:rPr>
        <w:t xml:space="preserve"> y</w:t>
      </w:r>
      <w:r w:rsidR="005A4AE3" w:rsidRPr="00F43DFD">
        <w:rPr>
          <w:rFonts w:ascii="Verdana" w:hAnsi="Verdana"/>
          <w:sz w:val="20"/>
          <w:szCs w:val="20"/>
          <w:lang w:val="es-ES_tradnl"/>
        </w:rPr>
        <w:t xml:space="preserve"> 6 de la CIPST, </w:t>
      </w:r>
      <w:r w:rsidR="005A4AE3" w:rsidRPr="00351298">
        <w:rPr>
          <w:rFonts w:ascii="Verdana" w:hAnsi="Verdana"/>
          <w:sz w:val="20"/>
          <w:szCs w:val="20"/>
          <w:lang w:val="es-ES_tradnl"/>
        </w:rPr>
        <w:t>en perjuicio de Daniel García Rodríguez</w:t>
      </w:r>
      <w:r w:rsidR="00E377BC" w:rsidRPr="00351298">
        <w:rPr>
          <w:rFonts w:ascii="Verdana" w:hAnsi="Verdana"/>
          <w:sz w:val="20"/>
          <w:szCs w:val="20"/>
          <w:lang w:val="es-ES_tradnl"/>
        </w:rPr>
        <w:t>.</w:t>
      </w:r>
      <w:r w:rsidR="001D5DBF" w:rsidRPr="00351298">
        <w:rPr>
          <w:rFonts w:ascii="Verdana" w:hAnsi="Verdana"/>
          <w:sz w:val="20"/>
          <w:szCs w:val="20"/>
          <w:lang w:val="es-ES_tradnl"/>
        </w:rPr>
        <w:t xml:space="preserve"> </w:t>
      </w:r>
    </w:p>
    <w:p w14:paraId="0B86AD86" w14:textId="39F3A6A7" w:rsidR="00850F4B" w:rsidRPr="00351298" w:rsidRDefault="00850F4B" w:rsidP="00850F4B">
      <w:pPr>
        <w:pStyle w:val="Ttulo3"/>
        <w:spacing w:before="240" w:after="240"/>
        <w:ind w:left="567"/>
        <w:jc w:val="both"/>
        <w:rPr>
          <w:rFonts w:ascii="Verdana" w:hAnsi="Verdana"/>
          <w:b w:val="0"/>
          <w:snapToGrid w:val="0"/>
          <w:spacing w:val="-2"/>
          <w:sz w:val="20"/>
          <w:szCs w:val="20"/>
          <w:lang w:eastAsia="es-ES"/>
        </w:rPr>
      </w:pPr>
      <w:bookmarkStart w:id="107" w:name="_Toc132133926"/>
      <w:r w:rsidRPr="00351298">
        <w:rPr>
          <w:rFonts w:ascii="Verdana" w:hAnsi="Verdana"/>
          <w:b w:val="0"/>
          <w:snapToGrid w:val="0"/>
          <w:spacing w:val="-2"/>
          <w:sz w:val="20"/>
          <w:szCs w:val="20"/>
          <w:lang w:eastAsia="es-ES"/>
        </w:rPr>
        <w:t>B.2. Las investigaciones sobre los alegados hechos de tortura</w:t>
      </w:r>
      <w:bookmarkEnd w:id="107"/>
    </w:p>
    <w:p w14:paraId="2E25C7A7" w14:textId="55C833BC" w:rsidR="00A903C6" w:rsidRPr="00351298" w:rsidRDefault="005F16EF" w:rsidP="009B2EB3">
      <w:pPr>
        <w:numPr>
          <w:ilvl w:val="0"/>
          <w:numId w:val="2"/>
        </w:numPr>
        <w:spacing w:before="120" w:after="120"/>
        <w:ind w:left="0" w:firstLine="0"/>
        <w:jc w:val="both"/>
        <w:rPr>
          <w:rFonts w:ascii="Verdana" w:hAnsi="Verdana"/>
          <w:i/>
          <w:iCs/>
          <w:sz w:val="20"/>
          <w:szCs w:val="20"/>
          <w:lang w:val="es-ES_tradnl"/>
        </w:rPr>
      </w:pPr>
      <w:r w:rsidRPr="00351298">
        <w:rPr>
          <w:rFonts w:ascii="Verdana" w:hAnsi="Verdana"/>
          <w:sz w:val="20"/>
          <w:szCs w:val="20"/>
          <w:lang w:val="es-ES_tradnl"/>
        </w:rPr>
        <w:t>Según se ha indicado</w:t>
      </w:r>
      <w:r w:rsidR="004F0AC1" w:rsidRPr="00351298">
        <w:rPr>
          <w:rFonts w:ascii="Verdana" w:hAnsi="Verdana"/>
          <w:sz w:val="20"/>
          <w:szCs w:val="20"/>
          <w:lang w:val="es-ES_tradnl"/>
        </w:rPr>
        <w:t xml:space="preserve"> las autoridades no investigaron los maltratos que podían constituir hechos de tortura que fueron denunciados </w:t>
      </w:r>
      <w:r w:rsidR="00825AF1" w:rsidRPr="00351298">
        <w:rPr>
          <w:rFonts w:ascii="Verdana" w:hAnsi="Verdana"/>
          <w:sz w:val="20"/>
          <w:szCs w:val="20"/>
          <w:lang w:val="es-ES_tradnl"/>
        </w:rPr>
        <w:t xml:space="preserve">por </w:t>
      </w:r>
      <w:r w:rsidR="004F0AC1" w:rsidRPr="00351298">
        <w:rPr>
          <w:rFonts w:ascii="Verdana" w:hAnsi="Verdana"/>
          <w:sz w:val="20"/>
          <w:szCs w:val="20"/>
          <w:lang w:val="es-ES_tradnl"/>
        </w:rPr>
        <w:t xml:space="preserve">Daniel García Rodríguez </w:t>
      </w:r>
      <w:r w:rsidRPr="00351298">
        <w:rPr>
          <w:rFonts w:ascii="Verdana" w:hAnsi="Verdana"/>
          <w:sz w:val="20"/>
          <w:szCs w:val="20"/>
          <w:lang w:val="es-ES_tradnl"/>
        </w:rPr>
        <w:t xml:space="preserve">el día 11 de abril de 2002 cuando fue llevado ante un juez por primera vez </w:t>
      </w:r>
      <w:r w:rsidR="004F0AC1" w:rsidRPr="00351298">
        <w:rPr>
          <w:rFonts w:ascii="Verdana" w:hAnsi="Verdana"/>
          <w:sz w:val="20"/>
          <w:szCs w:val="20"/>
          <w:lang w:val="es-ES_tradnl"/>
        </w:rPr>
        <w:t>(</w:t>
      </w:r>
      <w:r w:rsidR="004F0AC1" w:rsidRPr="00351298">
        <w:rPr>
          <w:rFonts w:ascii="Verdana" w:hAnsi="Verdana"/>
          <w:i/>
          <w:iCs/>
          <w:sz w:val="20"/>
          <w:szCs w:val="20"/>
          <w:lang w:val="es-ES_tradnl"/>
        </w:rPr>
        <w:t>supra</w:t>
      </w:r>
      <w:r w:rsidR="004F0AC1" w:rsidRPr="00351298">
        <w:rPr>
          <w:rFonts w:ascii="Verdana" w:hAnsi="Verdana"/>
          <w:sz w:val="20"/>
          <w:szCs w:val="20"/>
          <w:lang w:val="es-ES_tradnl"/>
        </w:rPr>
        <w:t xml:space="preserve"> párr. </w:t>
      </w:r>
      <w:r w:rsidR="00C67A9D">
        <w:rPr>
          <w:rFonts w:ascii="Verdana" w:hAnsi="Verdana"/>
          <w:sz w:val="20"/>
          <w:szCs w:val="20"/>
          <w:lang w:val="es-ES_tradnl"/>
        </w:rPr>
        <w:t>72</w:t>
      </w:r>
      <w:r w:rsidR="004F0AC1" w:rsidRPr="00351298">
        <w:rPr>
          <w:rFonts w:ascii="Verdana" w:hAnsi="Verdana"/>
          <w:sz w:val="20"/>
          <w:szCs w:val="20"/>
          <w:lang w:val="es-ES_tradnl"/>
        </w:rPr>
        <w:t>).</w:t>
      </w:r>
    </w:p>
    <w:p w14:paraId="205589D5" w14:textId="1FA91E5B" w:rsidR="00620D59" w:rsidRPr="00351298" w:rsidRDefault="00F01861" w:rsidP="00620D59">
      <w:pPr>
        <w:numPr>
          <w:ilvl w:val="0"/>
          <w:numId w:val="2"/>
        </w:numPr>
        <w:spacing w:before="120" w:after="120"/>
        <w:ind w:left="0" w:firstLine="0"/>
        <w:jc w:val="both"/>
        <w:rPr>
          <w:rFonts w:ascii="Verdana" w:hAnsi="Verdana"/>
          <w:i/>
          <w:iCs/>
          <w:sz w:val="20"/>
          <w:szCs w:val="20"/>
          <w:lang w:val="es-ES_tradnl"/>
        </w:rPr>
      </w:pPr>
      <w:r w:rsidRPr="00351298">
        <w:rPr>
          <w:rFonts w:ascii="Verdana" w:hAnsi="Verdana"/>
          <w:sz w:val="20"/>
          <w:szCs w:val="20"/>
          <w:lang w:val="es-ES_tradnl"/>
        </w:rPr>
        <w:t>En cuanto a las investigaciones por los hechos de tortura denunciados por Reyes Alpízar el 25 de octubre de 2002, consta que recién fue abierta una averiguación previa el 29 de diciembre de 2006</w:t>
      </w:r>
      <w:r w:rsidR="00620D59" w:rsidRPr="00351298">
        <w:rPr>
          <w:rFonts w:ascii="Verdana" w:hAnsi="Verdana"/>
          <w:sz w:val="20"/>
          <w:szCs w:val="20"/>
          <w:lang w:val="es-ES_tradnl"/>
        </w:rPr>
        <w:t>, o sea cerca de cuatro años después</w:t>
      </w:r>
      <w:r w:rsidRPr="00351298">
        <w:rPr>
          <w:rFonts w:ascii="Verdana" w:hAnsi="Verdana"/>
          <w:sz w:val="20"/>
          <w:szCs w:val="20"/>
          <w:lang w:val="es-ES_tradnl"/>
        </w:rPr>
        <w:t xml:space="preserve">. </w:t>
      </w:r>
      <w:r w:rsidR="00231870" w:rsidRPr="00351298">
        <w:rPr>
          <w:rFonts w:ascii="Verdana" w:hAnsi="Verdana"/>
          <w:sz w:val="20"/>
          <w:szCs w:val="20"/>
          <w:lang w:val="es-ES_tradnl"/>
        </w:rPr>
        <w:t xml:space="preserve">El Estado indicó, sin que fuera controvertido, que en el marco de </w:t>
      </w:r>
      <w:r w:rsidR="004D6346">
        <w:rPr>
          <w:rFonts w:ascii="Verdana" w:hAnsi="Verdana"/>
          <w:sz w:val="20"/>
          <w:szCs w:val="20"/>
          <w:lang w:val="es-ES_tradnl"/>
        </w:rPr>
        <w:t>esta</w:t>
      </w:r>
      <w:r w:rsidR="00231870" w:rsidRPr="00351298">
        <w:rPr>
          <w:rFonts w:ascii="Verdana" w:hAnsi="Verdana"/>
          <w:sz w:val="20"/>
          <w:szCs w:val="20"/>
          <w:lang w:val="es-ES_tradnl"/>
        </w:rPr>
        <w:t>, fuero</w:t>
      </w:r>
      <w:r w:rsidR="00001AF9" w:rsidRPr="00351298">
        <w:rPr>
          <w:rFonts w:ascii="Verdana" w:hAnsi="Verdana"/>
          <w:sz w:val="20"/>
          <w:szCs w:val="20"/>
          <w:lang w:val="es-ES_tradnl"/>
        </w:rPr>
        <w:t>n practicadas más de 500 diligencias (</w:t>
      </w:r>
      <w:r w:rsidR="00001AF9" w:rsidRPr="00351298">
        <w:rPr>
          <w:rFonts w:ascii="Verdana" w:hAnsi="Verdana"/>
          <w:i/>
          <w:iCs/>
          <w:sz w:val="20"/>
          <w:szCs w:val="20"/>
          <w:lang w:val="es-ES_tradnl"/>
        </w:rPr>
        <w:t>supra</w:t>
      </w:r>
      <w:r w:rsidR="00001AF9" w:rsidRPr="00351298">
        <w:rPr>
          <w:rFonts w:ascii="Verdana" w:hAnsi="Verdana"/>
          <w:sz w:val="20"/>
          <w:szCs w:val="20"/>
          <w:lang w:val="es-ES_tradnl"/>
        </w:rPr>
        <w:t xml:space="preserve"> párr. </w:t>
      </w:r>
      <w:r w:rsidR="00C67A9D">
        <w:rPr>
          <w:rFonts w:ascii="Verdana" w:hAnsi="Verdana"/>
          <w:sz w:val="20"/>
          <w:szCs w:val="20"/>
          <w:lang w:val="es-ES_tradnl"/>
        </w:rPr>
        <w:t>107</w:t>
      </w:r>
      <w:r w:rsidR="00001AF9" w:rsidRPr="00351298">
        <w:rPr>
          <w:rFonts w:ascii="Verdana" w:hAnsi="Verdana"/>
          <w:sz w:val="20"/>
          <w:szCs w:val="20"/>
          <w:lang w:val="es-ES_tradnl"/>
        </w:rPr>
        <w:t>).</w:t>
      </w:r>
      <w:r w:rsidR="00620D59" w:rsidRPr="00351298">
        <w:rPr>
          <w:rFonts w:ascii="Verdana" w:hAnsi="Verdana"/>
          <w:i/>
          <w:iCs/>
          <w:sz w:val="20"/>
          <w:szCs w:val="20"/>
          <w:lang w:val="es-ES_tradnl"/>
        </w:rPr>
        <w:t xml:space="preserve"> </w:t>
      </w:r>
      <w:r w:rsidR="00231870" w:rsidRPr="00351298">
        <w:rPr>
          <w:rFonts w:ascii="Verdana" w:hAnsi="Verdana"/>
          <w:sz w:val="20"/>
          <w:szCs w:val="20"/>
          <w:lang w:val="es-ES_tradnl"/>
        </w:rPr>
        <w:t>Por otra parte, según fue señalado en el capítulo de hechos, esa investigación culminó el 3 de mayo de 2021 determinando el no ejercicio de la acción penal (</w:t>
      </w:r>
      <w:r w:rsidR="00231870" w:rsidRPr="00351298">
        <w:rPr>
          <w:rFonts w:ascii="Verdana" w:hAnsi="Verdana"/>
          <w:i/>
          <w:iCs/>
          <w:sz w:val="20"/>
          <w:szCs w:val="20"/>
          <w:lang w:val="es-ES_tradnl"/>
        </w:rPr>
        <w:t>supra</w:t>
      </w:r>
      <w:r w:rsidR="00231870" w:rsidRPr="00351298">
        <w:rPr>
          <w:rFonts w:ascii="Verdana" w:hAnsi="Verdana"/>
          <w:sz w:val="20"/>
          <w:szCs w:val="20"/>
          <w:lang w:val="es-ES_tradnl"/>
        </w:rPr>
        <w:t xml:space="preserve"> párr.</w:t>
      </w:r>
      <w:r w:rsidR="00C67A9D">
        <w:rPr>
          <w:rFonts w:ascii="Verdana" w:hAnsi="Verdana"/>
          <w:sz w:val="20"/>
          <w:szCs w:val="20"/>
          <w:lang w:val="es-ES_tradnl"/>
        </w:rPr>
        <w:t>112</w:t>
      </w:r>
      <w:r w:rsidR="00231870" w:rsidRPr="00351298">
        <w:rPr>
          <w:rFonts w:ascii="Verdana" w:hAnsi="Verdana"/>
          <w:sz w:val="20"/>
          <w:szCs w:val="20"/>
          <w:lang w:val="es-ES_tradnl"/>
        </w:rPr>
        <w:t xml:space="preserve">). </w:t>
      </w:r>
    </w:p>
    <w:p w14:paraId="75ED1A32" w14:textId="0A64BDA5" w:rsidR="00001AF9" w:rsidRPr="00351298" w:rsidRDefault="00F01861" w:rsidP="00620D59">
      <w:pPr>
        <w:numPr>
          <w:ilvl w:val="0"/>
          <w:numId w:val="2"/>
        </w:numPr>
        <w:spacing w:before="120" w:after="120"/>
        <w:ind w:left="0" w:firstLine="0"/>
        <w:jc w:val="both"/>
        <w:rPr>
          <w:rFonts w:ascii="Verdana" w:hAnsi="Verdana"/>
          <w:i/>
          <w:iCs/>
          <w:sz w:val="20"/>
          <w:szCs w:val="20"/>
          <w:lang w:val="es-ES_tradnl"/>
        </w:rPr>
      </w:pPr>
      <w:r w:rsidRPr="00351298">
        <w:rPr>
          <w:rFonts w:ascii="Verdana" w:hAnsi="Verdana"/>
          <w:sz w:val="20"/>
          <w:szCs w:val="20"/>
          <w:lang w:val="es-ES_tradnl"/>
        </w:rPr>
        <w:t>A su vez, en el marco del proceso penal</w:t>
      </w:r>
      <w:r w:rsidR="00620D59" w:rsidRPr="00351298">
        <w:rPr>
          <w:rFonts w:ascii="Verdana" w:hAnsi="Verdana"/>
          <w:sz w:val="20"/>
          <w:szCs w:val="20"/>
          <w:lang w:val="es-ES_tradnl"/>
        </w:rPr>
        <w:t>,</w:t>
      </w:r>
      <w:r w:rsidRPr="00351298">
        <w:rPr>
          <w:rFonts w:ascii="Verdana" w:hAnsi="Verdana"/>
          <w:sz w:val="20"/>
          <w:szCs w:val="20"/>
          <w:lang w:val="es-ES_tradnl"/>
        </w:rPr>
        <w:t xml:space="preserve"> a partir del año 2007</w:t>
      </w:r>
      <w:r w:rsidR="00231870" w:rsidRPr="00351298">
        <w:rPr>
          <w:rFonts w:ascii="Verdana" w:hAnsi="Verdana"/>
          <w:sz w:val="20"/>
          <w:szCs w:val="20"/>
          <w:lang w:val="es-ES_tradnl"/>
        </w:rPr>
        <w:t>,</w:t>
      </w:r>
      <w:r w:rsidRPr="00351298">
        <w:rPr>
          <w:rFonts w:ascii="Verdana" w:hAnsi="Verdana"/>
          <w:sz w:val="20"/>
          <w:szCs w:val="20"/>
          <w:lang w:val="es-ES_tradnl"/>
        </w:rPr>
        <w:t xml:space="preserve"> </w:t>
      </w:r>
      <w:r w:rsidR="00231870" w:rsidRPr="00351298">
        <w:rPr>
          <w:rFonts w:ascii="Verdana" w:hAnsi="Verdana"/>
          <w:sz w:val="20"/>
          <w:szCs w:val="20"/>
          <w:lang w:val="es-ES_tradnl"/>
        </w:rPr>
        <w:t>fueron investigadas las torturas que</w:t>
      </w:r>
      <w:r w:rsidRPr="00351298">
        <w:rPr>
          <w:rFonts w:ascii="Verdana" w:hAnsi="Verdana"/>
          <w:sz w:val="20"/>
          <w:szCs w:val="20"/>
          <w:lang w:val="es-ES_tradnl"/>
        </w:rPr>
        <w:t xml:space="preserve"> </w:t>
      </w:r>
      <w:r w:rsidR="00231870" w:rsidRPr="00351298">
        <w:rPr>
          <w:rFonts w:ascii="Verdana" w:hAnsi="Verdana"/>
          <w:sz w:val="20"/>
          <w:szCs w:val="20"/>
          <w:lang w:val="es-ES_tradnl"/>
        </w:rPr>
        <w:t>habría sufrido Reyes Alpízar</w:t>
      </w:r>
      <w:r w:rsidR="00620D59" w:rsidRPr="00351298">
        <w:rPr>
          <w:rFonts w:ascii="Verdana" w:hAnsi="Verdana"/>
          <w:sz w:val="20"/>
          <w:szCs w:val="20"/>
          <w:lang w:val="es-ES_tradnl"/>
        </w:rPr>
        <w:t xml:space="preserve"> las cuales habían sido denunciadas en el año 2002.</w:t>
      </w:r>
      <w:r w:rsidR="00231870" w:rsidRPr="00351298">
        <w:rPr>
          <w:rFonts w:ascii="Verdana" w:hAnsi="Verdana"/>
          <w:sz w:val="20"/>
          <w:szCs w:val="20"/>
          <w:lang w:val="es-ES_tradnl"/>
        </w:rPr>
        <w:t xml:space="preserve"> </w:t>
      </w:r>
      <w:r w:rsidR="00620D59" w:rsidRPr="00351298">
        <w:rPr>
          <w:rFonts w:ascii="Verdana" w:hAnsi="Verdana"/>
          <w:sz w:val="20"/>
          <w:szCs w:val="20"/>
          <w:lang w:val="es-ES_tradnl"/>
        </w:rPr>
        <w:t xml:space="preserve">En esa causa, </w:t>
      </w:r>
      <w:r w:rsidR="00231870" w:rsidRPr="00351298">
        <w:rPr>
          <w:rFonts w:ascii="Verdana" w:hAnsi="Verdana"/>
          <w:sz w:val="20"/>
          <w:szCs w:val="20"/>
          <w:lang w:val="es-ES_tradnl"/>
        </w:rPr>
        <w:t>frente a la presencia de pericias contradictorias, el Tribunal ordenó la designación de peritos terceros en discordia (</w:t>
      </w:r>
      <w:r w:rsidR="00231870" w:rsidRPr="00351298">
        <w:rPr>
          <w:rFonts w:ascii="Verdana" w:hAnsi="Verdana"/>
          <w:i/>
          <w:iCs/>
          <w:sz w:val="20"/>
          <w:szCs w:val="20"/>
          <w:lang w:val="es-ES_tradnl"/>
        </w:rPr>
        <w:t>supra</w:t>
      </w:r>
      <w:r w:rsidR="00231870" w:rsidRPr="00351298">
        <w:rPr>
          <w:rFonts w:ascii="Verdana" w:hAnsi="Verdana"/>
          <w:sz w:val="20"/>
          <w:szCs w:val="20"/>
          <w:lang w:val="es-ES_tradnl"/>
        </w:rPr>
        <w:t xml:space="preserve"> párr. </w:t>
      </w:r>
      <w:r w:rsidR="00C67A9D">
        <w:rPr>
          <w:rFonts w:ascii="Verdana" w:hAnsi="Verdana"/>
          <w:sz w:val="20"/>
          <w:szCs w:val="20"/>
          <w:lang w:val="es-ES_tradnl"/>
        </w:rPr>
        <w:t>210</w:t>
      </w:r>
      <w:r w:rsidR="00231870" w:rsidRPr="00351298">
        <w:rPr>
          <w:rFonts w:ascii="Verdana" w:hAnsi="Verdana"/>
          <w:sz w:val="20"/>
          <w:szCs w:val="20"/>
          <w:lang w:val="es-ES_tradnl"/>
        </w:rPr>
        <w:t xml:space="preserve">). Sin embargo, </w:t>
      </w:r>
      <w:r w:rsidR="00620D59" w:rsidRPr="00351298">
        <w:rPr>
          <w:rFonts w:ascii="Verdana" w:hAnsi="Verdana"/>
          <w:sz w:val="20"/>
          <w:szCs w:val="20"/>
          <w:lang w:val="es-ES_tradnl"/>
        </w:rPr>
        <w:t xml:space="preserve">una vez producidas esas pericias de terceros, </w:t>
      </w:r>
      <w:r w:rsidR="00231870" w:rsidRPr="00351298">
        <w:rPr>
          <w:rFonts w:ascii="Verdana" w:hAnsi="Verdana"/>
          <w:sz w:val="20"/>
          <w:szCs w:val="20"/>
          <w:lang w:val="es-ES_tradnl"/>
        </w:rPr>
        <w:t xml:space="preserve">aún frente la producción de dos pericias psicológicas que constataron que Reyes Alpízar presentaba trastornos de estrés postraumático característico de consecuencias de hechos de tortura, </w:t>
      </w:r>
      <w:r w:rsidR="00001AF9" w:rsidRPr="00351298">
        <w:rPr>
          <w:rFonts w:ascii="Verdana" w:hAnsi="Verdana"/>
          <w:sz w:val="20"/>
          <w:szCs w:val="20"/>
          <w:lang w:val="es-ES_tradnl"/>
        </w:rPr>
        <w:t>las cuales resultan de particular relevancia frente a hechos de tortura que se produjeron mucho tiempo atrás, no se tiene noticia de que las mismas hubiesen sido tomadas en cuenta por el Tribunal competente</w:t>
      </w:r>
      <w:r w:rsidR="00620D59" w:rsidRPr="00351298">
        <w:rPr>
          <w:rFonts w:ascii="Verdana" w:hAnsi="Verdana"/>
          <w:sz w:val="20"/>
          <w:szCs w:val="20"/>
          <w:lang w:val="es-ES_tradnl"/>
        </w:rPr>
        <w:t xml:space="preserve"> para continuar con la investigación.</w:t>
      </w:r>
      <w:r w:rsidR="00001AF9" w:rsidRPr="00351298">
        <w:rPr>
          <w:rFonts w:ascii="Verdana" w:hAnsi="Verdana"/>
          <w:sz w:val="20"/>
          <w:szCs w:val="20"/>
          <w:lang w:val="es-ES_tradnl"/>
        </w:rPr>
        <w:t xml:space="preserve"> </w:t>
      </w:r>
    </w:p>
    <w:p w14:paraId="350CE509" w14:textId="10E696B0" w:rsidR="005F16EF" w:rsidRPr="00351298" w:rsidRDefault="00001AF9">
      <w:pPr>
        <w:numPr>
          <w:ilvl w:val="0"/>
          <w:numId w:val="2"/>
        </w:numPr>
        <w:spacing w:before="120" w:after="120"/>
        <w:ind w:left="0" w:firstLine="0"/>
        <w:jc w:val="both"/>
        <w:rPr>
          <w:rFonts w:ascii="Verdana" w:hAnsi="Verdana"/>
          <w:i/>
          <w:iCs/>
          <w:sz w:val="20"/>
          <w:szCs w:val="20"/>
          <w:lang w:val="es-ES_tradnl"/>
        </w:rPr>
      </w:pPr>
      <w:r w:rsidRPr="00351298">
        <w:rPr>
          <w:rFonts w:ascii="Verdana" w:hAnsi="Verdana"/>
          <w:sz w:val="20"/>
          <w:szCs w:val="20"/>
          <w:lang w:val="es-ES_tradnl"/>
        </w:rPr>
        <w:t xml:space="preserve">En consecuencia, de conformidad con lo expresado, esta Corte encuentra que el Estado es responsable por una vulneración </w:t>
      </w:r>
      <w:r w:rsidR="00620D59" w:rsidRPr="00351298">
        <w:rPr>
          <w:rFonts w:ascii="Verdana" w:hAnsi="Verdana"/>
          <w:sz w:val="20"/>
          <w:szCs w:val="20"/>
          <w:lang w:val="es-ES_tradnl"/>
        </w:rPr>
        <w:t>de</w:t>
      </w:r>
      <w:r w:rsidRPr="00351298">
        <w:rPr>
          <w:rFonts w:ascii="Verdana" w:hAnsi="Verdana"/>
          <w:sz w:val="20"/>
          <w:szCs w:val="20"/>
          <w:lang w:val="es-ES_tradnl"/>
        </w:rPr>
        <w:t xml:space="preserve"> su obligación de investigar con la debida diligencia</w:t>
      </w:r>
      <w:r w:rsidR="00620D59" w:rsidRPr="00351298">
        <w:rPr>
          <w:rFonts w:ascii="Verdana" w:hAnsi="Verdana"/>
          <w:sz w:val="20"/>
          <w:szCs w:val="20"/>
          <w:lang w:val="es-ES_tradnl"/>
        </w:rPr>
        <w:t xml:space="preserve"> contenida </w:t>
      </w:r>
      <w:r w:rsidR="00620D59" w:rsidRPr="00351298">
        <w:rPr>
          <w:rFonts w:ascii="Verdana" w:hAnsi="Verdana"/>
          <w:sz w:val="20"/>
          <w:szCs w:val="20"/>
          <w:lang w:val="es-ES_tradnl"/>
        </w:rPr>
        <w:lastRenderedPageBreak/>
        <w:t>en los artículos 8 y 25 de la Convención Americana y 1,</w:t>
      </w:r>
      <w:r w:rsidR="003F08C1">
        <w:rPr>
          <w:rFonts w:ascii="Verdana" w:hAnsi="Verdana"/>
          <w:sz w:val="20"/>
          <w:szCs w:val="20"/>
          <w:lang w:val="es-ES_tradnl"/>
        </w:rPr>
        <w:t xml:space="preserve"> </w:t>
      </w:r>
      <w:r w:rsidR="00620D59" w:rsidRPr="00351298">
        <w:rPr>
          <w:rFonts w:ascii="Verdana" w:hAnsi="Verdana"/>
          <w:sz w:val="20"/>
          <w:szCs w:val="20"/>
          <w:lang w:val="es-ES_tradnl"/>
        </w:rPr>
        <w:t xml:space="preserve">6, y 8 de la CIPST, </w:t>
      </w:r>
      <w:r w:rsidRPr="00351298">
        <w:rPr>
          <w:rFonts w:ascii="Verdana" w:hAnsi="Verdana"/>
          <w:sz w:val="20"/>
          <w:szCs w:val="20"/>
          <w:lang w:val="es-ES_tradnl"/>
        </w:rPr>
        <w:t>los hechos de tortura</w:t>
      </w:r>
      <w:r w:rsidR="00620D59" w:rsidRPr="00351298">
        <w:rPr>
          <w:rFonts w:ascii="Verdana" w:hAnsi="Verdana"/>
          <w:sz w:val="20"/>
          <w:szCs w:val="20"/>
          <w:lang w:val="es-ES_tradnl"/>
        </w:rPr>
        <w:t xml:space="preserve"> en perjuicio de Daniel García Rodríguez y Reyes Alpízar Ortiz.</w:t>
      </w:r>
      <w:r w:rsidRPr="00351298">
        <w:rPr>
          <w:rFonts w:ascii="Verdana" w:hAnsi="Verdana"/>
          <w:sz w:val="20"/>
          <w:szCs w:val="20"/>
          <w:lang w:val="es-ES_tradnl"/>
        </w:rPr>
        <w:t xml:space="preserve">   </w:t>
      </w:r>
    </w:p>
    <w:p w14:paraId="2AA27B1F" w14:textId="0823C559" w:rsidR="00F562B8" w:rsidRPr="00351298" w:rsidRDefault="00F562B8" w:rsidP="00F562B8">
      <w:pPr>
        <w:pStyle w:val="Ttulo1"/>
        <w:ind w:firstLine="6"/>
        <w:rPr>
          <w:rFonts w:ascii="Verdana" w:eastAsia="Batang" w:hAnsi="Verdana"/>
          <w:bCs w:val="0"/>
          <w:caps w:val="0"/>
          <w:snapToGrid/>
          <w:sz w:val="20"/>
          <w:lang w:val="es-ES_tradnl"/>
        </w:rPr>
      </w:pPr>
      <w:bookmarkStart w:id="108" w:name="_Toc132133927"/>
      <w:r w:rsidRPr="00351298">
        <w:rPr>
          <w:rFonts w:ascii="Verdana" w:hAnsi="Verdana"/>
          <w:caps w:val="0"/>
          <w:sz w:val="20"/>
          <w:lang w:val="es-ES_tradnl"/>
        </w:rPr>
        <w:t>VIII.3</w:t>
      </w:r>
      <w:r w:rsidRPr="00351298">
        <w:rPr>
          <w:rFonts w:ascii="Verdana" w:hAnsi="Verdana"/>
          <w:caps w:val="0"/>
          <w:color w:val="FDE9D9" w:themeColor="accent6" w:themeTint="33"/>
          <w:sz w:val="20"/>
          <w:lang w:val="es-ES_tradnl"/>
        </w:rPr>
        <w:t>.</w:t>
      </w:r>
      <w:r w:rsidRPr="00351298">
        <w:rPr>
          <w:rFonts w:ascii="Verdana" w:hAnsi="Verdana"/>
          <w:b w:val="0"/>
          <w:caps w:val="0"/>
          <w:sz w:val="20"/>
          <w:lang w:val="es-ES_tradnl"/>
        </w:rPr>
        <w:br/>
      </w:r>
      <w:r w:rsidRPr="00351298">
        <w:rPr>
          <w:rFonts w:ascii="Verdana" w:hAnsi="Verdana"/>
          <w:caps w:val="0"/>
          <w:sz w:val="20"/>
          <w:lang w:val="es-ES_tradnl"/>
        </w:rPr>
        <w:t>DERECHO A LAS GARANTÍAS</w:t>
      </w:r>
      <w:r w:rsidR="008F5824" w:rsidRPr="00351298">
        <w:rPr>
          <w:rFonts w:ascii="Verdana" w:hAnsi="Verdana"/>
          <w:caps w:val="0"/>
          <w:sz w:val="20"/>
          <w:lang w:val="es-ES_tradnl"/>
        </w:rPr>
        <w:t xml:space="preserve"> JUDICIALES</w:t>
      </w:r>
      <w:r w:rsidRPr="00351298">
        <w:rPr>
          <w:rStyle w:val="Refdenotaalpie"/>
          <w:rFonts w:ascii="Verdana" w:hAnsi="Verdana"/>
          <w:sz w:val="20"/>
          <w:lang w:val="es-ES_tradnl"/>
        </w:rPr>
        <w:footnoteReference w:id="237"/>
      </w:r>
      <w:r w:rsidRPr="00351298">
        <w:rPr>
          <w:rFonts w:ascii="Verdana" w:hAnsi="Verdana"/>
          <w:caps w:val="0"/>
          <w:sz w:val="20"/>
          <w:lang w:val="es-ES_tradnl"/>
        </w:rPr>
        <w:t xml:space="preserve"> EN RELACIÓN CON LA OBLIGACIÓN DE RESPETAR LOS DERECHOS</w:t>
      </w:r>
      <w:r w:rsidRPr="00351298">
        <w:rPr>
          <w:rStyle w:val="Refdenotaalpie"/>
          <w:rFonts w:ascii="Verdana" w:hAnsi="Verdana"/>
          <w:sz w:val="20"/>
          <w:lang w:val="es-ES_tradnl"/>
        </w:rPr>
        <w:footnoteReference w:id="238"/>
      </w:r>
      <w:bookmarkEnd w:id="108"/>
      <w:r w:rsidR="00BA3B53" w:rsidRPr="00351298">
        <w:rPr>
          <w:rFonts w:ascii="Verdana" w:hAnsi="Verdana"/>
          <w:caps w:val="0"/>
          <w:sz w:val="20"/>
          <w:lang w:val="es-ES_tradnl"/>
        </w:rPr>
        <w:t xml:space="preserve"> </w:t>
      </w:r>
    </w:p>
    <w:p w14:paraId="365A0B1D" w14:textId="77777777" w:rsidR="00F562B8" w:rsidRPr="00351298" w:rsidRDefault="00F562B8" w:rsidP="004603BD">
      <w:pPr>
        <w:pStyle w:val="Ttulo2"/>
        <w:numPr>
          <w:ilvl w:val="0"/>
          <w:numId w:val="17"/>
        </w:numPr>
        <w:spacing w:before="240" w:after="240"/>
        <w:rPr>
          <w:rFonts w:ascii="Verdana" w:hAnsi="Verdana"/>
          <w:i/>
          <w:color w:val="auto"/>
          <w:sz w:val="20"/>
          <w:szCs w:val="20"/>
        </w:rPr>
      </w:pPr>
      <w:bookmarkStart w:id="109" w:name="_Toc132133928"/>
      <w:r w:rsidRPr="00351298">
        <w:rPr>
          <w:rFonts w:ascii="Verdana" w:hAnsi="Verdana"/>
          <w:i/>
          <w:color w:val="auto"/>
          <w:sz w:val="20"/>
          <w:szCs w:val="20"/>
        </w:rPr>
        <w:t>Alegatos de las partes y de la Comisión</w:t>
      </w:r>
      <w:bookmarkEnd w:id="109"/>
    </w:p>
    <w:p w14:paraId="61CF87FA" w14:textId="3E169F76" w:rsidR="004C4A82" w:rsidRPr="00351298" w:rsidRDefault="00793D9D" w:rsidP="00D73463">
      <w:pPr>
        <w:pStyle w:val="Ttulo3"/>
        <w:spacing w:before="240" w:after="240"/>
        <w:ind w:left="567"/>
        <w:jc w:val="both"/>
        <w:rPr>
          <w:rFonts w:ascii="Verdana" w:hAnsi="Verdana"/>
          <w:b w:val="0"/>
          <w:snapToGrid w:val="0"/>
          <w:spacing w:val="-2"/>
          <w:sz w:val="20"/>
          <w:szCs w:val="20"/>
          <w:lang w:eastAsia="es-ES"/>
        </w:rPr>
      </w:pPr>
      <w:bookmarkStart w:id="110" w:name="_Toc132133929"/>
      <w:r w:rsidRPr="00351298">
        <w:rPr>
          <w:rFonts w:ascii="Verdana" w:hAnsi="Verdana"/>
          <w:b w:val="0"/>
          <w:snapToGrid w:val="0"/>
          <w:spacing w:val="-2"/>
          <w:sz w:val="20"/>
          <w:szCs w:val="20"/>
          <w:lang w:eastAsia="es-ES"/>
        </w:rPr>
        <w:t>A.</w:t>
      </w:r>
      <w:r w:rsidR="001167D4" w:rsidRPr="00351298">
        <w:rPr>
          <w:rFonts w:ascii="Verdana" w:hAnsi="Verdana"/>
          <w:b w:val="0"/>
          <w:snapToGrid w:val="0"/>
          <w:spacing w:val="-2"/>
          <w:sz w:val="20"/>
          <w:szCs w:val="20"/>
          <w:lang w:eastAsia="es-ES"/>
        </w:rPr>
        <w:t>1</w:t>
      </w:r>
      <w:r w:rsidRPr="00351298">
        <w:rPr>
          <w:rFonts w:ascii="Verdana" w:hAnsi="Verdana"/>
          <w:b w:val="0"/>
          <w:snapToGrid w:val="0"/>
          <w:spacing w:val="-2"/>
          <w:sz w:val="20"/>
          <w:szCs w:val="20"/>
          <w:lang w:eastAsia="es-ES"/>
        </w:rPr>
        <w:t xml:space="preserve">. </w:t>
      </w:r>
      <w:r w:rsidR="004C4A82" w:rsidRPr="00351298">
        <w:rPr>
          <w:rFonts w:ascii="Verdana" w:hAnsi="Verdana"/>
          <w:b w:val="0"/>
          <w:snapToGrid w:val="0"/>
          <w:spacing w:val="-2"/>
          <w:sz w:val="20"/>
          <w:szCs w:val="20"/>
          <w:lang w:eastAsia="es-ES"/>
        </w:rPr>
        <w:t>La regla de exclusión de prueba obtenida bajo coacción</w:t>
      </w:r>
      <w:r w:rsidR="00C5476B" w:rsidRPr="00351298">
        <w:rPr>
          <w:rFonts w:ascii="Verdana" w:hAnsi="Verdana"/>
          <w:b w:val="0"/>
          <w:snapToGrid w:val="0"/>
          <w:spacing w:val="-2"/>
          <w:sz w:val="20"/>
          <w:szCs w:val="20"/>
          <w:lang w:eastAsia="es-ES"/>
        </w:rPr>
        <w:t xml:space="preserve"> (artículo 8.3 de la Convención Americana)</w:t>
      </w:r>
      <w:bookmarkEnd w:id="110"/>
    </w:p>
    <w:p w14:paraId="608E59B4" w14:textId="55CC0927" w:rsidR="00F746AA" w:rsidRPr="00351298" w:rsidRDefault="7C720026" w:rsidP="00DE0C26">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 xml:space="preserve">La </w:t>
      </w:r>
      <w:r w:rsidRPr="1D64B15C">
        <w:rPr>
          <w:rFonts w:ascii="Verdana" w:hAnsi="Verdana"/>
          <w:b/>
          <w:bCs/>
          <w:i/>
          <w:iCs/>
          <w:sz w:val="20"/>
          <w:szCs w:val="20"/>
          <w:lang w:val="es-ES"/>
        </w:rPr>
        <w:t>Comisión</w:t>
      </w:r>
      <w:r w:rsidRPr="00351298">
        <w:rPr>
          <w:rFonts w:ascii="Verdana" w:hAnsi="Verdana"/>
          <w:sz w:val="20"/>
          <w:szCs w:val="20"/>
          <w:lang w:val="es-ES"/>
        </w:rPr>
        <w:t xml:space="preserve"> y los </w:t>
      </w:r>
      <w:r w:rsidRPr="1D64B15C">
        <w:rPr>
          <w:rFonts w:ascii="Verdana" w:hAnsi="Verdana"/>
          <w:b/>
          <w:bCs/>
          <w:i/>
          <w:iCs/>
          <w:sz w:val="20"/>
          <w:szCs w:val="20"/>
          <w:lang w:val="es-ES"/>
        </w:rPr>
        <w:t>representantes</w:t>
      </w:r>
      <w:r w:rsidRPr="00351298">
        <w:rPr>
          <w:rFonts w:ascii="Verdana" w:hAnsi="Verdana"/>
          <w:sz w:val="20"/>
          <w:szCs w:val="20"/>
          <w:lang w:val="es-ES"/>
        </w:rPr>
        <w:t xml:space="preserve"> alegaron que Daniel García y Reyes Alpízar </w:t>
      </w:r>
      <w:r w:rsidR="705B6D42" w:rsidRPr="00351298">
        <w:rPr>
          <w:rFonts w:ascii="Verdana" w:hAnsi="Verdana"/>
          <w:sz w:val="20"/>
          <w:szCs w:val="20"/>
          <w:lang w:val="es-ES"/>
        </w:rPr>
        <w:t>declararon</w:t>
      </w:r>
      <w:r w:rsidRPr="00351298">
        <w:rPr>
          <w:rFonts w:ascii="Verdana" w:hAnsi="Verdana"/>
          <w:sz w:val="20"/>
          <w:szCs w:val="20"/>
          <w:lang w:val="es-ES"/>
        </w:rPr>
        <w:t xml:space="preserve"> ante la PGJEM durante el tiempo en que se ha determinado que fueron sometidos a presiones y maltratos con tales fines. La denuncia sobre tales abusos fue interpuesta por cada uno de ellos al momento de ser puestos a disposición judicial, y posteriormente a través de diversos recursos </w:t>
      </w:r>
      <w:r w:rsidR="357967F3" w:rsidRPr="00351298">
        <w:rPr>
          <w:rFonts w:ascii="Verdana" w:hAnsi="Verdana"/>
          <w:sz w:val="20"/>
          <w:szCs w:val="20"/>
          <w:lang w:val="es-ES"/>
        </w:rPr>
        <w:t>que presentaron</w:t>
      </w:r>
      <w:r w:rsidRPr="00351298">
        <w:rPr>
          <w:rFonts w:ascii="Verdana" w:hAnsi="Verdana"/>
          <w:sz w:val="20"/>
          <w:szCs w:val="20"/>
          <w:lang w:val="es-ES"/>
        </w:rPr>
        <w:t xml:space="preserve">, los cuales no </w:t>
      </w:r>
      <w:r w:rsidR="705B6D42" w:rsidRPr="00351298">
        <w:rPr>
          <w:rFonts w:ascii="Verdana" w:hAnsi="Verdana"/>
          <w:sz w:val="20"/>
          <w:szCs w:val="20"/>
          <w:lang w:val="es-ES"/>
        </w:rPr>
        <w:t xml:space="preserve">habrían constituido </w:t>
      </w:r>
      <w:r w:rsidRPr="00351298">
        <w:rPr>
          <w:rFonts w:ascii="Verdana" w:hAnsi="Verdana"/>
          <w:sz w:val="20"/>
          <w:szCs w:val="20"/>
          <w:lang w:val="es-ES"/>
        </w:rPr>
        <w:t xml:space="preserve">recursos efectivos para desvirtuar tales </w:t>
      </w:r>
      <w:r w:rsidRPr="1D64B15C">
        <w:rPr>
          <w:rFonts w:ascii="Verdana" w:hAnsi="Verdana"/>
          <w:sz w:val="20"/>
          <w:szCs w:val="20"/>
          <w:lang w:val="es-ES"/>
        </w:rPr>
        <w:t>alegaciones</w:t>
      </w:r>
      <w:r w:rsidRPr="00351298">
        <w:rPr>
          <w:rFonts w:ascii="Verdana" w:hAnsi="Verdana"/>
          <w:sz w:val="20"/>
          <w:szCs w:val="20"/>
          <w:lang w:val="es-ES"/>
        </w:rPr>
        <w:t>. Notaron que las declaraciones referidas no solo no fueron excluidas del proceso penal, sino que fueron utilizadas como el elemento de convicción central para sustentar los autos formales de prisión en su contra y se encuentran presentes en el expediente como elementos probatorios que inciden en la posible responsabilidad y vinculación de las presuntas víctimas en el proceso</w:t>
      </w:r>
      <w:r w:rsidR="00DE0C26" w:rsidRPr="1D64B15C">
        <w:rPr>
          <w:rStyle w:val="Refdenotaalpie"/>
          <w:rFonts w:ascii="Verdana" w:hAnsi="Verdana"/>
          <w:sz w:val="20"/>
          <w:lang w:val="es-ES"/>
        </w:rPr>
        <w:footnoteReference w:id="239"/>
      </w:r>
      <w:r w:rsidRPr="00351298">
        <w:rPr>
          <w:rFonts w:ascii="Verdana" w:hAnsi="Verdana"/>
          <w:sz w:val="20"/>
          <w:szCs w:val="20"/>
          <w:lang w:val="es-ES"/>
        </w:rPr>
        <w:t xml:space="preserve">. </w:t>
      </w:r>
    </w:p>
    <w:p w14:paraId="71A079DB" w14:textId="28DCF85D" w:rsidR="004C4A82" w:rsidRPr="00351298" w:rsidRDefault="00F746AA" w:rsidP="00D73463">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 xml:space="preserve">Los representantes agregaron con relación a este punto que la sentencia condenatoria de 12 de mayo de 2022 contiene un apartado sobre prueba obtenida bajo coacción, “aunque incumple con los criterios de exclusión de prueba”. Agregaron que un “motivo de responsabilidad supervenida y agravada es que en la sentencia se alude de manera fragmentada a la exclusión de algunas pruebas obtenidas en el periodo de arraigo, con un criterio únicamente temporal en el que se ejecutó dicha medida, pero no considera como fuentes de ilicitud la detención arbitraria y la tortura, como fuentes relacionadas pero diferenciadas del arraigo y que por su magnitud y gravedad, generaron un ciclo continuado y permanente de ilicitud a partir de las detenciones arbitrarias y agravadas con actos de tortura”. </w:t>
      </w:r>
      <w:r w:rsidR="004C4A82" w:rsidRPr="00351298">
        <w:rPr>
          <w:rFonts w:ascii="Verdana" w:hAnsi="Verdana"/>
          <w:sz w:val="20"/>
          <w:szCs w:val="20"/>
          <w:lang w:val="es-ES"/>
        </w:rPr>
        <w:t>En vista de no haber excluido tales pruebas hasta haber sido debidamente investigadas y desvirtuadas, concluyeron que el Estado violó el artículo 8.3 de la Convención Americana en relación con el artículo 1.1 del mismo instrumento.</w:t>
      </w:r>
    </w:p>
    <w:p w14:paraId="346FB6F4" w14:textId="3EA2C0D1" w:rsidR="004C4A82" w:rsidRPr="00351298" w:rsidRDefault="7C720026" w:rsidP="00D73463">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 xml:space="preserve">El </w:t>
      </w:r>
      <w:r w:rsidRPr="1D64B15C">
        <w:rPr>
          <w:rFonts w:ascii="Verdana" w:hAnsi="Verdana"/>
          <w:b/>
          <w:bCs/>
          <w:i/>
          <w:iCs/>
          <w:sz w:val="20"/>
          <w:szCs w:val="20"/>
          <w:lang w:val="es-ES"/>
        </w:rPr>
        <w:t>Estado</w:t>
      </w:r>
      <w:r w:rsidRPr="1D64B15C">
        <w:rPr>
          <w:rFonts w:ascii="Verdana" w:hAnsi="Verdana"/>
          <w:sz w:val="20"/>
          <w:szCs w:val="20"/>
          <w:lang w:val="es-ES"/>
        </w:rPr>
        <w:t xml:space="preserve"> reiteró los alegatos sobre la inexistencia de cualquier acto de tortura en contra de los señores Daniel García Rodríguez y Reyes Alpízar Ortiz</w:t>
      </w:r>
      <w:r w:rsidR="16E712DB" w:rsidRPr="1D64B15C">
        <w:rPr>
          <w:rFonts w:ascii="Verdana" w:hAnsi="Verdana"/>
          <w:sz w:val="20"/>
          <w:szCs w:val="20"/>
          <w:lang w:val="es-ES"/>
        </w:rPr>
        <w:t>. En ese sentido, sostuvo</w:t>
      </w:r>
      <w:r w:rsidRPr="1D64B15C">
        <w:rPr>
          <w:rFonts w:ascii="Verdana" w:hAnsi="Verdana"/>
          <w:sz w:val="20"/>
          <w:szCs w:val="20"/>
          <w:lang w:val="es-ES"/>
        </w:rPr>
        <w:t xml:space="preserve"> que no </w:t>
      </w:r>
      <w:r w:rsidR="73F59CDE" w:rsidRPr="1D64B15C">
        <w:rPr>
          <w:rFonts w:ascii="Verdana" w:hAnsi="Verdana"/>
          <w:sz w:val="20"/>
          <w:szCs w:val="20"/>
          <w:lang w:val="es-ES"/>
        </w:rPr>
        <w:t>era</w:t>
      </w:r>
      <w:r w:rsidRPr="1D64B15C">
        <w:rPr>
          <w:rFonts w:ascii="Verdana" w:hAnsi="Verdana"/>
          <w:sz w:val="20"/>
          <w:szCs w:val="20"/>
          <w:lang w:val="es-ES"/>
        </w:rPr>
        <w:t xml:space="preserve"> posible suponer una falta de exclusión de pruebas cuando </w:t>
      </w:r>
      <w:r w:rsidR="0028638F">
        <w:rPr>
          <w:rFonts w:ascii="Verdana" w:hAnsi="Verdana"/>
          <w:sz w:val="20"/>
          <w:szCs w:val="20"/>
          <w:lang w:val="es-ES"/>
        </w:rPr>
        <w:t xml:space="preserve">no </w:t>
      </w:r>
      <w:r w:rsidRPr="1D64B15C">
        <w:rPr>
          <w:rFonts w:ascii="Verdana" w:hAnsi="Verdana"/>
          <w:sz w:val="20"/>
          <w:szCs w:val="20"/>
          <w:lang w:val="es-ES"/>
        </w:rPr>
        <w:t>se ha</w:t>
      </w:r>
      <w:r w:rsidR="3E6B0EBD" w:rsidRPr="1D64B15C">
        <w:rPr>
          <w:rFonts w:ascii="Verdana" w:hAnsi="Verdana"/>
          <w:sz w:val="20"/>
          <w:szCs w:val="20"/>
          <w:lang w:val="es-ES"/>
        </w:rPr>
        <w:t>bía</w:t>
      </w:r>
      <w:r w:rsidRPr="1D64B15C">
        <w:rPr>
          <w:rFonts w:ascii="Verdana" w:hAnsi="Verdana"/>
          <w:sz w:val="20"/>
          <w:szCs w:val="20"/>
          <w:lang w:val="es-ES"/>
        </w:rPr>
        <w:t xml:space="preserve"> comprobado la existencia de actos de tortura. Agregó que, sin perjuicio de lo anterior, tomando en cuenta que el proceso penal no concluy</w:t>
      </w:r>
      <w:r w:rsidR="6641F2C9" w:rsidRPr="1D64B15C">
        <w:rPr>
          <w:rFonts w:ascii="Verdana" w:hAnsi="Verdana"/>
          <w:sz w:val="20"/>
          <w:szCs w:val="20"/>
          <w:lang w:val="es-ES"/>
        </w:rPr>
        <w:t>ó</w:t>
      </w:r>
      <w:r w:rsidRPr="1D64B15C">
        <w:rPr>
          <w:rFonts w:ascii="Verdana" w:hAnsi="Verdana"/>
          <w:sz w:val="20"/>
          <w:szCs w:val="20"/>
          <w:lang w:val="es-ES"/>
        </w:rPr>
        <w:t xml:space="preserve"> aún, corresponderá al juez de la causa otorgar el valor probatorio y decidir sobre la exclusión de la prueba. Indicó</w:t>
      </w:r>
      <w:r w:rsidR="4F3125D1" w:rsidRPr="1D64B15C">
        <w:rPr>
          <w:rFonts w:ascii="Verdana" w:hAnsi="Verdana"/>
          <w:sz w:val="20"/>
          <w:szCs w:val="20"/>
          <w:lang w:val="es-ES"/>
        </w:rPr>
        <w:t>,</w:t>
      </w:r>
      <w:r w:rsidRPr="1D64B15C">
        <w:rPr>
          <w:rFonts w:ascii="Verdana" w:hAnsi="Verdana"/>
          <w:sz w:val="20"/>
          <w:szCs w:val="20"/>
          <w:lang w:val="es-ES"/>
        </w:rPr>
        <w:t xml:space="preserve"> por otra parte</w:t>
      </w:r>
      <w:r w:rsidR="39FE0EA6" w:rsidRPr="1D64B15C">
        <w:rPr>
          <w:rFonts w:ascii="Verdana" w:hAnsi="Verdana"/>
          <w:sz w:val="20"/>
          <w:szCs w:val="20"/>
          <w:lang w:val="es-ES"/>
        </w:rPr>
        <w:t>,</w:t>
      </w:r>
      <w:r w:rsidRPr="1D64B15C">
        <w:rPr>
          <w:rFonts w:ascii="Verdana" w:hAnsi="Verdana"/>
          <w:sz w:val="20"/>
          <w:szCs w:val="20"/>
          <w:lang w:val="es-ES"/>
        </w:rPr>
        <w:t xml:space="preserve"> que corresponderá al Juez Penal de Primera Instancia del Distrito Judicial de Tlalnepantla, determinar la exclusión de la prueba al momento de dictar sentencia dentro de la causa penal 236/2012. Sostuvo que, por esta razón, la Corte no puede declarar el incumplimiento a la regla de exclusión de prueba obtenida bajo coacción por parte del Estado mexicano, toda vez que el ente responsable aún no ha tomado una determinación al respecto. </w:t>
      </w:r>
    </w:p>
    <w:p w14:paraId="5CC74DDE" w14:textId="5295D2C9" w:rsidR="004C4A82" w:rsidRPr="00351298" w:rsidRDefault="004C4A82" w:rsidP="00D73463">
      <w:pPr>
        <w:pStyle w:val="Ttulo3"/>
        <w:spacing w:before="240" w:after="240"/>
        <w:ind w:left="567"/>
        <w:jc w:val="both"/>
        <w:rPr>
          <w:rFonts w:ascii="Verdana" w:hAnsi="Verdana"/>
          <w:b w:val="0"/>
          <w:snapToGrid w:val="0"/>
          <w:spacing w:val="-2"/>
          <w:sz w:val="20"/>
          <w:szCs w:val="20"/>
          <w:lang w:eastAsia="es-ES"/>
        </w:rPr>
      </w:pPr>
      <w:bookmarkStart w:id="111" w:name="_Toc132133930"/>
      <w:r w:rsidRPr="00351298">
        <w:rPr>
          <w:rFonts w:ascii="Verdana" w:hAnsi="Verdana"/>
          <w:b w:val="0"/>
          <w:snapToGrid w:val="0"/>
          <w:spacing w:val="-2"/>
          <w:sz w:val="20"/>
          <w:szCs w:val="20"/>
          <w:lang w:eastAsia="es-ES"/>
        </w:rPr>
        <w:lastRenderedPageBreak/>
        <w:t>A.</w:t>
      </w:r>
      <w:r w:rsidR="001167D4" w:rsidRPr="00351298">
        <w:rPr>
          <w:rFonts w:ascii="Verdana" w:hAnsi="Verdana"/>
          <w:b w:val="0"/>
          <w:snapToGrid w:val="0"/>
          <w:spacing w:val="-2"/>
          <w:sz w:val="20"/>
          <w:szCs w:val="20"/>
          <w:lang w:eastAsia="es-ES"/>
        </w:rPr>
        <w:t>2</w:t>
      </w:r>
      <w:r w:rsidRPr="00351298">
        <w:rPr>
          <w:rFonts w:ascii="Verdana" w:hAnsi="Verdana"/>
          <w:b w:val="0"/>
          <w:snapToGrid w:val="0"/>
          <w:spacing w:val="-2"/>
          <w:sz w:val="20"/>
          <w:szCs w:val="20"/>
          <w:lang w:eastAsia="es-ES"/>
        </w:rPr>
        <w:t xml:space="preserve">. </w:t>
      </w:r>
      <w:r w:rsidR="00456E56" w:rsidRPr="00351298">
        <w:rPr>
          <w:rFonts w:ascii="Verdana" w:hAnsi="Verdana"/>
          <w:b w:val="0"/>
          <w:snapToGrid w:val="0"/>
          <w:spacing w:val="-2"/>
          <w:sz w:val="20"/>
          <w:szCs w:val="20"/>
          <w:lang w:eastAsia="es-ES"/>
        </w:rPr>
        <w:t xml:space="preserve">El </w:t>
      </w:r>
      <w:r w:rsidRPr="00351298">
        <w:rPr>
          <w:rFonts w:ascii="Verdana" w:hAnsi="Verdana"/>
          <w:b w:val="0"/>
          <w:snapToGrid w:val="0"/>
          <w:spacing w:val="-2"/>
          <w:sz w:val="20"/>
          <w:szCs w:val="20"/>
          <w:lang w:eastAsia="es-ES"/>
        </w:rPr>
        <w:t>Derecho a la defensa</w:t>
      </w:r>
      <w:r w:rsidR="00C5476B" w:rsidRPr="00351298">
        <w:rPr>
          <w:rFonts w:ascii="Verdana" w:hAnsi="Verdana"/>
          <w:b w:val="0"/>
          <w:snapToGrid w:val="0"/>
          <w:spacing w:val="-2"/>
          <w:sz w:val="20"/>
          <w:szCs w:val="20"/>
          <w:lang w:eastAsia="es-ES"/>
        </w:rPr>
        <w:t xml:space="preserve"> (artículo 8.2.d, e y f de la Convención Americana)</w:t>
      </w:r>
      <w:bookmarkEnd w:id="111"/>
    </w:p>
    <w:p w14:paraId="586992B2" w14:textId="4A9463EC" w:rsidR="00195F00" w:rsidRPr="00351298" w:rsidRDefault="7C720026" w:rsidP="00F26FAB">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 xml:space="preserve">La </w:t>
      </w:r>
      <w:r w:rsidRPr="1D64B15C">
        <w:rPr>
          <w:rFonts w:ascii="Verdana" w:hAnsi="Verdana"/>
          <w:b/>
          <w:bCs/>
          <w:i/>
          <w:iCs/>
          <w:sz w:val="20"/>
          <w:szCs w:val="20"/>
          <w:lang w:val="es-ES"/>
        </w:rPr>
        <w:t>Comisión</w:t>
      </w:r>
      <w:r w:rsidRPr="1D64B15C">
        <w:rPr>
          <w:rFonts w:ascii="Verdana" w:hAnsi="Verdana"/>
          <w:sz w:val="20"/>
          <w:szCs w:val="20"/>
          <w:lang w:val="es-ES"/>
        </w:rPr>
        <w:t xml:space="preserve"> y los </w:t>
      </w:r>
      <w:r w:rsidRPr="1D64B15C">
        <w:rPr>
          <w:rFonts w:ascii="Verdana" w:hAnsi="Verdana"/>
          <w:b/>
          <w:bCs/>
          <w:i/>
          <w:iCs/>
          <w:sz w:val="20"/>
          <w:szCs w:val="20"/>
          <w:lang w:val="es-ES"/>
        </w:rPr>
        <w:t>representantes</w:t>
      </w:r>
      <w:r w:rsidRPr="1D64B15C">
        <w:rPr>
          <w:rFonts w:ascii="Verdana" w:hAnsi="Verdana"/>
          <w:sz w:val="20"/>
          <w:szCs w:val="20"/>
          <w:lang w:val="es-ES"/>
        </w:rPr>
        <w:t xml:space="preserve"> alegaron que</w:t>
      </w:r>
      <w:r w:rsidR="0028638F">
        <w:rPr>
          <w:rFonts w:ascii="Verdana" w:hAnsi="Verdana"/>
          <w:sz w:val="20"/>
          <w:szCs w:val="20"/>
          <w:lang w:val="es-ES"/>
        </w:rPr>
        <w:t>,</w:t>
      </w:r>
      <w:r w:rsidRPr="1D64B15C">
        <w:rPr>
          <w:rFonts w:ascii="Verdana" w:hAnsi="Verdana"/>
          <w:sz w:val="20"/>
          <w:szCs w:val="20"/>
          <w:lang w:val="es-ES"/>
        </w:rPr>
        <w:t xml:space="preserve"> desde su detención y durante todo el tiempo en que estuvo arraigado y al momento de prestar declaraciones ante el Ministerio Público, Daniel García no contó con asistencia legal. </w:t>
      </w:r>
      <w:r w:rsidR="311D9770" w:rsidRPr="1D64B15C">
        <w:rPr>
          <w:rFonts w:ascii="Verdana" w:hAnsi="Verdana"/>
          <w:sz w:val="20"/>
          <w:szCs w:val="20"/>
          <w:lang w:val="es-ES"/>
        </w:rPr>
        <w:t>S</w:t>
      </w:r>
      <w:r w:rsidRPr="1D64B15C">
        <w:rPr>
          <w:rFonts w:ascii="Verdana" w:hAnsi="Verdana"/>
          <w:sz w:val="20"/>
          <w:szCs w:val="20"/>
          <w:lang w:val="es-ES"/>
        </w:rPr>
        <w:t>olo cuando fue presentado por primera vez ante un juez se le designó un defensor de oficio. Por su parte, Reyes Alpízar indicó que, al prestar las declaraciones que aleg</w:t>
      </w:r>
      <w:r w:rsidR="06C67604" w:rsidRPr="1D64B15C">
        <w:rPr>
          <w:rFonts w:ascii="Verdana" w:hAnsi="Verdana"/>
          <w:sz w:val="20"/>
          <w:szCs w:val="20"/>
          <w:lang w:val="es-ES"/>
        </w:rPr>
        <w:t>ó</w:t>
      </w:r>
      <w:r w:rsidRPr="1D64B15C">
        <w:rPr>
          <w:rFonts w:ascii="Verdana" w:hAnsi="Verdana"/>
          <w:sz w:val="20"/>
          <w:szCs w:val="20"/>
          <w:lang w:val="es-ES"/>
        </w:rPr>
        <w:t xml:space="preserve"> </w:t>
      </w:r>
      <w:r w:rsidR="3890BEB5" w:rsidRPr="1D64B15C">
        <w:rPr>
          <w:rFonts w:ascii="Verdana" w:hAnsi="Verdana"/>
          <w:sz w:val="20"/>
          <w:szCs w:val="20"/>
          <w:lang w:val="es-ES"/>
        </w:rPr>
        <w:t xml:space="preserve">que </w:t>
      </w:r>
      <w:r w:rsidRPr="1D64B15C">
        <w:rPr>
          <w:rFonts w:ascii="Verdana" w:hAnsi="Verdana"/>
          <w:sz w:val="20"/>
          <w:szCs w:val="20"/>
          <w:lang w:val="es-ES"/>
        </w:rPr>
        <w:t xml:space="preserve">fueron obtenidas bajo </w:t>
      </w:r>
      <w:r w:rsidR="005A4AE3">
        <w:rPr>
          <w:rFonts w:ascii="Verdana" w:hAnsi="Verdana"/>
          <w:sz w:val="20"/>
          <w:szCs w:val="20"/>
          <w:lang w:val="es-ES"/>
        </w:rPr>
        <w:t>coacción</w:t>
      </w:r>
      <w:r w:rsidRPr="1D64B15C">
        <w:rPr>
          <w:rFonts w:ascii="Verdana" w:hAnsi="Verdana"/>
          <w:sz w:val="20"/>
          <w:szCs w:val="20"/>
          <w:lang w:val="es-ES"/>
        </w:rPr>
        <w:t xml:space="preserve"> ante el Ministerio Público, se le asignó “un judicial” como defensor de oficio. El Tribunal de alzada, la Primera Sala Colegiada Penal de Tlalnepantla, al emitir auto formal de prisión de reemplazo dejó constancia de que, efectivamente, el defensor asignado se encontraba “adscrito al órgano investigador”. Notaron que, además de que tal defensor no conta</w:t>
      </w:r>
      <w:r w:rsidR="67917B0E" w:rsidRPr="1D64B15C">
        <w:rPr>
          <w:rFonts w:ascii="Verdana" w:hAnsi="Verdana"/>
          <w:sz w:val="20"/>
          <w:szCs w:val="20"/>
          <w:lang w:val="es-ES"/>
        </w:rPr>
        <w:t>ba</w:t>
      </w:r>
      <w:r w:rsidRPr="1D64B15C">
        <w:rPr>
          <w:rFonts w:ascii="Verdana" w:hAnsi="Verdana"/>
          <w:sz w:val="20"/>
          <w:szCs w:val="20"/>
          <w:lang w:val="es-ES"/>
        </w:rPr>
        <w:t xml:space="preserve"> con la independencia debida – lo que </w:t>
      </w:r>
      <w:r w:rsidR="34413033" w:rsidRPr="1D64B15C">
        <w:rPr>
          <w:rFonts w:ascii="Verdana" w:hAnsi="Verdana"/>
          <w:sz w:val="20"/>
          <w:szCs w:val="20"/>
          <w:lang w:val="es-ES"/>
        </w:rPr>
        <w:t xml:space="preserve">consideraron </w:t>
      </w:r>
      <w:r w:rsidRPr="1D64B15C">
        <w:rPr>
          <w:rFonts w:ascii="Verdana" w:hAnsi="Verdana"/>
          <w:sz w:val="20"/>
          <w:szCs w:val="20"/>
          <w:lang w:val="es-ES"/>
        </w:rPr>
        <w:t xml:space="preserve">especialmente relevante al existir alegaciones de que participó de </w:t>
      </w:r>
      <w:r w:rsidR="0028638F">
        <w:rPr>
          <w:rFonts w:ascii="Verdana" w:hAnsi="Verdana"/>
          <w:sz w:val="20"/>
          <w:szCs w:val="20"/>
          <w:lang w:val="es-ES"/>
        </w:rPr>
        <w:t>los hechos de</w:t>
      </w:r>
      <w:r w:rsidR="0028638F" w:rsidRPr="1D64B15C">
        <w:rPr>
          <w:rFonts w:ascii="Verdana" w:hAnsi="Verdana"/>
          <w:sz w:val="20"/>
          <w:szCs w:val="20"/>
          <w:lang w:val="es-ES"/>
        </w:rPr>
        <w:t xml:space="preserve"> </w:t>
      </w:r>
      <w:r w:rsidRPr="1D64B15C">
        <w:rPr>
          <w:rFonts w:ascii="Verdana" w:hAnsi="Verdana"/>
          <w:sz w:val="20"/>
          <w:szCs w:val="20"/>
          <w:lang w:val="es-ES"/>
        </w:rPr>
        <w:t>coacción</w:t>
      </w:r>
      <w:r w:rsidR="0028638F">
        <w:rPr>
          <w:rFonts w:ascii="Verdana" w:hAnsi="Verdana"/>
          <w:sz w:val="20"/>
          <w:szCs w:val="20"/>
          <w:lang w:val="es-ES"/>
        </w:rPr>
        <w:t xml:space="preserve"> contra Reyes Alpízar</w:t>
      </w:r>
      <w:r w:rsidRPr="1D64B15C">
        <w:rPr>
          <w:rFonts w:ascii="Verdana" w:hAnsi="Verdana"/>
          <w:sz w:val="20"/>
          <w:szCs w:val="20"/>
          <w:lang w:val="es-ES"/>
        </w:rPr>
        <w:t xml:space="preserve"> – el Estado tampoco ha</w:t>
      </w:r>
      <w:r w:rsidR="20E8A08E" w:rsidRPr="1D64B15C">
        <w:rPr>
          <w:rFonts w:ascii="Verdana" w:hAnsi="Verdana"/>
          <w:sz w:val="20"/>
          <w:szCs w:val="20"/>
          <w:lang w:val="es-ES"/>
        </w:rPr>
        <w:t>bía</w:t>
      </w:r>
      <w:r w:rsidRPr="1D64B15C">
        <w:rPr>
          <w:rFonts w:ascii="Verdana" w:hAnsi="Verdana"/>
          <w:sz w:val="20"/>
          <w:szCs w:val="20"/>
          <w:lang w:val="es-ES"/>
        </w:rPr>
        <w:t xml:space="preserve"> acreditado que dicho defensor le hubiera asesorado debidamente sobre su situación jurídica, o bien, emprendido desde ese momento actos tendientes a su defensa, como lo era el cuestionamiento de la legalidad o arbitrariedad de la detención. </w:t>
      </w:r>
    </w:p>
    <w:p w14:paraId="6ACF2D6C" w14:textId="3BEE7FDE" w:rsidR="004C4A82" w:rsidRPr="00351298" w:rsidRDefault="00195F00" w:rsidP="00D73463">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Por otra parte, indicaron que, en su primera audiencia ante el Juez Quinto Penal, el defensor de Daniel García solicitó se citara a declarar a</w:t>
      </w:r>
      <w:r w:rsidR="00470669">
        <w:rPr>
          <w:rFonts w:ascii="Verdana" w:hAnsi="Verdana"/>
          <w:sz w:val="20"/>
          <w:szCs w:val="20"/>
          <w:lang w:val="es-ES"/>
        </w:rPr>
        <w:t xml:space="preserve">l </w:t>
      </w:r>
      <w:r w:rsidRPr="00351298">
        <w:rPr>
          <w:rFonts w:ascii="Verdana" w:hAnsi="Verdana"/>
          <w:sz w:val="20"/>
          <w:szCs w:val="20"/>
          <w:lang w:val="es-ES"/>
        </w:rPr>
        <w:t xml:space="preserve">Subprocurador de Justicia Rogelio Figueroa, a fin de “demostrar los hechos con los que lo relaciona el inculpado”. Sin embargo, el Juez no solo negó tal requerimiento, sino que indicó que las actuaciones ministeriales hacían plena prueba, ya que estaban revestidas de fe ministerial. Agregaron que en el proceso penal los acusados no han logrado presentar las pruebas de descargo ofrecidas como esenciales y el juez de la causa no ha tomado medidas para coaccionar el envío de información o la comparecencia de los testigos necesarios para el descubrimiento de la verdad. </w:t>
      </w:r>
      <w:r w:rsidR="004C4A82" w:rsidRPr="00351298">
        <w:rPr>
          <w:rFonts w:ascii="Verdana" w:hAnsi="Verdana"/>
          <w:sz w:val="20"/>
          <w:szCs w:val="20"/>
          <w:lang w:val="es-ES"/>
        </w:rPr>
        <w:t>En virtud de todo lo anterior, concluyeron que el Estado violó el derecho a la defensa en violación del artículo 8.2 d), e) y f) de la Convención Americana.</w:t>
      </w:r>
    </w:p>
    <w:p w14:paraId="290E7495" w14:textId="02819B56" w:rsidR="004C4A82" w:rsidRPr="00351298" w:rsidRDefault="7C720026" w:rsidP="00D73463">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 xml:space="preserve">El </w:t>
      </w:r>
      <w:r w:rsidRPr="1D64B15C">
        <w:rPr>
          <w:rFonts w:ascii="Verdana" w:hAnsi="Verdana"/>
          <w:b/>
          <w:bCs/>
          <w:i/>
          <w:iCs/>
          <w:sz w:val="20"/>
          <w:szCs w:val="20"/>
          <w:lang w:val="es-ES"/>
        </w:rPr>
        <w:t>Estado</w:t>
      </w:r>
      <w:r w:rsidRPr="1D64B15C">
        <w:rPr>
          <w:rFonts w:ascii="Verdana" w:hAnsi="Verdana"/>
          <w:sz w:val="20"/>
          <w:szCs w:val="20"/>
          <w:lang w:val="es-ES"/>
        </w:rPr>
        <w:t xml:space="preserve"> sostuvo que el defensor de oficio asignado a Reyes Alpízar era perteneciente a la Defensoría de Oficio del Estado de México, la cual no dependía de la </w:t>
      </w:r>
      <w:r w:rsidR="71CB328A" w:rsidRPr="1D64B15C">
        <w:rPr>
          <w:rFonts w:ascii="Verdana" w:hAnsi="Verdana"/>
          <w:sz w:val="20"/>
          <w:szCs w:val="20"/>
          <w:lang w:val="es-ES"/>
        </w:rPr>
        <w:t>PGJEM</w:t>
      </w:r>
      <w:r w:rsidRPr="1D64B15C">
        <w:rPr>
          <w:rFonts w:ascii="Verdana" w:hAnsi="Verdana"/>
          <w:sz w:val="20"/>
          <w:szCs w:val="20"/>
          <w:lang w:val="es-ES"/>
        </w:rPr>
        <w:t xml:space="preserve">, sino de la Secretaría General de Gobierno, tal y como lo establecía la Ley de la Defensoría de Oficio del Estado de México aplicable al momento de los hechos. Por lo que se refiere a Daniel García Rodríguez, indicó que derivado de la orden de presentación, el 25 de febrero de 2002, fundada en la legislación procesal vigente al momento de los hechos, la cual preveía que para aquellos casos en los que se tuviera el temor fundado de que se desobedeciera la citación, podrían ser presentados por la policía, rindió su declaración de manera libre, espontánea y sin presión alguna, pues en cada una de las preguntas que le fueron formuladas, en ninguna de ellas se auto incriminó; contrario a ello, negó categóricamente su relación en los hechos. </w:t>
      </w:r>
      <w:r w:rsidR="62863118" w:rsidRPr="1D64B15C">
        <w:rPr>
          <w:rFonts w:ascii="Verdana" w:hAnsi="Verdana"/>
          <w:sz w:val="20"/>
          <w:szCs w:val="20"/>
          <w:lang w:val="es-ES"/>
        </w:rPr>
        <w:t>Por ello, entendi</w:t>
      </w:r>
      <w:r w:rsidR="0028638F">
        <w:rPr>
          <w:rFonts w:ascii="Verdana" w:hAnsi="Verdana"/>
          <w:sz w:val="20"/>
          <w:szCs w:val="20"/>
          <w:lang w:val="es-ES"/>
        </w:rPr>
        <w:t>ó</w:t>
      </w:r>
      <w:r w:rsidR="62863118" w:rsidRPr="1D64B15C">
        <w:rPr>
          <w:rFonts w:ascii="Verdana" w:hAnsi="Verdana"/>
          <w:sz w:val="20"/>
          <w:szCs w:val="20"/>
          <w:lang w:val="es-ES"/>
        </w:rPr>
        <w:t xml:space="preserve"> que </w:t>
      </w:r>
      <w:r w:rsidRPr="1D64B15C">
        <w:rPr>
          <w:rFonts w:ascii="Verdana" w:hAnsi="Verdana"/>
          <w:sz w:val="20"/>
          <w:szCs w:val="20"/>
          <w:lang w:val="es-ES"/>
        </w:rPr>
        <w:t xml:space="preserve">Daniel García ejerció su derecho a la defensa técnica de manera personal. </w:t>
      </w:r>
      <w:r w:rsidR="0A5AF64B" w:rsidRPr="1D64B15C">
        <w:rPr>
          <w:rFonts w:ascii="Verdana" w:hAnsi="Verdana"/>
          <w:sz w:val="20"/>
          <w:szCs w:val="20"/>
          <w:lang w:val="es-ES"/>
        </w:rPr>
        <w:t>El Estado a</w:t>
      </w:r>
      <w:r w:rsidRPr="1D64B15C">
        <w:rPr>
          <w:rFonts w:ascii="Verdana" w:hAnsi="Verdana"/>
          <w:sz w:val="20"/>
          <w:szCs w:val="20"/>
          <w:lang w:val="es-ES"/>
        </w:rPr>
        <w:t>gregó</w:t>
      </w:r>
      <w:r w:rsidR="0028638F">
        <w:rPr>
          <w:rFonts w:ascii="Verdana" w:hAnsi="Verdana"/>
          <w:sz w:val="20"/>
          <w:szCs w:val="20"/>
          <w:lang w:val="es-ES"/>
        </w:rPr>
        <w:t xml:space="preserve"> </w:t>
      </w:r>
      <w:r w:rsidRPr="1D64B15C">
        <w:rPr>
          <w:rFonts w:ascii="Verdana" w:hAnsi="Verdana"/>
          <w:sz w:val="20"/>
          <w:szCs w:val="20"/>
          <w:lang w:val="es-ES"/>
        </w:rPr>
        <w:t>que, a lo largo de su proceso penal, Daniel García Rodríguez cont</w:t>
      </w:r>
      <w:r w:rsidR="0028638F">
        <w:rPr>
          <w:rFonts w:ascii="Verdana" w:hAnsi="Verdana"/>
          <w:sz w:val="20"/>
          <w:szCs w:val="20"/>
          <w:lang w:val="es-ES"/>
        </w:rPr>
        <w:t>ó</w:t>
      </w:r>
      <w:r w:rsidRPr="1D64B15C">
        <w:rPr>
          <w:rFonts w:ascii="Verdana" w:hAnsi="Verdana"/>
          <w:sz w:val="20"/>
          <w:szCs w:val="20"/>
          <w:lang w:val="es-ES"/>
        </w:rPr>
        <w:t xml:space="preserve"> con 14 defensores privados y 12 defensores públicos; mientras que Reyes Alpízar Ortiz ha contado con 7 defensores privados y 14 públicos.</w:t>
      </w:r>
    </w:p>
    <w:p w14:paraId="2A9B44C8" w14:textId="0C84CE8A" w:rsidR="004C4A82" w:rsidRPr="00351298" w:rsidRDefault="7C720026" w:rsidP="00D73463">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 xml:space="preserve">En cuanto a la alegada violación del derecho de la defensa de interrogar y obtener la comparecencia de otras personas que puedan arrojar luz sobre los hechos, la cual materializa los principios de contradicción e igualdad procesal, indicó que la negativa del Juez no estuvo encaminada a obstaculizar el derecho </w:t>
      </w:r>
      <w:r w:rsidR="0028638F">
        <w:rPr>
          <w:rFonts w:ascii="Verdana" w:hAnsi="Verdana"/>
          <w:sz w:val="20"/>
          <w:szCs w:val="20"/>
          <w:lang w:val="es-ES"/>
        </w:rPr>
        <w:t>de</w:t>
      </w:r>
      <w:r w:rsidRPr="1D64B15C">
        <w:rPr>
          <w:rFonts w:ascii="Verdana" w:hAnsi="Verdana"/>
          <w:sz w:val="20"/>
          <w:szCs w:val="20"/>
          <w:lang w:val="es-ES"/>
        </w:rPr>
        <w:t xml:space="preserve"> Daniel García de interrogar a los testigos en su contra, como erróneamente lo intenta hacer ver la Comisión IDH; sino que de las actuaciones ministeriales no se desprendían los supuestos actos de tortura por lo que no consideró pertinente su declaración. La falta de comparecencia del Subprocurador fue subsanada a través de los medios de defensa interpuestos por las presuntas víctimas, los cuales dieron lugar a la investigación por los alegados actos de tortura, la cual incluy</w:t>
      </w:r>
      <w:r w:rsidR="3947E65E" w:rsidRPr="1D64B15C">
        <w:rPr>
          <w:rFonts w:ascii="Verdana" w:hAnsi="Verdana"/>
          <w:sz w:val="20"/>
          <w:szCs w:val="20"/>
          <w:lang w:val="es-ES"/>
        </w:rPr>
        <w:t>ó</w:t>
      </w:r>
      <w:r w:rsidRPr="1D64B15C">
        <w:rPr>
          <w:rFonts w:ascii="Verdana" w:hAnsi="Verdana"/>
          <w:sz w:val="20"/>
          <w:szCs w:val="20"/>
          <w:lang w:val="es-ES"/>
        </w:rPr>
        <w:t xml:space="preserve"> el testimonio del entonces Subprocurador.</w:t>
      </w:r>
    </w:p>
    <w:p w14:paraId="20D2650A" w14:textId="60921E53" w:rsidR="004C4A82" w:rsidRPr="00351298" w:rsidRDefault="004C4A82" w:rsidP="00D73463">
      <w:pPr>
        <w:pStyle w:val="Ttulo3"/>
        <w:spacing w:before="240" w:after="240"/>
        <w:ind w:left="567"/>
        <w:jc w:val="both"/>
        <w:rPr>
          <w:rFonts w:ascii="Verdana" w:hAnsi="Verdana"/>
          <w:b w:val="0"/>
          <w:snapToGrid w:val="0"/>
          <w:spacing w:val="-2"/>
          <w:sz w:val="20"/>
          <w:szCs w:val="20"/>
          <w:lang w:eastAsia="es-ES"/>
        </w:rPr>
      </w:pPr>
      <w:bookmarkStart w:id="112" w:name="_Toc132133931"/>
      <w:r w:rsidRPr="00351298">
        <w:rPr>
          <w:rFonts w:ascii="Verdana" w:hAnsi="Verdana"/>
          <w:b w:val="0"/>
          <w:snapToGrid w:val="0"/>
          <w:spacing w:val="-2"/>
          <w:sz w:val="20"/>
          <w:szCs w:val="20"/>
          <w:lang w:eastAsia="es-ES"/>
        </w:rPr>
        <w:t>A.</w:t>
      </w:r>
      <w:r w:rsidR="001167D4" w:rsidRPr="00351298">
        <w:rPr>
          <w:rFonts w:ascii="Verdana" w:hAnsi="Verdana"/>
          <w:b w:val="0"/>
          <w:snapToGrid w:val="0"/>
          <w:spacing w:val="-2"/>
          <w:sz w:val="20"/>
          <w:szCs w:val="20"/>
          <w:lang w:eastAsia="es-ES"/>
        </w:rPr>
        <w:t>2</w:t>
      </w:r>
      <w:r w:rsidRPr="00351298">
        <w:rPr>
          <w:rFonts w:ascii="Verdana" w:hAnsi="Verdana"/>
          <w:b w:val="0"/>
          <w:snapToGrid w:val="0"/>
          <w:spacing w:val="-2"/>
          <w:sz w:val="20"/>
          <w:szCs w:val="20"/>
          <w:lang w:eastAsia="es-ES"/>
        </w:rPr>
        <w:t xml:space="preserve">. </w:t>
      </w:r>
      <w:r w:rsidR="00456E56" w:rsidRPr="00351298">
        <w:rPr>
          <w:rFonts w:ascii="Verdana" w:hAnsi="Verdana"/>
          <w:b w:val="0"/>
          <w:snapToGrid w:val="0"/>
          <w:spacing w:val="-2"/>
          <w:sz w:val="20"/>
          <w:szCs w:val="20"/>
          <w:lang w:eastAsia="es-ES"/>
        </w:rPr>
        <w:t>El derecho a la p</w:t>
      </w:r>
      <w:r w:rsidRPr="00351298">
        <w:rPr>
          <w:rFonts w:ascii="Verdana" w:hAnsi="Verdana"/>
          <w:b w:val="0"/>
          <w:snapToGrid w:val="0"/>
          <w:spacing w:val="-2"/>
          <w:sz w:val="20"/>
          <w:szCs w:val="20"/>
          <w:lang w:eastAsia="es-ES"/>
        </w:rPr>
        <w:t>resunción de inocencia</w:t>
      </w:r>
      <w:r w:rsidR="00C5476B" w:rsidRPr="00351298">
        <w:rPr>
          <w:rFonts w:ascii="Verdana" w:hAnsi="Verdana"/>
          <w:b w:val="0"/>
          <w:snapToGrid w:val="0"/>
          <w:spacing w:val="-2"/>
          <w:sz w:val="20"/>
          <w:szCs w:val="20"/>
          <w:lang w:eastAsia="es-ES"/>
        </w:rPr>
        <w:t xml:space="preserve"> (artículo 8.1 de la Convención Americana)</w:t>
      </w:r>
      <w:bookmarkEnd w:id="112"/>
    </w:p>
    <w:p w14:paraId="7F5FD9E9" w14:textId="039F40CF" w:rsidR="004C4A82" w:rsidRPr="00351298" w:rsidRDefault="004C4A82" w:rsidP="00D73463">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 xml:space="preserve">La </w:t>
      </w:r>
      <w:r w:rsidRPr="00351298">
        <w:rPr>
          <w:rFonts w:ascii="Verdana" w:hAnsi="Verdana"/>
          <w:b/>
          <w:bCs/>
          <w:i/>
          <w:iCs/>
          <w:sz w:val="20"/>
          <w:szCs w:val="20"/>
          <w:lang w:val="es-ES"/>
        </w:rPr>
        <w:t>Comisión</w:t>
      </w:r>
      <w:r w:rsidRPr="00351298">
        <w:rPr>
          <w:rFonts w:ascii="Verdana" w:hAnsi="Verdana"/>
          <w:sz w:val="20"/>
          <w:szCs w:val="20"/>
          <w:lang w:val="es-ES"/>
        </w:rPr>
        <w:t xml:space="preserve"> y los </w:t>
      </w:r>
      <w:r w:rsidRPr="00351298">
        <w:rPr>
          <w:rFonts w:ascii="Verdana" w:hAnsi="Verdana"/>
          <w:b/>
          <w:bCs/>
          <w:i/>
          <w:iCs/>
          <w:sz w:val="20"/>
          <w:szCs w:val="20"/>
          <w:lang w:val="es-ES"/>
        </w:rPr>
        <w:t>representantes</w:t>
      </w:r>
      <w:r w:rsidRPr="00351298">
        <w:rPr>
          <w:rFonts w:ascii="Verdana" w:hAnsi="Verdana"/>
          <w:sz w:val="20"/>
          <w:szCs w:val="20"/>
          <w:lang w:val="es-ES"/>
        </w:rPr>
        <w:t xml:space="preserve"> observaron que, según consta de decenas de boletines de prensa emitidos por la PGJEM, cientos de extractos de noticias incluidos en prensa escrita de </w:t>
      </w:r>
      <w:r w:rsidRPr="00351298">
        <w:rPr>
          <w:rFonts w:ascii="Verdana" w:hAnsi="Verdana"/>
          <w:sz w:val="20"/>
          <w:szCs w:val="20"/>
          <w:lang w:val="es-ES"/>
        </w:rPr>
        <w:lastRenderedPageBreak/>
        <w:t>circulación nacional (citando como fuente de información la PGJEM) y un informe gubernamental, durante la investigación y tramitación del proceso penal en su contra y sin haber sido aún condenados por sentencia firme, Daniel García y Reyes Alpízar fueron presentados por el Ministerio Público como unos de los “responsables” del asesinato de la regidora. Asimismo, Daniel García y su familia fueron expuestos como una red de criminales y espías políticos. Lo anterior generó una opinión pública de culpabilidad, sin que su responsabilidad haya aún sido acreditada ni determinada en el proceso penal. En virtud de todo lo anterior, estimaron que el Estado violó el derecho a la presunción de inocencia establecido en el artículo 8.2 de la Convención Americana.</w:t>
      </w:r>
    </w:p>
    <w:p w14:paraId="6B3305DC" w14:textId="1FE5E0C3" w:rsidR="004C4A82" w:rsidRPr="00351298" w:rsidRDefault="004C4A82" w:rsidP="004C4A82">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 xml:space="preserve">Los </w:t>
      </w:r>
      <w:r w:rsidRPr="00351298">
        <w:rPr>
          <w:rFonts w:ascii="Verdana" w:hAnsi="Verdana"/>
          <w:b/>
          <w:bCs/>
          <w:i/>
          <w:iCs/>
          <w:sz w:val="20"/>
          <w:szCs w:val="20"/>
          <w:lang w:val="es-ES"/>
        </w:rPr>
        <w:t>representantes</w:t>
      </w:r>
      <w:r w:rsidRPr="00351298">
        <w:rPr>
          <w:rFonts w:ascii="Verdana" w:hAnsi="Verdana"/>
          <w:sz w:val="20"/>
          <w:szCs w:val="20"/>
          <w:lang w:val="es-ES"/>
        </w:rPr>
        <w:t xml:space="preserve"> alegaron que,</w:t>
      </w:r>
      <w:r w:rsidR="00BA2FC6" w:rsidRPr="00351298">
        <w:rPr>
          <w:rFonts w:ascii="Verdana" w:hAnsi="Verdana"/>
          <w:sz w:val="20"/>
          <w:szCs w:val="20"/>
          <w:lang w:val="es-ES"/>
        </w:rPr>
        <w:t xml:space="preserve"> además de haber violado el derecho a la presunción de inocencia, </w:t>
      </w:r>
      <w:r w:rsidRPr="00351298">
        <w:rPr>
          <w:rFonts w:ascii="Verdana" w:hAnsi="Verdana"/>
          <w:sz w:val="20"/>
          <w:szCs w:val="20"/>
          <w:lang w:val="es-ES"/>
        </w:rPr>
        <w:t xml:space="preserve">las autoridades del Estado de México fueron construyendo la idea de culpabilidad en el imaginario colectivo, impactando de forma directa en </w:t>
      </w:r>
      <w:r w:rsidR="008D0941" w:rsidRPr="00351298">
        <w:rPr>
          <w:rFonts w:ascii="Verdana" w:hAnsi="Verdana"/>
          <w:sz w:val="20"/>
          <w:szCs w:val="20"/>
          <w:lang w:val="es-ES"/>
        </w:rPr>
        <w:t xml:space="preserve">el derecho a </w:t>
      </w:r>
      <w:r w:rsidRPr="00351298">
        <w:rPr>
          <w:rFonts w:ascii="Verdana" w:hAnsi="Verdana"/>
          <w:sz w:val="20"/>
          <w:szCs w:val="20"/>
          <w:lang w:val="es-ES"/>
        </w:rPr>
        <w:t>la dignidad y honra</w:t>
      </w:r>
      <w:r w:rsidR="008D0941" w:rsidRPr="00351298">
        <w:rPr>
          <w:rFonts w:ascii="Verdana" w:hAnsi="Verdana"/>
          <w:sz w:val="20"/>
          <w:szCs w:val="20"/>
          <w:lang w:val="es-ES"/>
        </w:rPr>
        <w:t xml:space="preserve">, contenido en el artículo 11 de la Convención Americana, en perjuicio </w:t>
      </w:r>
      <w:r w:rsidRPr="00351298">
        <w:rPr>
          <w:rFonts w:ascii="Verdana" w:hAnsi="Verdana"/>
          <w:sz w:val="20"/>
          <w:szCs w:val="20"/>
          <w:lang w:val="es-ES"/>
        </w:rPr>
        <w:t xml:space="preserve">de las </w:t>
      </w:r>
      <w:r w:rsidR="008D0941" w:rsidRPr="00351298">
        <w:rPr>
          <w:rFonts w:ascii="Verdana" w:hAnsi="Verdana"/>
          <w:sz w:val="20"/>
          <w:szCs w:val="20"/>
          <w:lang w:val="es-ES"/>
        </w:rPr>
        <w:t xml:space="preserve">presuntas </w:t>
      </w:r>
      <w:r w:rsidRPr="00351298">
        <w:rPr>
          <w:rFonts w:ascii="Verdana" w:hAnsi="Verdana"/>
          <w:sz w:val="20"/>
          <w:szCs w:val="20"/>
          <w:lang w:val="es-ES"/>
        </w:rPr>
        <w:t>víctimas y de sus entornos familiares cercanos</w:t>
      </w:r>
      <w:r w:rsidR="008D0941" w:rsidRPr="00351298">
        <w:rPr>
          <w:rFonts w:ascii="Verdana" w:hAnsi="Verdana"/>
          <w:sz w:val="20"/>
          <w:szCs w:val="20"/>
          <w:lang w:val="es-ES"/>
        </w:rPr>
        <w:t>.</w:t>
      </w:r>
    </w:p>
    <w:p w14:paraId="2DA80295" w14:textId="7D0B4C46" w:rsidR="004C4A82" w:rsidRPr="00351298" w:rsidRDefault="7C720026" w:rsidP="00D73463">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 xml:space="preserve">El </w:t>
      </w:r>
      <w:r w:rsidRPr="1D64B15C">
        <w:rPr>
          <w:rFonts w:ascii="Verdana" w:hAnsi="Verdana"/>
          <w:b/>
          <w:bCs/>
          <w:i/>
          <w:iCs/>
          <w:sz w:val="20"/>
          <w:szCs w:val="20"/>
          <w:lang w:val="es-ES"/>
        </w:rPr>
        <w:t>Estado</w:t>
      </w:r>
      <w:r w:rsidRPr="00351298">
        <w:rPr>
          <w:rFonts w:ascii="Verdana" w:hAnsi="Verdana"/>
          <w:sz w:val="20"/>
          <w:szCs w:val="20"/>
          <w:lang w:val="es-ES"/>
        </w:rPr>
        <w:t xml:space="preserve"> alegó </w:t>
      </w:r>
      <w:r w:rsidR="60C12D84" w:rsidRPr="00351298">
        <w:rPr>
          <w:rFonts w:ascii="Verdana" w:hAnsi="Verdana"/>
          <w:sz w:val="20"/>
          <w:szCs w:val="20"/>
          <w:lang w:val="es-ES"/>
        </w:rPr>
        <w:t>que</w:t>
      </w:r>
      <w:r w:rsidRPr="00351298">
        <w:rPr>
          <w:rFonts w:ascii="Verdana" w:hAnsi="Verdana"/>
          <w:sz w:val="20"/>
          <w:szCs w:val="20"/>
          <w:lang w:val="es-ES"/>
        </w:rPr>
        <w:t xml:space="preserve"> “la supuesta campaña mediática está sustenta</w:t>
      </w:r>
      <w:r w:rsidR="60C12D84" w:rsidRPr="00351298">
        <w:rPr>
          <w:rFonts w:ascii="Verdana" w:hAnsi="Verdana"/>
          <w:sz w:val="20"/>
          <w:szCs w:val="20"/>
          <w:lang w:val="es-ES"/>
        </w:rPr>
        <w:t>da</w:t>
      </w:r>
      <w:r w:rsidRPr="00351298">
        <w:rPr>
          <w:rFonts w:ascii="Verdana" w:hAnsi="Verdana"/>
          <w:sz w:val="20"/>
          <w:szCs w:val="20"/>
          <w:lang w:val="es-ES"/>
        </w:rPr>
        <w:t xml:space="preserve"> en evidencia fuertemente cuestionable” pues se trata de documentos electrónicos que no solamente carecen de identificación oficial o de la imagen institucional de las instituciones de justicia del Estado de México, sino que además ofrecen información inexacta. Por otra parte, indicó que las notas periodísticas publicadas por diversos medios durante el desarrollo de la investigación no corresponden al Estado sino únicamente al medio que las publica</w:t>
      </w:r>
      <w:r w:rsidR="008D0941" w:rsidRPr="1D64B15C">
        <w:rPr>
          <w:rStyle w:val="Refdenotaalpie"/>
          <w:rFonts w:ascii="Verdana" w:hAnsi="Verdana"/>
          <w:sz w:val="20"/>
          <w:lang w:val="es-ES"/>
        </w:rPr>
        <w:footnoteReference w:id="240"/>
      </w:r>
      <w:r w:rsidRPr="00351298">
        <w:rPr>
          <w:rFonts w:ascii="Verdana" w:hAnsi="Verdana"/>
          <w:sz w:val="20"/>
          <w:szCs w:val="20"/>
          <w:lang w:val="es-ES"/>
        </w:rPr>
        <w:t>. Agregó que se menciona un informe gubernamental de manera genérica, sin proporcionar datos que permitan la identificación del documento, así como el sentido de los supuestos dichos que habrían afectado a las presuntas víctimas</w:t>
      </w:r>
      <w:r w:rsidR="008D0941" w:rsidRPr="1D64B15C">
        <w:rPr>
          <w:rStyle w:val="Refdenotaalpie"/>
          <w:rFonts w:ascii="Verdana" w:hAnsi="Verdana"/>
          <w:sz w:val="20"/>
          <w:lang w:val="es-ES"/>
        </w:rPr>
        <w:footnoteReference w:id="241"/>
      </w:r>
      <w:r w:rsidRPr="00351298">
        <w:rPr>
          <w:rFonts w:ascii="Verdana" w:hAnsi="Verdana"/>
          <w:sz w:val="20"/>
          <w:szCs w:val="20"/>
          <w:lang w:val="es-ES"/>
        </w:rPr>
        <w:t>. Por lo anterior, el Estado concluyó que no ha</w:t>
      </w:r>
      <w:r w:rsidR="3F462B20" w:rsidRPr="00351298">
        <w:rPr>
          <w:rFonts w:ascii="Verdana" w:hAnsi="Verdana"/>
          <w:sz w:val="20"/>
          <w:szCs w:val="20"/>
          <w:lang w:val="es-ES"/>
        </w:rPr>
        <w:t>bía</w:t>
      </w:r>
      <w:r w:rsidRPr="00351298">
        <w:rPr>
          <w:rFonts w:ascii="Verdana" w:hAnsi="Verdana"/>
          <w:sz w:val="20"/>
          <w:szCs w:val="20"/>
          <w:lang w:val="es-ES"/>
        </w:rPr>
        <w:t xml:space="preserve"> sustento alguno que permita declarar la responsabilidad del Estado por la violación a la presunción de inocencia de las presuntas víctimas Daniel García Rodríguez y Reyes Alpízar. </w:t>
      </w:r>
    </w:p>
    <w:p w14:paraId="2FECCB58" w14:textId="33C74A78" w:rsidR="004C4A82" w:rsidRPr="00351298" w:rsidRDefault="004C4A82" w:rsidP="00D73463">
      <w:pPr>
        <w:pStyle w:val="Ttulo3"/>
        <w:spacing w:before="240" w:after="240"/>
        <w:ind w:left="567"/>
        <w:jc w:val="both"/>
        <w:rPr>
          <w:rFonts w:ascii="Verdana" w:hAnsi="Verdana"/>
          <w:b w:val="0"/>
          <w:snapToGrid w:val="0"/>
          <w:spacing w:val="-2"/>
          <w:sz w:val="20"/>
          <w:szCs w:val="20"/>
          <w:lang w:eastAsia="es-ES"/>
        </w:rPr>
      </w:pPr>
      <w:bookmarkStart w:id="113" w:name="_Toc132133932"/>
      <w:r w:rsidRPr="00351298">
        <w:rPr>
          <w:rFonts w:ascii="Verdana" w:hAnsi="Verdana"/>
          <w:b w:val="0"/>
          <w:snapToGrid w:val="0"/>
          <w:spacing w:val="-2"/>
          <w:sz w:val="20"/>
          <w:szCs w:val="20"/>
          <w:lang w:eastAsia="es-ES"/>
        </w:rPr>
        <w:t>A.</w:t>
      </w:r>
      <w:r w:rsidR="001167D4" w:rsidRPr="00351298">
        <w:rPr>
          <w:rFonts w:ascii="Verdana" w:hAnsi="Verdana"/>
          <w:b w:val="0"/>
          <w:snapToGrid w:val="0"/>
          <w:spacing w:val="-2"/>
          <w:sz w:val="20"/>
          <w:szCs w:val="20"/>
          <w:lang w:eastAsia="es-ES"/>
        </w:rPr>
        <w:t>4</w:t>
      </w:r>
      <w:r w:rsidRPr="00351298">
        <w:rPr>
          <w:rFonts w:ascii="Verdana" w:hAnsi="Verdana"/>
          <w:b w:val="0"/>
          <w:snapToGrid w:val="0"/>
          <w:spacing w:val="-2"/>
          <w:sz w:val="20"/>
          <w:szCs w:val="20"/>
          <w:lang w:eastAsia="es-ES"/>
        </w:rPr>
        <w:t xml:space="preserve">. </w:t>
      </w:r>
      <w:r w:rsidR="00456E56" w:rsidRPr="00351298">
        <w:rPr>
          <w:rFonts w:ascii="Verdana" w:hAnsi="Verdana"/>
          <w:b w:val="0"/>
          <w:snapToGrid w:val="0"/>
          <w:spacing w:val="-2"/>
          <w:sz w:val="20"/>
          <w:szCs w:val="20"/>
          <w:lang w:eastAsia="es-ES"/>
        </w:rPr>
        <w:t>El principio del p</w:t>
      </w:r>
      <w:r w:rsidRPr="00351298">
        <w:rPr>
          <w:rFonts w:ascii="Verdana" w:hAnsi="Verdana"/>
          <w:b w:val="0"/>
          <w:snapToGrid w:val="0"/>
          <w:spacing w:val="-2"/>
          <w:sz w:val="20"/>
          <w:szCs w:val="20"/>
          <w:lang w:eastAsia="es-ES"/>
        </w:rPr>
        <w:t>lazo razonable</w:t>
      </w:r>
      <w:r w:rsidR="00C5476B" w:rsidRPr="00351298">
        <w:rPr>
          <w:rFonts w:ascii="Verdana" w:hAnsi="Verdana"/>
          <w:b w:val="0"/>
          <w:snapToGrid w:val="0"/>
          <w:spacing w:val="-2"/>
          <w:sz w:val="20"/>
          <w:szCs w:val="20"/>
          <w:lang w:eastAsia="es-ES"/>
        </w:rPr>
        <w:t xml:space="preserve"> (artículo 8.1 de la Convención Americana)</w:t>
      </w:r>
      <w:bookmarkEnd w:id="113"/>
    </w:p>
    <w:p w14:paraId="25FD492E" w14:textId="45CA637F" w:rsidR="005F6ECF" w:rsidRPr="00F31F8B" w:rsidRDefault="004C4A82" w:rsidP="005F6ECF">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 xml:space="preserve">La </w:t>
      </w:r>
      <w:r w:rsidRPr="00351298">
        <w:rPr>
          <w:rFonts w:ascii="Verdana" w:hAnsi="Verdana"/>
          <w:b/>
          <w:bCs/>
          <w:i/>
          <w:iCs/>
          <w:sz w:val="20"/>
          <w:szCs w:val="20"/>
          <w:lang w:val="es-ES"/>
        </w:rPr>
        <w:t>Comisión</w:t>
      </w:r>
      <w:r w:rsidRPr="00351298">
        <w:rPr>
          <w:rFonts w:ascii="Verdana" w:hAnsi="Verdana"/>
          <w:sz w:val="20"/>
          <w:szCs w:val="20"/>
          <w:lang w:val="es-ES"/>
        </w:rPr>
        <w:t xml:space="preserve"> y los </w:t>
      </w:r>
      <w:r w:rsidRPr="00351298">
        <w:rPr>
          <w:rFonts w:ascii="Verdana" w:hAnsi="Verdana"/>
          <w:b/>
          <w:bCs/>
          <w:i/>
          <w:iCs/>
          <w:sz w:val="20"/>
          <w:szCs w:val="20"/>
          <w:lang w:val="es-ES"/>
        </w:rPr>
        <w:t>representantes</w:t>
      </w:r>
      <w:r w:rsidRPr="00351298">
        <w:rPr>
          <w:rFonts w:ascii="Verdana" w:hAnsi="Verdana"/>
          <w:sz w:val="20"/>
          <w:szCs w:val="20"/>
          <w:lang w:val="es-ES"/>
        </w:rPr>
        <w:t xml:space="preserve"> estimaron que el Estado no ha cumplido con su obligación</w:t>
      </w:r>
      <w:r w:rsidR="005821C5">
        <w:rPr>
          <w:rFonts w:ascii="Verdana" w:hAnsi="Verdana"/>
          <w:sz w:val="20"/>
          <w:szCs w:val="20"/>
          <w:lang w:val="es-ES"/>
        </w:rPr>
        <w:t xml:space="preserve"> </w:t>
      </w:r>
      <w:r w:rsidR="005821C5" w:rsidRPr="00F31F8B">
        <w:rPr>
          <w:rFonts w:ascii="Verdana" w:hAnsi="Verdana"/>
          <w:sz w:val="20"/>
          <w:szCs w:val="20"/>
          <w:lang w:val="es-ES"/>
        </w:rPr>
        <w:t>de</w:t>
      </w:r>
      <w:r w:rsidRPr="00F31F8B">
        <w:rPr>
          <w:rFonts w:ascii="Verdana" w:hAnsi="Verdana"/>
          <w:sz w:val="20"/>
          <w:szCs w:val="20"/>
          <w:lang w:val="es-ES"/>
        </w:rPr>
        <w:t xml:space="preserve"> juzgar a Daniel García Rodríguez y Reyes Alpízar Ortiz dentro de un plazo razonable en violación del artículo 8.1 de la Convención. </w:t>
      </w:r>
      <w:r w:rsidR="005F6ECF" w:rsidRPr="00F31F8B">
        <w:rPr>
          <w:rFonts w:ascii="Verdana" w:hAnsi="Verdana"/>
          <w:sz w:val="20"/>
          <w:szCs w:val="20"/>
          <w:lang w:val="es-ES"/>
        </w:rPr>
        <w:t>Se refirieron a la irrazonable extensión del proceso penal seguido contra</w:t>
      </w:r>
      <w:r w:rsidR="005821C5" w:rsidRPr="00F31F8B">
        <w:rPr>
          <w:rFonts w:ascii="Verdana" w:hAnsi="Verdana"/>
          <w:sz w:val="20"/>
          <w:szCs w:val="20"/>
          <w:lang w:val="es-ES"/>
        </w:rPr>
        <w:t xml:space="preserve"> </w:t>
      </w:r>
      <w:r w:rsidR="005F6ECF" w:rsidRPr="00F31F8B">
        <w:rPr>
          <w:rFonts w:ascii="Verdana" w:hAnsi="Verdana"/>
          <w:sz w:val="20"/>
          <w:szCs w:val="20"/>
          <w:lang w:val="es-ES"/>
        </w:rPr>
        <w:t xml:space="preserve">García Rodríguez y Reyes Alpízar y, de manera particular, por la duración injustificada del encarcelamiento preventivo al que ambos fueron sujetos. Recordaron </w:t>
      </w:r>
      <w:r w:rsidR="00F31F8B" w:rsidRPr="00F31F8B">
        <w:rPr>
          <w:rFonts w:ascii="Verdana" w:hAnsi="Verdana"/>
          <w:sz w:val="20"/>
          <w:szCs w:val="20"/>
          <w:lang w:val="es-ES"/>
        </w:rPr>
        <w:t>que,</w:t>
      </w:r>
      <w:r w:rsidR="005F6ECF" w:rsidRPr="00F31F8B">
        <w:rPr>
          <w:rFonts w:ascii="Verdana" w:hAnsi="Verdana"/>
          <w:sz w:val="20"/>
          <w:szCs w:val="20"/>
          <w:lang w:val="es-ES"/>
        </w:rPr>
        <w:t xml:space="preserve"> a la fecha, el proceso penal contra ambos aún permanece abierto, habiéndose dictado sentencia condenatoria de primera instancia el 12 de mayo de 2022, luego de que transcurrieran dos décadas desde su inicio. </w:t>
      </w:r>
    </w:p>
    <w:p w14:paraId="2A41CD4E" w14:textId="43C190CA" w:rsidR="004C4A82" w:rsidRPr="00351298" w:rsidRDefault="307AB9C6" w:rsidP="00AA30FE">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En cuanto a los elementos a través de los cuales se determina la razonabilidad del plazo de los procedimientos, s</w:t>
      </w:r>
      <w:r w:rsidR="7C720026" w:rsidRPr="1D64B15C">
        <w:rPr>
          <w:rFonts w:ascii="Verdana" w:hAnsi="Verdana"/>
          <w:sz w:val="20"/>
          <w:szCs w:val="20"/>
          <w:lang w:val="es-ES"/>
        </w:rPr>
        <w:t xml:space="preserve">ostuvieron en particular que, si bien la investigación trata sobre el homicidio de una figura política, no se desprende del expediente que tuviera especial complejidad respecto de las acusaciones realizadas en contra de las presuntas víctimas. Agregaron que las presuntas víctimas han contribuido activamente al proceso, aportando y solicitando la inclusión </w:t>
      </w:r>
      <w:r w:rsidR="0028638F">
        <w:rPr>
          <w:rFonts w:ascii="Verdana" w:hAnsi="Verdana"/>
          <w:sz w:val="20"/>
          <w:szCs w:val="20"/>
          <w:lang w:val="es-ES"/>
        </w:rPr>
        <w:t xml:space="preserve">de </w:t>
      </w:r>
      <w:r w:rsidR="7C720026" w:rsidRPr="1D64B15C">
        <w:rPr>
          <w:rFonts w:ascii="Verdana" w:hAnsi="Verdana"/>
          <w:sz w:val="20"/>
          <w:szCs w:val="20"/>
          <w:lang w:val="es-ES"/>
        </w:rPr>
        <w:t xml:space="preserve">medios </w:t>
      </w:r>
      <w:r w:rsidR="7C720026" w:rsidRPr="1D64B15C">
        <w:rPr>
          <w:rFonts w:ascii="Verdana" w:hAnsi="Verdana"/>
          <w:sz w:val="20"/>
          <w:szCs w:val="20"/>
          <w:lang w:val="es-ES"/>
        </w:rPr>
        <w:lastRenderedPageBreak/>
        <w:t xml:space="preserve">de prueba e impulsando la investigación de hechos relevantes a la determinación de su responsabilidad. </w:t>
      </w:r>
      <w:r w:rsidR="0028638F">
        <w:rPr>
          <w:rFonts w:ascii="Verdana" w:hAnsi="Verdana"/>
          <w:sz w:val="20"/>
          <w:szCs w:val="20"/>
          <w:lang w:val="es-ES"/>
        </w:rPr>
        <w:t>Asimismo</w:t>
      </w:r>
      <w:r w:rsidR="7C720026" w:rsidRPr="1D64B15C">
        <w:rPr>
          <w:rFonts w:ascii="Verdana" w:hAnsi="Verdana"/>
          <w:sz w:val="20"/>
          <w:szCs w:val="20"/>
          <w:lang w:val="es-ES"/>
        </w:rPr>
        <w:t>, observaron que las autoridades que conocieron del proceso desde su inicio mantuvieron a las presuntas víctimas en una situación de privación ilegal y arbitraria de la libertad por más de 17 años, a pesar de que tal medida debía ser excepcional. Arguyeron, asimismo, que el juez de la causa no adoptó medidas que contribuyeran a evitar la dilación excesiva del procedimiento. Por último, mencionaron que la afectación generada en la esfera jurídica de las víctimas del presente caso ha sido desproporcionada al encontrarse sujetos a un procedimiento penal sin condena o absolución por más de 17 años, habiendo sido sujetos a prisión preventiva durante prácticamente todo este lapso y actualmente estando bajo otras medidas cautelares.</w:t>
      </w:r>
    </w:p>
    <w:p w14:paraId="4439BD4A" w14:textId="0ED406D5" w:rsidR="008F74D7" w:rsidRPr="00351298" w:rsidRDefault="7C720026" w:rsidP="00AA30FE">
      <w:pPr>
        <w:numPr>
          <w:ilvl w:val="0"/>
          <w:numId w:val="2"/>
        </w:numPr>
        <w:spacing w:before="120" w:after="120"/>
        <w:ind w:left="0" w:firstLine="0"/>
        <w:jc w:val="both"/>
        <w:rPr>
          <w:rFonts w:ascii="Verdana" w:hAnsi="Verdana"/>
          <w:sz w:val="20"/>
          <w:szCs w:val="20"/>
          <w:lang w:val="es-ES"/>
        </w:rPr>
      </w:pPr>
      <w:r w:rsidRPr="1D64B15C">
        <w:rPr>
          <w:rFonts w:ascii="Verdana" w:hAnsi="Verdana"/>
          <w:sz w:val="20"/>
          <w:szCs w:val="20"/>
          <w:lang w:val="es-ES"/>
        </w:rPr>
        <w:t xml:space="preserve">El </w:t>
      </w:r>
      <w:r w:rsidRPr="1D64B15C">
        <w:rPr>
          <w:rFonts w:ascii="Verdana" w:hAnsi="Verdana"/>
          <w:b/>
          <w:bCs/>
          <w:i/>
          <w:iCs/>
          <w:sz w:val="20"/>
          <w:szCs w:val="20"/>
          <w:lang w:val="es-ES"/>
        </w:rPr>
        <w:t>Estado</w:t>
      </w:r>
      <w:r w:rsidRPr="1D64B15C">
        <w:rPr>
          <w:rFonts w:ascii="Verdana" w:hAnsi="Verdana"/>
          <w:sz w:val="20"/>
          <w:szCs w:val="20"/>
          <w:lang w:val="es-ES"/>
        </w:rPr>
        <w:t xml:space="preserve"> indicó que, dependiendo </w:t>
      </w:r>
      <w:r w:rsidR="0028638F">
        <w:rPr>
          <w:rFonts w:ascii="Verdana" w:hAnsi="Verdana"/>
          <w:sz w:val="20"/>
          <w:szCs w:val="20"/>
          <w:lang w:val="es-ES"/>
        </w:rPr>
        <w:t xml:space="preserve">de </w:t>
      </w:r>
      <w:r w:rsidRPr="1D64B15C">
        <w:rPr>
          <w:rFonts w:ascii="Verdana" w:hAnsi="Verdana"/>
          <w:sz w:val="20"/>
          <w:szCs w:val="20"/>
          <w:lang w:val="es-ES"/>
        </w:rPr>
        <w:t>las circunstancias de cada caso, la satisfacción plena de los requerimientos de justicia prevalece sobre la garantía del plazo razonable. En este sentido “la duración del procedimiento se ha debido al respeto y garantía del derecho a la defensa y la verdad de las presuntas víctimas” agregó que “derivado de lo anterior, y una vez que se hay</w:t>
      </w:r>
      <w:r w:rsidR="7A1E78F3" w:rsidRPr="00D04822">
        <w:rPr>
          <w:rFonts w:ascii="Verdana" w:hAnsi="Verdana"/>
          <w:sz w:val="20"/>
          <w:szCs w:val="20"/>
          <w:lang w:val="es-ES"/>
        </w:rPr>
        <w:t>a</w:t>
      </w:r>
      <w:r w:rsidRPr="1D64B15C">
        <w:rPr>
          <w:rFonts w:ascii="Verdana" w:hAnsi="Verdana"/>
          <w:sz w:val="20"/>
          <w:szCs w:val="20"/>
          <w:lang w:val="es-ES"/>
        </w:rPr>
        <w:t xml:space="preserve"> decretado el cierre de la etapa de instrucción de la causa penal 236/2012, el Estado se compromete en un breve plazo a resolver el caso”.</w:t>
      </w:r>
    </w:p>
    <w:p w14:paraId="38B5F40D" w14:textId="3068388D" w:rsidR="00F562B8" w:rsidRPr="00351298" w:rsidRDefault="00F562B8" w:rsidP="004603BD">
      <w:pPr>
        <w:pStyle w:val="Ttulo2"/>
        <w:numPr>
          <w:ilvl w:val="0"/>
          <w:numId w:val="17"/>
        </w:numPr>
        <w:spacing w:before="240" w:after="240"/>
        <w:rPr>
          <w:rFonts w:ascii="Verdana" w:hAnsi="Verdana"/>
          <w:i/>
          <w:color w:val="auto"/>
          <w:sz w:val="20"/>
          <w:szCs w:val="20"/>
        </w:rPr>
      </w:pPr>
      <w:bookmarkStart w:id="114" w:name="_Toc132133933"/>
      <w:r w:rsidRPr="00351298">
        <w:rPr>
          <w:rFonts w:ascii="Verdana" w:hAnsi="Verdana"/>
          <w:i/>
          <w:color w:val="auto"/>
          <w:sz w:val="20"/>
          <w:szCs w:val="20"/>
        </w:rPr>
        <w:t>Consideraciones de la Corte</w:t>
      </w:r>
      <w:bookmarkEnd w:id="114"/>
    </w:p>
    <w:p w14:paraId="42D0CAF8" w14:textId="53D0306C" w:rsidR="005F6ECF" w:rsidRPr="0028638F" w:rsidRDefault="003B3E96" w:rsidP="00CC2C5E">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A continuación, esta Corte analizará las alegadas violaciones a las garantías judiciales y a la protección </w:t>
      </w:r>
      <w:r w:rsidRPr="0028638F">
        <w:rPr>
          <w:rFonts w:ascii="Verdana" w:hAnsi="Verdana"/>
          <w:sz w:val="20"/>
          <w:szCs w:val="20"/>
        </w:rPr>
        <w:t xml:space="preserve">judicial, así como a los artículos 1, 6 y 8 de la CIPST en el siguiente orden: </w:t>
      </w:r>
      <w:r w:rsidR="001167D4" w:rsidRPr="0028638F">
        <w:rPr>
          <w:rFonts w:ascii="Verdana" w:hAnsi="Verdana"/>
          <w:sz w:val="20"/>
          <w:szCs w:val="20"/>
        </w:rPr>
        <w:t>a</w:t>
      </w:r>
      <w:r w:rsidR="00CB7EEA" w:rsidRPr="0028638F">
        <w:rPr>
          <w:rFonts w:ascii="Verdana" w:hAnsi="Verdana"/>
          <w:sz w:val="20"/>
          <w:szCs w:val="20"/>
        </w:rPr>
        <w:t xml:space="preserve">) la regla de la exclusión de </w:t>
      </w:r>
      <w:r w:rsidR="00C169E4" w:rsidRPr="00D04822">
        <w:rPr>
          <w:rFonts w:ascii="Verdana" w:hAnsi="Verdana"/>
          <w:sz w:val="20"/>
          <w:szCs w:val="20"/>
        </w:rPr>
        <w:t>los</w:t>
      </w:r>
      <w:r w:rsidR="00CB7EEA" w:rsidRPr="00D04822">
        <w:rPr>
          <w:rFonts w:ascii="Verdana" w:hAnsi="Verdana"/>
          <w:sz w:val="20"/>
          <w:szCs w:val="20"/>
        </w:rPr>
        <w:t xml:space="preserve"> </w:t>
      </w:r>
      <w:r w:rsidR="00C169E4" w:rsidRPr="00D04822">
        <w:rPr>
          <w:rFonts w:ascii="Verdana" w:hAnsi="Verdana"/>
          <w:sz w:val="20"/>
          <w:szCs w:val="20"/>
        </w:rPr>
        <w:t>elementos</w:t>
      </w:r>
      <w:r w:rsidR="00CB7EEA" w:rsidRPr="00D04822">
        <w:rPr>
          <w:rFonts w:ascii="Verdana" w:hAnsi="Verdana"/>
          <w:sz w:val="20"/>
          <w:szCs w:val="20"/>
        </w:rPr>
        <w:t xml:space="preserve"> </w:t>
      </w:r>
      <w:r w:rsidR="00C169E4" w:rsidRPr="00D04822">
        <w:rPr>
          <w:rFonts w:ascii="Verdana" w:hAnsi="Verdana"/>
          <w:sz w:val="20"/>
          <w:szCs w:val="20"/>
        </w:rPr>
        <w:t>probatorios</w:t>
      </w:r>
      <w:r w:rsidR="00C169E4" w:rsidRPr="0028638F">
        <w:rPr>
          <w:rFonts w:ascii="Verdana" w:hAnsi="Verdana"/>
          <w:sz w:val="20"/>
          <w:szCs w:val="20"/>
        </w:rPr>
        <w:t xml:space="preserve"> </w:t>
      </w:r>
      <w:r w:rsidR="00CB7EEA" w:rsidRPr="0028638F">
        <w:rPr>
          <w:rFonts w:ascii="Verdana" w:hAnsi="Verdana"/>
          <w:sz w:val="20"/>
          <w:szCs w:val="20"/>
        </w:rPr>
        <w:t>obtenid</w:t>
      </w:r>
      <w:r w:rsidR="00C169E4" w:rsidRPr="00D04822">
        <w:rPr>
          <w:rFonts w:ascii="Verdana" w:hAnsi="Verdana"/>
          <w:sz w:val="20"/>
          <w:szCs w:val="20"/>
        </w:rPr>
        <w:t>os</w:t>
      </w:r>
      <w:r w:rsidR="00CB7EEA" w:rsidRPr="0028638F">
        <w:rPr>
          <w:rFonts w:ascii="Verdana" w:hAnsi="Verdana"/>
          <w:sz w:val="20"/>
          <w:szCs w:val="20"/>
        </w:rPr>
        <w:t xml:space="preserve"> bajo </w:t>
      </w:r>
      <w:r w:rsidR="005A4AE3">
        <w:rPr>
          <w:rFonts w:ascii="Verdana" w:hAnsi="Verdana"/>
          <w:sz w:val="20"/>
          <w:szCs w:val="20"/>
        </w:rPr>
        <w:t>coacción</w:t>
      </w:r>
      <w:r w:rsidR="00CB7EEA" w:rsidRPr="00351298">
        <w:rPr>
          <w:rFonts w:ascii="Verdana" w:hAnsi="Verdana"/>
          <w:sz w:val="20"/>
          <w:szCs w:val="20"/>
        </w:rPr>
        <w:t xml:space="preserve"> (artículo 8.3 de la Convención Americana), </w:t>
      </w:r>
      <w:r w:rsidR="001167D4" w:rsidRPr="00351298">
        <w:rPr>
          <w:rFonts w:ascii="Verdana" w:hAnsi="Verdana"/>
          <w:sz w:val="20"/>
          <w:szCs w:val="20"/>
        </w:rPr>
        <w:t>b</w:t>
      </w:r>
      <w:r w:rsidR="00CB7EEA" w:rsidRPr="00351298">
        <w:rPr>
          <w:rFonts w:ascii="Verdana" w:hAnsi="Verdana"/>
          <w:sz w:val="20"/>
          <w:szCs w:val="20"/>
        </w:rPr>
        <w:t xml:space="preserve">) el derecho a la defensa (artículo 8.2.d, e y f de la Convención Americana), </w:t>
      </w:r>
      <w:r w:rsidR="001167D4" w:rsidRPr="00351298">
        <w:rPr>
          <w:rFonts w:ascii="Verdana" w:hAnsi="Verdana"/>
          <w:sz w:val="20"/>
          <w:szCs w:val="20"/>
        </w:rPr>
        <w:t>c</w:t>
      </w:r>
      <w:r w:rsidR="00CB7EEA" w:rsidRPr="00351298">
        <w:rPr>
          <w:rFonts w:ascii="Verdana" w:hAnsi="Verdana"/>
          <w:sz w:val="20"/>
          <w:szCs w:val="20"/>
        </w:rPr>
        <w:t xml:space="preserve">) el derecho a la presunción de inocencia (artículo 8.2 de la Convención Americana), </w:t>
      </w:r>
      <w:r w:rsidR="001167D4" w:rsidRPr="00351298">
        <w:rPr>
          <w:rFonts w:ascii="Verdana" w:hAnsi="Verdana"/>
          <w:sz w:val="20"/>
          <w:szCs w:val="20"/>
        </w:rPr>
        <w:t>d</w:t>
      </w:r>
      <w:r w:rsidR="00CB7EEA" w:rsidRPr="00351298">
        <w:rPr>
          <w:rFonts w:ascii="Verdana" w:hAnsi="Verdana"/>
          <w:sz w:val="20"/>
          <w:szCs w:val="20"/>
        </w:rPr>
        <w:t xml:space="preserve">) </w:t>
      </w:r>
      <w:r w:rsidR="0013035F">
        <w:rPr>
          <w:rFonts w:ascii="Verdana" w:hAnsi="Verdana"/>
          <w:sz w:val="20"/>
          <w:szCs w:val="20"/>
        </w:rPr>
        <w:t>e</w:t>
      </w:r>
      <w:r w:rsidR="00CB7EEA" w:rsidRPr="00351298">
        <w:rPr>
          <w:rFonts w:ascii="Verdana" w:hAnsi="Verdana"/>
          <w:sz w:val="20"/>
          <w:szCs w:val="20"/>
        </w:rPr>
        <w:t xml:space="preserve">l principio del plazo razonable </w:t>
      </w:r>
      <w:r w:rsidR="000549FB">
        <w:rPr>
          <w:rFonts w:ascii="Verdana" w:hAnsi="Verdana"/>
          <w:sz w:val="20"/>
          <w:szCs w:val="20"/>
        </w:rPr>
        <w:t xml:space="preserve">del proceso </w:t>
      </w:r>
      <w:r w:rsidR="00CB7EEA" w:rsidRPr="00351298">
        <w:rPr>
          <w:rFonts w:ascii="Verdana" w:hAnsi="Verdana"/>
          <w:sz w:val="20"/>
          <w:szCs w:val="20"/>
        </w:rPr>
        <w:t xml:space="preserve">(artículo 8.1 de </w:t>
      </w:r>
      <w:r w:rsidR="00CB7EEA" w:rsidRPr="0028638F">
        <w:rPr>
          <w:rFonts w:ascii="Verdana" w:hAnsi="Verdana"/>
          <w:sz w:val="20"/>
          <w:szCs w:val="20"/>
        </w:rPr>
        <w:t xml:space="preserve">la Convención Americana), y </w:t>
      </w:r>
      <w:r w:rsidR="001167D4" w:rsidRPr="0028638F">
        <w:rPr>
          <w:rFonts w:ascii="Verdana" w:hAnsi="Verdana"/>
          <w:sz w:val="20"/>
          <w:szCs w:val="20"/>
        </w:rPr>
        <w:t>e</w:t>
      </w:r>
      <w:r w:rsidR="00CB7EEA" w:rsidRPr="0028638F">
        <w:rPr>
          <w:rFonts w:ascii="Verdana" w:hAnsi="Verdana"/>
          <w:sz w:val="20"/>
          <w:szCs w:val="20"/>
        </w:rPr>
        <w:t>) conclusión.</w:t>
      </w:r>
    </w:p>
    <w:p w14:paraId="1821F1FF" w14:textId="4505E290" w:rsidR="00456E56" w:rsidRPr="0028638F" w:rsidRDefault="00456E56" w:rsidP="00456E56">
      <w:pPr>
        <w:pStyle w:val="Ttulo3"/>
        <w:spacing w:before="240" w:after="240"/>
        <w:ind w:left="567"/>
        <w:jc w:val="both"/>
        <w:rPr>
          <w:rFonts w:ascii="Verdana" w:hAnsi="Verdana"/>
          <w:b w:val="0"/>
          <w:snapToGrid w:val="0"/>
          <w:spacing w:val="-2"/>
          <w:sz w:val="20"/>
          <w:szCs w:val="20"/>
          <w:lang w:eastAsia="es-ES"/>
        </w:rPr>
      </w:pPr>
      <w:bookmarkStart w:id="115" w:name="_Toc132133934"/>
      <w:r w:rsidRPr="0028638F">
        <w:rPr>
          <w:rFonts w:ascii="Verdana" w:hAnsi="Verdana"/>
          <w:b w:val="0"/>
          <w:snapToGrid w:val="0"/>
          <w:spacing w:val="-2"/>
          <w:sz w:val="20"/>
          <w:szCs w:val="20"/>
          <w:lang w:eastAsia="es-ES"/>
        </w:rPr>
        <w:t>B.</w:t>
      </w:r>
      <w:r w:rsidR="001167D4" w:rsidRPr="0028638F">
        <w:rPr>
          <w:rFonts w:ascii="Verdana" w:hAnsi="Verdana"/>
          <w:b w:val="0"/>
          <w:snapToGrid w:val="0"/>
          <w:spacing w:val="-2"/>
          <w:sz w:val="20"/>
          <w:szCs w:val="20"/>
          <w:lang w:eastAsia="es-ES"/>
        </w:rPr>
        <w:t>1</w:t>
      </w:r>
      <w:r w:rsidRPr="0028638F">
        <w:rPr>
          <w:rFonts w:ascii="Verdana" w:hAnsi="Verdana"/>
          <w:b w:val="0"/>
          <w:snapToGrid w:val="0"/>
          <w:spacing w:val="-2"/>
          <w:sz w:val="20"/>
          <w:szCs w:val="20"/>
          <w:lang w:eastAsia="es-ES"/>
        </w:rPr>
        <w:t xml:space="preserve">. La regla de la exclusión de </w:t>
      </w:r>
      <w:r w:rsidR="00C169E4" w:rsidRPr="00D04822">
        <w:rPr>
          <w:rFonts w:ascii="Verdana" w:hAnsi="Verdana"/>
          <w:b w:val="0"/>
          <w:snapToGrid w:val="0"/>
          <w:spacing w:val="-2"/>
          <w:sz w:val="20"/>
          <w:szCs w:val="20"/>
          <w:lang w:eastAsia="es-ES"/>
        </w:rPr>
        <w:t>los elementos probatorios</w:t>
      </w:r>
      <w:r w:rsidRPr="0028638F">
        <w:rPr>
          <w:rFonts w:ascii="Verdana" w:hAnsi="Verdana"/>
          <w:b w:val="0"/>
          <w:snapToGrid w:val="0"/>
          <w:spacing w:val="-2"/>
          <w:sz w:val="20"/>
          <w:szCs w:val="20"/>
          <w:lang w:eastAsia="es-ES"/>
        </w:rPr>
        <w:t xml:space="preserve"> obtenid</w:t>
      </w:r>
      <w:r w:rsidR="00C169E4" w:rsidRPr="00D04822">
        <w:rPr>
          <w:rFonts w:ascii="Verdana" w:hAnsi="Verdana"/>
          <w:b w:val="0"/>
          <w:snapToGrid w:val="0"/>
          <w:spacing w:val="-2"/>
          <w:sz w:val="20"/>
          <w:szCs w:val="20"/>
          <w:lang w:eastAsia="es-ES"/>
        </w:rPr>
        <w:t>os</w:t>
      </w:r>
      <w:r w:rsidRPr="0028638F">
        <w:rPr>
          <w:rFonts w:ascii="Verdana" w:hAnsi="Verdana"/>
          <w:b w:val="0"/>
          <w:snapToGrid w:val="0"/>
          <w:spacing w:val="-2"/>
          <w:sz w:val="20"/>
          <w:szCs w:val="20"/>
          <w:lang w:eastAsia="es-ES"/>
        </w:rPr>
        <w:t xml:space="preserve"> bajo </w:t>
      </w:r>
      <w:r w:rsidR="005A4AE3">
        <w:rPr>
          <w:rFonts w:ascii="Verdana" w:hAnsi="Verdana"/>
          <w:b w:val="0"/>
          <w:snapToGrid w:val="0"/>
          <w:spacing w:val="-2"/>
          <w:sz w:val="20"/>
          <w:szCs w:val="20"/>
          <w:lang w:eastAsia="es-ES"/>
        </w:rPr>
        <w:t>coacción</w:t>
      </w:r>
      <w:r w:rsidRPr="0028638F">
        <w:rPr>
          <w:rFonts w:ascii="Verdana" w:hAnsi="Verdana"/>
          <w:b w:val="0"/>
          <w:snapToGrid w:val="0"/>
          <w:spacing w:val="-2"/>
          <w:sz w:val="20"/>
          <w:szCs w:val="20"/>
          <w:lang w:eastAsia="es-ES"/>
        </w:rPr>
        <w:t xml:space="preserve"> (artículo 8.3 de la Convención</w:t>
      </w:r>
      <w:r w:rsidR="00C5476B" w:rsidRPr="0028638F">
        <w:rPr>
          <w:rFonts w:ascii="Verdana" w:hAnsi="Verdana"/>
          <w:b w:val="0"/>
          <w:snapToGrid w:val="0"/>
          <w:spacing w:val="-2"/>
          <w:sz w:val="20"/>
          <w:szCs w:val="20"/>
          <w:lang w:eastAsia="es-ES"/>
        </w:rPr>
        <w:t xml:space="preserve"> Americana</w:t>
      </w:r>
      <w:r w:rsidRPr="0028638F">
        <w:rPr>
          <w:rFonts w:ascii="Verdana" w:hAnsi="Verdana"/>
          <w:b w:val="0"/>
          <w:snapToGrid w:val="0"/>
          <w:spacing w:val="-2"/>
          <w:sz w:val="20"/>
          <w:szCs w:val="20"/>
          <w:lang w:eastAsia="es-ES"/>
        </w:rPr>
        <w:t>)</w:t>
      </w:r>
      <w:bookmarkEnd w:id="115"/>
    </w:p>
    <w:p w14:paraId="3B2B6E5A" w14:textId="35FE5796" w:rsidR="00A90525" w:rsidRPr="00351298" w:rsidRDefault="00A90525" w:rsidP="00A90525">
      <w:pPr>
        <w:numPr>
          <w:ilvl w:val="0"/>
          <w:numId w:val="2"/>
        </w:numPr>
        <w:spacing w:before="120" w:after="120"/>
        <w:ind w:left="0" w:firstLine="0"/>
        <w:jc w:val="both"/>
        <w:rPr>
          <w:rFonts w:ascii="Verdana" w:eastAsia="Calibri" w:hAnsi="Verdana" w:cs="Arial"/>
          <w:sz w:val="20"/>
          <w:szCs w:val="20"/>
          <w:lang w:eastAsia="es-CR"/>
        </w:rPr>
      </w:pPr>
      <w:r w:rsidRPr="0028638F">
        <w:rPr>
          <w:rFonts w:ascii="Verdana" w:eastAsia="Calibri" w:hAnsi="Verdana" w:cs="Arial"/>
          <w:sz w:val="20"/>
          <w:szCs w:val="20"/>
          <w:lang w:eastAsia="es-CR"/>
        </w:rPr>
        <w:t xml:space="preserve">En el presente caso se alega que </w:t>
      </w:r>
      <w:r w:rsidRPr="0028638F">
        <w:rPr>
          <w:rFonts w:ascii="Verdana" w:hAnsi="Verdana"/>
          <w:sz w:val="20"/>
          <w:szCs w:val="20"/>
          <w:lang w:val="es-ES"/>
        </w:rPr>
        <w:t>Daniel García</w:t>
      </w:r>
      <w:r w:rsidRPr="00351298">
        <w:rPr>
          <w:rFonts w:ascii="Verdana" w:hAnsi="Verdana"/>
          <w:sz w:val="20"/>
          <w:szCs w:val="20"/>
          <w:lang w:val="es-ES"/>
        </w:rPr>
        <w:t xml:space="preserve"> y Reyes Alpízar declararon ante la PGJEM durante el tiempo en que se ha determinado que fueron sometidos a presiones y maltratos con </w:t>
      </w:r>
      <w:r w:rsidR="0028638F">
        <w:rPr>
          <w:rFonts w:ascii="Verdana" w:hAnsi="Verdana"/>
          <w:sz w:val="20"/>
          <w:szCs w:val="20"/>
          <w:lang w:val="es-ES"/>
        </w:rPr>
        <w:t>la finalidad de obtener su confesión</w:t>
      </w:r>
      <w:r w:rsidRPr="00351298">
        <w:rPr>
          <w:rFonts w:ascii="Verdana" w:hAnsi="Verdana"/>
          <w:sz w:val="20"/>
          <w:szCs w:val="20"/>
          <w:lang w:val="es-ES"/>
        </w:rPr>
        <w:t xml:space="preserve">, y que la denuncia sobre </w:t>
      </w:r>
      <w:r w:rsidR="00364078" w:rsidRPr="00351298">
        <w:rPr>
          <w:rFonts w:ascii="Verdana" w:hAnsi="Verdana"/>
          <w:sz w:val="20"/>
          <w:szCs w:val="20"/>
          <w:lang w:val="es-ES"/>
        </w:rPr>
        <w:t xml:space="preserve">esos </w:t>
      </w:r>
      <w:r w:rsidRPr="00351298">
        <w:rPr>
          <w:rFonts w:ascii="Verdana" w:hAnsi="Verdana"/>
          <w:sz w:val="20"/>
          <w:szCs w:val="20"/>
          <w:lang w:val="es-ES"/>
        </w:rPr>
        <w:t>abusos fue interpuesta por cada uno de ellos al momento de ser puestos a disposición judicial, y posteriormente a través de diversos recursos presentados</w:t>
      </w:r>
      <w:r w:rsidR="00364078" w:rsidRPr="00351298">
        <w:rPr>
          <w:rFonts w:ascii="Verdana" w:hAnsi="Verdana"/>
          <w:sz w:val="20"/>
          <w:szCs w:val="20"/>
          <w:lang w:val="es-ES"/>
        </w:rPr>
        <w:t xml:space="preserve"> (</w:t>
      </w:r>
      <w:r w:rsidR="00364078" w:rsidRPr="00351298">
        <w:rPr>
          <w:rFonts w:ascii="Verdana" w:hAnsi="Verdana"/>
          <w:i/>
          <w:iCs/>
          <w:sz w:val="20"/>
          <w:szCs w:val="20"/>
          <w:lang w:val="es-ES"/>
        </w:rPr>
        <w:t>supra</w:t>
      </w:r>
      <w:r w:rsidR="00364078" w:rsidRPr="00351298">
        <w:rPr>
          <w:rFonts w:ascii="Verdana" w:hAnsi="Verdana"/>
          <w:sz w:val="20"/>
          <w:szCs w:val="20"/>
          <w:lang w:val="es-ES"/>
        </w:rPr>
        <w:t xml:space="preserve"> párr</w:t>
      </w:r>
      <w:r w:rsidR="0028638F">
        <w:rPr>
          <w:rFonts w:ascii="Verdana" w:hAnsi="Verdana"/>
          <w:sz w:val="20"/>
          <w:szCs w:val="20"/>
          <w:lang w:val="es-ES"/>
        </w:rPr>
        <w:t>s. 88 a 113</w:t>
      </w:r>
      <w:r w:rsidR="00364078" w:rsidRPr="00351298">
        <w:rPr>
          <w:rFonts w:ascii="Verdana" w:hAnsi="Verdana"/>
          <w:sz w:val="20"/>
          <w:szCs w:val="20"/>
          <w:lang w:val="es-ES"/>
        </w:rPr>
        <w:t>)</w:t>
      </w:r>
      <w:r w:rsidRPr="00351298">
        <w:rPr>
          <w:rFonts w:ascii="Verdana" w:hAnsi="Verdana"/>
          <w:sz w:val="20"/>
          <w:szCs w:val="20"/>
          <w:lang w:val="es-ES"/>
        </w:rPr>
        <w:t xml:space="preserve">. Indicaron que esas declaraciones referidas no solo no fueron excluidas del proceso penal, sino que fueron utilizadas como el elemento de convicción central para sustentar los autos formales de prisión en su contra y se </w:t>
      </w:r>
      <w:r w:rsidR="00FC30E8" w:rsidRPr="00351298">
        <w:rPr>
          <w:rFonts w:ascii="Verdana" w:hAnsi="Verdana"/>
          <w:sz w:val="20"/>
          <w:szCs w:val="20"/>
          <w:lang w:val="es-ES"/>
        </w:rPr>
        <w:t>encontraban</w:t>
      </w:r>
      <w:r w:rsidRPr="00351298">
        <w:rPr>
          <w:rFonts w:ascii="Verdana" w:hAnsi="Verdana"/>
          <w:sz w:val="20"/>
          <w:szCs w:val="20"/>
          <w:lang w:val="es-ES"/>
        </w:rPr>
        <w:t xml:space="preserve"> presentes en el expediente como elementos probatorios que inciden en la posible responsabilidad y vinculación de las presuntas víctimas en el proceso</w:t>
      </w:r>
      <w:r w:rsidR="00EA296B" w:rsidRPr="00351298">
        <w:rPr>
          <w:rFonts w:ascii="Verdana" w:hAnsi="Verdana"/>
          <w:sz w:val="20"/>
          <w:szCs w:val="20"/>
          <w:lang w:val="es-ES"/>
        </w:rPr>
        <w:t xml:space="preserve"> (</w:t>
      </w:r>
      <w:r w:rsidR="00EA296B" w:rsidRPr="00351298">
        <w:rPr>
          <w:rFonts w:ascii="Verdana" w:hAnsi="Verdana"/>
          <w:i/>
          <w:iCs/>
          <w:sz w:val="20"/>
          <w:szCs w:val="20"/>
          <w:lang w:val="es-ES"/>
        </w:rPr>
        <w:t>supra</w:t>
      </w:r>
      <w:r w:rsidR="00EA296B" w:rsidRPr="00351298">
        <w:rPr>
          <w:rFonts w:ascii="Verdana" w:hAnsi="Verdana"/>
          <w:sz w:val="20"/>
          <w:szCs w:val="20"/>
          <w:lang w:val="es-ES"/>
        </w:rPr>
        <w:t xml:space="preserve"> párr</w:t>
      </w:r>
      <w:r w:rsidR="0028638F">
        <w:rPr>
          <w:rFonts w:ascii="Verdana" w:hAnsi="Verdana"/>
          <w:sz w:val="20"/>
          <w:szCs w:val="20"/>
          <w:lang w:val="es-ES"/>
        </w:rPr>
        <w:t>s</w:t>
      </w:r>
      <w:r w:rsidR="00EA296B" w:rsidRPr="00351298">
        <w:rPr>
          <w:rFonts w:ascii="Verdana" w:hAnsi="Verdana"/>
          <w:sz w:val="20"/>
          <w:szCs w:val="20"/>
          <w:lang w:val="es-ES"/>
        </w:rPr>
        <w:t xml:space="preserve">. </w:t>
      </w:r>
      <w:r w:rsidR="0028638F">
        <w:rPr>
          <w:rFonts w:ascii="Verdana" w:hAnsi="Verdana"/>
          <w:sz w:val="20"/>
          <w:szCs w:val="20"/>
          <w:lang w:val="es-ES"/>
        </w:rPr>
        <w:t>227 y 228</w:t>
      </w:r>
      <w:r w:rsidR="00EA296B" w:rsidRPr="00351298">
        <w:rPr>
          <w:rFonts w:ascii="Verdana" w:hAnsi="Verdana"/>
          <w:sz w:val="20"/>
          <w:szCs w:val="20"/>
          <w:lang w:val="es-ES"/>
        </w:rPr>
        <w:t>).</w:t>
      </w:r>
    </w:p>
    <w:p w14:paraId="399B4805" w14:textId="6105B492" w:rsidR="00C5476B" w:rsidRPr="00351298" w:rsidRDefault="00A90525">
      <w:pPr>
        <w:numPr>
          <w:ilvl w:val="0"/>
          <w:numId w:val="2"/>
        </w:numPr>
        <w:spacing w:before="120" w:after="120"/>
        <w:ind w:left="0" w:firstLine="0"/>
        <w:jc w:val="both"/>
        <w:rPr>
          <w:rFonts w:ascii="Verdana" w:eastAsia="Calibri" w:hAnsi="Verdana" w:cs="Arial"/>
          <w:sz w:val="20"/>
          <w:szCs w:val="20"/>
          <w:lang w:eastAsia="es-CR"/>
        </w:rPr>
      </w:pPr>
      <w:r w:rsidRPr="00351298">
        <w:rPr>
          <w:rFonts w:ascii="Verdana" w:eastAsia="Calibri" w:hAnsi="Verdana" w:cs="Arial"/>
          <w:sz w:val="20"/>
          <w:szCs w:val="20"/>
          <w:lang w:eastAsia="es-CR"/>
        </w:rPr>
        <w:t xml:space="preserve">Con respecto a esos alegatos, esta Corte recuerda que el artículo 8.3 de la Convención Americana establece que “[l]a confesión del inculpado solamente es válida si es hecha sin coacción de ninguna naturaleza”. </w:t>
      </w:r>
      <w:r w:rsidR="00364078" w:rsidRPr="00351298">
        <w:rPr>
          <w:rFonts w:ascii="Verdana" w:eastAsia="Calibri" w:hAnsi="Verdana" w:cs="Arial"/>
          <w:sz w:val="20"/>
          <w:szCs w:val="20"/>
          <w:lang w:eastAsia="es-CR"/>
        </w:rPr>
        <w:t xml:space="preserve">Sobre ese punto, este Tribunal </w:t>
      </w:r>
      <w:r w:rsidRPr="00351298">
        <w:rPr>
          <w:rFonts w:ascii="Verdana" w:eastAsia="Calibri" w:hAnsi="Verdana" w:cs="Arial"/>
          <w:sz w:val="20"/>
          <w:szCs w:val="20"/>
          <w:lang w:eastAsia="es-CR"/>
        </w:rPr>
        <w:t>ha considerado que “</w:t>
      </w:r>
      <w:r w:rsidR="00C5476B" w:rsidRPr="00351298">
        <w:rPr>
          <w:rFonts w:ascii="Verdana" w:eastAsia="Calibri" w:hAnsi="Verdana" w:cs="Arial"/>
          <w:sz w:val="20"/>
          <w:szCs w:val="20"/>
          <w:lang w:eastAsia="es-CR"/>
        </w:rPr>
        <w:t>al comprobarse cualquier tipo de coacción capaz de quebrantar la expresión espontánea de la voluntad de la persona, ello implica necesariamente la obligación de excluir la evidencia respectiva del proceso judicial. Esta anulación es un medio necesario para desincentivar el uso de cualquier modalidad de coacción</w:t>
      </w:r>
      <w:r w:rsidRPr="00351298">
        <w:rPr>
          <w:rFonts w:ascii="Verdana" w:eastAsia="Calibri" w:hAnsi="Verdana" w:cs="Arial"/>
          <w:sz w:val="20"/>
          <w:szCs w:val="20"/>
          <w:lang w:eastAsia="es-CR"/>
        </w:rPr>
        <w:t>”</w:t>
      </w:r>
      <w:r w:rsidRPr="7CDFE7CF">
        <w:rPr>
          <w:rStyle w:val="Refdenotaalpie"/>
          <w:rFonts w:ascii="Verdana" w:eastAsia="Cambria" w:hAnsi="Verdana"/>
          <w:sz w:val="20"/>
          <w:lang w:val="es-ES"/>
        </w:rPr>
        <w:footnoteReference w:id="242"/>
      </w:r>
      <w:r w:rsidRPr="00351298">
        <w:rPr>
          <w:rFonts w:ascii="Verdana" w:eastAsia="Calibri" w:hAnsi="Verdana" w:cs="Arial"/>
          <w:sz w:val="20"/>
          <w:szCs w:val="20"/>
          <w:lang w:eastAsia="es-CR"/>
        </w:rPr>
        <w:t xml:space="preserve">. </w:t>
      </w:r>
      <w:r w:rsidR="00C5476B" w:rsidRPr="00351298">
        <w:rPr>
          <w:rFonts w:ascii="Verdana" w:eastAsia="Calibri" w:hAnsi="Verdana" w:cs="Arial"/>
          <w:sz w:val="20"/>
          <w:szCs w:val="20"/>
          <w:lang w:eastAsia="es-CR"/>
        </w:rPr>
        <w:t xml:space="preserve">Por otra parte, las declaraciones obtenidas mediante coacción no suelen ser veraces, ya que la persona intenta aseverar lo necesario para lograr que los tratos crueles o la tortura cesen. Por lo anterior, para </w:t>
      </w:r>
      <w:r w:rsidR="00364078" w:rsidRPr="00351298">
        <w:rPr>
          <w:rFonts w:ascii="Verdana" w:eastAsia="Calibri" w:hAnsi="Verdana" w:cs="Arial"/>
          <w:sz w:val="20"/>
          <w:szCs w:val="20"/>
          <w:lang w:eastAsia="es-CR"/>
        </w:rPr>
        <w:t>la Corte</w:t>
      </w:r>
      <w:r w:rsidR="00C5476B" w:rsidRPr="00351298">
        <w:rPr>
          <w:rFonts w:ascii="Verdana" w:eastAsia="Calibri" w:hAnsi="Verdana" w:cs="Arial"/>
          <w:sz w:val="20"/>
          <w:szCs w:val="20"/>
          <w:lang w:eastAsia="es-CR"/>
        </w:rPr>
        <w:t xml:space="preserve">, aceptar o dar valor probatorio a declaraciones o confesiones obtenidas mediante coacción, que afecten a la persona o a un tercero, constituye a su vez una infracción a un juicio justo. Asimismo, el carácter absoluto de la regla de exclusión se </w:t>
      </w:r>
      <w:r w:rsidR="00C5476B" w:rsidRPr="00351298">
        <w:rPr>
          <w:rFonts w:ascii="Verdana" w:eastAsia="Calibri" w:hAnsi="Verdana" w:cs="Arial"/>
          <w:sz w:val="20"/>
          <w:szCs w:val="20"/>
          <w:lang w:eastAsia="es-CR"/>
        </w:rPr>
        <w:lastRenderedPageBreak/>
        <w:t>ve reflejado en la prohibición de otorgarle valor probatorio no sólo a la prueba obtenida directamente mediante coacción, sino también a la evidencia que se desprende de dicha acción</w:t>
      </w:r>
      <w:r w:rsidRPr="7CDFE7CF">
        <w:rPr>
          <w:rStyle w:val="Refdenotaalpie"/>
          <w:rFonts w:ascii="Verdana" w:eastAsia="Cambria" w:hAnsi="Verdana"/>
          <w:sz w:val="20"/>
          <w:lang w:val="es-ES"/>
        </w:rPr>
        <w:footnoteReference w:id="243"/>
      </w:r>
      <w:r w:rsidR="00C5476B" w:rsidRPr="00351298">
        <w:rPr>
          <w:rFonts w:ascii="Verdana" w:eastAsia="Calibri" w:hAnsi="Verdana" w:cs="Arial"/>
          <w:sz w:val="20"/>
          <w:szCs w:val="20"/>
          <w:lang w:eastAsia="es-CR"/>
        </w:rPr>
        <w:t>.</w:t>
      </w:r>
      <w:r w:rsidRPr="00351298">
        <w:rPr>
          <w:rFonts w:ascii="Verdana" w:eastAsia="Calibri" w:hAnsi="Verdana" w:cs="Arial"/>
          <w:sz w:val="20"/>
          <w:szCs w:val="20"/>
          <w:lang w:eastAsia="es-CR"/>
        </w:rPr>
        <w:t xml:space="preserve"> Además, l</w:t>
      </w:r>
      <w:r w:rsidR="00C5476B" w:rsidRPr="00351298">
        <w:rPr>
          <w:rFonts w:ascii="Verdana" w:eastAsia="Calibri" w:hAnsi="Verdana" w:cs="Arial"/>
          <w:sz w:val="20"/>
          <w:szCs w:val="20"/>
          <w:lang w:eastAsia="es-CR"/>
        </w:rPr>
        <w:t>a Corte ha sostenido que la anulación de los actos procesales derivados de la tortura o tratos crueles constituye una medida efectiva para hacer cesar las consecuencias de una violación a las garantías judiciales</w:t>
      </w:r>
      <w:r w:rsidR="00C5476B" w:rsidRPr="7CDFE7CF">
        <w:rPr>
          <w:rStyle w:val="Refdenotaalpie"/>
          <w:rFonts w:ascii="Verdana" w:eastAsia="Cambria" w:hAnsi="Verdana"/>
          <w:sz w:val="20"/>
          <w:lang w:val="es-ES"/>
        </w:rPr>
        <w:footnoteReference w:id="244"/>
      </w:r>
      <w:r w:rsidR="00C5476B" w:rsidRPr="00351298">
        <w:rPr>
          <w:rFonts w:ascii="Verdana" w:eastAsia="Calibri" w:hAnsi="Verdana" w:cs="Arial"/>
          <w:sz w:val="20"/>
          <w:szCs w:val="20"/>
          <w:lang w:eastAsia="es-CR"/>
        </w:rPr>
        <w:t>.</w:t>
      </w:r>
    </w:p>
    <w:p w14:paraId="46A0D9CF" w14:textId="2CD368CE" w:rsidR="00A90525" w:rsidRPr="00351298" w:rsidRDefault="00A90525">
      <w:pPr>
        <w:numPr>
          <w:ilvl w:val="0"/>
          <w:numId w:val="2"/>
        </w:numPr>
        <w:spacing w:before="120" w:after="120"/>
        <w:ind w:left="0" w:firstLine="0"/>
        <w:jc w:val="both"/>
        <w:rPr>
          <w:rFonts w:ascii="Verdana" w:eastAsia="Calibri" w:hAnsi="Verdana" w:cs="Arial"/>
          <w:sz w:val="20"/>
          <w:szCs w:val="20"/>
          <w:lang w:eastAsia="es-CR"/>
        </w:rPr>
      </w:pPr>
      <w:r w:rsidRPr="00351298">
        <w:rPr>
          <w:rFonts w:ascii="Verdana" w:eastAsia="Calibri" w:hAnsi="Verdana" w:cs="Arial"/>
          <w:sz w:val="20"/>
          <w:szCs w:val="20"/>
          <w:lang w:eastAsia="es-CR"/>
        </w:rPr>
        <w:t>En el capítulo VIII.</w:t>
      </w:r>
      <w:r w:rsidR="0028638F">
        <w:rPr>
          <w:rFonts w:ascii="Verdana" w:eastAsia="Calibri" w:hAnsi="Verdana" w:cs="Arial"/>
          <w:sz w:val="20"/>
          <w:szCs w:val="20"/>
          <w:lang w:eastAsia="es-CR"/>
        </w:rPr>
        <w:t>2.B.1</w:t>
      </w:r>
      <w:r w:rsidRPr="00351298">
        <w:rPr>
          <w:rFonts w:ascii="Verdana" w:eastAsia="Calibri" w:hAnsi="Verdana" w:cs="Arial"/>
          <w:sz w:val="20"/>
          <w:szCs w:val="20"/>
          <w:lang w:eastAsia="es-CR"/>
        </w:rPr>
        <w:t xml:space="preserve"> de esta Sentencia, la Corte arribó a la conclusión que </w:t>
      </w:r>
      <w:r w:rsidRPr="00351298">
        <w:rPr>
          <w:rFonts w:ascii="Verdana" w:hAnsi="Verdana"/>
          <w:sz w:val="20"/>
          <w:szCs w:val="20"/>
          <w:lang w:val="es-ES"/>
        </w:rPr>
        <w:t>Daniel García</w:t>
      </w:r>
      <w:r w:rsidR="00364078" w:rsidRPr="00351298">
        <w:rPr>
          <w:rFonts w:ascii="Verdana" w:hAnsi="Verdana"/>
          <w:sz w:val="20"/>
          <w:szCs w:val="20"/>
          <w:lang w:val="es-ES"/>
        </w:rPr>
        <w:t xml:space="preserve"> Rodríguez</w:t>
      </w:r>
      <w:r w:rsidRPr="00351298">
        <w:rPr>
          <w:rFonts w:ascii="Verdana" w:hAnsi="Verdana"/>
          <w:sz w:val="20"/>
          <w:szCs w:val="20"/>
          <w:lang w:val="es-ES"/>
        </w:rPr>
        <w:t xml:space="preserve"> y Reyes Alpízar</w:t>
      </w:r>
      <w:r w:rsidR="00364078" w:rsidRPr="00351298">
        <w:rPr>
          <w:rFonts w:ascii="Verdana" w:hAnsi="Verdana"/>
          <w:sz w:val="20"/>
          <w:szCs w:val="20"/>
          <w:lang w:val="es-ES"/>
        </w:rPr>
        <w:t xml:space="preserve"> Ortiz</w:t>
      </w:r>
      <w:r w:rsidRPr="00351298">
        <w:rPr>
          <w:rFonts w:ascii="Verdana" w:hAnsi="Verdana"/>
          <w:sz w:val="20"/>
          <w:szCs w:val="20"/>
          <w:lang w:val="es-ES"/>
        </w:rPr>
        <w:t xml:space="preserve"> fueron sometidos a hechos de tortura para recabar confesiones o declaraciones contra terceras personas</w:t>
      </w:r>
      <w:r w:rsidR="007F4F51" w:rsidRPr="00351298">
        <w:rPr>
          <w:rFonts w:ascii="Verdana" w:hAnsi="Verdana"/>
          <w:sz w:val="20"/>
          <w:szCs w:val="20"/>
          <w:lang w:val="es-ES"/>
        </w:rPr>
        <w:t xml:space="preserve"> cuando fueron detenidos y luego arraigados</w:t>
      </w:r>
      <w:r w:rsidRPr="00351298">
        <w:rPr>
          <w:rFonts w:ascii="Verdana" w:hAnsi="Verdana"/>
          <w:sz w:val="20"/>
          <w:szCs w:val="20"/>
          <w:lang w:val="es-ES"/>
        </w:rPr>
        <w:t xml:space="preserve">. Del mismo modo, esos hechos fueron puestos en conocimiento de </w:t>
      </w:r>
      <w:r w:rsidR="007F4F51" w:rsidRPr="00351298">
        <w:rPr>
          <w:rFonts w:ascii="Verdana" w:hAnsi="Verdana"/>
          <w:sz w:val="20"/>
          <w:szCs w:val="20"/>
          <w:lang w:val="es-ES"/>
        </w:rPr>
        <w:t xml:space="preserve">los </w:t>
      </w:r>
      <w:r w:rsidRPr="00351298">
        <w:rPr>
          <w:rFonts w:ascii="Verdana" w:hAnsi="Verdana"/>
          <w:sz w:val="20"/>
          <w:szCs w:val="20"/>
          <w:lang w:val="es-ES"/>
        </w:rPr>
        <w:t>tribunales competentes</w:t>
      </w:r>
      <w:r w:rsidR="007F4F51" w:rsidRPr="00351298">
        <w:rPr>
          <w:rFonts w:ascii="Verdana" w:hAnsi="Verdana"/>
          <w:sz w:val="20"/>
          <w:szCs w:val="20"/>
          <w:lang w:val="es-ES"/>
        </w:rPr>
        <w:t xml:space="preserve"> en el proceso penal que estaba siendo -y sigue siendo- llevado en su contra. Asimismo, esos hechos de tortura no fueron investigados de manera inmediata por parte de las autoridades, sino varios años después (</w:t>
      </w:r>
      <w:r w:rsidR="0028638F" w:rsidRPr="00351298">
        <w:rPr>
          <w:rFonts w:ascii="Verdana" w:hAnsi="Verdana"/>
          <w:i/>
          <w:iCs/>
          <w:sz w:val="20"/>
          <w:szCs w:val="20"/>
          <w:lang w:val="es-ES"/>
        </w:rPr>
        <w:t>supra</w:t>
      </w:r>
      <w:r w:rsidR="0028638F" w:rsidRPr="00351298">
        <w:rPr>
          <w:rFonts w:ascii="Verdana" w:hAnsi="Verdana"/>
          <w:sz w:val="20"/>
          <w:szCs w:val="20"/>
          <w:lang w:val="es-ES"/>
        </w:rPr>
        <w:t xml:space="preserve"> </w:t>
      </w:r>
      <w:r w:rsidR="0028638F">
        <w:rPr>
          <w:rFonts w:ascii="Verdana" w:eastAsia="Calibri" w:hAnsi="Verdana" w:cs="Arial"/>
          <w:sz w:val="20"/>
          <w:szCs w:val="20"/>
          <w:lang w:eastAsia="es-CR"/>
        </w:rPr>
        <w:t>C</w:t>
      </w:r>
      <w:r w:rsidR="0028638F" w:rsidRPr="00351298">
        <w:rPr>
          <w:rFonts w:ascii="Verdana" w:eastAsia="Calibri" w:hAnsi="Verdana" w:cs="Arial"/>
          <w:sz w:val="20"/>
          <w:szCs w:val="20"/>
          <w:lang w:eastAsia="es-CR"/>
        </w:rPr>
        <w:t>apítulo VIII.</w:t>
      </w:r>
      <w:r w:rsidR="0028638F">
        <w:rPr>
          <w:rFonts w:ascii="Verdana" w:eastAsia="Calibri" w:hAnsi="Verdana" w:cs="Arial"/>
          <w:sz w:val="20"/>
          <w:szCs w:val="20"/>
          <w:lang w:eastAsia="es-CR"/>
        </w:rPr>
        <w:t>2.B.2</w:t>
      </w:r>
      <w:r w:rsidR="007F4F51" w:rsidRPr="00351298">
        <w:rPr>
          <w:rFonts w:ascii="Verdana" w:hAnsi="Verdana"/>
          <w:sz w:val="20"/>
          <w:szCs w:val="20"/>
          <w:lang w:val="es-ES"/>
        </w:rPr>
        <w:t>). En el marco del proceso penal llevado en su contra, las evidencias recabadas a través de esos medios de coacción fueron utilizadas, en particular en los autos formales de prisión</w:t>
      </w:r>
      <w:r w:rsidR="00BC7EB3" w:rsidRPr="00351298">
        <w:rPr>
          <w:rStyle w:val="Refdenotaalpie"/>
          <w:rFonts w:ascii="Verdana" w:hAnsi="Verdana"/>
          <w:sz w:val="20"/>
          <w:lang w:val="es-ES"/>
        </w:rPr>
        <w:footnoteReference w:id="245"/>
      </w:r>
      <w:r w:rsidR="007F4F51" w:rsidRPr="00351298">
        <w:rPr>
          <w:rFonts w:ascii="Verdana" w:hAnsi="Verdana"/>
          <w:sz w:val="20"/>
          <w:szCs w:val="20"/>
          <w:lang w:val="es-ES"/>
        </w:rPr>
        <w:t xml:space="preserve"> (</w:t>
      </w:r>
      <w:r w:rsidR="007F4F51" w:rsidRPr="00351298">
        <w:rPr>
          <w:rFonts w:ascii="Verdana" w:hAnsi="Verdana"/>
          <w:i/>
          <w:iCs/>
          <w:sz w:val="20"/>
          <w:szCs w:val="20"/>
          <w:lang w:val="es-ES"/>
        </w:rPr>
        <w:t>supra</w:t>
      </w:r>
      <w:r w:rsidR="007F4F51" w:rsidRPr="00351298">
        <w:rPr>
          <w:rFonts w:ascii="Verdana" w:hAnsi="Verdana"/>
          <w:sz w:val="20"/>
          <w:szCs w:val="20"/>
          <w:lang w:val="es-ES"/>
        </w:rPr>
        <w:t xml:space="preserve"> </w:t>
      </w:r>
      <w:r w:rsidR="00C43E92">
        <w:rPr>
          <w:rFonts w:ascii="Verdana" w:eastAsia="Calibri" w:hAnsi="Verdana" w:cs="Arial"/>
          <w:sz w:val="20"/>
          <w:szCs w:val="20"/>
          <w:lang w:eastAsia="es-CR"/>
        </w:rPr>
        <w:t>párrs. 73 y 78</w:t>
      </w:r>
      <w:r w:rsidR="007F4F51" w:rsidRPr="00351298">
        <w:rPr>
          <w:rFonts w:ascii="Verdana" w:hAnsi="Verdana"/>
          <w:sz w:val="20"/>
          <w:szCs w:val="20"/>
          <w:lang w:val="es-ES"/>
        </w:rPr>
        <w:t>).</w:t>
      </w:r>
      <w:r w:rsidR="00BC7EB3" w:rsidRPr="00351298">
        <w:rPr>
          <w:rFonts w:ascii="Verdana" w:hAnsi="Verdana"/>
          <w:sz w:val="20"/>
          <w:szCs w:val="20"/>
          <w:lang w:val="es-ES"/>
        </w:rPr>
        <w:t xml:space="preserve"> </w:t>
      </w:r>
    </w:p>
    <w:p w14:paraId="4B221725" w14:textId="34A2AAC1" w:rsidR="007F4F51" w:rsidRPr="00351298" w:rsidRDefault="03E1CE9F" w:rsidP="00710C55">
      <w:pPr>
        <w:numPr>
          <w:ilvl w:val="0"/>
          <w:numId w:val="2"/>
        </w:numPr>
        <w:spacing w:before="120" w:after="120"/>
        <w:ind w:left="0" w:firstLine="0"/>
        <w:jc w:val="both"/>
        <w:rPr>
          <w:rFonts w:ascii="Verdana" w:eastAsia="Calibri" w:hAnsi="Verdana" w:cs="Arial"/>
          <w:sz w:val="20"/>
          <w:szCs w:val="20"/>
          <w:lang w:eastAsia="es-CR"/>
        </w:rPr>
      </w:pPr>
      <w:r w:rsidRPr="00351298">
        <w:rPr>
          <w:rFonts w:ascii="Verdana" w:eastAsia="Calibri" w:hAnsi="Verdana" w:cs="Arial"/>
          <w:sz w:val="20"/>
          <w:szCs w:val="20"/>
          <w:lang w:eastAsia="es-CR"/>
        </w:rPr>
        <w:t>Sin perjuicio de lo anterior, l</w:t>
      </w:r>
      <w:r w:rsidR="225F8B0C" w:rsidRPr="00351298">
        <w:rPr>
          <w:rFonts w:ascii="Verdana" w:eastAsia="Calibri" w:hAnsi="Verdana" w:cs="Arial"/>
          <w:sz w:val="20"/>
          <w:szCs w:val="20"/>
          <w:lang w:eastAsia="es-CR"/>
        </w:rPr>
        <w:t>a Corte advierte que</w:t>
      </w:r>
      <w:r w:rsidR="29AB5622" w:rsidRPr="00351298">
        <w:rPr>
          <w:rFonts w:ascii="Verdana" w:eastAsia="Calibri" w:hAnsi="Verdana" w:cs="Arial"/>
          <w:sz w:val="20"/>
          <w:szCs w:val="20"/>
          <w:lang w:eastAsia="es-CR"/>
        </w:rPr>
        <w:t>,</w:t>
      </w:r>
      <w:r w:rsidR="225F8B0C" w:rsidRPr="00351298">
        <w:rPr>
          <w:rFonts w:ascii="Verdana" w:eastAsia="Calibri" w:hAnsi="Verdana" w:cs="Arial"/>
          <w:sz w:val="20"/>
          <w:szCs w:val="20"/>
          <w:lang w:eastAsia="es-CR"/>
        </w:rPr>
        <w:t xml:space="preserve"> </w:t>
      </w:r>
      <w:r w:rsidR="147961DC" w:rsidRPr="00351298">
        <w:rPr>
          <w:rFonts w:ascii="Verdana" w:eastAsia="Calibri" w:hAnsi="Verdana" w:cs="Arial"/>
          <w:sz w:val="20"/>
          <w:szCs w:val="20"/>
          <w:lang w:eastAsia="es-CR"/>
        </w:rPr>
        <w:t xml:space="preserve">si bien </w:t>
      </w:r>
      <w:r w:rsidR="225F8B0C" w:rsidRPr="00351298">
        <w:rPr>
          <w:rFonts w:ascii="Verdana" w:eastAsia="Calibri" w:hAnsi="Verdana" w:cs="Arial"/>
          <w:sz w:val="20"/>
          <w:szCs w:val="20"/>
          <w:lang w:eastAsia="es-CR"/>
        </w:rPr>
        <w:t>e</w:t>
      </w:r>
      <w:r w:rsidR="599AA016" w:rsidRPr="00351298">
        <w:rPr>
          <w:rFonts w:ascii="Verdana" w:eastAsia="Calibri" w:hAnsi="Verdana" w:cs="Arial"/>
          <w:sz w:val="20"/>
          <w:szCs w:val="20"/>
          <w:lang w:eastAsia="es-CR"/>
        </w:rPr>
        <w:t>n la Sentencia de condena de 12 de mayo de 2022 contra Daniel García y Reyes Alpízar</w:t>
      </w:r>
      <w:r w:rsidR="72DF2DBC" w:rsidRPr="00351298">
        <w:rPr>
          <w:rFonts w:ascii="Verdana" w:eastAsia="Calibri" w:hAnsi="Verdana" w:cs="Arial"/>
          <w:sz w:val="20"/>
          <w:szCs w:val="20"/>
          <w:lang w:eastAsia="es-CR"/>
        </w:rPr>
        <w:t xml:space="preserve"> por parte del Juzgado Penal del Distrito Judicial de Tlalnepantla</w:t>
      </w:r>
      <w:r w:rsidR="599AA016" w:rsidRPr="00351298">
        <w:rPr>
          <w:rFonts w:ascii="Verdana" w:eastAsia="Calibri" w:hAnsi="Verdana" w:cs="Arial"/>
          <w:sz w:val="20"/>
          <w:szCs w:val="20"/>
          <w:lang w:eastAsia="es-CR"/>
        </w:rPr>
        <w:t xml:space="preserve"> </w:t>
      </w:r>
      <w:r w:rsidR="225F8B0C" w:rsidRPr="00351298">
        <w:rPr>
          <w:rFonts w:ascii="Verdana" w:eastAsia="Calibri" w:hAnsi="Verdana" w:cs="Arial"/>
          <w:sz w:val="20"/>
          <w:szCs w:val="20"/>
          <w:lang w:eastAsia="es-CR"/>
        </w:rPr>
        <w:t xml:space="preserve">sus declaraciones de </w:t>
      </w:r>
      <w:r w:rsidR="72DF2DBC" w:rsidRPr="00351298">
        <w:rPr>
          <w:rFonts w:ascii="Verdana" w:eastAsia="Calibri" w:hAnsi="Verdana" w:cs="Arial"/>
          <w:sz w:val="20"/>
          <w:szCs w:val="20"/>
          <w:lang w:eastAsia="es-CR"/>
        </w:rPr>
        <w:t>25 de febrero de 2002</w:t>
      </w:r>
      <w:r w:rsidR="225F8B0C" w:rsidRPr="00351298">
        <w:rPr>
          <w:rFonts w:ascii="Verdana" w:eastAsia="Calibri" w:hAnsi="Verdana" w:cs="Arial"/>
          <w:sz w:val="20"/>
          <w:szCs w:val="20"/>
          <w:lang w:eastAsia="es-CR"/>
        </w:rPr>
        <w:t xml:space="preserve"> y de </w:t>
      </w:r>
      <w:r w:rsidR="72DF2DBC" w:rsidRPr="00351298">
        <w:rPr>
          <w:rFonts w:ascii="Verdana" w:eastAsia="Calibri" w:hAnsi="Verdana" w:cs="Arial"/>
          <w:sz w:val="20"/>
          <w:szCs w:val="20"/>
          <w:lang w:eastAsia="es-CR"/>
        </w:rPr>
        <w:t>25 de octubre de 2002</w:t>
      </w:r>
      <w:r w:rsidR="225F8B0C" w:rsidRPr="00351298">
        <w:rPr>
          <w:rFonts w:ascii="Verdana" w:eastAsia="Calibri" w:hAnsi="Verdana" w:cs="Arial"/>
          <w:sz w:val="20"/>
          <w:szCs w:val="20"/>
          <w:lang w:eastAsia="es-CR"/>
        </w:rPr>
        <w:t xml:space="preserve"> fueron excluidas del acervo probatorio</w:t>
      </w:r>
      <w:r w:rsidR="147961DC" w:rsidRPr="00351298">
        <w:rPr>
          <w:rFonts w:ascii="Verdana" w:eastAsia="Calibri" w:hAnsi="Verdana" w:cs="Arial"/>
          <w:sz w:val="20"/>
          <w:szCs w:val="20"/>
          <w:lang w:eastAsia="es-CR"/>
        </w:rPr>
        <w:t>, estas no lo fueron porque las mismas correspond</w:t>
      </w:r>
      <w:r w:rsidR="6691007E" w:rsidRPr="00351298">
        <w:rPr>
          <w:rFonts w:ascii="Verdana" w:eastAsia="Calibri" w:hAnsi="Verdana" w:cs="Arial"/>
          <w:sz w:val="20"/>
          <w:szCs w:val="20"/>
          <w:lang w:eastAsia="es-CR"/>
        </w:rPr>
        <w:t>ían</w:t>
      </w:r>
      <w:r w:rsidR="147961DC" w:rsidRPr="00351298">
        <w:rPr>
          <w:rFonts w:ascii="Verdana" w:eastAsia="Calibri" w:hAnsi="Verdana" w:cs="Arial"/>
          <w:sz w:val="20"/>
          <w:szCs w:val="20"/>
          <w:lang w:eastAsia="es-CR"/>
        </w:rPr>
        <w:t xml:space="preserve"> a declaraciones obtenidas bajo coacción sino que </w:t>
      </w:r>
      <w:r w:rsidR="52050D5D" w:rsidRPr="00351298">
        <w:rPr>
          <w:rFonts w:ascii="Verdana" w:eastAsia="Calibri" w:hAnsi="Verdana" w:cs="Arial"/>
          <w:sz w:val="20"/>
          <w:szCs w:val="20"/>
          <w:lang w:eastAsia="es-CR"/>
        </w:rPr>
        <w:t>se descartaron</w:t>
      </w:r>
      <w:r w:rsidR="147961DC" w:rsidRPr="00351298">
        <w:rPr>
          <w:rFonts w:ascii="Verdana" w:eastAsia="Calibri" w:hAnsi="Verdana" w:cs="Arial"/>
          <w:sz w:val="20"/>
          <w:szCs w:val="20"/>
          <w:lang w:eastAsia="es-CR"/>
        </w:rPr>
        <w:t xml:space="preserve"> </w:t>
      </w:r>
      <w:r w:rsidR="72DF2DBC" w:rsidRPr="00351298">
        <w:rPr>
          <w:rFonts w:ascii="Verdana" w:eastAsia="Calibri" w:hAnsi="Verdana" w:cs="Arial"/>
          <w:sz w:val="20"/>
          <w:szCs w:val="20"/>
          <w:lang w:eastAsia="es-CR"/>
        </w:rPr>
        <w:t xml:space="preserve">“tomando en consideración que </w:t>
      </w:r>
      <w:r w:rsidR="52050D5D" w:rsidRPr="00351298">
        <w:rPr>
          <w:rFonts w:ascii="Verdana" w:eastAsia="Calibri" w:hAnsi="Verdana" w:cs="Arial"/>
          <w:sz w:val="20"/>
          <w:szCs w:val="20"/>
          <w:lang w:eastAsia="es-CR"/>
        </w:rPr>
        <w:t>[habían sido]</w:t>
      </w:r>
      <w:r w:rsidR="72DF2DBC" w:rsidRPr="00351298">
        <w:rPr>
          <w:rFonts w:ascii="Verdana" w:eastAsia="Calibri" w:hAnsi="Verdana" w:cs="Arial"/>
          <w:sz w:val="20"/>
          <w:szCs w:val="20"/>
          <w:lang w:eastAsia="es-CR"/>
        </w:rPr>
        <w:t xml:space="preserve"> recabadas durante los arraigos decretados en contra de los [procesados]”</w:t>
      </w:r>
      <w:r w:rsidR="00710C55" w:rsidRPr="1D64B15C">
        <w:rPr>
          <w:rStyle w:val="Refdenotaalpie"/>
          <w:rFonts w:ascii="Verdana" w:eastAsia="Cambria" w:hAnsi="Verdana"/>
          <w:sz w:val="20"/>
          <w:lang w:val="es-ES"/>
        </w:rPr>
        <w:footnoteReference w:id="246"/>
      </w:r>
      <w:r w:rsidR="46F00BFE" w:rsidRPr="00351298">
        <w:rPr>
          <w:rFonts w:ascii="Verdana" w:eastAsia="Calibri" w:hAnsi="Verdana" w:cs="Arial"/>
          <w:sz w:val="20"/>
          <w:szCs w:val="20"/>
          <w:lang w:eastAsia="es-CR"/>
        </w:rPr>
        <w:t xml:space="preserve">. </w:t>
      </w:r>
      <w:r w:rsidR="72DF2DBC" w:rsidRPr="00351298">
        <w:rPr>
          <w:rFonts w:ascii="Verdana" w:eastAsia="Calibri" w:hAnsi="Verdana" w:cs="Arial"/>
          <w:sz w:val="20"/>
          <w:szCs w:val="20"/>
          <w:lang w:eastAsia="es-CR"/>
        </w:rPr>
        <w:t xml:space="preserve"> </w:t>
      </w:r>
      <w:r w:rsidR="7D957FAB" w:rsidRPr="00351298">
        <w:rPr>
          <w:rFonts w:ascii="Verdana" w:eastAsia="Calibri" w:hAnsi="Verdana" w:cs="Arial"/>
          <w:sz w:val="20"/>
          <w:szCs w:val="20"/>
          <w:lang w:eastAsia="es-CR"/>
        </w:rPr>
        <w:t xml:space="preserve"> </w:t>
      </w:r>
    </w:p>
    <w:p w14:paraId="73189EC6" w14:textId="0F0B0278" w:rsidR="00EA296B" w:rsidRPr="00C43E92" w:rsidRDefault="00EA296B">
      <w:pPr>
        <w:numPr>
          <w:ilvl w:val="0"/>
          <w:numId w:val="2"/>
        </w:numPr>
        <w:spacing w:before="120" w:after="120"/>
        <w:ind w:left="0" w:firstLine="0"/>
        <w:jc w:val="both"/>
        <w:rPr>
          <w:rFonts w:ascii="Verdana" w:eastAsia="Calibri" w:hAnsi="Verdana" w:cs="Arial"/>
          <w:sz w:val="20"/>
          <w:szCs w:val="20"/>
          <w:lang w:eastAsia="es-CR"/>
        </w:rPr>
      </w:pPr>
      <w:r w:rsidRPr="00C43E92">
        <w:rPr>
          <w:rFonts w:ascii="Verdana" w:eastAsia="Calibri" w:hAnsi="Verdana" w:cs="Arial"/>
          <w:sz w:val="20"/>
          <w:szCs w:val="20"/>
          <w:lang w:eastAsia="es-CR"/>
        </w:rPr>
        <w:t xml:space="preserve">De conformidad </w:t>
      </w:r>
      <w:r w:rsidR="00CA00CD" w:rsidRPr="00C43E92">
        <w:rPr>
          <w:rFonts w:ascii="Verdana" w:eastAsia="Calibri" w:hAnsi="Verdana" w:cs="Arial"/>
          <w:sz w:val="20"/>
          <w:szCs w:val="20"/>
          <w:lang w:eastAsia="es-CR"/>
        </w:rPr>
        <w:t xml:space="preserve">con lo anterior, la Corte nota que las declaraciones de </w:t>
      </w:r>
      <w:r w:rsidR="009D1565" w:rsidRPr="00C43E92">
        <w:rPr>
          <w:rFonts w:ascii="Verdana" w:eastAsia="Calibri" w:hAnsi="Verdana" w:cs="Arial"/>
          <w:sz w:val="20"/>
          <w:szCs w:val="20"/>
          <w:lang w:eastAsia="es-CR"/>
        </w:rPr>
        <w:t>Daniel García Rodríguez y Reyes Alpízar Ortiz</w:t>
      </w:r>
      <w:r w:rsidR="00CA00CD" w:rsidRPr="00C43E92">
        <w:rPr>
          <w:rFonts w:ascii="Verdana" w:eastAsia="Calibri" w:hAnsi="Verdana" w:cs="Arial"/>
          <w:sz w:val="20"/>
          <w:szCs w:val="20"/>
          <w:lang w:eastAsia="es-CR"/>
        </w:rPr>
        <w:t>, obtenidas en condiciones de coacción y tortura, ha</w:t>
      </w:r>
      <w:r w:rsidR="00773DE7" w:rsidRPr="00C43E92">
        <w:rPr>
          <w:rFonts w:ascii="Verdana" w:eastAsia="Calibri" w:hAnsi="Verdana" w:cs="Arial"/>
          <w:sz w:val="20"/>
          <w:szCs w:val="20"/>
          <w:lang w:eastAsia="es-CR"/>
        </w:rPr>
        <w:t>n</w:t>
      </w:r>
      <w:r w:rsidR="00CA00CD" w:rsidRPr="00C43E92">
        <w:rPr>
          <w:rFonts w:ascii="Verdana" w:eastAsia="Calibri" w:hAnsi="Verdana" w:cs="Arial"/>
          <w:sz w:val="20"/>
          <w:szCs w:val="20"/>
          <w:lang w:eastAsia="es-CR"/>
        </w:rPr>
        <w:t xml:space="preserve"> sido utilizadas en distintos actos procesales de la causa penal 88/2002</w:t>
      </w:r>
      <w:r w:rsidR="009D1565" w:rsidRPr="00C43E92">
        <w:rPr>
          <w:rFonts w:ascii="Verdana" w:eastAsia="Calibri" w:hAnsi="Verdana" w:cs="Arial"/>
          <w:sz w:val="20"/>
          <w:szCs w:val="20"/>
          <w:lang w:eastAsia="es-CR"/>
        </w:rPr>
        <w:t>, en particular en las decisiones mediante las cuales se ordenó la prisión preventiva de las presuntas víctimas</w:t>
      </w:r>
      <w:r w:rsidR="00773DE7" w:rsidRPr="00C43E92">
        <w:rPr>
          <w:rFonts w:ascii="Verdana" w:eastAsia="Calibri" w:hAnsi="Verdana" w:cs="Arial"/>
          <w:sz w:val="20"/>
          <w:szCs w:val="20"/>
          <w:lang w:eastAsia="es-CR"/>
        </w:rPr>
        <w:t>. En ese sentido, lejos de</w:t>
      </w:r>
      <w:r w:rsidR="00CA00CD" w:rsidRPr="00C43E92">
        <w:rPr>
          <w:rFonts w:ascii="Verdana" w:eastAsia="Calibri" w:hAnsi="Verdana" w:cs="Arial"/>
          <w:sz w:val="20"/>
          <w:szCs w:val="20"/>
          <w:lang w:eastAsia="es-CR"/>
        </w:rPr>
        <w:t xml:space="preserve"> ser excluidas</w:t>
      </w:r>
      <w:r w:rsidR="00773DE7" w:rsidRPr="00C43E92">
        <w:rPr>
          <w:rFonts w:ascii="Verdana" w:eastAsia="Calibri" w:hAnsi="Verdana" w:cs="Arial"/>
          <w:sz w:val="20"/>
          <w:szCs w:val="20"/>
          <w:lang w:eastAsia="es-CR"/>
        </w:rPr>
        <w:t xml:space="preserve"> del acervo probatorio</w:t>
      </w:r>
      <w:r w:rsidR="00CA00CD" w:rsidRPr="00C43E92">
        <w:rPr>
          <w:rFonts w:ascii="Verdana" w:eastAsia="Calibri" w:hAnsi="Verdana" w:cs="Arial"/>
          <w:sz w:val="20"/>
          <w:szCs w:val="20"/>
          <w:lang w:eastAsia="es-CR"/>
        </w:rPr>
        <w:t xml:space="preserve"> toda vez que existía un velo de sospecha sobre su obtención</w:t>
      </w:r>
      <w:r w:rsidR="00773DE7" w:rsidRPr="00C43E92">
        <w:rPr>
          <w:rFonts w:ascii="Verdana" w:eastAsia="Calibri" w:hAnsi="Verdana" w:cs="Arial"/>
          <w:sz w:val="20"/>
          <w:szCs w:val="20"/>
          <w:lang w:eastAsia="es-CR"/>
        </w:rPr>
        <w:t xml:space="preserve"> que había sido denunciado y que fuera investigado tardíamente, las mismas pasaron a formar parte de las piezas procesales tomadas en cuenta para su encarcelamiento preventivo </w:t>
      </w:r>
      <w:r w:rsidR="007D232F" w:rsidRPr="00C43E92">
        <w:rPr>
          <w:rFonts w:ascii="Verdana" w:eastAsia="Calibri" w:hAnsi="Verdana" w:cs="Arial"/>
          <w:sz w:val="20"/>
          <w:szCs w:val="20"/>
          <w:lang w:eastAsia="es-CR"/>
        </w:rPr>
        <w:t>que se prolongó por más de 17 años</w:t>
      </w:r>
      <w:r w:rsidR="00773DE7" w:rsidRPr="00C43E92">
        <w:rPr>
          <w:rFonts w:ascii="Verdana" w:eastAsia="Calibri" w:hAnsi="Verdana" w:cs="Arial"/>
          <w:sz w:val="20"/>
          <w:szCs w:val="20"/>
          <w:lang w:eastAsia="es-CR"/>
        </w:rPr>
        <w:t>.</w:t>
      </w:r>
      <w:r w:rsidR="00CA00CD" w:rsidRPr="00C43E92">
        <w:rPr>
          <w:rFonts w:ascii="Verdana" w:eastAsia="Calibri" w:hAnsi="Verdana" w:cs="Arial"/>
          <w:sz w:val="20"/>
          <w:szCs w:val="20"/>
          <w:lang w:eastAsia="es-CR"/>
        </w:rPr>
        <w:t xml:space="preserve"> </w:t>
      </w:r>
      <w:r w:rsidR="005A4AE3" w:rsidRPr="00C43E92">
        <w:rPr>
          <w:rFonts w:ascii="Verdana" w:eastAsia="Calibri" w:hAnsi="Verdana" w:cs="Arial"/>
          <w:sz w:val="20"/>
          <w:szCs w:val="20"/>
          <w:lang w:eastAsia="es-CR"/>
        </w:rPr>
        <w:t xml:space="preserve">En consecuencia, por los motivos expresados, el Estado es responsable por la violación a su obligación de excluir la </w:t>
      </w:r>
      <w:r w:rsidR="005A4AE3" w:rsidRPr="00D04822">
        <w:rPr>
          <w:rFonts w:ascii="Verdana" w:eastAsia="Calibri" w:hAnsi="Verdana" w:cs="Arial"/>
          <w:sz w:val="20"/>
          <w:szCs w:val="20"/>
          <w:lang w:eastAsia="es-CR"/>
        </w:rPr>
        <w:t>declaración</w:t>
      </w:r>
      <w:r w:rsidR="005A4AE3" w:rsidRPr="00C43E92">
        <w:rPr>
          <w:rFonts w:ascii="Verdana" w:eastAsia="Calibri" w:hAnsi="Verdana" w:cs="Arial"/>
          <w:sz w:val="20"/>
          <w:szCs w:val="20"/>
          <w:lang w:eastAsia="es-CR"/>
        </w:rPr>
        <w:t xml:space="preserve"> obtenida bajo coacción contenida en el artículo 8.3 de la Convención Americana</w:t>
      </w:r>
      <w:r w:rsidR="005A4AE3">
        <w:rPr>
          <w:rFonts w:ascii="Verdana" w:eastAsia="Calibri" w:hAnsi="Verdana" w:cs="Arial"/>
          <w:sz w:val="20"/>
          <w:szCs w:val="20"/>
          <w:lang w:eastAsia="es-CR"/>
        </w:rPr>
        <w:t>,</w:t>
      </w:r>
      <w:r w:rsidR="005A4AE3" w:rsidRPr="00C43E92">
        <w:rPr>
          <w:rFonts w:ascii="Verdana" w:eastAsia="Calibri" w:hAnsi="Verdana" w:cs="Arial"/>
          <w:sz w:val="20"/>
          <w:szCs w:val="20"/>
          <w:lang w:eastAsia="es-CR"/>
        </w:rPr>
        <w:t xml:space="preserve"> en </w:t>
      </w:r>
      <w:r w:rsidR="005A4AE3">
        <w:rPr>
          <w:rFonts w:ascii="Verdana" w:eastAsia="Calibri" w:hAnsi="Verdana" w:cs="Arial"/>
          <w:sz w:val="20"/>
          <w:szCs w:val="20"/>
          <w:lang w:eastAsia="es-CR"/>
        </w:rPr>
        <w:t xml:space="preserve">perjuicio de </w:t>
      </w:r>
      <w:r w:rsidR="005A4AE3" w:rsidRPr="00C43E92">
        <w:rPr>
          <w:rFonts w:ascii="Verdana" w:eastAsia="Calibri" w:hAnsi="Verdana" w:cs="Arial"/>
          <w:sz w:val="20"/>
          <w:szCs w:val="20"/>
          <w:lang w:eastAsia="es-CR"/>
        </w:rPr>
        <w:t>Daniel García Rodríguez y Reyes Alpízar Ortiz</w:t>
      </w:r>
      <w:r w:rsidR="00CA00CD" w:rsidRPr="00C43E92">
        <w:rPr>
          <w:rFonts w:ascii="Verdana" w:eastAsia="Calibri" w:hAnsi="Verdana" w:cs="Arial"/>
          <w:sz w:val="20"/>
          <w:szCs w:val="20"/>
          <w:lang w:eastAsia="es-CR"/>
        </w:rPr>
        <w:t>.</w:t>
      </w:r>
    </w:p>
    <w:p w14:paraId="27B9F3A5" w14:textId="7ED791DF" w:rsidR="00456E56" w:rsidRPr="00351298" w:rsidRDefault="00C5476B" w:rsidP="00456E56">
      <w:pPr>
        <w:pStyle w:val="Ttulo3"/>
        <w:spacing w:before="240" w:after="240"/>
        <w:ind w:left="567"/>
        <w:jc w:val="both"/>
        <w:rPr>
          <w:rFonts w:ascii="Verdana" w:hAnsi="Verdana"/>
          <w:b w:val="0"/>
          <w:snapToGrid w:val="0"/>
          <w:spacing w:val="-2"/>
          <w:sz w:val="20"/>
          <w:szCs w:val="20"/>
          <w:lang w:eastAsia="es-ES"/>
        </w:rPr>
      </w:pPr>
      <w:bookmarkStart w:id="116" w:name="_Toc132133935"/>
      <w:r w:rsidRPr="00351298">
        <w:rPr>
          <w:rFonts w:ascii="Verdana" w:hAnsi="Verdana"/>
          <w:b w:val="0"/>
          <w:snapToGrid w:val="0"/>
          <w:spacing w:val="-2"/>
          <w:sz w:val="20"/>
          <w:szCs w:val="20"/>
          <w:lang w:eastAsia="es-ES"/>
        </w:rPr>
        <w:lastRenderedPageBreak/>
        <w:t>B</w:t>
      </w:r>
      <w:r w:rsidR="00456E56" w:rsidRPr="00351298">
        <w:rPr>
          <w:rFonts w:ascii="Verdana" w:hAnsi="Verdana"/>
          <w:b w:val="0"/>
          <w:snapToGrid w:val="0"/>
          <w:spacing w:val="-2"/>
          <w:sz w:val="20"/>
          <w:szCs w:val="20"/>
          <w:lang w:eastAsia="es-ES"/>
        </w:rPr>
        <w:t>.</w:t>
      </w:r>
      <w:r w:rsidR="001167D4" w:rsidRPr="00351298">
        <w:rPr>
          <w:rFonts w:ascii="Verdana" w:hAnsi="Verdana"/>
          <w:b w:val="0"/>
          <w:snapToGrid w:val="0"/>
          <w:spacing w:val="-2"/>
          <w:sz w:val="20"/>
          <w:szCs w:val="20"/>
          <w:lang w:eastAsia="es-ES"/>
        </w:rPr>
        <w:t>2</w:t>
      </w:r>
      <w:r w:rsidR="00456E56" w:rsidRPr="00351298">
        <w:rPr>
          <w:rFonts w:ascii="Verdana" w:hAnsi="Verdana"/>
          <w:b w:val="0"/>
          <w:snapToGrid w:val="0"/>
          <w:spacing w:val="-2"/>
          <w:sz w:val="20"/>
          <w:szCs w:val="20"/>
          <w:lang w:eastAsia="es-ES"/>
        </w:rPr>
        <w:t>. El derecho a la defensa</w:t>
      </w:r>
      <w:r w:rsidRPr="00351298">
        <w:rPr>
          <w:rFonts w:ascii="Verdana" w:hAnsi="Verdana"/>
          <w:b w:val="0"/>
          <w:snapToGrid w:val="0"/>
          <w:spacing w:val="-2"/>
          <w:sz w:val="20"/>
          <w:szCs w:val="20"/>
          <w:lang w:eastAsia="es-ES"/>
        </w:rPr>
        <w:t xml:space="preserve"> (artículo 8.2.d, e y f de la Convención Americana)</w:t>
      </w:r>
      <w:bookmarkEnd w:id="116"/>
    </w:p>
    <w:p w14:paraId="4E3C17DA" w14:textId="45A58BF8" w:rsidR="00F81FED" w:rsidRPr="00351298" w:rsidRDefault="00F81FED" w:rsidP="00D73463">
      <w:pPr>
        <w:numPr>
          <w:ilvl w:val="0"/>
          <w:numId w:val="2"/>
        </w:numPr>
        <w:spacing w:before="120" w:after="120"/>
        <w:ind w:left="0" w:firstLine="0"/>
        <w:jc w:val="both"/>
        <w:rPr>
          <w:rFonts w:ascii="Verdana" w:eastAsia="Cambria" w:hAnsi="Verdana" w:cs="Cambria"/>
          <w:sz w:val="20"/>
          <w:szCs w:val="20"/>
          <w:lang w:val="es-ES_tradnl"/>
        </w:rPr>
      </w:pPr>
      <w:r w:rsidRPr="7CDFE7CF">
        <w:rPr>
          <w:rFonts w:ascii="Verdana" w:eastAsia="Cambria" w:hAnsi="Verdana" w:cs="Cambria"/>
          <w:sz w:val="20"/>
          <w:szCs w:val="20"/>
          <w:lang w:val="es-ES"/>
        </w:rPr>
        <w:t>La Corte ha afirmado que los literales d) y e) del artículo 8.2 expresan que el inculpado tiene derecho de defenderse personalmente o a ser asistido por un defensor de su elección y que si no lo hiciere tiene el derecho irrenunciable de ser asistido por un defensor proporcionado por el Estado, remunerado o no según la legislación interna. En estos términos, un inculpado puede defenderse personalmente, aunque es necesario entender que esto es válido solamente si la legislación interna se lo permite. Es así como la Convención garantiza el derecho de asistencia legal en procedimientos penales</w:t>
      </w:r>
      <w:r w:rsidRPr="7CDFE7CF">
        <w:rPr>
          <w:rStyle w:val="Refdenotaalpie"/>
          <w:rFonts w:ascii="Verdana" w:eastAsia="Cambria" w:hAnsi="Verdana"/>
          <w:sz w:val="20"/>
          <w:lang w:val="es-ES"/>
        </w:rPr>
        <w:footnoteReference w:id="247"/>
      </w:r>
      <w:r w:rsidRPr="7CDFE7CF">
        <w:rPr>
          <w:rFonts w:ascii="Verdana" w:eastAsia="Cambria" w:hAnsi="Verdana" w:cs="Cambria"/>
          <w:sz w:val="20"/>
          <w:szCs w:val="20"/>
          <w:lang w:val="es-ES"/>
        </w:rPr>
        <w:t xml:space="preserve">. Asimismo, la Corte ha indicado que la defensa suministrada por el Estado debe ser efectiva, para lo cual el Estado debe adoptar todas las medidas adecuadas. Esta Corte ha señalado que el investigado debe tener acceso a la defensa técnica en la diligencia en la que se recibe su primera declaración. Impedir a </w:t>
      </w:r>
      <w:r w:rsidR="004D6346">
        <w:rPr>
          <w:rFonts w:ascii="Verdana" w:eastAsia="Cambria" w:hAnsi="Verdana" w:cs="Cambria"/>
          <w:sz w:val="20"/>
          <w:szCs w:val="20"/>
          <w:lang w:val="es-ES"/>
        </w:rPr>
        <w:t>e</w:t>
      </w:r>
      <w:r w:rsidRPr="7CDFE7CF">
        <w:rPr>
          <w:rFonts w:ascii="Verdana" w:eastAsia="Cambria" w:hAnsi="Verdana" w:cs="Cambria"/>
          <w:sz w:val="20"/>
          <w:szCs w:val="20"/>
          <w:lang w:val="es-ES"/>
        </w:rPr>
        <w:t>ste contar con la asistencia de su abogada o abogado defensor es limitar severamente el derecho a la defensa, lo que ocasiona desequilibrio procesal y deja al individuo sin tutela frente al ejercicio del poder punitivo</w:t>
      </w:r>
      <w:r w:rsidRPr="7CDFE7CF">
        <w:rPr>
          <w:rStyle w:val="Refdenotaalpie"/>
          <w:rFonts w:ascii="Verdana" w:eastAsia="Cambria" w:hAnsi="Verdana"/>
          <w:sz w:val="20"/>
          <w:lang w:val="es-ES"/>
        </w:rPr>
        <w:footnoteReference w:id="248"/>
      </w:r>
      <w:r w:rsidRPr="7CDFE7CF">
        <w:rPr>
          <w:rFonts w:ascii="Verdana" w:eastAsia="Cambria" w:hAnsi="Verdana" w:cs="Cambria"/>
          <w:sz w:val="20"/>
          <w:szCs w:val="20"/>
          <w:lang w:val="es-ES"/>
        </w:rPr>
        <w:t>.</w:t>
      </w:r>
    </w:p>
    <w:p w14:paraId="726BD52B" w14:textId="7905DFA8" w:rsidR="00F81FED" w:rsidRPr="00351298" w:rsidRDefault="00F81FED" w:rsidP="00D73463">
      <w:pPr>
        <w:numPr>
          <w:ilvl w:val="0"/>
          <w:numId w:val="2"/>
        </w:numPr>
        <w:spacing w:before="120" w:after="120"/>
        <w:ind w:left="0" w:firstLine="0"/>
        <w:jc w:val="both"/>
        <w:rPr>
          <w:rFonts w:ascii="Verdana" w:eastAsia="Cambria" w:hAnsi="Verdana" w:cs="Cambria"/>
          <w:sz w:val="20"/>
          <w:szCs w:val="20"/>
          <w:lang w:val="es-ES_tradnl"/>
        </w:rPr>
      </w:pPr>
      <w:r w:rsidRPr="7CDFE7CF">
        <w:rPr>
          <w:rFonts w:ascii="Verdana" w:eastAsia="Cambria" w:hAnsi="Verdana" w:cs="Cambria"/>
          <w:sz w:val="20"/>
          <w:szCs w:val="20"/>
          <w:lang w:val="es-ES"/>
        </w:rPr>
        <w:t>La Corte ha considerado que nombrar a un defensor de oficio con el sólo objeto de cumplir con una formalidad procesal equivaldría a no contar con defensa técnica, por lo que es imperante que dicho defensor actúe de manera diligente con el fin de proteger las garantías procesales del acusado y evite así que sus derechos se vean lesionados y se quebrante la relación de confianza. A tal fin, es necesario que la institución de la defensa pública, como medio a través del cual el Estado garantiza el derecho irrenunciable de todo inculpado de delito de ser asistido por un defensor, sea dotada de garantías suficientes para su actuación eficiente y en igualdad de armas con el poder persecutorio. La Corte ha reconocido que para cumplir con este cometido el Estado debe adoptar todas las medidas adecuadas. Entre ellas, contar con defensores idóneos y capacitados que puedan actuar con autonomía funcional</w:t>
      </w:r>
      <w:r w:rsidRPr="7CDFE7CF">
        <w:rPr>
          <w:rStyle w:val="Refdenotaalpie"/>
          <w:rFonts w:ascii="Verdana" w:eastAsia="Cambria" w:hAnsi="Verdana"/>
          <w:sz w:val="20"/>
          <w:lang w:val="es-ES"/>
        </w:rPr>
        <w:footnoteReference w:id="249"/>
      </w:r>
      <w:r w:rsidRPr="7CDFE7CF">
        <w:rPr>
          <w:rFonts w:ascii="Verdana" w:eastAsia="Cambria" w:hAnsi="Verdana" w:cs="Cambria"/>
          <w:sz w:val="20"/>
          <w:szCs w:val="20"/>
          <w:lang w:val="es-ES"/>
        </w:rPr>
        <w:t xml:space="preserve">. </w:t>
      </w:r>
    </w:p>
    <w:p w14:paraId="5BDC3C93" w14:textId="547AB096" w:rsidR="00F81FED" w:rsidRPr="00351298" w:rsidRDefault="00F81FED" w:rsidP="00F81FED">
      <w:pPr>
        <w:numPr>
          <w:ilvl w:val="0"/>
          <w:numId w:val="2"/>
        </w:numPr>
        <w:spacing w:before="120" w:after="120"/>
        <w:ind w:left="0" w:firstLine="0"/>
        <w:jc w:val="both"/>
        <w:rPr>
          <w:rFonts w:ascii="Verdana" w:eastAsia="Cambria" w:hAnsi="Verdana" w:cs="Cambria"/>
          <w:sz w:val="20"/>
          <w:szCs w:val="20"/>
          <w:lang w:val="es-ES_tradnl"/>
        </w:rPr>
      </w:pPr>
      <w:r w:rsidRPr="7CDFE7CF">
        <w:rPr>
          <w:rFonts w:ascii="Verdana" w:eastAsia="Cambria" w:hAnsi="Verdana" w:cs="Cambria"/>
          <w:sz w:val="20"/>
          <w:szCs w:val="20"/>
          <w:lang w:val="es-ES"/>
        </w:rPr>
        <w:t>El inciso f) del artículo 8.2 de la Convención consagra la “garantía mínima” del “derecho de la defensa de interrogar a los testigos presentes en el tribunal y de obtener la comparecencia, como testigos o peritos, de otras personas que puedan arrojar luz sobre los hechos”, la cual materializa los principios de contradictorio e igualdad procesal. La Corte ha señalado que, entre las garantías reconocidas a quienes hayan sido acusados, está la de examinar los testigos en su contra y a su favor, bajo las mismas condiciones, con el objeto de ejercer su defensa</w:t>
      </w:r>
      <w:r w:rsidRPr="7CDFE7CF">
        <w:rPr>
          <w:rStyle w:val="Refdenotaalpie"/>
          <w:rFonts w:ascii="Verdana" w:eastAsia="Cambria" w:hAnsi="Verdana"/>
          <w:sz w:val="20"/>
          <w:lang w:val="es-ES"/>
        </w:rPr>
        <w:footnoteReference w:id="250"/>
      </w:r>
      <w:r w:rsidRPr="7CDFE7CF">
        <w:rPr>
          <w:rFonts w:ascii="Verdana" w:eastAsia="Cambria" w:hAnsi="Verdana" w:cs="Cambria"/>
          <w:sz w:val="20"/>
          <w:szCs w:val="20"/>
          <w:lang w:val="es-ES"/>
        </w:rPr>
        <w:t>.</w:t>
      </w:r>
    </w:p>
    <w:p w14:paraId="01D53A98" w14:textId="6AC9CBCA" w:rsidR="000435E0" w:rsidRPr="00351298" w:rsidRDefault="000435E0" w:rsidP="00F81FED">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eastAsia="Cambria" w:hAnsi="Verdana" w:cs="Cambria"/>
          <w:sz w:val="20"/>
          <w:szCs w:val="20"/>
          <w:lang w:val="es-ES_tradnl"/>
        </w:rPr>
        <w:t xml:space="preserve">En el presente caso se alega una afectación al derecho de defensa por los siguientes motivos: a) </w:t>
      </w:r>
      <w:r w:rsidR="00E24E24" w:rsidRPr="00351298">
        <w:rPr>
          <w:rFonts w:ascii="Verdana" w:hAnsi="Verdana"/>
          <w:sz w:val="20"/>
          <w:szCs w:val="20"/>
          <w:lang w:val="es-ES"/>
        </w:rPr>
        <w:t>Daniel García no contó con asistencia legal desde su detención, durante todo el tiempo en que estuvo arraigado y al momento de prestar declaraciones ante el Ministerio Público; b) el defensor público asignado a Reyes Alpízar se encontraba “adscrito al órgano investigador”; c) el Estado no ha acreditado que el defensor de Reyes Alpízar lo hubiese asesorado debidamente sobre su situación jurídica, o bien, emprendido desde ese momento actos tendientes a su defensa, como lo era el cuestionamiento de la legalidad o arbitrariedad de la detención</w:t>
      </w:r>
      <w:r w:rsidR="00BC7EB3" w:rsidRPr="00351298">
        <w:rPr>
          <w:rFonts w:ascii="Verdana" w:hAnsi="Verdana"/>
          <w:sz w:val="20"/>
          <w:szCs w:val="20"/>
          <w:lang w:val="es-ES"/>
        </w:rPr>
        <w:t xml:space="preserve">, </w:t>
      </w:r>
      <w:r w:rsidR="006E023C" w:rsidRPr="00351298">
        <w:rPr>
          <w:rFonts w:ascii="Verdana" w:hAnsi="Verdana"/>
          <w:sz w:val="20"/>
          <w:szCs w:val="20"/>
          <w:lang w:val="es-ES"/>
        </w:rPr>
        <w:t xml:space="preserve">y </w:t>
      </w:r>
      <w:r w:rsidR="00E24E24" w:rsidRPr="00351298">
        <w:rPr>
          <w:rFonts w:ascii="Verdana" w:hAnsi="Verdana"/>
          <w:sz w:val="20"/>
          <w:szCs w:val="20"/>
          <w:lang w:val="es-ES"/>
        </w:rPr>
        <w:t xml:space="preserve">d) en su primera </w:t>
      </w:r>
      <w:r w:rsidR="00E24E24" w:rsidRPr="00351298">
        <w:rPr>
          <w:rFonts w:ascii="Verdana" w:hAnsi="Verdana"/>
          <w:sz w:val="20"/>
          <w:szCs w:val="20"/>
          <w:lang w:val="es-ES"/>
        </w:rPr>
        <w:lastRenderedPageBreak/>
        <w:t xml:space="preserve">audiencia ante el Juez Quinto Penal, el defensor de Daniel García solicitó </w:t>
      </w:r>
      <w:r w:rsidR="00C43E92">
        <w:rPr>
          <w:rFonts w:ascii="Verdana" w:hAnsi="Verdana"/>
          <w:sz w:val="20"/>
          <w:szCs w:val="20"/>
          <w:lang w:val="es-ES"/>
        </w:rPr>
        <w:t xml:space="preserve">que </w:t>
      </w:r>
      <w:r w:rsidR="00E24E24" w:rsidRPr="00351298">
        <w:rPr>
          <w:rFonts w:ascii="Verdana" w:hAnsi="Verdana"/>
          <w:sz w:val="20"/>
          <w:szCs w:val="20"/>
          <w:lang w:val="es-ES"/>
        </w:rPr>
        <w:t>se citara a declarar a Subprocurador de Justicia, a fin de “demostrar los hechos con los que lo relaciona el inculpado” y que sin embargo el Juez no solo negó tal requerimiento, sino que indicó que las actuaciones ministeriales hacían plena prueba, ya que estaban revestidas de fe ministerial.</w:t>
      </w:r>
    </w:p>
    <w:p w14:paraId="2F9E1D96" w14:textId="0C0D87D0" w:rsidR="00B20E70" w:rsidRPr="00351298" w:rsidRDefault="00E24E24" w:rsidP="00357209">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 xml:space="preserve">Con relación a la falta de asistencia letrada desde su detención, </w:t>
      </w:r>
      <w:r w:rsidR="00AA67CF" w:rsidRPr="00351298">
        <w:rPr>
          <w:rFonts w:ascii="Verdana" w:hAnsi="Verdana"/>
          <w:sz w:val="20"/>
          <w:szCs w:val="20"/>
          <w:lang w:val="es-ES"/>
        </w:rPr>
        <w:t>un</w:t>
      </w:r>
      <w:r w:rsidR="00F647AA" w:rsidRPr="00351298">
        <w:rPr>
          <w:rFonts w:ascii="Verdana" w:hAnsi="Verdana"/>
          <w:sz w:val="20"/>
          <w:szCs w:val="20"/>
          <w:lang w:val="es-ES"/>
        </w:rPr>
        <w:t>a</w:t>
      </w:r>
      <w:r w:rsidR="00AA67CF" w:rsidRPr="00351298">
        <w:rPr>
          <w:rFonts w:ascii="Verdana" w:hAnsi="Verdana"/>
          <w:sz w:val="20"/>
          <w:szCs w:val="20"/>
          <w:lang w:val="es-ES"/>
        </w:rPr>
        <w:t xml:space="preserve"> parte del</w:t>
      </w:r>
      <w:r w:rsidRPr="00351298">
        <w:rPr>
          <w:rFonts w:ascii="Verdana" w:hAnsi="Verdana"/>
          <w:sz w:val="20"/>
          <w:szCs w:val="20"/>
          <w:lang w:val="es-ES"/>
        </w:rPr>
        <w:t xml:space="preserve"> tiempo en que estuvo arraigado</w:t>
      </w:r>
      <w:r w:rsidR="003E6669" w:rsidRPr="00351298">
        <w:rPr>
          <w:rFonts w:ascii="Verdana" w:hAnsi="Verdana"/>
          <w:sz w:val="20"/>
          <w:szCs w:val="20"/>
          <w:lang w:val="es-ES"/>
        </w:rPr>
        <w:t xml:space="preserve"> Daniel García</w:t>
      </w:r>
      <w:r w:rsidR="00720713" w:rsidRPr="00351298">
        <w:rPr>
          <w:rFonts w:ascii="Verdana" w:hAnsi="Verdana"/>
          <w:sz w:val="20"/>
          <w:szCs w:val="20"/>
          <w:lang w:val="es-ES"/>
        </w:rPr>
        <w:t xml:space="preserve">, </w:t>
      </w:r>
      <w:r w:rsidRPr="00351298">
        <w:rPr>
          <w:rFonts w:ascii="Verdana" w:hAnsi="Verdana"/>
          <w:sz w:val="20"/>
          <w:szCs w:val="20"/>
          <w:lang w:val="es-ES"/>
        </w:rPr>
        <w:t xml:space="preserve">y al momento de prestar declaraciones ante el Ministerio Público, esta Corte observa que no existe controversia al respecto. </w:t>
      </w:r>
      <w:r w:rsidR="00AA67CF" w:rsidRPr="00351298">
        <w:rPr>
          <w:rFonts w:ascii="Verdana" w:hAnsi="Verdana"/>
          <w:sz w:val="20"/>
          <w:szCs w:val="20"/>
          <w:lang w:val="es-ES"/>
        </w:rPr>
        <w:t>Daniel García indicó durante la audiencia pública que recién pudo tener acceso a un abogado al quinto o sexto día después de que fuera arraigado</w:t>
      </w:r>
      <w:r w:rsidR="00AA67CF" w:rsidRPr="00351298">
        <w:rPr>
          <w:rStyle w:val="Refdenotaalpie"/>
          <w:rFonts w:ascii="Verdana" w:eastAsia="Cambria" w:hAnsi="Verdana"/>
          <w:sz w:val="20"/>
          <w:lang w:val="es-ES_tradnl"/>
        </w:rPr>
        <w:footnoteReference w:id="251"/>
      </w:r>
      <w:r w:rsidR="00AA67CF" w:rsidRPr="00351298">
        <w:rPr>
          <w:rFonts w:ascii="Verdana" w:hAnsi="Verdana"/>
          <w:sz w:val="20"/>
          <w:szCs w:val="20"/>
          <w:lang w:val="es-ES"/>
        </w:rPr>
        <w:t xml:space="preserve">. </w:t>
      </w:r>
    </w:p>
    <w:p w14:paraId="1422707C" w14:textId="1622F6DB" w:rsidR="00E24E24" w:rsidRPr="00351298" w:rsidRDefault="7BD76247" w:rsidP="00E24E24">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 xml:space="preserve">El Estado </w:t>
      </w:r>
      <w:r w:rsidR="26A39718" w:rsidRPr="00351298">
        <w:rPr>
          <w:rFonts w:ascii="Verdana" w:hAnsi="Verdana"/>
          <w:sz w:val="20"/>
          <w:szCs w:val="20"/>
          <w:lang w:val="es-ES"/>
        </w:rPr>
        <w:t xml:space="preserve">arguyó </w:t>
      </w:r>
      <w:r w:rsidR="6A165E40" w:rsidRPr="00351298">
        <w:rPr>
          <w:rFonts w:ascii="Verdana" w:hAnsi="Verdana"/>
          <w:sz w:val="20"/>
          <w:szCs w:val="20"/>
          <w:lang w:val="es-ES"/>
        </w:rPr>
        <w:t>que</w:t>
      </w:r>
      <w:r w:rsidR="26A39718" w:rsidRPr="00351298">
        <w:rPr>
          <w:rFonts w:ascii="Verdana" w:hAnsi="Verdana"/>
          <w:sz w:val="20"/>
          <w:szCs w:val="20"/>
          <w:lang w:val="es-ES"/>
        </w:rPr>
        <w:t>,</w:t>
      </w:r>
      <w:r w:rsidR="6A165E40" w:rsidRPr="00351298">
        <w:rPr>
          <w:rFonts w:ascii="Verdana" w:hAnsi="Verdana"/>
          <w:sz w:val="20"/>
          <w:szCs w:val="20"/>
          <w:lang w:val="es-ES"/>
        </w:rPr>
        <w:t xml:space="preserve"> </w:t>
      </w:r>
      <w:r w:rsidR="326A54FB" w:rsidRPr="00351298">
        <w:rPr>
          <w:rFonts w:ascii="Verdana" w:hAnsi="Verdana"/>
          <w:sz w:val="20"/>
          <w:szCs w:val="20"/>
          <w:lang w:val="es-ES"/>
        </w:rPr>
        <w:t>en esas etapas</w:t>
      </w:r>
      <w:r w:rsidR="26A39718" w:rsidRPr="00351298">
        <w:rPr>
          <w:rFonts w:ascii="Verdana" w:hAnsi="Verdana"/>
          <w:sz w:val="20"/>
          <w:szCs w:val="20"/>
          <w:lang w:val="es-ES"/>
        </w:rPr>
        <w:t>,</w:t>
      </w:r>
      <w:r w:rsidR="326A54FB" w:rsidRPr="00351298">
        <w:rPr>
          <w:rFonts w:ascii="Verdana" w:hAnsi="Verdana"/>
          <w:sz w:val="20"/>
          <w:szCs w:val="20"/>
          <w:lang w:val="es-ES"/>
        </w:rPr>
        <w:t xml:space="preserve"> </w:t>
      </w:r>
      <w:r w:rsidR="26A39718" w:rsidRPr="00351298">
        <w:rPr>
          <w:rFonts w:ascii="Verdana" w:hAnsi="Verdana"/>
          <w:sz w:val="20"/>
          <w:szCs w:val="20"/>
          <w:lang w:val="es-ES"/>
        </w:rPr>
        <w:t xml:space="preserve">Daniel </w:t>
      </w:r>
      <w:r w:rsidR="326A54FB" w:rsidRPr="00351298">
        <w:rPr>
          <w:rFonts w:ascii="Verdana" w:hAnsi="Verdana"/>
          <w:sz w:val="20"/>
          <w:szCs w:val="20"/>
          <w:lang w:val="es-ES"/>
        </w:rPr>
        <w:t xml:space="preserve">García ejerció su defensa técnica de manera personal y que en ninguna de sus declaraciones se auto-incriminó. En </w:t>
      </w:r>
      <w:r w:rsidR="6A165E40" w:rsidRPr="00351298">
        <w:rPr>
          <w:rFonts w:ascii="Verdana" w:hAnsi="Verdana"/>
          <w:sz w:val="20"/>
          <w:szCs w:val="20"/>
          <w:lang w:val="es-ES"/>
        </w:rPr>
        <w:t>cuanto a lo anterior</w:t>
      </w:r>
      <w:r w:rsidR="326A54FB" w:rsidRPr="00351298">
        <w:rPr>
          <w:rFonts w:ascii="Verdana" w:hAnsi="Verdana"/>
          <w:sz w:val="20"/>
          <w:szCs w:val="20"/>
          <w:lang w:val="es-ES"/>
        </w:rPr>
        <w:t xml:space="preserve">, si bien resulta indiscutible que el artículo 8.2.d y e de la Convención Americana le otorga el derecho al inculpado de defenderse por </w:t>
      </w:r>
      <w:r w:rsidR="38D0179A" w:rsidRPr="00351298">
        <w:rPr>
          <w:rFonts w:ascii="Verdana" w:hAnsi="Verdana"/>
          <w:sz w:val="20"/>
          <w:szCs w:val="20"/>
          <w:lang w:val="es-ES"/>
        </w:rPr>
        <w:t>sí</w:t>
      </w:r>
      <w:r w:rsidR="326A54FB" w:rsidRPr="00351298">
        <w:rPr>
          <w:rFonts w:ascii="Verdana" w:hAnsi="Verdana"/>
          <w:sz w:val="20"/>
          <w:szCs w:val="20"/>
          <w:lang w:val="es-ES"/>
        </w:rPr>
        <w:t xml:space="preserve"> mismo en el marco de un proceso penal, lo relevante aquí es </w:t>
      </w:r>
      <w:r w:rsidR="38D0179A" w:rsidRPr="00351298">
        <w:rPr>
          <w:rFonts w:ascii="Verdana" w:hAnsi="Verdana"/>
          <w:sz w:val="20"/>
          <w:szCs w:val="20"/>
          <w:lang w:val="es-ES"/>
        </w:rPr>
        <w:t>que no se le brindó a Daniel García la posibilidad de contar con un o una defensor</w:t>
      </w:r>
      <w:r w:rsidR="4747C84B" w:rsidRPr="7CDFE7CF">
        <w:rPr>
          <w:rFonts w:ascii="Verdana" w:hAnsi="Verdana"/>
          <w:sz w:val="20"/>
          <w:szCs w:val="20"/>
          <w:lang w:val="es-ES"/>
        </w:rPr>
        <w:t>/a</w:t>
      </w:r>
      <w:r w:rsidR="38D0179A" w:rsidRPr="00351298">
        <w:rPr>
          <w:rFonts w:ascii="Verdana" w:hAnsi="Verdana"/>
          <w:sz w:val="20"/>
          <w:szCs w:val="20"/>
          <w:lang w:val="es-ES"/>
        </w:rPr>
        <w:t xml:space="preserve"> de su elección desde el momento en que fue detenido. </w:t>
      </w:r>
      <w:r w:rsidR="4FBE7B70" w:rsidRPr="00351298">
        <w:rPr>
          <w:rFonts w:ascii="Verdana" w:hAnsi="Verdana"/>
          <w:sz w:val="20"/>
          <w:szCs w:val="20"/>
          <w:lang w:val="es-ES"/>
        </w:rPr>
        <w:t xml:space="preserve">Sobre ese punto, cabe recordar que el derecho de defensa debe </w:t>
      </w:r>
      <w:r w:rsidR="6A165E40" w:rsidRPr="00351298">
        <w:rPr>
          <w:rFonts w:ascii="Verdana" w:hAnsi="Verdana"/>
          <w:sz w:val="20"/>
          <w:szCs w:val="20"/>
          <w:lang w:val="es-ES"/>
        </w:rPr>
        <w:t>poder</w:t>
      </w:r>
      <w:r w:rsidR="4FBE7B70" w:rsidRPr="00351298">
        <w:rPr>
          <w:rFonts w:ascii="Verdana" w:hAnsi="Verdana"/>
          <w:sz w:val="20"/>
          <w:szCs w:val="20"/>
          <w:lang w:val="es-ES"/>
        </w:rPr>
        <w:t xml:space="preserve"> ejercerse “desde que se señala a una persona como posible autor o partícipe de un delito”</w:t>
      </w:r>
      <w:r w:rsidR="006E023C" w:rsidRPr="7CDFE7CF">
        <w:rPr>
          <w:rStyle w:val="Refdenotaalpie"/>
          <w:rFonts w:ascii="Verdana" w:eastAsia="Cambria" w:hAnsi="Verdana"/>
          <w:sz w:val="20"/>
          <w:lang w:val="es-ES"/>
        </w:rPr>
        <w:footnoteReference w:id="252"/>
      </w:r>
      <w:r w:rsidR="4FBE7B70" w:rsidRPr="00351298">
        <w:rPr>
          <w:rFonts w:ascii="Verdana" w:hAnsi="Verdana"/>
          <w:sz w:val="20"/>
          <w:szCs w:val="20"/>
          <w:lang w:val="es-ES"/>
        </w:rPr>
        <w:t xml:space="preserve">. </w:t>
      </w:r>
      <w:r w:rsidR="6A165E40" w:rsidRPr="00351298">
        <w:rPr>
          <w:rFonts w:ascii="Verdana" w:hAnsi="Verdana"/>
          <w:sz w:val="20"/>
          <w:szCs w:val="20"/>
          <w:lang w:val="es-ES"/>
        </w:rPr>
        <w:t>Al respecto</w:t>
      </w:r>
      <w:r w:rsidR="26A39718" w:rsidRPr="00351298">
        <w:rPr>
          <w:rFonts w:ascii="Verdana" w:hAnsi="Verdana"/>
          <w:sz w:val="20"/>
          <w:szCs w:val="20"/>
          <w:lang w:val="es-ES"/>
        </w:rPr>
        <w:t>, resulta</w:t>
      </w:r>
      <w:r w:rsidR="4FBE7B70" w:rsidRPr="00351298">
        <w:rPr>
          <w:rFonts w:ascii="Verdana" w:hAnsi="Verdana"/>
          <w:sz w:val="20"/>
          <w:szCs w:val="20"/>
          <w:lang w:val="es-ES"/>
        </w:rPr>
        <w:t xml:space="preserve"> importante recordar que según</w:t>
      </w:r>
      <w:r w:rsidR="38D0179A" w:rsidRPr="00351298">
        <w:rPr>
          <w:rFonts w:ascii="Verdana" w:hAnsi="Verdana"/>
          <w:sz w:val="20"/>
          <w:szCs w:val="20"/>
          <w:lang w:val="es-ES"/>
        </w:rPr>
        <w:t xml:space="preserve"> fue analizado previamente (</w:t>
      </w:r>
      <w:r w:rsidR="38D0179A" w:rsidRPr="7CDFE7CF">
        <w:rPr>
          <w:rFonts w:ascii="Verdana" w:hAnsi="Verdana"/>
          <w:i/>
          <w:iCs/>
          <w:sz w:val="20"/>
          <w:szCs w:val="20"/>
          <w:lang w:val="es-ES"/>
        </w:rPr>
        <w:t>supra</w:t>
      </w:r>
      <w:r w:rsidR="38D0179A" w:rsidRPr="00351298">
        <w:rPr>
          <w:rFonts w:ascii="Verdana" w:hAnsi="Verdana"/>
          <w:sz w:val="20"/>
          <w:szCs w:val="20"/>
          <w:lang w:val="es-ES"/>
        </w:rPr>
        <w:t xml:space="preserve"> párr. </w:t>
      </w:r>
      <w:r w:rsidR="00C43E92">
        <w:rPr>
          <w:rFonts w:ascii="Verdana" w:hAnsi="Verdana"/>
          <w:sz w:val="20"/>
          <w:szCs w:val="20"/>
          <w:lang w:val="es-ES"/>
        </w:rPr>
        <w:t>131</w:t>
      </w:r>
      <w:r w:rsidR="38D0179A" w:rsidRPr="00351298">
        <w:rPr>
          <w:rFonts w:ascii="Verdana" w:hAnsi="Verdana"/>
          <w:sz w:val="20"/>
          <w:szCs w:val="20"/>
          <w:lang w:val="es-ES"/>
        </w:rPr>
        <w:t xml:space="preserve">), el acto mediante el cual </w:t>
      </w:r>
      <w:r w:rsidR="4FBE7B70" w:rsidRPr="00351298">
        <w:rPr>
          <w:rFonts w:ascii="Verdana" w:hAnsi="Verdana"/>
          <w:sz w:val="20"/>
          <w:szCs w:val="20"/>
          <w:lang w:val="es-ES"/>
        </w:rPr>
        <w:t xml:space="preserve">Daniel García </w:t>
      </w:r>
      <w:r w:rsidR="38D0179A" w:rsidRPr="00351298">
        <w:rPr>
          <w:rFonts w:ascii="Verdana" w:hAnsi="Verdana"/>
          <w:sz w:val="20"/>
          <w:szCs w:val="20"/>
          <w:lang w:val="es-ES"/>
        </w:rPr>
        <w:t xml:space="preserve">fue acompañado por </w:t>
      </w:r>
      <w:r w:rsidR="10EC5F69" w:rsidRPr="00351298">
        <w:rPr>
          <w:rFonts w:ascii="Verdana" w:hAnsi="Verdana"/>
          <w:sz w:val="20"/>
          <w:szCs w:val="20"/>
          <w:lang w:val="es-ES"/>
        </w:rPr>
        <w:t xml:space="preserve">policías ministeriales de la </w:t>
      </w:r>
      <w:r w:rsidR="71CB328A" w:rsidRPr="00351298">
        <w:rPr>
          <w:rFonts w:ascii="Verdana" w:hAnsi="Verdana"/>
          <w:sz w:val="20"/>
          <w:szCs w:val="20"/>
          <w:lang w:val="es-ES"/>
        </w:rPr>
        <w:t>PGJEM</w:t>
      </w:r>
      <w:r w:rsidR="10EC5F69" w:rsidRPr="00351298">
        <w:rPr>
          <w:rFonts w:ascii="Verdana" w:hAnsi="Verdana"/>
          <w:sz w:val="20"/>
          <w:szCs w:val="20"/>
          <w:lang w:val="es-ES"/>
        </w:rPr>
        <w:t xml:space="preserve"> </w:t>
      </w:r>
      <w:r w:rsidR="38D0179A" w:rsidRPr="00351298">
        <w:rPr>
          <w:rFonts w:ascii="Verdana" w:hAnsi="Verdana"/>
          <w:sz w:val="20"/>
          <w:szCs w:val="20"/>
          <w:lang w:val="es-ES"/>
        </w:rPr>
        <w:t>para que pudiera prestar declaración ante el Ministerio Público, el 25 de febrero de 2002,</w:t>
      </w:r>
      <w:r w:rsidR="326A54FB" w:rsidRPr="00351298">
        <w:rPr>
          <w:rFonts w:ascii="Verdana" w:hAnsi="Verdana"/>
          <w:sz w:val="20"/>
          <w:szCs w:val="20"/>
          <w:lang w:val="es-ES"/>
        </w:rPr>
        <w:t xml:space="preserve"> </w:t>
      </w:r>
      <w:r w:rsidR="38D0179A" w:rsidRPr="00351298">
        <w:rPr>
          <w:rFonts w:ascii="Verdana" w:hAnsi="Verdana"/>
          <w:sz w:val="20"/>
          <w:szCs w:val="20"/>
          <w:lang w:val="es-ES"/>
        </w:rPr>
        <w:t xml:space="preserve">consistió en una detención. Por otra parte, Daniel García tampoco contó con asistencia legal durante </w:t>
      </w:r>
      <w:r w:rsidR="26A39718" w:rsidRPr="00351298">
        <w:rPr>
          <w:rFonts w:ascii="Verdana" w:hAnsi="Verdana"/>
          <w:sz w:val="20"/>
          <w:szCs w:val="20"/>
          <w:lang w:val="es-ES"/>
        </w:rPr>
        <w:t>el período de su arraigo, el cual fue de</w:t>
      </w:r>
      <w:r w:rsidR="38D0179A" w:rsidRPr="00351298">
        <w:rPr>
          <w:rFonts w:ascii="Verdana" w:hAnsi="Verdana"/>
          <w:sz w:val="20"/>
          <w:szCs w:val="20"/>
          <w:lang w:val="es-ES"/>
        </w:rPr>
        <w:t xml:space="preserve"> </w:t>
      </w:r>
      <w:r w:rsidR="00395596">
        <w:rPr>
          <w:rFonts w:ascii="Verdana" w:hAnsi="Verdana"/>
          <w:sz w:val="20"/>
          <w:szCs w:val="20"/>
          <w:lang w:val="es-ES"/>
        </w:rPr>
        <w:t>47</w:t>
      </w:r>
      <w:r w:rsidR="38D0179A" w:rsidRPr="00351298">
        <w:rPr>
          <w:rFonts w:ascii="Verdana" w:hAnsi="Verdana"/>
          <w:sz w:val="20"/>
          <w:szCs w:val="20"/>
          <w:lang w:val="es-ES"/>
        </w:rPr>
        <w:t xml:space="preserve"> días (</w:t>
      </w:r>
      <w:r w:rsidR="38D0179A" w:rsidRPr="7CDFE7CF">
        <w:rPr>
          <w:rFonts w:ascii="Verdana" w:hAnsi="Verdana"/>
          <w:i/>
          <w:iCs/>
          <w:sz w:val="20"/>
          <w:szCs w:val="20"/>
          <w:lang w:val="es-ES"/>
        </w:rPr>
        <w:t>supra</w:t>
      </w:r>
      <w:r w:rsidR="38D0179A" w:rsidRPr="00351298">
        <w:rPr>
          <w:rFonts w:ascii="Verdana" w:hAnsi="Verdana"/>
          <w:sz w:val="20"/>
          <w:szCs w:val="20"/>
          <w:lang w:val="es-ES"/>
        </w:rPr>
        <w:t xml:space="preserve"> párr. </w:t>
      </w:r>
      <w:r w:rsidR="00C43E92">
        <w:rPr>
          <w:rFonts w:ascii="Verdana" w:hAnsi="Verdana"/>
          <w:sz w:val="20"/>
          <w:szCs w:val="20"/>
          <w:lang w:val="es-ES"/>
        </w:rPr>
        <w:t>71</w:t>
      </w:r>
      <w:r w:rsidR="38D0179A" w:rsidRPr="00351298">
        <w:rPr>
          <w:rFonts w:ascii="Verdana" w:hAnsi="Verdana"/>
          <w:sz w:val="20"/>
          <w:szCs w:val="20"/>
          <w:lang w:val="es-ES"/>
        </w:rPr>
        <w:t xml:space="preserve">). </w:t>
      </w:r>
    </w:p>
    <w:p w14:paraId="47D9B69E" w14:textId="5D1AF417" w:rsidR="00AC5685" w:rsidRPr="00351298" w:rsidRDefault="00651071" w:rsidP="0085466C">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En cuanto el defensor de oficio asignado a Reyes Alpízar</w:t>
      </w:r>
      <w:r w:rsidR="006E7E51" w:rsidRPr="00351298">
        <w:rPr>
          <w:rFonts w:ascii="Verdana" w:hAnsi="Verdana"/>
          <w:sz w:val="20"/>
          <w:szCs w:val="20"/>
          <w:lang w:val="es-ES"/>
        </w:rPr>
        <w:t xml:space="preserve">, </w:t>
      </w:r>
      <w:r w:rsidR="00AC5685" w:rsidRPr="00351298">
        <w:rPr>
          <w:rFonts w:ascii="Verdana" w:hAnsi="Verdana"/>
          <w:sz w:val="20"/>
          <w:szCs w:val="20"/>
          <w:lang w:val="es-ES"/>
        </w:rPr>
        <w:t xml:space="preserve">la Corte nota que la Comisión basó su alegato sobre la presunta falta de independencia del defensor designado en el hecho que la Primera Sala Colegiada Penal de Tlalnepantla, al emitir auto formal de prisión de reemplazo dejó constancia de que, el defensor asignado se encontraba “adscrito al órgano investigador”. Sin perjuicio de lo anterior, el Estado subrayó que </w:t>
      </w:r>
      <w:r w:rsidR="006E7E51" w:rsidRPr="00351298">
        <w:rPr>
          <w:rFonts w:ascii="Verdana" w:hAnsi="Verdana"/>
          <w:sz w:val="20"/>
          <w:szCs w:val="20"/>
          <w:lang w:val="es-ES"/>
        </w:rPr>
        <w:t xml:space="preserve">la Defensoría de Oficio del Estado de México, la cual no dependía de la </w:t>
      </w:r>
      <w:r w:rsidR="003C4806" w:rsidRPr="00351298">
        <w:rPr>
          <w:rFonts w:ascii="Verdana" w:hAnsi="Verdana"/>
          <w:sz w:val="20"/>
          <w:szCs w:val="20"/>
          <w:lang w:val="es-ES"/>
        </w:rPr>
        <w:t>PGJEM</w:t>
      </w:r>
      <w:r w:rsidR="006E7E51" w:rsidRPr="00351298">
        <w:rPr>
          <w:rFonts w:ascii="Verdana" w:hAnsi="Verdana"/>
          <w:sz w:val="20"/>
          <w:szCs w:val="20"/>
          <w:lang w:val="es-ES"/>
        </w:rPr>
        <w:t xml:space="preserve"> como lo afirman los representantes y la Comisión, sino de la Secretaría General de Gobierno, tal y como lo establecía la Ley de la Defensoría de Oficio del Estado de México aplicable al momento de los hechos. </w:t>
      </w:r>
      <w:r w:rsidR="00B20E70" w:rsidRPr="00351298">
        <w:rPr>
          <w:rFonts w:ascii="Verdana" w:hAnsi="Verdana"/>
          <w:sz w:val="20"/>
          <w:szCs w:val="20"/>
          <w:lang w:val="es-ES"/>
        </w:rPr>
        <w:t>De conformidad con</w:t>
      </w:r>
      <w:r w:rsidR="0085466C" w:rsidRPr="00351298">
        <w:rPr>
          <w:rFonts w:ascii="Verdana" w:hAnsi="Verdana"/>
          <w:sz w:val="20"/>
          <w:szCs w:val="20"/>
          <w:lang w:val="es-ES"/>
        </w:rPr>
        <w:t xml:space="preserve"> lo anterior, no le queda claro a esta Corte si la expresión “adscripto al órgano investigador” se refiere a una relación de dependencia o si como lo sugiere el Estado se trata de un defensor público, que depende de la Defensoría de Oficio del Estado de México que se encuentra asignado a las agencias del Ministerio Público.</w:t>
      </w:r>
    </w:p>
    <w:p w14:paraId="5BDFCFC4" w14:textId="3D15025A" w:rsidR="00A03C8E" w:rsidRDefault="0AC968DE" w:rsidP="00D04822">
      <w:pPr>
        <w:numPr>
          <w:ilvl w:val="0"/>
          <w:numId w:val="2"/>
        </w:numPr>
        <w:spacing w:before="120" w:after="120"/>
        <w:ind w:left="0" w:firstLine="0"/>
        <w:jc w:val="both"/>
        <w:rPr>
          <w:rFonts w:ascii="Verdana" w:hAnsi="Verdana"/>
          <w:sz w:val="20"/>
          <w:szCs w:val="20"/>
          <w:lang w:val="es-ES"/>
        </w:rPr>
      </w:pPr>
      <w:r w:rsidRPr="006C368E">
        <w:rPr>
          <w:rFonts w:ascii="Verdana" w:hAnsi="Verdana"/>
          <w:sz w:val="20"/>
          <w:szCs w:val="20"/>
          <w:lang w:val="es-ES"/>
        </w:rPr>
        <w:t xml:space="preserve">Por otra parte, la Comisión no se refirió a un acto procesal en particular que no habría llevado a cabo el defensor asignado en </w:t>
      </w:r>
      <w:r w:rsidR="26A39718" w:rsidRPr="006C368E">
        <w:rPr>
          <w:rFonts w:ascii="Verdana" w:hAnsi="Verdana"/>
          <w:sz w:val="20"/>
          <w:szCs w:val="20"/>
          <w:lang w:val="es-ES"/>
        </w:rPr>
        <w:t xml:space="preserve">favor </w:t>
      </w:r>
      <w:r w:rsidRPr="006C368E">
        <w:rPr>
          <w:rFonts w:ascii="Verdana" w:hAnsi="Verdana"/>
          <w:sz w:val="20"/>
          <w:szCs w:val="20"/>
          <w:lang w:val="es-ES"/>
        </w:rPr>
        <w:t xml:space="preserve">de su defendido Reyes Alpízar. </w:t>
      </w:r>
      <w:r w:rsidR="6A165E40" w:rsidRPr="006C368E">
        <w:rPr>
          <w:rFonts w:ascii="Verdana" w:hAnsi="Verdana"/>
          <w:sz w:val="20"/>
          <w:szCs w:val="20"/>
          <w:lang w:val="es-ES"/>
        </w:rPr>
        <w:t>La Comisión i</w:t>
      </w:r>
      <w:r w:rsidRPr="006C368E">
        <w:rPr>
          <w:rFonts w:ascii="Verdana" w:hAnsi="Verdana"/>
          <w:sz w:val="20"/>
          <w:szCs w:val="20"/>
          <w:lang w:val="es-ES"/>
        </w:rPr>
        <w:t>ndicó</w:t>
      </w:r>
      <w:r w:rsidR="26A39718" w:rsidRPr="006C368E">
        <w:rPr>
          <w:rFonts w:ascii="Verdana" w:hAnsi="Verdana"/>
          <w:sz w:val="20"/>
          <w:szCs w:val="20"/>
          <w:lang w:val="es-ES"/>
        </w:rPr>
        <w:t>,</w:t>
      </w:r>
      <w:r w:rsidRPr="006C368E">
        <w:rPr>
          <w:rFonts w:ascii="Verdana" w:hAnsi="Verdana"/>
          <w:sz w:val="20"/>
          <w:szCs w:val="20"/>
          <w:lang w:val="es-ES"/>
        </w:rPr>
        <w:t xml:space="preserve"> de forma genérica</w:t>
      </w:r>
      <w:r w:rsidR="26A39718" w:rsidRPr="006C368E">
        <w:rPr>
          <w:rFonts w:ascii="Verdana" w:hAnsi="Verdana"/>
          <w:sz w:val="20"/>
          <w:szCs w:val="20"/>
          <w:lang w:val="es-ES"/>
        </w:rPr>
        <w:t>,</w:t>
      </w:r>
      <w:r w:rsidRPr="006C368E">
        <w:rPr>
          <w:rFonts w:ascii="Verdana" w:hAnsi="Verdana"/>
          <w:sz w:val="20"/>
          <w:szCs w:val="20"/>
          <w:lang w:val="es-ES"/>
        </w:rPr>
        <w:t xml:space="preserve"> que el Estado no ha acreditado que el defensor de Reyes Alpízar lo hubiese asesorado debidamente sobre su situación jurídica, o bien, emprendido desde ese momento actos tendientes a su defensa, como lo era el cuestionamiento de la legalidad o arbitrariedad de la detención. </w:t>
      </w:r>
      <w:r w:rsidR="26A39718" w:rsidRPr="006C368E">
        <w:rPr>
          <w:rFonts w:ascii="Verdana" w:hAnsi="Verdana"/>
          <w:sz w:val="20"/>
          <w:szCs w:val="20"/>
          <w:lang w:val="es-ES"/>
        </w:rPr>
        <w:t>Sin perjuicio de lo señalado</w:t>
      </w:r>
      <w:r w:rsidR="57CC9AEE" w:rsidRPr="006C368E">
        <w:rPr>
          <w:rFonts w:ascii="Verdana" w:hAnsi="Verdana"/>
          <w:sz w:val="20"/>
          <w:szCs w:val="20"/>
          <w:lang w:val="es-ES"/>
        </w:rPr>
        <w:t xml:space="preserve">, durante la audiencia pública, Daniel García explicó que “el 80 por ciento de esos recursos [que presentó] están firmados únicamente por [él] y por Reyes Alpízar, [siendo que] la defensa pública nunca presentó recurso </w:t>
      </w:r>
      <w:r w:rsidR="57CC9AEE" w:rsidRPr="003B0CC2">
        <w:rPr>
          <w:rFonts w:ascii="Verdana" w:hAnsi="Verdana"/>
          <w:sz w:val="20"/>
          <w:szCs w:val="20"/>
          <w:lang w:val="es-ES"/>
        </w:rPr>
        <w:t>alguno y […] no existe la causa penal una sola promoción firmada o solicitada por la defensa pública todo lo [hicieron] Reyes Alpízar y [él]”</w:t>
      </w:r>
      <w:r w:rsidR="00B20E70" w:rsidRPr="1D64B15C">
        <w:rPr>
          <w:rStyle w:val="Refdenotaalpie"/>
          <w:rFonts w:ascii="Verdana" w:eastAsia="Cambria" w:hAnsi="Verdana"/>
          <w:sz w:val="20"/>
          <w:lang w:val="es-ES"/>
        </w:rPr>
        <w:footnoteReference w:id="253"/>
      </w:r>
      <w:r w:rsidR="57CC9AEE" w:rsidRPr="003B0CC2">
        <w:rPr>
          <w:rFonts w:ascii="Verdana" w:hAnsi="Verdana"/>
          <w:sz w:val="20"/>
          <w:szCs w:val="20"/>
          <w:lang w:val="es-ES"/>
        </w:rPr>
        <w:t xml:space="preserve">. </w:t>
      </w:r>
      <w:r w:rsidR="26A39718" w:rsidRPr="003B0CC2">
        <w:rPr>
          <w:rFonts w:ascii="Verdana" w:hAnsi="Verdana"/>
          <w:sz w:val="20"/>
          <w:szCs w:val="20"/>
          <w:lang w:val="es-ES"/>
        </w:rPr>
        <w:t xml:space="preserve">Esa información no fue controvertida por el Estado. </w:t>
      </w:r>
      <w:r w:rsidR="1144FFD4" w:rsidRPr="003B0CC2">
        <w:rPr>
          <w:rFonts w:ascii="Verdana" w:hAnsi="Verdana"/>
          <w:sz w:val="20"/>
          <w:szCs w:val="20"/>
          <w:lang w:val="es-ES"/>
        </w:rPr>
        <w:t xml:space="preserve">Por otra parte, Reyes Alpízar </w:t>
      </w:r>
      <w:r w:rsidR="1144FFD4" w:rsidRPr="003B0CC2">
        <w:rPr>
          <w:rFonts w:ascii="Verdana" w:hAnsi="Verdana"/>
          <w:sz w:val="20"/>
          <w:szCs w:val="20"/>
          <w:lang w:val="es-ES"/>
        </w:rPr>
        <w:lastRenderedPageBreak/>
        <w:t>denunció que su defensor público habría estado presente durante los hechos</w:t>
      </w:r>
      <w:r w:rsidR="1144FFD4" w:rsidRPr="006C368E">
        <w:rPr>
          <w:rFonts w:ascii="Verdana" w:hAnsi="Verdana"/>
          <w:sz w:val="20"/>
          <w:szCs w:val="20"/>
          <w:lang w:val="es-ES"/>
        </w:rPr>
        <w:t xml:space="preserve"> de tortura de los cuales fue objeto y que estuvo presente cuando lo obligaron a firmar documentos</w:t>
      </w:r>
      <w:r w:rsidR="00357209" w:rsidRPr="1D64B15C">
        <w:rPr>
          <w:rStyle w:val="Refdenotaalpie"/>
          <w:rFonts w:ascii="Verdana" w:eastAsia="Cambria" w:hAnsi="Verdana"/>
          <w:sz w:val="20"/>
          <w:lang w:val="es-ES"/>
        </w:rPr>
        <w:footnoteReference w:id="254"/>
      </w:r>
      <w:r w:rsidR="1144FFD4" w:rsidRPr="006C368E">
        <w:rPr>
          <w:rFonts w:ascii="Verdana" w:hAnsi="Verdana"/>
          <w:sz w:val="20"/>
          <w:szCs w:val="20"/>
          <w:lang w:val="es-ES"/>
        </w:rPr>
        <w:t xml:space="preserve">. </w:t>
      </w:r>
    </w:p>
    <w:p w14:paraId="52CB3066" w14:textId="0C4D66BD" w:rsidR="006C368E" w:rsidRPr="00D04822" w:rsidRDefault="006C368E">
      <w:pPr>
        <w:numPr>
          <w:ilvl w:val="0"/>
          <w:numId w:val="2"/>
        </w:numPr>
        <w:spacing w:before="120" w:after="120"/>
        <w:ind w:left="0" w:firstLine="0"/>
        <w:jc w:val="both"/>
        <w:rPr>
          <w:rFonts w:ascii="Verdana" w:hAnsi="Verdana"/>
          <w:sz w:val="20"/>
          <w:szCs w:val="20"/>
          <w:lang w:val="es-ES"/>
        </w:rPr>
      </w:pPr>
      <w:r w:rsidRPr="00D04822">
        <w:rPr>
          <w:rFonts w:ascii="Verdana" w:hAnsi="Verdana"/>
          <w:sz w:val="20"/>
          <w:szCs w:val="20"/>
          <w:lang w:val="es-ES"/>
        </w:rPr>
        <w:t xml:space="preserve">Con relación a lo anterior, </w:t>
      </w:r>
      <w:r w:rsidR="00C15460" w:rsidRPr="00D04822">
        <w:rPr>
          <w:rFonts w:ascii="Verdana" w:hAnsi="Verdana"/>
          <w:sz w:val="20"/>
          <w:szCs w:val="20"/>
          <w:lang w:val="es-ES"/>
        </w:rPr>
        <w:t>este Tribunal advierte que efectivamente, una</w:t>
      </w:r>
      <w:r w:rsidRPr="00D04822">
        <w:rPr>
          <w:rFonts w:ascii="Verdana" w:hAnsi="Verdana"/>
          <w:sz w:val="20"/>
          <w:szCs w:val="20"/>
          <w:lang w:val="es-ES"/>
        </w:rPr>
        <w:t xml:space="preserve"> parte de los recursos incoados y de la actividad procesal fueron presentados directamente por las presuntas víctimas</w:t>
      </w:r>
      <w:r w:rsidR="00C169E4" w:rsidRPr="00D04822">
        <w:rPr>
          <w:rStyle w:val="Refdenotaalpie"/>
          <w:rFonts w:ascii="Verdana" w:eastAsia="Cambria" w:hAnsi="Verdana"/>
          <w:sz w:val="20"/>
          <w:lang w:val="es-ES"/>
        </w:rPr>
        <w:footnoteReference w:id="255"/>
      </w:r>
      <w:r w:rsidR="00C15460" w:rsidRPr="00D04822">
        <w:rPr>
          <w:rFonts w:ascii="Verdana" w:hAnsi="Verdana"/>
          <w:sz w:val="20"/>
          <w:szCs w:val="20"/>
          <w:lang w:val="es-ES"/>
        </w:rPr>
        <w:t>. Sin embargo,</w:t>
      </w:r>
      <w:r w:rsidR="00C169E4" w:rsidRPr="00D04822">
        <w:rPr>
          <w:rFonts w:ascii="Verdana" w:hAnsi="Verdana"/>
          <w:sz w:val="20"/>
          <w:szCs w:val="20"/>
          <w:lang w:val="es-ES"/>
        </w:rPr>
        <w:t xml:space="preserve"> </w:t>
      </w:r>
      <w:r w:rsidR="00C15460" w:rsidRPr="00D04822">
        <w:rPr>
          <w:rFonts w:ascii="Verdana" w:hAnsi="Verdana"/>
          <w:sz w:val="20"/>
          <w:szCs w:val="20"/>
          <w:lang w:val="es-ES"/>
        </w:rPr>
        <w:t>ni la Comisión ni los representantes explicaron</w:t>
      </w:r>
      <w:r w:rsidR="00C169E4" w:rsidRPr="00D04822">
        <w:rPr>
          <w:rFonts w:ascii="Verdana" w:hAnsi="Verdana"/>
          <w:sz w:val="20"/>
          <w:szCs w:val="20"/>
          <w:lang w:val="es-ES"/>
        </w:rPr>
        <w:t xml:space="preserve"> por qué motivo el hecho que las presuntas v</w:t>
      </w:r>
      <w:r w:rsidR="00F26098" w:rsidRPr="00D04822">
        <w:rPr>
          <w:rFonts w:ascii="Verdana" w:hAnsi="Verdana"/>
          <w:sz w:val="20"/>
          <w:szCs w:val="20"/>
          <w:lang w:val="es-ES"/>
        </w:rPr>
        <w:t>í</w:t>
      </w:r>
      <w:r w:rsidR="00C169E4" w:rsidRPr="00D04822">
        <w:rPr>
          <w:rFonts w:ascii="Verdana" w:hAnsi="Verdana"/>
          <w:sz w:val="20"/>
          <w:szCs w:val="20"/>
          <w:lang w:val="es-ES"/>
        </w:rPr>
        <w:t xml:space="preserve">ctimas presentaran esos recursos de forma directa </w:t>
      </w:r>
      <w:r w:rsidR="0035690C" w:rsidRPr="00D04822">
        <w:rPr>
          <w:rFonts w:ascii="Verdana" w:hAnsi="Verdana"/>
          <w:sz w:val="20"/>
          <w:szCs w:val="20"/>
          <w:lang w:val="es-ES"/>
        </w:rPr>
        <w:t>resultó</w:t>
      </w:r>
      <w:r w:rsidR="00C169E4" w:rsidRPr="00D04822">
        <w:rPr>
          <w:rFonts w:ascii="Verdana" w:hAnsi="Verdana"/>
          <w:sz w:val="20"/>
          <w:szCs w:val="20"/>
          <w:lang w:val="es-ES"/>
        </w:rPr>
        <w:t xml:space="preserve"> </w:t>
      </w:r>
      <w:r w:rsidR="0035690C" w:rsidRPr="00D04822">
        <w:rPr>
          <w:rFonts w:ascii="Verdana" w:hAnsi="Verdana"/>
          <w:sz w:val="20"/>
          <w:szCs w:val="20"/>
          <w:lang w:val="es-ES"/>
        </w:rPr>
        <w:t>en</w:t>
      </w:r>
      <w:r w:rsidR="00C169E4" w:rsidRPr="00D04822">
        <w:rPr>
          <w:rFonts w:ascii="Verdana" w:hAnsi="Verdana"/>
          <w:sz w:val="20"/>
          <w:szCs w:val="20"/>
          <w:lang w:val="es-ES"/>
        </w:rPr>
        <w:t xml:space="preserve"> una afectación </w:t>
      </w:r>
      <w:r w:rsidR="003B0CC2" w:rsidRPr="00D04822">
        <w:rPr>
          <w:rFonts w:ascii="Verdana" w:hAnsi="Verdana"/>
          <w:sz w:val="20"/>
          <w:szCs w:val="20"/>
          <w:lang w:val="es-ES"/>
        </w:rPr>
        <w:t>a su</w:t>
      </w:r>
      <w:r w:rsidR="00C169E4" w:rsidRPr="00D04822">
        <w:rPr>
          <w:rFonts w:ascii="Verdana" w:hAnsi="Verdana"/>
          <w:sz w:val="20"/>
          <w:szCs w:val="20"/>
          <w:lang w:val="es-ES"/>
        </w:rPr>
        <w:t xml:space="preserve"> derecho de defensa. Tampoco explicaron</w:t>
      </w:r>
      <w:r w:rsidR="00C15460" w:rsidRPr="00D04822">
        <w:rPr>
          <w:rFonts w:ascii="Verdana" w:hAnsi="Verdana"/>
          <w:sz w:val="20"/>
          <w:szCs w:val="20"/>
          <w:lang w:val="es-ES"/>
        </w:rPr>
        <w:t xml:space="preserve"> de qué modo </w:t>
      </w:r>
      <w:r w:rsidR="0035690C" w:rsidRPr="00D04822">
        <w:rPr>
          <w:rFonts w:ascii="Verdana" w:hAnsi="Verdana"/>
          <w:sz w:val="20"/>
          <w:szCs w:val="20"/>
          <w:lang w:val="es-ES"/>
        </w:rPr>
        <w:t>las</w:t>
      </w:r>
      <w:r w:rsidR="00C15460" w:rsidRPr="00D04822">
        <w:rPr>
          <w:rFonts w:ascii="Verdana" w:hAnsi="Verdana"/>
          <w:sz w:val="20"/>
          <w:szCs w:val="20"/>
          <w:lang w:val="es-ES"/>
        </w:rPr>
        <w:t xml:space="preserve"> </w:t>
      </w:r>
      <w:r w:rsidR="0035690C" w:rsidRPr="00D04822">
        <w:rPr>
          <w:rFonts w:ascii="Verdana" w:hAnsi="Verdana"/>
          <w:sz w:val="20"/>
          <w:szCs w:val="20"/>
          <w:lang w:val="es-ES"/>
        </w:rPr>
        <w:t>actuaciones</w:t>
      </w:r>
      <w:r w:rsidR="00C15460" w:rsidRPr="00D04822">
        <w:rPr>
          <w:rFonts w:ascii="Verdana" w:hAnsi="Verdana"/>
          <w:sz w:val="20"/>
          <w:szCs w:val="20"/>
          <w:lang w:val="es-ES"/>
        </w:rPr>
        <w:t xml:space="preserve"> </w:t>
      </w:r>
      <w:r w:rsidR="0035690C" w:rsidRPr="00D04822">
        <w:rPr>
          <w:rFonts w:ascii="Verdana" w:hAnsi="Verdana"/>
          <w:sz w:val="20"/>
          <w:szCs w:val="20"/>
          <w:lang w:val="es-ES"/>
        </w:rPr>
        <w:t>de</w:t>
      </w:r>
      <w:r w:rsidR="00C15460" w:rsidRPr="00D04822">
        <w:rPr>
          <w:rFonts w:ascii="Verdana" w:hAnsi="Verdana"/>
          <w:sz w:val="20"/>
          <w:szCs w:val="20"/>
          <w:lang w:val="es-ES"/>
        </w:rPr>
        <w:t xml:space="preserve"> los defensores de oficio asignados constituy</w:t>
      </w:r>
      <w:r w:rsidR="00C169E4" w:rsidRPr="00D04822">
        <w:rPr>
          <w:rFonts w:ascii="Verdana" w:hAnsi="Verdana"/>
          <w:sz w:val="20"/>
          <w:szCs w:val="20"/>
          <w:lang w:val="es-ES"/>
        </w:rPr>
        <w:t>eron</w:t>
      </w:r>
      <w:r w:rsidR="00C15460" w:rsidRPr="00D04822">
        <w:rPr>
          <w:rFonts w:ascii="Verdana" w:hAnsi="Verdana"/>
          <w:sz w:val="20"/>
          <w:szCs w:val="20"/>
          <w:lang w:val="es-ES"/>
        </w:rPr>
        <w:t xml:space="preserve"> una negligencia inexcusable o una falla manifiesta en el ejercicio de la defensa que tuvo o puede tener un efecto decisivo en contra de los intereses </w:t>
      </w:r>
      <w:r w:rsidR="0035690C" w:rsidRPr="00D04822">
        <w:rPr>
          <w:rFonts w:ascii="Verdana" w:hAnsi="Verdana"/>
          <w:sz w:val="20"/>
          <w:szCs w:val="20"/>
          <w:lang w:val="es-ES"/>
        </w:rPr>
        <w:t>de los</w:t>
      </w:r>
      <w:r w:rsidR="00C15460" w:rsidRPr="00D04822">
        <w:rPr>
          <w:rFonts w:ascii="Verdana" w:hAnsi="Verdana"/>
          <w:sz w:val="20"/>
          <w:szCs w:val="20"/>
          <w:lang w:val="es-ES"/>
        </w:rPr>
        <w:t xml:space="preserve"> imputado</w:t>
      </w:r>
      <w:r w:rsidR="0035690C" w:rsidRPr="00D04822">
        <w:rPr>
          <w:rFonts w:ascii="Verdana" w:hAnsi="Verdana"/>
          <w:sz w:val="20"/>
          <w:szCs w:val="20"/>
          <w:lang w:val="es-ES"/>
        </w:rPr>
        <w:t>s</w:t>
      </w:r>
      <w:r w:rsidR="00C15460" w:rsidRPr="00D04822">
        <w:rPr>
          <w:rStyle w:val="Refdenotaalpie"/>
          <w:rFonts w:ascii="Verdana" w:eastAsia="Cambria" w:hAnsi="Verdana"/>
          <w:sz w:val="20"/>
          <w:lang w:val="es-ES"/>
        </w:rPr>
        <w:footnoteReference w:id="256"/>
      </w:r>
      <w:r w:rsidR="00C15460" w:rsidRPr="00D04822">
        <w:rPr>
          <w:rFonts w:ascii="Verdana" w:hAnsi="Verdana"/>
          <w:sz w:val="20"/>
          <w:szCs w:val="20"/>
          <w:lang w:val="es-ES"/>
        </w:rPr>
        <w:t>.</w:t>
      </w:r>
      <w:r w:rsidR="0035690C" w:rsidRPr="00D04822">
        <w:rPr>
          <w:rFonts w:ascii="Verdana" w:hAnsi="Verdana"/>
          <w:sz w:val="20"/>
          <w:szCs w:val="20"/>
          <w:lang w:val="es-ES"/>
        </w:rPr>
        <w:t xml:space="preserve"> En cuanto a la alegada participación del defensor de oficio en los actos de coacción en contra de Reyes Alpízar, este Tribunal encuentra que se trata de un aspecto que debe</w:t>
      </w:r>
      <w:r w:rsidR="003B0CC2" w:rsidRPr="00D04822">
        <w:rPr>
          <w:rFonts w:ascii="Verdana" w:hAnsi="Verdana"/>
          <w:sz w:val="20"/>
          <w:szCs w:val="20"/>
          <w:lang w:val="es-ES"/>
        </w:rPr>
        <w:t xml:space="preserve"> ser</w:t>
      </w:r>
      <w:r w:rsidR="0035690C" w:rsidRPr="00D04822">
        <w:rPr>
          <w:rFonts w:ascii="Verdana" w:hAnsi="Verdana"/>
          <w:sz w:val="20"/>
          <w:szCs w:val="20"/>
          <w:lang w:val="es-ES"/>
        </w:rPr>
        <w:t xml:space="preserve"> toma</w:t>
      </w:r>
      <w:r w:rsidR="003B0CC2" w:rsidRPr="00D04822">
        <w:rPr>
          <w:rFonts w:ascii="Verdana" w:hAnsi="Verdana"/>
          <w:sz w:val="20"/>
          <w:szCs w:val="20"/>
          <w:lang w:val="es-ES"/>
        </w:rPr>
        <w:t>do</w:t>
      </w:r>
      <w:r w:rsidR="0035690C" w:rsidRPr="00D04822">
        <w:rPr>
          <w:rFonts w:ascii="Verdana" w:hAnsi="Verdana"/>
          <w:sz w:val="20"/>
          <w:szCs w:val="20"/>
          <w:lang w:val="es-ES"/>
        </w:rPr>
        <w:t xml:space="preserve"> en cuenta </w:t>
      </w:r>
      <w:r w:rsidR="003B0CC2" w:rsidRPr="00D04822">
        <w:rPr>
          <w:rFonts w:ascii="Verdana" w:hAnsi="Verdana"/>
          <w:sz w:val="20"/>
          <w:szCs w:val="20"/>
          <w:lang w:val="es-ES"/>
        </w:rPr>
        <w:t xml:space="preserve">por </w:t>
      </w:r>
      <w:r w:rsidR="0035690C" w:rsidRPr="00D04822">
        <w:rPr>
          <w:rFonts w:ascii="Verdana" w:hAnsi="Verdana"/>
          <w:sz w:val="20"/>
          <w:szCs w:val="20"/>
          <w:lang w:val="es-ES"/>
        </w:rPr>
        <w:t xml:space="preserve">las autoridades </w:t>
      </w:r>
      <w:r w:rsidR="003B0CC2" w:rsidRPr="00D04822">
        <w:rPr>
          <w:rFonts w:ascii="Verdana" w:hAnsi="Verdana"/>
          <w:sz w:val="20"/>
          <w:szCs w:val="20"/>
          <w:lang w:val="es-ES"/>
        </w:rPr>
        <w:t>a la hora de emprender investigaciones sobre los alegados hechos de tortura, sin embargo, no constituye en sí mismo, a falta de otros elementos de prueba adicionales, una evidencia sobre una eventual afectación al derecho de defensa de Reyes Alpízar</w:t>
      </w:r>
      <w:r w:rsidR="0035690C" w:rsidRPr="00D04822">
        <w:rPr>
          <w:rFonts w:ascii="Verdana" w:hAnsi="Verdana"/>
          <w:sz w:val="20"/>
          <w:szCs w:val="20"/>
          <w:lang w:val="es-ES"/>
        </w:rPr>
        <w:t xml:space="preserve">. </w:t>
      </w:r>
    </w:p>
    <w:p w14:paraId="18C877AE" w14:textId="3C22B9F1" w:rsidR="00D563D4" w:rsidRPr="00D04822" w:rsidRDefault="006F1D9B" w:rsidP="006C368E">
      <w:pPr>
        <w:numPr>
          <w:ilvl w:val="0"/>
          <w:numId w:val="2"/>
        </w:numPr>
        <w:spacing w:before="120" w:after="120"/>
        <w:ind w:left="0" w:firstLine="0"/>
        <w:jc w:val="both"/>
        <w:rPr>
          <w:rFonts w:ascii="Verdana" w:hAnsi="Verdana"/>
          <w:sz w:val="20"/>
          <w:szCs w:val="20"/>
          <w:lang w:val="es-ES"/>
        </w:rPr>
      </w:pPr>
      <w:r w:rsidRPr="00D04822">
        <w:rPr>
          <w:rFonts w:ascii="Verdana" w:hAnsi="Verdana"/>
          <w:sz w:val="20"/>
          <w:szCs w:val="20"/>
          <w:lang w:val="es-ES"/>
        </w:rPr>
        <w:t xml:space="preserve">En consecuencia, </w:t>
      </w:r>
      <w:r w:rsidR="00F67246" w:rsidRPr="00D04822">
        <w:rPr>
          <w:rFonts w:ascii="Verdana" w:hAnsi="Verdana"/>
          <w:sz w:val="20"/>
          <w:szCs w:val="20"/>
          <w:lang w:val="es-ES"/>
        </w:rPr>
        <w:t>tomando</w:t>
      </w:r>
      <w:r w:rsidR="003B0CC2" w:rsidRPr="00D04822">
        <w:rPr>
          <w:rFonts w:ascii="Verdana" w:hAnsi="Verdana"/>
          <w:sz w:val="20"/>
          <w:szCs w:val="20"/>
          <w:lang w:val="es-ES"/>
        </w:rPr>
        <w:t xml:space="preserve"> en cuenta lo expresado en los párrafos anteriores,</w:t>
      </w:r>
      <w:r w:rsidR="00F67246" w:rsidRPr="00D04822">
        <w:rPr>
          <w:rFonts w:ascii="Verdana" w:hAnsi="Verdana"/>
          <w:sz w:val="20"/>
          <w:szCs w:val="20"/>
          <w:lang w:val="es-ES"/>
        </w:rPr>
        <w:t xml:space="preserve"> </w:t>
      </w:r>
      <w:r w:rsidR="003B0CC2" w:rsidRPr="00D04822">
        <w:rPr>
          <w:rFonts w:ascii="Verdana" w:hAnsi="Verdana"/>
          <w:sz w:val="20"/>
          <w:szCs w:val="20"/>
          <w:lang w:val="es-ES"/>
        </w:rPr>
        <w:t xml:space="preserve">esta Corte encuentra que el Estado vulneró el derecho de defensa contenido en los artículos 8.2.d y e de la Convención Americana en perjuicio de Daniel García </w:t>
      </w:r>
      <w:r w:rsidR="005E45C6" w:rsidRPr="00D04822">
        <w:rPr>
          <w:rFonts w:ascii="Verdana" w:hAnsi="Verdana"/>
          <w:sz w:val="20"/>
          <w:szCs w:val="20"/>
          <w:lang w:val="es-ES"/>
        </w:rPr>
        <w:t>en la medida que éste</w:t>
      </w:r>
      <w:r w:rsidR="003B0CC2" w:rsidRPr="00D04822">
        <w:rPr>
          <w:rFonts w:ascii="Verdana" w:hAnsi="Verdana"/>
          <w:sz w:val="20"/>
          <w:szCs w:val="20"/>
          <w:lang w:val="es-ES"/>
        </w:rPr>
        <w:t xml:space="preserve"> </w:t>
      </w:r>
      <w:r w:rsidR="00F67246" w:rsidRPr="00D04822">
        <w:rPr>
          <w:rFonts w:ascii="Verdana" w:hAnsi="Verdana"/>
          <w:sz w:val="20"/>
          <w:szCs w:val="20"/>
          <w:lang w:val="es-ES"/>
        </w:rPr>
        <w:t>no contó con un defensor o una defensora durante las primeras etapas de su detención, y arraigo</w:t>
      </w:r>
      <w:r w:rsidR="003B0CC2" w:rsidRPr="00C43E92">
        <w:rPr>
          <w:rFonts w:ascii="Verdana" w:hAnsi="Verdana"/>
          <w:sz w:val="20"/>
          <w:szCs w:val="20"/>
          <w:lang w:val="es-ES"/>
        </w:rPr>
        <w:t>.</w:t>
      </w:r>
      <w:r w:rsidR="00C43E92" w:rsidRPr="00C43E92">
        <w:rPr>
          <w:rFonts w:ascii="Verdana" w:hAnsi="Verdana"/>
          <w:sz w:val="20"/>
          <w:szCs w:val="20"/>
          <w:lang w:val="es-ES"/>
        </w:rPr>
        <w:t xml:space="preserve"> </w:t>
      </w:r>
      <w:r w:rsidR="003B0CC2" w:rsidRPr="00D04822">
        <w:rPr>
          <w:rFonts w:ascii="Verdana" w:hAnsi="Verdana"/>
          <w:sz w:val="20"/>
          <w:szCs w:val="20"/>
          <w:lang w:val="es-ES"/>
        </w:rPr>
        <w:t>Por otra parte, la Corte carece de elementos suficientes como para emitir un pronunciamiento en torno a la alegada vulneración al derecho de defensa en perjuicio de Reyes Alpízar</w:t>
      </w:r>
      <w:r w:rsidR="003B0CC2" w:rsidRPr="00C43E92">
        <w:rPr>
          <w:rFonts w:ascii="Verdana" w:hAnsi="Verdana"/>
          <w:sz w:val="20"/>
          <w:szCs w:val="20"/>
          <w:lang w:val="es-ES"/>
        </w:rPr>
        <w:t>.</w:t>
      </w:r>
    </w:p>
    <w:p w14:paraId="152BD91A" w14:textId="071B96F0" w:rsidR="00E24E24" w:rsidRPr="00351298" w:rsidRDefault="005A4AE3" w:rsidP="1D64B15C">
      <w:pPr>
        <w:numPr>
          <w:ilvl w:val="0"/>
          <w:numId w:val="2"/>
        </w:numPr>
        <w:spacing w:before="120" w:after="120"/>
        <w:ind w:left="0" w:firstLine="0"/>
        <w:jc w:val="both"/>
        <w:rPr>
          <w:rFonts w:ascii="Verdana" w:hAnsi="Verdana"/>
          <w:b/>
          <w:bCs/>
          <w:snapToGrid w:val="0"/>
          <w:spacing w:val="-2"/>
          <w:sz w:val="20"/>
          <w:szCs w:val="20"/>
          <w:lang w:eastAsia="es-ES"/>
        </w:rPr>
      </w:pPr>
      <w:r w:rsidRPr="1D64B15C">
        <w:rPr>
          <w:rFonts w:ascii="Verdana" w:hAnsi="Verdana"/>
          <w:sz w:val="20"/>
          <w:szCs w:val="20"/>
          <w:lang w:val="es-ES"/>
        </w:rPr>
        <w:t>En cuanto al alegato de violación del derecho de la defensa de interrogar y obtener la comparecencia de otras personas que puedan arrojar luz sobre los hechos, la Comisión y los representantes indicaron que</w:t>
      </w:r>
      <w:r>
        <w:rPr>
          <w:rFonts w:ascii="Verdana" w:hAnsi="Verdana"/>
          <w:sz w:val="20"/>
          <w:szCs w:val="20"/>
          <w:lang w:val="es-ES"/>
        </w:rPr>
        <w:t>,</w:t>
      </w:r>
      <w:r w:rsidRPr="1D64B15C">
        <w:rPr>
          <w:rFonts w:ascii="Verdana" w:hAnsi="Verdana"/>
          <w:sz w:val="20"/>
          <w:szCs w:val="20"/>
          <w:lang w:val="es-ES"/>
        </w:rPr>
        <w:t xml:space="preserve"> en su primera audiencia ante el Juez Quinto Penal, el defensor de Daniel García solicitó se citara a declarar al Subprocurador de Justicia R.F, a fin de “demostrar los hechos con los que lo relaciona el inculpado” pero el Juez Quinto Penal no admitió dicho medio de prueba porque no existían indicios “que permita[n] establecer […] lo aseverado por el inculpado”, considerando que “las actuaciones ministeriales se encuentran revestidas de las prerrogativas de haber sido realizadas por autoridad pública”, por lo que hacían “prueba plena salvo prueba en contrario”</w:t>
      </w:r>
      <w:r w:rsidR="7BD76247" w:rsidRPr="1D64B15C">
        <w:rPr>
          <w:rFonts w:ascii="Verdana" w:hAnsi="Verdana"/>
          <w:sz w:val="20"/>
          <w:szCs w:val="20"/>
          <w:lang w:val="es-ES"/>
        </w:rPr>
        <w:t>.</w:t>
      </w:r>
      <w:r w:rsidR="384C5587" w:rsidRPr="1D64B15C">
        <w:rPr>
          <w:rFonts w:ascii="Verdana" w:hAnsi="Verdana"/>
          <w:sz w:val="20"/>
          <w:szCs w:val="20"/>
          <w:lang w:val="es-ES"/>
        </w:rPr>
        <w:t xml:space="preserve"> Sobre este punto, el Estado indicó que </w:t>
      </w:r>
      <w:r w:rsidR="52D387BB" w:rsidRPr="1D64B15C">
        <w:rPr>
          <w:rFonts w:ascii="Verdana" w:hAnsi="Verdana"/>
          <w:sz w:val="20"/>
          <w:szCs w:val="20"/>
          <w:lang w:val="es-ES"/>
        </w:rPr>
        <w:t xml:space="preserve">la </w:t>
      </w:r>
      <w:r w:rsidR="384C5587" w:rsidRPr="1D64B15C">
        <w:rPr>
          <w:rFonts w:ascii="Verdana" w:hAnsi="Verdana"/>
          <w:sz w:val="20"/>
          <w:szCs w:val="20"/>
          <w:lang w:val="es-ES"/>
        </w:rPr>
        <w:t xml:space="preserve">falta de comparecencia del Subprocurador fue subsanada a través de los medios de defensa interpuestos por las presuntas víctimas, los cuales dieron lugar a la investigación por los alegados actos de tortura, la cual incluyó el testimonio del entonces Subprocurador. </w:t>
      </w:r>
    </w:p>
    <w:p w14:paraId="54117A97" w14:textId="455FC31E" w:rsidR="00E24E24" w:rsidRPr="00F31F8B" w:rsidRDefault="003E6669" w:rsidP="00D73463">
      <w:pPr>
        <w:numPr>
          <w:ilvl w:val="0"/>
          <w:numId w:val="2"/>
        </w:numPr>
        <w:spacing w:before="120" w:after="120"/>
        <w:ind w:left="0" w:firstLine="0"/>
        <w:jc w:val="both"/>
        <w:rPr>
          <w:rFonts w:ascii="Verdana" w:hAnsi="Verdana"/>
          <w:b/>
          <w:snapToGrid w:val="0"/>
          <w:spacing w:val="-2"/>
          <w:sz w:val="20"/>
          <w:szCs w:val="20"/>
          <w:lang w:eastAsia="es-ES"/>
        </w:rPr>
      </w:pPr>
      <w:r w:rsidRPr="00351298">
        <w:rPr>
          <w:rFonts w:ascii="Verdana" w:hAnsi="Verdana"/>
          <w:sz w:val="20"/>
          <w:szCs w:val="20"/>
          <w:lang w:val="es-ES"/>
        </w:rPr>
        <w:t>En relación con lo señalado</w:t>
      </w:r>
      <w:r w:rsidR="00F67246" w:rsidRPr="00351298">
        <w:rPr>
          <w:rFonts w:ascii="Verdana" w:hAnsi="Verdana"/>
          <w:sz w:val="20"/>
          <w:szCs w:val="20"/>
          <w:lang w:val="es-ES"/>
        </w:rPr>
        <w:t xml:space="preserve">, </w:t>
      </w:r>
      <w:r w:rsidR="009A4B26" w:rsidRPr="00351298">
        <w:rPr>
          <w:rFonts w:ascii="Verdana" w:hAnsi="Verdana"/>
          <w:sz w:val="20"/>
          <w:szCs w:val="20"/>
          <w:lang w:val="es-ES"/>
        </w:rPr>
        <w:t xml:space="preserve">corresponde recordar que Daniel García Rodríguez afirmó haber sido coaccionado durante la época en la cual estuvo arraigado en presencia del Subprocurador en Jefe. Asimismo, los malos tratos y hechos de tortura en </w:t>
      </w:r>
      <w:r w:rsidR="009A4B26" w:rsidRPr="00F31F8B">
        <w:rPr>
          <w:rFonts w:ascii="Verdana" w:hAnsi="Verdana"/>
          <w:sz w:val="20"/>
          <w:szCs w:val="20"/>
          <w:lang w:val="es-ES"/>
        </w:rPr>
        <w:t>contra de Daniel García fueron abordados en esta Sentencia y se dieron por acredita</w:t>
      </w:r>
      <w:r w:rsidR="00F647AA" w:rsidRPr="00F31F8B">
        <w:rPr>
          <w:rFonts w:ascii="Verdana" w:hAnsi="Verdana"/>
          <w:sz w:val="20"/>
          <w:szCs w:val="20"/>
          <w:lang w:val="es-ES"/>
        </w:rPr>
        <w:t>do</w:t>
      </w:r>
      <w:r w:rsidR="009A4B26" w:rsidRPr="00F31F8B">
        <w:rPr>
          <w:rFonts w:ascii="Verdana" w:hAnsi="Verdana"/>
          <w:sz w:val="20"/>
          <w:szCs w:val="20"/>
          <w:lang w:val="es-ES"/>
        </w:rPr>
        <w:t>s (</w:t>
      </w:r>
      <w:r w:rsidR="009A4B26" w:rsidRPr="00F31F8B">
        <w:rPr>
          <w:rFonts w:ascii="Verdana" w:hAnsi="Verdana"/>
          <w:i/>
          <w:iCs/>
          <w:sz w:val="20"/>
          <w:szCs w:val="20"/>
          <w:lang w:val="es-ES"/>
        </w:rPr>
        <w:t>supra</w:t>
      </w:r>
      <w:r w:rsidR="009A4B26" w:rsidRPr="00F31F8B">
        <w:rPr>
          <w:rFonts w:ascii="Verdana" w:hAnsi="Verdana"/>
          <w:sz w:val="20"/>
          <w:szCs w:val="20"/>
          <w:lang w:val="es-ES"/>
        </w:rPr>
        <w:t xml:space="preserve"> </w:t>
      </w:r>
      <w:r w:rsidR="00C43E92">
        <w:rPr>
          <w:rFonts w:ascii="Verdana" w:hAnsi="Verdana"/>
          <w:sz w:val="20"/>
          <w:szCs w:val="20"/>
          <w:lang w:val="es-ES"/>
        </w:rPr>
        <w:t>Capítulo VIII.2.B.1</w:t>
      </w:r>
      <w:r w:rsidR="009A4B26" w:rsidRPr="00F31F8B">
        <w:rPr>
          <w:rFonts w:ascii="Verdana" w:hAnsi="Verdana"/>
          <w:sz w:val="20"/>
          <w:szCs w:val="20"/>
          <w:lang w:val="es-ES"/>
        </w:rPr>
        <w:t xml:space="preserve">). En ese sentido, resulta razonable pensar que Daniel García Rodríguez solicitara la declaración del Subprocurador de </w:t>
      </w:r>
      <w:r w:rsidR="009A4B26" w:rsidRPr="00F31F8B">
        <w:rPr>
          <w:rFonts w:ascii="Verdana" w:hAnsi="Verdana"/>
          <w:sz w:val="20"/>
          <w:szCs w:val="20"/>
          <w:lang w:val="es-ES"/>
        </w:rPr>
        <w:lastRenderedPageBreak/>
        <w:t>Justicia</w:t>
      </w:r>
      <w:r w:rsidRPr="00F31F8B">
        <w:rPr>
          <w:rFonts w:ascii="Verdana" w:hAnsi="Verdana"/>
          <w:sz w:val="20"/>
          <w:szCs w:val="20"/>
          <w:lang w:val="es-ES"/>
        </w:rPr>
        <w:t xml:space="preserve"> en el marco del proceso penal llevado en su contra para acreditar las coacciones a las cuales fue sometido durante el período de su arraigo</w:t>
      </w:r>
      <w:r w:rsidR="009A4B26" w:rsidRPr="00F31F8B">
        <w:rPr>
          <w:rFonts w:ascii="Verdana" w:hAnsi="Verdana"/>
          <w:sz w:val="20"/>
          <w:szCs w:val="20"/>
          <w:lang w:val="es-ES"/>
        </w:rPr>
        <w:t>. De conformidad con lo anterior, esta Corte encuentra que también se vulneró el derecho de la defensa de interrogar a los testigos presentes en el tribunal y de obtener la comparecencia, como testigos o peritos, de otras personas que puedan arrojar luz sobre los hechos</w:t>
      </w:r>
      <w:r w:rsidR="001E33F4" w:rsidRPr="00F31F8B">
        <w:rPr>
          <w:rFonts w:ascii="Verdana" w:hAnsi="Verdana"/>
          <w:sz w:val="20"/>
          <w:szCs w:val="20"/>
          <w:lang w:val="es-ES"/>
        </w:rPr>
        <w:t>,</w:t>
      </w:r>
      <w:r w:rsidR="009A4B26" w:rsidRPr="00F31F8B">
        <w:rPr>
          <w:rFonts w:ascii="Verdana" w:hAnsi="Verdana"/>
          <w:sz w:val="20"/>
          <w:szCs w:val="20"/>
          <w:lang w:val="es-ES"/>
        </w:rPr>
        <w:t xml:space="preserve"> contenido en el artículo 8.2.</w:t>
      </w:r>
      <w:r w:rsidR="00C13FF8" w:rsidRPr="00F31F8B">
        <w:rPr>
          <w:rFonts w:ascii="Verdana" w:hAnsi="Verdana"/>
          <w:sz w:val="20"/>
          <w:szCs w:val="20"/>
          <w:lang w:val="es-ES"/>
        </w:rPr>
        <w:t>f</w:t>
      </w:r>
      <w:r w:rsidR="009A4B26" w:rsidRPr="00F31F8B">
        <w:rPr>
          <w:rFonts w:ascii="Verdana" w:hAnsi="Verdana"/>
          <w:sz w:val="20"/>
          <w:szCs w:val="20"/>
          <w:lang w:val="es-ES"/>
        </w:rPr>
        <w:t xml:space="preserve"> de la Convención Americana en </w:t>
      </w:r>
      <w:r w:rsidR="00566280" w:rsidRPr="00F31F8B">
        <w:rPr>
          <w:rFonts w:ascii="Verdana" w:hAnsi="Verdana"/>
          <w:sz w:val="20"/>
          <w:szCs w:val="20"/>
          <w:lang w:val="es-ES"/>
        </w:rPr>
        <w:t>perjuicio</w:t>
      </w:r>
      <w:r w:rsidR="009A4B26" w:rsidRPr="00F31F8B">
        <w:rPr>
          <w:rFonts w:ascii="Verdana" w:hAnsi="Verdana"/>
          <w:sz w:val="20"/>
          <w:szCs w:val="20"/>
          <w:lang w:val="es-ES"/>
        </w:rPr>
        <w:t xml:space="preserve"> de Daniel García</w:t>
      </w:r>
      <w:r w:rsidR="00C43E92">
        <w:rPr>
          <w:rFonts w:ascii="Verdana" w:hAnsi="Verdana"/>
          <w:sz w:val="20"/>
          <w:szCs w:val="20"/>
          <w:lang w:val="es-ES"/>
        </w:rPr>
        <w:t xml:space="preserve"> Rodríguez</w:t>
      </w:r>
      <w:r w:rsidR="009A4B26" w:rsidRPr="00F31F8B">
        <w:rPr>
          <w:rFonts w:ascii="Verdana" w:hAnsi="Verdana"/>
          <w:sz w:val="20"/>
          <w:szCs w:val="20"/>
          <w:lang w:val="es-ES"/>
        </w:rPr>
        <w:t>.</w:t>
      </w:r>
    </w:p>
    <w:p w14:paraId="1078BE43" w14:textId="4B73C12A" w:rsidR="0081209C" w:rsidRPr="00F31F8B" w:rsidRDefault="00C5476B" w:rsidP="0081209C">
      <w:pPr>
        <w:pStyle w:val="Ttulo3"/>
        <w:spacing w:before="240" w:after="240"/>
        <w:ind w:left="567"/>
        <w:jc w:val="both"/>
        <w:rPr>
          <w:rFonts w:ascii="Verdana" w:hAnsi="Verdana"/>
          <w:b w:val="0"/>
          <w:snapToGrid w:val="0"/>
          <w:spacing w:val="-2"/>
          <w:sz w:val="20"/>
          <w:szCs w:val="20"/>
          <w:lang w:eastAsia="es-ES"/>
        </w:rPr>
      </w:pPr>
      <w:bookmarkStart w:id="117" w:name="_Toc132133936"/>
      <w:r w:rsidRPr="00F31F8B">
        <w:rPr>
          <w:rFonts w:ascii="Verdana" w:hAnsi="Verdana"/>
          <w:b w:val="0"/>
          <w:snapToGrid w:val="0"/>
          <w:spacing w:val="-2"/>
          <w:sz w:val="20"/>
          <w:szCs w:val="20"/>
          <w:lang w:eastAsia="es-ES"/>
        </w:rPr>
        <w:t>B</w:t>
      </w:r>
      <w:r w:rsidR="0081209C" w:rsidRPr="00F31F8B">
        <w:rPr>
          <w:rFonts w:ascii="Verdana" w:hAnsi="Verdana"/>
          <w:b w:val="0"/>
          <w:snapToGrid w:val="0"/>
          <w:spacing w:val="-2"/>
          <w:sz w:val="20"/>
          <w:szCs w:val="20"/>
          <w:lang w:eastAsia="es-ES"/>
        </w:rPr>
        <w:t>.</w:t>
      </w:r>
      <w:r w:rsidR="001167D4" w:rsidRPr="00F31F8B">
        <w:rPr>
          <w:rFonts w:ascii="Verdana" w:hAnsi="Verdana"/>
          <w:b w:val="0"/>
          <w:snapToGrid w:val="0"/>
          <w:spacing w:val="-2"/>
          <w:sz w:val="20"/>
          <w:szCs w:val="20"/>
          <w:lang w:eastAsia="es-ES"/>
        </w:rPr>
        <w:t>3</w:t>
      </w:r>
      <w:r w:rsidR="0081209C" w:rsidRPr="00F31F8B">
        <w:rPr>
          <w:rFonts w:ascii="Verdana" w:hAnsi="Verdana"/>
          <w:b w:val="0"/>
          <w:snapToGrid w:val="0"/>
          <w:spacing w:val="-2"/>
          <w:sz w:val="20"/>
          <w:szCs w:val="20"/>
          <w:lang w:eastAsia="es-ES"/>
        </w:rPr>
        <w:t xml:space="preserve">. </w:t>
      </w:r>
      <w:r w:rsidR="00456E56" w:rsidRPr="00F31F8B">
        <w:rPr>
          <w:rFonts w:ascii="Verdana" w:hAnsi="Verdana"/>
          <w:b w:val="0"/>
          <w:snapToGrid w:val="0"/>
          <w:spacing w:val="-2"/>
          <w:sz w:val="20"/>
          <w:szCs w:val="20"/>
          <w:lang w:eastAsia="es-ES"/>
        </w:rPr>
        <w:t>El derecho a la</w:t>
      </w:r>
      <w:r w:rsidR="0081209C" w:rsidRPr="00F31F8B">
        <w:rPr>
          <w:rFonts w:ascii="Verdana" w:hAnsi="Verdana"/>
          <w:b w:val="0"/>
          <w:snapToGrid w:val="0"/>
          <w:spacing w:val="-2"/>
          <w:sz w:val="20"/>
          <w:szCs w:val="20"/>
          <w:lang w:eastAsia="es-ES"/>
        </w:rPr>
        <w:t xml:space="preserve"> presunción de inocencia</w:t>
      </w:r>
      <w:r w:rsidRPr="00F31F8B">
        <w:rPr>
          <w:rFonts w:ascii="Verdana" w:hAnsi="Verdana"/>
          <w:b w:val="0"/>
          <w:snapToGrid w:val="0"/>
          <w:spacing w:val="-2"/>
          <w:sz w:val="20"/>
          <w:szCs w:val="20"/>
          <w:lang w:eastAsia="es-ES"/>
        </w:rPr>
        <w:t xml:space="preserve"> (artículo 8.2 de la Convención Americana)</w:t>
      </w:r>
      <w:bookmarkEnd w:id="117"/>
    </w:p>
    <w:p w14:paraId="4A8793F4" w14:textId="661E9B28" w:rsidR="0081209C" w:rsidRPr="00351298" w:rsidRDefault="00235B51" w:rsidP="002A05DD">
      <w:pPr>
        <w:numPr>
          <w:ilvl w:val="0"/>
          <w:numId w:val="2"/>
        </w:numPr>
        <w:spacing w:before="120" w:after="120"/>
        <w:ind w:left="0" w:firstLine="0"/>
        <w:jc w:val="both"/>
        <w:rPr>
          <w:rFonts w:ascii="Verdana" w:eastAsia="Cambria" w:hAnsi="Verdana" w:cs="Cambria"/>
          <w:sz w:val="20"/>
          <w:szCs w:val="20"/>
          <w:lang w:val="es-ES_tradnl"/>
        </w:rPr>
      </w:pPr>
      <w:r w:rsidRPr="7CDFE7CF">
        <w:rPr>
          <w:rFonts w:ascii="Verdana" w:eastAsia="Cambria" w:hAnsi="Verdana" w:cs="Cambria"/>
          <w:sz w:val="20"/>
          <w:szCs w:val="20"/>
          <w:lang w:val="es-ES"/>
        </w:rPr>
        <w:t>E</w:t>
      </w:r>
      <w:r w:rsidR="002A05DD" w:rsidRPr="7CDFE7CF">
        <w:rPr>
          <w:rFonts w:ascii="Verdana" w:eastAsia="Cambria" w:hAnsi="Verdana" w:cs="Cambria"/>
          <w:sz w:val="20"/>
          <w:szCs w:val="20"/>
          <w:lang w:val="es-ES"/>
        </w:rPr>
        <w:t>n</w:t>
      </w:r>
      <w:r w:rsidRPr="7CDFE7CF">
        <w:rPr>
          <w:rFonts w:ascii="Verdana" w:eastAsia="Cambria" w:hAnsi="Verdana" w:cs="Cambria"/>
          <w:sz w:val="20"/>
          <w:szCs w:val="20"/>
          <w:lang w:val="es-ES"/>
        </w:rPr>
        <w:t xml:space="preserve"> </w:t>
      </w:r>
      <w:r w:rsidR="002A05DD" w:rsidRPr="7CDFE7CF">
        <w:rPr>
          <w:rFonts w:ascii="Verdana" w:eastAsia="Cambria" w:hAnsi="Verdana" w:cs="Cambria"/>
          <w:sz w:val="20"/>
          <w:szCs w:val="20"/>
          <w:lang w:val="es-ES"/>
        </w:rPr>
        <w:t xml:space="preserve">cuanto al derecho a la presunción de inocencia, el </w:t>
      </w:r>
      <w:r w:rsidR="00352E4C" w:rsidRPr="7CDFE7CF">
        <w:rPr>
          <w:rFonts w:ascii="Verdana" w:eastAsia="Cambria" w:hAnsi="Verdana" w:cs="Cambria"/>
          <w:sz w:val="20"/>
          <w:szCs w:val="20"/>
          <w:lang w:val="es-ES"/>
        </w:rPr>
        <w:t>artículo</w:t>
      </w:r>
      <w:r w:rsidR="002A05DD" w:rsidRPr="7CDFE7CF">
        <w:rPr>
          <w:rFonts w:ascii="Verdana" w:eastAsia="Cambria" w:hAnsi="Verdana" w:cs="Cambria"/>
          <w:sz w:val="20"/>
          <w:szCs w:val="20"/>
          <w:lang w:val="es-ES"/>
        </w:rPr>
        <w:t xml:space="preserve"> 8.2 de la Convención Americana establece que toda persona inculpada de delito tiene derecho a que se presuma su inocencia mientras no se establezca legalmente su culpabilidad. Al respecto, </w:t>
      </w:r>
      <w:r w:rsidR="0081209C" w:rsidRPr="7CDFE7CF">
        <w:rPr>
          <w:rFonts w:ascii="Verdana" w:eastAsia="Cambria" w:hAnsi="Verdana" w:cs="Cambria"/>
          <w:sz w:val="20"/>
          <w:szCs w:val="20"/>
          <w:lang w:val="es-ES"/>
        </w:rPr>
        <w:t xml:space="preserve">la Corte ha sido consistente en señalar que esta “exige que el Estado no condene informalmente a una persona o emita juicio ante la sociedad, </w:t>
      </w:r>
      <w:r w:rsidR="0081209C" w:rsidRPr="00F31F8B">
        <w:rPr>
          <w:rFonts w:ascii="Verdana" w:eastAsia="Calibri" w:hAnsi="Verdana" w:cs="Arial"/>
          <w:sz w:val="20"/>
          <w:szCs w:val="20"/>
          <w:lang w:eastAsia="es-CR"/>
        </w:rPr>
        <w:t>contribuyendo</w:t>
      </w:r>
      <w:r w:rsidR="0081209C" w:rsidRPr="7CDFE7CF">
        <w:rPr>
          <w:rFonts w:ascii="Verdana" w:eastAsia="Cambria" w:hAnsi="Verdana" w:cs="Cambria"/>
          <w:sz w:val="20"/>
          <w:szCs w:val="20"/>
          <w:lang w:val="es-ES"/>
        </w:rPr>
        <w:t xml:space="preserve"> así a formar una opinión pública, mientras no se acredite conforme a la ley la responsabilidad penal de aquella”. Por ello, </w:t>
      </w:r>
      <w:r w:rsidR="002A05DD" w:rsidRPr="7CDFE7CF">
        <w:rPr>
          <w:rFonts w:ascii="Verdana" w:eastAsia="Cambria" w:hAnsi="Verdana" w:cs="Cambria"/>
          <w:sz w:val="20"/>
          <w:szCs w:val="20"/>
          <w:lang w:val="es-ES"/>
        </w:rPr>
        <w:t>las autoridades</w:t>
      </w:r>
      <w:r w:rsidR="0081209C" w:rsidRPr="7CDFE7CF">
        <w:rPr>
          <w:rFonts w:ascii="Verdana" w:eastAsia="Cambria" w:hAnsi="Verdana" w:cs="Cambria"/>
          <w:sz w:val="20"/>
          <w:szCs w:val="20"/>
          <w:lang w:val="es-ES"/>
        </w:rPr>
        <w:t xml:space="preserve"> </w:t>
      </w:r>
      <w:r w:rsidR="002A05DD" w:rsidRPr="7CDFE7CF">
        <w:rPr>
          <w:rFonts w:ascii="Verdana" w:eastAsia="Cambria" w:hAnsi="Verdana" w:cs="Cambria"/>
          <w:sz w:val="20"/>
          <w:szCs w:val="20"/>
          <w:lang w:val="es-ES"/>
        </w:rPr>
        <w:t>judiciales</w:t>
      </w:r>
      <w:r w:rsidR="0081209C" w:rsidRPr="7CDFE7CF">
        <w:rPr>
          <w:rFonts w:ascii="Verdana" w:eastAsia="Cambria" w:hAnsi="Verdana" w:cs="Cambria"/>
          <w:sz w:val="20"/>
          <w:szCs w:val="20"/>
          <w:lang w:val="es-ES"/>
        </w:rPr>
        <w:t xml:space="preserve"> a cargo del proceso y otras </w:t>
      </w:r>
      <w:r w:rsidR="002A05DD" w:rsidRPr="7CDFE7CF">
        <w:rPr>
          <w:rFonts w:ascii="Verdana" w:eastAsia="Cambria" w:hAnsi="Verdana" w:cs="Cambria"/>
          <w:sz w:val="20"/>
          <w:szCs w:val="20"/>
          <w:lang w:val="es-ES"/>
        </w:rPr>
        <w:t>autoridades</w:t>
      </w:r>
      <w:r w:rsidR="0081209C" w:rsidRPr="7CDFE7CF">
        <w:rPr>
          <w:rFonts w:ascii="Verdana" w:eastAsia="Cambria" w:hAnsi="Verdana" w:cs="Cambria"/>
          <w:sz w:val="20"/>
          <w:szCs w:val="20"/>
          <w:lang w:val="es-ES"/>
        </w:rPr>
        <w:t xml:space="preserve"> deben ser “discretas y prudentes al realizar declaraciones públicas sobre un proceso penal, antes de que la persona haya sido juzgada y condenada”. En efecto, el hecho que una persona sea referida por agentes del Estado ante los medios de comunicación como autora de un delito cuando aún no ha sido legalmente procesada ni condenada, </w:t>
      </w:r>
      <w:r w:rsidR="00352E4C" w:rsidRPr="7CDFE7CF">
        <w:rPr>
          <w:rFonts w:ascii="Verdana" w:eastAsia="Cambria" w:hAnsi="Verdana" w:cs="Cambria"/>
          <w:sz w:val="20"/>
          <w:szCs w:val="20"/>
          <w:lang w:val="es-ES"/>
        </w:rPr>
        <w:t>puede constituir</w:t>
      </w:r>
      <w:r w:rsidR="0081209C" w:rsidRPr="7CDFE7CF">
        <w:rPr>
          <w:rFonts w:ascii="Verdana" w:eastAsia="Cambria" w:hAnsi="Verdana" w:cs="Cambria"/>
          <w:sz w:val="20"/>
          <w:szCs w:val="20"/>
          <w:lang w:val="es-ES"/>
        </w:rPr>
        <w:t xml:space="preserve"> una violación al artículo 8.2 de la Convención</w:t>
      </w:r>
      <w:r w:rsidR="0081209C" w:rsidRPr="7CDFE7CF">
        <w:rPr>
          <w:rStyle w:val="Refdenotaalpie"/>
          <w:rFonts w:ascii="Verdana" w:eastAsia="Cambria" w:hAnsi="Verdana"/>
          <w:sz w:val="20"/>
          <w:lang w:val="es-ES"/>
        </w:rPr>
        <w:footnoteReference w:id="257"/>
      </w:r>
      <w:r w:rsidR="0081209C" w:rsidRPr="7CDFE7CF">
        <w:rPr>
          <w:rFonts w:ascii="Verdana" w:eastAsia="Cambria" w:hAnsi="Verdana" w:cs="Cambria"/>
          <w:sz w:val="20"/>
          <w:szCs w:val="20"/>
          <w:lang w:val="es-ES"/>
        </w:rPr>
        <w:t>.</w:t>
      </w:r>
    </w:p>
    <w:p w14:paraId="34035D7B" w14:textId="2982704B" w:rsidR="00845A2D" w:rsidRPr="00351298" w:rsidRDefault="002A05DD" w:rsidP="00845A2D">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eastAsia="Cambria" w:hAnsi="Verdana" w:cs="Cambria"/>
          <w:sz w:val="20"/>
          <w:szCs w:val="20"/>
          <w:lang w:val="es-ES_tradnl"/>
        </w:rPr>
        <w:t xml:space="preserve">En el presente caso, la Comisión y los representantes alegaron que se había </w:t>
      </w:r>
      <w:r w:rsidR="00845A2D" w:rsidRPr="00351298">
        <w:rPr>
          <w:rFonts w:ascii="Verdana" w:eastAsia="Cambria" w:hAnsi="Verdana" w:cs="Cambria"/>
          <w:sz w:val="20"/>
          <w:szCs w:val="20"/>
          <w:lang w:val="es-ES_tradnl"/>
        </w:rPr>
        <w:t>vulnerado</w:t>
      </w:r>
      <w:r w:rsidRPr="00351298">
        <w:rPr>
          <w:rFonts w:ascii="Verdana" w:eastAsia="Cambria" w:hAnsi="Verdana" w:cs="Cambria"/>
          <w:sz w:val="20"/>
          <w:szCs w:val="20"/>
          <w:lang w:val="es-ES_tradnl"/>
        </w:rPr>
        <w:t xml:space="preserve"> ese derecho </w:t>
      </w:r>
      <w:r w:rsidR="00845A2D" w:rsidRPr="00351298">
        <w:rPr>
          <w:rFonts w:ascii="Verdana" w:eastAsia="Cambria" w:hAnsi="Verdana" w:cs="Cambria"/>
          <w:sz w:val="20"/>
          <w:szCs w:val="20"/>
          <w:lang w:val="es-ES_tradnl"/>
        </w:rPr>
        <w:t>por</w:t>
      </w:r>
      <w:r w:rsidR="00380305" w:rsidRPr="00351298">
        <w:rPr>
          <w:rFonts w:ascii="Verdana" w:eastAsia="Cambria" w:hAnsi="Verdana" w:cs="Cambria"/>
          <w:sz w:val="20"/>
          <w:szCs w:val="20"/>
          <w:lang w:val="es-ES_tradnl"/>
        </w:rPr>
        <w:t xml:space="preserve">que las presuntas víctimas fueron presentadas ante la opinión pública </w:t>
      </w:r>
      <w:r w:rsidR="00380305" w:rsidRPr="00351298">
        <w:rPr>
          <w:rFonts w:ascii="Verdana" w:hAnsi="Verdana"/>
          <w:sz w:val="20"/>
          <w:szCs w:val="20"/>
          <w:lang w:val="es-ES"/>
        </w:rPr>
        <w:t xml:space="preserve">como unos de los “responsables” del asesinato de la regidora. Esa información </w:t>
      </w:r>
      <w:r w:rsidR="00E650F0">
        <w:rPr>
          <w:rFonts w:ascii="Verdana" w:hAnsi="Verdana"/>
          <w:sz w:val="20"/>
          <w:szCs w:val="20"/>
          <w:lang w:val="es-ES"/>
        </w:rPr>
        <w:t>habría sido</w:t>
      </w:r>
      <w:r w:rsidR="00E650F0" w:rsidRPr="00351298">
        <w:rPr>
          <w:rFonts w:ascii="Verdana" w:hAnsi="Verdana"/>
          <w:sz w:val="20"/>
          <w:szCs w:val="20"/>
          <w:lang w:val="es-ES"/>
        </w:rPr>
        <w:t xml:space="preserve"> </w:t>
      </w:r>
      <w:r w:rsidR="00380305" w:rsidRPr="00351298">
        <w:rPr>
          <w:rFonts w:ascii="Verdana" w:hAnsi="Verdana"/>
          <w:sz w:val="20"/>
          <w:szCs w:val="20"/>
          <w:lang w:val="es-ES"/>
        </w:rPr>
        <w:t>publicada en</w:t>
      </w:r>
      <w:r w:rsidR="00845A2D" w:rsidRPr="00351298">
        <w:rPr>
          <w:rFonts w:ascii="Verdana" w:eastAsia="Cambria" w:hAnsi="Verdana" w:cs="Cambria"/>
          <w:sz w:val="20"/>
          <w:szCs w:val="20"/>
          <w:lang w:val="es-ES_tradnl"/>
        </w:rPr>
        <w:t xml:space="preserve">: a) los </w:t>
      </w:r>
      <w:r w:rsidR="00845A2D" w:rsidRPr="00351298">
        <w:rPr>
          <w:rFonts w:ascii="Verdana" w:hAnsi="Verdana"/>
          <w:sz w:val="20"/>
          <w:szCs w:val="20"/>
          <w:lang w:val="es-ES"/>
        </w:rPr>
        <w:t>boletines de prensa emitidos por la PGJEM</w:t>
      </w:r>
      <w:r w:rsidR="00E650F0">
        <w:rPr>
          <w:rFonts w:ascii="Verdana" w:hAnsi="Verdana"/>
          <w:sz w:val="20"/>
          <w:szCs w:val="20"/>
          <w:lang w:val="es-ES"/>
        </w:rPr>
        <w:t>;</w:t>
      </w:r>
      <w:r w:rsidR="00845A2D" w:rsidRPr="00351298">
        <w:rPr>
          <w:rFonts w:ascii="Verdana" w:hAnsi="Verdana"/>
          <w:sz w:val="20"/>
          <w:szCs w:val="20"/>
          <w:lang w:val="es-ES"/>
        </w:rPr>
        <w:t xml:space="preserve"> b) extractos de noticias incluidos en </w:t>
      </w:r>
      <w:r w:rsidR="00CC4CF9" w:rsidRPr="00351298">
        <w:rPr>
          <w:rFonts w:ascii="Verdana" w:hAnsi="Verdana"/>
          <w:sz w:val="20"/>
          <w:szCs w:val="20"/>
          <w:lang w:val="es-ES"/>
        </w:rPr>
        <w:t>prensa</w:t>
      </w:r>
      <w:r w:rsidR="00845A2D" w:rsidRPr="00351298">
        <w:rPr>
          <w:rFonts w:ascii="Verdana" w:hAnsi="Verdana"/>
          <w:sz w:val="20"/>
          <w:szCs w:val="20"/>
          <w:lang w:val="es-ES"/>
        </w:rPr>
        <w:t xml:space="preserve"> de circulación nacional, y c) un informe gubernamental, durante la investigación y tramitación del proceso penal en su contra en los que fueron presentados por el Ministerio Público. </w:t>
      </w:r>
    </w:p>
    <w:p w14:paraId="396EEE97" w14:textId="05B44D80" w:rsidR="00954569" w:rsidRPr="00351298" w:rsidRDefault="00380305" w:rsidP="0022276B">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hAnsi="Verdana"/>
          <w:sz w:val="20"/>
          <w:szCs w:val="20"/>
          <w:lang w:val="es-ES"/>
        </w:rPr>
        <w:t xml:space="preserve">Sobre el particular, la Corte </w:t>
      </w:r>
      <w:r w:rsidR="00954569" w:rsidRPr="00351298">
        <w:rPr>
          <w:rFonts w:ascii="Verdana" w:hAnsi="Verdana"/>
          <w:sz w:val="20"/>
          <w:szCs w:val="20"/>
          <w:lang w:val="es-ES"/>
        </w:rPr>
        <w:t xml:space="preserve">concuerda con el Estado cuando </w:t>
      </w:r>
      <w:r w:rsidR="004D6346">
        <w:rPr>
          <w:rFonts w:ascii="Verdana" w:hAnsi="Verdana"/>
          <w:sz w:val="20"/>
          <w:szCs w:val="20"/>
          <w:lang w:val="es-ES"/>
        </w:rPr>
        <w:t>e</w:t>
      </w:r>
      <w:r w:rsidR="00954569" w:rsidRPr="00351298">
        <w:rPr>
          <w:rFonts w:ascii="Verdana" w:hAnsi="Verdana"/>
          <w:sz w:val="20"/>
          <w:szCs w:val="20"/>
          <w:lang w:val="es-ES"/>
        </w:rPr>
        <w:t>ste afirma</w:t>
      </w:r>
      <w:r w:rsidRPr="00351298">
        <w:rPr>
          <w:rFonts w:ascii="Verdana" w:hAnsi="Verdana"/>
          <w:sz w:val="20"/>
          <w:szCs w:val="20"/>
          <w:lang w:val="es-ES"/>
        </w:rPr>
        <w:t xml:space="preserve"> que</w:t>
      </w:r>
      <w:r w:rsidR="00954569" w:rsidRPr="00351298">
        <w:rPr>
          <w:rFonts w:ascii="Verdana" w:hAnsi="Verdana"/>
          <w:sz w:val="20"/>
          <w:szCs w:val="20"/>
          <w:lang w:val="es-ES"/>
        </w:rPr>
        <w:t xml:space="preserve"> la información publicada en notas periodísticas por diversos medios de prensa no puede, en principio, ser atribuible al Estado. Lo anterior adquiere mayor relieve al tratarse la víctima del homicidio de una personalidad pública. Para probar tales extremos se debería brinda</w:t>
      </w:r>
      <w:r w:rsidR="002973F5" w:rsidRPr="00351298">
        <w:rPr>
          <w:rFonts w:ascii="Verdana" w:hAnsi="Verdana"/>
          <w:sz w:val="20"/>
          <w:szCs w:val="20"/>
          <w:lang w:val="es-ES"/>
        </w:rPr>
        <w:t>r</w:t>
      </w:r>
      <w:r w:rsidR="00954569" w:rsidRPr="00351298">
        <w:rPr>
          <w:rFonts w:ascii="Verdana" w:hAnsi="Verdana"/>
          <w:sz w:val="20"/>
          <w:szCs w:val="20"/>
          <w:lang w:val="es-ES"/>
        </w:rPr>
        <w:t xml:space="preserve"> evidencia que permita corroborar que esos medios respondieron a solicitudes de autoridades estatales o que la información fue maliciosamente remitida a esos medios para que se</w:t>
      </w:r>
      <w:r w:rsidR="002973F5" w:rsidRPr="00351298">
        <w:rPr>
          <w:rFonts w:ascii="Verdana" w:hAnsi="Verdana"/>
          <w:sz w:val="20"/>
          <w:szCs w:val="20"/>
          <w:lang w:val="es-ES"/>
        </w:rPr>
        <w:t>a</w:t>
      </w:r>
      <w:r w:rsidR="00954569" w:rsidRPr="00351298">
        <w:rPr>
          <w:rFonts w:ascii="Verdana" w:hAnsi="Verdana"/>
          <w:sz w:val="20"/>
          <w:szCs w:val="20"/>
          <w:lang w:val="es-ES"/>
        </w:rPr>
        <w:t xml:space="preserve"> publicada.</w:t>
      </w:r>
      <w:r w:rsidR="003F5009" w:rsidRPr="00351298">
        <w:rPr>
          <w:rFonts w:ascii="Verdana" w:eastAsia="Cambria" w:hAnsi="Verdana" w:cs="Cambria"/>
          <w:sz w:val="20"/>
          <w:szCs w:val="20"/>
          <w:lang w:val="es-ES_tradnl"/>
        </w:rPr>
        <w:t xml:space="preserve"> </w:t>
      </w:r>
    </w:p>
    <w:p w14:paraId="5EE2D2FD" w14:textId="77777777" w:rsidR="00094D4E" w:rsidRPr="00351298" w:rsidRDefault="00094D4E" w:rsidP="00094D4E">
      <w:pPr>
        <w:numPr>
          <w:ilvl w:val="0"/>
          <w:numId w:val="2"/>
        </w:numPr>
        <w:spacing w:before="120" w:after="120"/>
        <w:ind w:left="0" w:firstLine="0"/>
        <w:jc w:val="both"/>
        <w:rPr>
          <w:rFonts w:ascii="Verdana" w:eastAsia="Cambria" w:hAnsi="Verdana" w:cs="Cambria"/>
          <w:sz w:val="20"/>
          <w:szCs w:val="20"/>
          <w:lang w:val="es-ES_tradnl"/>
        </w:rPr>
      </w:pPr>
      <w:r w:rsidRPr="7CDFE7CF">
        <w:rPr>
          <w:rFonts w:ascii="Verdana" w:hAnsi="Verdana"/>
          <w:sz w:val="20"/>
          <w:szCs w:val="20"/>
          <w:lang w:val="es-ES"/>
        </w:rPr>
        <w:t xml:space="preserve">Por otra parte, corresponde recordar con respecto a </w:t>
      </w:r>
      <w:r w:rsidRPr="00351298">
        <w:rPr>
          <w:rFonts w:ascii="Verdana" w:hAnsi="Verdana"/>
          <w:sz w:val="20"/>
          <w:szCs w:val="20"/>
          <w:lang w:val="es-ES"/>
        </w:rPr>
        <w:t xml:space="preserve">esas notas de prensa y boletines, que el artículo 8.5 de la Convención Americana establece que “[e]l proceso penal debe ser público, salvo en lo que sea necesario para preservar los intereses de la justicia”. </w:t>
      </w:r>
      <w:r w:rsidRPr="00351298">
        <w:rPr>
          <w:rFonts w:ascii="Verdana" w:eastAsia="Verdana" w:hAnsi="Verdana" w:cs="Verdana"/>
          <w:sz w:val="20"/>
          <w:szCs w:val="20"/>
        </w:rPr>
        <w:t>Este Tribunal ha señalado que una de las principales características que debe reunir el proceso penal durante su sustanciación es su carácter de público</w:t>
      </w:r>
      <w:r w:rsidRPr="00351298">
        <w:rPr>
          <w:rFonts w:ascii="Verdana" w:hAnsi="Verdana"/>
          <w:sz w:val="20"/>
          <w:szCs w:val="20"/>
        </w:rPr>
        <w:t>, el cual es un elemento esencial de los sistemas procesales penales acusatorios de un Estado democrático y se garantiza a través de la realización de una etapa oral en la que el acusado pueda tener inmediación con el juez y las pruebas y que facilite el acceso al público.</w:t>
      </w:r>
      <w:r w:rsidRPr="00351298">
        <w:rPr>
          <w:rFonts w:ascii="Verdana" w:eastAsia="Verdana" w:hAnsi="Verdana" w:cs="Verdana"/>
          <w:sz w:val="20"/>
          <w:szCs w:val="20"/>
        </w:rPr>
        <w:t xml:space="preserve"> El derecho a un proceso público se encuentra protegido por diversos instrumentos internacionales como elemento esencial de las garantías judiciales</w:t>
      </w:r>
      <w:r w:rsidRPr="7CDFE7CF">
        <w:rPr>
          <w:rStyle w:val="Refdenotaalpie"/>
          <w:rFonts w:ascii="Verdana" w:hAnsi="Verdana"/>
          <w:sz w:val="20"/>
        </w:rPr>
        <w:footnoteReference w:id="258"/>
      </w:r>
      <w:r w:rsidRPr="00351298">
        <w:rPr>
          <w:rFonts w:ascii="Verdana" w:hAnsi="Verdana"/>
          <w:sz w:val="20"/>
          <w:szCs w:val="20"/>
        </w:rPr>
        <w:t xml:space="preserve">. La publicidad del proceso tiene la función de proscribir la administración de justicia secreta, someterla al escrutinio de las partes y del público y se relaciona con la necesidad de la transparencia e imparcialidad de las decisiones que se tomen. Además, es un medio por el cual se fomenta la </w:t>
      </w:r>
      <w:r w:rsidRPr="00351298">
        <w:rPr>
          <w:rFonts w:ascii="Verdana" w:hAnsi="Verdana"/>
          <w:sz w:val="20"/>
          <w:szCs w:val="20"/>
        </w:rPr>
        <w:lastRenderedPageBreak/>
        <w:t>confianza en los tribunales de justicia. La publicidad hace referencia específica al acceso a la información del proceso que tengan las partes e incluso los terceros</w:t>
      </w:r>
      <w:r w:rsidRPr="7CDFE7CF">
        <w:rPr>
          <w:rStyle w:val="Refdenotaalpie"/>
          <w:rFonts w:ascii="Verdana" w:hAnsi="Verdana"/>
          <w:sz w:val="20"/>
        </w:rPr>
        <w:footnoteReference w:id="259"/>
      </w:r>
      <w:r w:rsidRPr="00351298">
        <w:rPr>
          <w:rFonts w:ascii="Verdana" w:hAnsi="Verdana"/>
          <w:sz w:val="20"/>
          <w:szCs w:val="20"/>
        </w:rPr>
        <w:t>.</w:t>
      </w:r>
    </w:p>
    <w:p w14:paraId="2F388F9B" w14:textId="0C1ABC60" w:rsidR="00094D4E" w:rsidRPr="00351298" w:rsidRDefault="003F5009" w:rsidP="00094D4E">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hAnsi="Verdana"/>
          <w:sz w:val="20"/>
          <w:szCs w:val="20"/>
          <w:lang w:val="es-ES"/>
        </w:rPr>
        <w:t xml:space="preserve">En cuanto a los boletines de prensa emitidos por la PGJEM, la Corte nota que el Estado controvierte su autenticidad alegando que: a) carecen de identificación oficial o de la imagen institucional de las instituciones de justicia del Estado de México, y b) ofrecen información inexacta. El Tribunal no pudo verificar el origen de esos boletines. En efecto, los boletines presentados por la Comisión como anexos al Informe de Fondo, </w:t>
      </w:r>
      <w:r w:rsidR="002973F5" w:rsidRPr="00351298">
        <w:rPr>
          <w:rFonts w:ascii="Verdana" w:hAnsi="Verdana"/>
          <w:sz w:val="20"/>
          <w:szCs w:val="20"/>
          <w:lang w:val="es-ES"/>
        </w:rPr>
        <w:t>son</w:t>
      </w:r>
      <w:r w:rsidRPr="00351298">
        <w:rPr>
          <w:rFonts w:ascii="Verdana" w:hAnsi="Verdana"/>
          <w:sz w:val="20"/>
          <w:szCs w:val="20"/>
          <w:lang w:val="es-ES"/>
        </w:rPr>
        <w:t xml:space="preserve"> notas de prensa</w:t>
      </w:r>
      <w:r w:rsidR="002973F5" w:rsidRPr="00351298">
        <w:rPr>
          <w:rFonts w:ascii="Verdana" w:hAnsi="Verdana"/>
          <w:sz w:val="20"/>
          <w:szCs w:val="20"/>
          <w:lang w:val="es-ES"/>
        </w:rPr>
        <w:t xml:space="preserve"> </w:t>
      </w:r>
      <w:r w:rsidRPr="00351298">
        <w:rPr>
          <w:rFonts w:ascii="Verdana" w:hAnsi="Verdana"/>
          <w:sz w:val="20"/>
          <w:szCs w:val="20"/>
          <w:lang w:val="es-ES"/>
        </w:rPr>
        <w:t xml:space="preserve">que contienen </w:t>
      </w:r>
      <w:r w:rsidR="002973F5" w:rsidRPr="00351298">
        <w:rPr>
          <w:rFonts w:ascii="Verdana" w:hAnsi="Verdana"/>
          <w:sz w:val="20"/>
          <w:szCs w:val="20"/>
          <w:lang w:val="es-ES"/>
        </w:rPr>
        <w:t xml:space="preserve">las siguientes anotaciones en la parte final: </w:t>
      </w:r>
      <w:r w:rsidRPr="00351298">
        <w:rPr>
          <w:rFonts w:ascii="Verdana" w:hAnsi="Verdana"/>
          <w:sz w:val="20"/>
          <w:szCs w:val="20"/>
          <w:lang w:val="es-ES"/>
        </w:rPr>
        <w:t>“</w:t>
      </w:r>
      <w:r w:rsidR="0022276B" w:rsidRPr="00351298">
        <w:rPr>
          <w:rFonts w:ascii="Verdana" w:hAnsi="Verdana"/>
          <w:sz w:val="20"/>
          <w:szCs w:val="20"/>
          <w:lang w:val="es-ES"/>
        </w:rPr>
        <w:t xml:space="preserve">Copyright </w:t>
      </w:r>
      <w:r w:rsidRPr="00351298">
        <w:rPr>
          <w:rFonts w:ascii="Verdana" w:hAnsi="Verdana"/>
          <w:sz w:val="20"/>
          <w:szCs w:val="20"/>
          <w:lang w:val="es-ES"/>
        </w:rPr>
        <w:t xml:space="preserve">Grupo </w:t>
      </w:r>
      <w:r w:rsidR="00E650F0">
        <w:rPr>
          <w:rFonts w:ascii="Verdana" w:hAnsi="Verdana"/>
          <w:sz w:val="20"/>
          <w:szCs w:val="20"/>
          <w:lang w:val="es-ES"/>
        </w:rPr>
        <w:t>R</w:t>
      </w:r>
      <w:r w:rsidRPr="00351298">
        <w:rPr>
          <w:rFonts w:ascii="Verdana" w:hAnsi="Verdana"/>
          <w:sz w:val="20"/>
          <w:szCs w:val="20"/>
          <w:lang w:val="es-ES"/>
        </w:rPr>
        <w:t>eforma</w:t>
      </w:r>
      <w:r w:rsidR="0022276B" w:rsidRPr="00351298">
        <w:rPr>
          <w:rFonts w:ascii="Verdana" w:hAnsi="Verdana"/>
          <w:sz w:val="20"/>
          <w:szCs w:val="20"/>
          <w:lang w:val="es-ES"/>
        </w:rPr>
        <w:t xml:space="preserve"> servicio informativo</w:t>
      </w:r>
      <w:r w:rsidRPr="00351298">
        <w:rPr>
          <w:rFonts w:ascii="Verdana" w:hAnsi="Verdana"/>
          <w:sz w:val="20"/>
          <w:szCs w:val="20"/>
          <w:lang w:val="es-ES"/>
        </w:rPr>
        <w:t>”</w:t>
      </w:r>
      <w:r w:rsidR="0022276B" w:rsidRPr="00351298">
        <w:rPr>
          <w:rFonts w:ascii="Verdana" w:hAnsi="Verdana"/>
          <w:sz w:val="20"/>
          <w:szCs w:val="20"/>
          <w:lang w:val="es-ES"/>
        </w:rPr>
        <w:t>. Esas notas tampoco contienen números de referencia o caratulas de la PGJEM. En ese sentido, no se podría concluir de manera fehaciente que esas noticias corresponden a boletines oficiales de la PGJEM</w:t>
      </w:r>
      <w:r w:rsidR="0022276B" w:rsidRPr="00351298">
        <w:rPr>
          <w:rStyle w:val="Refdenotaalpie"/>
          <w:rFonts w:ascii="Verdana" w:hAnsi="Verdana"/>
          <w:sz w:val="20"/>
          <w:lang w:val="es-ES"/>
        </w:rPr>
        <w:footnoteReference w:id="260"/>
      </w:r>
      <w:r w:rsidR="0022276B" w:rsidRPr="00351298">
        <w:rPr>
          <w:rFonts w:ascii="Verdana" w:hAnsi="Verdana"/>
          <w:sz w:val="20"/>
          <w:szCs w:val="20"/>
          <w:lang w:val="es-ES"/>
        </w:rPr>
        <w:t xml:space="preserve">. En cuanto a las noticias remitidas por la Comisión en otro anexo a su Informe de Fondo denominado “[e]xtractos de noticias incluidos en </w:t>
      </w:r>
      <w:r w:rsidR="00CC4CF9" w:rsidRPr="00351298">
        <w:rPr>
          <w:rFonts w:ascii="Verdana" w:hAnsi="Verdana"/>
          <w:sz w:val="20"/>
          <w:szCs w:val="20"/>
          <w:lang w:val="es-ES"/>
        </w:rPr>
        <w:t>prensa</w:t>
      </w:r>
      <w:r w:rsidR="0022276B" w:rsidRPr="00351298">
        <w:rPr>
          <w:rFonts w:ascii="Verdana" w:hAnsi="Verdana"/>
          <w:sz w:val="20"/>
          <w:szCs w:val="20"/>
          <w:lang w:val="es-ES"/>
        </w:rPr>
        <w:t xml:space="preserve"> de circulación nacional, citando como Fuente de información la PGJEM”</w:t>
      </w:r>
      <w:r w:rsidR="0022276B" w:rsidRPr="00351298">
        <w:rPr>
          <w:rStyle w:val="Refdenotaalpie"/>
          <w:rFonts w:ascii="Verdana" w:hAnsi="Verdana"/>
          <w:sz w:val="20"/>
          <w:lang w:val="es-ES"/>
        </w:rPr>
        <w:footnoteReference w:id="261"/>
      </w:r>
      <w:r w:rsidR="00EF6383" w:rsidRPr="00351298">
        <w:rPr>
          <w:rFonts w:ascii="Verdana" w:hAnsi="Verdana"/>
          <w:sz w:val="20"/>
          <w:szCs w:val="20"/>
          <w:lang w:val="es-ES"/>
        </w:rPr>
        <w:t xml:space="preserve">, </w:t>
      </w:r>
      <w:r w:rsidR="00ED7DD8" w:rsidRPr="00351298">
        <w:rPr>
          <w:rFonts w:ascii="Verdana" w:hAnsi="Verdana"/>
          <w:sz w:val="20"/>
          <w:szCs w:val="20"/>
          <w:lang w:val="es-ES"/>
        </w:rPr>
        <w:t xml:space="preserve">la Corte advierte que no se trata de boletines oficiales de la PGJEM </w:t>
      </w:r>
      <w:r w:rsidR="005B33E7" w:rsidRPr="00351298">
        <w:rPr>
          <w:rFonts w:ascii="Verdana" w:hAnsi="Verdana"/>
          <w:sz w:val="20"/>
          <w:szCs w:val="20"/>
          <w:lang w:val="es-ES"/>
        </w:rPr>
        <w:t xml:space="preserve">sino </w:t>
      </w:r>
      <w:r w:rsidR="00ED7DD8" w:rsidRPr="00351298">
        <w:rPr>
          <w:rFonts w:ascii="Verdana" w:hAnsi="Verdana"/>
          <w:sz w:val="20"/>
          <w:szCs w:val="20"/>
          <w:lang w:val="es-ES"/>
        </w:rPr>
        <w:t>de noticias de medios de prensa</w:t>
      </w:r>
      <w:r w:rsidR="002973F5" w:rsidRPr="00351298">
        <w:rPr>
          <w:rFonts w:ascii="Verdana" w:hAnsi="Verdana"/>
          <w:sz w:val="20"/>
          <w:szCs w:val="20"/>
          <w:lang w:val="es-ES"/>
        </w:rPr>
        <w:t xml:space="preserve"> que habrían consultado, según el caso, fuentes de la PGJEM.</w:t>
      </w:r>
      <w:r w:rsidR="00094D4E" w:rsidRPr="00351298">
        <w:rPr>
          <w:rFonts w:ascii="Verdana" w:hAnsi="Verdana"/>
          <w:sz w:val="20"/>
          <w:szCs w:val="20"/>
          <w:lang w:val="es-ES"/>
        </w:rPr>
        <w:t xml:space="preserve"> </w:t>
      </w:r>
      <w:r w:rsidR="002973F5" w:rsidRPr="00351298">
        <w:rPr>
          <w:rFonts w:ascii="Verdana" w:hAnsi="Verdana"/>
          <w:sz w:val="20"/>
          <w:szCs w:val="20"/>
          <w:lang w:val="es-ES"/>
        </w:rPr>
        <w:t>En lo que concierne las notas de prensa remitidas por los representantes junto con sus alegatos finales</w:t>
      </w:r>
      <w:r w:rsidR="002973F5" w:rsidRPr="00351298">
        <w:rPr>
          <w:rStyle w:val="Refdenotaalpie"/>
          <w:rFonts w:ascii="Verdana" w:hAnsi="Verdana"/>
          <w:sz w:val="20"/>
          <w:lang w:val="es-ES"/>
        </w:rPr>
        <w:footnoteReference w:id="262"/>
      </w:r>
      <w:r w:rsidR="002973F5" w:rsidRPr="00351298">
        <w:rPr>
          <w:rFonts w:ascii="Verdana" w:hAnsi="Verdana"/>
          <w:sz w:val="20"/>
          <w:szCs w:val="20"/>
          <w:lang w:val="es-ES"/>
        </w:rPr>
        <w:t xml:space="preserve">, </w:t>
      </w:r>
      <w:r w:rsidR="00B07D5F" w:rsidRPr="00351298">
        <w:rPr>
          <w:rFonts w:ascii="Verdana" w:hAnsi="Verdana"/>
          <w:sz w:val="20"/>
          <w:szCs w:val="20"/>
          <w:lang w:val="es-ES"/>
        </w:rPr>
        <w:t xml:space="preserve">el Tribunal nota </w:t>
      </w:r>
      <w:r w:rsidR="005E7D6C">
        <w:rPr>
          <w:rFonts w:ascii="Verdana" w:hAnsi="Verdana"/>
          <w:sz w:val="20"/>
          <w:szCs w:val="20"/>
          <w:lang w:val="es-ES"/>
        </w:rPr>
        <w:t xml:space="preserve">por una parte </w:t>
      </w:r>
      <w:r w:rsidR="00B07D5F" w:rsidRPr="00351298">
        <w:rPr>
          <w:rFonts w:ascii="Verdana" w:hAnsi="Verdana"/>
          <w:sz w:val="20"/>
          <w:szCs w:val="20"/>
          <w:lang w:val="es-ES"/>
        </w:rPr>
        <w:t>que se trata de comunicados de prensa en los cuales no consta</w:t>
      </w:r>
      <w:r w:rsidR="009D1315" w:rsidRPr="00351298">
        <w:rPr>
          <w:rFonts w:ascii="Verdana" w:hAnsi="Verdana"/>
          <w:sz w:val="20"/>
          <w:szCs w:val="20"/>
          <w:lang w:val="es-ES"/>
        </w:rPr>
        <w:t xml:space="preserve"> ningún membrete oficial de la PGJEM</w:t>
      </w:r>
      <w:r w:rsidR="00094D4E" w:rsidRPr="00351298">
        <w:rPr>
          <w:rFonts w:ascii="Verdana" w:hAnsi="Verdana"/>
          <w:sz w:val="20"/>
          <w:szCs w:val="20"/>
          <w:lang w:val="es-ES"/>
        </w:rPr>
        <w:t>, por lo cual tampoco es posible comprobar de forma inequívoca la fuente de la cual provienen.</w:t>
      </w:r>
      <w:r w:rsidR="00B2230B" w:rsidRPr="00351298">
        <w:rPr>
          <w:rFonts w:ascii="Verdana" w:hAnsi="Verdana"/>
          <w:sz w:val="20"/>
          <w:szCs w:val="20"/>
          <w:lang w:val="es-ES"/>
        </w:rPr>
        <w:t xml:space="preserve"> </w:t>
      </w:r>
      <w:r w:rsidR="005E7D6C" w:rsidRPr="00351298">
        <w:rPr>
          <w:rFonts w:ascii="Verdana" w:hAnsi="Verdana"/>
          <w:sz w:val="20"/>
          <w:szCs w:val="20"/>
          <w:lang w:val="es-ES"/>
        </w:rPr>
        <w:t xml:space="preserve">Los representantes no presentaron pruebas adicionales que permiten identificar la proveniencia de estos. </w:t>
      </w:r>
      <w:r w:rsidR="005E7D6C">
        <w:rPr>
          <w:rFonts w:ascii="Verdana" w:hAnsi="Verdana"/>
          <w:sz w:val="20"/>
          <w:szCs w:val="20"/>
          <w:lang w:val="es-ES"/>
        </w:rPr>
        <w:t xml:space="preserve">Adicionalmente, esas notas, </w:t>
      </w:r>
      <w:r w:rsidR="005E7D6C" w:rsidRPr="005E7D6C">
        <w:rPr>
          <w:rFonts w:ascii="Verdana" w:hAnsi="Verdana"/>
          <w:sz w:val="20"/>
          <w:szCs w:val="20"/>
          <w:lang w:val="es-ES"/>
        </w:rPr>
        <w:t>en su mayoría</w:t>
      </w:r>
      <w:r w:rsidR="005E7D6C">
        <w:rPr>
          <w:rFonts w:ascii="Verdana" w:hAnsi="Verdana"/>
          <w:sz w:val="20"/>
          <w:szCs w:val="20"/>
          <w:lang w:val="es-ES"/>
        </w:rPr>
        <w:t>,</w:t>
      </w:r>
      <w:r w:rsidR="005E7D6C" w:rsidRPr="005E7D6C">
        <w:rPr>
          <w:rFonts w:ascii="Verdana" w:hAnsi="Verdana"/>
          <w:sz w:val="20"/>
          <w:szCs w:val="20"/>
          <w:lang w:val="es-ES"/>
        </w:rPr>
        <w:t xml:space="preserve"> informan de manera pormenorizada sobre los distintos actos procesales que tuvieron lugar en el marco de la causa penal 88/2002</w:t>
      </w:r>
      <w:r w:rsidR="005E7D6C">
        <w:rPr>
          <w:rFonts w:ascii="Verdana" w:hAnsi="Verdana"/>
          <w:sz w:val="20"/>
          <w:szCs w:val="20"/>
          <w:lang w:val="es-ES"/>
        </w:rPr>
        <w:t xml:space="preserve">. </w:t>
      </w:r>
      <w:r w:rsidR="00094D4E" w:rsidRPr="00351298">
        <w:rPr>
          <w:rFonts w:ascii="Verdana" w:hAnsi="Verdana"/>
          <w:sz w:val="20"/>
          <w:szCs w:val="20"/>
          <w:lang w:val="es-ES"/>
        </w:rPr>
        <w:t xml:space="preserve">Por último, en cuanto al informe gubernamental mencionado por la Comisión, éste no fue remitido como prueba por parte de la Comisión o los representantes, por lo que no es posible para este Tribunal verificar lo alegado al respecto. </w:t>
      </w:r>
    </w:p>
    <w:p w14:paraId="3D025A78" w14:textId="51AA0C8D" w:rsidR="00094D4E" w:rsidRPr="00351298" w:rsidRDefault="00094D4E" w:rsidP="00094D4E">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De conformidad con lo anterior, la Corte carece de elementos para referirse a la vulneración a</w:t>
      </w:r>
      <w:r w:rsidR="00CC7429">
        <w:rPr>
          <w:rFonts w:ascii="Verdana" w:hAnsi="Verdana"/>
          <w:sz w:val="20"/>
          <w:szCs w:val="20"/>
          <w:lang w:val="es-ES"/>
        </w:rPr>
        <w:t>l derecho a</w:t>
      </w:r>
      <w:r w:rsidRPr="00351298">
        <w:rPr>
          <w:rFonts w:ascii="Verdana" w:hAnsi="Verdana"/>
          <w:sz w:val="20"/>
          <w:szCs w:val="20"/>
          <w:lang w:val="es-ES"/>
        </w:rPr>
        <w:t xml:space="preserve"> la presunción de inocencia de Daniel García </w:t>
      </w:r>
      <w:r w:rsidR="005E7D6C">
        <w:rPr>
          <w:rFonts w:ascii="Verdana" w:hAnsi="Verdana"/>
          <w:sz w:val="20"/>
          <w:szCs w:val="20"/>
          <w:lang w:val="es-ES"/>
        </w:rPr>
        <w:t>Rodríguez</w:t>
      </w:r>
      <w:r w:rsidRPr="00351298">
        <w:rPr>
          <w:rFonts w:ascii="Verdana" w:hAnsi="Verdana"/>
          <w:sz w:val="20"/>
          <w:szCs w:val="20"/>
          <w:lang w:val="es-ES"/>
        </w:rPr>
        <w:t xml:space="preserve"> y a Reyes Alpízar Ortiz por la publicación de las notas de prensa o de los mencionados boletines.</w:t>
      </w:r>
    </w:p>
    <w:p w14:paraId="72CD1477" w14:textId="018023D8" w:rsidR="00E55BF4" w:rsidRPr="00351298" w:rsidRDefault="007E6CD5" w:rsidP="00D73463">
      <w:pPr>
        <w:numPr>
          <w:ilvl w:val="0"/>
          <w:numId w:val="2"/>
        </w:numPr>
        <w:spacing w:before="120" w:after="120"/>
        <w:ind w:left="0" w:firstLine="0"/>
        <w:jc w:val="both"/>
        <w:rPr>
          <w:rFonts w:ascii="Verdana" w:hAnsi="Verdana"/>
          <w:sz w:val="20"/>
          <w:szCs w:val="20"/>
          <w:lang w:val="es-ES"/>
        </w:rPr>
      </w:pPr>
      <w:r w:rsidRPr="00351298">
        <w:rPr>
          <w:rFonts w:ascii="Verdana" w:hAnsi="Verdana"/>
          <w:sz w:val="20"/>
          <w:szCs w:val="20"/>
          <w:lang w:val="es-ES"/>
        </w:rPr>
        <w:t>En cuanto al alegato de los representantes en torno a la violación al derecho a la dignidad y la honra de Daniel García Ortiz y a Reyes Alpízar</w:t>
      </w:r>
      <w:r w:rsidR="007C78FA" w:rsidRPr="00351298">
        <w:rPr>
          <w:rFonts w:ascii="Verdana" w:hAnsi="Verdana"/>
          <w:sz w:val="20"/>
          <w:szCs w:val="20"/>
          <w:lang w:val="es-ES"/>
        </w:rPr>
        <w:t xml:space="preserve"> Ortiz </w:t>
      </w:r>
      <w:r w:rsidRPr="00351298">
        <w:rPr>
          <w:rFonts w:ascii="Verdana" w:hAnsi="Verdana"/>
          <w:sz w:val="20"/>
          <w:szCs w:val="20"/>
          <w:lang w:val="es-ES"/>
        </w:rPr>
        <w:t>por esas mismas declaraciones</w:t>
      </w:r>
      <w:r w:rsidR="001539FC" w:rsidRPr="00351298">
        <w:rPr>
          <w:rFonts w:ascii="Verdana" w:hAnsi="Verdana"/>
          <w:sz w:val="20"/>
          <w:szCs w:val="20"/>
          <w:lang w:val="es-ES"/>
        </w:rPr>
        <w:t xml:space="preserve"> (artículo 11 de la Convención Americana)</w:t>
      </w:r>
      <w:r w:rsidRPr="00351298">
        <w:rPr>
          <w:rFonts w:ascii="Verdana" w:hAnsi="Verdana"/>
          <w:sz w:val="20"/>
          <w:szCs w:val="20"/>
          <w:lang w:val="es-ES"/>
        </w:rPr>
        <w:t xml:space="preserve">, este Tribunal encuentra que </w:t>
      </w:r>
      <w:r w:rsidR="00352E4C" w:rsidRPr="00351298">
        <w:rPr>
          <w:rFonts w:ascii="Verdana" w:hAnsi="Verdana"/>
          <w:sz w:val="20"/>
          <w:szCs w:val="20"/>
          <w:lang w:val="es-ES"/>
        </w:rPr>
        <w:t xml:space="preserve">el análisis de la violación a dicho derecho se encuentra subsumido en las consideraciones sobre la violación a la presunción de inocencia por las declaraciones públicas oficiales que emanan de los boletines de prensa de la PGJEM. En consecuencia, la Corte no efectuará pronunciamientos adicionales al respecto. </w:t>
      </w:r>
    </w:p>
    <w:p w14:paraId="49BA96BD" w14:textId="788795EF" w:rsidR="005F6ECF" w:rsidRPr="00351298" w:rsidRDefault="00C5476B" w:rsidP="005F6ECF">
      <w:pPr>
        <w:pStyle w:val="Ttulo3"/>
        <w:spacing w:before="240" w:after="240"/>
        <w:ind w:left="567"/>
        <w:jc w:val="both"/>
        <w:rPr>
          <w:rFonts w:ascii="Verdana" w:hAnsi="Verdana"/>
          <w:b w:val="0"/>
          <w:snapToGrid w:val="0"/>
          <w:spacing w:val="-2"/>
          <w:sz w:val="20"/>
          <w:szCs w:val="20"/>
          <w:lang w:eastAsia="es-ES"/>
        </w:rPr>
      </w:pPr>
      <w:bookmarkStart w:id="118" w:name="_Toc132133937"/>
      <w:r w:rsidRPr="00351298">
        <w:rPr>
          <w:rFonts w:ascii="Verdana" w:hAnsi="Verdana"/>
          <w:b w:val="0"/>
          <w:snapToGrid w:val="0"/>
          <w:spacing w:val="-2"/>
          <w:sz w:val="20"/>
          <w:szCs w:val="20"/>
          <w:lang w:eastAsia="es-ES"/>
        </w:rPr>
        <w:t>B</w:t>
      </w:r>
      <w:r w:rsidR="005F6ECF" w:rsidRPr="00351298">
        <w:rPr>
          <w:rFonts w:ascii="Verdana" w:hAnsi="Verdana"/>
          <w:b w:val="0"/>
          <w:snapToGrid w:val="0"/>
          <w:spacing w:val="-2"/>
          <w:sz w:val="20"/>
          <w:szCs w:val="20"/>
          <w:lang w:eastAsia="es-ES"/>
        </w:rPr>
        <w:t>.</w:t>
      </w:r>
      <w:r w:rsidR="001705D2" w:rsidRPr="00351298">
        <w:rPr>
          <w:rFonts w:ascii="Verdana" w:hAnsi="Verdana"/>
          <w:b w:val="0"/>
          <w:snapToGrid w:val="0"/>
          <w:spacing w:val="-2"/>
          <w:sz w:val="20"/>
          <w:szCs w:val="20"/>
          <w:lang w:eastAsia="es-ES"/>
        </w:rPr>
        <w:t>4</w:t>
      </w:r>
      <w:r w:rsidR="005F6ECF" w:rsidRPr="00351298">
        <w:rPr>
          <w:rFonts w:ascii="Verdana" w:hAnsi="Verdana"/>
          <w:b w:val="0"/>
          <w:snapToGrid w:val="0"/>
          <w:spacing w:val="-2"/>
          <w:sz w:val="20"/>
          <w:szCs w:val="20"/>
          <w:lang w:eastAsia="es-ES"/>
        </w:rPr>
        <w:t xml:space="preserve">. </w:t>
      </w:r>
      <w:r w:rsidR="00456E56" w:rsidRPr="00351298">
        <w:rPr>
          <w:rFonts w:ascii="Verdana" w:hAnsi="Verdana"/>
          <w:b w:val="0"/>
          <w:snapToGrid w:val="0"/>
          <w:spacing w:val="-2"/>
          <w:sz w:val="20"/>
          <w:szCs w:val="20"/>
          <w:lang w:eastAsia="es-ES"/>
        </w:rPr>
        <w:t>El principio del p</w:t>
      </w:r>
      <w:r w:rsidR="005F6ECF" w:rsidRPr="00351298">
        <w:rPr>
          <w:rFonts w:ascii="Verdana" w:hAnsi="Verdana"/>
          <w:b w:val="0"/>
          <w:snapToGrid w:val="0"/>
          <w:spacing w:val="-2"/>
          <w:sz w:val="20"/>
          <w:szCs w:val="20"/>
          <w:lang w:eastAsia="es-ES"/>
        </w:rPr>
        <w:t>lazo razonable</w:t>
      </w:r>
      <w:r w:rsidR="000549FB">
        <w:rPr>
          <w:rFonts w:ascii="Verdana" w:hAnsi="Verdana"/>
          <w:b w:val="0"/>
          <w:snapToGrid w:val="0"/>
          <w:spacing w:val="-2"/>
          <w:sz w:val="20"/>
          <w:szCs w:val="20"/>
          <w:lang w:eastAsia="es-ES"/>
        </w:rPr>
        <w:t xml:space="preserve"> del proceso</w:t>
      </w:r>
      <w:r w:rsidR="00456E56" w:rsidRPr="00351298">
        <w:rPr>
          <w:rFonts w:ascii="Verdana" w:hAnsi="Verdana"/>
          <w:b w:val="0"/>
          <w:snapToGrid w:val="0"/>
          <w:spacing w:val="-2"/>
          <w:sz w:val="20"/>
          <w:szCs w:val="20"/>
          <w:lang w:eastAsia="es-ES"/>
        </w:rPr>
        <w:t xml:space="preserve"> (artículo 8.1 de la Convención Americana)</w:t>
      </w:r>
      <w:bookmarkEnd w:id="118"/>
    </w:p>
    <w:p w14:paraId="0326E5D4" w14:textId="7B8475BC" w:rsidR="005F6ECF" w:rsidRPr="00F31F8B" w:rsidRDefault="005F6ECF" w:rsidP="005F6ECF">
      <w:pPr>
        <w:numPr>
          <w:ilvl w:val="0"/>
          <w:numId w:val="2"/>
        </w:numPr>
        <w:spacing w:before="120" w:after="120"/>
        <w:ind w:left="0" w:firstLine="0"/>
        <w:jc w:val="both"/>
        <w:rPr>
          <w:rFonts w:ascii="Verdana" w:eastAsia="Cambria" w:hAnsi="Verdana" w:cs="Cambria"/>
          <w:sz w:val="20"/>
          <w:szCs w:val="20"/>
          <w:lang w:val="es-ES_tradnl"/>
        </w:rPr>
      </w:pPr>
      <w:r w:rsidRPr="7CDFE7CF">
        <w:rPr>
          <w:rFonts w:ascii="Verdana" w:eastAsia="Cambria" w:hAnsi="Verdana" w:cs="Cambria"/>
          <w:sz w:val="20"/>
          <w:szCs w:val="20"/>
          <w:lang w:val="es-ES"/>
        </w:rPr>
        <w:t>La Corte ha establecido que la evaluación del plazo razonable se debe analizar en cada caso concreto, en relación con la duración total del proceso</w:t>
      </w:r>
      <w:r w:rsidR="0044436F" w:rsidRPr="7CDFE7CF">
        <w:rPr>
          <w:rFonts w:ascii="Verdana" w:eastAsia="Cambria" w:hAnsi="Verdana" w:cs="Cambria"/>
          <w:sz w:val="20"/>
          <w:szCs w:val="20"/>
          <w:lang w:val="es-ES"/>
        </w:rPr>
        <w:t xml:space="preserve"> y sus características particulares</w:t>
      </w:r>
      <w:r w:rsidRPr="7CDFE7CF">
        <w:rPr>
          <w:rFonts w:ascii="Verdana" w:eastAsia="Cambria" w:hAnsi="Verdana" w:cs="Cambria"/>
          <w:sz w:val="20"/>
          <w:szCs w:val="20"/>
          <w:lang w:val="es-ES"/>
        </w:rPr>
        <w:t xml:space="preserve">, lo cual podría también incluir la ejecución de la sentencia definitiva. Así, ha considerado cuatro elementos para analizar si se cumplió con la garantía del plazo razonable, a saber: a) la complejidad del asunto; b) la actividad procesal del interesado; c) la conducta de las autoridades judiciales, y d) la afectación generada en la situación jurídica de la presunta víctima. La Corte recuerda que </w:t>
      </w:r>
      <w:r w:rsidRPr="7CDFE7CF">
        <w:rPr>
          <w:rFonts w:ascii="Verdana" w:eastAsia="Cambria" w:hAnsi="Verdana" w:cs="Cambria"/>
          <w:sz w:val="20"/>
          <w:szCs w:val="20"/>
          <w:lang w:val="es-ES"/>
        </w:rPr>
        <w:lastRenderedPageBreak/>
        <w:t>corresponde al Estado justificar, con fundamento en los criterios señalados, la razón por la cual ha requerido del tiempo transcurrido para tratar los casos y, en la eventualidad de que este no lo demuestre, la Corte tiene amplias atribuciones para hacer su propia estimación al respecto. El Tribunal reitera, además, que se debe apreciar la duración total del proceso, desde el primer acto procesal hasta que se dicte la sentencia definitiva, incluyendo los recursos de instancia que pudieran eventualmente presentarse</w:t>
      </w:r>
      <w:r w:rsidRPr="7CDFE7CF">
        <w:rPr>
          <w:rStyle w:val="Refdenotaalpie"/>
          <w:rFonts w:ascii="Verdana" w:eastAsia="Cambria" w:hAnsi="Verdana"/>
          <w:sz w:val="20"/>
          <w:lang w:val="es-ES"/>
        </w:rPr>
        <w:footnoteReference w:id="263"/>
      </w:r>
      <w:r w:rsidRPr="7CDFE7CF">
        <w:rPr>
          <w:rFonts w:ascii="Verdana" w:eastAsia="Cambria" w:hAnsi="Verdana" w:cs="Cambria"/>
          <w:sz w:val="20"/>
          <w:szCs w:val="20"/>
          <w:lang w:val="es-ES"/>
        </w:rPr>
        <w:t>.</w:t>
      </w:r>
    </w:p>
    <w:p w14:paraId="3B417634" w14:textId="03FEF281" w:rsidR="00AF6453" w:rsidRPr="00351298" w:rsidRDefault="00AF6453" w:rsidP="004370FB">
      <w:pPr>
        <w:numPr>
          <w:ilvl w:val="0"/>
          <w:numId w:val="2"/>
        </w:numPr>
        <w:spacing w:before="120" w:after="120"/>
        <w:ind w:left="0" w:firstLine="0"/>
        <w:jc w:val="both"/>
        <w:rPr>
          <w:rFonts w:ascii="Verdana" w:eastAsia="Cambria" w:hAnsi="Verdana" w:cs="Cambria"/>
          <w:sz w:val="20"/>
          <w:szCs w:val="20"/>
          <w:lang w:val="es-ES_tradnl"/>
        </w:rPr>
      </w:pPr>
      <w:r w:rsidRPr="00F31F8B">
        <w:rPr>
          <w:rFonts w:ascii="Verdana" w:hAnsi="Verdana"/>
          <w:sz w:val="20"/>
          <w:szCs w:val="20"/>
          <w:lang w:eastAsia="es-CR"/>
        </w:rPr>
        <w:t xml:space="preserve">En relación al primer elemento, este Tribunal ha tenido en cuenta diversos criterios para determinar la complejidad de un asunto. Entre ellos se encuentra </w:t>
      </w:r>
      <w:r w:rsidR="0051395B" w:rsidRPr="00F31F8B">
        <w:rPr>
          <w:rFonts w:ascii="Verdana" w:hAnsi="Verdana"/>
          <w:sz w:val="20"/>
          <w:szCs w:val="20"/>
          <w:lang w:eastAsia="es-CR"/>
        </w:rPr>
        <w:t>a</w:t>
      </w:r>
      <w:r w:rsidRPr="00F31F8B">
        <w:rPr>
          <w:rFonts w:ascii="Verdana" w:hAnsi="Verdana"/>
          <w:sz w:val="20"/>
          <w:szCs w:val="20"/>
          <w:lang w:eastAsia="es-CR"/>
        </w:rPr>
        <w:t>) la complejidad de la prueba</w:t>
      </w:r>
      <w:r w:rsidRPr="5B6A28B2">
        <w:rPr>
          <w:rStyle w:val="Refdenotaalpie"/>
          <w:rFonts w:ascii="Verdana" w:hAnsi="Verdana"/>
          <w:sz w:val="20"/>
          <w:lang w:eastAsia="es-CR"/>
        </w:rPr>
        <w:footnoteReference w:id="264"/>
      </w:r>
      <w:r w:rsidRPr="00F31F8B">
        <w:rPr>
          <w:rFonts w:ascii="Verdana" w:hAnsi="Verdana"/>
          <w:sz w:val="20"/>
          <w:szCs w:val="20"/>
          <w:lang w:eastAsia="es-CR"/>
        </w:rPr>
        <w:t xml:space="preserve">; </w:t>
      </w:r>
      <w:r w:rsidR="0051395B" w:rsidRPr="00F31F8B">
        <w:rPr>
          <w:rFonts w:ascii="Verdana" w:hAnsi="Verdana"/>
          <w:sz w:val="20"/>
          <w:szCs w:val="20"/>
          <w:lang w:eastAsia="es-CR"/>
        </w:rPr>
        <w:t>b</w:t>
      </w:r>
      <w:r w:rsidRPr="00F31F8B">
        <w:rPr>
          <w:rFonts w:ascii="Verdana" w:hAnsi="Verdana"/>
          <w:sz w:val="20"/>
          <w:szCs w:val="20"/>
          <w:lang w:eastAsia="es-CR"/>
        </w:rPr>
        <w:t>) la pluralidad de sujetos procesales</w:t>
      </w:r>
      <w:r w:rsidRPr="5B6A28B2">
        <w:rPr>
          <w:rStyle w:val="Refdenotaalpie"/>
          <w:rFonts w:ascii="Verdana" w:hAnsi="Verdana"/>
          <w:sz w:val="20"/>
          <w:lang w:eastAsia="es-CR"/>
        </w:rPr>
        <w:footnoteReference w:id="265"/>
      </w:r>
      <w:r w:rsidRPr="00F31F8B">
        <w:rPr>
          <w:rFonts w:ascii="Verdana" w:hAnsi="Verdana"/>
          <w:sz w:val="20"/>
          <w:szCs w:val="20"/>
          <w:lang w:eastAsia="es-CR"/>
        </w:rPr>
        <w:t xml:space="preserve"> o la cantidad de víctimas</w:t>
      </w:r>
      <w:r w:rsidRPr="5B6A28B2">
        <w:rPr>
          <w:rStyle w:val="Refdenotaalpie"/>
          <w:rFonts w:ascii="Verdana" w:hAnsi="Verdana"/>
          <w:sz w:val="20"/>
          <w:lang w:eastAsia="es-CR"/>
        </w:rPr>
        <w:footnoteReference w:id="266"/>
      </w:r>
      <w:r w:rsidRPr="00F31F8B">
        <w:rPr>
          <w:rFonts w:ascii="Verdana" w:hAnsi="Verdana"/>
          <w:sz w:val="20"/>
          <w:szCs w:val="20"/>
          <w:lang w:eastAsia="es-CR"/>
        </w:rPr>
        <w:t xml:space="preserve">; </w:t>
      </w:r>
      <w:r w:rsidR="0051395B" w:rsidRPr="00F31F8B">
        <w:rPr>
          <w:rFonts w:ascii="Verdana" w:hAnsi="Verdana"/>
          <w:sz w:val="20"/>
          <w:szCs w:val="20"/>
          <w:lang w:eastAsia="es-CR"/>
        </w:rPr>
        <w:t>c</w:t>
      </w:r>
      <w:r w:rsidRPr="00F31F8B">
        <w:rPr>
          <w:rFonts w:ascii="Verdana" w:hAnsi="Verdana"/>
          <w:sz w:val="20"/>
          <w:szCs w:val="20"/>
          <w:lang w:eastAsia="es-CR"/>
        </w:rPr>
        <w:t>) el tiempo transcurrido desde que se ha tenido la noticia del presunto hecho delictivo</w:t>
      </w:r>
      <w:r w:rsidRPr="5B6A28B2">
        <w:rPr>
          <w:rStyle w:val="Refdenotaalpie"/>
          <w:rFonts w:ascii="Verdana" w:hAnsi="Verdana"/>
          <w:sz w:val="20"/>
          <w:lang w:eastAsia="es-CR"/>
        </w:rPr>
        <w:footnoteReference w:id="267"/>
      </w:r>
      <w:r w:rsidRPr="00F31F8B">
        <w:rPr>
          <w:rFonts w:ascii="Verdana" w:hAnsi="Verdana"/>
          <w:sz w:val="20"/>
          <w:szCs w:val="20"/>
          <w:lang w:eastAsia="es-CR"/>
        </w:rPr>
        <w:t xml:space="preserve">; </w:t>
      </w:r>
      <w:r w:rsidR="0051395B" w:rsidRPr="00F31F8B">
        <w:rPr>
          <w:rFonts w:ascii="Verdana" w:hAnsi="Verdana"/>
          <w:sz w:val="20"/>
          <w:szCs w:val="20"/>
          <w:lang w:eastAsia="es-CR"/>
        </w:rPr>
        <w:t>d</w:t>
      </w:r>
      <w:r w:rsidRPr="00F31F8B">
        <w:rPr>
          <w:rFonts w:ascii="Verdana" w:hAnsi="Verdana"/>
          <w:sz w:val="20"/>
          <w:szCs w:val="20"/>
          <w:lang w:eastAsia="es-CR"/>
        </w:rPr>
        <w:t>) las características del recurso contenido en la legislación interna</w:t>
      </w:r>
      <w:r w:rsidRPr="5B6A28B2">
        <w:rPr>
          <w:rStyle w:val="Refdenotaalpie"/>
          <w:rFonts w:ascii="Verdana" w:hAnsi="Verdana"/>
          <w:sz w:val="20"/>
          <w:lang w:eastAsia="es-CR"/>
        </w:rPr>
        <w:footnoteReference w:id="268"/>
      </w:r>
      <w:r w:rsidRPr="00F31F8B">
        <w:rPr>
          <w:rFonts w:ascii="Verdana" w:hAnsi="Verdana"/>
          <w:sz w:val="20"/>
          <w:szCs w:val="20"/>
          <w:lang w:eastAsia="es-CR"/>
        </w:rPr>
        <w:t xml:space="preserve">, o </w:t>
      </w:r>
      <w:r w:rsidR="0051395B" w:rsidRPr="00F31F8B">
        <w:rPr>
          <w:rFonts w:ascii="Verdana" w:hAnsi="Verdana"/>
          <w:sz w:val="20"/>
          <w:szCs w:val="20"/>
          <w:lang w:eastAsia="es-CR"/>
        </w:rPr>
        <w:t>e</w:t>
      </w:r>
      <w:r w:rsidRPr="00F31F8B">
        <w:rPr>
          <w:rFonts w:ascii="Verdana" w:hAnsi="Verdana"/>
          <w:sz w:val="20"/>
          <w:szCs w:val="20"/>
          <w:lang w:eastAsia="es-CR"/>
        </w:rPr>
        <w:t>) el contexto en el que ocurrieron</w:t>
      </w:r>
      <w:r w:rsidRPr="00351298">
        <w:rPr>
          <w:rFonts w:ascii="Verdana" w:hAnsi="Verdana"/>
          <w:sz w:val="20"/>
          <w:szCs w:val="20"/>
          <w:lang w:eastAsia="es-CR"/>
        </w:rPr>
        <w:t xml:space="preserve"> los hechos</w:t>
      </w:r>
      <w:r w:rsidRPr="5B6A28B2">
        <w:rPr>
          <w:rStyle w:val="Refdenotaalpie"/>
          <w:rFonts w:ascii="Verdana" w:hAnsi="Verdana"/>
          <w:sz w:val="20"/>
          <w:lang w:eastAsia="es-CR"/>
        </w:rPr>
        <w:footnoteReference w:id="269"/>
      </w:r>
      <w:r w:rsidRPr="00351298">
        <w:rPr>
          <w:rFonts w:ascii="Verdana" w:hAnsi="Verdana"/>
          <w:sz w:val="20"/>
          <w:szCs w:val="20"/>
          <w:lang w:eastAsia="es-CR"/>
        </w:rPr>
        <w:t>.</w:t>
      </w:r>
      <w:r w:rsidRPr="5B6A28B2">
        <w:rPr>
          <w:rFonts w:ascii="Verdana" w:eastAsia="Cambria" w:hAnsi="Verdana" w:cs="Cambria"/>
          <w:sz w:val="20"/>
          <w:szCs w:val="20"/>
          <w:lang w:val="es-ES"/>
        </w:rPr>
        <w:t xml:space="preserve"> </w:t>
      </w:r>
      <w:r w:rsidRPr="00351298">
        <w:rPr>
          <w:rFonts w:ascii="Verdana" w:hAnsi="Verdana"/>
          <w:sz w:val="20"/>
          <w:szCs w:val="20"/>
          <w:lang w:eastAsia="es-CR"/>
        </w:rPr>
        <w:t>El segundo elemento, corresponde a la Corte evaluar si los interesados realizaron intervenciones que les eran razonablemente exigibles en las distintas etapas procesales</w:t>
      </w:r>
      <w:r w:rsidRPr="5B6A28B2">
        <w:rPr>
          <w:rStyle w:val="Refdenotaalpie"/>
          <w:rFonts w:ascii="Verdana" w:hAnsi="Verdana"/>
          <w:sz w:val="20"/>
          <w:lang w:eastAsia="es-CR"/>
        </w:rPr>
        <w:footnoteReference w:id="270"/>
      </w:r>
      <w:r w:rsidRPr="00351298">
        <w:rPr>
          <w:rFonts w:ascii="Verdana" w:hAnsi="Verdana"/>
          <w:sz w:val="20"/>
          <w:szCs w:val="20"/>
          <w:lang w:eastAsia="es-CR"/>
        </w:rPr>
        <w:t>. En cuanto a la conducta de las autoridades judiciales, la Corte ha entendido que, como rectoras del proceso, tienen el deber de dirigir y encausar el procedimiento judicial con el fin de no sacrificar la justicia y el debido proceso en pro del formalismo</w:t>
      </w:r>
      <w:r w:rsidRPr="5B6A28B2">
        <w:rPr>
          <w:rStyle w:val="Refdenotaalpie"/>
          <w:rFonts w:ascii="Verdana" w:hAnsi="Verdana"/>
          <w:sz w:val="20"/>
          <w:lang w:eastAsia="es-CR"/>
        </w:rPr>
        <w:footnoteReference w:id="271"/>
      </w:r>
      <w:r w:rsidRPr="00351298">
        <w:rPr>
          <w:rFonts w:ascii="Verdana" w:hAnsi="Verdana"/>
          <w:sz w:val="20"/>
          <w:szCs w:val="20"/>
          <w:lang w:eastAsia="es-CR"/>
        </w:rPr>
        <w:t xml:space="preserve">. </w:t>
      </w:r>
      <w:r w:rsidRPr="00351298">
        <w:rPr>
          <w:rFonts w:ascii="Verdana" w:hAnsi="Verdana"/>
          <w:sz w:val="20"/>
          <w:szCs w:val="20"/>
        </w:rPr>
        <w:t xml:space="preserve">En relación con el cuarto elemento, es decir la afectación generada en la situación jurídica de la persona involucrada en el proceso, la Corte ha establecido </w:t>
      </w:r>
      <w:r w:rsidRPr="00351298">
        <w:rPr>
          <w:rFonts w:ascii="Verdana" w:hAnsi="Verdana"/>
          <w:sz w:val="20"/>
          <w:szCs w:val="20"/>
        </w:rPr>
        <w:lastRenderedPageBreak/>
        <w:t>que las autoridades deben actuar con mayor diligencia en aquellos casos donde de la duración del proceso depende la protección de otros derechos de los sujetos del proceso</w:t>
      </w:r>
      <w:r w:rsidRPr="5B6A28B2">
        <w:rPr>
          <w:rStyle w:val="Refdenotaalpie"/>
          <w:rFonts w:ascii="Verdana" w:eastAsia="Batang" w:hAnsi="Verdana"/>
          <w:sz w:val="20"/>
        </w:rPr>
        <w:footnoteReference w:id="272"/>
      </w:r>
      <w:r w:rsidRPr="00351298">
        <w:rPr>
          <w:rFonts w:ascii="Verdana" w:hAnsi="Verdana"/>
          <w:sz w:val="20"/>
          <w:szCs w:val="20"/>
        </w:rPr>
        <w:t>.</w:t>
      </w:r>
    </w:p>
    <w:p w14:paraId="65BBDC9B" w14:textId="4F5EB326" w:rsidR="00B615C5" w:rsidRPr="00351298" w:rsidRDefault="001B1251" w:rsidP="0051395B">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eastAsia="Cambria" w:hAnsi="Verdana" w:cs="Cambria"/>
          <w:sz w:val="20"/>
          <w:szCs w:val="20"/>
          <w:lang w:val="es-ES_tradnl"/>
        </w:rPr>
        <w:t>El Tribunal</w:t>
      </w:r>
      <w:r w:rsidR="00DB6B13" w:rsidRPr="00351298">
        <w:rPr>
          <w:rFonts w:ascii="Verdana" w:eastAsia="Cambria" w:hAnsi="Verdana" w:cs="Cambria"/>
          <w:sz w:val="20"/>
          <w:szCs w:val="20"/>
          <w:lang w:val="es-ES_tradnl"/>
        </w:rPr>
        <w:t xml:space="preserve"> advierte que en el presente caso </w:t>
      </w:r>
      <w:r w:rsidR="00B615C5" w:rsidRPr="00351298">
        <w:rPr>
          <w:rFonts w:ascii="Verdana" w:eastAsia="Cambria" w:hAnsi="Verdana" w:cs="Cambria"/>
          <w:sz w:val="20"/>
          <w:szCs w:val="20"/>
          <w:lang w:val="es-ES_tradnl"/>
        </w:rPr>
        <w:t>las autoridades internas desarrollaron investigaciones y procesos judiciales</w:t>
      </w:r>
      <w:r w:rsidR="0051395B" w:rsidRPr="00351298">
        <w:rPr>
          <w:rFonts w:ascii="Verdana" w:eastAsia="Cambria" w:hAnsi="Verdana" w:cs="Cambria"/>
          <w:sz w:val="20"/>
          <w:szCs w:val="20"/>
          <w:lang w:val="es-ES_tradnl"/>
        </w:rPr>
        <w:t xml:space="preserve"> en la</w:t>
      </w:r>
      <w:r w:rsidR="00FB5ED9" w:rsidRPr="00351298">
        <w:rPr>
          <w:rFonts w:ascii="Verdana" w:eastAsia="Cambria" w:hAnsi="Verdana" w:cs="Cambria"/>
          <w:sz w:val="20"/>
          <w:szCs w:val="20"/>
          <w:lang w:val="es-ES_tradnl"/>
        </w:rPr>
        <w:t xml:space="preserve"> </w:t>
      </w:r>
      <w:r w:rsidR="00AA30FE" w:rsidRPr="00351298">
        <w:rPr>
          <w:rFonts w:ascii="Verdana" w:eastAsia="Cambria" w:hAnsi="Verdana" w:cs="Cambria"/>
          <w:sz w:val="20"/>
          <w:szCs w:val="20"/>
          <w:lang w:val="es-ES_tradnl"/>
        </w:rPr>
        <w:t xml:space="preserve">causa penal 88/2002 </w:t>
      </w:r>
      <w:r w:rsidR="00B615C5" w:rsidRPr="00351298">
        <w:rPr>
          <w:rFonts w:ascii="Verdana" w:eastAsia="Cambria" w:hAnsi="Verdana" w:cs="Cambria"/>
          <w:sz w:val="20"/>
          <w:szCs w:val="20"/>
          <w:lang w:val="es-ES_tradnl"/>
        </w:rPr>
        <w:t>relaci</w:t>
      </w:r>
      <w:r w:rsidRPr="00351298">
        <w:rPr>
          <w:rFonts w:ascii="Verdana" w:eastAsia="Cambria" w:hAnsi="Verdana" w:cs="Cambria"/>
          <w:sz w:val="20"/>
          <w:szCs w:val="20"/>
          <w:lang w:val="es-ES_tradnl"/>
        </w:rPr>
        <w:t>onada</w:t>
      </w:r>
      <w:r w:rsidR="00B615C5" w:rsidRPr="00351298">
        <w:rPr>
          <w:rFonts w:ascii="Verdana" w:eastAsia="Cambria" w:hAnsi="Verdana" w:cs="Cambria"/>
          <w:sz w:val="20"/>
          <w:szCs w:val="20"/>
          <w:lang w:val="es-ES_tradnl"/>
        </w:rPr>
        <w:t xml:space="preserve"> con el homicidio de </w:t>
      </w:r>
      <w:r w:rsidRPr="00351298">
        <w:rPr>
          <w:rFonts w:ascii="Verdana" w:eastAsia="Cambria" w:hAnsi="Verdana" w:cs="Cambria"/>
          <w:sz w:val="20"/>
          <w:szCs w:val="20"/>
          <w:lang w:val="es-ES_tradnl"/>
        </w:rPr>
        <w:t xml:space="preserve">la regidora </w:t>
      </w:r>
      <w:r w:rsidR="00FB5ED9" w:rsidRPr="00351298">
        <w:rPr>
          <w:rFonts w:ascii="Verdana" w:eastAsia="Cambria" w:hAnsi="Verdana" w:cs="Cambria"/>
          <w:sz w:val="20"/>
          <w:szCs w:val="20"/>
          <w:lang w:val="es-ES_tradnl"/>
        </w:rPr>
        <w:t>María de los Ángeles Tamés Pérez</w:t>
      </w:r>
      <w:r w:rsidRPr="00351298">
        <w:rPr>
          <w:rFonts w:ascii="Verdana" w:eastAsia="Cambria" w:hAnsi="Verdana" w:cs="Cambria"/>
          <w:sz w:val="20"/>
          <w:szCs w:val="20"/>
          <w:lang w:val="es-ES_tradnl"/>
        </w:rPr>
        <w:t xml:space="preserve">, </w:t>
      </w:r>
      <w:r w:rsidR="00B615C5" w:rsidRPr="00351298">
        <w:rPr>
          <w:rFonts w:ascii="Verdana" w:eastAsia="Cambria" w:hAnsi="Verdana" w:cs="Cambria"/>
          <w:sz w:val="20"/>
          <w:szCs w:val="20"/>
          <w:lang w:val="es-ES_tradnl"/>
        </w:rPr>
        <w:t xml:space="preserve">en </w:t>
      </w:r>
      <w:r w:rsidRPr="00351298">
        <w:rPr>
          <w:rFonts w:ascii="Verdana" w:eastAsia="Cambria" w:hAnsi="Verdana" w:cs="Cambria"/>
          <w:sz w:val="20"/>
          <w:szCs w:val="20"/>
          <w:lang w:val="es-ES_tradnl"/>
        </w:rPr>
        <w:t>la</w:t>
      </w:r>
      <w:r w:rsidR="00B615C5" w:rsidRPr="00351298">
        <w:rPr>
          <w:rFonts w:ascii="Verdana" w:eastAsia="Cambria" w:hAnsi="Verdana" w:cs="Cambria"/>
          <w:sz w:val="20"/>
          <w:szCs w:val="20"/>
          <w:lang w:val="es-ES_tradnl"/>
        </w:rPr>
        <w:t xml:space="preserve"> cual figuran como presuntos autores Daniel García Rodríguez y Reyes Alpízar</w:t>
      </w:r>
      <w:r w:rsidR="007C78FA" w:rsidRPr="00351298">
        <w:rPr>
          <w:rFonts w:ascii="Verdana" w:eastAsia="Cambria" w:hAnsi="Verdana" w:cs="Cambria"/>
          <w:sz w:val="20"/>
          <w:szCs w:val="20"/>
          <w:lang w:val="es-ES_tradnl"/>
        </w:rPr>
        <w:t xml:space="preserve"> Ortiz</w:t>
      </w:r>
      <w:r w:rsidR="00B615C5" w:rsidRPr="00351298">
        <w:rPr>
          <w:rFonts w:ascii="Verdana" w:eastAsia="Cambria" w:hAnsi="Verdana" w:cs="Cambria"/>
          <w:sz w:val="20"/>
          <w:szCs w:val="20"/>
          <w:lang w:val="es-ES_tradnl"/>
        </w:rPr>
        <w:t xml:space="preserve">. </w:t>
      </w:r>
      <w:r w:rsidR="0051395B" w:rsidRPr="00351298">
        <w:rPr>
          <w:rFonts w:ascii="Verdana" w:eastAsia="Cambria" w:hAnsi="Verdana" w:cs="Cambria"/>
          <w:sz w:val="20"/>
          <w:szCs w:val="20"/>
          <w:lang w:val="es-ES_tradnl"/>
        </w:rPr>
        <w:t>L</w:t>
      </w:r>
      <w:r w:rsidR="00B615C5" w:rsidRPr="00351298">
        <w:rPr>
          <w:rFonts w:ascii="Verdana" w:eastAsia="Cambria" w:hAnsi="Verdana" w:cs="Cambria"/>
          <w:sz w:val="20"/>
          <w:szCs w:val="20"/>
          <w:lang w:val="es-ES_tradnl"/>
        </w:rPr>
        <w:t>a Corte constata que</w:t>
      </w:r>
      <w:r w:rsidRPr="00351298">
        <w:rPr>
          <w:rFonts w:ascii="Verdana" w:eastAsia="Cambria" w:hAnsi="Verdana" w:cs="Cambria"/>
          <w:sz w:val="20"/>
          <w:szCs w:val="20"/>
          <w:lang w:val="es-ES_tradnl"/>
        </w:rPr>
        <w:t xml:space="preserve"> las presuntas víctimas del caso</w:t>
      </w:r>
      <w:r w:rsidR="00B615C5" w:rsidRPr="00351298">
        <w:rPr>
          <w:rFonts w:ascii="Verdana" w:eastAsia="Cambria" w:hAnsi="Verdana" w:cs="Cambria"/>
          <w:sz w:val="20"/>
          <w:szCs w:val="20"/>
          <w:lang w:val="es-ES_tradnl"/>
        </w:rPr>
        <w:t xml:space="preserve"> </w:t>
      </w:r>
      <w:r w:rsidR="00492607" w:rsidRPr="00351298">
        <w:rPr>
          <w:rFonts w:ascii="Verdana" w:eastAsia="Cambria" w:hAnsi="Verdana" w:cs="Cambria"/>
          <w:sz w:val="20"/>
          <w:szCs w:val="20"/>
          <w:lang w:val="es-ES_tradnl"/>
        </w:rPr>
        <w:t>fueron vinculad</w:t>
      </w:r>
      <w:r w:rsidR="00E80D19">
        <w:rPr>
          <w:rFonts w:ascii="Verdana" w:eastAsia="Cambria" w:hAnsi="Verdana" w:cs="Cambria"/>
          <w:sz w:val="20"/>
          <w:szCs w:val="20"/>
          <w:lang w:val="es-ES_tradnl"/>
        </w:rPr>
        <w:t>as</w:t>
      </w:r>
      <w:r w:rsidR="00492607" w:rsidRPr="00351298">
        <w:rPr>
          <w:rFonts w:ascii="Verdana" w:eastAsia="Cambria" w:hAnsi="Verdana" w:cs="Cambria"/>
          <w:sz w:val="20"/>
          <w:szCs w:val="20"/>
          <w:lang w:val="es-ES_tradnl"/>
        </w:rPr>
        <w:t xml:space="preserve"> al proceso desde su detención, el 25 de febrero de 2002 para el caso de Daniel García Rodríguez y el 25 de octubre de 2002 para </w:t>
      </w:r>
      <w:r w:rsidRPr="00351298">
        <w:rPr>
          <w:rFonts w:ascii="Verdana" w:eastAsia="Cambria" w:hAnsi="Verdana" w:cs="Cambria"/>
          <w:sz w:val="20"/>
          <w:szCs w:val="20"/>
          <w:lang w:val="es-ES_tradnl"/>
        </w:rPr>
        <w:t>el</w:t>
      </w:r>
      <w:r w:rsidR="00492607" w:rsidRPr="00351298">
        <w:rPr>
          <w:rFonts w:ascii="Verdana" w:eastAsia="Cambria" w:hAnsi="Verdana" w:cs="Cambria"/>
          <w:sz w:val="20"/>
          <w:szCs w:val="20"/>
          <w:lang w:val="es-ES_tradnl"/>
        </w:rPr>
        <w:t xml:space="preserve"> caso de Reyes Alpízar</w:t>
      </w:r>
      <w:r w:rsidR="008D7148">
        <w:rPr>
          <w:rFonts w:ascii="Verdana" w:eastAsia="Cambria" w:hAnsi="Verdana" w:cs="Cambria"/>
          <w:sz w:val="20"/>
          <w:szCs w:val="20"/>
          <w:lang w:val="es-ES_tradnl"/>
        </w:rPr>
        <w:t xml:space="preserve"> Ortiz</w:t>
      </w:r>
      <w:r w:rsidR="00492607" w:rsidRPr="00351298">
        <w:rPr>
          <w:rFonts w:ascii="Verdana" w:eastAsia="Cambria" w:hAnsi="Verdana" w:cs="Cambria"/>
          <w:sz w:val="20"/>
          <w:szCs w:val="20"/>
          <w:lang w:val="es-ES_tradnl"/>
        </w:rPr>
        <w:t>. Ambos recuperaron su libertad ambulatoria el 23 de agosto de 2019, fecha en la cual se ordenó medidas cautelares no privativas de la libertad en su contra</w:t>
      </w:r>
      <w:r w:rsidR="0051395B" w:rsidRPr="00351298">
        <w:rPr>
          <w:rFonts w:ascii="Verdana" w:eastAsia="Cambria" w:hAnsi="Verdana" w:cs="Cambria"/>
          <w:sz w:val="20"/>
          <w:szCs w:val="20"/>
          <w:lang w:val="es-ES_tradnl"/>
        </w:rPr>
        <w:t xml:space="preserve"> (</w:t>
      </w:r>
      <w:r w:rsidR="0051395B" w:rsidRPr="00351298">
        <w:rPr>
          <w:rFonts w:ascii="Verdana" w:eastAsia="Cambria" w:hAnsi="Verdana" w:cs="Cambria"/>
          <w:i/>
          <w:iCs/>
          <w:sz w:val="20"/>
          <w:szCs w:val="20"/>
          <w:lang w:val="es-ES_tradnl"/>
        </w:rPr>
        <w:t>supra</w:t>
      </w:r>
      <w:r w:rsidR="0051395B" w:rsidRPr="00351298">
        <w:rPr>
          <w:rFonts w:ascii="Verdana" w:eastAsia="Cambria" w:hAnsi="Verdana" w:cs="Cambria"/>
          <w:sz w:val="20"/>
          <w:szCs w:val="20"/>
          <w:lang w:val="es-ES_tradnl"/>
        </w:rPr>
        <w:t xml:space="preserve"> párr. </w:t>
      </w:r>
      <w:r w:rsidR="008D7148">
        <w:rPr>
          <w:rFonts w:ascii="Verdana" w:eastAsia="Cambria" w:hAnsi="Verdana" w:cs="Cambria"/>
          <w:sz w:val="20"/>
          <w:szCs w:val="20"/>
          <w:lang w:val="es-ES_tradnl"/>
        </w:rPr>
        <w:t>87</w:t>
      </w:r>
      <w:r w:rsidR="0051395B" w:rsidRPr="00351298">
        <w:rPr>
          <w:rFonts w:ascii="Verdana" w:eastAsia="Cambria" w:hAnsi="Verdana" w:cs="Cambria"/>
          <w:sz w:val="20"/>
          <w:szCs w:val="20"/>
          <w:lang w:val="es-ES_tradnl"/>
        </w:rPr>
        <w:t>)</w:t>
      </w:r>
      <w:r w:rsidR="00492607" w:rsidRPr="00351298">
        <w:rPr>
          <w:rFonts w:ascii="Verdana" w:eastAsia="Cambria" w:hAnsi="Verdana" w:cs="Cambria"/>
          <w:sz w:val="20"/>
          <w:szCs w:val="20"/>
          <w:lang w:val="es-ES_tradnl"/>
        </w:rPr>
        <w:t>. Sin embargo, el proceso penal continuó, hasta que</w:t>
      </w:r>
      <w:r w:rsidRPr="00351298">
        <w:rPr>
          <w:rFonts w:ascii="Verdana" w:eastAsia="Cambria" w:hAnsi="Verdana" w:cs="Cambria"/>
          <w:sz w:val="20"/>
          <w:szCs w:val="20"/>
          <w:lang w:val="es-ES_tradnl"/>
        </w:rPr>
        <w:t>,</w:t>
      </w:r>
      <w:r w:rsidR="00492607" w:rsidRPr="00351298">
        <w:rPr>
          <w:rFonts w:ascii="Verdana" w:eastAsia="Cambria" w:hAnsi="Verdana" w:cs="Cambria"/>
          <w:sz w:val="20"/>
          <w:szCs w:val="20"/>
          <w:lang w:val="es-ES_tradnl"/>
        </w:rPr>
        <w:t xml:space="preserve"> el 12 de mayo de 2022</w:t>
      </w:r>
      <w:r w:rsidRPr="00351298">
        <w:rPr>
          <w:rFonts w:ascii="Verdana" w:eastAsia="Cambria" w:hAnsi="Verdana" w:cs="Cambria"/>
          <w:sz w:val="20"/>
          <w:szCs w:val="20"/>
          <w:lang w:val="es-ES_tradnl"/>
        </w:rPr>
        <w:t>,</w:t>
      </w:r>
      <w:r w:rsidR="00492607" w:rsidRPr="00351298">
        <w:rPr>
          <w:rFonts w:ascii="Verdana" w:eastAsia="Cambria" w:hAnsi="Verdana" w:cs="Cambria"/>
          <w:sz w:val="20"/>
          <w:szCs w:val="20"/>
          <w:lang w:val="es-ES_tradnl"/>
        </w:rPr>
        <w:t xml:space="preserve"> recayó la sentencia de </w:t>
      </w:r>
      <w:r w:rsidRPr="00351298">
        <w:rPr>
          <w:rFonts w:ascii="Verdana" w:eastAsia="Cambria" w:hAnsi="Verdana" w:cs="Cambria"/>
          <w:sz w:val="20"/>
          <w:szCs w:val="20"/>
          <w:lang w:val="es-ES_tradnl"/>
        </w:rPr>
        <w:t xml:space="preserve">condena de </w:t>
      </w:r>
      <w:r w:rsidR="00492607" w:rsidRPr="00351298">
        <w:rPr>
          <w:rFonts w:ascii="Verdana" w:eastAsia="Cambria" w:hAnsi="Verdana" w:cs="Cambria"/>
          <w:sz w:val="20"/>
          <w:szCs w:val="20"/>
          <w:lang w:val="es-ES_tradnl"/>
        </w:rPr>
        <w:t>primera instancia, la cual fue apelada con posterioridad</w:t>
      </w:r>
      <w:r w:rsidR="002624FD" w:rsidRPr="00351298">
        <w:rPr>
          <w:rFonts w:ascii="Verdana" w:eastAsia="Cambria" w:hAnsi="Verdana" w:cs="Cambria"/>
          <w:sz w:val="20"/>
          <w:szCs w:val="20"/>
          <w:lang w:val="es-ES_tradnl"/>
        </w:rPr>
        <w:t xml:space="preserve"> (</w:t>
      </w:r>
      <w:r w:rsidR="002624FD" w:rsidRPr="00351298">
        <w:rPr>
          <w:rFonts w:ascii="Verdana" w:eastAsia="Cambria" w:hAnsi="Verdana" w:cs="Cambria"/>
          <w:i/>
          <w:iCs/>
          <w:sz w:val="20"/>
          <w:szCs w:val="20"/>
          <w:lang w:val="es-ES_tradnl"/>
        </w:rPr>
        <w:t>supra</w:t>
      </w:r>
      <w:r w:rsidR="002624FD" w:rsidRPr="00351298">
        <w:rPr>
          <w:rFonts w:ascii="Verdana" w:eastAsia="Cambria" w:hAnsi="Verdana" w:cs="Cambria"/>
          <w:sz w:val="20"/>
          <w:szCs w:val="20"/>
          <w:lang w:val="es-ES_tradnl"/>
        </w:rPr>
        <w:t xml:space="preserve"> párr. </w:t>
      </w:r>
      <w:r w:rsidR="008D7148">
        <w:rPr>
          <w:rFonts w:ascii="Verdana" w:eastAsia="Cambria" w:hAnsi="Verdana" w:cs="Cambria"/>
          <w:sz w:val="20"/>
          <w:szCs w:val="20"/>
          <w:lang w:val="es-ES_tradnl"/>
        </w:rPr>
        <w:t>79</w:t>
      </w:r>
      <w:r w:rsidR="002624FD" w:rsidRPr="00351298">
        <w:rPr>
          <w:rFonts w:ascii="Verdana" w:eastAsia="Cambria" w:hAnsi="Verdana" w:cs="Cambria"/>
          <w:sz w:val="20"/>
          <w:szCs w:val="20"/>
          <w:lang w:val="es-ES_tradnl"/>
        </w:rPr>
        <w:t>)</w:t>
      </w:r>
      <w:r w:rsidR="00492607" w:rsidRPr="00351298">
        <w:rPr>
          <w:rFonts w:ascii="Verdana" w:eastAsia="Cambria" w:hAnsi="Verdana" w:cs="Cambria"/>
          <w:sz w:val="20"/>
          <w:szCs w:val="20"/>
          <w:lang w:val="es-ES_tradnl"/>
        </w:rPr>
        <w:t xml:space="preserve">. </w:t>
      </w:r>
      <w:r w:rsidR="00941ECC" w:rsidRPr="00351298">
        <w:rPr>
          <w:rFonts w:ascii="Verdana" w:eastAsia="Cambria" w:hAnsi="Verdana" w:cs="Cambria"/>
          <w:sz w:val="20"/>
          <w:szCs w:val="20"/>
          <w:lang w:val="es-ES_tradnl"/>
        </w:rPr>
        <w:t>E</w:t>
      </w:r>
      <w:r w:rsidR="00F2744B" w:rsidRPr="00351298">
        <w:rPr>
          <w:rFonts w:ascii="Verdana" w:eastAsia="Cambria" w:hAnsi="Verdana" w:cs="Cambria"/>
          <w:sz w:val="20"/>
          <w:szCs w:val="20"/>
          <w:lang w:val="es-ES_tradnl"/>
        </w:rPr>
        <w:t>l Tribunal concluye que</w:t>
      </w:r>
      <w:r w:rsidR="00492607" w:rsidRPr="00351298">
        <w:rPr>
          <w:rFonts w:ascii="Verdana" w:eastAsia="Cambria" w:hAnsi="Verdana" w:cs="Cambria"/>
          <w:sz w:val="20"/>
          <w:szCs w:val="20"/>
          <w:lang w:val="es-ES_tradnl"/>
        </w:rPr>
        <w:t xml:space="preserve"> transcurrieron más de 20 años</w:t>
      </w:r>
      <w:r w:rsidR="002624FD" w:rsidRPr="00351298">
        <w:rPr>
          <w:rFonts w:ascii="Verdana" w:eastAsia="Cambria" w:hAnsi="Verdana" w:cs="Cambria"/>
          <w:sz w:val="20"/>
          <w:szCs w:val="20"/>
          <w:lang w:val="es-ES_tradnl"/>
        </w:rPr>
        <w:t xml:space="preserve">, 17 de los </w:t>
      </w:r>
      <w:r w:rsidR="00A46D46" w:rsidRPr="00351298">
        <w:rPr>
          <w:rFonts w:ascii="Verdana" w:eastAsia="Cambria" w:hAnsi="Verdana" w:cs="Cambria"/>
          <w:sz w:val="20"/>
          <w:szCs w:val="20"/>
          <w:lang w:val="es-ES_tradnl"/>
        </w:rPr>
        <w:t>cuales,</w:t>
      </w:r>
      <w:r w:rsidR="002624FD" w:rsidRPr="00351298">
        <w:rPr>
          <w:rFonts w:ascii="Verdana" w:eastAsia="Cambria" w:hAnsi="Verdana" w:cs="Cambria"/>
          <w:sz w:val="20"/>
          <w:szCs w:val="20"/>
          <w:lang w:val="es-ES_tradnl"/>
        </w:rPr>
        <w:t xml:space="preserve"> con las presuntas víctimas privadas de su libertad,</w:t>
      </w:r>
      <w:r w:rsidR="00492607" w:rsidRPr="00351298">
        <w:rPr>
          <w:rFonts w:ascii="Verdana" w:eastAsia="Cambria" w:hAnsi="Verdana" w:cs="Cambria"/>
          <w:sz w:val="20"/>
          <w:szCs w:val="20"/>
          <w:lang w:val="es-ES_tradnl"/>
        </w:rPr>
        <w:t xml:space="preserve"> desde que fuera </w:t>
      </w:r>
      <w:r w:rsidR="00952F37" w:rsidRPr="00351298">
        <w:rPr>
          <w:rFonts w:ascii="Verdana" w:eastAsia="Cambria" w:hAnsi="Verdana" w:cs="Cambria"/>
          <w:sz w:val="20"/>
          <w:szCs w:val="20"/>
          <w:lang w:val="es-ES_tradnl"/>
        </w:rPr>
        <w:t xml:space="preserve">iniciado </w:t>
      </w:r>
      <w:r w:rsidR="00492607" w:rsidRPr="00351298">
        <w:rPr>
          <w:rFonts w:ascii="Verdana" w:eastAsia="Cambria" w:hAnsi="Verdana" w:cs="Cambria"/>
          <w:sz w:val="20"/>
          <w:szCs w:val="20"/>
          <w:lang w:val="es-ES_tradnl"/>
        </w:rPr>
        <w:t xml:space="preserve">el procedimiento en contra </w:t>
      </w:r>
      <w:r w:rsidR="00952F37" w:rsidRPr="00351298">
        <w:rPr>
          <w:rFonts w:ascii="Verdana" w:eastAsia="Cambria" w:hAnsi="Verdana" w:cs="Cambria"/>
          <w:sz w:val="20"/>
          <w:szCs w:val="20"/>
          <w:lang w:val="es-ES_tradnl"/>
        </w:rPr>
        <w:t>de Daniel García Rodríguez y Reyes Alpízar</w:t>
      </w:r>
      <w:r w:rsidR="007C78FA" w:rsidRPr="00351298">
        <w:rPr>
          <w:rFonts w:ascii="Verdana" w:eastAsia="Cambria" w:hAnsi="Verdana" w:cs="Cambria"/>
          <w:sz w:val="20"/>
          <w:szCs w:val="20"/>
          <w:lang w:val="es-ES_tradnl"/>
        </w:rPr>
        <w:t xml:space="preserve"> Ortiz </w:t>
      </w:r>
      <w:r w:rsidR="00492607" w:rsidRPr="00351298">
        <w:rPr>
          <w:rFonts w:ascii="Verdana" w:eastAsia="Cambria" w:hAnsi="Verdana" w:cs="Cambria"/>
          <w:sz w:val="20"/>
          <w:szCs w:val="20"/>
          <w:lang w:val="es-ES_tradnl"/>
        </w:rPr>
        <w:t>sin que se llegara</w:t>
      </w:r>
      <w:r w:rsidR="00952F37" w:rsidRPr="00351298">
        <w:rPr>
          <w:rFonts w:ascii="Verdana" w:eastAsia="Cambria" w:hAnsi="Verdana" w:cs="Cambria"/>
          <w:sz w:val="20"/>
          <w:szCs w:val="20"/>
          <w:lang w:val="es-ES_tradnl"/>
        </w:rPr>
        <w:t>,</w:t>
      </w:r>
      <w:r w:rsidR="00492607" w:rsidRPr="00351298">
        <w:rPr>
          <w:rFonts w:ascii="Verdana" w:eastAsia="Cambria" w:hAnsi="Verdana" w:cs="Cambria"/>
          <w:sz w:val="20"/>
          <w:szCs w:val="20"/>
          <w:lang w:val="es-ES_tradnl"/>
        </w:rPr>
        <w:t xml:space="preserve"> hasta el momento</w:t>
      </w:r>
      <w:r w:rsidR="00952F37" w:rsidRPr="00351298">
        <w:rPr>
          <w:rFonts w:ascii="Verdana" w:eastAsia="Cambria" w:hAnsi="Verdana" w:cs="Cambria"/>
          <w:sz w:val="20"/>
          <w:szCs w:val="20"/>
          <w:lang w:val="es-ES_tradnl"/>
        </w:rPr>
        <w:t>,</w:t>
      </w:r>
      <w:r w:rsidR="00492607" w:rsidRPr="00351298">
        <w:rPr>
          <w:rFonts w:ascii="Verdana" w:eastAsia="Cambria" w:hAnsi="Verdana" w:cs="Cambria"/>
          <w:sz w:val="20"/>
          <w:szCs w:val="20"/>
          <w:lang w:val="es-ES_tradnl"/>
        </w:rPr>
        <w:t xml:space="preserve"> a una determinación judicial en firme.</w:t>
      </w:r>
    </w:p>
    <w:p w14:paraId="0726E36C" w14:textId="34E2C78E" w:rsidR="004370FB" w:rsidRPr="00351298" w:rsidRDefault="002624FD" w:rsidP="002624FD">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eastAsia="Cambria" w:hAnsi="Verdana" w:cs="Cambria"/>
          <w:sz w:val="20"/>
          <w:szCs w:val="20"/>
          <w:lang w:val="es-ES_tradnl"/>
        </w:rPr>
        <w:t xml:space="preserve">Para esta Corte, </w:t>
      </w:r>
      <w:r w:rsidR="00A46D46" w:rsidRPr="00351298">
        <w:rPr>
          <w:rFonts w:ascii="Verdana" w:eastAsia="Cambria" w:hAnsi="Verdana" w:cs="Cambria"/>
          <w:sz w:val="20"/>
          <w:szCs w:val="20"/>
          <w:lang w:val="es-ES_tradnl"/>
        </w:rPr>
        <w:t xml:space="preserve">la causa penal no presentaba </w:t>
      </w:r>
      <w:r w:rsidR="00AF6453" w:rsidRPr="00351298">
        <w:rPr>
          <w:rFonts w:ascii="Verdana" w:eastAsia="Cambria" w:hAnsi="Verdana" w:cs="Cambria"/>
          <w:sz w:val="20"/>
          <w:szCs w:val="20"/>
          <w:lang w:val="es-ES_tradnl"/>
        </w:rPr>
        <w:t xml:space="preserve">grandes </w:t>
      </w:r>
      <w:r w:rsidR="004370FB" w:rsidRPr="00351298">
        <w:rPr>
          <w:rFonts w:ascii="Verdana" w:eastAsia="Cambria" w:hAnsi="Verdana" w:cs="Cambria"/>
          <w:sz w:val="20"/>
          <w:szCs w:val="20"/>
          <w:lang w:val="es-ES_tradnl"/>
        </w:rPr>
        <w:t xml:space="preserve">complejidades </w:t>
      </w:r>
      <w:r w:rsidR="00A46D46" w:rsidRPr="00351298">
        <w:rPr>
          <w:rFonts w:ascii="Verdana" w:eastAsia="Cambria" w:hAnsi="Verdana" w:cs="Cambria"/>
          <w:sz w:val="20"/>
          <w:szCs w:val="20"/>
          <w:lang w:val="es-ES_tradnl"/>
        </w:rPr>
        <w:t xml:space="preserve">en la medida que versaba sobre el </w:t>
      </w:r>
      <w:r w:rsidR="00AF6453" w:rsidRPr="00351298">
        <w:rPr>
          <w:rFonts w:ascii="Verdana" w:eastAsia="Cambria" w:hAnsi="Verdana" w:cs="Cambria"/>
          <w:sz w:val="20"/>
          <w:szCs w:val="20"/>
          <w:lang w:val="es-ES_tradnl"/>
        </w:rPr>
        <w:t>homicidio</w:t>
      </w:r>
      <w:r w:rsidR="00A46D46" w:rsidRPr="00351298">
        <w:rPr>
          <w:rFonts w:ascii="Verdana" w:eastAsia="Cambria" w:hAnsi="Verdana" w:cs="Cambria"/>
          <w:sz w:val="20"/>
          <w:szCs w:val="20"/>
          <w:lang w:val="es-ES_tradnl"/>
        </w:rPr>
        <w:t xml:space="preserve"> de una </w:t>
      </w:r>
      <w:r w:rsidR="00AF6453" w:rsidRPr="00351298">
        <w:rPr>
          <w:rFonts w:ascii="Verdana" w:eastAsia="Cambria" w:hAnsi="Verdana" w:cs="Cambria"/>
          <w:sz w:val="20"/>
          <w:szCs w:val="20"/>
          <w:lang w:val="es-ES_tradnl"/>
        </w:rPr>
        <w:t xml:space="preserve">única </w:t>
      </w:r>
      <w:r w:rsidR="00A46D46" w:rsidRPr="00351298">
        <w:rPr>
          <w:rFonts w:ascii="Verdana" w:eastAsia="Cambria" w:hAnsi="Verdana" w:cs="Cambria"/>
          <w:sz w:val="20"/>
          <w:szCs w:val="20"/>
          <w:lang w:val="es-ES_tradnl"/>
        </w:rPr>
        <w:t>persona</w:t>
      </w:r>
      <w:r w:rsidR="004370FB" w:rsidRPr="00351298">
        <w:rPr>
          <w:rFonts w:ascii="Verdana" w:eastAsia="Cambria" w:hAnsi="Verdana" w:cs="Cambria"/>
          <w:sz w:val="20"/>
          <w:szCs w:val="20"/>
          <w:lang w:val="es-ES_tradnl"/>
        </w:rPr>
        <w:t xml:space="preserve">, </w:t>
      </w:r>
      <w:r w:rsidR="00AF6453" w:rsidRPr="00351298">
        <w:rPr>
          <w:rFonts w:ascii="Verdana" w:eastAsia="Cambria" w:hAnsi="Verdana" w:cs="Cambria"/>
          <w:sz w:val="20"/>
          <w:szCs w:val="20"/>
          <w:lang w:val="es-ES_tradnl"/>
        </w:rPr>
        <w:t>con dos imputad</w:t>
      </w:r>
      <w:r w:rsidR="00952F37" w:rsidRPr="00351298">
        <w:rPr>
          <w:rFonts w:ascii="Verdana" w:eastAsia="Cambria" w:hAnsi="Verdana" w:cs="Cambria"/>
          <w:sz w:val="20"/>
          <w:szCs w:val="20"/>
          <w:lang w:val="es-ES_tradnl"/>
        </w:rPr>
        <w:t>o</w:t>
      </w:r>
      <w:r w:rsidR="004370FB" w:rsidRPr="00351298">
        <w:rPr>
          <w:rFonts w:ascii="Verdana" w:eastAsia="Cambria" w:hAnsi="Verdana" w:cs="Cambria"/>
          <w:sz w:val="20"/>
          <w:szCs w:val="20"/>
          <w:lang w:val="es-ES_tradnl"/>
        </w:rPr>
        <w:t>s, sin que conste un gran número de hipótesis de investigación que debieron ser agotadas</w:t>
      </w:r>
      <w:r w:rsidR="00AF6453" w:rsidRPr="00351298">
        <w:rPr>
          <w:rFonts w:ascii="Verdana" w:eastAsia="Cambria" w:hAnsi="Verdana" w:cs="Cambria"/>
          <w:sz w:val="20"/>
          <w:szCs w:val="20"/>
          <w:lang w:val="es-ES_tradnl"/>
        </w:rPr>
        <w:t xml:space="preserve">, </w:t>
      </w:r>
      <w:r w:rsidR="004370FB" w:rsidRPr="00351298">
        <w:rPr>
          <w:rFonts w:ascii="Verdana" w:eastAsia="Cambria" w:hAnsi="Verdana" w:cs="Cambria"/>
          <w:sz w:val="20"/>
          <w:szCs w:val="20"/>
          <w:lang w:val="es-ES_tradnl"/>
        </w:rPr>
        <w:t xml:space="preserve">y </w:t>
      </w:r>
      <w:r w:rsidR="00AF6453" w:rsidRPr="00351298">
        <w:rPr>
          <w:rFonts w:ascii="Verdana" w:eastAsia="Cambria" w:hAnsi="Verdana" w:cs="Cambria"/>
          <w:sz w:val="20"/>
          <w:szCs w:val="20"/>
          <w:lang w:val="es-ES_tradnl"/>
        </w:rPr>
        <w:t xml:space="preserve">con </w:t>
      </w:r>
      <w:r w:rsidR="004370FB" w:rsidRPr="00351298">
        <w:rPr>
          <w:rFonts w:ascii="Verdana" w:eastAsia="Cambria" w:hAnsi="Verdana" w:cs="Cambria"/>
          <w:sz w:val="20"/>
          <w:szCs w:val="20"/>
          <w:lang w:val="es-ES_tradnl"/>
        </w:rPr>
        <w:t>un</w:t>
      </w:r>
      <w:r w:rsidR="00952F37" w:rsidRPr="00351298">
        <w:rPr>
          <w:rFonts w:ascii="Verdana" w:eastAsia="Cambria" w:hAnsi="Verdana" w:cs="Cambria"/>
          <w:sz w:val="20"/>
          <w:szCs w:val="20"/>
          <w:lang w:val="es-ES_tradnl"/>
        </w:rPr>
        <w:t>a</w:t>
      </w:r>
      <w:r w:rsidR="004370FB" w:rsidRPr="00351298">
        <w:rPr>
          <w:rFonts w:ascii="Verdana" w:eastAsia="Cambria" w:hAnsi="Verdana" w:cs="Cambria"/>
          <w:sz w:val="20"/>
          <w:szCs w:val="20"/>
          <w:lang w:val="es-ES_tradnl"/>
        </w:rPr>
        <w:t xml:space="preserve"> parte</w:t>
      </w:r>
      <w:r w:rsidR="00AF6453" w:rsidRPr="00351298">
        <w:rPr>
          <w:rFonts w:ascii="Verdana" w:eastAsia="Cambria" w:hAnsi="Verdana" w:cs="Cambria"/>
          <w:sz w:val="20"/>
          <w:szCs w:val="20"/>
          <w:lang w:val="es-ES_tradnl"/>
        </w:rPr>
        <w:t xml:space="preserve"> </w:t>
      </w:r>
      <w:r w:rsidR="004370FB" w:rsidRPr="00351298">
        <w:rPr>
          <w:rFonts w:ascii="Verdana" w:eastAsia="Cambria" w:hAnsi="Verdana" w:cs="Cambria"/>
          <w:sz w:val="20"/>
          <w:szCs w:val="20"/>
          <w:lang w:val="es-ES_tradnl"/>
        </w:rPr>
        <w:t xml:space="preserve">importante </w:t>
      </w:r>
      <w:r w:rsidR="00AF6453" w:rsidRPr="00351298">
        <w:rPr>
          <w:rFonts w:ascii="Verdana" w:eastAsia="Cambria" w:hAnsi="Verdana" w:cs="Cambria"/>
          <w:sz w:val="20"/>
          <w:szCs w:val="20"/>
          <w:lang w:val="es-ES_tradnl"/>
        </w:rPr>
        <w:t xml:space="preserve">de la prueba testimonial y pericial recabada durante los primeros meses de </w:t>
      </w:r>
      <w:r w:rsidR="004D6346" w:rsidRPr="00351298">
        <w:rPr>
          <w:rFonts w:ascii="Verdana" w:eastAsia="Cambria" w:hAnsi="Verdana" w:cs="Cambria"/>
          <w:sz w:val="20"/>
          <w:szCs w:val="20"/>
          <w:lang w:val="es-ES_tradnl"/>
        </w:rPr>
        <w:t>esta</w:t>
      </w:r>
      <w:r w:rsidR="004370FB" w:rsidRPr="00351298">
        <w:rPr>
          <w:rFonts w:ascii="Verdana" w:eastAsia="Cambria" w:hAnsi="Verdana" w:cs="Cambria"/>
          <w:sz w:val="20"/>
          <w:szCs w:val="20"/>
          <w:lang w:val="es-ES_tradnl"/>
        </w:rPr>
        <w:t xml:space="preserve">. </w:t>
      </w:r>
    </w:p>
    <w:p w14:paraId="2680EFC5" w14:textId="6A0961B0" w:rsidR="00492607" w:rsidRPr="00F31F8B" w:rsidRDefault="004370FB" w:rsidP="002624FD">
      <w:pPr>
        <w:numPr>
          <w:ilvl w:val="0"/>
          <w:numId w:val="2"/>
        </w:numPr>
        <w:spacing w:before="120" w:after="120"/>
        <w:ind w:left="0" w:firstLine="0"/>
        <w:jc w:val="both"/>
        <w:rPr>
          <w:rFonts w:ascii="Verdana" w:eastAsia="Cambria" w:hAnsi="Verdana" w:cs="Cambria"/>
          <w:sz w:val="20"/>
          <w:szCs w:val="20"/>
          <w:lang w:val="es-ES_tradnl"/>
        </w:rPr>
      </w:pPr>
      <w:r w:rsidRPr="5B6A28B2">
        <w:rPr>
          <w:rFonts w:ascii="Verdana" w:eastAsia="Cambria" w:hAnsi="Verdana" w:cs="Cambria"/>
          <w:sz w:val="20"/>
          <w:szCs w:val="20"/>
          <w:lang w:val="es-ES"/>
        </w:rPr>
        <w:t>Por otra parte, en lo que se refiere al segundo elemento</w:t>
      </w:r>
      <w:r w:rsidR="00952F37" w:rsidRPr="5B6A28B2">
        <w:rPr>
          <w:rFonts w:ascii="Verdana" w:eastAsia="Cambria" w:hAnsi="Verdana" w:cs="Cambria"/>
          <w:sz w:val="20"/>
          <w:szCs w:val="20"/>
          <w:lang w:val="es-ES"/>
        </w:rPr>
        <w:t xml:space="preserve"> de análisis del plazo razonable</w:t>
      </w:r>
      <w:r w:rsidRPr="5B6A28B2">
        <w:rPr>
          <w:rFonts w:ascii="Verdana" w:eastAsia="Cambria" w:hAnsi="Verdana" w:cs="Cambria"/>
          <w:sz w:val="20"/>
          <w:szCs w:val="20"/>
          <w:lang w:val="es-ES"/>
        </w:rPr>
        <w:t>, la Corte advierte que efectivamente las presuntas víctimas hicieron uso de un número consecuente de recursos de impugnación en el desarrollo de su defensa</w:t>
      </w:r>
      <w:r w:rsidR="008D7148">
        <w:rPr>
          <w:rFonts w:ascii="Verdana" w:eastAsia="Cambria" w:hAnsi="Verdana" w:cs="Cambria"/>
          <w:sz w:val="20"/>
          <w:szCs w:val="20"/>
          <w:lang w:val="es-ES"/>
        </w:rPr>
        <w:t xml:space="preserve">. </w:t>
      </w:r>
      <w:r w:rsidRPr="5B6A28B2">
        <w:rPr>
          <w:rFonts w:ascii="Verdana" w:eastAsia="Cambria" w:hAnsi="Verdana" w:cs="Cambria"/>
          <w:sz w:val="20"/>
          <w:szCs w:val="20"/>
          <w:lang w:val="es-ES"/>
        </w:rPr>
        <w:t>Todos esos actos procesales consistieron en intervenciones que les eran razonablemente exigibles en las distintas etapas procesales. Sobre ese punto, corresponde recordar que la utilización de medios de impugnación reconocidos por la legislación nacional susceptibles de garantizar la tutela de los derechos e intereses procesales no pueden ser valorados en contra del recurrente</w:t>
      </w:r>
      <w:r w:rsidRPr="5B6A28B2">
        <w:rPr>
          <w:rStyle w:val="Refdenotaalpie"/>
          <w:rFonts w:ascii="Verdana" w:eastAsia="Batang" w:hAnsi="Verdana"/>
          <w:sz w:val="20"/>
        </w:rPr>
        <w:footnoteReference w:id="273"/>
      </w:r>
      <w:r w:rsidRPr="5B6A28B2">
        <w:rPr>
          <w:rFonts w:ascii="Verdana" w:eastAsia="Cambria" w:hAnsi="Verdana" w:cs="Cambria"/>
          <w:sz w:val="20"/>
          <w:szCs w:val="20"/>
          <w:lang w:val="es-ES"/>
        </w:rPr>
        <w:t>. En ese sentido, no resulta aceptable el alegato del Estado</w:t>
      </w:r>
      <w:r w:rsidR="00952F37" w:rsidRPr="5B6A28B2">
        <w:rPr>
          <w:rFonts w:ascii="Verdana" w:eastAsia="Cambria" w:hAnsi="Verdana" w:cs="Cambria"/>
          <w:sz w:val="20"/>
          <w:szCs w:val="20"/>
          <w:lang w:val="es-ES"/>
        </w:rPr>
        <w:t>,</w:t>
      </w:r>
      <w:r w:rsidRPr="5B6A28B2">
        <w:rPr>
          <w:rFonts w:ascii="Verdana" w:eastAsia="Cambria" w:hAnsi="Verdana" w:cs="Cambria"/>
          <w:sz w:val="20"/>
          <w:szCs w:val="20"/>
          <w:lang w:val="es-ES"/>
        </w:rPr>
        <w:t xml:space="preserve"> </w:t>
      </w:r>
      <w:r w:rsidR="00C71F0A" w:rsidRPr="5B6A28B2">
        <w:rPr>
          <w:rFonts w:ascii="Verdana" w:eastAsia="Cambria" w:hAnsi="Verdana" w:cs="Cambria"/>
          <w:sz w:val="20"/>
          <w:szCs w:val="20"/>
          <w:lang w:val="es-ES"/>
        </w:rPr>
        <w:t>que</w:t>
      </w:r>
      <w:r w:rsidRPr="5B6A28B2">
        <w:rPr>
          <w:rFonts w:ascii="Verdana" w:eastAsia="Cambria" w:hAnsi="Verdana" w:cs="Cambria"/>
          <w:sz w:val="20"/>
          <w:szCs w:val="20"/>
          <w:lang w:val="es-ES"/>
        </w:rPr>
        <w:t xml:space="preserve"> </w:t>
      </w:r>
      <w:r w:rsidR="00952F37" w:rsidRPr="5B6A28B2">
        <w:rPr>
          <w:rFonts w:ascii="Verdana" w:eastAsia="Cambria" w:hAnsi="Verdana" w:cs="Cambria"/>
          <w:sz w:val="20"/>
          <w:szCs w:val="20"/>
          <w:lang w:val="es-ES"/>
        </w:rPr>
        <w:t xml:space="preserve">atribuye a </w:t>
      </w:r>
      <w:r w:rsidRPr="5B6A28B2">
        <w:rPr>
          <w:rFonts w:ascii="Verdana" w:eastAsia="Cambria" w:hAnsi="Verdana" w:cs="Cambria"/>
          <w:sz w:val="20"/>
          <w:szCs w:val="20"/>
          <w:lang w:val="es-ES"/>
        </w:rPr>
        <w:t xml:space="preserve">la </w:t>
      </w:r>
      <w:r w:rsidR="00C71F0A" w:rsidRPr="5B6A28B2">
        <w:rPr>
          <w:rFonts w:ascii="Verdana" w:eastAsia="Cambria" w:hAnsi="Verdana" w:cs="Cambria"/>
          <w:sz w:val="20"/>
          <w:szCs w:val="20"/>
          <w:lang w:val="es-ES"/>
        </w:rPr>
        <w:t>conducta procesal</w:t>
      </w:r>
      <w:r w:rsidRPr="5B6A28B2">
        <w:rPr>
          <w:rFonts w:ascii="Verdana" w:eastAsia="Cambria" w:hAnsi="Verdana" w:cs="Cambria"/>
          <w:sz w:val="20"/>
          <w:szCs w:val="20"/>
          <w:lang w:val="es-ES"/>
        </w:rPr>
        <w:t xml:space="preserve"> de las presuntas</w:t>
      </w:r>
      <w:r w:rsidR="009A4F01" w:rsidRPr="5B6A28B2">
        <w:rPr>
          <w:rFonts w:ascii="Verdana" w:eastAsia="Cambria" w:hAnsi="Verdana" w:cs="Cambria"/>
          <w:sz w:val="20"/>
          <w:szCs w:val="20"/>
          <w:lang w:val="es-ES"/>
        </w:rPr>
        <w:t xml:space="preserve"> víctimas</w:t>
      </w:r>
      <w:r w:rsidRPr="5B6A28B2">
        <w:rPr>
          <w:rFonts w:ascii="Verdana" w:eastAsia="Cambria" w:hAnsi="Verdana" w:cs="Cambria"/>
          <w:sz w:val="20"/>
          <w:szCs w:val="20"/>
          <w:lang w:val="es-ES"/>
        </w:rPr>
        <w:t xml:space="preserve"> la prolongación del procedimiento judicial.</w:t>
      </w:r>
      <w:r w:rsidR="00C71F0A" w:rsidRPr="5B6A28B2">
        <w:rPr>
          <w:rFonts w:ascii="Verdana" w:eastAsia="Cambria" w:hAnsi="Verdana" w:cs="Cambria"/>
          <w:sz w:val="20"/>
          <w:szCs w:val="20"/>
          <w:lang w:val="es-ES"/>
        </w:rPr>
        <w:t xml:space="preserve"> </w:t>
      </w:r>
    </w:p>
    <w:p w14:paraId="72884091" w14:textId="00C30011" w:rsidR="004370FB" w:rsidRPr="00F31F8B" w:rsidRDefault="004370FB" w:rsidP="002624FD">
      <w:pPr>
        <w:numPr>
          <w:ilvl w:val="0"/>
          <w:numId w:val="2"/>
        </w:numPr>
        <w:spacing w:before="120" w:after="120"/>
        <w:ind w:left="0" w:firstLine="0"/>
        <w:jc w:val="both"/>
        <w:rPr>
          <w:rFonts w:ascii="Verdana" w:eastAsia="Cambria" w:hAnsi="Verdana" w:cs="Cambria"/>
          <w:sz w:val="20"/>
          <w:szCs w:val="20"/>
          <w:lang w:val="es-ES_tradnl"/>
        </w:rPr>
      </w:pPr>
      <w:r w:rsidRPr="00F31F8B">
        <w:rPr>
          <w:rFonts w:ascii="Verdana" w:eastAsia="Cambria" w:hAnsi="Verdana" w:cs="Cambria"/>
          <w:sz w:val="20"/>
          <w:szCs w:val="20"/>
          <w:lang w:val="es-ES_tradnl"/>
        </w:rPr>
        <w:t>En c</w:t>
      </w:r>
      <w:r w:rsidR="00952F37" w:rsidRPr="00F31F8B">
        <w:rPr>
          <w:rFonts w:ascii="Verdana" w:eastAsia="Cambria" w:hAnsi="Verdana" w:cs="Cambria"/>
          <w:sz w:val="20"/>
          <w:szCs w:val="20"/>
          <w:lang w:val="es-ES_tradnl"/>
        </w:rPr>
        <w:t>u</w:t>
      </w:r>
      <w:r w:rsidRPr="00F31F8B">
        <w:rPr>
          <w:rFonts w:ascii="Verdana" w:eastAsia="Cambria" w:hAnsi="Verdana" w:cs="Cambria"/>
          <w:sz w:val="20"/>
          <w:szCs w:val="20"/>
          <w:lang w:val="es-ES_tradnl"/>
        </w:rPr>
        <w:t xml:space="preserve">anto al tercer elemento, </w:t>
      </w:r>
      <w:r w:rsidR="00C71F0A" w:rsidRPr="00F31F8B">
        <w:rPr>
          <w:rFonts w:ascii="Verdana" w:eastAsia="Cambria" w:hAnsi="Verdana" w:cs="Cambria"/>
          <w:sz w:val="20"/>
          <w:szCs w:val="20"/>
          <w:lang w:val="es-ES_tradnl"/>
        </w:rPr>
        <w:t xml:space="preserve">el Tribunal advierte que se desprende del análisis de los hechos del caso, tal como lo </w:t>
      </w:r>
      <w:r w:rsidR="00952F37" w:rsidRPr="00F31F8B">
        <w:rPr>
          <w:rFonts w:ascii="Verdana" w:eastAsia="Cambria" w:hAnsi="Verdana" w:cs="Cambria"/>
          <w:sz w:val="20"/>
          <w:szCs w:val="20"/>
          <w:lang w:val="es-ES_tradnl"/>
        </w:rPr>
        <w:t>menciona</w:t>
      </w:r>
      <w:r w:rsidR="00C71F0A" w:rsidRPr="00F31F8B">
        <w:rPr>
          <w:rFonts w:ascii="Verdana" w:eastAsia="Cambria" w:hAnsi="Verdana" w:cs="Cambria"/>
          <w:sz w:val="20"/>
          <w:szCs w:val="20"/>
          <w:lang w:val="es-ES_tradnl"/>
        </w:rPr>
        <w:t xml:space="preserve"> la sentencia de condena de 12 de mayo de 2022</w:t>
      </w:r>
      <w:r w:rsidR="0051395B" w:rsidRPr="00F31F8B">
        <w:rPr>
          <w:rFonts w:ascii="Verdana" w:eastAsia="Cambria" w:hAnsi="Verdana" w:cs="Cambria"/>
          <w:sz w:val="20"/>
          <w:szCs w:val="20"/>
          <w:lang w:val="es-ES_tradnl"/>
        </w:rPr>
        <w:t xml:space="preserve">, </w:t>
      </w:r>
      <w:r w:rsidR="00C71F0A" w:rsidRPr="00F31F8B">
        <w:rPr>
          <w:rFonts w:ascii="Verdana" w:eastAsia="Cambria" w:hAnsi="Verdana" w:cs="Cambria"/>
          <w:sz w:val="20"/>
          <w:szCs w:val="20"/>
          <w:lang w:val="es-ES_tradnl"/>
        </w:rPr>
        <w:t xml:space="preserve">que gran parte de la actividad de investigación fue desarrollada durante los primeros años </w:t>
      </w:r>
      <w:r w:rsidR="0051395B" w:rsidRPr="00F31F8B">
        <w:rPr>
          <w:rFonts w:ascii="Verdana" w:eastAsia="Cambria" w:hAnsi="Verdana" w:cs="Cambria"/>
          <w:sz w:val="20"/>
          <w:szCs w:val="20"/>
          <w:lang w:val="es-ES_tradnl"/>
        </w:rPr>
        <w:t>del proceso, y que con posterioridad a ello hubo períodos de inactividad procesal referida específicamente a la causa 88/2022</w:t>
      </w:r>
      <w:r w:rsidR="00952F37" w:rsidRPr="00F31F8B">
        <w:rPr>
          <w:rFonts w:ascii="Verdana" w:eastAsia="Cambria" w:hAnsi="Verdana" w:cs="Cambria"/>
          <w:sz w:val="20"/>
          <w:szCs w:val="20"/>
          <w:lang w:val="es-ES_tradnl"/>
        </w:rPr>
        <w:t>, y a</w:t>
      </w:r>
      <w:r w:rsidR="0051395B" w:rsidRPr="00F31F8B">
        <w:rPr>
          <w:rFonts w:ascii="Verdana" w:eastAsia="Cambria" w:hAnsi="Verdana" w:cs="Cambria"/>
          <w:sz w:val="20"/>
          <w:szCs w:val="20"/>
          <w:lang w:val="es-ES_tradnl"/>
        </w:rPr>
        <w:t xml:space="preserve"> la determinación de las responsabilidad por el homicidio por el cual estaban siendo procesad</w:t>
      </w:r>
      <w:r w:rsidR="00550192" w:rsidRPr="00F31F8B">
        <w:rPr>
          <w:rFonts w:ascii="Verdana" w:eastAsia="Cambria" w:hAnsi="Verdana" w:cs="Cambria"/>
          <w:sz w:val="20"/>
          <w:szCs w:val="20"/>
          <w:lang w:val="es-ES_tradnl"/>
        </w:rPr>
        <w:t>as</w:t>
      </w:r>
      <w:r w:rsidR="0051395B" w:rsidRPr="00F31F8B">
        <w:rPr>
          <w:rFonts w:ascii="Verdana" w:eastAsia="Cambria" w:hAnsi="Verdana" w:cs="Cambria"/>
          <w:sz w:val="20"/>
          <w:szCs w:val="20"/>
          <w:lang w:val="es-ES_tradnl"/>
        </w:rPr>
        <w:t xml:space="preserve"> las presuntas víctimas de este caso</w:t>
      </w:r>
      <w:r w:rsidR="00C71F0A" w:rsidRPr="00F31F8B">
        <w:rPr>
          <w:rFonts w:ascii="Verdana" w:eastAsia="Cambria" w:hAnsi="Verdana" w:cs="Cambria"/>
          <w:sz w:val="20"/>
          <w:szCs w:val="20"/>
          <w:lang w:val="es-ES_tradnl"/>
        </w:rPr>
        <w:t xml:space="preserve">. </w:t>
      </w:r>
    </w:p>
    <w:p w14:paraId="1656A873" w14:textId="65776E8D" w:rsidR="0051395B" w:rsidRPr="00351298" w:rsidRDefault="0051395B" w:rsidP="002624FD">
      <w:pPr>
        <w:numPr>
          <w:ilvl w:val="0"/>
          <w:numId w:val="2"/>
        </w:numPr>
        <w:spacing w:before="120" w:after="120"/>
        <w:ind w:left="0" w:firstLine="0"/>
        <w:jc w:val="both"/>
        <w:rPr>
          <w:rFonts w:ascii="Verdana" w:eastAsia="Cambria" w:hAnsi="Verdana" w:cs="Cambria"/>
          <w:sz w:val="20"/>
          <w:szCs w:val="20"/>
          <w:lang w:val="es-ES_tradnl"/>
        </w:rPr>
      </w:pPr>
      <w:r w:rsidRPr="00F31F8B">
        <w:rPr>
          <w:rFonts w:ascii="Verdana" w:eastAsia="Cambria" w:hAnsi="Verdana" w:cs="Cambria"/>
          <w:sz w:val="20"/>
          <w:szCs w:val="20"/>
          <w:lang w:val="es-ES_tradnl"/>
        </w:rPr>
        <w:t xml:space="preserve">Por último, </w:t>
      </w:r>
      <w:r w:rsidR="00CC4CF9" w:rsidRPr="00F31F8B">
        <w:rPr>
          <w:rFonts w:ascii="Verdana" w:eastAsia="Cambria" w:hAnsi="Verdana" w:cs="Cambria"/>
          <w:sz w:val="20"/>
          <w:szCs w:val="20"/>
          <w:lang w:val="es-ES_tradnl"/>
        </w:rPr>
        <w:t>sobre</w:t>
      </w:r>
      <w:r w:rsidRPr="00F31F8B">
        <w:rPr>
          <w:rFonts w:ascii="Verdana" w:eastAsia="Cambria" w:hAnsi="Verdana" w:cs="Cambria"/>
          <w:sz w:val="20"/>
          <w:szCs w:val="20"/>
          <w:lang w:val="es-ES_tradnl"/>
        </w:rPr>
        <w:t xml:space="preserve"> el grado de afectación generada en la situación jurídica de la</w:t>
      </w:r>
      <w:r w:rsidR="001B1251" w:rsidRPr="00F31F8B">
        <w:rPr>
          <w:rFonts w:ascii="Verdana" w:eastAsia="Cambria" w:hAnsi="Verdana" w:cs="Cambria"/>
          <w:sz w:val="20"/>
          <w:szCs w:val="20"/>
          <w:lang w:val="es-ES_tradnl"/>
        </w:rPr>
        <w:t>s</w:t>
      </w:r>
      <w:r w:rsidRPr="00F31F8B">
        <w:rPr>
          <w:rFonts w:ascii="Verdana" w:eastAsia="Cambria" w:hAnsi="Verdana" w:cs="Cambria"/>
          <w:sz w:val="20"/>
          <w:szCs w:val="20"/>
          <w:lang w:val="es-ES_tradnl"/>
        </w:rPr>
        <w:t xml:space="preserve"> presunta</w:t>
      </w:r>
      <w:r w:rsidR="001B1251" w:rsidRPr="00F31F8B">
        <w:rPr>
          <w:rFonts w:ascii="Verdana" w:eastAsia="Cambria" w:hAnsi="Verdana" w:cs="Cambria"/>
          <w:sz w:val="20"/>
          <w:szCs w:val="20"/>
          <w:lang w:val="es-ES_tradnl"/>
        </w:rPr>
        <w:t>s</w:t>
      </w:r>
      <w:r w:rsidRPr="00F31F8B">
        <w:rPr>
          <w:rFonts w:ascii="Verdana" w:eastAsia="Cambria" w:hAnsi="Verdana" w:cs="Cambria"/>
          <w:sz w:val="20"/>
          <w:szCs w:val="20"/>
          <w:lang w:val="es-ES_tradnl"/>
        </w:rPr>
        <w:t xml:space="preserve"> víctima</w:t>
      </w:r>
      <w:r w:rsidR="001B1251" w:rsidRPr="00F31F8B">
        <w:rPr>
          <w:rFonts w:ascii="Verdana" w:eastAsia="Cambria" w:hAnsi="Verdana" w:cs="Cambria"/>
          <w:sz w:val="20"/>
          <w:szCs w:val="20"/>
          <w:lang w:val="es-ES_tradnl"/>
        </w:rPr>
        <w:t>s</w:t>
      </w:r>
      <w:r w:rsidRPr="00F31F8B">
        <w:rPr>
          <w:rFonts w:ascii="Verdana" w:eastAsia="Cambria" w:hAnsi="Verdana" w:cs="Cambria"/>
          <w:sz w:val="20"/>
          <w:szCs w:val="20"/>
          <w:lang w:val="es-ES_tradnl"/>
        </w:rPr>
        <w:t xml:space="preserve">, es claro que la prolongación extraordinaria del proceso penal impactó de forma consecuente en la prolongación de </w:t>
      </w:r>
      <w:r w:rsidR="001B1251" w:rsidRPr="00F31F8B">
        <w:rPr>
          <w:rFonts w:ascii="Verdana" w:eastAsia="Cambria" w:hAnsi="Verdana" w:cs="Cambria"/>
          <w:sz w:val="20"/>
          <w:szCs w:val="20"/>
          <w:lang w:val="es-ES_tradnl"/>
        </w:rPr>
        <w:t>la medida cautelar</w:t>
      </w:r>
      <w:r w:rsidR="001B1251" w:rsidRPr="00351298">
        <w:rPr>
          <w:rFonts w:ascii="Verdana" w:eastAsia="Cambria" w:hAnsi="Verdana" w:cs="Cambria"/>
          <w:sz w:val="20"/>
          <w:szCs w:val="20"/>
          <w:lang w:val="es-ES_tradnl"/>
        </w:rPr>
        <w:t xml:space="preserve"> privativa a la libertad que les había sido impuesto</w:t>
      </w:r>
      <w:r w:rsidRPr="00351298">
        <w:rPr>
          <w:rFonts w:ascii="Verdana" w:eastAsia="Cambria" w:hAnsi="Verdana" w:cs="Cambria"/>
          <w:sz w:val="20"/>
          <w:szCs w:val="20"/>
          <w:lang w:val="es-ES_tradnl"/>
        </w:rPr>
        <w:t xml:space="preserve"> </w:t>
      </w:r>
      <w:r w:rsidR="001B1251" w:rsidRPr="00351298">
        <w:rPr>
          <w:rFonts w:ascii="Verdana" w:eastAsia="Cambria" w:hAnsi="Verdana" w:cs="Cambria"/>
          <w:sz w:val="20"/>
          <w:szCs w:val="20"/>
          <w:lang w:val="es-ES_tradnl"/>
        </w:rPr>
        <w:t>y que se extendió por un</w:t>
      </w:r>
      <w:r w:rsidRPr="00351298">
        <w:rPr>
          <w:rFonts w:ascii="Verdana" w:eastAsia="Cambria" w:hAnsi="Verdana" w:cs="Cambria"/>
          <w:sz w:val="20"/>
          <w:szCs w:val="20"/>
          <w:lang w:val="es-ES_tradnl"/>
        </w:rPr>
        <w:t xml:space="preserve"> período aproximado de 17 años</w:t>
      </w:r>
      <w:r w:rsidR="001B1251" w:rsidRPr="00351298">
        <w:rPr>
          <w:rFonts w:ascii="Verdana" w:eastAsia="Cambria" w:hAnsi="Verdana" w:cs="Cambria"/>
          <w:sz w:val="20"/>
          <w:szCs w:val="20"/>
          <w:lang w:val="es-ES_tradnl"/>
        </w:rPr>
        <w:t>. Por otra parte, cabe recordar que las medidas cautelares restrictivas a la libertad se siguen prolongando hasta la actualidad</w:t>
      </w:r>
      <w:r w:rsidR="00952F37" w:rsidRPr="00351298">
        <w:rPr>
          <w:rFonts w:ascii="Verdana" w:eastAsia="Cambria" w:hAnsi="Verdana" w:cs="Cambria"/>
          <w:sz w:val="20"/>
          <w:szCs w:val="20"/>
          <w:lang w:val="es-ES_tradnl"/>
        </w:rPr>
        <w:t>,</w:t>
      </w:r>
      <w:r w:rsidR="001B1251" w:rsidRPr="00351298">
        <w:rPr>
          <w:rFonts w:ascii="Verdana" w:eastAsia="Cambria" w:hAnsi="Verdana" w:cs="Cambria"/>
          <w:sz w:val="20"/>
          <w:szCs w:val="20"/>
          <w:lang w:val="es-ES_tradnl"/>
        </w:rPr>
        <w:t xml:space="preserve"> en espera de una decisión en firme en el proceso penal en su contra (</w:t>
      </w:r>
      <w:r w:rsidR="001B1251" w:rsidRPr="00351298">
        <w:rPr>
          <w:rFonts w:ascii="Verdana" w:eastAsia="Cambria" w:hAnsi="Verdana" w:cs="Cambria"/>
          <w:i/>
          <w:iCs/>
          <w:sz w:val="20"/>
          <w:szCs w:val="20"/>
          <w:lang w:val="es-ES_tradnl"/>
        </w:rPr>
        <w:t>supra</w:t>
      </w:r>
      <w:r w:rsidR="001B1251" w:rsidRPr="00351298">
        <w:rPr>
          <w:rFonts w:ascii="Verdana" w:eastAsia="Cambria" w:hAnsi="Verdana" w:cs="Cambria"/>
          <w:sz w:val="20"/>
          <w:szCs w:val="20"/>
          <w:lang w:val="es-ES_tradnl"/>
        </w:rPr>
        <w:t xml:space="preserve"> párr. </w:t>
      </w:r>
      <w:r w:rsidR="00F81D01">
        <w:rPr>
          <w:rFonts w:ascii="Verdana" w:eastAsia="Cambria" w:hAnsi="Verdana" w:cs="Cambria"/>
          <w:sz w:val="20"/>
          <w:szCs w:val="20"/>
          <w:lang w:val="es-ES_tradnl"/>
        </w:rPr>
        <w:t>87</w:t>
      </w:r>
      <w:r w:rsidR="001B1251" w:rsidRPr="00351298">
        <w:rPr>
          <w:rFonts w:ascii="Verdana" w:eastAsia="Cambria" w:hAnsi="Verdana" w:cs="Cambria"/>
          <w:sz w:val="20"/>
          <w:szCs w:val="20"/>
          <w:lang w:val="es-ES_tradnl"/>
        </w:rPr>
        <w:t>).</w:t>
      </w:r>
    </w:p>
    <w:p w14:paraId="62C989A7" w14:textId="31D90D3C" w:rsidR="001B1251" w:rsidRPr="00351298" w:rsidRDefault="001B1251" w:rsidP="00235B51">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eastAsia="Cambria" w:hAnsi="Verdana" w:cs="Cambria"/>
          <w:sz w:val="20"/>
          <w:szCs w:val="20"/>
          <w:lang w:val="es-ES_tradnl"/>
        </w:rPr>
        <w:t xml:space="preserve">De acuerdo </w:t>
      </w:r>
      <w:r w:rsidR="00952F37" w:rsidRPr="00351298">
        <w:rPr>
          <w:rFonts w:ascii="Verdana" w:eastAsia="Cambria" w:hAnsi="Verdana" w:cs="Cambria"/>
          <w:sz w:val="20"/>
          <w:szCs w:val="20"/>
          <w:lang w:val="es-ES_tradnl"/>
        </w:rPr>
        <w:t>con</w:t>
      </w:r>
      <w:r w:rsidRPr="00351298">
        <w:rPr>
          <w:rFonts w:ascii="Verdana" w:eastAsia="Cambria" w:hAnsi="Verdana" w:cs="Cambria"/>
          <w:sz w:val="20"/>
          <w:szCs w:val="20"/>
          <w:lang w:val="es-ES_tradnl"/>
        </w:rPr>
        <w:t xml:space="preserve"> lo anterior, la demora en la investigación y el proceso por más de 21 años desde que fue asesinada la regidora </w:t>
      </w:r>
      <w:r w:rsidRPr="00351298">
        <w:rPr>
          <w:rFonts w:ascii="Verdana" w:hAnsi="Verdana"/>
          <w:iCs/>
          <w:sz w:val="20"/>
          <w:szCs w:val="20"/>
          <w:lang w:val="es-ES_tradnl"/>
        </w:rPr>
        <w:t xml:space="preserve">María de los Ángeles Tamés Pérez en el año 2001, y por más de 20 años desde que fueron vinculadas las presuntas víctimas de este caso, </w:t>
      </w:r>
      <w:r w:rsidRPr="00351298">
        <w:rPr>
          <w:rFonts w:ascii="Verdana" w:eastAsia="Cambria" w:hAnsi="Verdana" w:cs="Cambria"/>
          <w:sz w:val="20"/>
          <w:szCs w:val="20"/>
          <w:lang w:val="es-ES_tradnl"/>
        </w:rPr>
        <w:t xml:space="preserve">no se puede explicar por la complejidad del proceso ni por la conducta de las presuntas víctimas, sino por una actividad </w:t>
      </w:r>
      <w:r w:rsidRPr="00351298">
        <w:rPr>
          <w:rFonts w:ascii="Verdana" w:eastAsia="Cambria" w:hAnsi="Verdana" w:cs="Cambria"/>
          <w:sz w:val="20"/>
          <w:szCs w:val="20"/>
          <w:lang w:val="es-ES_tradnl"/>
        </w:rPr>
        <w:lastRenderedPageBreak/>
        <w:t xml:space="preserve">dilatoria atribuible al Estado. Por tanto, la Corte encuentra sustento para concluir que existe una vulneración al principio del plazo razonable contenido en el artículo 8.1 de la Convención en perjuicio de Daniel García Rodríguez y Reyes Alpízar </w:t>
      </w:r>
      <w:r w:rsidR="00D349F9">
        <w:rPr>
          <w:rFonts w:ascii="Verdana" w:eastAsia="Cambria" w:hAnsi="Verdana" w:cs="Cambria"/>
          <w:sz w:val="20"/>
          <w:szCs w:val="20"/>
          <w:lang w:val="es-ES_tradnl"/>
        </w:rPr>
        <w:t>Ortiz</w:t>
      </w:r>
      <w:r w:rsidRPr="00351298">
        <w:rPr>
          <w:rFonts w:ascii="Verdana" w:eastAsia="Cambria" w:hAnsi="Verdana" w:cs="Cambria"/>
          <w:sz w:val="20"/>
          <w:szCs w:val="20"/>
          <w:lang w:val="es-ES_tradnl"/>
        </w:rPr>
        <w:t xml:space="preserve">, por la excesiva duración del proceso al cual fueron vinculados. </w:t>
      </w:r>
    </w:p>
    <w:p w14:paraId="09D9E766" w14:textId="4AF844D5" w:rsidR="00C71F0A" w:rsidRPr="00351298" w:rsidRDefault="00C71F0A" w:rsidP="00C71F0A">
      <w:pPr>
        <w:pStyle w:val="Ttulo3"/>
        <w:spacing w:before="240" w:after="240"/>
        <w:ind w:left="567"/>
        <w:jc w:val="both"/>
        <w:rPr>
          <w:rFonts w:ascii="Verdana" w:hAnsi="Verdana"/>
          <w:b w:val="0"/>
          <w:snapToGrid w:val="0"/>
          <w:spacing w:val="-2"/>
          <w:sz w:val="20"/>
          <w:szCs w:val="20"/>
          <w:lang w:eastAsia="es-ES"/>
        </w:rPr>
      </w:pPr>
      <w:bookmarkStart w:id="119" w:name="_Toc132133938"/>
      <w:r w:rsidRPr="00351298">
        <w:rPr>
          <w:rFonts w:ascii="Verdana" w:hAnsi="Verdana"/>
          <w:b w:val="0"/>
          <w:snapToGrid w:val="0"/>
          <w:spacing w:val="-2"/>
          <w:sz w:val="20"/>
          <w:szCs w:val="20"/>
          <w:lang w:eastAsia="es-ES"/>
        </w:rPr>
        <w:t>B.</w:t>
      </w:r>
      <w:r w:rsidR="001167D4" w:rsidRPr="00351298">
        <w:rPr>
          <w:rFonts w:ascii="Verdana" w:hAnsi="Verdana"/>
          <w:b w:val="0"/>
          <w:snapToGrid w:val="0"/>
          <w:spacing w:val="-2"/>
          <w:sz w:val="20"/>
          <w:szCs w:val="20"/>
          <w:lang w:eastAsia="es-ES"/>
        </w:rPr>
        <w:t>5</w:t>
      </w:r>
      <w:r w:rsidRPr="00351298">
        <w:rPr>
          <w:rFonts w:ascii="Verdana" w:hAnsi="Verdana"/>
          <w:b w:val="0"/>
          <w:snapToGrid w:val="0"/>
          <w:spacing w:val="-2"/>
          <w:sz w:val="20"/>
          <w:szCs w:val="20"/>
          <w:lang w:eastAsia="es-ES"/>
        </w:rPr>
        <w:t>. Conclusión</w:t>
      </w:r>
      <w:bookmarkEnd w:id="119"/>
    </w:p>
    <w:p w14:paraId="4B3A4506" w14:textId="57ACAB20" w:rsidR="00F81D01" w:rsidRPr="00F81D01" w:rsidRDefault="00CC2C5E" w:rsidP="00F81D01">
      <w:pPr>
        <w:numPr>
          <w:ilvl w:val="0"/>
          <w:numId w:val="2"/>
        </w:numPr>
        <w:spacing w:before="120" w:after="120"/>
        <w:ind w:left="0" w:firstLine="0"/>
        <w:jc w:val="both"/>
        <w:rPr>
          <w:rFonts w:ascii="Verdana" w:eastAsia="Cambria" w:hAnsi="Verdana" w:cs="Cambria"/>
          <w:sz w:val="20"/>
          <w:szCs w:val="20"/>
          <w:lang w:val="es-ES_tradnl"/>
        </w:rPr>
      </w:pPr>
      <w:r w:rsidRPr="00351298">
        <w:rPr>
          <w:rFonts w:ascii="Verdana" w:eastAsia="Cambria" w:hAnsi="Verdana" w:cs="Cambria"/>
          <w:sz w:val="20"/>
          <w:szCs w:val="20"/>
          <w:lang w:val="es-ES_tradnl"/>
        </w:rPr>
        <w:t xml:space="preserve">En conclusión, esta Corte encuentra que el Estado es responsable por la violación al principio del plazo razonable, y a la regla de la exclusión de la prueba obtenida bajo </w:t>
      </w:r>
      <w:r w:rsidR="005A4AE3">
        <w:rPr>
          <w:rFonts w:ascii="Verdana" w:eastAsia="Cambria" w:hAnsi="Verdana" w:cs="Cambria"/>
          <w:sz w:val="20"/>
          <w:szCs w:val="20"/>
          <w:lang w:val="es-ES_tradnl"/>
        </w:rPr>
        <w:t>coaccíon</w:t>
      </w:r>
      <w:r w:rsidRPr="00351298">
        <w:rPr>
          <w:rFonts w:ascii="Verdana" w:eastAsia="Cambria" w:hAnsi="Verdana" w:cs="Cambria"/>
          <w:sz w:val="20"/>
          <w:szCs w:val="20"/>
          <w:lang w:val="es-ES_tradnl"/>
        </w:rPr>
        <w:t xml:space="preserve">, contenidos en los artículos 8.1 y 8.3 de la Convención Americana, en relación con 1.1 del mismo instrumento, en perjuicio de Daniel García Rodríguez y Reyes Alpízar </w:t>
      </w:r>
      <w:r w:rsidR="00D349F9">
        <w:rPr>
          <w:rFonts w:ascii="Verdana" w:eastAsia="Cambria" w:hAnsi="Verdana" w:cs="Cambria"/>
          <w:sz w:val="20"/>
          <w:szCs w:val="20"/>
          <w:lang w:val="es-ES_tradnl"/>
        </w:rPr>
        <w:t>Ortiz</w:t>
      </w:r>
      <w:r w:rsidRPr="00351298">
        <w:rPr>
          <w:rFonts w:ascii="Verdana" w:eastAsia="Cambria" w:hAnsi="Verdana" w:cs="Cambria"/>
          <w:sz w:val="20"/>
          <w:szCs w:val="20"/>
          <w:lang w:val="es-ES_tradnl"/>
        </w:rPr>
        <w:t xml:space="preserve">. Por último, el Estado es también responsable por una violación </w:t>
      </w:r>
      <w:r w:rsidR="00F81D01" w:rsidRPr="00351298">
        <w:rPr>
          <w:rFonts w:ascii="Verdana" w:eastAsia="Cambria" w:hAnsi="Verdana" w:cs="Cambria"/>
          <w:sz w:val="20"/>
          <w:szCs w:val="20"/>
          <w:lang w:val="es-ES_tradnl"/>
        </w:rPr>
        <w:t>al derecho de defensa</w:t>
      </w:r>
      <w:r w:rsidR="00F81D01">
        <w:rPr>
          <w:rFonts w:ascii="Verdana" w:eastAsia="Cambria" w:hAnsi="Verdana" w:cs="Cambria"/>
          <w:sz w:val="20"/>
          <w:szCs w:val="20"/>
          <w:lang w:val="es-ES_tradnl"/>
        </w:rPr>
        <w:t>, y al</w:t>
      </w:r>
      <w:r w:rsidR="00F81D01" w:rsidRPr="00351298">
        <w:rPr>
          <w:rFonts w:ascii="Verdana" w:eastAsia="Cambria" w:hAnsi="Verdana" w:cs="Cambria"/>
          <w:sz w:val="20"/>
          <w:szCs w:val="20"/>
          <w:lang w:val="es-ES_tradnl"/>
        </w:rPr>
        <w:t xml:space="preserve"> </w:t>
      </w:r>
      <w:r w:rsidRPr="00351298">
        <w:rPr>
          <w:rFonts w:ascii="Verdana" w:eastAsia="Cambria" w:hAnsi="Verdana" w:cs="Cambria"/>
          <w:sz w:val="20"/>
          <w:szCs w:val="20"/>
          <w:lang w:val="es-ES_tradnl"/>
        </w:rPr>
        <w:t xml:space="preserve">derecho de interrogar a los testigos y de obtener la comparecencia </w:t>
      </w:r>
      <w:r w:rsidR="00516E72" w:rsidRPr="00351298">
        <w:rPr>
          <w:rFonts w:ascii="Verdana" w:eastAsia="Cambria" w:hAnsi="Verdana" w:cs="Cambria"/>
          <w:sz w:val="20"/>
          <w:szCs w:val="20"/>
          <w:lang w:val="es-ES_tradnl"/>
        </w:rPr>
        <w:t xml:space="preserve">de los </w:t>
      </w:r>
      <w:r w:rsidR="00C42DD4" w:rsidRPr="00351298">
        <w:rPr>
          <w:rFonts w:ascii="Verdana" w:eastAsia="Cambria" w:hAnsi="Verdana" w:cs="Cambria"/>
          <w:sz w:val="20"/>
          <w:szCs w:val="20"/>
          <w:lang w:val="es-ES_tradnl"/>
        </w:rPr>
        <w:t>mismos contenidos</w:t>
      </w:r>
      <w:r w:rsidRPr="00351298">
        <w:rPr>
          <w:rFonts w:ascii="Verdana" w:eastAsia="Cambria" w:hAnsi="Verdana" w:cs="Cambria"/>
          <w:sz w:val="20"/>
          <w:szCs w:val="20"/>
          <w:lang w:val="es-ES_tradnl"/>
        </w:rPr>
        <w:t xml:space="preserve"> en </w:t>
      </w:r>
      <w:r w:rsidR="00F81D01">
        <w:rPr>
          <w:rFonts w:ascii="Verdana" w:eastAsia="Cambria" w:hAnsi="Verdana" w:cs="Cambria"/>
          <w:sz w:val="20"/>
          <w:szCs w:val="20"/>
          <w:lang w:val="es-ES_tradnl"/>
        </w:rPr>
        <w:t>los</w:t>
      </w:r>
      <w:r w:rsidR="00F81D01" w:rsidRPr="00351298">
        <w:rPr>
          <w:rFonts w:ascii="Verdana" w:eastAsia="Cambria" w:hAnsi="Verdana" w:cs="Cambria"/>
          <w:sz w:val="20"/>
          <w:szCs w:val="20"/>
          <w:lang w:val="es-ES_tradnl"/>
        </w:rPr>
        <w:t xml:space="preserve"> </w:t>
      </w:r>
      <w:r w:rsidRPr="00351298">
        <w:rPr>
          <w:rFonts w:ascii="Verdana" w:eastAsia="Cambria" w:hAnsi="Verdana" w:cs="Cambria"/>
          <w:sz w:val="20"/>
          <w:szCs w:val="20"/>
          <w:lang w:val="es-ES_tradnl"/>
        </w:rPr>
        <w:t>artículo</w:t>
      </w:r>
      <w:r w:rsidR="00F13442">
        <w:rPr>
          <w:rFonts w:ascii="Verdana" w:eastAsia="Cambria" w:hAnsi="Verdana" w:cs="Cambria"/>
          <w:sz w:val="20"/>
          <w:szCs w:val="20"/>
          <w:lang w:val="es-ES_tradnl"/>
        </w:rPr>
        <w:t>s</w:t>
      </w:r>
      <w:r w:rsidRPr="00351298">
        <w:rPr>
          <w:rFonts w:ascii="Verdana" w:eastAsia="Cambria" w:hAnsi="Verdana" w:cs="Cambria"/>
          <w:sz w:val="20"/>
          <w:szCs w:val="20"/>
          <w:lang w:val="es-ES_tradnl"/>
        </w:rPr>
        <w:t xml:space="preserve"> </w:t>
      </w:r>
      <w:r w:rsidR="00F81D01">
        <w:rPr>
          <w:rFonts w:ascii="Verdana" w:eastAsia="Cambria" w:hAnsi="Verdana" w:cs="Cambria"/>
          <w:sz w:val="20"/>
          <w:szCs w:val="20"/>
          <w:lang w:val="es-ES_tradnl"/>
        </w:rPr>
        <w:t xml:space="preserve">8.2.d, 8.2.e, y </w:t>
      </w:r>
      <w:r w:rsidRPr="00351298">
        <w:rPr>
          <w:rFonts w:ascii="Verdana" w:eastAsia="Cambria" w:hAnsi="Verdana" w:cs="Cambria"/>
          <w:sz w:val="20"/>
          <w:szCs w:val="20"/>
          <w:lang w:val="es-ES_tradnl"/>
        </w:rPr>
        <w:t>8.2.f de la Convención Americana, en relación con 1.1 del mismo instrumento, en perjuicio de Daniel García Rodríguez</w:t>
      </w:r>
      <w:r w:rsidR="00C13FF8" w:rsidRPr="00351298">
        <w:rPr>
          <w:rFonts w:ascii="Verdana" w:eastAsia="Cambria" w:hAnsi="Verdana" w:cs="Cambria"/>
          <w:sz w:val="20"/>
          <w:szCs w:val="20"/>
          <w:lang w:val="es-ES_tradnl"/>
        </w:rPr>
        <w:t>.</w:t>
      </w:r>
    </w:p>
    <w:p w14:paraId="0DB61DA5" w14:textId="413167C2" w:rsidR="00A3327D" w:rsidRPr="00351298" w:rsidRDefault="0085104D" w:rsidP="005B635B">
      <w:pPr>
        <w:pStyle w:val="Ttulo1"/>
        <w:rPr>
          <w:rFonts w:ascii="Verdana" w:hAnsi="Verdana"/>
          <w:b w:val="0"/>
          <w:sz w:val="20"/>
          <w:lang w:val="es-ES_tradnl"/>
        </w:rPr>
      </w:pPr>
      <w:bookmarkStart w:id="120" w:name="_ftnref258"/>
      <w:bookmarkStart w:id="121" w:name="_Toc132133939"/>
      <w:bookmarkEnd w:id="120"/>
      <w:r w:rsidRPr="00351298">
        <w:rPr>
          <w:rFonts w:ascii="Verdana" w:hAnsi="Verdana"/>
          <w:sz w:val="20"/>
          <w:lang w:val="es-ES_tradnl"/>
        </w:rPr>
        <w:t>IX</w:t>
      </w:r>
      <w:r w:rsidR="00457174" w:rsidRPr="00351298">
        <w:rPr>
          <w:rFonts w:ascii="Verdana" w:hAnsi="Verdana"/>
          <w:color w:val="FDE9D9" w:themeColor="accent6" w:themeTint="33"/>
          <w:sz w:val="20"/>
          <w:lang w:val="es-ES_tradnl"/>
        </w:rPr>
        <w:t>.</w:t>
      </w:r>
      <w:r w:rsidR="00B16F66" w:rsidRPr="00351298">
        <w:rPr>
          <w:rFonts w:ascii="Verdana" w:hAnsi="Verdana"/>
          <w:sz w:val="20"/>
          <w:lang w:val="es-ES_tradnl"/>
        </w:rPr>
        <w:br/>
        <w:t>REPARACIONES</w:t>
      </w:r>
      <w:r w:rsidR="00DE23C8" w:rsidRPr="00351298">
        <w:rPr>
          <w:rStyle w:val="Refdenotaalpie"/>
          <w:rFonts w:ascii="Verdana" w:hAnsi="Verdana"/>
          <w:sz w:val="20"/>
          <w:lang w:val="es-ES_tradnl"/>
        </w:rPr>
        <w:footnoteReference w:id="274"/>
      </w:r>
      <w:bookmarkEnd w:id="121"/>
    </w:p>
    <w:p w14:paraId="6A87CC5A" w14:textId="25B9E530" w:rsidR="0043610A" w:rsidRPr="00351298" w:rsidRDefault="4DC58E97" w:rsidP="00C97192">
      <w:pPr>
        <w:numPr>
          <w:ilvl w:val="0"/>
          <w:numId w:val="2"/>
        </w:numPr>
        <w:spacing w:before="120" w:after="120"/>
        <w:ind w:left="0" w:firstLine="0"/>
        <w:jc w:val="both"/>
        <w:rPr>
          <w:rFonts w:ascii="Verdana" w:hAnsi="Verdana"/>
          <w:sz w:val="20"/>
          <w:szCs w:val="20"/>
        </w:rPr>
      </w:pPr>
      <w:r w:rsidRPr="00351298">
        <w:rPr>
          <w:rFonts w:ascii="Verdana" w:hAnsi="Verdana"/>
          <w:sz w:val="20"/>
          <w:szCs w:val="20"/>
        </w:rPr>
        <w:t>Sobre la</w:t>
      </w:r>
      <w:r w:rsidRPr="00351298">
        <w:rPr>
          <w:rFonts w:ascii="Verdana" w:hAnsi="Verdana"/>
          <w:spacing w:val="1"/>
          <w:sz w:val="20"/>
          <w:szCs w:val="20"/>
        </w:rPr>
        <w:t xml:space="preserve"> </w:t>
      </w:r>
      <w:r w:rsidRPr="00351298">
        <w:rPr>
          <w:rFonts w:ascii="Verdana" w:hAnsi="Verdana"/>
          <w:sz w:val="20"/>
          <w:szCs w:val="20"/>
        </w:rPr>
        <w:t>base de lo dispuesto en</w:t>
      </w:r>
      <w:r w:rsidRPr="00351298">
        <w:rPr>
          <w:rFonts w:ascii="Verdana" w:hAnsi="Verdana"/>
          <w:spacing w:val="1"/>
          <w:sz w:val="20"/>
          <w:szCs w:val="20"/>
        </w:rPr>
        <w:t xml:space="preserve"> </w:t>
      </w:r>
      <w:r w:rsidRPr="00351298">
        <w:rPr>
          <w:rFonts w:ascii="Verdana" w:hAnsi="Verdana"/>
          <w:sz w:val="20"/>
          <w:szCs w:val="20"/>
        </w:rPr>
        <w:t>el</w:t>
      </w:r>
      <w:r w:rsidRPr="00351298">
        <w:rPr>
          <w:rFonts w:ascii="Verdana" w:hAnsi="Verdana"/>
          <w:spacing w:val="1"/>
          <w:sz w:val="20"/>
          <w:szCs w:val="20"/>
        </w:rPr>
        <w:t xml:space="preserve"> </w:t>
      </w:r>
      <w:r w:rsidRPr="00351298">
        <w:rPr>
          <w:rFonts w:ascii="Verdana" w:hAnsi="Verdana"/>
          <w:sz w:val="20"/>
          <w:szCs w:val="20"/>
        </w:rPr>
        <w:t>artículo 63.1</w:t>
      </w:r>
      <w:r w:rsidRPr="00351298">
        <w:rPr>
          <w:rFonts w:ascii="Verdana" w:hAnsi="Verdana"/>
          <w:spacing w:val="1"/>
          <w:sz w:val="20"/>
          <w:szCs w:val="20"/>
        </w:rPr>
        <w:t xml:space="preserve"> </w:t>
      </w:r>
      <w:r w:rsidRPr="00351298">
        <w:rPr>
          <w:rFonts w:ascii="Verdana" w:hAnsi="Verdana"/>
          <w:sz w:val="20"/>
          <w:szCs w:val="20"/>
        </w:rPr>
        <w:t>de la</w:t>
      </w:r>
      <w:r w:rsidRPr="00351298">
        <w:rPr>
          <w:rFonts w:ascii="Verdana" w:hAnsi="Verdana"/>
          <w:spacing w:val="1"/>
          <w:sz w:val="20"/>
          <w:szCs w:val="20"/>
        </w:rPr>
        <w:t xml:space="preserve"> </w:t>
      </w:r>
      <w:r w:rsidRPr="00351298">
        <w:rPr>
          <w:rFonts w:ascii="Verdana" w:hAnsi="Verdana"/>
          <w:sz w:val="20"/>
          <w:szCs w:val="20"/>
        </w:rPr>
        <w:t>Convención</w:t>
      </w:r>
      <w:r w:rsidRPr="00351298">
        <w:rPr>
          <w:rFonts w:ascii="Verdana" w:hAnsi="Verdana"/>
          <w:spacing w:val="70"/>
          <w:sz w:val="20"/>
          <w:szCs w:val="20"/>
        </w:rPr>
        <w:t xml:space="preserve"> </w:t>
      </w:r>
      <w:r w:rsidRPr="00351298">
        <w:rPr>
          <w:rFonts w:ascii="Verdana" w:hAnsi="Verdana"/>
          <w:sz w:val="20"/>
          <w:szCs w:val="20"/>
        </w:rPr>
        <w:t>Americana, la</w:t>
      </w:r>
      <w:r w:rsidRPr="00351298">
        <w:rPr>
          <w:rFonts w:ascii="Verdana" w:hAnsi="Verdana"/>
          <w:spacing w:val="1"/>
          <w:sz w:val="20"/>
          <w:szCs w:val="20"/>
        </w:rPr>
        <w:t xml:space="preserve"> </w:t>
      </w:r>
      <w:r w:rsidRPr="00351298">
        <w:rPr>
          <w:rFonts w:ascii="Verdana" w:hAnsi="Verdana"/>
          <w:sz w:val="20"/>
          <w:szCs w:val="20"/>
        </w:rPr>
        <w:t>Corte ha indicado que toda violación de una obligación internacional que haya producido</w:t>
      </w:r>
      <w:r w:rsidRPr="00351298">
        <w:rPr>
          <w:rFonts w:ascii="Verdana" w:hAnsi="Verdana"/>
          <w:spacing w:val="1"/>
          <w:sz w:val="20"/>
          <w:szCs w:val="20"/>
        </w:rPr>
        <w:t xml:space="preserve"> </w:t>
      </w:r>
      <w:r w:rsidRPr="00351298">
        <w:rPr>
          <w:rFonts w:ascii="Verdana" w:hAnsi="Verdana"/>
          <w:sz w:val="20"/>
          <w:szCs w:val="20"/>
        </w:rPr>
        <w:t>daño comporta el deber de repararlo adecuadamente</w:t>
      </w:r>
      <w:r w:rsidR="5B6A28B2" w:rsidRPr="5B6A28B2">
        <w:rPr>
          <w:rFonts w:ascii="Verdana" w:hAnsi="Verdana"/>
          <w:sz w:val="20"/>
          <w:szCs w:val="20"/>
        </w:rPr>
        <w:t xml:space="preserve">. A su vez, entendió </w:t>
      </w:r>
      <w:r w:rsidRPr="00351298">
        <w:rPr>
          <w:rFonts w:ascii="Verdana" w:hAnsi="Verdana"/>
          <w:sz w:val="20"/>
          <w:szCs w:val="20"/>
        </w:rPr>
        <w:t>que esa disposición recoge una</w:t>
      </w:r>
      <w:r w:rsidRPr="00351298">
        <w:rPr>
          <w:rFonts w:ascii="Verdana" w:hAnsi="Verdana"/>
          <w:spacing w:val="1"/>
          <w:sz w:val="20"/>
          <w:szCs w:val="20"/>
        </w:rPr>
        <w:t xml:space="preserve"> </w:t>
      </w:r>
      <w:r w:rsidRPr="00351298">
        <w:rPr>
          <w:rFonts w:ascii="Verdana" w:hAnsi="Verdana"/>
          <w:sz w:val="20"/>
          <w:szCs w:val="20"/>
        </w:rPr>
        <w:t>norma consuetudinaria que constituye uno de los principios fundamentales del Derecho</w:t>
      </w:r>
      <w:r w:rsidRPr="00351298">
        <w:rPr>
          <w:rFonts w:ascii="Verdana" w:hAnsi="Verdana"/>
          <w:spacing w:val="1"/>
          <w:sz w:val="20"/>
          <w:szCs w:val="20"/>
        </w:rPr>
        <w:t xml:space="preserve"> </w:t>
      </w:r>
      <w:r w:rsidRPr="00351298">
        <w:rPr>
          <w:rFonts w:ascii="Verdana" w:hAnsi="Verdana"/>
          <w:sz w:val="20"/>
          <w:szCs w:val="20"/>
        </w:rPr>
        <w:t>Internacional</w:t>
      </w:r>
      <w:r w:rsidRPr="00351298">
        <w:rPr>
          <w:rFonts w:ascii="Verdana" w:hAnsi="Verdana"/>
          <w:spacing w:val="2"/>
          <w:sz w:val="20"/>
          <w:szCs w:val="20"/>
        </w:rPr>
        <w:t xml:space="preserve"> </w:t>
      </w:r>
      <w:r w:rsidRPr="00351298">
        <w:rPr>
          <w:rFonts w:ascii="Verdana" w:hAnsi="Verdana"/>
          <w:sz w:val="20"/>
          <w:szCs w:val="20"/>
        </w:rPr>
        <w:t>contemporáneo</w:t>
      </w:r>
      <w:r w:rsidRPr="00351298">
        <w:rPr>
          <w:rFonts w:ascii="Verdana" w:hAnsi="Verdana"/>
          <w:spacing w:val="-2"/>
          <w:sz w:val="20"/>
          <w:szCs w:val="20"/>
        </w:rPr>
        <w:t xml:space="preserve"> </w:t>
      </w:r>
      <w:r w:rsidRPr="00351298">
        <w:rPr>
          <w:rFonts w:ascii="Verdana" w:hAnsi="Verdana"/>
          <w:sz w:val="20"/>
          <w:szCs w:val="20"/>
        </w:rPr>
        <w:t>sobre</w:t>
      </w:r>
      <w:r w:rsidRPr="00351298">
        <w:rPr>
          <w:rFonts w:ascii="Verdana" w:hAnsi="Verdana"/>
          <w:spacing w:val="-1"/>
          <w:sz w:val="20"/>
          <w:szCs w:val="20"/>
        </w:rPr>
        <w:t xml:space="preserve"> </w:t>
      </w:r>
      <w:r w:rsidRPr="00351298">
        <w:rPr>
          <w:rFonts w:ascii="Verdana" w:hAnsi="Verdana"/>
          <w:sz w:val="20"/>
          <w:szCs w:val="20"/>
        </w:rPr>
        <w:t>responsabilidad de</w:t>
      </w:r>
      <w:r w:rsidRPr="00351298">
        <w:rPr>
          <w:rFonts w:ascii="Verdana" w:hAnsi="Verdana"/>
          <w:spacing w:val="-3"/>
          <w:sz w:val="20"/>
          <w:szCs w:val="20"/>
        </w:rPr>
        <w:t xml:space="preserve"> </w:t>
      </w:r>
      <w:r w:rsidRPr="00351298">
        <w:rPr>
          <w:rFonts w:ascii="Verdana" w:hAnsi="Verdana"/>
          <w:sz w:val="20"/>
          <w:szCs w:val="20"/>
        </w:rPr>
        <w:t>un</w:t>
      </w:r>
      <w:r w:rsidRPr="00351298">
        <w:rPr>
          <w:rFonts w:ascii="Verdana" w:hAnsi="Verdana"/>
          <w:spacing w:val="1"/>
          <w:sz w:val="20"/>
          <w:szCs w:val="20"/>
        </w:rPr>
        <w:t xml:space="preserve"> </w:t>
      </w:r>
      <w:r w:rsidRPr="00351298">
        <w:rPr>
          <w:rFonts w:ascii="Verdana" w:hAnsi="Verdana"/>
          <w:sz w:val="20"/>
          <w:szCs w:val="20"/>
        </w:rPr>
        <w:t>Estado</w:t>
      </w:r>
      <w:r w:rsidR="0043610A" w:rsidRPr="5B6A28B2">
        <w:rPr>
          <w:rStyle w:val="Refdenotaalpie"/>
          <w:rFonts w:ascii="Verdana" w:hAnsi="Verdana"/>
          <w:sz w:val="20"/>
        </w:rPr>
        <w:footnoteReference w:id="275"/>
      </w:r>
      <w:r w:rsidRPr="00351298">
        <w:rPr>
          <w:rFonts w:ascii="Verdana" w:hAnsi="Verdana"/>
          <w:sz w:val="20"/>
          <w:szCs w:val="20"/>
        </w:rPr>
        <w:t>.</w:t>
      </w:r>
    </w:p>
    <w:p w14:paraId="778959BD" w14:textId="679A2413" w:rsidR="0043610A" w:rsidRPr="00351298" w:rsidRDefault="4DC58E97" w:rsidP="00C97192">
      <w:pPr>
        <w:numPr>
          <w:ilvl w:val="0"/>
          <w:numId w:val="2"/>
        </w:numPr>
        <w:spacing w:before="120" w:after="120"/>
        <w:ind w:left="0" w:firstLine="0"/>
        <w:jc w:val="both"/>
        <w:rPr>
          <w:rFonts w:ascii="Verdana" w:hAnsi="Verdana"/>
          <w:sz w:val="20"/>
          <w:szCs w:val="20"/>
        </w:rPr>
      </w:pPr>
      <w:r w:rsidRPr="00351298">
        <w:rPr>
          <w:rFonts w:ascii="Verdana" w:hAnsi="Verdana"/>
          <w:sz w:val="20"/>
          <w:szCs w:val="20"/>
        </w:rPr>
        <w:t>La reparación del daño ocasionado por la infracción de una obligación internacional</w:t>
      </w:r>
      <w:r w:rsidRPr="00351298">
        <w:rPr>
          <w:rFonts w:ascii="Verdana" w:hAnsi="Verdana"/>
          <w:spacing w:val="1"/>
          <w:sz w:val="20"/>
          <w:szCs w:val="20"/>
        </w:rPr>
        <w:t xml:space="preserve"> </w:t>
      </w:r>
      <w:r w:rsidRPr="00351298">
        <w:rPr>
          <w:rFonts w:ascii="Verdana" w:hAnsi="Verdana"/>
          <w:sz w:val="20"/>
          <w:szCs w:val="20"/>
        </w:rPr>
        <w:t xml:space="preserve">requiere, siempre que sea posible, la plena restitución </w:t>
      </w:r>
      <w:r w:rsidRPr="3BF92891">
        <w:rPr>
          <w:rFonts w:ascii="Verdana" w:hAnsi="Verdana"/>
          <w:i/>
          <w:iCs/>
          <w:sz w:val="20"/>
          <w:szCs w:val="20"/>
        </w:rPr>
        <w:t>(restitutio in integrum)</w:t>
      </w:r>
      <w:r w:rsidRPr="00351298">
        <w:rPr>
          <w:rFonts w:ascii="Verdana" w:hAnsi="Verdana"/>
          <w:sz w:val="20"/>
          <w:szCs w:val="20"/>
        </w:rPr>
        <w:t>, que consiste</w:t>
      </w:r>
      <w:r w:rsidRPr="00351298">
        <w:rPr>
          <w:rFonts w:ascii="Verdana" w:hAnsi="Verdana"/>
          <w:spacing w:val="1"/>
          <w:sz w:val="20"/>
          <w:szCs w:val="20"/>
        </w:rPr>
        <w:t xml:space="preserve"> </w:t>
      </w:r>
      <w:r w:rsidRPr="00351298">
        <w:rPr>
          <w:rFonts w:ascii="Verdana" w:hAnsi="Verdana"/>
          <w:sz w:val="20"/>
          <w:szCs w:val="20"/>
        </w:rPr>
        <w:t>en el restablecimiento de la situación anterior. De no ser factible, como ocurre en la</w:t>
      </w:r>
      <w:r w:rsidRPr="00351298">
        <w:rPr>
          <w:rFonts w:ascii="Verdana" w:hAnsi="Verdana"/>
          <w:spacing w:val="1"/>
          <w:sz w:val="20"/>
          <w:szCs w:val="20"/>
        </w:rPr>
        <w:t xml:space="preserve"> </w:t>
      </w:r>
      <w:r w:rsidRPr="00351298">
        <w:rPr>
          <w:rFonts w:ascii="Verdana" w:hAnsi="Verdana"/>
          <w:sz w:val="20"/>
          <w:szCs w:val="20"/>
        </w:rPr>
        <w:t>mayoría de los casos de violaciones a derechos humanos, el Tribunal determinará medidas</w:t>
      </w:r>
      <w:r w:rsidRPr="00351298">
        <w:rPr>
          <w:rFonts w:ascii="Verdana" w:hAnsi="Verdana"/>
          <w:spacing w:val="1"/>
          <w:sz w:val="20"/>
          <w:szCs w:val="20"/>
        </w:rPr>
        <w:t xml:space="preserve"> </w:t>
      </w:r>
      <w:r w:rsidRPr="00351298">
        <w:rPr>
          <w:rFonts w:ascii="Verdana" w:hAnsi="Verdana"/>
          <w:sz w:val="20"/>
          <w:szCs w:val="20"/>
        </w:rPr>
        <w:t>para garantizar los derechos conculcados y reparar las consecuencias que las infracciones</w:t>
      </w:r>
      <w:r w:rsidRPr="00351298">
        <w:rPr>
          <w:rFonts w:ascii="Verdana" w:hAnsi="Verdana"/>
          <w:spacing w:val="1"/>
          <w:sz w:val="20"/>
          <w:szCs w:val="20"/>
        </w:rPr>
        <w:t xml:space="preserve"> </w:t>
      </w:r>
      <w:r w:rsidRPr="00351298">
        <w:rPr>
          <w:rFonts w:ascii="Verdana" w:hAnsi="Verdana"/>
          <w:sz w:val="20"/>
          <w:szCs w:val="20"/>
        </w:rPr>
        <w:t>produjeron</w:t>
      </w:r>
      <w:r w:rsidR="0043610A" w:rsidRPr="5B6A28B2">
        <w:rPr>
          <w:rStyle w:val="Refdenotaalpie"/>
          <w:rFonts w:ascii="Verdana" w:hAnsi="Verdana"/>
          <w:sz w:val="20"/>
        </w:rPr>
        <w:footnoteReference w:id="276"/>
      </w:r>
      <w:r w:rsidRPr="00351298">
        <w:rPr>
          <w:rFonts w:ascii="Verdana" w:hAnsi="Verdana"/>
          <w:sz w:val="20"/>
          <w:szCs w:val="20"/>
        </w:rPr>
        <w:t>. Por tanto, la Corte ha considerado la necesidad de otorgar diversas medidas</w:t>
      </w:r>
      <w:r w:rsidRPr="00351298">
        <w:rPr>
          <w:rFonts w:ascii="Verdana" w:hAnsi="Verdana"/>
          <w:spacing w:val="1"/>
          <w:sz w:val="20"/>
          <w:szCs w:val="20"/>
        </w:rPr>
        <w:t xml:space="preserve"> </w:t>
      </w:r>
      <w:r w:rsidRPr="00351298">
        <w:rPr>
          <w:rFonts w:ascii="Verdana" w:hAnsi="Verdana"/>
          <w:sz w:val="20"/>
          <w:szCs w:val="20"/>
        </w:rPr>
        <w:t>de reparación a fin de resarcir los daños de manera integral por lo que, además de las</w:t>
      </w:r>
      <w:r w:rsidRPr="00351298">
        <w:rPr>
          <w:rFonts w:ascii="Verdana" w:hAnsi="Verdana"/>
          <w:spacing w:val="1"/>
          <w:sz w:val="20"/>
          <w:szCs w:val="20"/>
        </w:rPr>
        <w:t xml:space="preserve"> </w:t>
      </w:r>
      <w:r w:rsidRPr="00351298">
        <w:rPr>
          <w:rFonts w:ascii="Verdana" w:hAnsi="Verdana"/>
          <w:sz w:val="20"/>
          <w:szCs w:val="20"/>
        </w:rPr>
        <w:t>compensaciones</w:t>
      </w:r>
      <w:r w:rsidRPr="00351298">
        <w:rPr>
          <w:rFonts w:ascii="Verdana" w:hAnsi="Verdana"/>
          <w:spacing w:val="1"/>
          <w:sz w:val="20"/>
          <w:szCs w:val="20"/>
        </w:rPr>
        <w:t xml:space="preserve"> </w:t>
      </w:r>
      <w:r w:rsidRPr="00351298">
        <w:rPr>
          <w:rFonts w:ascii="Verdana" w:hAnsi="Verdana"/>
          <w:sz w:val="20"/>
          <w:szCs w:val="20"/>
        </w:rPr>
        <w:t>pecuniarias,</w:t>
      </w:r>
      <w:r w:rsidRPr="00351298">
        <w:rPr>
          <w:rFonts w:ascii="Verdana" w:hAnsi="Verdana"/>
          <w:spacing w:val="1"/>
          <w:sz w:val="20"/>
          <w:szCs w:val="20"/>
        </w:rPr>
        <w:t xml:space="preserve"> </w:t>
      </w:r>
      <w:r w:rsidRPr="00351298">
        <w:rPr>
          <w:rFonts w:ascii="Verdana" w:hAnsi="Verdana"/>
          <w:sz w:val="20"/>
          <w:szCs w:val="20"/>
        </w:rPr>
        <w:t>las</w:t>
      </w:r>
      <w:r w:rsidRPr="00351298">
        <w:rPr>
          <w:rFonts w:ascii="Verdana" w:hAnsi="Verdana"/>
          <w:spacing w:val="1"/>
          <w:sz w:val="20"/>
          <w:szCs w:val="20"/>
        </w:rPr>
        <w:t xml:space="preserve"> </w:t>
      </w:r>
      <w:r w:rsidRPr="00351298">
        <w:rPr>
          <w:rFonts w:ascii="Verdana" w:hAnsi="Verdana"/>
          <w:sz w:val="20"/>
          <w:szCs w:val="20"/>
        </w:rPr>
        <w:t>medidas</w:t>
      </w:r>
      <w:r w:rsidRPr="00351298">
        <w:rPr>
          <w:rFonts w:ascii="Verdana" w:hAnsi="Verdana"/>
          <w:spacing w:val="1"/>
          <w:sz w:val="20"/>
          <w:szCs w:val="20"/>
        </w:rPr>
        <w:t xml:space="preserve"> </w:t>
      </w:r>
      <w:r w:rsidRPr="00351298">
        <w:rPr>
          <w:rFonts w:ascii="Verdana" w:hAnsi="Verdana"/>
          <w:sz w:val="20"/>
          <w:szCs w:val="20"/>
        </w:rPr>
        <w:t>de</w:t>
      </w:r>
      <w:r w:rsidRPr="00351298">
        <w:rPr>
          <w:rFonts w:ascii="Verdana" w:hAnsi="Verdana"/>
          <w:spacing w:val="1"/>
          <w:sz w:val="20"/>
          <w:szCs w:val="20"/>
        </w:rPr>
        <w:t xml:space="preserve"> </w:t>
      </w:r>
      <w:r w:rsidRPr="00351298">
        <w:rPr>
          <w:rFonts w:ascii="Verdana" w:hAnsi="Verdana"/>
          <w:sz w:val="20"/>
          <w:szCs w:val="20"/>
        </w:rPr>
        <w:t>restitución,</w:t>
      </w:r>
      <w:r w:rsidRPr="00351298">
        <w:rPr>
          <w:rFonts w:ascii="Verdana" w:hAnsi="Verdana"/>
          <w:spacing w:val="1"/>
          <w:sz w:val="20"/>
          <w:szCs w:val="20"/>
        </w:rPr>
        <w:t xml:space="preserve"> </w:t>
      </w:r>
      <w:r w:rsidRPr="00351298">
        <w:rPr>
          <w:rFonts w:ascii="Verdana" w:hAnsi="Verdana"/>
          <w:sz w:val="20"/>
          <w:szCs w:val="20"/>
        </w:rPr>
        <w:t>rehabilitación,</w:t>
      </w:r>
      <w:r w:rsidRPr="00351298">
        <w:rPr>
          <w:rFonts w:ascii="Verdana" w:hAnsi="Verdana"/>
          <w:spacing w:val="1"/>
          <w:sz w:val="20"/>
          <w:szCs w:val="20"/>
        </w:rPr>
        <w:t xml:space="preserve"> </w:t>
      </w:r>
      <w:r w:rsidRPr="00351298">
        <w:rPr>
          <w:rFonts w:ascii="Verdana" w:hAnsi="Verdana"/>
          <w:sz w:val="20"/>
          <w:szCs w:val="20"/>
        </w:rPr>
        <w:t>satisfacción</w:t>
      </w:r>
      <w:r w:rsidRPr="00351298">
        <w:rPr>
          <w:rFonts w:ascii="Verdana" w:hAnsi="Verdana"/>
          <w:spacing w:val="1"/>
          <w:sz w:val="20"/>
          <w:szCs w:val="20"/>
        </w:rPr>
        <w:t xml:space="preserve"> </w:t>
      </w:r>
      <w:r w:rsidRPr="00351298">
        <w:rPr>
          <w:rFonts w:ascii="Verdana" w:hAnsi="Verdana"/>
          <w:sz w:val="20"/>
          <w:szCs w:val="20"/>
        </w:rPr>
        <w:t>y</w:t>
      </w:r>
      <w:r w:rsidRPr="00351298">
        <w:rPr>
          <w:rFonts w:ascii="Verdana" w:hAnsi="Verdana"/>
          <w:spacing w:val="1"/>
          <w:sz w:val="20"/>
          <w:szCs w:val="20"/>
        </w:rPr>
        <w:t xml:space="preserve"> </w:t>
      </w:r>
      <w:r w:rsidRPr="00351298">
        <w:rPr>
          <w:rFonts w:ascii="Verdana" w:hAnsi="Verdana"/>
          <w:sz w:val="20"/>
          <w:szCs w:val="20"/>
        </w:rPr>
        <w:t>garantías</w:t>
      </w:r>
      <w:r w:rsidRPr="00351298">
        <w:rPr>
          <w:rFonts w:ascii="Verdana" w:hAnsi="Verdana"/>
          <w:spacing w:val="-2"/>
          <w:sz w:val="20"/>
          <w:szCs w:val="20"/>
        </w:rPr>
        <w:t xml:space="preserve"> </w:t>
      </w:r>
      <w:r w:rsidRPr="00351298">
        <w:rPr>
          <w:rFonts w:ascii="Verdana" w:hAnsi="Verdana"/>
          <w:sz w:val="20"/>
          <w:szCs w:val="20"/>
        </w:rPr>
        <w:t>de</w:t>
      </w:r>
      <w:r w:rsidRPr="00351298">
        <w:rPr>
          <w:rFonts w:ascii="Verdana" w:hAnsi="Verdana"/>
          <w:spacing w:val="-3"/>
          <w:sz w:val="20"/>
          <w:szCs w:val="20"/>
        </w:rPr>
        <w:t xml:space="preserve"> </w:t>
      </w:r>
      <w:r w:rsidRPr="00351298">
        <w:rPr>
          <w:rFonts w:ascii="Verdana" w:hAnsi="Verdana"/>
          <w:sz w:val="20"/>
          <w:szCs w:val="20"/>
        </w:rPr>
        <w:t>no repetición</w:t>
      </w:r>
      <w:r w:rsidRPr="00351298">
        <w:rPr>
          <w:rFonts w:ascii="Verdana" w:hAnsi="Verdana"/>
          <w:spacing w:val="-1"/>
          <w:sz w:val="20"/>
          <w:szCs w:val="20"/>
        </w:rPr>
        <w:t xml:space="preserve"> </w:t>
      </w:r>
      <w:r w:rsidRPr="00351298">
        <w:rPr>
          <w:rFonts w:ascii="Verdana" w:hAnsi="Verdana"/>
          <w:sz w:val="20"/>
          <w:szCs w:val="20"/>
        </w:rPr>
        <w:t>tienen</w:t>
      </w:r>
      <w:r w:rsidRPr="00351298">
        <w:rPr>
          <w:rFonts w:ascii="Verdana" w:hAnsi="Verdana"/>
          <w:spacing w:val="-1"/>
          <w:sz w:val="20"/>
          <w:szCs w:val="20"/>
        </w:rPr>
        <w:t xml:space="preserve"> </w:t>
      </w:r>
      <w:r w:rsidRPr="00351298">
        <w:rPr>
          <w:rFonts w:ascii="Verdana" w:hAnsi="Verdana"/>
          <w:sz w:val="20"/>
          <w:szCs w:val="20"/>
        </w:rPr>
        <w:t>especial</w:t>
      </w:r>
      <w:r w:rsidRPr="00351298">
        <w:rPr>
          <w:rFonts w:ascii="Verdana" w:hAnsi="Verdana"/>
          <w:spacing w:val="2"/>
          <w:sz w:val="20"/>
          <w:szCs w:val="20"/>
        </w:rPr>
        <w:t xml:space="preserve"> </w:t>
      </w:r>
      <w:r w:rsidRPr="00351298">
        <w:rPr>
          <w:rFonts w:ascii="Verdana" w:hAnsi="Verdana"/>
          <w:sz w:val="20"/>
          <w:szCs w:val="20"/>
        </w:rPr>
        <w:t>relevancia</w:t>
      </w:r>
      <w:r w:rsidRPr="00351298">
        <w:rPr>
          <w:rFonts w:ascii="Verdana" w:hAnsi="Verdana"/>
          <w:spacing w:val="-2"/>
          <w:sz w:val="20"/>
          <w:szCs w:val="20"/>
        </w:rPr>
        <w:t xml:space="preserve"> </w:t>
      </w:r>
      <w:r w:rsidRPr="00351298">
        <w:rPr>
          <w:rFonts w:ascii="Verdana" w:hAnsi="Verdana"/>
          <w:sz w:val="20"/>
          <w:szCs w:val="20"/>
        </w:rPr>
        <w:t>por</w:t>
      </w:r>
      <w:r w:rsidRPr="00351298">
        <w:rPr>
          <w:rFonts w:ascii="Verdana" w:hAnsi="Verdana"/>
          <w:spacing w:val="-2"/>
          <w:sz w:val="20"/>
          <w:szCs w:val="20"/>
        </w:rPr>
        <w:t xml:space="preserve"> </w:t>
      </w:r>
      <w:r w:rsidRPr="00351298">
        <w:rPr>
          <w:rFonts w:ascii="Verdana" w:hAnsi="Verdana"/>
          <w:sz w:val="20"/>
          <w:szCs w:val="20"/>
        </w:rPr>
        <w:t>los</w:t>
      </w:r>
      <w:r w:rsidRPr="00351298">
        <w:rPr>
          <w:rFonts w:ascii="Verdana" w:hAnsi="Verdana"/>
          <w:spacing w:val="-3"/>
          <w:sz w:val="20"/>
          <w:szCs w:val="20"/>
        </w:rPr>
        <w:t xml:space="preserve"> </w:t>
      </w:r>
      <w:r w:rsidRPr="00351298">
        <w:rPr>
          <w:rFonts w:ascii="Verdana" w:hAnsi="Verdana"/>
          <w:sz w:val="20"/>
          <w:szCs w:val="20"/>
        </w:rPr>
        <w:t>daños ocasionados</w:t>
      </w:r>
      <w:r w:rsidR="0043610A" w:rsidRPr="5B6A28B2">
        <w:rPr>
          <w:rStyle w:val="Refdenotaalpie"/>
          <w:rFonts w:ascii="Verdana" w:hAnsi="Verdana"/>
          <w:sz w:val="20"/>
        </w:rPr>
        <w:footnoteReference w:id="277"/>
      </w:r>
      <w:r w:rsidRPr="00351298">
        <w:rPr>
          <w:rFonts w:ascii="Verdana" w:hAnsi="Verdana"/>
          <w:sz w:val="20"/>
          <w:szCs w:val="20"/>
        </w:rPr>
        <w:t>.</w:t>
      </w:r>
    </w:p>
    <w:p w14:paraId="4386DF6E" w14:textId="77777777" w:rsidR="0043610A" w:rsidRPr="00351298" w:rsidRDefault="0043610A" w:rsidP="00C97192">
      <w:pPr>
        <w:numPr>
          <w:ilvl w:val="0"/>
          <w:numId w:val="2"/>
        </w:numPr>
        <w:spacing w:before="120" w:after="120"/>
        <w:ind w:left="0" w:firstLine="0"/>
        <w:jc w:val="both"/>
        <w:rPr>
          <w:rFonts w:ascii="Verdana" w:hAnsi="Verdana"/>
          <w:sz w:val="20"/>
          <w:szCs w:val="20"/>
        </w:rPr>
      </w:pPr>
      <w:r w:rsidRPr="00351298">
        <w:rPr>
          <w:rFonts w:ascii="Verdana" w:hAnsi="Verdana"/>
          <w:sz w:val="20"/>
          <w:szCs w:val="20"/>
        </w:rPr>
        <w:t>Además, este Tribunal ha establecido que las reparaciones deben tener un nexo</w:t>
      </w:r>
      <w:r w:rsidRPr="00351298">
        <w:rPr>
          <w:rFonts w:ascii="Verdana" w:hAnsi="Verdana"/>
          <w:spacing w:val="1"/>
          <w:sz w:val="20"/>
          <w:szCs w:val="20"/>
        </w:rPr>
        <w:t xml:space="preserve"> </w:t>
      </w:r>
      <w:r w:rsidRPr="00351298">
        <w:rPr>
          <w:rFonts w:ascii="Verdana" w:hAnsi="Verdana"/>
          <w:sz w:val="20"/>
          <w:szCs w:val="20"/>
        </w:rPr>
        <w:t>causal con los hechos del caso, las violaciones declaradas, los daños acreditados, así como</w:t>
      </w:r>
      <w:r w:rsidRPr="00351298">
        <w:rPr>
          <w:rFonts w:ascii="Verdana" w:hAnsi="Verdana"/>
          <w:spacing w:val="1"/>
          <w:sz w:val="20"/>
          <w:szCs w:val="20"/>
        </w:rPr>
        <w:t xml:space="preserve"> </w:t>
      </w:r>
      <w:r w:rsidRPr="00351298">
        <w:rPr>
          <w:rFonts w:ascii="Verdana" w:hAnsi="Verdana"/>
          <w:sz w:val="20"/>
          <w:szCs w:val="20"/>
        </w:rPr>
        <w:t>las medidas solicitadas para reparar los daños respectivos. Por tanto, la Corte deberá</w:t>
      </w:r>
      <w:r w:rsidRPr="00351298">
        <w:rPr>
          <w:rFonts w:ascii="Verdana" w:hAnsi="Verdana"/>
          <w:spacing w:val="1"/>
          <w:sz w:val="20"/>
          <w:szCs w:val="20"/>
        </w:rPr>
        <w:t xml:space="preserve"> </w:t>
      </w:r>
      <w:r w:rsidRPr="00351298">
        <w:rPr>
          <w:rFonts w:ascii="Verdana" w:hAnsi="Verdana"/>
          <w:sz w:val="20"/>
          <w:szCs w:val="20"/>
        </w:rPr>
        <w:t>analizar</w:t>
      </w:r>
      <w:r w:rsidRPr="00351298">
        <w:rPr>
          <w:rFonts w:ascii="Verdana" w:hAnsi="Verdana"/>
          <w:spacing w:val="-2"/>
          <w:sz w:val="20"/>
          <w:szCs w:val="20"/>
        </w:rPr>
        <w:t xml:space="preserve"> </w:t>
      </w:r>
      <w:r w:rsidRPr="00351298">
        <w:rPr>
          <w:rFonts w:ascii="Verdana" w:hAnsi="Verdana"/>
          <w:sz w:val="20"/>
          <w:szCs w:val="20"/>
        </w:rPr>
        <w:t>dicha</w:t>
      </w:r>
      <w:r w:rsidRPr="00351298">
        <w:rPr>
          <w:rFonts w:ascii="Verdana" w:hAnsi="Verdana"/>
          <w:spacing w:val="-1"/>
          <w:sz w:val="20"/>
          <w:szCs w:val="20"/>
        </w:rPr>
        <w:t xml:space="preserve"> </w:t>
      </w:r>
      <w:r w:rsidRPr="00351298">
        <w:rPr>
          <w:rFonts w:ascii="Verdana" w:hAnsi="Verdana"/>
          <w:sz w:val="20"/>
          <w:szCs w:val="20"/>
        </w:rPr>
        <w:t>concurrencia</w:t>
      </w:r>
      <w:r w:rsidRPr="00351298">
        <w:rPr>
          <w:rFonts w:ascii="Verdana" w:hAnsi="Verdana"/>
          <w:spacing w:val="-2"/>
          <w:sz w:val="20"/>
          <w:szCs w:val="20"/>
        </w:rPr>
        <w:t xml:space="preserve"> </w:t>
      </w:r>
      <w:r w:rsidRPr="00351298">
        <w:rPr>
          <w:rFonts w:ascii="Verdana" w:hAnsi="Verdana"/>
          <w:sz w:val="20"/>
          <w:szCs w:val="20"/>
        </w:rPr>
        <w:t>para</w:t>
      </w:r>
      <w:r w:rsidRPr="00351298">
        <w:rPr>
          <w:rFonts w:ascii="Verdana" w:hAnsi="Verdana"/>
          <w:spacing w:val="-2"/>
          <w:sz w:val="20"/>
          <w:szCs w:val="20"/>
        </w:rPr>
        <w:t xml:space="preserve"> </w:t>
      </w:r>
      <w:r w:rsidRPr="00351298">
        <w:rPr>
          <w:rFonts w:ascii="Verdana" w:hAnsi="Verdana"/>
          <w:sz w:val="20"/>
          <w:szCs w:val="20"/>
        </w:rPr>
        <w:t>pronunciarse</w:t>
      </w:r>
      <w:r w:rsidRPr="00351298">
        <w:rPr>
          <w:rFonts w:ascii="Verdana" w:hAnsi="Verdana"/>
          <w:spacing w:val="-1"/>
          <w:sz w:val="20"/>
          <w:szCs w:val="20"/>
        </w:rPr>
        <w:t xml:space="preserve"> </w:t>
      </w:r>
      <w:r w:rsidRPr="00351298">
        <w:rPr>
          <w:rFonts w:ascii="Verdana" w:hAnsi="Verdana"/>
          <w:sz w:val="20"/>
          <w:szCs w:val="20"/>
        </w:rPr>
        <w:t>debidamente</w:t>
      </w:r>
      <w:r w:rsidRPr="00351298">
        <w:rPr>
          <w:rFonts w:ascii="Verdana" w:hAnsi="Verdana"/>
          <w:spacing w:val="-3"/>
          <w:sz w:val="20"/>
          <w:szCs w:val="20"/>
        </w:rPr>
        <w:t xml:space="preserve"> </w:t>
      </w:r>
      <w:r w:rsidRPr="00351298">
        <w:rPr>
          <w:rFonts w:ascii="Verdana" w:hAnsi="Verdana"/>
          <w:sz w:val="20"/>
          <w:szCs w:val="20"/>
        </w:rPr>
        <w:t>y</w:t>
      </w:r>
      <w:r w:rsidRPr="00351298">
        <w:rPr>
          <w:rFonts w:ascii="Verdana" w:hAnsi="Verdana"/>
          <w:spacing w:val="-1"/>
          <w:sz w:val="20"/>
          <w:szCs w:val="20"/>
        </w:rPr>
        <w:t xml:space="preserve"> </w:t>
      </w:r>
      <w:r w:rsidRPr="00351298">
        <w:rPr>
          <w:rFonts w:ascii="Verdana" w:hAnsi="Verdana"/>
          <w:sz w:val="20"/>
          <w:szCs w:val="20"/>
        </w:rPr>
        <w:t>conforme</w:t>
      </w:r>
      <w:r w:rsidRPr="00351298">
        <w:rPr>
          <w:rFonts w:ascii="Verdana" w:hAnsi="Verdana"/>
          <w:spacing w:val="-3"/>
          <w:sz w:val="20"/>
          <w:szCs w:val="20"/>
        </w:rPr>
        <w:t xml:space="preserve"> </w:t>
      </w:r>
      <w:r w:rsidRPr="00351298">
        <w:rPr>
          <w:rFonts w:ascii="Verdana" w:hAnsi="Verdana"/>
          <w:sz w:val="20"/>
          <w:szCs w:val="20"/>
        </w:rPr>
        <w:t>a</w:t>
      </w:r>
      <w:r w:rsidRPr="00351298">
        <w:rPr>
          <w:rFonts w:ascii="Verdana" w:hAnsi="Verdana"/>
          <w:spacing w:val="-1"/>
          <w:sz w:val="20"/>
          <w:szCs w:val="20"/>
        </w:rPr>
        <w:t xml:space="preserve"> </w:t>
      </w:r>
      <w:r w:rsidRPr="00351298">
        <w:rPr>
          <w:rFonts w:ascii="Verdana" w:hAnsi="Verdana"/>
          <w:sz w:val="20"/>
          <w:szCs w:val="20"/>
        </w:rPr>
        <w:t>derecho</w:t>
      </w:r>
      <w:r w:rsidRPr="3BF92891">
        <w:rPr>
          <w:rStyle w:val="Refdenotaalpie"/>
          <w:rFonts w:ascii="Verdana" w:hAnsi="Verdana"/>
          <w:sz w:val="20"/>
        </w:rPr>
        <w:footnoteReference w:id="278"/>
      </w:r>
      <w:r w:rsidRPr="00351298">
        <w:rPr>
          <w:rFonts w:ascii="Verdana" w:hAnsi="Verdana"/>
          <w:sz w:val="20"/>
          <w:szCs w:val="20"/>
        </w:rPr>
        <w:t>.</w:t>
      </w:r>
    </w:p>
    <w:p w14:paraId="766B7269" w14:textId="4CD0314D" w:rsidR="006E0975" w:rsidRPr="00351298" w:rsidRDefault="0043610A" w:rsidP="00C97192">
      <w:pPr>
        <w:numPr>
          <w:ilvl w:val="0"/>
          <w:numId w:val="2"/>
        </w:numPr>
        <w:spacing w:before="120" w:after="120"/>
        <w:ind w:left="0" w:firstLine="0"/>
        <w:jc w:val="both"/>
        <w:rPr>
          <w:rFonts w:ascii="Verdana" w:hAnsi="Verdana"/>
          <w:sz w:val="20"/>
          <w:szCs w:val="20"/>
        </w:rPr>
      </w:pPr>
      <w:r w:rsidRPr="00351298">
        <w:rPr>
          <w:rFonts w:ascii="Verdana" w:hAnsi="Verdana"/>
          <w:sz w:val="20"/>
          <w:szCs w:val="20"/>
        </w:rPr>
        <w:t>En consecuencia, de acuerdo con las consideraciones expuestas sobre el fondo y las</w:t>
      </w:r>
      <w:r w:rsidRPr="00351298">
        <w:rPr>
          <w:rFonts w:ascii="Verdana" w:hAnsi="Verdana"/>
          <w:spacing w:val="1"/>
          <w:sz w:val="20"/>
          <w:szCs w:val="20"/>
        </w:rPr>
        <w:t xml:space="preserve"> </w:t>
      </w:r>
      <w:r w:rsidRPr="00351298">
        <w:rPr>
          <w:rFonts w:ascii="Verdana" w:hAnsi="Verdana"/>
          <w:sz w:val="20"/>
          <w:szCs w:val="20"/>
        </w:rPr>
        <w:t>violaciones a la Convención declaradas en la presente Sentencia, el Tribunal procederá a</w:t>
      </w:r>
      <w:r w:rsidRPr="00351298">
        <w:rPr>
          <w:rFonts w:ascii="Verdana" w:hAnsi="Verdana"/>
          <w:spacing w:val="1"/>
          <w:sz w:val="20"/>
          <w:szCs w:val="20"/>
        </w:rPr>
        <w:t xml:space="preserve"> </w:t>
      </w:r>
      <w:r w:rsidRPr="00351298">
        <w:rPr>
          <w:rFonts w:ascii="Verdana" w:hAnsi="Verdana"/>
          <w:sz w:val="20"/>
          <w:szCs w:val="20"/>
        </w:rPr>
        <w:t xml:space="preserve">analizar </w:t>
      </w:r>
      <w:r w:rsidRPr="00351298">
        <w:rPr>
          <w:rFonts w:ascii="Verdana" w:hAnsi="Verdana"/>
          <w:sz w:val="20"/>
          <w:szCs w:val="20"/>
        </w:rPr>
        <w:lastRenderedPageBreak/>
        <w:t>las pretensiones presentadas por la Comisión y l</w:t>
      </w:r>
      <w:r w:rsidR="00B05687" w:rsidRPr="00351298">
        <w:rPr>
          <w:rFonts w:ascii="Verdana" w:hAnsi="Verdana"/>
          <w:sz w:val="20"/>
          <w:szCs w:val="20"/>
        </w:rPr>
        <w:t>o</w:t>
      </w:r>
      <w:r w:rsidRPr="00351298">
        <w:rPr>
          <w:rFonts w:ascii="Verdana" w:hAnsi="Verdana"/>
          <w:sz w:val="20"/>
          <w:szCs w:val="20"/>
        </w:rPr>
        <w:t>s representantes de la</w:t>
      </w:r>
      <w:r w:rsidR="00222D07">
        <w:rPr>
          <w:rFonts w:ascii="Verdana" w:hAnsi="Verdana"/>
          <w:sz w:val="20"/>
          <w:szCs w:val="20"/>
        </w:rPr>
        <w:t>s</w:t>
      </w:r>
      <w:r w:rsidRPr="00351298">
        <w:rPr>
          <w:rFonts w:ascii="Verdana" w:hAnsi="Verdana"/>
          <w:sz w:val="20"/>
          <w:szCs w:val="20"/>
        </w:rPr>
        <w:t xml:space="preserve"> víctima</w:t>
      </w:r>
      <w:r w:rsidR="00222D07">
        <w:rPr>
          <w:rFonts w:ascii="Verdana" w:hAnsi="Verdana"/>
          <w:sz w:val="20"/>
          <w:szCs w:val="20"/>
        </w:rPr>
        <w:t>s</w:t>
      </w:r>
      <w:r w:rsidRPr="00351298">
        <w:rPr>
          <w:rFonts w:ascii="Verdana" w:hAnsi="Verdana"/>
          <w:sz w:val="20"/>
          <w:szCs w:val="20"/>
        </w:rPr>
        <w:t>,</w:t>
      </w:r>
      <w:r w:rsidRPr="00351298">
        <w:rPr>
          <w:rFonts w:ascii="Verdana" w:hAnsi="Verdana"/>
          <w:spacing w:val="1"/>
          <w:sz w:val="20"/>
          <w:szCs w:val="20"/>
        </w:rPr>
        <w:t xml:space="preserve"> </w:t>
      </w:r>
      <w:r w:rsidRPr="00351298">
        <w:rPr>
          <w:rFonts w:ascii="Verdana" w:hAnsi="Verdana"/>
          <w:sz w:val="20"/>
          <w:szCs w:val="20"/>
        </w:rPr>
        <w:t>así como las observaciones del Estado a las mismas, a la luz de los criterios fijados en su</w:t>
      </w:r>
      <w:r w:rsidRPr="00351298">
        <w:rPr>
          <w:rFonts w:ascii="Verdana" w:hAnsi="Verdana"/>
          <w:spacing w:val="1"/>
          <w:sz w:val="20"/>
          <w:szCs w:val="20"/>
        </w:rPr>
        <w:t xml:space="preserve"> </w:t>
      </w:r>
      <w:r w:rsidRPr="00351298">
        <w:rPr>
          <w:rFonts w:ascii="Verdana" w:hAnsi="Verdana"/>
          <w:sz w:val="20"/>
          <w:szCs w:val="20"/>
        </w:rPr>
        <w:t>jurisprudencia en relación con la naturaleza y alcance de la obligación de reparar, con el</w:t>
      </w:r>
      <w:r w:rsidRPr="00351298">
        <w:rPr>
          <w:rFonts w:ascii="Verdana" w:hAnsi="Verdana"/>
          <w:spacing w:val="1"/>
          <w:sz w:val="20"/>
          <w:szCs w:val="20"/>
        </w:rPr>
        <w:t xml:space="preserve"> </w:t>
      </w:r>
      <w:r w:rsidRPr="00351298">
        <w:rPr>
          <w:rFonts w:ascii="Verdana" w:hAnsi="Verdana"/>
          <w:sz w:val="20"/>
          <w:szCs w:val="20"/>
        </w:rPr>
        <w:t>objeto de</w:t>
      </w:r>
      <w:r w:rsidRPr="00351298">
        <w:rPr>
          <w:rFonts w:ascii="Verdana" w:hAnsi="Verdana"/>
          <w:spacing w:val="-3"/>
          <w:sz w:val="20"/>
          <w:szCs w:val="20"/>
        </w:rPr>
        <w:t xml:space="preserve"> </w:t>
      </w:r>
      <w:r w:rsidRPr="00351298">
        <w:rPr>
          <w:rFonts w:ascii="Verdana" w:hAnsi="Verdana"/>
          <w:sz w:val="20"/>
          <w:szCs w:val="20"/>
        </w:rPr>
        <w:t>disponer</w:t>
      </w:r>
      <w:r w:rsidRPr="00351298">
        <w:rPr>
          <w:rFonts w:ascii="Verdana" w:hAnsi="Verdana"/>
          <w:spacing w:val="-2"/>
          <w:sz w:val="20"/>
          <w:szCs w:val="20"/>
        </w:rPr>
        <w:t xml:space="preserve"> </w:t>
      </w:r>
      <w:r w:rsidRPr="00351298">
        <w:rPr>
          <w:rFonts w:ascii="Verdana" w:hAnsi="Verdana"/>
          <w:sz w:val="20"/>
          <w:szCs w:val="20"/>
        </w:rPr>
        <w:t>las medidas</w:t>
      </w:r>
      <w:r w:rsidRPr="00351298">
        <w:rPr>
          <w:rFonts w:ascii="Verdana" w:hAnsi="Verdana"/>
          <w:spacing w:val="-2"/>
          <w:sz w:val="20"/>
          <w:szCs w:val="20"/>
        </w:rPr>
        <w:t xml:space="preserve"> </w:t>
      </w:r>
      <w:r w:rsidRPr="00351298">
        <w:rPr>
          <w:rFonts w:ascii="Verdana" w:hAnsi="Verdana"/>
          <w:sz w:val="20"/>
          <w:szCs w:val="20"/>
        </w:rPr>
        <w:t>dirigidas</w:t>
      </w:r>
      <w:r w:rsidRPr="00351298">
        <w:rPr>
          <w:rFonts w:ascii="Verdana" w:hAnsi="Verdana"/>
          <w:spacing w:val="-1"/>
          <w:sz w:val="20"/>
          <w:szCs w:val="20"/>
        </w:rPr>
        <w:t xml:space="preserve"> </w:t>
      </w:r>
      <w:r w:rsidRPr="00351298">
        <w:rPr>
          <w:rFonts w:ascii="Verdana" w:hAnsi="Verdana"/>
          <w:sz w:val="20"/>
          <w:szCs w:val="20"/>
        </w:rPr>
        <w:t>a</w:t>
      </w:r>
      <w:r w:rsidRPr="00351298">
        <w:rPr>
          <w:rFonts w:ascii="Verdana" w:hAnsi="Verdana"/>
          <w:spacing w:val="-2"/>
          <w:sz w:val="20"/>
          <w:szCs w:val="20"/>
        </w:rPr>
        <w:t xml:space="preserve"> </w:t>
      </w:r>
      <w:r w:rsidRPr="00351298">
        <w:rPr>
          <w:rFonts w:ascii="Verdana" w:hAnsi="Verdana"/>
          <w:sz w:val="20"/>
          <w:szCs w:val="20"/>
        </w:rPr>
        <w:t>reparar los</w:t>
      </w:r>
      <w:r w:rsidRPr="00351298">
        <w:rPr>
          <w:rFonts w:ascii="Verdana" w:hAnsi="Verdana"/>
          <w:spacing w:val="-2"/>
          <w:sz w:val="20"/>
          <w:szCs w:val="20"/>
        </w:rPr>
        <w:t xml:space="preserve"> </w:t>
      </w:r>
      <w:r w:rsidRPr="00351298">
        <w:rPr>
          <w:rFonts w:ascii="Verdana" w:hAnsi="Verdana"/>
          <w:sz w:val="20"/>
          <w:szCs w:val="20"/>
        </w:rPr>
        <w:t>daños ocasionados</w:t>
      </w:r>
      <w:r w:rsidRPr="3BF92891">
        <w:rPr>
          <w:rStyle w:val="Refdenotaalpie"/>
          <w:rFonts w:ascii="Verdana" w:hAnsi="Verdana"/>
          <w:sz w:val="20"/>
        </w:rPr>
        <w:footnoteReference w:id="279"/>
      </w:r>
      <w:r w:rsidRPr="00351298">
        <w:rPr>
          <w:rFonts w:ascii="Verdana" w:hAnsi="Verdana"/>
          <w:sz w:val="20"/>
          <w:szCs w:val="20"/>
        </w:rPr>
        <w:t>.</w:t>
      </w:r>
    </w:p>
    <w:p w14:paraId="2EBEBC4B" w14:textId="5331E46D" w:rsidR="007A666F" w:rsidRPr="00351298" w:rsidRDefault="007A666F" w:rsidP="005B635B">
      <w:pPr>
        <w:pStyle w:val="Ttulo2"/>
        <w:numPr>
          <w:ilvl w:val="0"/>
          <w:numId w:val="9"/>
        </w:numPr>
        <w:spacing w:before="240" w:after="240"/>
        <w:rPr>
          <w:rFonts w:ascii="Verdana" w:hAnsi="Verdana"/>
          <w:i/>
          <w:color w:val="auto"/>
          <w:sz w:val="20"/>
          <w:szCs w:val="20"/>
        </w:rPr>
      </w:pPr>
      <w:bookmarkStart w:id="122" w:name="_Toc514063465"/>
      <w:bookmarkStart w:id="123" w:name="_Toc502891616"/>
      <w:bookmarkStart w:id="124" w:name="_Toc502885956"/>
      <w:bookmarkStart w:id="125" w:name="_Toc192587"/>
      <w:bookmarkStart w:id="126" w:name="_Toc32394184"/>
      <w:bookmarkStart w:id="127" w:name="_Toc36823503"/>
      <w:bookmarkStart w:id="128" w:name="_Toc132133940"/>
      <w:r w:rsidRPr="00351298">
        <w:rPr>
          <w:rFonts w:ascii="Verdana" w:hAnsi="Verdana"/>
          <w:i/>
          <w:color w:val="auto"/>
          <w:sz w:val="20"/>
          <w:szCs w:val="20"/>
        </w:rPr>
        <w:t>Parte Lesionada</w:t>
      </w:r>
      <w:bookmarkEnd w:id="122"/>
      <w:bookmarkEnd w:id="123"/>
      <w:bookmarkEnd w:id="124"/>
      <w:bookmarkEnd w:id="125"/>
      <w:bookmarkEnd w:id="126"/>
      <w:bookmarkEnd w:id="127"/>
      <w:bookmarkEnd w:id="128"/>
    </w:p>
    <w:p w14:paraId="24C7BC65" w14:textId="1F66CB3D" w:rsidR="000B68D1" w:rsidRPr="00351298" w:rsidRDefault="00E5332D" w:rsidP="00D1610B">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Este Tribunal considera parte lesionada, en los términos del artículo 63.1 de la Convención, a quien ha sido declarada víctima de la violación de algún derecho reconocido en la misma. Por lo tanto, esta Corte considera como “parte lesionada” a </w:t>
      </w:r>
      <w:r w:rsidR="00260149" w:rsidRPr="00351298">
        <w:rPr>
          <w:rFonts w:ascii="Verdana" w:hAnsi="Verdana"/>
          <w:sz w:val="20"/>
          <w:szCs w:val="20"/>
        </w:rPr>
        <w:t xml:space="preserve">Daniel García Rodríguez y Reyes Alpízar </w:t>
      </w:r>
      <w:r w:rsidR="00D349F9">
        <w:rPr>
          <w:rFonts w:ascii="Verdana" w:hAnsi="Verdana"/>
          <w:sz w:val="20"/>
          <w:szCs w:val="20"/>
        </w:rPr>
        <w:t>Ortiz</w:t>
      </w:r>
      <w:r w:rsidRPr="00351298">
        <w:rPr>
          <w:rFonts w:ascii="Verdana" w:hAnsi="Verdana"/>
          <w:sz w:val="20"/>
          <w:szCs w:val="20"/>
        </w:rPr>
        <w:t>, quien</w:t>
      </w:r>
      <w:r w:rsidR="00B30BA4" w:rsidRPr="00351298">
        <w:rPr>
          <w:rFonts w:ascii="Verdana" w:hAnsi="Verdana"/>
          <w:sz w:val="20"/>
          <w:szCs w:val="20"/>
        </w:rPr>
        <w:t>es</w:t>
      </w:r>
      <w:r w:rsidRPr="00351298">
        <w:rPr>
          <w:rFonts w:ascii="Verdana" w:hAnsi="Verdana"/>
          <w:sz w:val="20"/>
          <w:szCs w:val="20"/>
        </w:rPr>
        <w:t xml:space="preserve"> en su carácter de víctima</w:t>
      </w:r>
      <w:r w:rsidR="00B30BA4" w:rsidRPr="00351298">
        <w:rPr>
          <w:rFonts w:ascii="Verdana" w:hAnsi="Verdana"/>
          <w:sz w:val="20"/>
          <w:szCs w:val="20"/>
        </w:rPr>
        <w:t>s</w:t>
      </w:r>
      <w:r w:rsidRPr="00351298">
        <w:rPr>
          <w:rFonts w:ascii="Verdana" w:hAnsi="Verdana"/>
          <w:sz w:val="20"/>
          <w:szCs w:val="20"/>
        </w:rPr>
        <w:t xml:space="preserve"> de las violaciones declaradas en el Capítulo </w:t>
      </w:r>
      <w:r w:rsidR="0093511A" w:rsidRPr="00351298">
        <w:rPr>
          <w:rFonts w:ascii="Verdana" w:hAnsi="Verdana"/>
          <w:sz w:val="20"/>
          <w:szCs w:val="20"/>
        </w:rPr>
        <w:t>VII</w:t>
      </w:r>
      <w:r w:rsidR="00260149" w:rsidRPr="00351298">
        <w:rPr>
          <w:rFonts w:ascii="Verdana" w:hAnsi="Verdana"/>
          <w:sz w:val="20"/>
          <w:szCs w:val="20"/>
        </w:rPr>
        <w:t>I</w:t>
      </w:r>
      <w:r w:rsidR="005751DA" w:rsidRPr="00351298">
        <w:rPr>
          <w:rFonts w:ascii="Verdana" w:hAnsi="Verdana"/>
          <w:sz w:val="20"/>
          <w:szCs w:val="20"/>
        </w:rPr>
        <w:t xml:space="preserve">, </w:t>
      </w:r>
      <w:r w:rsidRPr="00351298">
        <w:rPr>
          <w:rFonts w:ascii="Verdana" w:hAnsi="Verdana"/>
          <w:sz w:val="20"/>
          <w:szCs w:val="20"/>
        </w:rPr>
        <w:t>será</w:t>
      </w:r>
      <w:r w:rsidR="00B30BA4" w:rsidRPr="00351298">
        <w:rPr>
          <w:rFonts w:ascii="Verdana" w:hAnsi="Verdana"/>
          <w:sz w:val="20"/>
          <w:szCs w:val="20"/>
        </w:rPr>
        <w:t>n</w:t>
      </w:r>
      <w:r w:rsidRPr="00351298">
        <w:rPr>
          <w:rFonts w:ascii="Verdana" w:hAnsi="Verdana"/>
          <w:sz w:val="20"/>
          <w:szCs w:val="20"/>
        </w:rPr>
        <w:t xml:space="preserve"> considerad</w:t>
      </w:r>
      <w:r w:rsidR="00B30BA4" w:rsidRPr="00351298">
        <w:rPr>
          <w:rFonts w:ascii="Verdana" w:hAnsi="Verdana"/>
          <w:sz w:val="20"/>
          <w:szCs w:val="20"/>
        </w:rPr>
        <w:t>os</w:t>
      </w:r>
      <w:r w:rsidRPr="00351298">
        <w:rPr>
          <w:rFonts w:ascii="Verdana" w:hAnsi="Verdana"/>
          <w:sz w:val="20"/>
          <w:szCs w:val="20"/>
        </w:rPr>
        <w:t xml:space="preserve"> beneficiari</w:t>
      </w:r>
      <w:r w:rsidR="00B30BA4" w:rsidRPr="00351298">
        <w:rPr>
          <w:rFonts w:ascii="Verdana" w:hAnsi="Verdana"/>
          <w:sz w:val="20"/>
          <w:szCs w:val="20"/>
        </w:rPr>
        <w:t>os</w:t>
      </w:r>
      <w:r w:rsidRPr="00351298">
        <w:rPr>
          <w:rFonts w:ascii="Verdana" w:hAnsi="Verdana"/>
          <w:sz w:val="20"/>
          <w:szCs w:val="20"/>
        </w:rPr>
        <w:t xml:space="preserve"> de las reparaciones que la Corte ordene</w:t>
      </w:r>
      <w:r w:rsidR="000B68D1" w:rsidRPr="00351298">
        <w:rPr>
          <w:rFonts w:ascii="Verdana" w:hAnsi="Verdana"/>
          <w:sz w:val="20"/>
          <w:szCs w:val="20"/>
        </w:rPr>
        <w:t>.</w:t>
      </w:r>
    </w:p>
    <w:p w14:paraId="267D3ECF" w14:textId="458FB0F0" w:rsidR="004D456C" w:rsidRPr="00351298" w:rsidRDefault="69B735D4" w:rsidP="1D64B15C">
      <w:pPr>
        <w:numPr>
          <w:ilvl w:val="0"/>
          <w:numId w:val="2"/>
        </w:numPr>
        <w:spacing w:before="120" w:after="120"/>
        <w:ind w:left="0" w:firstLine="0"/>
        <w:jc w:val="both"/>
        <w:rPr>
          <w:rFonts w:ascii="Verdana" w:hAnsi="Verdana"/>
          <w:sz w:val="20"/>
          <w:szCs w:val="20"/>
        </w:rPr>
      </w:pPr>
      <w:r w:rsidRPr="1D64B15C">
        <w:rPr>
          <w:rFonts w:ascii="Verdana" w:hAnsi="Verdana"/>
          <w:sz w:val="20"/>
          <w:szCs w:val="20"/>
        </w:rPr>
        <w:t>Los representantes solicitaron reparaciones pecuniarias y no pecuniarias en favor de terceras personas. De conformidad con lo concluido en el Capítulo sobre Consideraciones Previas</w:t>
      </w:r>
      <w:r w:rsidR="14CF0B4D" w:rsidRPr="1D64B15C">
        <w:rPr>
          <w:rFonts w:ascii="Verdana" w:hAnsi="Verdana"/>
          <w:sz w:val="20"/>
          <w:szCs w:val="20"/>
        </w:rPr>
        <w:t xml:space="preserve"> (</w:t>
      </w:r>
      <w:r w:rsidR="14CF0B4D" w:rsidRPr="1D64B15C">
        <w:rPr>
          <w:rFonts w:ascii="Verdana" w:hAnsi="Verdana"/>
          <w:i/>
          <w:iCs/>
          <w:sz w:val="20"/>
          <w:szCs w:val="20"/>
        </w:rPr>
        <w:t>supra</w:t>
      </w:r>
      <w:r w:rsidR="14CF0B4D" w:rsidRPr="1D64B15C">
        <w:rPr>
          <w:rFonts w:ascii="Verdana" w:hAnsi="Verdana"/>
          <w:sz w:val="20"/>
          <w:szCs w:val="20"/>
        </w:rPr>
        <w:t xml:space="preserve"> Capítulo V)</w:t>
      </w:r>
      <w:r w:rsidRPr="1D64B15C">
        <w:rPr>
          <w:rFonts w:ascii="Verdana" w:hAnsi="Verdana"/>
          <w:sz w:val="20"/>
          <w:szCs w:val="20"/>
        </w:rPr>
        <w:t xml:space="preserve">, estas personas no son víctimas del caso por lo cual no pueden ser beneficiarias de medidas de reparación dictadas por esta Corte. En ese sentido, el Tribunal no incluirá las solicitudes de los representantes que se refieren a esas personas. </w:t>
      </w:r>
    </w:p>
    <w:p w14:paraId="07F4F2DC" w14:textId="77777777" w:rsidR="009C2A24" w:rsidRPr="00351298" w:rsidRDefault="009C2A24" w:rsidP="009C2A24">
      <w:pPr>
        <w:pStyle w:val="Ttulo2"/>
        <w:numPr>
          <w:ilvl w:val="0"/>
          <w:numId w:val="9"/>
        </w:numPr>
        <w:spacing w:before="240" w:after="240"/>
        <w:rPr>
          <w:rFonts w:ascii="Verdana" w:hAnsi="Verdana"/>
          <w:i/>
          <w:color w:val="auto"/>
          <w:sz w:val="20"/>
          <w:szCs w:val="20"/>
        </w:rPr>
      </w:pPr>
      <w:bookmarkStart w:id="129" w:name="_Toc132133941"/>
      <w:r w:rsidRPr="00351298">
        <w:rPr>
          <w:rFonts w:ascii="Verdana" w:hAnsi="Verdana"/>
          <w:i/>
          <w:color w:val="auto"/>
          <w:sz w:val="20"/>
          <w:szCs w:val="20"/>
        </w:rPr>
        <w:t>Obligación de investigar</w:t>
      </w:r>
      <w:bookmarkEnd w:id="129"/>
      <w:r w:rsidRPr="00351298">
        <w:rPr>
          <w:rFonts w:ascii="Verdana" w:hAnsi="Verdana"/>
          <w:i/>
          <w:color w:val="auto"/>
          <w:sz w:val="20"/>
          <w:szCs w:val="20"/>
        </w:rPr>
        <w:t xml:space="preserve"> </w:t>
      </w:r>
    </w:p>
    <w:p w14:paraId="5B159EC3" w14:textId="639E02AF" w:rsidR="009C2A24" w:rsidRPr="00351298" w:rsidRDefault="349A60F0" w:rsidP="009C2A24">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La </w:t>
      </w:r>
      <w:r w:rsidRPr="1D64B15C">
        <w:rPr>
          <w:rFonts w:ascii="Verdana" w:hAnsi="Verdana"/>
          <w:b/>
          <w:bCs/>
          <w:i/>
          <w:iCs/>
          <w:sz w:val="20"/>
          <w:szCs w:val="20"/>
        </w:rPr>
        <w:t>Comisión</w:t>
      </w:r>
      <w:r w:rsidRPr="1D64B15C">
        <w:rPr>
          <w:rFonts w:ascii="Verdana" w:hAnsi="Verdana"/>
          <w:sz w:val="20"/>
          <w:szCs w:val="20"/>
        </w:rPr>
        <w:t xml:space="preserve"> </w:t>
      </w:r>
      <w:r w:rsidR="557EC792" w:rsidRPr="1D64B15C">
        <w:rPr>
          <w:rFonts w:ascii="Verdana" w:hAnsi="Verdana"/>
          <w:sz w:val="20"/>
          <w:szCs w:val="20"/>
        </w:rPr>
        <w:t xml:space="preserve">y los </w:t>
      </w:r>
      <w:r w:rsidR="557EC792" w:rsidRPr="1D64B15C">
        <w:rPr>
          <w:rFonts w:ascii="Verdana" w:hAnsi="Verdana"/>
          <w:b/>
          <w:bCs/>
          <w:i/>
          <w:iCs/>
          <w:sz w:val="20"/>
          <w:szCs w:val="20"/>
        </w:rPr>
        <w:t>representantes</w:t>
      </w:r>
      <w:r w:rsidR="557EC792" w:rsidRPr="1D64B15C">
        <w:rPr>
          <w:rFonts w:ascii="Verdana" w:hAnsi="Verdana"/>
          <w:sz w:val="20"/>
          <w:szCs w:val="20"/>
        </w:rPr>
        <w:t xml:space="preserve"> </w:t>
      </w:r>
      <w:r w:rsidRPr="1D64B15C">
        <w:rPr>
          <w:rFonts w:ascii="Verdana" w:hAnsi="Verdana"/>
          <w:sz w:val="20"/>
          <w:szCs w:val="20"/>
        </w:rPr>
        <w:t>solicit</w:t>
      </w:r>
      <w:r w:rsidR="557EC792" w:rsidRPr="1D64B15C">
        <w:rPr>
          <w:rFonts w:ascii="Verdana" w:hAnsi="Verdana"/>
          <w:sz w:val="20"/>
          <w:szCs w:val="20"/>
        </w:rPr>
        <w:t>aron</w:t>
      </w:r>
      <w:r w:rsidRPr="1D64B15C">
        <w:rPr>
          <w:rFonts w:ascii="Verdana" w:hAnsi="Verdana"/>
          <w:sz w:val="20"/>
          <w:szCs w:val="20"/>
        </w:rPr>
        <w:t xml:space="preserve"> que se ordene al Estado “[c]oncluir prontamente en el más breve plazo posible el proceso penal en contra de las víctimas del presente caso, con apego a las normas del debido proceso garantizadas por la Convención Americana”. </w:t>
      </w:r>
      <w:r w:rsidR="719A0444" w:rsidRPr="1D64B15C">
        <w:rPr>
          <w:rFonts w:ascii="Verdana" w:hAnsi="Verdana"/>
          <w:sz w:val="20"/>
          <w:szCs w:val="20"/>
        </w:rPr>
        <w:t>Asimismo,</w:t>
      </w:r>
      <w:r w:rsidR="557EC792" w:rsidRPr="1D64B15C">
        <w:rPr>
          <w:rFonts w:ascii="Verdana" w:hAnsi="Verdana"/>
          <w:sz w:val="20"/>
          <w:szCs w:val="20"/>
        </w:rPr>
        <w:t xml:space="preserve"> </w:t>
      </w:r>
      <w:r w:rsidRPr="1D64B15C">
        <w:rPr>
          <w:rFonts w:ascii="Verdana" w:hAnsi="Verdana"/>
          <w:sz w:val="20"/>
          <w:szCs w:val="20"/>
        </w:rPr>
        <w:t>requiri</w:t>
      </w:r>
      <w:r w:rsidR="557EC792" w:rsidRPr="1D64B15C">
        <w:rPr>
          <w:rFonts w:ascii="Verdana" w:hAnsi="Verdana"/>
          <w:sz w:val="20"/>
          <w:szCs w:val="20"/>
        </w:rPr>
        <w:t>eron</w:t>
      </w:r>
      <w:r w:rsidRPr="1D64B15C">
        <w:rPr>
          <w:rFonts w:ascii="Verdana" w:hAnsi="Verdana"/>
          <w:sz w:val="20"/>
          <w:szCs w:val="20"/>
        </w:rPr>
        <w:t xml:space="preserve"> que se lleve a cabo “una investigación seria, diligente y efectiva, en un plazo razonable, para esclarecer los hechos de tortura, individualizar a los responsables e imponer las sanciones que correspondan”. </w:t>
      </w:r>
      <w:r w:rsidRPr="1D64B15C">
        <w:rPr>
          <w:rFonts w:ascii="Verdana" w:eastAsia="Calibri" w:hAnsi="Verdana"/>
          <w:sz w:val="20"/>
          <w:szCs w:val="20"/>
          <w:lang w:val="es-ES"/>
        </w:rPr>
        <w:t>Además</w:t>
      </w:r>
      <w:r w:rsidR="038B92A2" w:rsidRPr="1D64B15C">
        <w:rPr>
          <w:rFonts w:ascii="Verdana" w:eastAsia="Calibri" w:hAnsi="Verdana"/>
          <w:sz w:val="20"/>
          <w:szCs w:val="20"/>
          <w:lang w:val="es-ES"/>
        </w:rPr>
        <w:t>,</w:t>
      </w:r>
      <w:r w:rsidR="6A396258" w:rsidRPr="1D64B15C">
        <w:rPr>
          <w:rFonts w:ascii="Verdana" w:eastAsia="Calibri" w:hAnsi="Verdana"/>
          <w:sz w:val="20"/>
          <w:szCs w:val="20"/>
          <w:lang w:val="es-ES"/>
        </w:rPr>
        <w:t xml:space="preserve"> requirió</w:t>
      </w:r>
      <w:r w:rsidRPr="1D64B15C">
        <w:rPr>
          <w:rFonts w:ascii="Verdana" w:eastAsia="Calibri" w:hAnsi="Verdana"/>
          <w:sz w:val="20"/>
          <w:szCs w:val="20"/>
          <w:lang w:val="es-ES"/>
        </w:rPr>
        <w:t xml:space="preserve"> que se ordenen “las medidas de investigación para establecer las responsabilidades correspondientes”.</w:t>
      </w:r>
    </w:p>
    <w:p w14:paraId="67788B8F" w14:textId="6FCECD43" w:rsidR="009C2A24" w:rsidRPr="004D6346" w:rsidRDefault="349A60F0" w:rsidP="004D6346">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El </w:t>
      </w:r>
      <w:r w:rsidRPr="1D64B15C">
        <w:rPr>
          <w:rFonts w:ascii="Verdana" w:hAnsi="Verdana"/>
          <w:b/>
          <w:bCs/>
          <w:i/>
          <w:iCs/>
          <w:sz w:val="20"/>
          <w:szCs w:val="20"/>
        </w:rPr>
        <w:t>Estado</w:t>
      </w:r>
      <w:r w:rsidRPr="1D64B15C">
        <w:rPr>
          <w:rFonts w:ascii="Verdana" w:hAnsi="Verdana"/>
          <w:sz w:val="20"/>
          <w:szCs w:val="20"/>
        </w:rPr>
        <w:t xml:space="preserve"> indicó, con respecto a la solicitud de concluir en el plazo más breve posible el proceso penal en contra de las presuntas víctimas, que “es evidente que jurisdiccional y legalmente, el juez carece de mecanismos legales que le permitan cumplir la recomendación de concluir el proceso en el plazo breve que refiere esa Comisión IDH, porque dicho acto procesal no depende de la voluntad del juzgador, sino de la forma en que se desarrollen los actos procesales cuya decisión también recae en los señores García Rodríguez y Reyes Alpíza</w:t>
      </w:r>
      <w:r w:rsidR="004D6346">
        <w:rPr>
          <w:rFonts w:ascii="Verdana" w:hAnsi="Verdana"/>
          <w:sz w:val="20"/>
          <w:szCs w:val="20"/>
        </w:rPr>
        <w:t>r</w:t>
      </w:r>
      <w:r w:rsidR="00222D07" w:rsidRPr="004D6346">
        <w:rPr>
          <w:rFonts w:ascii="Verdana" w:hAnsi="Verdana"/>
          <w:sz w:val="20"/>
          <w:szCs w:val="20"/>
        </w:rPr>
        <w:t>”</w:t>
      </w:r>
      <w:r w:rsidRPr="004D6346">
        <w:rPr>
          <w:rFonts w:ascii="Verdana" w:hAnsi="Verdana"/>
          <w:sz w:val="20"/>
          <w:szCs w:val="20"/>
        </w:rPr>
        <w:t>. No obstante lo anterior, atento a la importancia que reviste el asunto, indicó que se compromete a “dictar la sentencia correspondiente a la brevedad, y en pleno respeto del derecho a la defensa de las presuntas víctimas”.</w:t>
      </w:r>
    </w:p>
    <w:p w14:paraId="168EDC4C" w14:textId="41382B52" w:rsidR="009C2A24" w:rsidRPr="00351298" w:rsidRDefault="349A60F0" w:rsidP="009C2A24">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En relación con la solicitud de llevar a cabo una investigación seria, diligente y efectiva, en un plazo razonable, para esclarecer los hechos de tortura, el Estado indicó que “por los supuestos hechos de tortura denunciados […], la Fiscalía Especial para la Investigación del Delito de Tortura practicó más de 500 diligencias, todas ellas de conformidad a estándares interamericanos respecto de la tortura, así como los indicados en el Protocolo de Estambul”. Agregó que “la autoridad ministerial determinó el no ejercicio de la acción penal de la averiguación previa TLA/MR/III/1973/2006, emitida el 3 de mayo de 2021, misma que fue confirmada el 18 del mismo mes y año por el Fiscal Regional de Tlalnepantla, Estado de México, y notificada a las presuntas víctimas” y que “las presuntas víctimas no objetaron la determinación anterior”. En virtud de lo anterior, el Estado expresó que “cumplió con su obligación de llevar a cabo una investigación seria, diligente y efectiva, en un plazo razonable, para esclarecer los hechos de tortura, la cual cumplió </w:t>
      </w:r>
      <w:r w:rsidRPr="1D64B15C">
        <w:rPr>
          <w:rFonts w:ascii="Verdana" w:hAnsi="Verdana"/>
          <w:sz w:val="20"/>
          <w:szCs w:val="20"/>
        </w:rPr>
        <w:lastRenderedPageBreak/>
        <w:t>con los parámetros de debida diligencia establecidos en los estándares interamericanos sobre la materia […]”. En [esa medida] consider[ó] [satisfecha] esta recomendación”</w:t>
      </w:r>
      <w:r w:rsidR="00222D07">
        <w:rPr>
          <w:rFonts w:ascii="Verdana" w:hAnsi="Verdana"/>
          <w:sz w:val="20"/>
          <w:szCs w:val="20"/>
        </w:rPr>
        <w:t xml:space="preserve"> de la Comisión establecida en su Informe de Fondo</w:t>
      </w:r>
      <w:r w:rsidRPr="1D64B15C">
        <w:rPr>
          <w:rFonts w:ascii="Verdana" w:hAnsi="Verdana"/>
          <w:sz w:val="20"/>
          <w:szCs w:val="20"/>
        </w:rPr>
        <w:t>.</w:t>
      </w:r>
    </w:p>
    <w:p w14:paraId="33D1FD9F" w14:textId="49BC46B1" w:rsidR="00CC04DB" w:rsidRPr="00BD0810" w:rsidRDefault="00020388" w:rsidP="00D04822">
      <w:pPr>
        <w:pStyle w:val="Ttulo3"/>
        <w:spacing w:before="240" w:after="240"/>
        <w:ind w:left="567"/>
        <w:jc w:val="both"/>
      </w:pPr>
      <w:bookmarkStart w:id="130" w:name="_Toc132133942"/>
      <w:r w:rsidRPr="00351298">
        <w:rPr>
          <w:rFonts w:ascii="Verdana" w:hAnsi="Verdana"/>
          <w:b w:val="0"/>
          <w:snapToGrid w:val="0"/>
          <w:spacing w:val="-2"/>
          <w:sz w:val="20"/>
          <w:szCs w:val="20"/>
          <w:lang w:eastAsia="es-ES"/>
        </w:rPr>
        <w:t xml:space="preserve">B.1. Conclusión de la causa penal en contra de Daniel García Rodríguez y Reyes Alpízar </w:t>
      </w:r>
      <w:r w:rsidR="00D349F9">
        <w:rPr>
          <w:rFonts w:ascii="Verdana" w:hAnsi="Verdana"/>
          <w:b w:val="0"/>
          <w:snapToGrid w:val="0"/>
          <w:spacing w:val="-2"/>
          <w:sz w:val="20"/>
          <w:szCs w:val="20"/>
          <w:lang w:eastAsia="es-ES"/>
        </w:rPr>
        <w:t>Ortiz</w:t>
      </w:r>
      <w:bookmarkEnd w:id="130"/>
    </w:p>
    <w:p w14:paraId="6FA3F873" w14:textId="609508F4" w:rsidR="00222D07" w:rsidRDefault="00222D07" w:rsidP="009C2A24">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La </w:t>
      </w:r>
      <w:r w:rsidRPr="1D64B15C">
        <w:rPr>
          <w:rFonts w:ascii="Verdana" w:hAnsi="Verdana"/>
          <w:b/>
          <w:bCs/>
          <w:i/>
          <w:iCs/>
          <w:sz w:val="20"/>
          <w:szCs w:val="20"/>
        </w:rPr>
        <w:t>Corte</w:t>
      </w:r>
      <w:r w:rsidRPr="00351298">
        <w:rPr>
          <w:rFonts w:ascii="Verdana" w:hAnsi="Verdana"/>
          <w:sz w:val="20"/>
          <w:szCs w:val="20"/>
        </w:rPr>
        <w:t xml:space="preserve"> recuerda que en el marco de ese proceso llevado a cabo en contra de </w:t>
      </w:r>
      <w:r w:rsidRPr="00351298">
        <w:rPr>
          <w:rFonts w:ascii="Verdana" w:hAnsi="Verdana"/>
          <w:snapToGrid w:val="0"/>
          <w:spacing w:val="-2"/>
          <w:sz w:val="20"/>
          <w:szCs w:val="20"/>
          <w:lang w:eastAsia="es-ES"/>
        </w:rPr>
        <w:t xml:space="preserve">Daniel García Rodríguez y de Reyes Alpízar </w:t>
      </w:r>
      <w:r w:rsidRPr="1D64B15C">
        <w:rPr>
          <w:rFonts w:ascii="Verdana" w:hAnsi="Verdana"/>
          <w:sz w:val="20"/>
          <w:szCs w:val="20"/>
          <w:lang w:eastAsia="es-ES"/>
        </w:rPr>
        <w:t>Ortiz</w:t>
      </w:r>
      <w:r w:rsidRPr="00351298">
        <w:rPr>
          <w:rFonts w:ascii="Verdana" w:hAnsi="Verdana"/>
          <w:sz w:val="20"/>
          <w:szCs w:val="20"/>
        </w:rPr>
        <w:t xml:space="preserve">, se vulneró el principio del plazo razonable y que las víctimas fueron privadas de la libertad preventivamente durante 17 años, </w:t>
      </w:r>
      <w:r w:rsidR="006D644C">
        <w:rPr>
          <w:rFonts w:ascii="Verdana" w:hAnsi="Verdana"/>
          <w:sz w:val="20"/>
          <w:szCs w:val="20"/>
        </w:rPr>
        <w:t>dado</w:t>
      </w:r>
      <w:r w:rsidRPr="00351298">
        <w:rPr>
          <w:rFonts w:ascii="Verdana" w:hAnsi="Verdana"/>
          <w:sz w:val="20"/>
          <w:szCs w:val="20"/>
        </w:rPr>
        <w:t xml:space="preserve"> que continúan hasta el momento con medidas restrictivas a la libertad </w:t>
      </w:r>
      <w:r w:rsidR="004B12EE">
        <w:rPr>
          <w:rFonts w:ascii="Verdana" w:hAnsi="Verdana"/>
          <w:sz w:val="20"/>
          <w:szCs w:val="20"/>
        </w:rPr>
        <w:t xml:space="preserve">con un sistema </w:t>
      </w:r>
      <w:r w:rsidR="004B12EE" w:rsidRPr="004B12EE">
        <w:rPr>
          <w:rFonts w:ascii="Verdana" w:hAnsi="Verdana"/>
          <w:sz w:val="20"/>
          <w:szCs w:val="20"/>
        </w:rPr>
        <w:t>de rastreo y localización</w:t>
      </w:r>
      <w:r w:rsidRPr="00351298">
        <w:rPr>
          <w:rFonts w:ascii="Verdana" w:hAnsi="Verdana"/>
          <w:sz w:val="20"/>
          <w:szCs w:val="20"/>
        </w:rPr>
        <w:t xml:space="preserve"> (</w:t>
      </w:r>
      <w:r w:rsidRPr="1D64B15C">
        <w:rPr>
          <w:rFonts w:ascii="Verdana" w:hAnsi="Verdana"/>
          <w:i/>
          <w:iCs/>
          <w:sz w:val="20"/>
          <w:szCs w:val="20"/>
        </w:rPr>
        <w:t>supra</w:t>
      </w:r>
      <w:r w:rsidRPr="00351298">
        <w:rPr>
          <w:rFonts w:ascii="Verdana" w:hAnsi="Verdana"/>
          <w:sz w:val="20"/>
          <w:szCs w:val="20"/>
        </w:rPr>
        <w:t xml:space="preserve"> párr. </w:t>
      </w:r>
      <w:r w:rsidR="004B12EE">
        <w:rPr>
          <w:rFonts w:ascii="Verdana" w:hAnsi="Verdana"/>
          <w:sz w:val="20"/>
          <w:szCs w:val="20"/>
        </w:rPr>
        <w:t>87</w:t>
      </w:r>
      <w:r w:rsidRPr="00351298">
        <w:rPr>
          <w:rFonts w:ascii="Verdana" w:hAnsi="Verdana"/>
          <w:sz w:val="20"/>
          <w:szCs w:val="20"/>
        </w:rPr>
        <w:t>). De ese modo, la prolongación del proceso y la indeterminación que ello acarrea para las víctimas del caso siguen constituyendo un factor de angustia y de afectación a su proyecto de vida. Lo anterior se pudo ver agravado desde que fuera emitida la sentencia de condena de primera instancia el 12 de mayo de 2022 (</w:t>
      </w:r>
      <w:r w:rsidRPr="1D64B15C">
        <w:rPr>
          <w:rFonts w:ascii="Verdana" w:hAnsi="Verdana"/>
          <w:i/>
          <w:iCs/>
          <w:sz w:val="20"/>
          <w:szCs w:val="20"/>
        </w:rPr>
        <w:t>supra</w:t>
      </w:r>
      <w:r w:rsidRPr="00351298">
        <w:rPr>
          <w:rFonts w:ascii="Verdana" w:hAnsi="Verdana"/>
          <w:sz w:val="20"/>
          <w:szCs w:val="20"/>
        </w:rPr>
        <w:t xml:space="preserve"> párr. </w:t>
      </w:r>
      <w:r w:rsidR="004B12EE">
        <w:rPr>
          <w:rFonts w:ascii="Verdana" w:hAnsi="Verdana"/>
          <w:sz w:val="20"/>
          <w:szCs w:val="20"/>
        </w:rPr>
        <w:t>10</w:t>
      </w:r>
      <w:r w:rsidRPr="00351298">
        <w:rPr>
          <w:rFonts w:ascii="Verdana" w:hAnsi="Verdana"/>
          <w:sz w:val="20"/>
          <w:szCs w:val="20"/>
        </w:rPr>
        <w:t>)</w:t>
      </w:r>
      <w:r>
        <w:rPr>
          <w:rFonts w:ascii="Verdana" w:hAnsi="Verdana"/>
          <w:sz w:val="20"/>
          <w:szCs w:val="20"/>
        </w:rPr>
        <w:t>.</w:t>
      </w:r>
    </w:p>
    <w:p w14:paraId="643BA155" w14:textId="48C60468" w:rsidR="00CC04DB" w:rsidRPr="00CC04DB" w:rsidRDefault="00CC04DB" w:rsidP="009C2A24">
      <w:pPr>
        <w:numPr>
          <w:ilvl w:val="0"/>
          <w:numId w:val="2"/>
        </w:numPr>
        <w:spacing w:before="120" w:after="120"/>
        <w:ind w:left="0" w:firstLine="0"/>
        <w:jc w:val="both"/>
        <w:rPr>
          <w:rFonts w:ascii="Verdana" w:hAnsi="Verdana"/>
          <w:sz w:val="20"/>
          <w:szCs w:val="20"/>
        </w:rPr>
      </w:pPr>
      <w:r w:rsidRPr="00CC04DB">
        <w:rPr>
          <w:rFonts w:ascii="Verdana" w:hAnsi="Verdana"/>
          <w:snapToGrid w:val="0"/>
          <w:spacing w:val="-2"/>
          <w:sz w:val="20"/>
          <w:szCs w:val="20"/>
          <w:lang w:eastAsia="es-ES"/>
        </w:rPr>
        <w:t xml:space="preserve">El uso de la tortura como mecanismo para obtener confesiones o antecedentes incriminatorios del imputado o acusado no puede tener otra consecuencia que la exclusión de la prueba. De lo contrario, la prohibición de tortura quedaría vaciada de contenido, convirtiéndose en un derecho meramente formal sin ninguna consecuencia operativa. En vista de que el proceso se encuentra aún en fase recursiva, </w:t>
      </w:r>
      <w:r w:rsidRPr="00CC04DB">
        <w:rPr>
          <w:rFonts w:ascii="Verdana" w:hAnsi="Verdana"/>
          <w:sz w:val="20"/>
          <w:szCs w:val="20"/>
        </w:rPr>
        <w:t>las autoridades competentes deberán -de oficio-, al resolver el recurso de apelación y en los demás actos procesales, excluir todos los antecedentes incriminatorios que fueron obtenidos bajo coacción o tortura para determinar si se mantiene o no el fundamento para establecer la responsabilidad penal de los acusados. Debido a la extrema tardanza que ha sufrido el proceso, para esta Corte resulta imperativo que se concluya la resolución definitiva de este caso a la brevedad posible, en estricto apego a las garantías del debido proceso contenidas en la Convención Americana. La Corte, en el marco del proceso de supervisión de cumplimiento de la presente Sentencia, revisará si las autoridades excluyeron los antecedentes incriminatorios obtenidos bajo coacción en todas las actuaciones procesales referidas al presente caso.</w:t>
      </w:r>
    </w:p>
    <w:p w14:paraId="3BC66B55" w14:textId="011C7154" w:rsidR="00CC04DB" w:rsidRPr="007B652B" w:rsidRDefault="000B3D54">
      <w:pPr>
        <w:numPr>
          <w:ilvl w:val="0"/>
          <w:numId w:val="2"/>
        </w:numPr>
        <w:spacing w:before="120" w:after="120"/>
        <w:ind w:left="0" w:firstLine="0"/>
        <w:jc w:val="both"/>
        <w:rPr>
          <w:rFonts w:ascii="Verdana" w:hAnsi="Verdana"/>
          <w:b/>
          <w:snapToGrid w:val="0"/>
          <w:spacing w:val="-2"/>
          <w:sz w:val="20"/>
          <w:szCs w:val="20"/>
          <w:lang w:eastAsia="es-ES"/>
        </w:rPr>
      </w:pPr>
      <w:r w:rsidRPr="007B652B">
        <w:rPr>
          <w:rFonts w:ascii="Verdana" w:hAnsi="Verdana"/>
          <w:sz w:val="20"/>
          <w:szCs w:val="20"/>
        </w:rPr>
        <w:t xml:space="preserve">Del mismo modo, </w:t>
      </w:r>
      <w:r w:rsidR="00A34964" w:rsidRPr="007B652B">
        <w:rPr>
          <w:rFonts w:ascii="Verdana" w:hAnsi="Verdana"/>
          <w:sz w:val="20"/>
          <w:szCs w:val="20"/>
        </w:rPr>
        <w:t xml:space="preserve">si bien desde el año 2019 las víctimas del caso fueron puestas en libertad, ellas siguen padeciendo hasta la actualidad medidas restrictivas a su libertad personal y a su libertad de circulación </w:t>
      </w:r>
      <w:r w:rsidR="00165FA4" w:rsidRPr="007B652B">
        <w:rPr>
          <w:rFonts w:ascii="Verdana" w:hAnsi="Verdana"/>
          <w:sz w:val="20"/>
          <w:szCs w:val="20"/>
        </w:rPr>
        <w:t>en la medida que, como consecuencia de una medida cautelar alternativa a la privación a la libertad, se les impuso el uso obligatorio en todo momento de los brazaletes electrónicos de georreferenciación hasta la finalización del proceso penal. Tomando en cuenta la vigencia de esas restricciones a la libertad, así como la obligación a cargo de los Estados de revisar periódicamente las medidas de esa naturaleza</w:t>
      </w:r>
      <w:r w:rsidR="005A4118" w:rsidRPr="007B652B">
        <w:rPr>
          <w:rFonts w:ascii="Verdana" w:hAnsi="Verdana"/>
          <w:sz w:val="20"/>
          <w:szCs w:val="20"/>
        </w:rPr>
        <w:t xml:space="preserve"> (</w:t>
      </w:r>
      <w:r w:rsidR="005A4118" w:rsidRPr="007B652B">
        <w:rPr>
          <w:rFonts w:ascii="Verdana" w:hAnsi="Verdana"/>
          <w:i/>
          <w:iCs/>
          <w:sz w:val="20"/>
          <w:szCs w:val="20"/>
        </w:rPr>
        <w:t>supra</w:t>
      </w:r>
      <w:r w:rsidR="005A4118" w:rsidRPr="007B652B">
        <w:rPr>
          <w:rFonts w:ascii="Verdana" w:hAnsi="Verdana"/>
          <w:sz w:val="20"/>
          <w:szCs w:val="20"/>
        </w:rPr>
        <w:t xml:space="preserve"> párr. </w:t>
      </w:r>
      <w:r w:rsidR="004B12EE">
        <w:rPr>
          <w:rFonts w:ascii="Verdana" w:hAnsi="Verdana"/>
          <w:sz w:val="20"/>
          <w:szCs w:val="20"/>
        </w:rPr>
        <w:t>184</w:t>
      </w:r>
      <w:r w:rsidR="005A4118" w:rsidRPr="007B652B">
        <w:rPr>
          <w:rFonts w:ascii="Verdana" w:hAnsi="Verdana"/>
          <w:sz w:val="20"/>
          <w:szCs w:val="20"/>
        </w:rPr>
        <w:t>)</w:t>
      </w:r>
      <w:r w:rsidR="00165FA4" w:rsidRPr="007B652B">
        <w:rPr>
          <w:rFonts w:ascii="Verdana" w:hAnsi="Verdana"/>
          <w:sz w:val="20"/>
          <w:szCs w:val="20"/>
        </w:rPr>
        <w:t>, esta Corte ordena que</w:t>
      </w:r>
      <w:r w:rsidRPr="007B652B">
        <w:rPr>
          <w:rFonts w:ascii="Verdana" w:hAnsi="Verdana"/>
          <w:sz w:val="20"/>
          <w:szCs w:val="20"/>
        </w:rPr>
        <w:t xml:space="preserve"> las autoridades internas deberán, en el plaz</w:t>
      </w:r>
      <w:r w:rsidR="00020388" w:rsidRPr="007B652B">
        <w:rPr>
          <w:rFonts w:ascii="Verdana" w:hAnsi="Verdana"/>
          <w:sz w:val="20"/>
          <w:szCs w:val="20"/>
        </w:rPr>
        <w:t>o</w:t>
      </w:r>
      <w:r w:rsidRPr="007B652B">
        <w:rPr>
          <w:rFonts w:ascii="Verdana" w:hAnsi="Verdana"/>
          <w:sz w:val="20"/>
          <w:szCs w:val="20"/>
        </w:rPr>
        <w:t xml:space="preserve"> de un mes desde la notificación de la presente Sentencia, evaluar la pertinencia de mantener las medidas cautelares en </w:t>
      </w:r>
      <w:r w:rsidR="00732BA9" w:rsidRPr="007B652B">
        <w:rPr>
          <w:rFonts w:ascii="Verdana" w:hAnsi="Verdana"/>
          <w:sz w:val="20"/>
          <w:szCs w:val="20"/>
        </w:rPr>
        <w:t xml:space="preserve">su </w:t>
      </w:r>
      <w:r w:rsidRPr="007B652B">
        <w:rPr>
          <w:rFonts w:ascii="Verdana" w:hAnsi="Verdana"/>
          <w:sz w:val="20"/>
          <w:szCs w:val="20"/>
        </w:rPr>
        <w:t>perjuicio. Para esos efectos, deberán tomar en cuenta los estándares mencionados en est</w:t>
      </w:r>
      <w:r w:rsidR="007C1654" w:rsidRPr="007B652B">
        <w:rPr>
          <w:rFonts w:ascii="Verdana" w:hAnsi="Verdana"/>
          <w:sz w:val="20"/>
          <w:szCs w:val="20"/>
        </w:rPr>
        <w:t>a</w:t>
      </w:r>
      <w:r w:rsidRPr="007B652B">
        <w:rPr>
          <w:rFonts w:ascii="Verdana" w:hAnsi="Verdana"/>
          <w:sz w:val="20"/>
          <w:szCs w:val="20"/>
        </w:rPr>
        <w:t xml:space="preserve"> Sentencia sobre las finalidades legítimas para una restricción a la libertad (peligro de fuga y conservación de la prueba), </w:t>
      </w:r>
      <w:r w:rsidR="00C21C38" w:rsidRPr="007B652B">
        <w:rPr>
          <w:rFonts w:ascii="Verdana" w:hAnsi="Verdana"/>
          <w:sz w:val="20"/>
          <w:szCs w:val="20"/>
        </w:rPr>
        <w:t xml:space="preserve">la </w:t>
      </w:r>
      <w:r w:rsidRPr="007B652B">
        <w:rPr>
          <w:rFonts w:ascii="Verdana" w:hAnsi="Verdana"/>
          <w:sz w:val="20"/>
          <w:szCs w:val="20"/>
        </w:rPr>
        <w:t>idoneidad</w:t>
      </w:r>
      <w:r w:rsidR="00C21C38" w:rsidRPr="007B652B">
        <w:rPr>
          <w:rFonts w:ascii="Verdana" w:hAnsi="Verdana"/>
          <w:sz w:val="20"/>
          <w:szCs w:val="20"/>
        </w:rPr>
        <w:t xml:space="preserve"> de la medida</w:t>
      </w:r>
      <w:r w:rsidRPr="007B652B">
        <w:rPr>
          <w:rFonts w:ascii="Verdana" w:hAnsi="Verdana"/>
          <w:sz w:val="20"/>
          <w:szCs w:val="20"/>
        </w:rPr>
        <w:t xml:space="preserve">, </w:t>
      </w:r>
      <w:r w:rsidR="00C21C38" w:rsidRPr="007B652B">
        <w:rPr>
          <w:rFonts w:ascii="Verdana" w:hAnsi="Verdana"/>
          <w:sz w:val="20"/>
          <w:szCs w:val="20"/>
        </w:rPr>
        <w:t xml:space="preserve">la </w:t>
      </w:r>
      <w:r w:rsidRPr="007B652B">
        <w:rPr>
          <w:rFonts w:ascii="Verdana" w:hAnsi="Verdana"/>
          <w:sz w:val="20"/>
          <w:szCs w:val="20"/>
        </w:rPr>
        <w:t>nece</w:t>
      </w:r>
      <w:r w:rsidR="00C21C38" w:rsidRPr="007B652B">
        <w:rPr>
          <w:rFonts w:ascii="Verdana" w:hAnsi="Verdana"/>
          <w:sz w:val="20"/>
          <w:szCs w:val="20"/>
        </w:rPr>
        <w:t>sidad de la misma y la estricta proporcionalidad (</w:t>
      </w:r>
      <w:r w:rsidR="00C21C38" w:rsidRPr="007B652B">
        <w:rPr>
          <w:rFonts w:ascii="Verdana" w:hAnsi="Verdana"/>
          <w:i/>
          <w:iCs/>
          <w:sz w:val="20"/>
          <w:szCs w:val="20"/>
        </w:rPr>
        <w:t>supra</w:t>
      </w:r>
      <w:r w:rsidR="00C21C38" w:rsidRPr="007B652B">
        <w:rPr>
          <w:rFonts w:ascii="Verdana" w:hAnsi="Verdana"/>
          <w:sz w:val="20"/>
          <w:szCs w:val="20"/>
        </w:rPr>
        <w:t xml:space="preserve"> párrs. </w:t>
      </w:r>
      <w:r w:rsidR="004B12EE">
        <w:rPr>
          <w:rFonts w:ascii="Verdana" w:hAnsi="Verdana"/>
          <w:sz w:val="20"/>
          <w:szCs w:val="20"/>
        </w:rPr>
        <w:t>154</w:t>
      </w:r>
      <w:r w:rsidR="00C21C38" w:rsidRPr="007B652B">
        <w:rPr>
          <w:rFonts w:ascii="Verdana" w:hAnsi="Verdana"/>
          <w:sz w:val="20"/>
          <w:szCs w:val="20"/>
        </w:rPr>
        <w:t xml:space="preserve"> a</w:t>
      </w:r>
      <w:r w:rsidR="00D051B4" w:rsidRPr="007B652B">
        <w:rPr>
          <w:rFonts w:ascii="Verdana" w:hAnsi="Verdana"/>
          <w:sz w:val="20"/>
          <w:szCs w:val="20"/>
        </w:rPr>
        <w:t xml:space="preserve"> </w:t>
      </w:r>
      <w:r w:rsidR="004B12EE">
        <w:rPr>
          <w:rFonts w:ascii="Verdana" w:hAnsi="Verdana"/>
          <w:sz w:val="20"/>
          <w:szCs w:val="20"/>
        </w:rPr>
        <w:t>163</w:t>
      </w:r>
      <w:r w:rsidR="00C21C38" w:rsidRPr="007B652B">
        <w:rPr>
          <w:rFonts w:ascii="Verdana" w:hAnsi="Verdana"/>
          <w:sz w:val="20"/>
          <w:szCs w:val="20"/>
        </w:rPr>
        <w:t>).</w:t>
      </w:r>
      <w:r w:rsidRPr="007B652B">
        <w:rPr>
          <w:rFonts w:ascii="Verdana" w:hAnsi="Verdana"/>
          <w:sz w:val="20"/>
          <w:szCs w:val="20"/>
        </w:rPr>
        <w:t xml:space="preserve"> </w:t>
      </w:r>
      <w:r w:rsidR="007B652B" w:rsidRPr="00D04822">
        <w:rPr>
          <w:rFonts w:ascii="Verdana" w:hAnsi="Verdana"/>
          <w:sz w:val="20"/>
          <w:szCs w:val="20"/>
        </w:rPr>
        <w:t xml:space="preserve">También deberán excluirse todos los antecedentes incriminatorios obtenidos bajo coacción o tortura al momento de adoptar y revisar las medidas cautelares respecto de </w:t>
      </w:r>
      <w:r w:rsidR="004B12EE">
        <w:rPr>
          <w:rFonts w:ascii="Verdana" w:hAnsi="Verdana"/>
          <w:sz w:val="20"/>
          <w:szCs w:val="20"/>
        </w:rPr>
        <w:t xml:space="preserve">Daniel </w:t>
      </w:r>
      <w:r w:rsidR="007B652B" w:rsidRPr="00D04822">
        <w:rPr>
          <w:rFonts w:ascii="Verdana" w:hAnsi="Verdana"/>
          <w:sz w:val="20"/>
          <w:szCs w:val="20"/>
        </w:rPr>
        <w:t>García</w:t>
      </w:r>
      <w:r w:rsidR="004B12EE">
        <w:rPr>
          <w:rFonts w:ascii="Verdana" w:hAnsi="Verdana"/>
          <w:sz w:val="20"/>
          <w:szCs w:val="20"/>
        </w:rPr>
        <w:t xml:space="preserve"> Rodríguez</w:t>
      </w:r>
      <w:r w:rsidR="007B652B" w:rsidRPr="00D04822">
        <w:rPr>
          <w:rFonts w:ascii="Verdana" w:hAnsi="Verdana"/>
          <w:sz w:val="20"/>
          <w:szCs w:val="20"/>
        </w:rPr>
        <w:t xml:space="preserve"> y </w:t>
      </w:r>
      <w:r w:rsidR="004B12EE">
        <w:rPr>
          <w:rFonts w:ascii="Verdana" w:hAnsi="Verdana"/>
          <w:sz w:val="20"/>
          <w:szCs w:val="20"/>
        </w:rPr>
        <w:t>R</w:t>
      </w:r>
      <w:r w:rsidR="007B652B" w:rsidRPr="00D04822">
        <w:rPr>
          <w:rFonts w:ascii="Verdana" w:hAnsi="Verdana"/>
          <w:sz w:val="20"/>
          <w:szCs w:val="20"/>
        </w:rPr>
        <w:t>eyes Alp</w:t>
      </w:r>
      <w:r w:rsidR="004B12EE">
        <w:rPr>
          <w:rFonts w:ascii="Verdana" w:hAnsi="Verdana"/>
          <w:sz w:val="20"/>
          <w:szCs w:val="20"/>
        </w:rPr>
        <w:t>í</w:t>
      </w:r>
      <w:r w:rsidR="007B652B" w:rsidRPr="00D04822">
        <w:rPr>
          <w:rFonts w:ascii="Verdana" w:hAnsi="Verdana"/>
          <w:sz w:val="20"/>
          <w:szCs w:val="20"/>
        </w:rPr>
        <w:t>zar</w:t>
      </w:r>
      <w:r w:rsidR="004B12EE">
        <w:rPr>
          <w:rFonts w:ascii="Verdana" w:hAnsi="Verdana"/>
          <w:sz w:val="20"/>
          <w:szCs w:val="20"/>
        </w:rPr>
        <w:t xml:space="preserve"> Ortiz</w:t>
      </w:r>
      <w:r w:rsidR="007B652B" w:rsidRPr="007B652B">
        <w:rPr>
          <w:rFonts w:ascii="Verdana" w:hAnsi="Verdana"/>
          <w:sz w:val="20"/>
          <w:szCs w:val="20"/>
        </w:rPr>
        <w:t>.</w:t>
      </w:r>
    </w:p>
    <w:p w14:paraId="41AADFB2" w14:textId="3B34593D" w:rsidR="00020388" w:rsidRPr="00AE4693" w:rsidRDefault="00020388" w:rsidP="00AE4693">
      <w:pPr>
        <w:pStyle w:val="Ttulo3"/>
        <w:spacing w:before="240" w:after="240"/>
        <w:ind w:left="567"/>
        <w:jc w:val="both"/>
        <w:rPr>
          <w:rFonts w:ascii="Verdana" w:hAnsi="Verdana"/>
          <w:b w:val="0"/>
          <w:bCs w:val="0"/>
          <w:snapToGrid w:val="0"/>
          <w:spacing w:val="-2"/>
          <w:sz w:val="20"/>
          <w:szCs w:val="20"/>
          <w:lang w:eastAsia="es-ES"/>
        </w:rPr>
      </w:pPr>
      <w:bookmarkStart w:id="131" w:name="_Toc132133943"/>
      <w:r w:rsidRPr="00AE4693">
        <w:rPr>
          <w:rFonts w:ascii="Verdana" w:hAnsi="Verdana"/>
          <w:b w:val="0"/>
          <w:bCs w:val="0"/>
          <w:snapToGrid w:val="0"/>
          <w:spacing w:val="-2"/>
          <w:sz w:val="20"/>
          <w:szCs w:val="20"/>
          <w:lang w:eastAsia="es-ES"/>
        </w:rPr>
        <w:t>B.2. Deber de investigar</w:t>
      </w:r>
      <w:r w:rsidR="00F2744B" w:rsidRPr="00AE4693">
        <w:rPr>
          <w:rFonts w:ascii="Verdana" w:hAnsi="Verdana"/>
          <w:b w:val="0"/>
          <w:bCs w:val="0"/>
          <w:snapToGrid w:val="0"/>
          <w:spacing w:val="-2"/>
          <w:sz w:val="20"/>
          <w:szCs w:val="20"/>
          <w:lang w:eastAsia="es-ES"/>
        </w:rPr>
        <w:t xml:space="preserve">, </w:t>
      </w:r>
      <w:r w:rsidRPr="00AE4693">
        <w:rPr>
          <w:rFonts w:ascii="Verdana" w:hAnsi="Verdana"/>
          <w:b w:val="0"/>
          <w:bCs w:val="0"/>
          <w:snapToGrid w:val="0"/>
          <w:spacing w:val="-2"/>
          <w:sz w:val="20"/>
          <w:szCs w:val="20"/>
          <w:lang w:eastAsia="es-ES"/>
        </w:rPr>
        <w:t>procesar</w:t>
      </w:r>
      <w:r w:rsidR="00F2744B" w:rsidRPr="00AE4693">
        <w:rPr>
          <w:rFonts w:ascii="Verdana" w:hAnsi="Verdana"/>
          <w:b w:val="0"/>
          <w:bCs w:val="0"/>
          <w:snapToGrid w:val="0"/>
          <w:spacing w:val="-2"/>
          <w:sz w:val="20"/>
          <w:szCs w:val="20"/>
          <w:lang w:eastAsia="es-ES"/>
        </w:rPr>
        <w:t xml:space="preserve"> y sancionar</w:t>
      </w:r>
      <w:r w:rsidR="00D2383C" w:rsidRPr="00AE4693">
        <w:rPr>
          <w:rFonts w:ascii="Verdana" w:hAnsi="Verdana"/>
          <w:b w:val="0"/>
          <w:bCs w:val="0"/>
          <w:snapToGrid w:val="0"/>
          <w:spacing w:val="-2"/>
          <w:sz w:val="20"/>
          <w:szCs w:val="20"/>
          <w:lang w:eastAsia="es-ES"/>
        </w:rPr>
        <w:t xml:space="preserve"> a</w:t>
      </w:r>
      <w:r w:rsidR="00F2744B" w:rsidRPr="00AE4693">
        <w:rPr>
          <w:rFonts w:ascii="Verdana" w:hAnsi="Verdana"/>
          <w:b w:val="0"/>
          <w:bCs w:val="0"/>
          <w:snapToGrid w:val="0"/>
          <w:spacing w:val="-2"/>
          <w:sz w:val="20"/>
          <w:szCs w:val="20"/>
          <w:lang w:eastAsia="es-ES"/>
        </w:rPr>
        <w:t xml:space="preserve"> los eventuales responsables de</w:t>
      </w:r>
      <w:r w:rsidRPr="00AE4693">
        <w:rPr>
          <w:rFonts w:ascii="Verdana" w:hAnsi="Verdana"/>
          <w:b w:val="0"/>
          <w:bCs w:val="0"/>
          <w:snapToGrid w:val="0"/>
          <w:spacing w:val="-2"/>
          <w:sz w:val="20"/>
          <w:szCs w:val="20"/>
          <w:lang w:eastAsia="es-ES"/>
        </w:rPr>
        <w:t xml:space="preserve"> los hechos de tortura en perjuicio de Daniel García Rodríguez y Reyes Alpízar </w:t>
      </w:r>
      <w:r w:rsidR="00D349F9">
        <w:rPr>
          <w:rFonts w:ascii="Verdana" w:hAnsi="Verdana"/>
          <w:b w:val="0"/>
          <w:bCs w:val="0"/>
          <w:snapToGrid w:val="0"/>
          <w:spacing w:val="-2"/>
          <w:sz w:val="20"/>
          <w:szCs w:val="20"/>
          <w:lang w:eastAsia="es-ES"/>
        </w:rPr>
        <w:t>Ortiz</w:t>
      </w:r>
      <w:bookmarkEnd w:id="131"/>
    </w:p>
    <w:p w14:paraId="2A2771B4" w14:textId="57F0AF5F" w:rsidR="000D3D06" w:rsidRPr="00351298" w:rsidRDefault="73749230" w:rsidP="009C2A24">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La Corte </w:t>
      </w:r>
      <w:r w:rsidR="349A60F0" w:rsidRPr="1D64B15C">
        <w:rPr>
          <w:rFonts w:ascii="Verdana" w:hAnsi="Verdana"/>
          <w:sz w:val="20"/>
          <w:szCs w:val="20"/>
        </w:rPr>
        <w:t>advierte que en el presente caso se concluyó que el Estado era responsable po</w:t>
      </w:r>
      <w:r w:rsidR="7819EDB1" w:rsidRPr="1D64B15C">
        <w:rPr>
          <w:rFonts w:ascii="Verdana" w:hAnsi="Verdana"/>
          <w:sz w:val="20"/>
          <w:szCs w:val="20"/>
        </w:rPr>
        <w:t>r</w:t>
      </w:r>
      <w:r w:rsidRPr="1D64B15C">
        <w:rPr>
          <w:rFonts w:ascii="Verdana" w:hAnsi="Verdana"/>
          <w:sz w:val="20"/>
          <w:szCs w:val="20"/>
        </w:rPr>
        <w:t xml:space="preserve"> los hechos de tortura en contra de Daniel García Rodríguez y Reyes Alpízar</w:t>
      </w:r>
      <w:r w:rsidR="394F9CB0" w:rsidRPr="1D64B15C">
        <w:rPr>
          <w:rFonts w:ascii="Verdana" w:hAnsi="Verdana"/>
          <w:sz w:val="20"/>
          <w:szCs w:val="20"/>
        </w:rPr>
        <w:t xml:space="preserve"> Ortiz </w:t>
      </w:r>
      <w:r w:rsidRPr="1D64B15C">
        <w:rPr>
          <w:rFonts w:ascii="Verdana" w:hAnsi="Verdana"/>
          <w:sz w:val="20"/>
          <w:szCs w:val="20"/>
        </w:rPr>
        <w:t>ocurridos durante el periodo que estuvieron bajo arraigo (</w:t>
      </w:r>
      <w:r w:rsidRPr="1D64B15C">
        <w:rPr>
          <w:rFonts w:ascii="Verdana" w:hAnsi="Verdana"/>
          <w:i/>
          <w:iCs/>
          <w:sz w:val="20"/>
          <w:szCs w:val="20"/>
        </w:rPr>
        <w:t>supra</w:t>
      </w:r>
      <w:r w:rsidRPr="1D64B15C">
        <w:rPr>
          <w:rFonts w:ascii="Verdana" w:hAnsi="Verdana"/>
          <w:sz w:val="20"/>
          <w:szCs w:val="20"/>
        </w:rPr>
        <w:t xml:space="preserve"> </w:t>
      </w:r>
      <w:r w:rsidR="004B12EE">
        <w:rPr>
          <w:rFonts w:ascii="Verdana" w:hAnsi="Verdana"/>
          <w:sz w:val="20"/>
          <w:szCs w:val="20"/>
        </w:rPr>
        <w:t>Capítulo VIII.2.B.1</w:t>
      </w:r>
      <w:r w:rsidRPr="1D64B15C">
        <w:rPr>
          <w:rFonts w:ascii="Verdana" w:hAnsi="Verdana"/>
          <w:sz w:val="20"/>
          <w:szCs w:val="20"/>
        </w:rPr>
        <w:t xml:space="preserve">). </w:t>
      </w:r>
      <w:r w:rsidR="3B1248FA" w:rsidRPr="1D64B15C">
        <w:rPr>
          <w:rFonts w:ascii="Verdana" w:hAnsi="Verdana"/>
          <w:sz w:val="20"/>
          <w:szCs w:val="20"/>
        </w:rPr>
        <w:t xml:space="preserve">Por lo tanto, el Estado deberá, en un plazo razonable y con la debida diligencia, investigar, </w:t>
      </w:r>
      <w:r w:rsidR="232EF841" w:rsidRPr="1D64B15C">
        <w:rPr>
          <w:rFonts w:ascii="Verdana" w:hAnsi="Verdana"/>
          <w:sz w:val="20"/>
          <w:szCs w:val="20"/>
        </w:rPr>
        <w:t>procesar</w:t>
      </w:r>
      <w:r w:rsidR="3B1248FA" w:rsidRPr="1D64B15C">
        <w:rPr>
          <w:rFonts w:ascii="Verdana" w:hAnsi="Verdana"/>
          <w:sz w:val="20"/>
          <w:szCs w:val="20"/>
        </w:rPr>
        <w:t xml:space="preserve"> y, en su caso, sancionar a </w:t>
      </w:r>
      <w:r w:rsidR="4816EE06" w:rsidRPr="1D64B15C">
        <w:rPr>
          <w:rFonts w:ascii="Verdana" w:hAnsi="Verdana"/>
          <w:sz w:val="20"/>
          <w:szCs w:val="20"/>
        </w:rPr>
        <w:t xml:space="preserve">los eventuales </w:t>
      </w:r>
      <w:r w:rsidR="3B1248FA" w:rsidRPr="1D64B15C">
        <w:rPr>
          <w:rFonts w:ascii="Verdana" w:hAnsi="Verdana"/>
          <w:sz w:val="20"/>
          <w:szCs w:val="20"/>
        </w:rPr>
        <w:t xml:space="preserve">responsables de los hechos de tortura en perjuicio de Daniel García Rodríguez y </w:t>
      </w:r>
      <w:r w:rsidR="3B1248FA" w:rsidRPr="1D64B15C">
        <w:rPr>
          <w:rFonts w:ascii="Verdana" w:hAnsi="Verdana"/>
          <w:sz w:val="20"/>
          <w:szCs w:val="20"/>
        </w:rPr>
        <w:lastRenderedPageBreak/>
        <w:t xml:space="preserve">Reyes Alpízar </w:t>
      </w:r>
      <w:r w:rsidR="0BBEF268" w:rsidRPr="1D64B15C">
        <w:rPr>
          <w:rFonts w:ascii="Verdana" w:hAnsi="Verdana"/>
          <w:sz w:val="20"/>
          <w:szCs w:val="20"/>
        </w:rPr>
        <w:t>Ortiz</w:t>
      </w:r>
      <w:r w:rsidR="3B1248FA" w:rsidRPr="1D64B15C">
        <w:rPr>
          <w:rFonts w:ascii="Verdana" w:hAnsi="Verdana"/>
          <w:sz w:val="20"/>
          <w:szCs w:val="20"/>
        </w:rPr>
        <w:t>. Para tal efecto, el Estado podrá reabrir la averiguación previa TLA/MR/III/1973/2006 (</w:t>
      </w:r>
      <w:r w:rsidR="3B1248FA" w:rsidRPr="1D64B15C">
        <w:rPr>
          <w:rFonts w:ascii="Verdana" w:hAnsi="Verdana"/>
          <w:i/>
          <w:iCs/>
          <w:sz w:val="20"/>
          <w:szCs w:val="20"/>
        </w:rPr>
        <w:t>supra</w:t>
      </w:r>
      <w:r w:rsidR="3B1248FA" w:rsidRPr="1D64B15C">
        <w:rPr>
          <w:rFonts w:ascii="Verdana" w:hAnsi="Verdana"/>
          <w:sz w:val="20"/>
          <w:szCs w:val="20"/>
        </w:rPr>
        <w:t xml:space="preserve"> párr</w:t>
      </w:r>
      <w:r w:rsidR="004B12EE">
        <w:rPr>
          <w:rFonts w:ascii="Verdana" w:hAnsi="Verdana"/>
          <w:sz w:val="20"/>
          <w:szCs w:val="20"/>
        </w:rPr>
        <w:t>s</w:t>
      </w:r>
      <w:r w:rsidR="3B1248FA" w:rsidRPr="1D64B15C">
        <w:rPr>
          <w:rFonts w:ascii="Verdana" w:hAnsi="Verdana"/>
          <w:sz w:val="20"/>
          <w:szCs w:val="20"/>
        </w:rPr>
        <w:t xml:space="preserve">. </w:t>
      </w:r>
      <w:r w:rsidR="004B12EE">
        <w:rPr>
          <w:rFonts w:ascii="Verdana" w:hAnsi="Verdana"/>
          <w:sz w:val="20"/>
          <w:szCs w:val="20"/>
        </w:rPr>
        <w:t>105 a 112</w:t>
      </w:r>
      <w:r w:rsidR="3B1248FA" w:rsidRPr="1D64B15C">
        <w:rPr>
          <w:rFonts w:ascii="Verdana" w:hAnsi="Verdana"/>
          <w:sz w:val="20"/>
          <w:szCs w:val="20"/>
        </w:rPr>
        <w:t>) o iniciar una nueva investigación.</w:t>
      </w:r>
    </w:p>
    <w:p w14:paraId="4F27408F" w14:textId="4784BC02" w:rsidR="0052792F" w:rsidRPr="00351298" w:rsidRDefault="0052792F" w:rsidP="0052792F">
      <w:pPr>
        <w:pStyle w:val="Ttulo3"/>
        <w:spacing w:before="240" w:after="240"/>
        <w:ind w:left="567"/>
        <w:jc w:val="both"/>
        <w:rPr>
          <w:rFonts w:ascii="Verdana" w:hAnsi="Verdana"/>
          <w:b w:val="0"/>
          <w:snapToGrid w:val="0"/>
          <w:spacing w:val="-2"/>
          <w:sz w:val="20"/>
          <w:szCs w:val="20"/>
          <w:lang w:eastAsia="es-ES"/>
        </w:rPr>
      </w:pPr>
      <w:bookmarkStart w:id="132" w:name="_Toc132133944"/>
      <w:r w:rsidRPr="00351298">
        <w:rPr>
          <w:rFonts w:ascii="Verdana" w:hAnsi="Verdana"/>
          <w:b w:val="0"/>
          <w:snapToGrid w:val="0"/>
          <w:spacing w:val="-2"/>
          <w:sz w:val="20"/>
          <w:szCs w:val="20"/>
          <w:lang w:eastAsia="es-ES"/>
        </w:rPr>
        <w:t>B.3. Deber de investigar</w:t>
      </w:r>
      <w:r w:rsidR="002777FE" w:rsidRPr="00351298">
        <w:rPr>
          <w:rFonts w:ascii="Verdana" w:hAnsi="Verdana"/>
          <w:b w:val="0"/>
          <w:snapToGrid w:val="0"/>
          <w:spacing w:val="-2"/>
          <w:sz w:val="20"/>
          <w:szCs w:val="20"/>
          <w:lang w:eastAsia="es-ES"/>
        </w:rPr>
        <w:t xml:space="preserve">, </w:t>
      </w:r>
      <w:r w:rsidRPr="00351298">
        <w:rPr>
          <w:rFonts w:ascii="Verdana" w:hAnsi="Verdana"/>
          <w:b w:val="0"/>
          <w:snapToGrid w:val="0"/>
          <w:spacing w:val="-2"/>
          <w:sz w:val="20"/>
          <w:szCs w:val="20"/>
          <w:lang w:eastAsia="es-ES"/>
        </w:rPr>
        <w:t>procesar</w:t>
      </w:r>
      <w:r w:rsidR="002777FE" w:rsidRPr="00351298">
        <w:rPr>
          <w:rFonts w:ascii="Verdana" w:hAnsi="Verdana"/>
          <w:b w:val="0"/>
          <w:snapToGrid w:val="0"/>
          <w:spacing w:val="-2"/>
          <w:sz w:val="20"/>
          <w:szCs w:val="20"/>
          <w:lang w:eastAsia="es-ES"/>
        </w:rPr>
        <w:t xml:space="preserve"> y sancionar</w:t>
      </w:r>
      <w:r w:rsidRPr="00351298">
        <w:rPr>
          <w:rFonts w:ascii="Verdana" w:hAnsi="Verdana"/>
          <w:b w:val="0"/>
          <w:snapToGrid w:val="0"/>
          <w:spacing w:val="-2"/>
          <w:sz w:val="20"/>
          <w:szCs w:val="20"/>
          <w:lang w:eastAsia="es-ES"/>
        </w:rPr>
        <w:t xml:space="preserve"> l</w:t>
      </w:r>
      <w:r w:rsidR="00C13FF8" w:rsidRPr="00351298">
        <w:rPr>
          <w:rFonts w:ascii="Verdana" w:hAnsi="Verdana"/>
          <w:b w:val="0"/>
          <w:snapToGrid w:val="0"/>
          <w:spacing w:val="-2"/>
          <w:sz w:val="20"/>
          <w:szCs w:val="20"/>
          <w:lang w:eastAsia="es-ES"/>
        </w:rPr>
        <w:t>a</w:t>
      </w:r>
      <w:r w:rsidRPr="00351298">
        <w:rPr>
          <w:rFonts w:ascii="Verdana" w:hAnsi="Verdana"/>
          <w:b w:val="0"/>
          <w:snapToGrid w:val="0"/>
          <w:spacing w:val="-2"/>
          <w:sz w:val="20"/>
          <w:szCs w:val="20"/>
          <w:lang w:eastAsia="es-ES"/>
        </w:rPr>
        <w:t xml:space="preserve">s demás </w:t>
      </w:r>
      <w:r w:rsidR="00DC04BA" w:rsidRPr="00351298">
        <w:rPr>
          <w:rFonts w:ascii="Verdana" w:hAnsi="Verdana"/>
          <w:b w:val="0"/>
          <w:snapToGrid w:val="0"/>
          <w:spacing w:val="-2"/>
          <w:sz w:val="20"/>
          <w:szCs w:val="20"/>
          <w:lang w:eastAsia="es-ES"/>
        </w:rPr>
        <w:t xml:space="preserve">violaciones a los derechos humanos </w:t>
      </w:r>
      <w:r w:rsidRPr="00351298">
        <w:rPr>
          <w:rFonts w:ascii="Verdana" w:hAnsi="Verdana"/>
          <w:b w:val="0"/>
          <w:snapToGrid w:val="0"/>
          <w:spacing w:val="-2"/>
          <w:sz w:val="20"/>
          <w:szCs w:val="20"/>
          <w:lang w:eastAsia="es-ES"/>
        </w:rPr>
        <w:t xml:space="preserve">en perjuicio de Daniel García Rodríguez y Reyes Alpízar </w:t>
      </w:r>
      <w:r w:rsidR="00D349F9">
        <w:rPr>
          <w:rFonts w:ascii="Verdana" w:hAnsi="Verdana"/>
          <w:b w:val="0"/>
          <w:snapToGrid w:val="0"/>
          <w:spacing w:val="-2"/>
          <w:sz w:val="20"/>
          <w:szCs w:val="20"/>
          <w:lang w:eastAsia="es-ES"/>
        </w:rPr>
        <w:t>Ortiz</w:t>
      </w:r>
      <w:bookmarkEnd w:id="132"/>
    </w:p>
    <w:p w14:paraId="01A5FFF1" w14:textId="05D5BB3E" w:rsidR="009C2A24" w:rsidRPr="00351298" w:rsidRDefault="349A60F0" w:rsidP="009C2A24">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 </w:t>
      </w:r>
      <w:r w:rsidR="47BE857E" w:rsidRPr="1D64B15C">
        <w:rPr>
          <w:rFonts w:ascii="Verdana" w:hAnsi="Verdana"/>
          <w:sz w:val="20"/>
          <w:szCs w:val="20"/>
        </w:rPr>
        <w:t>L</w:t>
      </w:r>
      <w:r w:rsidR="3B1248FA" w:rsidRPr="1D64B15C">
        <w:rPr>
          <w:rFonts w:ascii="Verdana" w:hAnsi="Verdana"/>
          <w:sz w:val="20"/>
          <w:szCs w:val="20"/>
        </w:rPr>
        <w:t xml:space="preserve">a Corte pudo comprobar que Daniel García y Reyes Alpízar: </w:t>
      </w:r>
      <w:r w:rsidRPr="1D64B15C">
        <w:rPr>
          <w:rFonts w:ascii="Verdana" w:hAnsi="Verdana"/>
          <w:sz w:val="20"/>
          <w:szCs w:val="20"/>
        </w:rPr>
        <w:t xml:space="preserve">a) </w:t>
      </w:r>
      <w:r w:rsidR="3B1248FA" w:rsidRPr="1D64B15C">
        <w:rPr>
          <w:rFonts w:ascii="Verdana" w:hAnsi="Verdana"/>
          <w:sz w:val="20"/>
          <w:szCs w:val="20"/>
        </w:rPr>
        <w:t xml:space="preserve">fueron </w:t>
      </w:r>
      <w:r w:rsidR="3B9BDBE9" w:rsidRPr="1D64B15C">
        <w:rPr>
          <w:rFonts w:ascii="Verdana" w:hAnsi="Verdana"/>
          <w:sz w:val="20"/>
          <w:szCs w:val="20"/>
        </w:rPr>
        <w:t>deteni</w:t>
      </w:r>
      <w:r w:rsidR="3B1248FA" w:rsidRPr="1D64B15C">
        <w:rPr>
          <w:rFonts w:ascii="Verdana" w:hAnsi="Verdana"/>
          <w:sz w:val="20"/>
          <w:szCs w:val="20"/>
        </w:rPr>
        <w:t>dos</w:t>
      </w:r>
      <w:r w:rsidR="3B9BDBE9" w:rsidRPr="1D64B15C">
        <w:rPr>
          <w:rFonts w:ascii="Verdana" w:hAnsi="Verdana"/>
          <w:sz w:val="20"/>
          <w:szCs w:val="20"/>
        </w:rPr>
        <w:t xml:space="preserve"> </w:t>
      </w:r>
      <w:r w:rsidR="7819EDB1" w:rsidRPr="1D64B15C">
        <w:rPr>
          <w:rFonts w:ascii="Verdana" w:hAnsi="Verdana"/>
          <w:sz w:val="20"/>
          <w:szCs w:val="20"/>
        </w:rPr>
        <w:t>ilegal</w:t>
      </w:r>
      <w:r w:rsidR="3B1248FA" w:rsidRPr="1D64B15C">
        <w:rPr>
          <w:rFonts w:ascii="Verdana" w:hAnsi="Verdana"/>
          <w:sz w:val="20"/>
          <w:szCs w:val="20"/>
        </w:rPr>
        <w:t>mente</w:t>
      </w:r>
      <w:r w:rsidR="56396DBC" w:rsidRPr="1D64B15C">
        <w:rPr>
          <w:rFonts w:ascii="Verdana" w:hAnsi="Verdana"/>
          <w:sz w:val="20"/>
          <w:szCs w:val="20"/>
        </w:rPr>
        <w:t>;</w:t>
      </w:r>
      <w:r w:rsidRPr="1D64B15C">
        <w:rPr>
          <w:rFonts w:ascii="Verdana" w:hAnsi="Verdana"/>
          <w:sz w:val="20"/>
          <w:szCs w:val="20"/>
        </w:rPr>
        <w:t xml:space="preserve"> </w:t>
      </w:r>
      <w:r w:rsidR="7819EDB1" w:rsidRPr="1D64B15C">
        <w:rPr>
          <w:rFonts w:ascii="Verdana" w:hAnsi="Verdana"/>
          <w:sz w:val="20"/>
          <w:szCs w:val="20"/>
        </w:rPr>
        <w:t>b</w:t>
      </w:r>
      <w:r w:rsidRPr="1D64B15C">
        <w:rPr>
          <w:rFonts w:ascii="Verdana" w:hAnsi="Verdana"/>
          <w:sz w:val="20"/>
          <w:szCs w:val="20"/>
        </w:rPr>
        <w:t xml:space="preserve">) </w:t>
      </w:r>
      <w:r w:rsidR="47BE857E" w:rsidRPr="1D64B15C">
        <w:rPr>
          <w:rFonts w:ascii="Verdana" w:hAnsi="Verdana"/>
          <w:sz w:val="20"/>
          <w:szCs w:val="20"/>
        </w:rPr>
        <w:t>sin que se</w:t>
      </w:r>
      <w:r w:rsidR="3B1248FA" w:rsidRPr="1D64B15C">
        <w:rPr>
          <w:rFonts w:ascii="Verdana" w:hAnsi="Verdana"/>
          <w:sz w:val="20"/>
          <w:szCs w:val="20"/>
        </w:rPr>
        <w:t xml:space="preserve"> les</w:t>
      </w:r>
      <w:r w:rsidRPr="1D64B15C">
        <w:rPr>
          <w:rFonts w:ascii="Verdana" w:hAnsi="Verdana"/>
          <w:sz w:val="20"/>
          <w:szCs w:val="20"/>
        </w:rPr>
        <w:t xml:space="preserve"> </w:t>
      </w:r>
      <w:r w:rsidR="47BE857E" w:rsidRPr="1D64B15C">
        <w:rPr>
          <w:rFonts w:ascii="Verdana" w:hAnsi="Verdana"/>
          <w:sz w:val="20"/>
          <w:szCs w:val="20"/>
        </w:rPr>
        <w:t xml:space="preserve">informara </w:t>
      </w:r>
      <w:r w:rsidRPr="1D64B15C">
        <w:rPr>
          <w:rFonts w:ascii="Verdana" w:hAnsi="Verdana"/>
          <w:sz w:val="20"/>
          <w:szCs w:val="20"/>
        </w:rPr>
        <w:t xml:space="preserve">sobre las razones de </w:t>
      </w:r>
      <w:r w:rsidR="47BE857E" w:rsidRPr="1D64B15C">
        <w:rPr>
          <w:rFonts w:ascii="Verdana" w:hAnsi="Verdana"/>
          <w:sz w:val="20"/>
          <w:szCs w:val="20"/>
        </w:rPr>
        <w:t xml:space="preserve">su </w:t>
      </w:r>
      <w:r w:rsidRPr="1D64B15C">
        <w:rPr>
          <w:rFonts w:ascii="Verdana" w:hAnsi="Verdana"/>
          <w:sz w:val="20"/>
          <w:szCs w:val="20"/>
        </w:rPr>
        <w:t>detención</w:t>
      </w:r>
      <w:r w:rsidR="47BE857E" w:rsidRPr="1D64B15C">
        <w:rPr>
          <w:rFonts w:ascii="Verdana" w:hAnsi="Verdana"/>
          <w:sz w:val="20"/>
          <w:szCs w:val="20"/>
        </w:rPr>
        <w:t>;</w:t>
      </w:r>
      <w:r w:rsidRPr="1D64B15C">
        <w:rPr>
          <w:rFonts w:ascii="Verdana" w:hAnsi="Verdana"/>
          <w:sz w:val="20"/>
          <w:szCs w:val="20"/>
        </w:rPr>
        <w:t xml:space="preserve"> </w:t>
      </w:r>
      <w:r w:rsidR="7819EDB1" w:rsidRPr="1D64B15C">
        <w:rPr>
          <w:rFonts w:ascii="Verdana" w:hAnsi="Verdana"/>
          <w:sz w:val="20"/>
          <w:szCs w:val="20"/>
        </w:rPr>
        <w:t>c</w:t>
      </w:r>
      <w:r w:rsidRPr="1D64B15C">
        <w:rPr>
          <w:rFonts w:ascii="Verdana" w:hAnsi="Verdana"/>
          <w:sz w:val="20"/>
          <w:szCs w:val="20"/>
        </w:rPr>
        <w:t xml:space="preserve">) </w:t>
      </w:r>
      <w:r w:rsidR="3B1248FA" w:rsidRPr="1D64B15C">
        <w:rPr>
          <w:rFonts w:ascii="Verdana" w:hAnsi="Verdana"/>
          <w:sz w:val="20"/>
          <w:szCs w:val="20"/>
        </w:rPr>
        <w:t xml:space="preserve">no fueron </w:t>
      </w:r>
      <w:r w:rsidRPr="1D64B15C">
        <w:rPr>
          <w:rFonts w:ascii="Verdana" w:hAnsi="Verdana"/>
          <w:sz w:val="20"/>
          <w:szCs w:val="20"/>
        </w:rPr>
        <w:t>presenta</w:t>
      </w:r>
      <w:r w:rsidR="3B1248FA" w:rsidRPr="1D64B15C">
        <w:rPr>
          <w:rFonts w:ascii="Verdana" w:hAnsi="Verdana"/>
          <w:sz w:val="20"/>
          <w:szCs w:val="20"/>
        </w:rPr>
        <w:t>dos</w:t>
      </w:r>
      <w:r w:rsidRPr="1D64B15C">
        <w:rPr>
          <w:rFonts w:ascii="Verdana" w:hAnsi="Verdana"/>
          <w:sz w:val="20"/>
          <w:szCs w:val="20"/>
        </w:rPr>
        <w:t xml:space="preserve"> sin demora ante </w:t>
      </w:r>
      <w:r w:rsidR="7819EDB1" w:rsidRPr="1D64B15C">
        <w:rPr>
          <w:rFonts w:ascii="Verdana" w:hAnsi="Verdana"/>
          <w:sz w:val="20"/>
          <w:szCs w:val="20"/>
        </w:rPr>
        <w:t>una autoridad judicial</w:t>
      </w:r>
      <w:r w:rsidR="105422B6" w:rsidRPr="1D64B15C">
        <w:rPr>
          <w:rFonts w:ascii="Verdana" w:hAnsi="Verdana"/>
          <w:sz w:val="20"/>
          <w:szCs w:val="20"/>
        </w:rPr>
        <w:t>;</w:t>
      </w:r>
      <w:r w:rsidRPr="1D64B15C">
        <w:rPr>
          <w:rFonts w:ascii="Verdana" w:hAnsi="Verdana"/>
          <w:sz w:val="20"/>
          <w:szCs w:val="20"/>
        </w:rPr>
        <w:t xml:space="preserve"> </w:t>
      </w:r>
      <w:r w:rsidR="7819EDB1" w:rsidRPr="1D64B15C">
        <w:rPr>
          <w:rFonts w:ascii="Verdana" w:hAnsi="Verdana"/>
          <w:sz w:val="20"/>
          <w:szCs w:val="20"/>
        </w:rPr>
        <w:t>d</w:t>
      </w:r>
      <w:r w:rsidRPr="1D64B15C">
        <w:rPr>
          <w:rFonts w:ascii="Verdana" w:hAnsi="Verdana"/>
          <w:sz w:val="20"/>
          <w:szCs w:val="20"/>
        </w:rPr>
        <w:t xml:space="preserve">) </w:t>
      </w:r>
      <w:r w:rsidR="3B1248FA" w:rsidRPr="1D64B15C">
        <w:rPr>
          <w:rFonts w:ascii="Verdana" w:hAnsi="Verdana"/>
          <w:sz w:val="20"/>
          <w:szCs w:val="20"/>
        </w:rPr>
        <w:t>carecieron de una</w:t>
      </w:r>
      <w:r w:rsidRPr="1D64B15C">
        <w:rPr>
          <w:rFonts w:ascii="Verdana" w:hAnsi="Verdana"/>
          <w:sz w:val="20"/>
          <w:szCs w:val="20"/>
        </w:rPr>
        <w:t xml:space="preserve"> defensa técnica en los primeros días posteriores a su detención,</w:t>
      </w:r>
      <w:r w:rsidR="47BE857E" w:rsidRPr="1D64B15C">
        <w:rPr>
          <w:rFonts w:ascii="Verdana" w:hAnsi="Verdana"/>
          <w:sz w:val="20"/>
          <w:szCs w:val="20"/>
        </w:rPr>
        <w:t xml:space="preserve"> y</w:t>
      </w:r>
      <w:r w:rsidRPr="1D64B15C">
        <w:rPr>
          <w:rFonts w:ascii="Verdana" w:hAnsi="Verdana"/>
          <w:sz w:val="20"/>
          <w:szCs w:val="20"/>
        </w:rPr>
        <w:t xml:space="preserve"> </w:t>
      </w:r>
      <w:r w:rsidR="7819EDB1" w:rsidRPr="1D64B15C">
        <w:rPr>
          <w:rFonts w:ascii="Verdana" w:hAnsi="Verdana"/>
          <w:sz w:val="20"/>
          <w:szCs w:val="20"/>
        </w:rPr>
        <w:t>e</w:t>
      </w:r>
      <w:r w:rsidRPr="1D64B15C">
        <w:rPr>
          <w:rFonts w:ascii="Verdana" w:hAnsi="Verdana"/>
          <w:sz w:val="20"/>
          <w:szCs w:val="20"/>
        </w:rPr>
        <w:t xml:space="preserve">) </w:t>
      </w:r>
      <w:r w:rsidR="3B1248FA" w:rsidRPr="1D64B15C">
        <w:rPr>
          <w:rFonts w:ascii="Verdana" w:hAnsi="Verdana"/>
          <w:sz w:val="20"/>
          <w:szCs w:val="20"/>
        </w:rPr>
        <w:t xml:space="preserve">fueron privados de la libertad </w:t>
      </w:r>
      <w:r w:rsidR="47BE857E" w:rsidRPr="1D64B15C">
        <w:rPr>
          <w:rFonts w:ascii="Verdana" w:hAnsi="Verdana"/>
          <w:sz w:val="20"/>
          <w:szCs w:val="20"/>
        </w:rPr>
        <w:t>arbitrariamente</w:t>
      </w:r>
      <w:r w:rsidR="3B1248FA" w:rsidRPr="1D64B15C">
        <w:rPr>
          <w:rFonts w:ascii="Verdana" w:hAnsi="Verdana"/>
          <w:sz w:val="20"/>
          <w:szCs w:val="20"/>
        </w:rPr>
        <w:t xml:space="preserve"> al </w:t>
      </w:r>
      <w:r w:rsidR="47BE857E" w:rsidRPr="1D64B15C">
        <w:rPr>
          <w:rFonts w:ascii="Verdana" w:hAnsi="Verdana"/>
          <w:sz w:val="20"/>
          <w:szCs w:val="20"/>
        </w:rPr>
        <w:t xml:space="preserve">aplicarse </w:t>
      </w:r>
      <w:r w:rsidR="3B1248FA" w:rsidRPr="1D64B15C">
        <w:rPr>
          <w:rFonts w:ascii="Verdana" w:hAnsi="Verdana"/>
          <w:sz w:val="20"/>
          <w:szCs w:val="20"/>
        </w:rPr>
        <w:t xml:space="preserve">la </w:t>
      </w:r>
      <w:r w:rsidR="47BE857E" w:rsidRPr="1D64B15C">
        <w:rPr>
          <w:rFonts w:ascii="Verdana" w:hAnsi="Verdana"/>
          <w:sz w:val="20"/>
          <w:szCs w:val="20"/>
        </w:rPr>
        <w:t>prisión</w:t>
      </w:r>
      <w:r w:rsidR="3B1248FA" w:rsidRPr="1D64B15C">
        <w:rPr>
          <w:rFonts w:ascii="Verdana" w:hAnsi="Verdana"/>
          <w:sz w:val="20"/>
          <w:szCs w:val="20"/>
        </w:rPr>
        <w:t xml:space="preserve"> preventiva oficiosa</w:t>
      </w:r>
      <w:r w:rsidRPr="1D64B15C">
        <w:rPr>
          <w:rFonts w:ascii="Verdana" w:hAnsi="Verdana"/>
          <w:sz w:val="20"/>
          <w:szCs w:val="20"/>
        </w:rPr>
        <w:t>. A</w:t>
      </w:r>
      <w:r w:rsidR="7819EDB1" w:rsidRPr="1D64B15C">
        <w:rPr>
          <w:rFonts w:ascii="Verdana" w:hAnsi="Verdana"/>
          <w:sz w:val="20"/>
          <w:szCs w:val="20"/>
        </w:rPr>
        <w:t xml:space="preserve"> </w:t>
      </w:r>
      <w:r w:rsidRPr="1D64B15C">
        <w:rPr>
          <w:rFonts w:ascii="Verdana" w:hAnsi="Verdana"/>
          <w:sz w:val="20"/>
          <w:szCs w:val="20"/>
        </w:rPr>
        <w:t xml:space="preserve">raíz de ello, se vulneraron los derechos a la libertad personal, la integridad personal, a las garantías judiciales, y a la vida privada, en </w:t>
      </w:r>
      <w:r w:rsidR="3B1248FA" w:rsidRPr="1D64B15C">
        <w:rPr>
          <w:rFonts w:ascii="Verdana" w:hAnsi="Verdana"/>
          <w:sz w:val="20"/>
          <w:szCs w:val="20"/>
        </w:rPr>
        <w:t xml:space="preserve">su </w:t>
      </w:r>
      <w:r w:rsidRPr="1D64B15C">
        <w:rPr>
          <w:rFonts w:ascii="Verdana" w:hAnsi="Verdana"/>
          <w:sz w:val="20"/>
          <w:szCs w:val="20"/>
        </w:rPr>
        <w:t xml:space="preserve">perjuicio. </w:t>
      </w:r>
    </w:p>
    <w:p w14:paraId="58587A18" w14:textId="4E58FF28" w:rsidR="009C2A24" w:rsidRPr="00351298" w:rsidRDefault="009C2A24" w:rsidP="009C2A24">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En ese sentido, para esta Corte no cabe duda </w:t>
      </w:r>
      <w:r w:rsidR="00CE7A39" w:rsidRPr="00351298">
        <w:rPr>
          <w:rFonts w:ascii="Verdana" w:hAnsi="Verdana"/>
          <w:sz w:val="20"/>
          <w:szCs w:val="20"/>
        </w:rPr>
        <w:t xml:space="preserve">de </w:t>
      </w:r>
      <w:r w:rsidRPr="00351298">
        <w:rPr>
          <w:rFonts w:ascii="Verdana" w:hAnsi="Verdana"/>
          <w:sz w:val="20"/>
          <w:szCs w:val="20"/>
        </w:rPr>
        <w:t xml:space="preserve">que esos hechos fueron atribuibles al Estado por el acciones y omisiones de varios funcionarios policiales y operadores de justicia lo cual derivó en la responsabilidad </w:t>
      </w:r>
      <w:r w:rsidR="004B12EE">
        <w:rPr>
          <w:rFonts w:ascii="Verdana" w:hAnsi="Verdana"/>
          <w:sz w:val="20"/>
          <w:szCs w:val="20"/>
        </w:rPr>
        <w:t xml:space="preserve">internacional </w:t>
      </w:r>
      <w:r w:rsidRPr="00351298">
        <w:rPr>
          <w:rFonts w:ascii="Verdana" w:hAnsi="Verdana"/>
          <w:sz w:val="20"/>
          <w:szCs w:val="20"/>
        </w:rPr>
        <w:t>del Estado. En atención a ello, el Tribunal considera procedente ordenar al Estado que emprenda, de conformidad con la normatividad interna aplicable, los procedimientos disciplinarios, administrativos o de otra índole que correspondan, a fin de investigar</w:t>
      </w:r>
      <w:r w:rsidR="002777FE" w:rsidRPr="00351298">
        <w:rPr>
          <w:rFonts w:ascii="Verdana" w:hAnsi="Verdana"/>
          <w:sz w:val="20"/>
          <w:szCs w:val="20"/>
        </w:rPr>
        <w:t>, procesar y sancionar a los responsables de</w:t>
      </w:r>
      <w:r w:rsidRPr="00351298">
        <w:rPr>
          <w:rFonts w:ascii="Verdana" w:hAnsi="Verdana"/>
          <w:sz w:val="20"/>
          <w:szCs w:val="20"/>
        </w:rPr>
        <w:t xml:space="preserve"> las violaciones de derechos humanos declaradas en el presente caso.</w:t>
      </w:r>
    </w:p>
    <w:p w14:paraId="6A64CFD3" w14:textId="637D1B32" w:rsidR="006B1F65" w:rsidRPr="00351298" w:rsidRDefault="006B1F65" w:rsidP="006B1F65">
      <w:pPr>
        <w:pStyle w:val="Ttulo2"/>
        <w:numPr>
          <w:ilvl w:val="0"/>
          <w:numId w:val="9"/>
        </w:numPr>
        <w:spacing w:before="240" w:after="240"/>
        <w:rPr>
          <w:rFonts w:ascii="Verdana" w:hAnsi="Verdana"/>
          <w:i/>
          <w:color w:val="auto"/>
          <w:sz w:val="20"/>
          <w:szCs w:val="20"/>
        </w:rPr>
      </w:pPr>
      <w:bookmarkStart w:id="133" w:name="_Toc132133945"/>
      <w:bookmarkStart w:id="134" w:name="_Ref33110014"/>
      <w:r w:rsidRPr="00351298">
        <w:rPr>
          <w:rFonts w:ascii="Verdana" w:hAnsi="Verdana"/>
          <w:i/>
          <w:color w:val="auto"/>
          <w:sz w:val="20"/>
          <w:szCs w:val="20"/>
        </w:rPr>
        <w:t>Garantías de no repetición</w:t>
      </w:r>
      <w:bookmarkEnd w:id="133"/>
    </w:p>
    <w:p w14:paraId="72A62D8B" w14:textId="7D56B300" w:rsidR="00FC028D" w:rsidRPr="00351298" w:rsidRDefault="009C2A24" w:rsidP="00D73463">
      <w:pPr>
        <w:pStyle w:val="Ttulo3"/>
        <w:spacing w:before="240" w:after="240"/>
        <w:ind w:left="567"/>
        <w:jc w:val="both"/>
        <w:rPr>
          <w:rFonts w:ascii="Verdana" w:hAnsi="Verdana"/>
          <w:b w:val="0"/>
          <w:snapToGrid w:val="0"/>
          <w:spacing w:val="-2"/>
          <w:sz w:val="20"/>
          <w:szCs w:val="20"/>
          <w:lang w:eastAsia="es-ES"/>
        </w:rPr>
      </w:pPr>
      <w:bookmarkStart w:id="135" w:name="_Toc132133946"/>
      <w:r w:rsidRPr="00351298">
        <w:rPr>
          <w:rFonts w:ascii="Verdana" w:hAnsi="Verdana"/>
          <w:b w:val="0"/>
          <w:snapToGrid w:val="0"/>
          <w:spacing w:val="-2"/>
          <w:sz w:val="20"/>
          <w:szCs w:val="20"/>
          <w:lang w:eastAsia="es-ES"/>
        </w:rPr>
        <w:t>C</w:t>
      </w:r>
      <w:r w:rsidR="00FC028D" w:rsidRPr="00351298">
        <w:rPr>
          <w:rFonts w:ascii="Verdana" w:hAnsi="Verdana"/>
          <w:b w:val="0"/>
          <w:snapToGrid w:val="0"/>
          <w:spacing w:val="-2"/>
          <w:sz w:val="20"/>
          <w:szCs w:val="20"/>
          <w:lang w:eastAsia="es-ES"/>
        </w:rPr>
        <w:t>.1. Reformas legislativas</w:t>
      </w:r>
      <w:bookmarkEnd w:id="135"/>
    </w:p>
    <w:p w14:paraId="26FAAE19" w14:textId="0A976C53" w:rsidR="00C93CC8" w:rsidRPr="00351298" w:rsidRDefault="00C93CC8" w:rsidP="00992E0B">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La </w:t>
      </w:r>
      <w:r w:rsidRPr="00351298">
        <w:rPr>
          <w:rFonts w:ascii="Verdana" w:hAnsi="Verdana"/>
          <w:b/>
          <w:i/>
          <w:sz w:val="20"/>
          <w:szCs w:val="20"/>
        </w:rPr>
        <w:t>Comisión</w:t>
      </w:r>
      <w:r w:rsidRPr="00351298">
        <w:rPr>
          <w:rFonts w:ascii="Verdana" w:hAnsi="Verdana"/>
          <w:sz w:val="20"/>
          <w:szCs w:val="20"/>
        </w:rPr>
        <w:t xml:space="preserve"> </w:t>
      </w:r>
      <w:r w:rsidR="00FC028D" w:rsidRPr="00351298">
        <w:rPr>
          <w:rFonts w:ascii="Verdana" w:hAnsi="Verdana"/>
          <w:sz w:val="20"/>
          <w:szCs w:val="20"/>
        </w:rPr>
        <w:t xml:space="preserve">y los </w:t>
      </w:r>
      <w:r w:rsidR="00FC028D" w:rsidRPr="00351298">
        <w:rPr>
          <w:rFonts w:ascii="Verdana" w:hAnsi="Verdana"/>
          <w:b/>
          <w:bCs/>
          <w:i/>
          <w:iCs/>
          <w:sz w:val="20"/>
          <w:szCs w:val="20"/>
        </w:rPr>
        <w:t>representantes</w:t>
      </w:r>
      <w:r w:rsidR="00FC028D" w:rsidRPr="00351298">
        <w:rPr>
          <w:rFonts w:ascii="Verdana" w:hAnsi="Verdana"/>
          <w:sz w:val="20"/>
          <w:szCs w:val="20"/>
        </w:rPr>
        <w:t xml:space="preserve"> </w:t>
      </w:r>
      <w:r w:rsidRPr="00351298">
        <w:rPr>
          <w:rFonts w:ascii="Verdana" w:hAnsi="Verdana"/>
          <w:sz w:val="20"/>
          <w:szCs w:val="20"/>
        </w:rPr>
        <w:t>solicit</w:t>
      </w:r>
      <w:r w:rsidR="00FC028D" w:rsidRPr="00351298">
        <w:rPr>
          <w:rFonts w:ascii="Verdana" w:hAnsi="Verdana"/>
          <w:sz w:val="20"/>
          <w:szCs w:val="20"/>
        </w:rPr>
        <w:t>aron</w:t>
      </w:r>
      <w:r w:rsidRPr="00351298">
        <w:rPr>
          <w:rFonts w:ascii="Verdana" w:hAnsi="Verdana"/>
          <w:sz w:val="20"/>
          <w:szCs w:val="20"/>
        </w:rPr>
        <w:t xml:space="preserve"> que se </w:t>
      </w:r>
      <w:r w:rsidR="00FC028D" w:rsidRPr="00351298">
        <w:rPr>
          <w:rFonts w:ascii="Verdana" w:hAnsi="Verdana"/>
          <w:sz w:val="20"/>
          <w:szCs w:val="20"/>
        </w:rPr>
        <w:t xml:space="preserve">ordene </w:t>
      </w:r>
      <w:r w:rsidRPr="00351298">
        <w:rPr>
          <w:rFonts w:ascii="Verdana" w:hAnsi="Verdana"/>
          <w:sz w:val="20"/>
          <w:szCs w:val="20"/>
        </w:rPr>
        <w:t>adecuar “</w:t>
      </w:r>
      <w:r w:rsidR="006D4FC1" w:rsidRPr="00351298">
        <w:rPr>
          <w:rFonts w:ascii="Verdana" w:hAnsi="Verdana"/>
          <w:sz w:val="20"/>
          <w:szCs w:val="20"/>
        </w:rPr>
        <w:t>el ordenamiento jurídico interno, incluyendo las normas constitucionales y legales que mantengan la figura del arraigo, a fin de eliminar definitivamente dicha figura</w:t>
      </w:r>
      <w:r w:rsidRPr="00351298">
        <w:rPr>
          <w:rFonts w:ascii="Verdana" w:hAnsi="Verdana"/>
          <w:sz w:val="20"/>
          <w:szCs w:val="20"/>
        </w:rPr>
        <w:t>”. Mientras ello ocurre, “</w:t>
      </w:r>
      <w:r w:rsidR="006D4FC1" w:rsidRPr="00351298">
        <w:rPr>
          <w:rFonts w:ascii="Verdana" w:hAnsi="Verdana"/>
          <w:sz w:val="20"/>
          <w:szCs w:val="20"/>
        </w:rPr>
        <w:t>asegurar que los operadores jurídicos llamados a aplicar la figura de arraigo, la dejen de aplicar mediante un debido control de convencionalidad, a la luz de los estándares interamericanos correspondientes</w:t>
      </w:r>
      <w:r w:rsidRPr="00351298">
        <w:rPr>
          <w:rFonts w:ascii="Verdana" w:hAnsi="Verdana"/>
          <w:sz w:val="20"/>
          <w:szCs w:val="20"/>
        </w:rPr>
        <w:t>”</w:t>
      </w:r>
      <w:r w:rsidR="00FC028D" w:rsidRPr="00351298">
        <w:rPr>
          <w:rFonts w:ascii="Verdana" w:hAnsi="Verdana"/>
          <w:sz w:val="20"/>
          <w:szCs w:val="20"/>
        </w:rPr>
        <w:t>.</w:t>
      </w:r>
    </w:p>
    <w:p w14:paraId="32264068" w14:textId="7D21DDBB" w:rsidR="00FC028D" w:rsidRPr="00351298" w:rsidRDefault="00C93CC8" w:rsidP="00992E0B">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Por su parte, los </w:t>
      </w:r>
      <w:r w:rsidRPr="00351298">
        <w:rPr>
          <w:rFonts w:ascii="Verdana" w:hAnsi="Verdana"/>
          <w:b/>
          <w:bCs/>
          <w:i/>
          <w:iCs/>
          <w:sz w:val="20"/>
          <w:szCs w:val="20"/>
        </w:rPr>
        <w:t>representantes</w:t>
      </w:r>
      <w:r w:rsidRPr="00351298">
        <w:rPr>
          <w:rFonts w:ascii="Verdana" w:hAnsi="Verdana"/>
          <w:sz w:val="20"/>
          <w:szCs w:val="20"/>
        </w:rPr>
        <w:t xml:space="preserve"> solicitaron que se ordene al Estado </w:t>
      </w:r>
      <w:r w:rsidR="00FC028D" w:rsidRPr="00351298">
        <w:rPr>
          <w:rFonts w:ascii="Verdana" w:hAnsi="Verdana"/>
          <w:sz w:val="20"/>
          <w:szCs w:val="20"/>
        </w:rPr>
        <w:t>“la eliminación del orden jurídico interno la figura de la prisión preventiva bajo la figura legal del delito grave y la figura constitucional de prisión preventiva automática”. Adicionalmente requirieron que se establezca “la revisión periódica y de oficio por parte de la autoridad judicial de las medidas restrictivas de la libertad personal, siempre que cambien las circunstancias que dieron origen a su imposición o deje de ser necesaria y proporcional, a</w:t>
      </w:r>
      <w:r w:rsidR="008A5D36">
        <w:rPr>
          <w:rFonts w:ascii="Verdana" w:hAnsi="Verdana"/>
          <w:sz w:val="20"/>
          <w:szCs w:val="20"/>
        </w:rPr>
        <w:t>sí</w:t>
      </w:r>
      <w:r w:rsidR="00FC028D" w:rsidRPr="00351298">
        <w:rPr>
          <w:rFonts w:ascii="Verdana" w:hAnsi="Verdana"/>
          <w:sz w:val="20"/>
          <w:szCs w:val="20"/>
        </w:rPr>
        <w:t xml:space="preserve"> como proveer de oficio la presentación de los informes de las Unidades de Medidas Cautelares para la valoración técnica de la revisión”. </w:t>
      </w:r>
    </w:p>
    <w:p w14:paraId="07E4162E" w14:textId="12FADA08" w:rsidR="00992E0B" w:rsidRPr="00351298" w:rsidRDefault="0FCF9A7D" w:rsidP="00956743">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El </w:t>
      </w:r>
      <w:r w:rsidRPr="1D64B15C">
        <w:rPr>
          <w:rFonts w:ascii="Verdana" w:hAnsi="Verdana"/>
          <w:b/>
          <w:bCs/>
          <w:i/>
          <w:iCs/>
          <w:sz w:val="20"/>
          <w:szCs w:val="20"/>
        </w:rPr>
        <w:t>Estado</w:t>
      </w:r>
      <w:r w:rsidRPr="1D64B15C">
        <w:rPr>
          <w:rFonts w:ascii="Verdana" w:hAnsi="Verdana"/>
          <w:sz w:val="20"/>
          <w:szCs w:val="20"/>
        </w:rPr>
        <w:t>,</w:t>
      </w:r>
      <w:r w:rsidR="55D582F3" w:rsidRPr="1D64B15C">
        <w:rPr>
          <w:rFonts w:ascii="Verdana" w:hAnsi="Verdana"/>
          <w:sz w:val="20"/>
          <w:szCs w:val="20"/>
        </w:rPr>
        <w:t xml:space="preserve"> </w:t>
      </w:r>
      <w:r w:rsidR="41E4FD5D" w:rsidRPr="1D64B15C">
        <w:rPr>
          <w:rFonts w:ascii="Verdana" w:hAnsi="Verdana"/>
          <w:sz w:val="20"/>
          <w:szCs w:val="20"/>
        </w:rPr>
        <w:t xml:space="preserve">solicitó que se tenga en cuenta los avances en el marco legal y </w:t>
      </w:r>
      <w:r w:rsidR="55D582F3" w:rsidRPr="1D64B15C">
        <w:rPr>
          <w:rFonts w:ascii="Verdana" w:hAnsi="Verdana"/>
          <w:sz w:val="20"/>
          <w:szCs w:val="20"/>
        </w:rPr>
        <w:t xml:space="preserve">en la </w:t>
      </w:r>
      <w:r w:rsidR="41E4FD5D" w:rsidRPr="1D64B15C">
        <w:rPr>
          <w:rFonts w:ascii="Verdana" w:hAnsi="Verdana"/>
          <w:sz w:val="20"/>
          <w:szCs w:val="20"/>
        </w:rPr>
        <w:t xml:space="preserve">estructura institucional que se ha tenido desde la época de los hechos hasta la actualidad, y </w:t>
      </w:r>
      <w:r w:rsidR="55D582F3" w:rsidRPr="1D64B15C">
        <w:rPr>
          <w:rFonts w:ascii="Verdana" w:hAnsi="Verdana"/>
          <w:sz w:val="20"/>
          <w:szCs w:val="20"/>
        </w:rPr>
        <w:t xml:space="preserve">que </w:t>
      </w:r>
      <w:r w:rsidR="41E4FD5D" w:rsidRPr="1D64B15C">
        <w:rPr>
          <w:rFonts w:ascii="Verdana" w:hAnsi="Verdana"/>
          <w:sz w:val="20"/>
          <w:szCs w:val="20"/>
        </w:rPr>
        <w:t>se le permita continuar con la mejora de los procedimientos judiciales y administrativos en la aplicación de la figura del arraigo y, por otra</w:t>
      </w:r>
      <w:r w:rsidR="0FC5587B" w:rsidRPr="1D64B15C">
        <w:rPr>
          <w:rFonts w:ascii="Verdana" w:hAnsi="Verdana"/>
          <w:sz w:val="20"/>
          <w:szCs w:val="20"/>
        </w:rPr>
        <w:t xml:space="preserve"> parte</w:t>
      </w:r>
      <w:r w:rsidR="41E4FD5D" w:rsidRPr="1D64B15C">
        <w:rPr>
          <w:rFonts w:ascii="Verdana" w:hAnsi="Verdana"/>
          <w:sz w:val="20"/>
          <w:szCs w:val="20"/>
        </w:rPr>
        <w:t>, continuar con su</w:t>
      </w:r>
      <w:r w:rsidR="0B70BC92" w:rsidRPr="1D64B15C">
        <w:rPr>
          <w:rFonts w:ascii="Verdana" w:hAnsi="Verdana"/>
          <w:sz w:val="20"/>
          <w:szCs w:val="20"/>
        </w:rPr>
        <w:t>s</w:t>
      </w:r>
      <w:r w:rsidR="41E4FD5D" w:rsidRPr="1D64B15C">
        <w:rPr>
          <w:rFonts w:ascii="Verdana" w:hAnsi="Verdana"/>
          <w:sz w:val="20"/>
          <w:szCs w:val="20"/>
        </w:rPr>
        <w:t xml:space="preserve"> procesos internos democráticos para la evaluación de la figura de la prisión preventiva oficiosa.</w:t>
      </w:r>
    </w:p>
    <w:p w14:paraId="724E1A34" w14:textId="18B0B800" w:rsidR="00E54E0E" w:rsidRPr="00351298" w:rsidRDefault="47BE857E" w:rsidP="00973BA7">
      <w:pPr>
        <w:numPr>
          <w:ilvl w:val="0"/>
          <w:numId w:val="2"/>
        </w:numPr>
        <w:spacing w:before="120" w:after="120"/>
        <w:ind w:left="0" w:firstLine="0"/>
        <w:jc w:val="both"/>
        <w:rPr>
          <w:rFonts w:ascii="Verdana" w:hAnsi="Verdana"/>
          <w:sz w:val="20"/>
          <w:szCs w:val="20"/>
        </w:rPr>
      </w:pPr>
      <w:r w:rsidRPr="1D64B15C">
        <w:rPr>
          <w:rFonts w:ascii="Verdana" w:hAnsi="Verdana"/>
          <w:sz w:val="20"/>
          <w:szCs w:val="20"/>
        </w:rPr>
        <w:t>L</w:t>
      </w:r>
      <w:r w:rsidR="322B5C7C" w:rsidRPr="1D64B15C">
        <w:rPr>
          <w:rFonts w:ascii="Verdana" w:hAnsi="Verdana"/>
          <w:sz w:val="20"/>
          <w:szCs w:val="20"/>
        </w:rPr>
        <w:t xml:space="preserve">a </w:t>
      </w:r>
      <w:r w:rsidR="322B5C7C" w:rsidRPr="1D64B15C">
        <w:rPr>
          <w:rFonts w:ascii="Verdana" w:hAnsi="Verdana"/>
          <w:b/>
          <w:bCs/>
          <w:i/>
          <w:iCs/>
          <w:sz w:val="20"/>
          <w:szCs w:val="20"/>
        </w:rPr>
        <w:t>Corte</w:t>
      </w:r>
      <w:r w:rsidR="322B5C7C" w:rsidRPr="1D64B15C">
        <w:rPr>
          <w:rFonts w:ascii="Verdana" w:hAnsi="Verdana"/>
          <w:sz w:val="20"/>
          <w:szCs w:val="20"/>
        </w:rPr>
        <w:t xml:space="preserve"> </w:t>
      </w:r>
      <w:r w:rsidR="4C298350" w:rsidRPr="1D64B15C">
        <w:rPr>
          <w:rFonts w:ascii="Verdana" w:hAnsi="Verdana"/>
          <w:sz w:val="20"/>
          <w:szCs w:val="20"/>
        </w:rPr>
        <w:t>nota</w:t>
      </w:r>
      <w:r w:rsidR="322B5C7C" w:rsidRPr="1D64B15C">
        <w:rPr>
          <w:rFonts w:ascii="Verdana" w:hAnsi="Verdana"/>
          <w:sz w:val="20"/>
          <w:szCs w:val="20"/>
        </w:rPr>
        <w:t xml:space="preserve"> que la solicitud de reparación presentada por los representantes</w:t>
      </w:r>
      <w:r w:rsidR="08251D9E" w:rsidRPr="1D64B15C">
        <w:rPr>
          <w:rFonts w:ascii="Verdana" w:hAnsi="Verdana"/>
          <w:sz w:val="20"/>
          <w:szCs w:val="20"/>
        </w:rPr>
        <w:t xml:space="preserve"> y la Comisión</w:t>
      </w:r>
      <w:r w:rsidR="322B5C7C" w:rsidRPr="1D64B15C">
        <w:rPr>
          <w:rFonts w:ascii="Verdana" w:hAnsi="Verdana"/>
          <w:sz w:val="20"/>
          <w:szCs w:val="20"/>
        </w:rPr>
        <w:t xml:space="preserve">, relacionada con </w:t>
      </w:r>
      <w:r w:rsidR="3328D3EF" w:rsidRPr="1D64B15C">
        <w:rPr>
          <w:rFonts w:ascii="Verdana" w:hAnsi="Verdana"/>
          <w:sz w:val="20"/>
          <w:szCs w:val="20"/>
        </w:rPr>
        <w:t>una re</w:t>
      </w:r>
      <w:r w:rsidR="322B5C7C" w:rsidRPr="1D64B15C">
        <w:rPr>
          <w:rFonts w:ascii="Verdana" w:hAnsi="Verdana"/>
          <w:sz w:val="20"/>
          <w:szCs w:val="20"/>
        </w:rPr>
        <w:t>forma normativa</w:t>
      </w:r>
      <w:r w:rsidR="3328D3EF" w:rsidRPr="1D64B15C">
        <w:rPr>
          <w:rFonts w:ascii="Verdana" w:hAnsi="Verdana"/>
          <w:sz w:val="20"/>
          <w:szCs w:val="20"/>
        </w:rPr>
        <w:t>,</w:t>
      </w:r>
      <w:r w:rsidR="322B5C7C" w:rsidRPr="1D64B15C">
        <w:rPr>
          <w:rFonts w:ascii="Verdana" w:hAnsi="Verdana"/>
          <w:sz w:val="20"/>
          <w:szCs w:val="20"/>
        </w:rPr>
        <w:t xml:space="preserve"> se refiere tanto a la figura del arraigo como a la figura de la prisión preventiva oficiosa</w:t>
      </w:r>
      <w:r w:rsidR="004B12EE">
        <w:rPr>
          <w:rFonts w:ascii="Verdana" w:hAnsi="Verdana"/>
          <w:sz w:val="20"/>
          <w:szCs w:val="20"/>
        </w:rPr>
        <w:t xml:space="preserve">. </w:t>
      </w:r>
      <w:r w:rsidR="3328D3EF" w:rsidRPr="1D64B15C">
        <w:rPr>
          <w:rFonts w:ascii="Verdana" w:hAnsi="Verdana"/>
          <w:sz w:val="20"/>
          <w:szCs w:val="20"/>
        </w:rPr>
        <w:t xml:space="preserve">Con respecto a ello, corresponde recordar que en Capítulo VIII.1 de esta Sentencia, la Corte concluyó que el Estado </w:t>
      </w:r>
      <w:r w:rsidR="004B12EE">
        <w:rPr>
          <w:rFonts w:ascii="Verdana" w:hAnsi="Verdana"/>
          <w:sz w:val="20"/>
          <w:szCs w:val="20"/>
        </w:rPr>
        <w:t>era</w:t>
      </w:r>
      <w:r w:rsidR="004B12EE" w:rsidRPr="1D64B15C">
        <w:rPr>
          <w:rFonts w:ascii="Verdana" w:hAnsi="Verdana"/>
          <w:sz w:val="20"/>
          <w:szCs w:val="20"/>
        </w:rPr>
        <w:t xml:space="preserve"> </w:t>
      </w:r>
      <w:r w:rsidR="3328D3EF" w:rsidRPr="1D64B15C">
        <w:rPr>
          <w:rFonts w:ascii="Verdana" w:hAnsi="Verdana"/>
          <w:sz w:val="20"/>
          <w:szCs w:val="20"/>
        </w:rPr>
        <w:t xml:space="preserve">responsable por una violación </w:t>
      </w:r>
      <w:r w:rsidR="004B12EE">
        <w:rPr>
          <w:rFonts w:ascii="Verdana" w:hAnsi="Verdana"/>
          <w:sz w:val="20"/>
          <w:szCs w:val="20"/>
        </w:rPr>
        <w:t>a los derechos a la libertad personal y a la presunción de inocencia, en relación con</w:t>
      </w:r>
      <w:r w:rsidR="3328D3EF" w:rsidRPr="1D64B15C">
        <w:rPr>
          <w:rFonts w:ascii="Verdana" w:hAnsi="Verdana"/>
          <w:sz w:val="20"/>
          <w:szCs w:val="20"/>
        </w:rPr>
        <w:t xml:space="preserve"> su obligación de adoptar disposiciones de derecho interno contenida en el artículo 2 de la Convención Americana, en perjuicio de </w:t>
      </w:r>
      <w:r w:rsidR="08251D9E" w:rsidRPr="1D64B15C">
        <w:rPr>
          <w:rFonts w:ascii="Verdana" w:hAnsi="Verdana"/>
          <w:sz w:val="20"/>
          <w:szCs w:val="20"/>
        </w:rPr>
        <w:t>Daniel García Rodríguez y Reyes Alpízar</w:t>
      </w:r>
      <w:r w:rsidR="3328D3EF" w:rsidRPr="1D64B15C">
        <w:rPr>
          <w:rFonts w:ascii="Verdana" w:hAnsi="Verdana"/>
          <w:sz w:val="20"/>
          <w:szCs w:val="20"/>
        </w:rPr>
        <w:t xml:space="preserve">, porque les fueron aplicadas las figuras legales del arraigo y de la prisión preventiva </w:t>
      </w:r>
      <w:r w:rsidR="08251D9E" w:rsidRPr="1D64B15C">
        <w:rPr>
          <w:rFonts w:ascii="Verdana" w:hAnsi="Verdana"/>
          <w:sz w:val="20"/>
          <w:szCs w:val="20"/>
        </w:rPr>
        <w:t>oficiosa</w:t>
      </w:r>
      <w:r w:rsidR="44591553" w:rsidRPr="1D64B15C">
        <w:rPr>
          <w:rFonts w:ascii="Verdana" w:hAnsi="Verdana"/>
          <w:sz w:val="20"/>
          <w:szCs w:val="20"/>
        </w:rPr>
        <w:t xml:space="preserve">, reguladas en el artículo 19 de la Constitución mexicana luego de que fuera reformada en el año </w:t>
      </w:r>
      <w:r w:rsidR="004B12EE">
        <w:rPr>
          <w:rFonts w:ascii="Verdana" w:hAnsi="Verdana"/>
          <w:sz w:val="20"/>
          <w:szCs w:val="20"/>
        </w:rPr>
        <w:t>2008</w:t>
      </w:r>
      <w:r w:rsidR="44591553" w:rsidRPr="1D64B15C">
        <w:rPr>
          <w:rFonts w:ascii="Verdana" w:hAnsi="Verdana"/>
          <w:sz w:val="20"/>
          <w:szCs w:val="20"/>
        </w:rPr>
        <w:t>, así como en los artículo</w:t>
      </w:r>
      <w:r w:rsidR="08FEBABC" w:rsidRPr="1D64B15C">
        <w:rPr>
          <w:rFonts w:ascii="Verdana" w:hAnsi="Verdana"/>
          <w:sz w:val="20"/>
          <w:szCs w:val="20"/>
        </w:rPr>
        <w:t>s</w:t>
      </w:r>
      <w:r w:rsidR="44591553" w:rsidRPr="1D64B15C">
        <w:rPr>
          <w:rFonts w:ascii="Verdana" w:hAnsi="Verdana"/>
          <w:sz w:val="20"/>
          <w:szCs w:val="20"/>
        </w:rPr>
        <w:t xml:space="preserve"> </w:t>
      </w:r>
      <w:r w:rsidR="44591553" w:rsidRPr="1D64B15C">
        <w:rPr>
          <w:rFonts w:ascii="Verdana" w:hAnsi="Verdana"/>
          <w:sz w:val="20"/>
          <w:szCs w:val="20"/>
        </w:rPr>
        <w:lastRenderedPageBreak/>
        <w:t xml:space="preserve">154 y 319 del Código de Procedimientos Penales para el Estado de México de 2000, </w:t>
      </w:r>
      <w:r w:rsidR="3328D3EF" w:rsidRPr="1D64B15C">
        <w:rPr>
          <w:rFonts w:ascii="Verdana" w:hAnsi="Verdana"/>
          <w:sz w:val="20"/>
          <w:szCs w:val="20"/>
        </w:rPr>
        <w:t>que resultaban</w:t>
      </w:r>
      <w:r w:rsidR="44591553" w:rsidRPr="1D64B15C">
        <w:rPr>
          <w:rFonts w:ascii="Verdana" w:hAnsi="Verdana"/>
          <w:sz w:val="20"/>
          <w:szCs w:val="20"/>
        </w:rPr>
        <w:t xml:space="preserve"> </w:t>
      </w:r>
      <w:r w:rsidR="3328D3EF" w:rsidRPr="1D64B15C">
        <w:rPr>
          <w:rFonts w:ascii="Verdana" w:hAnsi="Verdana"/>
          <w:i/>
          <w:iCs/>
          <w:sz w:val="20"/>
          <w:szCs w:val="20"/>
        </w:rPr>
        <w:t>per se</w:t>
      </w:r>
      <w:r w:rsidR="3328D3EF" w:rsidRPr="1D64B15C">
        <w:rPr>
          <w:rFonts w:ascii="Verdana" w:hAnsi="Verdana"/>
          <w:sz w:val="20"/>
          <w:szCs w:val="20"/>
        </w:rPr>
        <w:t>, contrarias a la Convención Americana (</w:t>
      </w:r>
      <w:r w:rsidR="3328D3EF" w:rsidRPr="1D64B15C">
        <w:rPr>
          <w:rFonts w:ascii="Verdana" w:hAnsi="Verdana"/>
          <w:i/>
          <w:iCs/>
          <w:sz w:val="20"/>
          <w:szCs w:val="20"/>
        </w:rPr>
        <w:t>supra</w:t>
      </w:r>
      <w:r w:rsidR="3328D3EF" w:rsidRPr="1D64B15C">
        <w:rPr>
          <w:rFonts w:ascii="Verdana" w:hAnsi="Verdana"/>
          <w:sz w:val="20"/>
          <w:szCs w:val="20"/>
        </w:rPr>
        <w:t xml:space="preserve"> párr</w:t>
      </w:r>
      <w:r w:rsidR="004B12EE">
        <w:rPr>
          <w:rFonts w:ascii="Verdana" w:hAnsi="Verdana"/>
          <w:sz w:val="20"/>
          <w:szCs w:val="20"/>
        </w:rPr>
        <w:t>s</w:t>
      </w:r>
      <w:r w:rsidR="3328D3EF" w:rsidRPr="1D64B15C">
        <w:rPr>
          <w:rFonts w:ascii="Verdana" w:hAnsi="Verdana"/>
          <w:sz w:val="20"/>
          <w:szCs w:val="20"/>
        </w:rPr>
        <w:t xml:space="preserve">. </w:t>
      </w:r>
      <w:r w:rsidR="004B12EE">
        <w:rPr>
          <w:rFonts w:ascii="Verdana" w:hAnsi="Verdana"/>
          <w:sz w:val="20"/>
          <w:szCs w:val="20"/>
        </w:rPr>
        <w:t>187 y 188</w:t>
      </w:r>
      <w:r w:rsidR="3328D3EF" w:rsidRPr="1D64B15C">
        <w:rPr>
          <w:rFonts w:ascii="Verdana" w:hAnsi="Verdana"/>
          <w:sz w:val="20"/>
          <w:szCs w:val="20"/>
        </w:rPr>
        <w:t>).</w:t>
      </w:r>
      <w:r w:rsidR="5CBFAB63" w:rsidRPr="1D64B15C">
        <w:rPr>
          <w:rFonts w:ascii="Verdana" w:hAnsi="Verdana"/>
          <w:sz w:val="20"/>
          <w:szCs w:val="20"/>
        </w:rPr>
        <w:t xml:space="preserve"> </w:t>
      </w:r>
    </w:p>
    <w:p w14:paraId="4E56F409" w14:textId="753F8978" w:rsidR="00E54E0E" w:rsidRPr="00351298" w:rsidRDefault="00443B8F" w:rsidP="00B60F38">
      <w:pPr>
        <w:numPr>
          <w:ilvl w:val="0"/>
          <w:numId w:val="2"/>
        </w:numPr>
        <w:spacing w:before="120" w:after="120"/>
        <w:ind w:left="0" w:firstLine="0"/>
        <w:jc w:val="both"/>
        <w:rPr>
          <w:rFonts w:ascii="Verdana" w:hAnsi="Verdana"/>
          <w:sz w:val="20"/>
          <w:szCs w:val="20"/>
        </w:rPr>
      </w:pPr>
      <w:r w:rsidRPr="00351298">
        <w:rPr>
          <w:rFonts w:ascii="Verdana" w:hAnsi="Verdana"/>
          <w:sz w:val="20"/>
          <w:szCs w:val="20"/>
        </w:rPr>
        <w:t>Sin embargo, como ha sido indicado en el capítulo de Hechos (</w:t>
      </w:r>
      <w:r w:rsidRPr="00351298">
        <w:rPr>
          <w:rFonts w:ascii="Verdana" w:hAnsi="Verdana"/>
          <w:i/>
          <w:iCs/>
          <w:sz w:val="20"/>
          <w:szCs w:val="20"/>
        </w:rPr>
        <w:t>supra</w:t>
      </w:r>
      <w:r w:rsidRPr="00351298">
        <w:rPr>
          <w:rFonts w:ascii="Verdana" w:hAnsi="Verdana"/>
          <w:sz w:val="20"/>
          <w:szCs w:val="20"/>
        </w:rPr>
        <w:t xml:space="preserve"> </w:t>
      </w:r>
      <w:r w:rsidR="004B12EE">
        <w:rPr>
          <w:rFonts w:ascii="Verdana" w:hAnsi="Verdana"/>
          <w:sz w:val="20"/>
          <w:szCs w:val="20"/>
        </w:rPr>
        <w:t>Capítulo VII.A</w:t>
      </w:r>
      <w:r w:rsidRPr="00351298">
        <w:rPr>
          <w:rFonts w:ascii="Verdana" w:hAnsi="Verdana"/>
          <w:sz w:val="20"/>
          <w:szCs w:val="20"/>
        </w:rPr>
        <w:t>)</w:t>
      </w:r>
      <w:r w:rsidR="00E54E0E" w:rsidRPr="00351298">
        <w:rPr>
          <w:rFonts w:ascii="Verdana" w:hAnsi="Verdana"/>
          <w:sz w:val="20"/>
          <w:szCs w:val="20"/>
        </w:rPr>
        <w:t>,</w:t>
      </w:r>
      <w:r w:rsidRPr="00351298">
        <w:rPr>
          <w:rFonts w:ascii="Verdana" w:hAnsi="Verdana"/>
          <w:sz w:val="20"/>
          <w:szCs w:val="20"/>
        </w:rPr>
        <w:t xml:space="preserve"> el contenido de estas normas ha sido reformado desde que se produjeron los hechos del caso. </w:t>
      </w:r>
      <w:r w:rsidR="00E54E0E" w:rsidRPr="00351298">
        <w:rPr>
          <w:rFonts w:ascii="Verdana" w:hAnsi="Verdana"/>
          <w:sz w:val="20"/>
          <w:szCs w:val="20"/>
        </w:rPr>
        <w:t>A continuación</w:t>
      </w:r>
      <w:r w:rsidR="00C6212F" w:rsidRPr="00351298">
        <w:rPr>
          <w:rFonts w:ascii="Verdana" w:hAnsi="Verdana"/>
          <w:sz w:val="20"/>
          <w:szCs w:val="20"/>
        </w:rPr>
        <w:t>,</w:t>
      </w:r>
      <w:r w:rsidR="00E54E0E" w:rsidRPr="00351298">
        <w:rPr>
          <w:rFonts w:ascii="Verdana" w:hAnsi="Verdana"/>
          <w:sz w:val="20"/>
          <w:szCs w:val="20"/>
        </w:rPr>
        <w:t xml:space="preserve"> la Corte analizará las disposiciones normativas actuales y las comparará con las que se encontraban en vigor a la época de los hechos para determinar si las problemáticas p</w:t>
      </w:r>
      <w:r w:rsidR="00C6212F" w:rsidRPr="00351298">
        <w:rPr>
          <w:rFonts w:ascii="Verdana" w:hAnsi="Verdana"/>
          <w:sz w:val="20"/>
          <w:szCs w:val="20"/>
        </w:rPr>
        <w:t xml:space="preserve">resentes </w:t>
      </w:r>
      <w:r w:rsidR="00E54E0E" w:rsidRPr="00351298">
        <w:rPr>
          <w:rFonts w:ascii="Verdana" w:hAnsi="Verdana"/>
          <w:sz w:val="20"/>
          <w:szCs w:val="20"/>
        </w:rPr>
        <w:t xml:space="preserve">en la normatividad que fue aplicada </w:t>
      </w:r>
      <w:r w:rsidR="004B12EE">
        <w:rPr>
          <w:rFonts w:ascii="Verdana" w:hAnsi="Verdana"/>
          <w:sz w:val="20"/>
          <w:szCs w:val="20"/>
        </w:rPr>
        <w:t xml:space="preserve">en el </w:t>
      </w:r>
      <w:r w:rsidR="00E54E0E" w:rsidRPr="00351298">
        <w:rPr>
          <w:rFonts w:ascii="Verdana" w:hAnsi="Verdana"/>
          <w:sz w:val="20"/>
          <w:szCs w:val="20"/>
        </w:rPr>
        <w:t>caso concreto fue</w:t>
      </w:r>
      <w:r w:rsidR="00C6212F" w:rsidRPr="00351298">
        <w:rPr>
          <w:rFonts w:ascii="Verdana" w:hAnsi="Verdana"/>
          <w:sz w:val="20"/>
          <w:szCs w:val="20"/>
        </w:rPr>
        <w:t>ron</w:t>
      </w:r>
      <w:r w:rsidR="00E54E0E" w:rsidRPr="00351298">
        <w:rPr>
          <w:rFonts w:ascii="Verdana" w:hAnsi="Verdana"/>
          <w:sz w:val="20"/>
          <w:szCs w:val="20"/>
        </w:rPr>
        <w:t xml:space="preserve"> subsanada</w:t>
      </w:r>
      <w:r w:rsidR="00C6212F" w:rsidRPr="00351298">
        <w:rPr>
          <w:rFonts w:ascii="Verdana" w:hAnsi="Verdana"/>
          <w:sz w:val="20"/>
          <w:szCs w:val="20"/>
        </w:rPr>
        <w:t>s</w:t>
      </w:r>
      <w:r w:rsidR="00E54E0E" w:rsidRPr="00351298">
        <w:rPr>
          <w:rFonts w:ascii="Verdana" w:hAnsi="Verdana"/>
          <w:sz w:val="20"/>
          <w:szCs w:val="20"/>
        </w:rPr>
        <w:t xml:space="preserve"> o si</w:t>
      </w:r>
      <w:r w:rsidR="00B60F38" w:rsidRPr="00351298">
        <w:rPr>
          <w:rFonts w:ascii="Verdana" w:hAnsi="Verdana"/>
          <w:sz w:val="20"/>
          <w:szCs w:val="20"/>
        </w:rPr>
        <w:t xml:space="preserve"> se sigue</w:t>
      </w:r>
      <w:r w:rsidR="00C6212F" w:rsidRPr="00351298">
        <w:rPr>
          <w:rFonts w:ascii="Verdana" w:hAnsi="Verdana"/>
          <w:sz w:val="20"/>
          <w:szCs w:val="20"/>
        </w:rPr>
        <w:t>n</w:t>
      </w:r>
      <w:r w:rsidR="00B60F38" w:rsidRPr="00351298">
        <w:rPr>
          <w:rFonts w:ascii="Verdana" w:hAnsi="Verdana"/>
          <w:sz w:val="20"/>
          <w:szCs w:val="20"/>
        </w:rPr>
        <w:t xml:space="preserve"> presentando, tanto en esas normas reformadas como en otras que habrían aparecido en el ordenamiento jurídico con posterioridad.</w:t>
      </w:r>
    </w:p>
    <w:p w14:paraId="17D59E17" w14:textId="0180E370" w:rsidR="00B60F38" w:rsidRPr="00351298" w:rsidRDefault="00B60F38" w:rsidP="00D73463">
      <w:pPr>
        <w:numPr>
          <w:ilvl w:val="0"/>
          <w:numId w:val="28"/>
        </w:numPr>
        <w:spacing w:before="240" w:after="240"/>
        <w:jc w:val="both"/>
        <w:outlineLvl w:val="3"/>
        <w:rPr>
          <w:rFonts w:ascii="Verdana" w:hAnsi="Verdana"/>
          <w:i/>
          <w:iCs/>
          <w:sz w:val="20"/>
          <w:szCs w:val="20"/>
        </w:rPr>
      </w:pPr>
      <w:r w:rsidRPr="00351298">
        <w:rPr>
          <w:rFonts w:ascii="Verdana" w:hAnsi="Verdana"/>
          <w:i/>
          <w:iCs/>
          <w:sz w:val="20"/>
          <w:szCs w:val="20"/>
        </w:rPr>
        <w:t>Sobre la figura del arraigo</w:t>
      </w:r>
    </w:p>
    <w:p w14:paraId="72DA7EF0" w14:textId="6B4EB2C8" w:rsidR="00E54E0E" w:rsidRPr="001E2352" w:rsidRDefault="00B60F38" w:rsidP="00801B49">
      <w:pPr>
        <w:numPr>
          <w:ilvl w:val="0"/>
          <w:numId w:val="2"/>
        </w:numPr>
        <w:spacing w:before="120" w:after="120"/>
        <w:ind w:left="0" w:firstLine="0"/>
        <w:jc w:val="both"/>
        <w:rPr>
          <w:rFonts w:ascii="Verdana" w:hAnsi="Verdana"/>
          <w:sz w:val="20"/>
          <w:szCs w:val="20"/>
        </w:rPr>
      </w:pPr>
      <w:r w:rsidRPr="001E2352">
        <w:rPr>
          <w:rFonts w:ascii="Verdana" w:hAnsi="Verdana"/>
          <w:sz w:val="20"/>
          <w:szCs w:val="20"/>
        </w:rPr>
        <w:t>L</w:t>
      </w:r>
      <w:r w:rsidR="00443B8F" w:rsidRPr="001E2352">
        <w:rPr>
          <w:rFonts w:ascii="Verdana" w:hAnsi="Verdana"/>
          <w:sz w:val="20"/>
          <w:szCs w:val="20"/>
        </w:rPr>
        <w:t xml:space="preserve">a Corte </w:t>
      </w:r>
      <w:r w:rsidR="00970C21" w:rsidRPr="001E2352">
        <w:rPr>
          <w:rFonts w:ascii="Verdana" w:hAnsi="Verdana"/>
          <w:sz w:val="20"/>
          <w:szCs w:val="20"/>
        </w:rPr>
        <w:t>verifica</w:t>
      </w:r>
      <w:r w:rsidR="00443B8F" w:rsidRPr="001E2352">
        <w:rPr>
          <w:rFonts w:ascii="Verdana" w:hAnsi="Verdana"/>
          <w:sz w:val="20"/>
          <w:szCs w:val="20"/>
        </w:rPr>
        <w:t xml:space="preserve"> que tanto </w:t>
      </w:r>
      <w:r w:rsidR="00E00056" w:rsidRPr="001E2352">
        <w:rPr>
          <w:rFonts w:ascii="Verdana" w:hAnsi="Verdana"/>
          <w:sz w:val="20"/>
          <w:szCs w:val="20"/>
        </w:rPr>
        <w:t>el Código de Procedimientos Penales para el Estado de México ya no contiene disposiciones sobre el arraigo como figura pre</w:t>
      </w:r>
      <w:r w:rsidR="0020231A" w:rsidRPr="001E2352">
        <w:rPr>
          <w:rFonts w:ascii="Verdana" w:hAnsi="Verdana"/>
          <w:sz w:val="20"/>
          <w:szCs w:val="20"/>
        </w:rPr>
        <w:t>-</w:t>
      </w:r>
      <w:r w:rsidR="00E00056" w:rsidRPr="001E2352">
        <w:rPr>
          <w:rFonts w:ascii="Verdana" w:hAnsi="Verdana"/>
          <w:sz w:val="20"/>
          <w:szCs w:val="20"/>
        </w:rPr>
        <w:t>procesal restrictiva a la libertad</w:t>
      </w:r>
      <w:r w:rsidR="006156C9" w:rsidRPr="001E2352">
        <w:rPr>
          <w:rFonts w:ascii="Verdana" w:hAnsi="Verdana"/>
          <w:sz w:val="20"/>
          <w:szCs w:val="20"/>
        </w:rPr>
        <w:t>.</w:t>
      </w:r>
      <w:r w:rsidR="00443B8F" w:rsidRPr="001E2352">
        <w:rPr>
          <w:rFonts w:ascii="Verdana" w:hAnsi="Verdana"/>
          <w:sz w:val="20"/>
          <w:szCs w:val="20"/>
        </w:rPr>
        <w:t xml:space="preserve"> </w:t>
      </w:r>
      <w:r w:rsidR="00E00056" w:rsidRPr="001E2352">
        <w:rPr>
          <w:rFonts w:ascii="Verdana" w:hAnsi="Verdana"/>
          <w:sz w:val="20"/>
          <w:szCs w:val="20"/>
        </w:rPr>
        <w:t>Sin perjuicio de lo anterior, a partir del año 2008, la figura del arraigo como medida cautelar de naturaleza pre-procesal</w:t>
      </w:r>
      <w:r w:rsidR="00E54E0E" w:rsidRPr="001E2352">
        <w:rPr>
          <w:rFonts w:ascii="Verdana" w:hAnsi="Verdana"/>
          <w:sz w:val="20"/>
          <w:szCs w:val="20"/>
        </w:rPr>
        <w:t xml:space="preserve"> </w:t>
      </w:r>
      <w:r w:rsidRPr="001E2352">
        <w:rPr>
          <w:rFonts w:ascii="Verdana" w:hAnsi="Verdana"/>
          <w:sz w:val="20"/>
          <w:szCs w:val="20"/>
        </w:rPr>
        <w:t>ha</w:t>
      </w:r>
      <w:r w:rsidR="00E54E0E" w:rsidRPr="001E2352">
        <w:rPr>
          <w:rFonts w:ascii="Verdana" w:hAnsi="Verdana"/>
          <w:sz w:val="20"/>
          <w:szCs w:val="20"/>
        </w:rPr>
        <w:t xml:space="preserve"> </w:t>
      </w:r>
      <w:r w:rsidR="0020231A" w:rsidRPr="001E2352">
        <w:rPr>
          <w:rFonts w:ascii="Verdana" w:hAnsi="Verdana"/>
          <w:sz w:val="20"/>
          <w:szCs w:val="20"/>
        </w:rPr>
        <w:t xml:space="preserve">sido </w:t>
      </w:r>
      <w:r w:rsidR="00E00056" w:rsidRPr="001E2352">
        <w:rPr>
          <w:rFonts w:ascii="Verdana" w:hAnsi="Verdana"/>
          <w:sz w:val="20"/>
          <w:szCs w:val="20"/>
        </w:rPr>
        <w:t>incorporada a la</w:t>
      </w:r>
      <w:r w:rsidR="00E54E0E" w:rsidRPr="001E2352">
        <w:rPr>
          <w:rFonts w:ascii="Verdana" w:hAnsi="Verdana"/>
          <w:sz w:val="20"/>
          <w:szCs w:val="20"/>
        </w:rPr>
        <w:t xml:space="preserve"> </w:t>
      </w:r>
      <w:r w:rsidRPr="001E2352">
        <w:rPr>
          <w:rFonts w:ascii="Verdana" w:hAnsi="Verdana"/>
          <w:sz w:val="20"/>
          <w:szCs w:val="20"/>
        </w:rPr>
        <w:t>Constitución Federal de México</w:t>
      </w:r>
      <w:r w:rsidR="00E00056" w:rsidRPr="001E2352">
        <w:rPr>
          <w:rFonts w:ascii="Verdana" w:hAnsi="Verdana"/>
          <w:sz w:val="20"/>
          <w:szCs w:val="20"/>
        </w:rPr>
        <w:t>, la cual en su redacción actual establece en el artículo 16 que:</w:t>
      </w:r>
    </w:p>
    <w:p w14:paraId="1F4446A4" w14:textId="77777777" w:rsidR="00B60F38" w:rsidRPr="00351298" w:rsidRDefault="00B60F38" w:rsidP="00B60F38">
      <w:pPr>
        <w:pStyle w:val="Prrafodelista"/>
        <w:spacing w:before="120" w:after="120"/>
        <w:ind w:left="567" w:right="561"/>
        <w:contextualSpacing w:val="0"/>
        <w:jc w:val="both"/>
        <w:rPr>
          <w:rFonts w:ascii="Verdana" w:eastAsia="Calibri" w:hAnsi="Verdana" w:cs="Arial"/>
          <w:bCs/>
          <w:sz w:val="18"/>
          <w:szCs w:val="18"/>
          <w:lang w:eastAsia="es-CR"/>
        </w:rPr>
      </w:pPr>
      <w:r w:rsidRPr="00351298">
        <w:rPr>
          <w:rFonts w:ascii="Verdana" w:eastAsia="Calibri" w:hAnsi="Verdana" w:cs="Arial"/>
          <w:bCs/>
          <w:sz w:val="18"/>
          <w:szCs w:val="18"/>
          <w:lang w:eastAsia="es-CR"/>
        </w:rPr>
        <w:t>La autoridad judicial, a petición del Ministerio Público y tratándose de delitos de delincuencia organizada, podrá decretar el arraigo de una persona, con las modalidades de lugar y tiempo que la ley señale, sin que pueda exceder de cuarenta días, siempre que sea necesario para el éxito de la investigación, la protección de personas o bienes jurídicos, o cuando exista riesgo fundado de que el inculpado se sustraiga a la acción de la justicia. Este plazo podrá prorrogarse, siempre y cuando el Ministerio Público acredite que subsisten las causas que le dieron origen. En todo caso, la duración total del arraigo no podrá exceder los ochenta días. […]</w:t>
      </w:r>
    </w:p>
    <w:p w14:paraId="27825CF4" w14:textId="6950DA8F" w:rsidR="00B60F38" w:rsidRPr="00351298" w:rsidRDefault="00B60F38" w:rsidP="00D73463">
      <w:pPr>
        <w:numPr>
          <w:ilvl w:val="0"/>
          <w:numId w:val="28"/>
        </w:numPr>
        <w:spacing w:before="240" w:after="240"/>
        <w:jc w:val="both"/>
        <w:outlineLvl w:val="3"/>
        <w:rPr>
          <w:rFonts w:ascii="Verdana" w:hAnsi="Verdana"/>
          <w:i/>
          <w:iCs/>
          <w:sz w:val="20"/>
          <w:szCs w:val="20"/>
        </w:rPr>
      </w:pPr>
      <w:r w:rsidRPr="00351298">
        <w:rPr>
          <w:rFonts w:ascii="Verdana" w:hAnsi="Verdana"/>
          <w:i/>
          <w:iCs/>
          <w:sz w:val="20"/>
          <w:szCs w:val="20"/>
        </w:rPr>
        <w:t>Sobre la prisión preventiva</w:t>
      </w:r>
      <w:r w:rsidR="00810A26" w:rsidRPr="00351298">
        <w:rPr>
          <w:rFonts w:ascii="Verdana" w:hAnsi="Verdana"/>
          <w:i/>
          <w:iCs/>
          <w:sz w:val="20"/>
          <w:szCs w:val="20"/>
        </w:rPr>
        <w:t xml:space="preserve"> oficiosa</w:t>
      </w:r>
    </w:p>
    <w:p w14:paraId="748CC5F7" w14:textId="2189C48B" w:rsidR="00E61077" w:rsidRPr="00351298" w:rsidRDefault="005A281A" w:rsidP="00E61077">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En lo que se refiere a la prisión preventiva oficiosa, </w:t>
      </w:r>
      <w:r w:rsidR="00E61077" w:rsidRPr="00351298">
        <w:rPr>
          <w:rFonts w:ascii="Verdana" w:hAnsi="Verdana"/>
          <w:sz w:val="20"/>
          <w:szCs w:val="20"/>
        </w:rPr>
        <w:t xml:space="preserve">artículo 19 de la Constitución mexicana que había incorporado en el año </w:t>
      </w:r>
      <w:r w:rsidR="004B12EE">
        <w:rPr>
          <w:rFonts w:ascii="Verdana" w:hAnsi="Verdana"/>
          <w:sz w:val="20"/>
          <w:szCs w:val="20"/>
        </w:rPr>
        <w:t>2008</w:t>
      </w:r>
      <w:r w:rsidR="004B12EE" w:rsidRPr="00351298">
        <w:rPr>
          <w:rFonts w:ascii="Verdana" w:hAnsi="Verdana"/>
          <w:sz w:val="20"/>
          <w:szCs w:val="20"/>
        </w:rPr>
        <w:t xml:space="preserve"> </w:t>
      </w:r>
      <w:r w:rsidR="00E61077" w:rsidRPr="00351298">
        <w:rPr>
          <w:rFonts w:ascii="Verdana" w:hAnsi="Verdana"/>
          <w:sz w:val="20"/>
          <w:szCs w:val="20"/>
        </w:rPr>
        <w:t xml:space="preserve">la figura de la prisión preventiva oficiosa, </w:t>
      </w:r>
      <w:r w:rsidR="00E61077" w:rsidRPr="00A82812">
        <w:rPr>
          <w:rFonts w:ascii="Verdana" w:hAnsi="Verdana"/>
          <w:sz w:val="20"/>
          <w:szCs w:val="20"/>
        </w:rPr>
        <w:t>fue modifica</w:t>
      </w:r>
      <w:r w:rsidR="005B0AB0" w:rsidRPr="00A82812">
        <w:rPr>
          <w:rFonts w:ascii="Verdana" w:hAnsi="Verdana"/>
          <w:sz w:val="20"/>
          <w:szCs w:val="20"/>
        </w:rPr>
        <w:t>da</w:t>
      </w:r>
      <w:r w:rsidR="00E61077" w:rsidRPr="00A82812">
        <w:rPr>
          <w:rFonts w:ascii="Verdana" w:hAnsi="Verdana"/>
          <w:sz w:val="20"/>
          <w:szCs w:val="20"/>
        </w:rPr>
        <w:t xml:space="preserve"> en el año 2019 para incorporar más delitos a la lista de los delitos para los cuales se deberá aplicar</w:t>
      </w:r>
      <w:r w:rsidR="00E61077" w:rsidRPr="00351298">
        <w:rPr>
          <w:rFonts w:ascii="Verdana" w:hAnsi="Verdana"/>
          <w:sz w:val="20"/>
          <w:szCs w:val="20"/>
        </w:rPr>
        <w:t xml:space="preserve"> esa figura. Su redacción actual es la siguiente:</w:t>
      </w:r>
    </w:p>
    <w:p w14:paraId="579391EF" w14:textId="77777777" w:rsidR="00E61077" w:rsidRPr="00351298" w:rsidRDefault="00E61077" w:rsidP="00E61077">
      <w:pPr>
        <w:spacing w:before="120" w:after="120"/>
        <w:ind w:left="567" w:right="561"/>
        <w:jc w:val="both"/>
        <w:rPr>
          <w:rFonts w:ascii="Verdana" w:hAnsi="Verdana"/>
          <w:sz w:val="18"/>
          <w:szCs w:val="18"/>
        </w:rPr>
      </w:pPr>
      <w:r w:rsidRPr="00351298">
        <w:rPr>
          <w:rFonts w:ascii="Verdana" w:hAnsi="Verdana"/>
          <w:sz w:val="18"/>
          <w:szCs w:val="18"/>
        </w:rPr>
        <w:t>[…] El Ministerio Público sólo podrá solicitar al juez la prisión preventiva cuando otras medidas cautelares no sean suficientes para garantizar la comparecencia del imputado en el juicio, el desarrollo de la investigación, la protección de la víctima, de los testigos o de la comunidad, así como cuando el imputado esté siendo procesado o haya sido sentenciado previamente por la comisión de un delito doloso. El juez ordenará la prisión preventiva oficiosamente, en los casos de abuso o violencia sexual contra menores, delincuencia organizada, homicidio doloso, feminicidio, violación, secuestro, trata de personas, robo de casa habitación, uso de programas sociales con fines electorales, corrupción tratándose de los delitos de enriquecimiento ilícito y ejercicio abusivo de funciones, robo al transporte de carga en cualquiera de sus modalidades, delitos en materia de hidrocarburos, petrolíferos o petroquímicos, delitos en materia de desaparición forzada de personas y desaparición cometida por particulares, delitos cometidos con medios violentos como armas y explosivos, delitos en materia de armas de fuego y explosivos de uso exclusivo del Ejército, la Armada y la Fuerza Aérea, así como los delitos graves que determine la ley en contra de la seguridad de la nación, el libre desarrollo de la personalidad, y de la salud.</w:t>
      </w:r>
    </w:p>
    <w:p w14:paraId="2F4D169E" w14:textId="19441FE9" w:rsidR="00E61077" w:rsidRPr="00351298" w:rsidRDefault="684F4A9A" w:rsidP="00E61077">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En ese sentido, el Tribunal nota que algunos de los aspectos </w:t>
      </w:r>
      <w:r w:rsidR="43E1684B" w:rsidRPr="00351298">
        <w:rPr>
          <w:rFonts w:ascii="Verdana" w:hAnsi="Verdana"/>
          <w:sz w:val="20"/>
          <w:szCs w:val="20"/>
        </w:rPr>
        <w:t>contrarios a la C</w:t>
      </w:r>
      <w:r w:rsidR="327B230E" w:rsidRPr="00351298">
        <w:rPr>
          <w:rFonts w:ascii="Verdana" w:hAnsi="Verdana"/>
          <w:sz w:val="20"/>
          <w:szCs w:val="20"/>
        </w:rPr>
        <w:t>onvención</w:t>
      </w:r>
      <w:r w:rsidR="43E1684B" w:rsidRPr="00351298">
        <w:rPr>
          <w:rFonts w:ascii="Verdana" w:hAnsi="Verdana"/>
          <w:sz w:val="20"/>
          <w:szCs w:val="20"/>
        </w:rPr>
        <w:t xml:space="preserve"> Americana </w:t>
      </w:r>
      <w:r w:rsidRPr="00351298">
        <w:rPr>
          <w:rFonts w:ascii="Verdana" w:hAnsi="Verdana"/>
          <w:sz w:val="20"/>
          <w:szCs w:val="20"/>
        </w:rPr>
        <w:t>que habían sido señalados en el Capítulo de Fondo (</w:t>
      </w:r>
      <w:r w:rsidRPr="00D04822">
        <w:rPr>
          <w:rFonts w:ascii="Verdana" w:hAnsi="Verdana"/>
          <w:i/>
          <w:iCs/>
          <w:sz w:val="20"/>
          <w:szCs w:val="20"/>
        </w:rPr>
        <w:t>supra</w:t>
      </w:r>
      <w:r w:rsidRPr="00351298">
        <w:rPr>
          <w:rFonts w:ascii="Verdana" w:hAnsi="Verdana"/>
          <w:sz w:val="20"/>
          <w:szCs w:val="20"/>
        </w:rPr>
        <w:t xml:space="preserve"> párr</w:t>
      </w:r>
      <w:r w:rsidR="004B12EE">
        <w:rPr>
          <w:rFonts w:ascii="Verdana" w:hAnsi="Verdana"/>
          <w:sz w:val="20"/>
          <w:szCs w:val="20"/>
        </w:rPr>
        <w:t>s</w:t>
      </w:r>
      <w:r w:rsidRPr="00351298">
        <w:rPr>
          <w:rFonts w:ascii="Verdana" w:hAnsi="Verdana"/>
          <w:sz w:val="20"/>
          <w:szCs w:val="20"/>
        </w:rPr>
        <w:t xml:space="preserve">. </w:t>
      </w:r>
      <w:r w:rsidR="004B12EE">
        <w:rPr>
          <w:rFonts w:ascii="Verdana" w:hAnsi="Verdana"/>
          <w:sz w:val="20"/>
          <w:szCs w:val="20"/>
        </w:rPr>
        <w:t>164 a 174</w:t>
      </w:r>
      <w:r w:rsidRPr="00351298">
        <w:rPr>
          <w:rFonts w:ascii="Verdana" w:hAnsi="Verdana"/>
          <w:sz w:val="20"/>
          <w:szCs w:val="20"/>
        </w:rPr>
        <w:t xml:space="preserve">), aún persisten y fueron incluso ampliados en las normatividades ulteriores. Esos aspectos serían: a) </w:t>
      </w:r>
      <w:r w:rsidRPr="00351298">
        <w:rPr>
          <w:rFonts w:ascii="Verdana" w:hAnsi="Verdana"/>
          <w:snapToGrid w:val="0"/>
          <w:spacing w:val="-2"/>
          <w:sz w:val="20"/>
          <w:szCs w:val="20"/>
          <w:lang w:eastAsia="es-ES"/>
        </w:rPr>
        <w:t>no se hace referencia a las finalidades de la prisión preventiva, ni</w:t>
      </w:r>
      <w:r w:rsidR="60C7E659" w:rsidRPr="00351298">
        <w:rPr>
          <w:rFonts w:ascii="Verdana" w:hAnsi="Verdana"/>
          <w:snapToGrid w:val="0"/>
          <w:spacing w:val="-2"/>
          <w:sz w:val="20"/>
          <w:szCs w:val="20"/>
          <w:lang w:eastAsia="es-ES"/>
        </w:rPr>
        <w:t xml:space="preserve"> a</w:t>
      </w:r>
      <w:r w:rsidRPr="00351298">
        <w:rPr>
          <w:rFonts w:ascii="Verdana" w:hAnsi="Verdana"/>
          <w:snapToGrid w:val="0"/>
          <w:spacing w:val="-2"/>
          <w:sz w:val="20"/>
          <w:szCs w:val="20"/>
          <w:lang w:eastAsia="es-ES"/>
        </w:rPr>
        <w:t xml:space="preserve"> los peligros procesales que buscaría precaver</w:t>
      </w:r>
      <w:r w:rsidR="004B12EE">
        <w:rPr>
          <w:rFonts w:ascii="Verdana" w:hAnsi="Verdana"/>
          <w:snapToGrid w:val="0"/>
          <w:spacing w:val="-2"/>
          <w:sz w:val="20"/>
          <w:szCs w:val="20"/>
          <w:lang w:eastAsia="es-ES"/>
        </w:rPr>
        <w:t>;</w:t>
      </w:r>
      <w:r w:rsidRPr="00351298">
        <w:rPr>
          <w:rFonts w:ascii="Verdana" w:hAnsi="Verdana"/>
          <w:snapToGrid w:val="0"/>
          <w:spacing w:val="-2"/>
          <w:sz w:val="20"/>
          <w:szCs w:val="20"/>
          <w:lang w:eastAsia="es-ES"/>
        </w:rPr>
        <w:t xml:space="preserve"> b) tampoco deja la posibilidad de ponderar la aplicación de la medida cautelar a través de un análisis la necesidad de la misma frente a otras medidas menos lesivas para los derechos de la persona procesada como lo serían las medidas alternativas a la privación a la libertad, y c) se </w:t>
      </w:r>
      <w:r w:rsidRPr="00351298">
        <w:rPr>
          <w:rFonts w:ascii="Verdana" w:hAnsi="Verdana"/>
          <w:snapToGrid w:val="0"/>
          <w:spacing w:val="-2"/>
          <w:sz w:val="20"/>
          <w:szCs w:val="20"/>
          <w:lang w:eastAsia="es-ES"/>
        </w:rPr>
        <w:lastRenderedPageBreak/>
        <w:t xml:space="preserve">establece preceptivamente la aplicación de la prisión preventiva para los delitos que revisten cierta gravedad una vez establecidos los presupuestos materiales sin que se lleva a cabo un análisis de la necesidad de la cautela frente a las circunstancias particulares del caso. </w:t>
      </w:r>
    </w:p>
    <w:p w14:paraId="3389140A" w14:textId="134FB83E" w:rsidR="005F294E" w:rsidRPr="00351298" w:rsidRDefault="00E61077"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En cuanto a </w:t>
      </w:r>
      <w:r w:rsidR="005F294E" w:rsidRPr="00351298">
        <w:rPr>
          <w:rFonts w:ascii="Verdana" w:hAnsi="Verdana"/>
          <w:sz w:val="20"/>
          <w:szCs w:val="20"/>
        </w:rPr>
        <w:t xml:space="preserve">las disposiciones relacionadas con la libertad provisional y la libertad bajo caución contenidas en </w:t>
      </w:r>
      <w:r w:rsidR="0020231A" w:rsidRPr="00351298">
        <w:rPr>
          <w:rFonts w:ascii="Verdana" w:hAnsi="Verdana"/>
          <w:sz w:val="20"/>
          <w:szCs w:val="20"/>
        </w:rPr>
        <w:t xml:space="preserve">el </w:t>
      </w:r>
      <w:r w:rsidR="005A281A" w:rsidRPr="00351298">
        <w:rPr>
          <w:rFonts w:ascii="Verdana" w:hAnsi="Verdana"/>
          <w:sz w:val="20"/>
          <w:szCs w:val="20"/>
        </w:rPr>
        <w:t>artículo</w:t>
      </w:r>
      <w:r w:rsidR="0020231A" w:rsidRPr="00351298">
        <w:rPr>
          <w:rFonts w:ascii="Verdana" w:hAnsi="Verdana"/>
          <w:sz w:val="20"/>
          <w:szCs w:val="20"/>
        </w:rPr>
        <w:t xml:space="preserve"> 319</w:t>
      </w:r>
      <w:r w:rsidR="00810A26" w:rsidRPr="00351298">
        <w:rPr>
          <w:rFonts w:ascii="Verdana" w:hAnsi="Verdana"/>
          <w:sz w:val="20"/>
          <w:szCs w:val="20"/>
        </w:rPr>
        <w:t xml:space="preserve"> del </w:t>
      </w:r>
      <w:r w:rsidR="0020231A" w:rsidRPr="00351298">
        <w:rPr>
          <w:rFonts w:ascii="Verdana" w:hAnsi="Verdana"/>
          <w:sz w:val="20"/>
          <w:szCs w:val="20"/>
        </w:rPr>
        <w:t>Código de Procedimientos Penales para el Estado de México</w:t>
      </w:r>
      <w:r w:rsidR="005F294E" w:rsidRPr="00351298">
        <w:rPr>
          <w:rFonts w:ascii="Verdana" w:hAnsi="Verdana"/>
          <w:sz w:val="20"/>
          <w:szCs w:val="20"/>
        </w:rPr>
        <w:t xml:space="preserve"> de 2000 han sido reformadas y en lugar de ellas, el artículo 194 del Código de Procedimientos Penales para el Estado de México en vigencia</w:t>
      </w:r>
      <w:r w:rsidRPr="00351298">
        <w:rPr>
          <w:rFonts w:ascii="Verdana" w:hAnsi="Verdana"/>
          <w:sz w:val="20"/>
          <w:szCs w:val="20"/>
        </w:rPr>
        <w:t xml:space="preserve"> (</w:t>
      </w:r>
      <w:r w:rsidR="005F294E" w:rsidRPr="00351298">
        <w:rPr>
          <w:rFonts w:ascii="Verdana" w:hAnsi="Verdana"/>
          <w:sz w:val="20"/>
          <w:szCs w:val="20"/>
        </w:rPr>
        <w:t>reformado en el año 2009</w:t>
      </w:r>
      <w:r w:rsidRPr="00351298">
        <w:rPr>
          <w:rFonts w:ascii="Verdana" w:hAnsi="Verdana"/>
          <w:sz w:val="20"/>
          <w:szCs w:val="20"/>
        </w:rPr>
        <w:t>)</w:t>
      </w:r>
      <w:r w:rsidR="005F294E" w:rsidRPr="00351298">
        <w:rPr>
          <w:rFonts w:ascii="Verdana" w:hAnsi="Verdana"/>
          <w:sz w:val="20"/>
          <w:szCs w:val="20"/>
        </w:rPr>
        <w:t xml:space="preserve">, establece que: </w:t>
      </w:r>
    </w:p>
    <w:p w14:paraId="2749189F" w14:textId="77777777" w:rsidR="005F294E" w:rsidRPr="00351298" w:rsidRDefault="005F294E" w:rsidP="00D73463">
      <w:pPr>
        <w:spacing w:before="60" w:after="60"/>
        <w:ind w:left="709"/>
        <w:jc w:val="both"/>
        <w:rPr>
          <w:rFonts w:ascii="Verdana" w:hAnsi="Verdana"/>
          <w:sz w:val="18"/>
          <w:szCs w:val="18"/>
        </w:rPr>
      </w:pPr>
      <w:r w:rsidRPr="00351298">
        <w:rPr>
          <w:rFonts w:ascii="Verdana" w:hAnsi="Verdana"/>
          <w:sz w:val="18"/>
          <w:szCs w:val="18"/>
        </w:rPr>
        <w:t>Artículo 194. Procede la prisión preventiva en los siguientes casos:</w:t>
      </w:r>
    </w:p>
    <w:p w14:paraId="3A42587D" w14:textId="77777777" w:rsidR="005F294E" w:rsidRPr="00351298" w:rsidRDefault="005F294E" w:rsidP="00D73463">
      <w:pPr>
        <w:spacing w:before="60" w:after="60"/>
        <w:ind w:left="709"/>
        <w:jc w:val="both"/>
        <w:rPr>
          <w:rFonts w:ascii="Verdana" w:hAnsi="Verdana"/>
          <w:sz w:val="18"/>
          <w:szCs w:val="18"/>
        </w:rPr>
      </w:pPr>
      <w:r w:rsidRPr="00351298">
        <w:rPr>
          <w:rFonts w:ascii="Verdana" w:hAnsi="Verdana"/>
          <w:sz w:val="18"/>
          <w:szCs w:val="18"/>
        </w:rPr>
        <w:t>A. De oficio:</w:t>
      </w:r>
    </w:p>
    <w:p w14:paraId="1E498D40" w14:textId="77777777" w:rsidR="005F294E" w:rsidRPr="00351298" w:rsidRDefault="005F294E" w:rsidP="00D73463">
      <w:pPr>
        <w:spacing w:before="60" w:after="60"/>
        <w:ind w:left="709" w:firstLine="349"/>
        <w:jc w:val="both"/>
        <w:rPr>
          <w:rFonts w:ascii="Verdana" w:hAnsi="Verdana"/>
          <w:sz w:val="18"/>
          <w:szCs w:val="18"/>
        </w:rPr>
      </w:pPr>
      <w:r w:rsidRPr="00351298">
        <w:rPr>
          <w:rFonts w:ascii="Verdana" w:hAnsi="Verdana"/>
          <w:sz w:val="18"/>
          <w:szCs w:val="18"/>
        </w:rPr>
        <w:t>I. Cuando se trate de los delitos de homicidio doloso, violación y secuestro, y su comisión en grado de tentativa;</w:t>
      </w:r>
    </w:p>
    <w:p w14:paraId="06BCA1ED" w14:textId="77777777" w:rsidR="005F294E" w:rsidRPr="00351298" w:rsidRDefault="005F294E" w:rsidP="00D73463">
      <w:pPr>
        <w:spacing w:before="60" w:after="60"/>
        <w:ind w:left="709" w:firstLine="349"/>
        <w:jc w:val="both"/>
        <w:rPr>
          <w:rFonts w:ascii="Verdana" w:hAnsi="Verdana"/>
          <w:sz w:val="18"/>
          <w:szCs w:val="18"/>
        </w:rPr>
      </w:pPr>
      <w:r w:rsidRPr="00351298">
        <w:rPr>
          <w:rFonts w:ascii="Verdana" w:hAnsi="Verdana"/>
          <w:sz w:val="18"/>
          <w:szCs w:val="18"/>
        </w:rPr>
        <w:t>II. Los delitos cometidos con medios violentos, siempre que se ocasionen daños graves en la integridad física de las personas, así como los cometidos con armas, explosivos u otros que por su naturaleza puedan generar peligro; y</w:t>
      </w:r>
    </w:p>
    <w:p w14:paraId="0D9CB421" w14:textId="77777777" w:rsidR="005F294E" w:rsidRPr="00351298" w:rsidRDefault="005F294E" w:rsidP="00D73463">
      <w:pPr>
        <w:spacing w:before="60" w:after="60"/>
        <w:ind w:left="709" w:firstLine="349"/>
        <w:jc w:val="both"/>
        <w:rPr>
          <w:rFonts w:ascii="Verdana" w:hAnsi="Verdana"/>
          <w:sz w:val="18"/>
          <w:szCs w:val="18"/>
        </w:rPr>
      </w:pPr>
      <w:r w:rsidRPr="00351298">
        <w:rPr>
          <w:rFonts w:ascii="Verdana" w:hAnsi="Verdana"/>
          <w:sz w:val="18"/>
          <w:szCs w:val="18"/>
        </w:rPr>
        <w:t>III. En los siguientes delitos contra el libre desarrollo de la personalidad previstos en el Código Penal del Estado:</w:t>
      </w:r>
    </w:p>
    <w:p w14:paraId="4FB6FDD9" w14:textId="77777777" w:rsidR="005F294E" w:rsidRPr="00351298" w:rsidRDefault="005F294E" w:rsidP="00D73463">
      <w:pPr>
        <w:spacing w:before="60" w:after="60"/>
        <w:ind w:left="709" w:firstLine="709"/>
        <w:jc w:val="both"/>
        <w:rPr>
          <w:rFonts w:ascii="Verdana" w:hAnsi="Verdana"/>
          <w:sz w:val="18"/>
          <w:szCs w:val="18"/>
        </w:rPr>
      </w:pPr>
      <w:r w:rsidRPr="00351298">
        <w:rPr>
          <w:rFonts w:ascii="Verdana" w:hAnsi="Verdana"/>
          <w:sz w:val="18"/>
          <w:szCs w:val="18"/>
        </w:rPr>
        <w:t>a) El del artículo 204 fracciones I, II, III;</w:t>
      </w:r>
    </w:p>
    <w:p w14:paraId="07AF2605" w14:textId="77777777" w:rsidR="005F294E" w:rsidRPr="00351298" w:rsidRDefault="005F294E" w:rsidP="00D73463">
      <w:pPr>
        <w:spacing w:before="60" w:after="60"/>
        <w:ind w:left="1418"/>
        <w:jc w:val="both"/>
        <w:rPr>
          <w:rFonts w:ascii="Verdana" w:hAnsi="Verdana"/>
          <w:sz w:val="18"/>
          <w:szCs w:val="18"/>
        </w:rPr>
      </w:pPr>
      <w:r w:rsidRPr="00351298">
        <w:rPr>
          <w:rFonts w:ascii="Verdana" w:hAnsi="Verdana"/>
          <w:sz w:val="18"/>
          <w:szCs w:val="18"/>
        </w:rPr>
        <w:t>b) El de pornografía de menores e incapaces contenido en el artículo 206, fracciones I, II y IV; y</w:t>
      </w:r>
    </w:p>
    <w:p w14:paraId="2CAEB942" w14:textId="384D4725" w:rsidR="005F294E" w:rsidRPr="00351298" w:rsidRDefault="005F294E" w:rsidP="00D73463">
      <w:pPr>
        <w:spacing w:before="60" w:after="60"/>
        <w:ind w:left="1418"/>
        <w:jc w:val="both"/>
        <w:rPr>
          <w:rFonts w:ascii="Verdana" w:hAnsi="Verdana"/>
          <w:sz w:val="18"/>
          <w:szCs w:val="18"/>
        </w:rPr>
      </w:pPr>
      <w:r w:rsidRPr="00351298">
        <w:rPr>
          <w:rFonts w:ascii="Verdana" w:hAnsi="Verdana"/>
          <w:sz w:val="18"/>
          <w:szCs w:val="18"/>
        </w:rPr>
        <w:t>c) Trata de personas.</w:t>
      </w:r>
    </w:p>
    <w:p w14:paraId="55ABF8C4" w14:textId="2947CB14" w:rsidR="005F294E" w:rsidRPr="00351298" w:rsidRDefault="005F294E" w:rsidP="00D73463">
      <w:pPr>
        <w:spacing w:before="60" w:after="60"/>
        <w:ind w:left="709" w:firstLine="349"/>
        <w:jc w:val="both"/>
        <w:rPr>
          <w:rFonts w:ascii="Verdana" w:hAnsi="Verdana"/>
          <w:sz w:val="18"/>
          <w:szCs w:val="18"/>
        </w:rPr>
      </w:pPr>
      <w:r w:rsidRPr="00351298">
        <w:rPr>
          <w:rFonts w:ascii="Verdana" w:hAnsi="Verdana"/>
          <w:sz w:val="18"/>
          <w:szCs w:val="18"/>
        </w:rPr>
        <w:t>IV. Los previstos como graves en las Leyes Generales.</w:t>
      </w:r>
      <w:r w:rsidR="00801B49" w:rsidRPr="00351298">
        <w:rPr>
          <w:rFonts w:ascii="Verdana" w:hAnsi="Verdana"/>
          <w:sz w:val="18"/>
          <w:szCs w:val="18"/>
        </w:rPr>
        <w:t xml:space="preserve"> </w:t>
      </w:r>
      <w:r w:rsidRPr="00351298">
        <w:rPr>
          <w:rFonts w:ascii="Verdana" w:hAnsi="Verdana"/>
          <w:sz w:val="18"/>
          <w:szCs w:val="18"/>
        </w:rPr>
        <w:t>[…].</w:t>
      </w:r>
    </w:p>
    <w:p w14:paraId="14018957" w14:textId="75218DAD" w:rsidR="00F22482" w:rsidRPr="00351298" w:rsidRDefault="00F22482" w:rsidP="00D73463">
      <w:pPr>
        <w:numPr>
          <w:ilvl w:val="0"/>
          <w:numId w:val="28"/>
        </w:numPr>
        <w:spacing w:before="240" w:after="240"/>
        <w:jc w:val="both"/>
        <w:outlineLvl w:val="3"/>
        <w:rPr>
          <w:rFonts w:ascii="Verdana" w:hAnsi="Verdana"/>
          <w:i/>
          <w:iCs/>
          <w:sz w:val="20"/>
          <w:szCs w:val="20"/>
        </w:rPr>
      </w:pPr>
      <w:r w:rsidRPr="00351298">
        <w:rPr>
          <w:rFonts w:ascii="Verdana" w:hAnsi="Verdana"/>
          <w:i/>
          <w:iCs/>
          <w:sz w:val="20"/>
          <w:szCs w:val="20"/>
        </w:rPr>
        <w:t>Conclusión</w:t>
      </w:r>
    </w:p>
    <w:p w14:paraId="45FA1CCA" w14:textId="4E308EF0" w:rsidR="00706AF4" w:rsidRPr="00351298" w:rsidRDefault="7DFBDF2B" w:rsidP="00706AF4">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De conformidad con lo anterior, si bien la normatividad mediante la cual se aplicó el arraigo y la prisión preventiva oficiosa a los hechos del caso ha variado, para esta Corte no cabe duda </w:t>
      </w:r>
      <w:r w:rsidR="635FE74F" w:rsidRPr="1D64B15C">
        <w:rPr>
          <w:rFonts w:ascii="Verdana" w:hAnsi="Verdana"/>
          <w:sz w:val="20"/>
          <w:szCs w:val="20"/>
        </w:rPr>
        <w:t xml:space="preserve">de </w:t>
      </w:r>
      <w:r w:rsidRPr="1D64B15C">
        <w:rPr>
          <w:rFonts w:ascii="Verdana" w:hAnsi="Verdana"/>
          <w:sz w:val="20"/>
          <w:szCs w:val="20"/>
        </w:rPr>
        <w:t xml:space="preserve">que los aspectos que la hacen incompatible con la </w:t>
      </w:r>
      <w:r w:rsidR="00ED59EF">
        <w:rPr>
          <w:rFonts w:ascii="Verdana" w:hAnsi="Verdana"/>
          <w:sz w:val="20"/>
          <w:szCs w:val="20"/>
        </w:rPr>
        <w:t>C</w:t>
      </w:r>
      <w:r w:rsidRPr="1D64B15C">
        <w:rPr>
          <w:rFonts w:ascii="Verdana" w:hAnsi="Verdana"/>
          <w:sz w:val="20"/>
          <w:szCs w:val="20"/>
        </w:rPr>
        <w:t xml:space="preserve">onvención, según lo señalado </w:t>
      </w:r>
      <w:r w:rsidRPr="1D64B15C">
        <w:rPr>
          <w:rFonts w:ascii="Verdana" w:hAnsi="Verdana"/>
          <w:i/>
          <w:iCs/>
          <w:sz w:val="20"/>
          <w:szCs w:val="20"/>
        </w:rPr>
        <w:t>supra</w:t>
      </w:r>
      <w:r w:rsidRPr="1D64B15C">
        <w:rPr>
          <w:rFonts w:ascii="Verdana" w:hAnsi="Verdana"/>
          <w:sz w:val="20"/>
          <w:szCs w:val="20"/>
        </w:rPr>
        <w:t xml:space="preserve">, persisten en su redacción actual. Esos aspectos son los que llevaron a este Tribunal a declarar que las normas que recogen las figuras del arraigo (artículo 154 del Código de Procedimientos Penales para el Estado de México de 2000) y de la prisión preventiva oficiosa (artículo 154 del Código de Procedimientos Penales para el Estado de México de 2000 así como el artículo 19 de la Constitución mexicana luego de que fuera reformada en el año </w:t>
      </w:r>
      <w:r w:rsidR="004B12EE">
        <w:rPr>
          <w:rFonts w:ascii="Verdana" w:hAnsi="Verdana"/>
          <w:sz w:val="20"/>
          <w:szCs w:val="20"/>
        </w:rPr>
        <w:t>2008</w:t>
      </w:r>
      <w:r w:rsidRPr="1D64B15C">
        <w:rPr>
          <w:rFonts w:ascii="Verdana" w:hAnsi="Verdana"/>
          <w:sz w:val="20"/>
          <w:szCs w:val="20"/>
        </w:rPr>
        <w:t>) eran contrarias a la Convención Americana y a la obligación a cargo del Estado de adecuar las disposiciones de derecho interno contenida en el artículo 2 de la Convención Americana.</w:t>
      </w:r>
    </w:p>
    <w:p w14:paraId="272F4142" w14:textId="17D4D2BF" w:rsidR="00706AF4" w:rsidRPr="00351298" w:rsidRDefault="00706AF4" w:rsidP="00706AF4">
      <w:pPr>
        <w:numPr>
          <w:ilvl w:val="0"/>
          <w:numId w:val="2"/>
        </w:numPr>
        <w:spacing w:before="120" w:after="120"/>
        <w:ind w:left="0" w:firstLine="0"/>
        <w:jc w:val="both"/>
        <w:rPr>
          <w:rFonts w:ascii="Verdana" w:hAnsi="Verdana"/>
          <w:sz w:val="20"/>
          <w:lang w:val="es-ES_tradnl"/>
        </w:rPr>
      </w:pPr>
      <w:r w:rsidRPr="3BF92891">
        <w:rPr>
          <w:rFonts w:ascii="Verdana" w:hAnsi="Verdana"/>
          <w:sz w:val="20"/>
          <w:szCs w:val="20"/>
          <w:lang w:val="es-ES"/>
        </w:rPr>
        <w:t>La Corte recuerda que el deber general del Estado establecido en el artículo 2 de la Convención</w:t>
      </w:r>
      <w:r w:rsidR="00801B49" w:rsidRPr="3BF92891">
        <w:rPr>
          <w:rFonts w:ascii="Verdana" w:hAnsi="Verdana"/>
          <w:sz w:val="20"/>
          <w:szCs w:val="20"/>
          <w:lang w:val="es-ES"/>
        </w:rPr>
        <w:t xml:space="preserve"> Americana</w:t>
      </w:r>
      <w:r w:rsidRPr="3BF92891">
        <w:rPr>
          <w:rFonts w:ascii="Verdana" w:hAnsi="Verdana"/>
          <w:sz w:val="20"/>
          <w:szCs w:val="20"/>
          <w:lang w:val="es-ES"/>
        </w:rPr>
        <w:t xml:space="preserve">, </w:t>
      </w:r>
      <w:r w:rsidRPr="00351298">
        <w:rPr>
          <w:rFonts w:ascii="Verdana" w:hAnsi="Verdana"/>
          <w:sz w:val="20"/>
          <w:szCs w:val="20"/>
          <w:lang w:val="es-CO"/>
        </w:rPr>
        <w:t>incluye</w:t>
      </w:r>
      <w:r w:rsidRPr="3BF92891">
        <w:rPr>
          <w:rFonts w:ascii="Verdana" w:hAnsi="Verdana"/>
          <w:sz w:val="20"/>
          <w:szCs w:val="20"/>
          <w:lang w:val="es-ES"/>
        </w:rPr>
        <w:t xml:space="preserve"> la adopción de medidas para suprimir las normas y prácticas de cualquier naturaleza que impliquen una violación a las garantías previstas en la Convención, así como la expedición de normas y el desarrollo de prácticas conducentes a la observancia efectiva de dichas garantías</w:t>
      </w:r>
      <w:r w:rsidRPr="3BF92891">
        <w:rPr>
          <w:rStyle w:val="Refdenotaalpie"/>
          <w:rFonts w:ascii="Verdana" w:hAnsi="Verdana"/>
          <w:sz w:val="20"/>
          <w:lang w:val="es-ES"/>
        </w:rPr>
        <w:footnoteReference w:id="280"/>
      </w:r>
      <w:r w:rsidRPr="3BF92891">
        <w:rPr>
          <w:rFonts w:ascii="Verdana" w:hAnsi="Verdana"/>
          <w:sz w:val="20"/>
          <w:szCs w:val="20"/>
          <w:lang w:val="es-ES"/>
        </w:rPr>
        <w:t xml:space="preserve">. </w:t>
      </w:r>
    </w:p>
    <w:p w14:paraId="5AE74C94" w14:textId="2871AB0F" w:rsidR="00706AF4" w:rsidRPr="00351298" w:rsidRDefault="00706AF4" w:rsidP="00706AF4">
      <w:pPr>
        <w:numPr>
          <w:ilvl w:val="0"/>
          <w:numId w:val="2"/>
        </w:numPr>
        <w:spacing w:before="120" w:after="120"/>
        <w:ind w:left="0" w:firstLine="0"/>
        <w:jc w:val="both"/>
        <w:rPr>
          <w:rFonts w:ascii="Segoe UI" w:hAnsi="Segoe UI" w:cs="Segoe UI"/>
          <w:color w:val="242424"/>
          <w:sz w:val="29"/>
          <w:szCs w:val="29"/>
        </w:rPr>
      </w:pPr>
      <w:bookmarkStart w:id="136" w:name="_Hlk118803075"/>
      <w:r w:rsidRPr="00351298">
        <w:rPr>
          <w:rFonts w:ascii="Verdana" w:hAnsi="Verdana"/>
          <w:sz w:val="20"/>
          <w:szCs w:val="20"/>
        </w:rPr>
        <w:t xml:space="preserve"> Conforme a lo expuesto y </w:t>
      </w:r>
      <w:r w:rsidR="00CE7A39" w:rsidRPr="00351298">
        <w:rPr>
          <w:rFonts w:ascii="Verdana" w:hAnsi="Verdana"/>
          <w:sz w:val="20"/>
          <w:szCs w:val="20"/>
        </w:rPr>
        <w:t>con relación a</w:t>
      </w:r>
      <w:r w:rsidRPr="00351298">
        <w:rPr>
          <w:rFonts w:ascii="Verdana" w:hAnsi="Verdana"/>
          <w:sz w:val="20"/>
          <w:szCs w:val="20"/>
        </w:rPr>
        <w:t xml:space="preserve"> la figura del arraigo como medida de naturaleza pre-procesal restrictiva de la libertad con fines investigativos, la Corte entiende que la misma resulta incompatible con la Convención Americana, puesto que los postulados que definen sus características inherentes no son compatibles con los derechos a la libertad personal</w:t>
      </w:r>
      <w:r w:rsidR="008B1EA4">
        <w:rPr>
          <w:rFonts w:ascii="Verdana" w:hAnsi="Verdana"/>
          <w:sz w:val="20"/>
          <w:szCs w:val="20"/>
        </w:rPr>
        <w:t xml:space="preserve">, al derecho a ser </w:t>
      </w:r>
      <w:r w:rsidR="006D644C">
        <w:rPr>
          <w:rFonts w:ascii="Verdana" w:hAnsi="Verdana"/>
          <w:sz w:val="20"/>
          <w:szCs w:val="20"/>
        </w:rPr>
        <w:t>oído</w:t>
      </w:r>
      <w:r w:rsidRPr="00351298">
        <w:rPr>
          <w:rFonts w:ascii="Verdana" w:hAnsi="Verdana"/>
          <w:sz w:val="20"/>
          <w:szCs w:val="20"/>
        </w:rPr>
        <w:t xml:space="preserve"> y a la presunción de inocencia. Como consecuencia de lo anterior, el Tribunal considera </w:t>
      </w:r>
      <w:r w:rsidRPr="00351298">
        <w:rPr>
          <w:rFonts w:ascii="Verdana" w:hAnsi="Verdana"/>
          <w:sz w:val="20"/>
          <w:szCs w:val="20"/>
        </w:rPr>
        <w:lastRenderedPageBreak/>
        <w:t>que el Estado deberá dejar sin efecto, en su ordenamiento jurídico, toda la normatividad, incluyendo la constitucional, relacionada con el arraigo como medida de naturaleza pre-procesal restrictiva de la libertad para fines investigativos.</w:t>
      </w:r>
    </w:p>
    <w:p w14:paraId="7671AE2B" w14:textId="2A653737" w:rsidR="00706AF4" w:rsidRPr="00351298" w:rsidRDefault="00706AF4" w:rsidP="00706AF4">
      <w:pPr>
        <w:numPr>
          <w:ilvl w:val="0"/>
          <w:numId w:val="2"/>
        </w:numPr>
        <w:spacing w:before="120" w:after="120"/>
        <w:ind w:left="0" w:firstLine="0"/>
        <w:jc w:val="both"/>
        <w:rPr>
          <w:rFonts w:ascii="Verdana" w:hAnsi="Verdana"/>
          <w:color w:val="C00000"/>
          <w:sz w:val="20"/>
          <w:szCs w:val="20"/>
        </w:rPr>
      </w:pPr>
      <w:bookmarkStart w:id="137" w:name="_Hlk118803108"/>
      <w:bookmarkEnd w:id="136"/>
      <w:r w:rsidRPr="3BF92891">
        <w:rPr>
          <w:rFonts w:ascii="Verdana" w:hAnsi="Verdana"/>
          <w:sz w:val="20"/>
          <w:szCs w:val="20"/>
          <w:lang w:val="es-ES"/>
        </w:rPr>
        <w:t>Por otra parte, en lo que se refiere a la figura de la prisión preventiva oficiosa, esta Corte ordena</w:t>
      </w:r>
      <w:r w:rsidRPr="00351298">
        <w:rPr>
          <w:rFonts w:ascii="Verdana" w:hAnsi="Verdana"/>
          <w:sz w:val="20"/>
          <w:szCs w:val="20"/>
        </w:rPr>
        <w:t xml:space="preserve"> al Estado</w:t>
      </w:r>
      <w:r w:rsidRPr="3BF92891">
        <w:rPr>
          <w:rFonts w:ascii="Verdana" w:hAnsi="Verdana"/>
          <w:sz w:val="20"/>
          <w:szCs w:val="20"/>
          <w:lang w:val="es-ES"/>
        </w:rPr>
        <w:t>, como lo ha hecho en otros casos</w:t>
      </w:r>
      <w:r w:rsidRPr="3BF92891">
        <w:rPr>
          <w:rStyle w:val="Refdenotaalpie"/>
          <w:rFonts w:ascii="Verdana" w:hAnsi="Verdana"/>
          <w:sz w:val="20"/>
        </w:rPr>
        <w:footnoteReference w:id="281"/>
      </w:r>
      <w:r w:rsidRPr="00351298">
        <w:rPr>
          <w:rFonts w:ascii="Verdana" w:hAnsi="Verdana"/>
          <w:sz w:val="20"/>
          <w:szCs w:val="20"/>
        </w:rPr>
        <w:t xml:space="preserve">, adecuar su ordenamiento jurídico, incluyendo sus disposiciones constitucionales, para que sea compatible con la Convención Americana. Para tales efectos, el Estado deberá tomar en consideración lo indicado en los párrafos </w:t>
      </w:r>
      <w:r w:rsidR="00685509">
        <w:rPr>
          <w:rFonts w:ascii="Verdana" w:hAnsi="Verdana"/>
          <w:sz w:val="20"/>
          <w:szCs w:val="20"/>
        </w:rPr>
        <w:t>154</w:t>
      </w:r>
      <w:r w:rsidRPr="00351298">
        <w:rPr>
          <w:rFonts w:ascii="Verdana" w:hAnsi="Verdana"/>
          <w:sz w:val="20"/>
          <w:szCs w:val="20"/>
        </w:rPr>
        <w:t xml:space="preserve"> a </w:t>
      </w:r>
      <w:r w:rsidR="00685509">
        <w:rPr>
          <w:rFonts w:ascii="Verdana" w:hAnsi="Verdana"/>
          <w:sz w:val="20"/>
          <w:szCs w:val="20"/>
        </w:rPr>
        <w:t xml:space="preserve">163, y 184 </w:t>
      </w:r>
      <w:r w:rsidRPr="00351298">
        <w:rPr>
          <w:rFonts w:ascii="Verdana" w:hAnsi="Verdana"/>
          <w:sz w:val="20"/>
          <w:szCs w:val="20"/>
        </w:rPr>
        <w:t>de la presente Sentencia, en donde se establecen los requisitos que deben cumplir las medidas de esa naturaleza para que sean compatibles con el referido tratado</w:t>
      </w:r>
      <w:bookmarkEnd w:id="137"/>
      <w:r w:rsidRPr="00351298">
        <w:rPr>
          <w:rFonts w:ascii="Verdana" w:hAnsi="Verdana"/>
          <w:sz w:val="20"/>
          <w:szCs w:val="20"/>
        </w:rPr>
        <w:t xml:space="preserve">. </w:t>
      </w:r>
    </w:p>
    <w:p w14:paraId="023390C0" w14:textId="1E344B23" w:rsidR="00706AF4" w:rsidRPr="00351298" w:rsidRDefault="00706AF4" w:rsidP="00706AF4">
      <w:pPr>
        <w:numPr>
          <w:ilvl w:val="0"/>
          <w:numId w:val="2"/>
        </w:numPr>
        <w:spacing w:before="120" w:after="120"/>
        <w:ind w:left="0" w:firstLine="0"/>
        <w:jc w:val="both"/>
        <w:rPr>
          <w:rFonts w:ascii="Verdana" w:hAnsi="Verdana"/>
          <w:color w:val="C00000"/>
          <w:sz w:val="20"/>
          <w:szCs w:val="20"/>
        </w:rPr>
      </w:pPr>
      <w:r w:rsidRPr="00351298">
        <w:rPr>
          <w:rFonts w:ascii="Verdana" w:hAnsi="Verdana"/>
          <w:sz w:val="20"/>
          <w:szCs w:val="20"/>
        </w:rPr>
        <w:t>Por otra parte, no solo la supresión o adecuación de las normas en el derecho interno garantizan los derechos contenidos en la Convención Americana, de conformidad a la obligación comprendida en el artículo 2 de dicho instrumento. También se requiere el desarrollo de prácticas estatales conducentes a la observancia efectiva de los derechos y libertades consagrados en la misma</w:t>
      </w:r>
      <w:r w:rsidR="00685509">
        <w:rPr>
          <w:rFonts w:ascii="Verdana" w:hAnsi="Verdana"/>
          <w:sz w:val="20"/>
          <w:szCs w:val="20"/>
        </w:rPr>
        <w:t xml:space="preserve"> puesto que</w:t>
      </w:r>
      <w:r w:rsidRPr="00351298">
        <w:rPr>
          <w:rFonts w:ascii="Verdana" w:hAnsi="Verdana"/>
          <w:sz w:val="20"/>
          <w:szCs w:val="20"/>
        </w:rPr>
        <w:t xml:space="preserve"> la existencia de una norma no garantiza por sí misma que su aplicación sea adecuada. </w:t>
      </w:r>
      <w:r w:rsidR="00685509">
        <w:rPr>
          <w:rFonts w:ascii="Verdana" w:hAnsi="Verdana"/>
          <w:sz w:val="20"/>
          <w:szCs w:val="20"/>
        </w:rPr>
        <w:t>En ese sentido, e</w:t>
      </w:r>
      <w:r w:rsidRPr="00351298">
        <w:rPr>
          <w:rFonts w:ascii="Verdana" w:hAnsi="Verdana"/>
          <w:sz w:val="20"/>
          <w:szCs w:val="20"/>
        </w:rPr>
        <w:t xml:space="preserve">s necesario que la aplicación de las normas o su interpretación, en tanto prácticas jurisdiccionales y manifestación del orden público estatal, se encuentren ajustadas al mismo fin que persigue el artículo 2 de la Convención. </w:t>
      </w:r>
    </w:p>
    <w:p w14:paraId="0F44C33C" w14:textId="1B9572CB" w:rsidR="00706AF4" w:rsidRPr="00351298" w:rsidRDefault="7DFBDF2B" w:rsidP="00706AF4">
      <w:pPr>
        <w:numPr>
          <w:ilvl w:val="0"/>
          <w:numId w:val="2"/>
        </w:numPr>
        <w:spacing w:before="120" w:after="120"/>
        <w:ind w:left="0" w:firstLine="0"/>
        <w:jc w:val="both"/>
        <w:rPr>
          <w:rFonts w:ascii="Verdana" w:hAnsi="Verdana"/>
          <w:sz w:val="20"/>
          <w:szCs w:val="20"/>
        </w:rPr>
      </w:pPr>
      <w:r w:rsidRPr="00351298">
        <w:rPr>
          <w:rFonts w:ascii="Verdana" w:hAnsi="Verdana"/>
          <w:sz w:val="20"/>
          <w:szCs w:val="20"/>
        </w:rPr>
        <w:t>Conforme a lo expuesto, se recuerda que las autoridades internas, al aplicar las figuras del arraigo o de la prisión preventiva, deben ejercer un adecuado control de convencionalidad para que las mismas no afecten los derechos contenidos en la Convención Americana de las personas investigadas o procesadas por un delito</w:t>
      </w:r>
      <w:r w:rsidR="43E1684B" w:rsidRPr="00351298">
        <w:rPr>
          <w:rFonts w:ascii="Verdana" w:hAnsi="Verdana"/>
          <w:sz w:val="20"/>
          <w:szCs w:val="20"/>
        </w:rPr>
        <w:t xml:space="preserve">, atendiendo el principio </w:t>
      </w:r>
      <w:r w:rsidR="43E1684B" w:rsidRPr="1D64B15C">
        <w:rPr>
          <w:rFonts w:ascii="Verdana" w:hAnsi="Verdana"/>
          <w:i/>
          <w:iCs/>
          <w:sz w:val="20"/>
          <w:szCs w:val="20"/>
        </w:rPr>
        <w:t>pro</w:t>
      </w:r>
      <w:r w:rsidR="007706CA">
        <w:rPr>
          <w:rFonts w:ascii="Verdana" w:hAnsi="Verdana"/>
          <w:i/>
          <w:iCs/>
          <w:sz w:val="20"/>
          <w:szCs w:val="20"/>
        </w:rPr>
        <w:t xml:space="preserve"> </w:t>
      </w:r>
      <w:r w:rsidR="43E1684B" w:rsidRPr="1D64B15C">
        <w:rPr>
          <w:rFonts w:ascii="Verdana" w:hAnsi="Verdana"/>
          <w:i/>
          <w:iCs/>
          <w:sz w:val="20"/>
          <w:szCs w:val="20"/>
        </w:rPr>
        <w:t>persona</w:t>
      </w:r>
      <w:r w:rsidR="327B230E" w:rsidRPr="00351298">
        <w:rPr>
          <w:rFonts w:ascii="Verdana" w:hAnsi="Verdana"/>
          <w:sz w:val="20"/>
          <w:szCs w:val="20"/>
        </w:rPr>
        <w:t>.</w:t>
      </w:r>
      <w:r w:rsidRPr="00351298">
        <w:rPr>
          <w:rFonts w:ascii="Verdana" w:hAnsi="Verdana"/>
          <w:sz w:val="20"/>
          <w:szCs w:val="20"/>
        </w:rPr>
        <w:t xml:space="preserve"> En ese sentido, corresponde reiterar que cuando</w:t>
      </w:r>
      <w:r w:rsidRPr="00351298">
        <w:rPr>
          <w:rFonts w:ascii="Verdana" w:hAnsi="Verdana"/>
          <w:spacing w:val="1"/>
          <w:sz w:val="20"/>
          <w:szCs w:val="20"/>
        </w:rPr>
        <w:t xml:space="preserve"> </w:t>
      </w:r>
      <w:r w:rsidRPr="00351298">
        <w:rPr>
          <w:rFonts w:ascii="Verdana" w:hAnsi="Verdana"/>
          <w:sz w:val="20"/>
          <w:szCs w:val="20"/>
        </w:rPr>
        <w:t>un</w:t>
      </w:r>
      <w:r w:rsidRPr="00351298">
        <w:rPr>
          <w:rFonts w:ascii="Verdana" w:hAnsi="Verdana"/>
          <w:spacing w:val="1"/>
          <w:sz w:val="20"/>
          <w:szCs w:val="20"/>
        </w:rPr>
        <w:t xml:space="preserve"> </w:t>
      </w:r>
      <w:r w:rsidRPr="00351298">
        <w:rPr>
          <w:rFonts w:ascii="Verdana" w:hAnsi="Verdana"/>
          <w:sz w:val="20"/>
          <w:szCs w:val="20"/>
        </w:rPr>
        <w:t>Estado</w:t>
      </w:r>
      <w:r w:rsidRPr="00351298">
        <w:rPr>
          <w:rFonts w:ascii="Verdana" w:hAnsi="Verdana"/>
          <w:spacing w:val="1"/>
          <w:sz w:val="20"/>
          <w:szCs w:val="20"/>
        </w:rPr>
        <w:t xml:space="preserve"> </w:t>
      </w:r>
      <w:r w:rsidRPr="00351298">
        <w:rPr>
          <w:rFonts w:ascii="Verdana" w:hAnsi="Verdana"/>
          <w:sz w:val="20"/>
          <w:szCs w:val="20"/>
        </w:rPr>
        <w:t>ha</w:t>
      </w:r>
      <w:r w:rsidRPr="00351298">
        <w:rPr>
          <w:rFonts w:ascii="Verdana" w:hAnsi="Verdana"/>
          <w:spacing w:val="1"/>
          <w:sz w:val="20"/>
          <w:szCs w:val="20"/>
        </w:rPr>
        <w:t xml:space="preserve"> </w:t>
      </w:r>
      <w:r w:rsidRPr="00351298">
        <w:rPr>
          <w:rFonts w:ascii="Verdana" w:hAnsi="Verdana"/>
          <w:sz w:val="20"/>
          <w:szCs w:val="20"/>
        </w:rPr>
        <w:t>ratificado</w:t>
      </w:r>
      <w:r w:rsidRPr="00351298">
        <w:rPr>
          <w:rFonts w:ascii="Verdana" w:hAnsi="Verdana"/>
          <w:spacing w:val="1"/>
          <w:sz w:val="20"/>
          <w:szCs w:val="20"/>
        </w:rPr>
        <w:t xml:space="preserve"> </w:t>
      </w:r>
      <w:r w:rsidRPr="00351298">
        <w:rPr>
          <w:rFonts w:ascii="Verdana" w:hAnsi="Verdana"/>
          <w:sz w:val="20"/>
          <w:szCs w:val="20"/>
        </w:rPr>
        <w:t>un</w:t>
      </w:r>
      <w:r w:rsidRPr="00351298">
        <w:rPr>
          <w:rFonts w:ascii="Verdana" w:hAnsi="Verdana"/>
          <w:spacing w:val="1"/>
          <w:sz w:val="20"/>
          <w:szCs w:val="20"/>
        </w:rPr>
        <w:t xml:space="preserve"> </w:t>
      </w:r>
      <w:r w:rsidRPr="00351298">
        <w:rPr>
          <w:rFonts w:ascii="Verdana" w:hAnsi="Verdana"/>
          <w:sz w:val="20"/>
          <w:szCs w:val="20"/>
        </w:rPr>
        <w:t>tratado</w:t>
      </w:r>
      <w:r w:rsidRPr="00351298">
        <w:rPr>
          <w:rFonts w:ascii="Verdana" w:hAnsi="Verdana"/>
          <w:spacing w:val="1"/>
          <w:sz w:val="20"/>
          <w:szCs w:val="20"/>
        </w:rPr>
        <w:t xml:space="preserve"> </w:t>
      </w:r>
      <w:r w:rsidRPr="00351298">
        <w:rPr>
          <w:rFonts w:ascii="Verdana" w:hAnsi="Verdana"/>
          <w:sz w:val="20"/>
          <w:szCs w:val="20"/>
        </w:rPr>
        <w:t>internacional</w:t>
      </w:r>
      <w:r w:rsidRPr="00351298">
        <w:rPr>
          <w:rFonts w:ascii="Verdana" w:hAnsi="Verdana"/>
          <w:spacing w:val="1"/>
          <w:sz w:val="20"/>
          <w:szCs w:val="20"/>
        </w:rPr>
        <w:t xml:space="preserve"> </w:t>
      </w:r>
      <w:r w:rsidRPr="00351298">
        <w:rPr>
          <w:rFonts w:ascii="Verdana" w:hAnsi="Verdana"/>
          <w:sz w:val="20"/>
          <w:szCs w:val="20"/>
        </w:rPr>
        <w:t>como</w:t>
      </w:r>
      <w:r w:rsidRPr="00351298">
        <w:rPr>
          <w:rFonts w:ascii="Verdana" w:hAnsi="Verdana"/>
          <w:spacing w:val="1"/>
          <w:sz w:val="20"/>
          <w:szCs w:val="20"/>
        </w:rPr>
        <w:t xml:space="preserve"> </w:t>
      </w:r>
      <w:r w:rsidRPr="00351298">
        <w:rPr>
          <w:rFonts w:ascii="Verdana" w:hAnsi="Verdana"/>
          <w:sz w:val="20"/>
          <w:szCs w:val="20"/>
        </w:rPr>
        <w:t>la</w:t>
      </w:r>
      <w:r w:rsidRPr="00351298">
        <w:rPr>
          <w:rFonts w:ascii="Verdana" w:hAnsi="Verdana"/>
          <w:spacing w:val="1"/>
          <w:sz w:val="20"/>
          <w:szCs w:val="20"/>
        </w:rPr>
        <w:t xml:space="preserve"> </w:t>
      </w:r>
      <w:r w:rsidRPr="00351298">
        <w:rPr>
          <w:rFonts w:ascii="Verdana" w:hAnsi="Verdana"/>
          <w:sz w:val="20"/>
          <w:szCs w:val="20"/>
        </w:rPr>
        <w:t>Convención Americana, todos sus órganos, incluidos sus jueces</w:t>
      </w:r>
      <w:r w:rsidR="22DAD135" w:rsidRPr="00351298">
        <w:rPr>
          <w:rFonts w:ascii="Verdana" w:hAnsi="Verdana"/>
          <w:sz w:val="20"/>
          <w:szCs w:val="20"/>
        </w:rPr>
        <w:t xml:space="preserve"> y juezas</w:t>
      </w:r>
      <w:r w:rsidRPr="00351298">
        <w:rPr>
          <w:rFonts w:ascii="Verdana" w:hAnsi="Verdana"/>
          <w:sz w:val="20"/>
          <w:szCs w:val="20"/>
        </w:rPr>
        <w:t>, están sometidos a</w:t>
      </w:r>
      <w:r w:rsidRPr="00351298">
        <w:rPr>
          <w:rFonts w:ascii="Verdana" w:hAnsi="Verdana"/>
          <w:spacing w:val="1"/>
          <w:sz w:val="20"/>
          <w:szCs w:val="20"/>
        </w:rPr>
        <w:t xml:space="preserve"> </w:t>
      </w:r>
      <w:r w:rsidRPr="00351298">
        <w:rPr>
          <w:rFonts w:ascii="Verdana" w:hAnsi="Verdana"/>
          <w:sz w:val="20"/>
          <w:szCs w:val="20"/>
        </w:rPr>
        <w:t>aquél,</w:t>
      </w:r>
      <w:r w:rsidRPr="00351298">
        <w:rPr>
          <w:rFonts w:ascii="Verdana" w:hAnsi="Verdana"/>
          <w:spacing w:val="-10"/>
          <w:sz w:val="20"/>
          <w:szCs w:val="20"/>
        </w:rPr>
        <w:t xml:space="preserve"> </w:t>
      </w:r>
      <w:r w:rsidRPr="00351298">
        <w:rPr>
          <w:rFonts w:ascii="Verdana" w:hAnsi="Verdana"/>
          <w:sz w:val="20"/>
          <w:szCs w:val="20"/>
        </w:rPr>
        <w:t>lo</w:t>
      </w:r>
      <w:r w:rsidRPr="00351298">
        <w:rPr>
          <w:rFonts w:ascii="Verdana" w:hAnsi="Verdana"/>
          <w:spacing w:val="-10"/>
          <w:sz w:val="20"/>
          <w:szCs w:val="20"/>
        </w:rPr>
        <w:t xml:space="preserve"> </w:t>
      </w:r>
      <w:r w:rsidRPr="00351298">
        <w:rPr>
          <w:rFonts w:ascii="Verdana" w:hAnsi="Verdana"/>
          <w:sz w:val="20"/>
          <w:szCs w:val="20"/>
        </w:rPr>
        <w:t>cual</w:t>
      </w:r>
      <w:r w:rsidRPr="00351298">
        <w:rPr>
          <w:rFonts w:ascii="Verdana" w:hAnsi="Verdana"/>
          <w:spacing w:val="-7"/>
          <w:sz w:val="20"/>
          <w:szCs w:val="20"/>
        </w:rPr>
        <w:t xml:space="preserve"> </w:t>
      </w:r>
      <w:r w:rsidRPr="00351298">
        <w:rPr>
          <w:rFonts w:ascii="Verdana" w:hAnsi="Verdana"/>
          <w:sz w:val="20"/>
          <w:szCs w:val="20"/>
        </w:rPr>
        <w:t>les</w:t>
      </w:r>
      <w:r w:rsidRPr="00351298">
        <w:rPr>
          <w:rFonts w:ascii="Verdana" w:hAnsi="Verdana"/>
          <w:spacing w:val="-9"/>
          <w:sz w:val="20"/>
          <w:szCs w:val="20"/>
        </w:rPr>
        <w:t xml:space="preserve"> </w:t>
      </w:r>
      <w:r w:rsidRPr="00351298">
        <w:rPr>
          <w:rFonts w:ascii="Verdana" w:hAnsi="Verdana"/>
          <w:sz w:val="20"/>
          <w:szCs w:val="20"/>
        </w:rPr>
        <w:t>obliga</w:t>
      </w:r>
      <w:r w:rsidRPr="00351298">
        <w:rPr>
          <w:rFonts w:ascii="Verdana" w:hAnsi="Verdana"/>
          <w:spacing w:val="-11"/>
          <w:sz w:val="20"/>
          <w:szCs w:val="20"/>
        </w:rPr>
        <w:t xml:space="preserve"> </w:t>
      </w:r>
      <w:r w:rsidRPr="00351298">
        <w:rPr>
          <w:rFonts w:ascii="Verdana" w:hAnsi="Verdana"/>
          <w:sz w:val="20"/>
          <w:szCs w:val="20"/>
        </w:rPr>
        <w:t>a</w:t>
      </w:r>
      <w:r w:rsidRPr="00351298">
        <w:rPr>
          <w:rFonts w:ascii="Verdana" w:hAnsi="Verdana"/>
          <w:spacing w:val="-9"/>
          <w:sz w:val="20"/>
          <w:szCs w:val="20"/>
        </w:rPr>
        <w:t xml:space="preserve"> </w:t>
      </w:r>
      <w:r w:rsidRPr="00351298">
        <w:rPr>
          <w:rFonts w:ascii="Verdana" w:hAnsi="Verdana"/>
          <w:sz w:val="20"/>
          <w:szCs w:val="20"/>
        </w:rPr>
        <w:t>velar</w:t>
      </w:r>
      <w:r w:rsidRPr="00351298">
        <w:rPr>
          <w:rFonts w:ascii="Verdana" w:hAnsi="Verdana"/>
          <w:spacing w:val="-10"/>
          <w:sz w:val="20"/>
          <w:szCs w:val="20"/>
        </w:rPr>
        <w:t xml:space="preserve"> </w:t>
      </w:r>
      <w:r w:rsidRPr="00351298">
        <w:rPr>
          <w:rFonts w:ascii="Verdana" w:hAnsi="Verdana"/>
          <w:sz w:val="20"/>
          <w:szCs w:val="20"/>
        </w:rPr>
        <w:t>por</w:t>
      </w:r>
      <w:r w:rsidRPr="00351298">
        <w:rPr>
          <w:rFonts w:ascii="Verdana" w:hAnsi="Verdana"/>
          <w:spacing w:val="-9"/>
          <w:sz w:val="20"/>
          <w:szCs w:val="20"/>
        </w:rPr>
        <w:t xml:space="preserve"> </w:t>
      </w:r>
      <w:r w:rsidRPr="00351298">
        <w:rPr>
          <w:rFonts w:ascii="Verdana" w:hAnsi="Verdana"/>
          <w:sz w:val="20"/>
          <w:szCs w:val="20"/>
        </w:rPr>
        <w:t>que</w:t>
      </w:r>
      <w:r w:rsidRPr="00351298">
        <w:rPr>
          <w:rFonts w:ascii="Verdana" w:hAnsi="Verdana"/>
          <w:spacing w:val="-10"/>
          <w:sz w:val="20"/>
          <w:szCs w:val="20"/>
        </w:rPr>
        <w:t xml:space="preserve"> </w:t>
      </w:r>
      <w:r w:rsidRPr="00351298">
        <w:rPr>
          <w:rFonts w:ascii="Verdana" w:hAnsi="Verdana"/>
          <w:sz w:val="20"/>
          <w:szCs w:val="20"/>
        </w:rPr>
        <w:t>los</w:t>
      </w:r>
      <w:r w:rsidRPr="00351298">
        <w:rPr>
          <w:rFonts w:ascii="Verdana" w:hAnsi="Verdana"/>
          <w:spacing w:val="-5"/>
          <w:sz w:val="20"/>
          <w:szCs w:val="20"/>
        </w:rPr>
        <w:t xml:space="preserve"> </w:t>
      </w:r>
      <w:r w:rsidRPr="00351298">
        <w:rPr>
          <w:rFonts w:ascii="Verdana" w:hAnsi="Verdana"/>
          <w:sz w:val="20"/>
          <w:szCs w:val="20"/>
        </w:rPr>
        <w:t>efectos</w:t>
      </w:r>
      <w:r w:rsidRPr="00351298">
        <w:rPr>
          <w:rFonts w:ascii="Verdana" w:hAnsi="Verdana"/>
          <w:spacing w:val="-8"/>
          <w:sz w:val="20"/>
          <w:szCs w:val="20"/>
        </w:rPr>
        <w:t xml:space="preserve"> </w:t>
      </w:r>
      <w:r w:rsidRPr="00351298">
        <w:rPr>
          <w:rFonts w:ascii="Verdana" w:hAnsi="Verdana"/>
          <w:sz w:val="20"/>
          <w:szCs w:val="20"/>
        </w:rPr>
        <w:t>de</w:t>
      </w:r>
      <w:r w:rsidRPr="00351298">
        <w:rPr>
          <w:rFonts w:ascii="Verdana" w:hAnsi="Verdana"/>
          <w:spacing w:val="-7"/>
          <w:sz w:val="20"/>
          <w:szCs w:val="20"/>
        </w:rPr>
        <w:t xml:space="preserve"> </w:t>
      </w:r>
      <w:r w:rsidRPr="00351298">
        <w:rPr>
          <w:rFonts w:ascii="Verdana" w:hAnsi="Verdana"/>
          <w:sz w:val="20"/>
          <w:szCs w:val="20"/>
        </w:rPr>
        <w:t>las</w:t>
      </w:r>
      <w:r w:rsidRPr="00351298">
        <w:rPr>
          <w:rFonts w:ascii="Verdana" w:hAnsi="Verdana"/>
          <w:spacing w:val="-10"/>
          <w:sz w:val="20"/>
          <w:szCs w:val="20"/>
        </w:rPr>
        <w:t xml:space="preserve"> </w:t>
      </w:r>
      <w:r w:rsidRPr="00351298">
        <w:rPr>
          <w:rFonts w:ascii="Verdana" w:hAnsi="Verdana"/>
          <w:sz w:val="20"/>
          <w:szCs w:val="20"/>
        </w:rPr>
        <w:t>disposiciones</w:t>
      </w:r>
      <w:r w:rsidRPr="00351298">
        <w:rPr>
          <w:rFonts w:ascii="Verdana" w:hAnsi="Verdana"/>
          <w:spacing w:val="-10"/>
          <w:sz w:val="20"/>
          <w:szCs w:val="20"/>
        </w:rPr>
        <w:t xml:space="preserve"> </w:t>
      </w:r>
      <w:r w:rsidRPr="00351298">
        <w:rPr>
          <w:rFonts w:ascii="Verdana" w:hAnsi="Verdana"/>
          <w:sz w:val="20"/>
          <w:szCs w:val="20"/>
        </w:rPr>
        <w:t>de</w:t>
      </w:r>
      <w:r w:rsidRPr="00351298">
        <w:rPr>
          <w:rFonts w:ascii="Verdana" w:hAnsi="Verdana"/>
          <w:spacing w:val="-9"/>
          <w:sz w:val="20"/>
          <w:szCs w:val="20"/>
        </w:rPr>
        <w:t xml:space="preserve"> </w:t>
      </w:r>
      <w:r w:rsidRPr="00351298">
        <w:rPr>
          <w:rFonts w:ascii="Verdana" w:hAnsi="Verdana"/>
          <w:sz w:val="20"/>
          <w:szCs w:val="20"/>
        </w:rPr>
        <w:t>la</w:t>
      </w:r>
      <w:r w:rsidRPr="00351298">
        <w:rPr>
          <w:rFonts w:ascii="Verdana" w:hAnsi="Verdana"/>
          <w:spacing w:val="-9"/>
          <w:sz w:val="20"/>
          <w:szCs w:val="20"/>
        </w:rPr>
        <w:t xml:space="preserve"> </w:t>
      </w:r>
      <w:r w:rsidRPr="00351298">
        <w:rPr>
          <w:rFonts w:ascii="Verdana" w:hAnsi="Verdana"/>
          <w:sz w:val="20"/>
          <w:szCs w:val="20"/>
        </w:rPr>
        <w:t>Convención</w:t>
      </w:r>
      <w:r w:rsidRPr="00351298">
        <w:rPr>
          <w:rFonts w:ascii="Verdana" w:hAnsi="Verdana"/>
          <w:spacing w:val="-68"/>
          <w:sz w:val="20"/>
          <w:szCs w:val="20"/>
        </w:rPr>
        <w:t xml:space="preserve"> </w:t>
      </w:r>
      <w:r w:rsidR="00795815">
        <w:rPr>
          <w:rFonts w:ascii="Verdana" w:hAnsi="Verdana"/>
          <w:sz w:val="20"/>
          <w:szCs w:val="20"/>
        </w:rPr>
        <w:t xml:space="preserve"> </w:t>
      </w:r>
      <w:r w:rsidRPr="00351298">
        <w:rPr>
          <w:rFonts w:ascii="Verdana" w:hAnsi="Verdana"/>
          <w:sz w:val="20"/>
          <w:szCs w:val="20"/>
        </w:rPr>
        <w:t xml:space="preserve">no se vean mermados por la aplicación de normas contrarias a su objeto y fin, </w:t>
      </w:r>
      <w:r w:rsidR="60559A1E" w:rsidRPr="00351298">
        <w:rPr>
          <w:rFonts w:ascii="Verdana" w:hAnsi="Verdana"/>
          <w:sz w:val="20"/>
          <w:szCs w:val="20"/>
        </w:rPr>
        <w:t xml:space="preserve">sean estas de naturaleza constitucional o legal, </w:t>
      </w:r>
      <w:r w:rsidRPr="00351298">
        <w:rPr>
          <w:rFonts w:ascii="Verdana" w:hAnsi="Verdana"/>
          <w:sz w:val="20"/>
          <w:szCs w:val="20"/>
        </w:rPr>
        <w:t>por lo</w:t>
      </w:r>
      <w:r w:rsidRPr="00351298">
        <w:rPr>
          <w:rFonts w:ascii="Verdana" w:hAnsi="Verdana"/>
          <w:spacing w:val="1"/>
          <w:sz w:val="20"/>
          <w:szCs w:val="20"/>
        </w:rPr>
        <w:t xml:space="preserve"> </w:t>
      </w:r>
      <w:r w:rsidRPr="00351298">
        <w:rPr>
          <w:rFonts w:ascii="Verdana" w:hAnsi="Verdana"/>
          <w:sz w:val="20"/>
          <w:szCs w:val="20"/>
        </w:rPr>
        <w:t>que - en</w:t>
      </w:r>
      <w:r w:rsidRPr="00351298">
        <w:rPr>
          <w:rFonts w:ascii="Verdana" w:hAnsi="Verdana"/>
          <w:spacing w:val="1"/>
          <w:sz w:val="20"/>
          <w:szCs w:val="20"/>
        </w:rPr>
        <w:t xml:space="preserve"> </w:t>
      </w:r>
      <w:r w:rsidRPr="00351298">
        <w:rPr>
          <w:rFonts w:ascii="Verdana" w:hAnsi="Verdana"/>
          <w:sz w:val="20"/>
          <w:szCs w:val="20"/>
        </w:rPr>
        <w:t>el</w:t>
      </w:r>
      <w:r w:rsidRPr="00351298">
        <w:rPr>
          <w:rFonts w:ascii="Verdana" w:hAnsi="Verdana"/>
          <w:spacing w:val="1"/>
          <w:sz w:val="20"/>
          <w:szCs w:val="20"/>
        </w:rPr>
        <w:t xml:space="preserve"> </w:t>
      </w:r>
      <w:r w:rsidRPr="00351298">
        <w:rPr>
          <w:rFonts w:ascii="Verdana" w:hAnsi="Verdana"/>
          <w:sz w:val="20"/>
          <w:szCs w:val="20"/>
        </w:rPr>
        <w:t>marco</w:t>
      </w:r>
      <w:r w:rsidRPr="00351298">
        <w:rPr>
          <w:rFonts w:ascii="Verdana" w:hAnsi="Verdana"/>
          <w:spacing w:val="1"/>
          <w:sz w:val="20"/>
          <w:szCs w:val="20"/>
        </w:rPr>
        <w:t xml:space="preserve"> </w:t>
      </w:r>
      <w:r w:rsidRPr="00351298">
        <w:rPr>
          <w:rFonts w:ascii="Verdana" w:hAnsi="Verdana"/>
          <w:sz w:val="20"/>
          <w:szCs w:val="20"/>
        </w:rPr>
        <w:t>de</w:t>
      </w:r>
      <w:r w:rsidRPr="00351298">
        <w:rPr>
          <w:rFonts w:ascii="Verdana" w:hAnsi="Verdana"/>
          <w:spacing w:val="1"/>
          <w:sz w:val="20"/>
          <w:szCs w:val="20"/>
        </w:rPr>
        <w:t xml:space="preserve"> </w:t>
      </w:r>
      <w:r w:rsidRPr="00351298">
        <w:rPr>
          <w:rFonts w:ascii="Verdana" w:hAnsi="Verdana"/>
          <w:sz w:val="20"/>
          <w:szCs w:val="20"/>
        </w:rPr>
        <w:t>sus respectivas competencias y de las regulaciones procesales correspondientes- las magistraturas y órganos vinculados a la administración de justicia en todos los niveles</w:t>
      </w:r>
      <w:r w:rsidRPr="00351298">
        <w:rPr>
          <w:rFonts w:ascii="Verdana" w:hAnsi="Verdana"/>
          <w:spacing w:val="1"/>
          <w:sz w:val="20"/>
          <w:szCs w:val="20"/>
        </w:rPr>
        <w:t xml:space="preserve"> </w:t>
      </w:r>
      <w:r w:rsidRPr="00351298">
        <w:rPr>
          <w:rFonts w:ascii="Verdana" w:hAnsi="Verdana"/>
          <w:sz w:val="20"/>
          <w:szCs w:val="20"/>
        </w:rPr>
        <w:t xml:space="preserve">están en la obligación de ejercer </w:t>
      </w:r>
      <w:r w:rsidRPr="1D64B15C">
        <w:rPr>
          <w:rFonts w:ascii="Verdana" w:hAnsi="Verdana"/>
          <w:i/>
          <w:iCs/>
          <w:sz w:val="20"/>
          <w:szCs w:val="20"/>
        </w:rPr>
        <w:t xml:space="preserve">ex officio </w:t>
      </w:r>
      <w:r w:rsidRPr="00351298">
        <w:rPr>
          <w:rFonts w:ascii="Verdana" w:hAnsi="Verdana"/>
          <w:sz w:val="20"/>
          <w:szCs w:val="20"/>
        </w:rPr>
        <w:t>un control de convencionalidad entre las</w:t>
      </w:r>
      <w:r w:rsidRPr="00351298">
        <w:rPr>
          <w:rFonts w:ascii="Verdana" w:hAnsi="Verdana"/>
          <w:spacing w:val="1"/>
          <w:sz w:val="20"/>
          <w:szCs w:val="20"/>
        </w:rPr>
        <w:t xml:space="preserve"> </w:t>
      </w:r>
      <w:r w:rsidRPr="00351298">
        <w:rPr>
          <w:rFonts w:ascii="Verdana" w:hAnsi="Verdana"/>
          <w:sz w:val="20"/>
          <w:szCs w:val="20"/>
        </w:rPr>
        <w:t>normas</w:t>
      </w:r>
      <w:r w:rsidRPr="00351298">
        <w:rPr>
          <w:rFonts w:ascii="Verdana" w:hAnsi="Verdana"/>
          <w:spacing w:val="1"/>
          <w:sz w:val="20"/>
          <w:szCs w:val="20"/>
        </w:rPr>
        <w:t xml:space="preserve"> </w:t>
      </w:r>
      <w:r w:rsidRPr="00351298">
        <w:rPr>
          <w:rFonts w:ascii="Verdana" w:hAnsi="Verdana"/>
          <w:sz w:val="20"/>
          <w:szCs w:val="20"/>
        </w:rPr>
        <w:t>internas</w:t>
      </w:r>
      <w:r w:rsidRPr="00351298">
        <w:rPr>
          <w:rFonts w:ascii="Verdana" w:hAnsi="Verdana"/>
          <w:spacing w:val="1"/>
          <w:sz w:val="20"/>
          <w:szCs w:val="20"/>
        </w:rPr>
        <w:t xml:space="preserve"> </w:t>
      </w:r>
      <w:r w:rsidRPr="00351298">
        <w:rPr>
          <w:rFonts w:ascii="Verdana" w:hAnsi="Verdana"/>
          <w:sz w:val="20"/>
          <w:szCs w:val="20"/>
        </w:rPr>
        <w:t>y</w:t>
      </w:r>
      <w:r w:rsidRPr="00351298">
        <w:rPr>
          <w:rFonts w:ascii="Verdana" w:hAnsi="Verdana"/>
          <w:spacing w:val="1"/>
          <w:sz w:val="20"/>
          <w:szCs w:val="20"/>
        </w:rPr>
        <w:t xml:space="preserve"> </w:t>
      </w:r>
      <w:r w:rsidRPr="00351298">
        <w:rPr>
          <w:rFonts w:ascii="Verdana" w:hAnsi="Verdana"/>
          <w:sz w:val="20"/>
          <w:szCs w:val="20"/>
        </w:rPr>
        <w:t>la</w:t>
      </w:r>
      <w:r w:rsidRPr="00351298">
        <w:rPr>
          <w:rFonts w:ascii="Verdana" w:hAnsi="Verdana"/>
          <w:spacing w:val="1"/>
          <w:sz w:val="20"/>
          <w:szCs w:val="20"/>
        </w:rPr>
        <w:t xml:space="preserve"> </w:t>
      </w:r>
      <w:r w:rsidRPr="00351298">
        <w:rPr>
          <w:rFonts w:ascii="Verdana" w:hAnsi="Verdana"/>
          <w:sz w:val="20"/>
          <w:szCs w:val="20"/>
        </w:rPr>
        <w:t>Convención</w:t>
      </w:r>
      <w:r w:rsidRPr="00351298">
        <w:rPr>
          <w:rFonts w:ascii="Verdana" w:hAnsi="Verdana"/>
          <w:spacing w:val="1"/>
          <w:sz w:val="20"/>
          <w:szCs w:val="20"/>
        </w:rPr>
        <w:t xml:space="preserve"> </w:t>
      </w:r>
      <w:r w:rsidRPr="00351298">
        <w:rPr>
          <w:rFonts w:ascii="Verdana" w:hAnsi="Verdana"/>
          <w:sz w:val="20"/>
          <w:szCs w:val="20"/>
        </w:rPr>
        <w:t>Americana, y en esta</w:t>
      </w:r>
      <w:r w:rsidRPr="00351298">
        <w:rPr>
          <w:rFonts w:ascii="Verdana" w:hAnsi="Verdana"/>
          <w:spacing w:val="1"/>
          <w:sz w:val="20"/>
          <w:szCs w:val="20"/>
        </w:rPr>
        <w:t xml:space="preserve"> </w:t>
      </w:r>
      <w:r w:rsidRPr="00351298">
        <w:rPr>
          <w:rFonts w:ascii="Verdana" w:hAnsi="Verdana"/>
          <w:sz w:val="20"/>
          <w:szCs w:val="20"/>
        </w:rPr>
        <w:t>tarea, deben tener en cuenta no solamente el tratado, sino también la interpretación</w:t>
      </w:r>
      <w:r w:rsidRPr="00351298">
        <w:rPr>
          <w:rFonts w:ascii="Verdana" w:hAnsi="Verdana"/>
          <w:spacing w:val="1"/>
          <w:sz w:val="20"/>
          <w:szCs w:val="20"/>
        </w:rPr>
        <w:t xml:space="preserve"> </w:t>
      </w:r>
      <w:r w:rsidRPr="00351298">
        <w:rPr>
          <w:rFonts w:ascii="Verdana" w:hAnsi="Verdana"/>
          <w:sz w:val="20"/>
          <w:szCs w:val="20"/>
        </w:rPr>
        <w:t>que del mismo ha hecho la Corte Interamericana, intérprete última de la Convención</w:t>
      </w:r>
      <w:r w:rsidRPr="00351298">
        <w:rPr>
          <w:rFonts w:ascii="Verdana" w:hAnsi="Verdana"/>
          <w:spacing w:val="1"/>
          <w:sz w:val="20"/>
          <w:szCs w:val="20"/>
        </w:rPr>
        <w:t xml:space="preserve"> </w:t>
      </w:r>
      <w:r w:rsidRPr="00351298">
        <w:rPr>
          <w:rFonts w:ascii="Verdana" w:hAnsi="Verdana"/>
          <w:sz w:val="20"/>
          <w:szCs w:val="20"/>
        </w:rPr>
        <w:t>Americana</w:t>
      </w:r>
      <w:r w:rsidR="4D21E21F" w:rsidRPr="00351298">
        <w:rPr>
          <w:rFonts w:ascii="Verdana" w:hAnsi="Verdana"/>
          <w:sz w:val="20"/>
          <w:szCs w:val="20"/>
        </w:rPr>
        <w:t>.</w:t>
      </w:r>
    </w:p>
    <w:p w14:paraId="61EAC8CF" w14:textId="74F03019" w:rsidR="00FC028D" w:rsidRPr="00351298" w:rsidRDefault="009C2A24" w:rsidP="00FC028D">
      <w:pPr>
        <w:pStyle w:val="Ttulo3"/>
        <w:spacing w:before="240" w:after="240"/>
        <w:ind w:left="567"/>
        <w:jc w:val="both"/>
        <w:rPr>
          <w:rFonts w:ascii="Verdana" w:hAnsi="Verdana"/>
          <w:b w:val="0"/>
          <w:snapToGrid w:val="0"/>
          <w:spacing w:val="-2"/>
          <w:sz w:val="20"/>
          <w:szCs w:val="20"/>
          <w:lang w:eastAsia="es-ES"/>
        </w:rPr>
      </w:pPr>
      <w:bookmarkStart w:id="138" w:name="_Toc132133947"/>
      <w:r w:rsidRPr="00351298">
        <w:rPr>
          <w:rFonts w:ascii="Verdana" w:hAnsi="Verdana"/>
          <w:b w:val="0"/>
          <w:snapToGrid w:val="0"/>
          <w:spacing w:val="-2"/>
          <w:sz w:val="20"/>
          <w:szCs w:val="20"/>
          <w:lang w:eastAsia="es-ES"/>
        </w:rPr>
        <w:t>C</w:t>
      </w:r>
      <w:r w:rsidR="00FC028D" w:rsidRPr="00351298">
        <w:rPr>
          <w:rFonts w:ascii="Verdana" w:hAnsi="Verdana"/>
          <w:b w:val="0"/>
          <w:snapToGrid w:val="0"/>
          <w:spacing w:val="-2"/>
          <w:sz w:val="20"/>
          <w:szCs w:val="20"/>
          <w:lang w:eastAsia="es-ES"/>
        </w:rPr>
        <w:t>.2. Programa de capacitación</w:t>
      </w:r>
      <w:r w:rsidR="00866208" w:rsidRPr="00351298">
        <w:rPr>
          <w:rFonts w:ascii="Verdana" w:hAnsi="Verdana"/>
          <w:b w:val="0"/>
          <w:snapToGrid w:val="0"/>
          <w:spacing w:val="-2"/>
          <w:sz w:val="20"/>
          <w:szCs w:val="20"/>
          <w:lang w:eastAsia="es-ES"/>
        </w:rPr>
        <w:t xml:space="preserve"> a los funcionarios de la Subprocuraduría de Justicia de Tlalnepantla</w:t>
      </w:r>
      <w:bookmarkEnd w:id="138"/>
    </w:p>
    <w:p w14:paraId="2B56392A" w14:textId="7D67E3DC" w:rsidR="00FC028D" w:rsidRPr="00351298" w:rsidRDefault="004166C0" w:rsidP="00FC028D">
      <w:pPr>
        <w:numPr>
          <w:ilvl w:val="0"/>
          <w:numId w:val="2"/>
        </w:numPr>
        <w:spacing w:before="120" w:after="120"/>
        <w:ind w:left="0" w:firstLine="0"/>
        <w:jc w:val="both"/>
        <w:rPr>
          <w:rFonts w:ascii="Verdana" w:hAnsi="Verdana"/>
          <w:i/>
          <w:sz w:val="20"/>
          <w:szCs w:val="20"/>
        </w:rPr>
      </w:pPr>
      <w:r w:rsidRPr="00351298">
        <w:rPr>
          <w:rFonts w:ascii="Verdana" w:hAnsi="Verdana"/>
          <w:sz w:val="20"/>
          <w:szCs w:val="20"/>
        </w:rPr>
        <w:t xml:space="preserve">La </w:t>
      </w:r>
      <w:r w:rsidRPr="00351298">
        <w:rPr>
          <w:rFonts w:ascii="Verdana" w:hAnsi="Verdana"/>
          <w:b/>
          <w:i/>
          <w:sz w:val="20"/>
          <w:szCs w:val="20"/>
        </w:rPr>
        <w:t>Comisión</w:t>
      </w:r>
      <w:r w:rsidRPr="00351298">
        <w:rPr>
          <w:rFonts w:ascii="Verdana" w:hAnsi="Verdana"/>
          <w:sz w:val="20"/>
          <w:szCs w:val="20"/>
        </w:rPr>
        <w:t xml:space="preserve"> solicitó que se ordene “[c]apacitar debidamente a los funcionarios de la Subprocuraduría de Justicia de Tlalnepantla en la prohibición absoluta de tortura y tratos crueles, inhumanos y degradantes en la investigación de todo crimen, incluso aquellos relacionados con el crimen organizado, e implementar un sistema sencillo y de fácil acceso para las denuncias de tales actos”.</w:t>
      </w:r>
      <w:r w:rsidR="00E0317F" w:rsidRPr="00351298">
        <w:rPr>
          <w:rFonts w:ascii="Verdana" w:hAnsi="Verdana"/>
          <w:sz w:val="20"/>
          <w:szCs w:val="20"/>
        </w:rPr>
        <w:t xml:space="preserve"> Los </w:t>
      </w:r>
      <w:r w:rsidR="00E0317F" w:rsidRPr="00351298">
        <w:rPr>
          <w:rFonts w:ascii="Verdana" w:hAnsi="Verdana"/>
          <w:b/>
          <w:bCs/>
          <w:i/>
          <w:iCs/>
          <w:sz w:val="20"/>
          <w:szCs w:val="20"/>
        </w:rPr>
        <w:t>representantes</w:t>
      </w:r>
      <w:r w:rsidR="00E0317F" w:rsidRPr="00351298">
        <w:rPr>
          <w:rFonts w:ascii="Verdana" w:hAnsi="Verdana"/>
          <w:sz w:val="20"/>
          <w:szCs w:val="20"/>
        </w:rPr>
        <w:t xml:space="preserve"> no se refirieron a esta medida de reparación.</w:t>
      </w:r>
    </w:p>
    <w:p w14:paraId="3F543EEC" w14:textId="70BB1953" w:rsidR="002B1C06" w:rsidRPr="00351298" w:rsidRDefault="00A85664" w:rsidP="002B1C06">
      <w:pPr>
        <w:numPr>
          <w:ilvl w:val="0"/>
          <w:numId w:val="2"/>
        </w:numPr>
        <w:spacing w:before="120" w:after="120"/>
        <w:ind w:left="0" w:firstLine="0"/>
        <w:jc w:val="both"/>
        <w:rPr>
          <w:rFonts w:ascii="Verdana" w:hAnsi="Verdana"/>
          <w:i/>
          <w:sz w:val="20"/>
          <w:szCs w:val="20"/>
        </w:rPr>
      </w:pPr>
      <w:r w:rsidRPr="00351298">
        <w:rPr>
          <w:rFonts w:ascii="Verdana" w:hAnsi="Verdana"/>
          <w:iCs/>
          <w:sz w:val="20"/>
          <w:szCs w:val="20"/>
        </w:rPr>
        <w:t>E</w:t>
      </w:r>
      <w:r w:rsidR="00F53DAC" w:rsidRPr="00351298">
        <w:rPr>
          <w:rFonts w:ascii="Verdana" w:hAnsi="Verdana"/>
          <w:iCs/>
          <w:sz w:val="20"/>
          <w:szCs w:val="20"/>
        </w:rPr>
        <w:t xml:space="preserve">l </w:t>
      </w:r>
      <w:r w:rsidR="00F53DAC" w:rsidRPr="00351298">
        <w:rPr>
          <w:rFonts w:ascii="Verdana" w:hAnsi="Verdana"/>
          <w:b/>
          <w:bCs/>
          <w:i/>
          <w:sz w:val="20"/>
          <w:szCs w:val="20"/>
        </w:rPr>
        <w:t>Estado</w:t>
      </w:r>
      <w:r w:rsidR="00F53DAC" w:rsidRPr="00351298">
        <w:rPr>
          <w:rFonts w:ascii="Verdana" w:hAnsi="Verdana"/>
          <w:iCs/>
          <w:sz w:val="20"/>
          <w:szCs w:val="20"/>
        </w:rPr>
        <w:t xml:space="preserve"> </w:t>
      </w:r>
      <w:r w:rsidR="00F53DAC" w:rsidRPr="00351298">
        <w:rPr>
          <w:rFonts w:ascii="Verdana" w:hAnsi="Verdana"/>
          <w:sz w:val="20"/>
          <w:szCs w:val="20"/>
        </w:rPr>
        <w:t>hizo referencia a las formaciones que ya se encuentra implementando en este momento</w:t>
      </w:r>
      <w:r w:rsidR="00F53DAC" w:rsidRPr="00351298">
        <w:rPr>
          <w:rFonts w:ascii="Verdana" w:hAnsi="Verdana"/>
          <w:i/>
          <w:sz w:val="20"/>
          <w:szCs w:val="20"/>
        </w:rPr>
        <w:t>.</w:t>
      </w:r>
      <w:r w:rsidR="000A0F03" w:rsidRPr="00351298">
        <w:rPr>
          <w:rFonts w:ascii="Verdana" w:hAnsi="Verdana"/>
          <w:iCs/>
          <w:sz w:val="20"/>
          <w:szCs w:val="20"/>
        </w:rPr>
        <w:t xml:space="preserve"> </w:t>
      </w:r>
      <w:r w:rsidR="00F9683C" w:rsidRPr="008353CF">
        <w:rPr>
          <w:rFonts w:ascii="Verdana" w:hAnsi="Verdana"/>
          <w:iCs/>
          <w:sz w:val="20"/>
          <w:szCs w:val="20"/>
        </w:rPr>
        <w:t>Aludió en</w:t>
      </w:r>
      <w:r w:rsidR="002B1C06" w:rsidRPr="008353CF">
        <w:rPr>
          <w:rFonts w:ascii="Verdana" w:hAnsi="Verdana"/>
          <w:iCs/>
          <w:sz w:val="20"/>
          <w:szCs w:val="20"/>
        </w:rPr>
        <w:t xml:space="preserve"> forma</w:t>
      </w:r>
      <w:r w:rsidR="002B1C06" w:rsidRPr="00351298">
        <w:rPr>
          <w:rFonts w:ascii="Verdana" w:hAnsi="Verdana"/>
          <w:iCs/>
          <w:sz w:val="20"/>
          <w:szCs w:val="20"/>
        </w:rPr>
        <w:t xml:space="preserve"> detallada a los siguientes programas: a) Curso “Prohibición absoluta de tortura y tratos crueles, inhumanos y degradantes en la investigación de todo crimen, incluso aquellos relacionados con el crimen organizado”; b) Curso “Prevención de la Tortura”; c) Curso para la Fiscalía General de Justicia del Estado de México. Curso de Capacitación Informe No. 13 de la CIDH, caso 13.333. Informe de Fondo Daniel García Rodríguez y Reyes </w:t>
      </w:r>
      <w:r w:rsidR="007F4A7E" w:rsidRPr="00351298">
        <w:rPr>
          <w:rFonts w:ascii="Verdana" w:hAnsi="Verdana"/>
          <w:iCs/>
          <w:sz w:val="20"/>
          <w:szCs w:val="20"/>
        </w:rPr>
        <w:t>Alpízar</w:t>
      </w:r>
      <w:r w:rsidR="002B1C06" w:rsidRPr="00351298">
        <w:rPr>
          <w:rFonts w:ascii="Verdana" w:hAnsi="Verdana"/>
          <w:iCs/>
          <w:sz w:val="20"/>
          <w:szCs w:val="20"/>
        </w:rPr>
        <w:t xml:space="preserve"> Ortiz; d) </w:t>
      </w:r>
      <w:r w:rsidR="002B1C06" w:rsidRPr="00351298">
        <w:rPr>
          <w:rFonts w:ascii="Verdana" w:hAnsi="Verdana"/>
          <w:iCs/>
          <w:sz w:val="20"/>
          <w:szCs w:val="20"/>
        </w:rPr>
        <w:lastRenderedPageBreak/>
        <w:t xml:space="preserve">Curso “Convención Americana sobre los Derechos Humanos”, “Derecho a la Igualdad y Trato digno” y “Cartilla de los Derechos de las Personas Detenidas”; e) Curso “Protocolo de Estambul” y “Derechos Humanos y Sistema Penitenciario”, y f) Programación Anual de Capacitación de la FGJEM. </w:t>
      </w:r>
      <w:r w:rsidR="000A0F03" w:rsidRPr="00351298">
        <w:rPr>
          <w:rFonts w:ascii="Verdana" w:hAnsi="Verdana"/>
          <w:iCs/>
          <w:sz w:val="20"/>
          <w:szCs w:val="20"/>
        </w:rPr>
        <w:t>En virtud de lo anterior, consideró que se ha dado cumplimiento a la recomendación de la Comisión IDH, y manifestó su</w:t>
      </w:r>
      <w:r w:rsidR="002B1C06" w:rsidRPr="00351298">
        <w:rPr>
          <w:rFonts w:ascii="Verdana" w:hAnsi="Verdana"/>
          <w:iCs/>
          <w:sz w:val="20"/>
          <w:szCs w:val="20"/>
        </w:rPr>
        <w:t xml:space="preserve"> voluntad de continuar con los mencionados cursos de capacitación a los funcionarios de la Subprocuraduría de Justicia de Tlalnepantla en la materia.</w:t>
      </w:r>
    </w:p>
    <w:p w14:paraId="00534C01" w14:textId="57245626" w:rsidR="002B1C06" w:rsidRPr="00351298" w:rsidRDefault="002B1C06" w:rsidP="002B1C06">
      <w:pPr>
        <w:numPr>
          <w:ilvl w:val="0"/>
          <w:numId w:val="2"/>
        </w:numPr>
        <w:spacing w:before="120" w:after="120"/>
        <w:ind w:left="0" w:firstLine="0"/>
        <w:jc w:val="both"/>
        <w:rPr>
          <w:rFonts w:ascii="Verdana" w:hAnsi="Verdana"/>
          <w:i/>
          <w:sz w:val="20"/>
          <w:szCs w:val="20"/>
        </w:rPr>
      </w:pPr>
      <w:r w:rsidRPr="00351298">
        <w:rPr>
          <w:rFonts w:ascii="Verdana" w:hAnsi="Verdana"/>
          <w:iCs/>
          <w:sz w:val="20"/>
          <w:szCs w:val="20"/>
        </w:rPr>
        <w:t xml:space="preserve">La </w:t>
      </w:r>
      <w:r w:rsidRPr="00351298">
        <w:rPr>
          <w:rFonts w:ascii="Verdana" w:hAnsi="Verdana"/>
          <w:b/>
          <w:bCs/>
          <w:i/>
          <w:sz w:val="20"/>
          <w:szCs w:val="20"/>
        </w:rPr>
        <w:t>Corte</w:t>
      </w:r>
      <w:r w:rsidRPr="00351298">
        <w:rPr>
          <w:rFonts w:ascii="Verdana" w:hAnsi="Verdana"/>
          <w:iCs/>
          <w:sz w:val="20"/>
          <w:szCs w:val="20"/>
        </w:rPr>
        <w:t xml:space="preserve"> valora positivamente el señalamiento estatal sobre las formaciones que ya se encuentra implementando en este momento y su voluntad de continuar con los mencionados cursos de capacitación a los funcionarios de la Subprocuraduría de Justicia de Tlalnepantla. Sin perjuicio de lo anterior, en atención a la naturaleza de los hechos que dieron lugar a las violaciones a derechos humanos determinadas en el presente caso, este Tribunal ordena al Estado que, en el plazo de un año, integre en la Programación Anual de Capacitación de la FGJEM, capacitaciones sobre la prohibición absoluta de tortura y tratos crueles, inhumanos y degradantes en la investigación de todo crimen. La </w:t>
      </w:r>
      <w:r w:rsidR="00530C3B" w:rsidRPr="008353CF">
        <w:rPr>
          <w:rFonts w:ascii="Verdana" w:hAnsi="Verdana"/>
          <w:iCs/>
          <w:sz w:val="20"/>
          <w:szCs w:val="20"/>
        </w:rPr>
        <w:t>capacitación</w:t>
      </w:r>
      <w:r w:rsidR="00A76163">
        <w:rPr>
          <w:rFonts w:ascii="Verdana" w:hAnsi="Verdana"/>
          <w:iCs/>
          <w:sz w:val="20"/>
          <w:szCs w:val="20"/>
        </w:rPr>
        <w:t xml:space="preserve"> </w:t>
      </w:r>
      <w:r w:rsidRPr="00351298">
        <w:rPr>
          <w:rFonts w:ascii="Verdana" w:hAnsi="Verdana"/>
          <w:iCs/>
          <w:sz w:val="20"/>
          <w:szCs w:val="20"/>
        </w:rPr>
        <w:t>deberá contar con la respectiva asignación presupuestaria.</w:t>
      </w:r>
    </w:p>
    <w:p w14:paraId="5508A6BE" w14:textId="2D45DF2D" w:rsidR="00F04487" w:rsidRPr="00351298" w:rsidRDefault="00F04487" w:rsidP="00F04487">
      <w:pPr>
        <w:pStyle w:val="Ttulo2"/>
        <w:numPr>
          <w:ilvl w:val="0"/>
          <w:numId w:val="9"/>
        </w:numPr>
        <w:spacing w:before="240" w:after="240"/>
        <w:rPr>
          <w:rFonts w:ascii="Verdana" w:hAnsi="Verdana"/>
          <w:i/>
          <w:color w:val="auto"/>
          <w:sz w:val="20"/>
          <w:szCs w:val="20"/>
        </w:rPr>
      </w:pPr>
      <w:bookmarkStart w:id="139" w:name="_Toc132133948"/>
      <w:r w:rsidRPr="00351298">
        <w:rPr>
          <w:rFonts w:ascii="Verdana" w:hAnsi="Verdana"/>
          <w:i/>
          <w:color w:val="auto"/>
          <w:sz w:val="20"/>
          <w:szCs w:val="20"/>
        </w:rPr>
        <w:t>Medida de satisfacción</w:t>
      </w:r>
      <w:bookmarkEnd w:id="139"/>
      <w:r w:rsidRPr="00351298">
        <w:rPr>
          <w:rFonts w:ascii="Verdana" w:hAnsi="Verdana"/>
          <w:i/>
          <w:color w:val="auto"/>
          <w:sz w:val="20"/>
          <w:szCs w:val="20"/>
        </w:rPr>
        <w:t xml:space="preserve"> </w:t>
      </w:r>
    </w:p>
    <w:p w14:paraId="56298E5E" w14:textId="02861260" w:rsidR="00F04487" w:rsidRPr="00351298" w:rsidRDefault="00F04487" w:rsidP="00F04487">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Los </w:t>
      </w:r>
      <w:r w:rsidRPr="00351298">
        <w:rPr>
          <w:rFonts w:ascii="Verdana" w:hAnsi="Verdana"/>
          <w:b/>
          <w:i/>
          <w:sz w:val="20"/>
          <w:szCs w:val="20"/>
        </w:rPr>
        <w:t>representantes</w:t>
      </w:r>
      <w:r w:rsidRPr="00351298">
        <w:rPr>
          <w:rFonts w:ascii="Verdana" w:hAnsi="Verdana"/>
          <w:sz w:val="20"/>
          <w:szCs w:val="20"/>
        </w:rPr>
        <w:t xml:space="preserve"> </w:t>
      </w:r>
      <w:r w:rsidR="00E3686D" w:rsidRPr="00351298">
        <w:rPr>
          <w:rFonts w:ascii="Verdana" w:hAnsi="Verdana"/>
          <w:sz w:val="20"/>
          <w:szCs w:val="20"/>
        </w:rPr>
        <w:t>solicitaron</w:t>
      </w:r>
      <w:r w:rsidRPr="00351298">
        <w:rPr>
          <w:rFonts w:ascii="Verdana" w:hAnsi="Verdana"/>
          <w:sz w:val="20"/>
          <w:szCs w:val="20"/>
        </w:rPr>
        <w:t xml:space="preserve"> </w:t>
      </w:r>
      <w:r w:rsidR="00E3686D" w:rsidRPr="00351298">
        <w:rPr>
          <w:rFonts w:ascii="Verdana" w:hAnsi="Verdana"/>
          <w:sz w:val="20"/>
          <w:szCs w:val="20"/>
        </w:rPr>
        <w:t>que se ordene publicar “en el Diario Oficial y en otro diario de circulación nacional el resumen de la sentencia que dicte sobre el presente caso. Asimismo, que el Estado publique el texto íntegro de la sentencia, al menos por un año, en un sitio web oficial del Estado que sea adecuado, tomando en cuenta las características de la publicación que se ordena realizar”</w:t>
      </w:r>
      <w:r w:rsidRPr="00351298">
        <w:rPr>
          <w:rFonts w:ascii="Verdana" w:hAnsi="Verdana"/>
          <w:sz w:val="20"/>
          <w:szCs w:val="20"/>
        </w:rPr>
        <w:t xml:space="preserve">. </w:t>
      </w:r>
      <w:r w:rsidR="00E3686D" w:rsidRPr="00351298">
        <w:rPr>
          <w:rFonts w:ascii="Verdana" w:hAnsi="Verdana"/>
          <w:sz w:val="20"/>
          <w:szCs w:val="20"/>
        </w:rPr>
        <w:t xml:space="preserve">La </w:t>
      </w:r>
      <w:r w:rsidR="00E3686D" w:rsidRPr="00351298">
        <w:rPr>
          <w:rFonts w:ascii="Verdana" w:hAnsi="Verdana"/>
          <w:b/>
          <w:bCs/>
          <w:i/>
          <w:iCs/>
          <w:sz w:val="20"/>
          <w:szCs w:val="20"/>
        </w:rPr>
        <w:t>Comisión</w:t>
      </w:r>
      <w:r w:rsidR="00E3686D" w:rsidRPr="00351298">
        <w:rPr>
          <w:rFonts w:ascii="Verdana" w:hAnsi="Verdana"/>
          <w:sz w:val="20"/>
          <w:szCs w:val="20"/>
        </w:rPr>
        <w:t xml:space="preserve"> no se refirió a esta medida de reparación.</w:t>
      </w:r>
    </w:p>
    <w:p w14:paraId="13478DA2" w14:textId="7BACB11D" w:rsidR="00F04487" w:rsidRPr="00351298" w:rsidRDefault="00F04487" w:rsidP="00F04487">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El </w:t>
      </w:r>
      <w:r w:rsidRPr="00351298">
        <w:rPr>
          <w:rFonts w:ascii="Verdana" w:hAnsi="Verdana"/>
          <w:b/>
          <w:bCs/>
          <w:i/>
          <w:iCs/>
          <w:sz w:val="20"/>
          <w:szCs w:val="20"/>
        </w:rPr>
        <w:t>Estado</w:t>
      </w:r>
      <w:r w:rsidRPr="00351298">
        <w:rPr>
          <w:rFonts w:ascii="Verdana" w:hAnsi="Verdana"/>
          <w:sz w:val="20"/>
          <w:szCs w:val="20"/>
        </w:rPr>
        <w:t xml:space="preserve"> indicó que en caso de que la Corte llegara a emitir una sentencia, “se compromete </w:t>
      </w:r>
      <w:r w:rsidR="00A85664" w:rsidRPr="00351298">
        <w:rPr>
          <w:rFonts w:ascii="Verdana" w:hAnsi="Verdana"/>
          <w:sz w:val="20"/>
          <w:szCs w:val="20"/>
        </w:rPr>
        <w:t>[…]</w:t>
      </w:r>
      <w:r w:rsidRPr="00351298">
        <w:rPr>
          <w:rFonts w:ascii="Verdana" w:hAnsi="Verdana"/>
          <w:sz w:val="20"/>
          <w:szCs w:val="20"/>
        </w:rPr>
        <w:t xml:space="preserve"> a realizar las medidas de publicación y difusión de la misma”. Del mismo modo, la Corte nota que el Acta de Entendimiento establece que el Estado se compromete “a publicar en dos diarios de circulación nacional el resumen del Informe de Fondo, y a publicar el documento íntegro en las páginas web de las Secretarías propuestas por los representantes”.</w:t>
      </w:r>
    </w:p>
    <w:p w14:paraId="3B113F64" w14:textId="36B654C6" w:rsidR="00F04487" w:rsidRDefault="00F04487" w:rsidP="00F04487">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De conformidad con lo anterior, la </w:t>
      </w:r>
      <w:r w:rsidRPr="00351298">
        <w:rPr>
          <w:rFonts w:ascii="Verdana" w:hAnsi="Verdana"/>
          <w:b/>
          <w:i/>
          <w:sz w:val="20"/>
          <w:szCs w:val="20"/>
        </w:rPr>
        <w:t xml:space="preserve">Corte </w:t>
      </w:r>
      <w:r w:rsidRPr="00351298">
        <w:rPr>
          <w:rFonts w:ascii="Verdana" w:hAnsi="Verdana"/>
          <w:sz w:val="20"/>
          <w:szCs w:val="20"/>
        </w:rPr>
        <w:t>dispone, como lo ha hecho en otros casos</w:t>
      </w:r>
      <w:r w:rsidRPr="00351298">
        <w:rPr>
          <w:rStyle w:val="Refdenotaalpie"/>
          <w:rFonts w:ascii="Verdana" w:hAnsi="Verdana"/>
          <w:sz w:val="20"/>
        </w:rPr>
        <w:footnoteReference w:id="282"/>
      </w:r>
      <w:r w:rsidRPr="00351298">
        <w:rPr>
          <w:rFonts w:ascii="Verdana" w:hAnsi="Verdana"/>
          <w:sz w:val="20"/>
          <w:szCs w:val="20"/>
        </w:rPr>
        <w:t xml:space="preserve">, que el Estado publique, en el plazo de seis meses, contado a partir de la notificación de la presente Sentencia, en un tamaño de letra legible y adecuado: a) el resumen oficial de la presente Sentencia elaborado por la Corte, por una sola vez, en el Diario Oficial; b) </w:t>
      </w:r>
      <w:r w:rsidR="00D913F7" w:rsidRPr="00D913F7">
        <w:rPr>
          <w:rFonts w:ascii="Verdana" w:hAnsi="Verdana"/>
          <w:sz w:val="20"/>
          <w:szCs w:val="20"/>
        </w:rPr>
        <w:t>el resumen oficial de la presente</w:t>
      </w:r>
      <w:r w:rsidR="00D913F7">
        <w:rPr>
          <w:rFonts w:ascii="Verdana" w:hAnsi="Verdana"/>
          <w:sz w:val="20"/>
          <w:szCs w:val="20"/>
        </w:rPr>
        <w:t xml:space="preserve"> </w:t>
      </w:r>
      <w:r w:rsidR="00D913F7" w:rsidRPr="00D913F7">
        <w:rPr>
          <w:rFonts w:ascii="Verdana" w:hAnsi="Verdana"/>
          <w:sz w:val="20"/>
          <w:szCs w:val="20"/>
        </w:rPr>
        <w:t>Sentencia elaborado por la Corte, por una sola vez, en un en un medio de comunicación de</w:t>
      </w:r>
      <w:r w:rsidR="00D913F7">
        <w:rPr>
          <w:rFonts w:ascii="Verdana" w:hAnsi="Verdana"/>
          <w:sz w:val="20"/>
          <w:szCs w:val="20"/>
        </w:rPr>
        <w:t xml:space="preserve"> </w:t>
      </w:r>
      <w:r w:rsidR="00D913F7" w:rsidRPr="00D913F7">
        <w:rPr>
          <w:rFonts w:ascii="Verdana" w:hAnsi="Verdana"/>
          <w:sz w:val="20"/>
          <w:szCs w:val="20"/>
        </w:rPr>
        <w:t>amplia circulación nacional</w:t>
      </w:r>
      <w:r w:rsidRPr="00351298">
        <w:rPr>
          <w:rFonts w:ascii="Verdana" w:hAnsi="Verdana"/>
          <w:sz w:val="20"/>
          <w:szCs w:val="20"/>
        </w:rPr>
        <w:t xml:space="preserve">, y c) la presente Sentencia en su integridad, disponible por un período de un año, en un sitio web oficial del Gobierno del Estado </w:t>
      </w:r>
      <w:r w:rsidR="00D913F7">
        <w:rPr>
          <w:rFonts w:ascii="Verdana" w:hAnsi="Verdana"/>
          <w:sz w:val="20"/>
          <w:szCs w:val="20"/>
        </w:rPr>
        <w:t>de México</w:t>
      </w:r>
      <w:r w:rsidRPr="00351298">
        <w:rPr>
          <w:rFonts w:ascii="Verdana" w:hAnsi="Verdana"/>
          <w:sz w:val="20"/>
          <w:szCs w:val="20"/>
        </w:rPr>
        <w:t xml:space="preserve">, de una manera accesible al público y desde la página de inicio del sitio web. El Estado deberá informar de manera inmediata a este Tribunal una vez que proceda a realizar cada una de las publicaciones dispuestas, independientemente del plazo de un año para presentar su primer informe dispuesto en el punto resolutivo </w:t>
      </w:r>
      <w:r w:rsidR="00960128">
        <w:rPr>
          <w:rFonts w:ascii="Verdana" w:hAnsi="Verdana"/>
          <w:sz w:val="20"/>
          <w:szCs w:val="20"/>
        </w:rPr>
        <w:t>19</w:t>
      </w:r>
      <w:r w:rsidRPr="00351298">
        <w:rPr>
          <w:rFonts w:ascii="Verdana" w:hAnsi="Verdana"/>
          <w:sz w:val="20"/>
          <w:szCs w:val="20"/>
        </w:rPr>
        <w:t xml:space="preserve"> de la presente Sentencia.</w:t>
      </w:r>
    </w:p>
    <w:p w14:paraId="269EF41D" w14:textId="77777777" w:rsidR="00F04487" w:rsidRPr="00685509" w:rsidRDefault="00F04487" w:rsidP="00685509">
      <w:pPr>
        <w:pStyle w:val="Ttulo2"/>
        <w:numPr>
          <w:ilvl w:val="0"/>
          <w:numId w:val="9"/>
        </w:numPr>
        <w:spacing w:before="240" w:after="240"/>
        <w:rPr>
          <w:rFonts w:ascii="Verdana" w:hAnsi="Verdana"/>
          <w:i/>
          <w:color w:val="auto"/>
          <w:sz w:val="20"/>
          <w:szCs w:val="20"/>
        </w:rPr>
      </w:pPr>
      <w:bookmarkStart w:id="140" w:name="_Toc132133949"/>
      <w:r w:rsidRPr="00685509">
        <w:rPr>
          <w:rFonts w:ascii="Verdana" w:hAnsi="Verdana"/>
          <w:i/>
          <w:color w:val="auto"/>
          <w:sz w:val="20"/>
          <w:szCs w:val="20"/>
        </w:rPr>
        <w:t>Medidas de rehabilitación</w:t>
      </w:r>
      <w:bookmarkEnd w:id="140"/>
    </w:p>
    <w:p w14:paraId="021FBBD9" w14:textId="234937A6" w:rsidR="001A57A4" w:rsidRPr="00351298" w:rsidRDefault="00F04487"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La </w:t>
      </w:r>
      <w:r w:rsidRPr="00351298">
        <w:rPr>
          <w:rFonts w:ascii="Verdana" w:hAnsi="Verdana"/>
          <w:b/>
          <w:bCs/>
          <w:i/>
          <w:iCs/>
          <w:sz w:val="20"/>
          <w:szCs w:val="20"/>
        </w:rPr>
        <w:t>Comisión</w:t>
      </w:r>
      <w:r w:rsidRPr="00351298">
        <w:rPr>
          <w:rFonts w:ascii="Verdana" w:hAnsi="Verdana"/>
          <w:sz w:val="20"/>
          <w:szCs w:val="20"/>
        </w:rPr>
        <w:t xml:space="preserve"> solicitó que se ordenen “las medidas de rehabilitación con tratamiento de salud físico o mental a las víctimas del caso”.</w:t>
      </w:r>
      <w:r w:rsidR="00E54917" w:rsidRPr="00351298">
        <w:rPr>
          <w:rFonts w:ascii="Verdana" w:hAnsi="Verdana"/>
          <w:sz w:val="20"/>
          <w:szCs w:val="20"/>
        </w:rPr>
        <w:t xml:space="preserve"> </w:t>
      </w:r>
      <w:r w:rsidRPr="00351298">
        <w:rPr>
          <w:rFonts w:ascii="Verdana" w:hAnsi="Verdana"/>
          <w:sz w:val="20"/>
          <w:szCs w:val="20"/>
        </w:rPr>
        <w:t xml:space="preserve">Los </w:t>
      </w:r>
      <w:r w:rsidRPr="00351298">
        <w:rPr>
          <w:rFonts w:ascii="Verdana" w:hAnsi="Verdana"/>
          <w:b/>
          <w:i/>
          <w:sz w:val="20"/>
          <w:szCs w:val="20"/>
        </w:rPr>
        <w:t>representantes</w:t>
      </w:r>
      <w:r w:rsidRPr="00351298">
        <w:rPr>
          <w:rFonts w:ascii="Verdana" w:hAnsi="Verdana"/>
          <w:sz w:val="20"/>
          <w:szCs w:val="20"/>
        </w:rPr>
        <w:t xml:space="preserve"> </w:t>
      </w:r>
      <w:r w:rsidR="001A57A4" w:rsidRPr="00351298">
        <w:rPr>
          <w:rFonts w:ascii="Verdana" w:hAnsi="Verdana"/>
          <w:sz w:val="20"/>
          <w:szCs w:val="20"/>
        </w:rPr>
        <w:t>solicitaron que se ordene brindar “tratamiento y asistencia médica especializada y psicosocial a los integrantes de las familias de García Rodríguez y de</w:t>
      </w:r>
      <w:r w:rsidR="00B83EE4" w:rsidRPr="00351298">
        <w:rPr>
          <w:rFonts w:ascii="Verdana" w:hAnsi="Verdana"/>
          <w:sz w:val="20"/>
          <w:szCs w:val="20"/>
        </w:rPr>
        <w:t xml:space="preserve"> </w:t>
      </w:r>
      <w:r w:rsidR="001A57A4" w:rsidRPr="00351298">
        <w:rPr>
          <w:rFonts w:ascii="Verdana" w:hAnsi="Verdana"/>
          <w:sz w:val="20"/>
          <w:szCs w:val="20"/>
        </w:rPr>
        <w:t>Reyes Alpízar, atendiendo a las condiciones individuales de cada una de las víctimas y las afectaciones particulares que presenten”.</w:t>
      </w:r>
      <w:r w:rsidR="00B83EE4" w:rsidRPr="00351298">
        <w:rPr>
          <w:rFonts w:ascii="Verdana" w:hAnsi="Verdana"/>
          <w:sz w:val="20"/>
          <w:szCs w:val="20"/>
        </w:rPr>
        <w:t xml:space="preserve"> Indicaron asimismo que dicha asistencia “debería ser provista por cuanto tiempo sea necesario e incluir el costo de los </w:t>
      </w:r>
      <w:r w:rsidR="00B83EE4" w:rsidRPr="00351298">
        <w:rPr>
          <w:rFonts w:ascii="Verdana" w:hAnsi="Verdana"/>
          <w:sz w:val="20"/>
          <w:szCs w:val="20"/>
        </w:rPr>
        <w:lastRenderedPageBreak/>
        <w:t>medicamentos que hagan parte del tratamiento. El centro médico que les brinde dicha atención física y psicosocial debería ser elegido de mutuo acuerdo con los beneficiarios y tomar en cuenta las circunstancias y necesidades particulares de cada caso”.</w:t>
      </w:r>
    </w:p>
    <w:p w14:paraId="6C94E688" w14:textId="3B3BA454" w:rsidR="00F04487" w:rsidRPr="00351298" w:rsidRDefault="00F04487"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El </w:t>
      </w:r>
      <w:r w:rsidRPr="00351298">
        <w:rPr>
          <w:rFonts w:ascii="Verdana" w:hAnsi="Verdana"/>
          <w:b/>
          <w:bCs/>
          <w:i/>
          <w:iCs/>
          <w:sz w:val="20"/>
          <w:szCs w:val="20"/>
        </w:rPr>
        <w:t>Estado</w:t>
      </w:r>
      <w:r w:rsidRPr="00351298">
        <w:rPr>
          <w:rFonts w:ascii="Verdana" w:hAnsi="Verdana"/>
          <w:sz w:val="20"/>
          <w:szCs w:val="20"/>
        </w:rPr>
        <w:t xml:space="preserve"> </w:t>
      </w:r>
      <w:r w:rsidR="000827DA" w:rsidRPr="00351298">
        <w:rPr>
          <w:rFonts w:ascii="Verdana" w:hAnsi="Verdana"/>
          <w:sz w:val="20"/>
          <w:szCs w:val="20"/>
        </w:rPr>
        <w:t>se refirió</w:t>
      </w:r>
      <w:r w:rsidR="00F467E6" w:rsidRPr="00351298">
        <w:rPr>
          <w:rFonts w:ascii="Verdana" w:hAnsi="Verdana"/>
          <w:sz w:val="20"/>
          <w:szCs w:val="20"/>
        </w:rPr>
        <w:t xml:space="preserve"> </w:t>
      </w:r>
      <w:r w:rsidR="000827DA" w:rsidRPr="00351298">
        <w:rPr>
          <w:rFonts w:ascii="Verdana" w:hAnsi="Verdana"/>
          <w:sz w:val="20"/>
          <w:szCs w:val="20"/>
        </w:rPr>
        <w:t>al</w:t>
      </w:r>
      <w:r w:rsidR="00F467E6" w:rsidRPr="00351298">
        <w:rPr>
          <w:rFonts w:ascii="Verdana" w:hAnsi="Verdana"/>
          <w:sz w:val="20"/>
          <w:szCs w:val="20"/>
        </w:rPr>
        <w:t xml:space="preserve"> apoyo brindado a las víctimas </w:t>
      </w:r>
      <w:r w:rsidR="00F53DAC" w:rsidRPr="00351298">
        <w:rPr>
          <w:rFonts w:ascii="Verdana" w:hAnsi="Verdana"/>
          <w:sz w:val="20"/>
          <w:szCs w:val="20"/>
        </w:rPr>
        <w:t>“</w:t>
      </w:r>
      <w:r w:rsidR="00F467E6" w:rsidRPr="00351298">
        <w:rPr>
          <w:rFonts w:ascii="Verdana" w:hAnsi="Verdana"/>
          <w:sz w:val="20"/>
          <w:szCs w:val="20"/>
        </w:rPr>
        <w:t xml:space="preserve">mediante la Comisión Ejecutiva de Atención a Víctimas del Estado de México, tal y como se detalló en el informe presentado a la Comisión IDH el 23 de octubre de 2020, quienes fueron inscritas al Registro Estatal de Víctimas con los números REV-059-2019-RDH (Reyes </w:t>
      </w:r>
      <w:r w:rsidR="007F4A7E" w:rsidRPr="00351298">
        <w:rPr>
          <w:rFonts w:ascii="Verdana" w:hAnsi="Verdana"/>
          <w:sz w:val="20"/>
          <w:szCs w:val="20"/>
        </w:rPr>
        <w:t>Alpízar</w:t>
      </w:r>
      <w:r w:rsidR="00F467E6" w:rsidRPr="00351298">
        <w:rPr>
          <w:rFonts w:ascii="Verdana" w:hAnsi="Verdana"/>
          <w:sz w:val="20"/>
          <w:szCs w:val="20"/>
        </w:rPr>
        <w:t xml:space="preserve"> </w:t>
      </w:r>
      <w:r w:rsidR="00D349F9">
        <w:rPr>
          <w:rFonts w:ascii="Verdana" w:hAnsi="Verdana"/>
          <w:sz w:val="20"/>
          <w:szCs w:val="20"/>
        </w:rPr>
        <w:t>Ortiz</w:t>
      </w:r>
      <w:r w:rsidR="00F467E6" w:rsidRPr="00351298">
        <w:rPr>
          <w:rFonts w:ascii="Verdana" w:hAnsi="Verdana"/>
          <w:sz w:val="20"/>
          <w:szCs w:val="20"/>
        </w:rPr>
        <w:t>) y REV-060-2019-RDH (Daniel García Rodríguez)</w:t>
      </w:r>
      <w:r w:rsidR="00F53DAC" w:rsidRPr="00351298">
        <w:rPr>
          <w:rFonts w:ascii="Verdana" w:hAnsi="Verdana"/>
          <w:sz w:val="20"/>
          <w:szCs w:val="20"/>
        </w:rPr>
        <w:t>”</w:t>
      </w:r>
      <w:r w:rsidR="00F467E6" w:rsidRPr="00351298">
        <w:rPr>
          <w:rFonts w:ascii="Verdana" w:hAnsi="Verdana"/>
          <w:sz w:val="20"/>
          <w:szCs w:val="20"/>
        </w:rPr>
        <w:t>. Además, hizo referencia detallada a la atención psicológica brindada en las clínicas de estrés postraumático de Tlalnepantla a los familiares de Daniel García Rodríguez y Reyes Alpízar Ortiz</w:t>
      </w:r>
      <w:r w:rsidR="00BE6A1B" w:rsidRPr="00351298">
        <w:rPr>
          <w:rFonts w:ascii="Verdana" w:hAnsi="Verdana"/>
          <w:sz w:val="20"/>
          <w:szCs w:val="20"/>
        </w:rPr>
        <w:t xml:space="preserve"> así como a sus familiares, en la Unidad de Trabajo Social y en la de Unidad de Atención Psicosocial</w:t>
      </w:r>
      <w:r w:rsidR="000827DA" w:rsidRPr="00351298">
        <w:rPr>
          <w:rFonts w:ascii="Verdana" w:hAnsi="Verdana"/>
          <w:sz w:val="20"/>
          <w:szCs w:val="20"/>
        </w:rPr>
        <w:t>. En virtud de lo anterior, reiteró su disposición “para brindar servicios de atención médica a las personas beneficiarias, lo anterior, a través de canalizaciones a los servicios de salud pública que requieran sus diagnósticos individuales”.</w:t>
      </w:r>
    </w:p>
    <w:p w14:paraId="68195C46" w14:textId="5690A109" w:rsidR="008F34C2" w:rsidRPr="00351298" w:rsidRDefault="32FFFB04" w:rsidP="00D73463">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En el presente caso, la </w:t>
      </w:r>
      <w:r w:rsidRPr="1D64B15C">
        <w:rPr>
          <w:rFonts w:ascii="Verdana" w:hAnsi="Verdana"/>
          <w:b/>
          <w:bCs/>
          <w:i/>
          <w:iCs/>
          <w:sz w:val="20"/>
          <w:szCs w:val="20"/>
        </w:rPr>
        <w:t xml:space="preserve">Corte </w:t>
      </w:r>
      <w:r w:rsidRPr="1D64B15C">
        <w:rPr>
          <w:rFonts w:ascii="Verdana" w:hAnsi="Verdana"/>
          <w:sz w:val="20"/>
          <w:szCs w:val="20"/>
        </w:rPr>
        <w:t>ha determinado la afectación a la integridad personal por hechos de tortura en perjuicio de Daniel García Rodríguez y de Reyes Alpízar</w:t>
      </w:r>
      <w:r w:rsidR="394F9CB0" w:rsidRPr="1D64B15C">
        <w:rPr>
          <w:rFonts w:ascii="Verdana" w:hAnsi="Verdana"/>
          <w:sz w:val="20"/>
          <w:szCs w:val="20"/>
        </w:rPr>
        <w:t xml:space="preserve"> Ortiz</w:t>
      </w:r>
      <w:r w:rsidRPr="1D64B15C">
        <w:rPr>
          <w:rFonts w:ascii="Verdana" w:hAnsi="Verdana"/>
          <w:sz w:val="20"/>
          <w:szCs w:val="20"/>
        </w:rPr>
        <w:t xml:space="preserve"> (</w:t>
      </w:r>
      <w:r w:rsidRPr="1D64B15C">
        <w:rPr>
          <w:rFonts w:ascii="Verdana" w:hAnsi="Verdana"/>
          <w:i/>
          <w:iCs/>
          <w:sz w:val="20"/>
          <w:szCs w:val="20"/>
        </w:rPr>
        <w:t>supra</w:t>
      </w:r>
      <w:r w:rsidRPr="1D64B15C">
        <w:rPr>
          <w:rFonts w:ascii="Verdana" w:hAnsi="Verdana"/>
          <w:sz w:val="20"/>
          <w:szCs w:val="20"/>
        </w:rPr>
        <w:t xml:space="preserve"> </w:t>
      </w:r>
      <w:r w:rsidR="00DF46AA">
        <w:rPr>
          <w:rFonts w:ascii="Verdana" w:hAnsi="Verdana"/>
          <w:sz w:val="20"/>
          <w:szCs w:val="20"/>
        </w:rPr>
        <w:t>Capítulo VIII.2.B.1)</w:t>
      </w:r>
      <w:r w:rsidRPr="1D64B15C">
        <w:rPr>
          <w:rFonts w:ascii="Verdana" w:hAnsi="Verdana"/>
          <w:sz w:val="20"/>
          <w:szCs w:val="20"/>
        </w:rPr>
        <w:t xml:space="preserve">. Por ello, </w:t>
      </w:r>
      <w:r w:rsidRPr="1D64B15C">
        <w:rPr>
          <w:rFonts w:ascii="Verdana" w:hAnsi="Verdana"/>
          <w:sz w:val="20"/>
          <w:szCs w:val="20"/>
          <w:lang w:val="es-ES"/>
        </w:rPr>
        <w:t>este Tribunal considera que es preciso disponer una medida de reparación que brinde una atención adecuada a los padecimientos psicológicos y/o psiquiátricos sufridos por esas dos víctimas.</w:t>
      </w:r>
      <w:r w:rsidRPr="1D64B15C">
        <w:rPr>
          <w:rFonts w:ascii="Verdana" w:hAnsi="Verdana"/>
          <w:sz w:val="20"/>
          <w:szCs w:val="20"/>
        </w:rPr>
        <w:t xml:space="preserve"> </w:t>
      </w:r>
      <w:r w:rsidRPr="1D64B15C">
        <w:rPr>
          <w:rFonts w:ascii="Verdana" w:hAnsi="Verdana"/>
          <w:sz w:val="20"/>
          <w:szCs w:val="20"/>
          <w:lang w:val="es-ES"/>
        </w:rPr>
        <w:t>En consecuencia, esta Corte ordena al Estado que, conforme las pautas que se indican en los párrafos siguientes, brinde a tales personas tratamiento médico, psicológico</w:t>
      </w:r>
      <w:r w:rsidR="00CB31B8">
        <w:rPr>
          <w:rFonts w:ascii="Verdana" w:hAnsi="Verdana"/>
          <w:sz w:val="20"/>
          <w:szCs w:val="20"/>
          <w:lang w:val="es-ES"/>
        </w:rPr>
        <w:t xml:space="preserve"> y/</w:t>
      </w:r>
      <w:r w:rsidRPr="1D64B15C">
        <w:rPr>
          <w:rFonts w:ascii="Verdana" w:hAnsi="Verdana"/>
          <w:sz w:val="20"/>
          <w:szCs w:val="20"/>
          <w:lang w:val="es-ES"/>
        </w:rPr>
        <w:t xml:space="preserve">o psiquiátrico, en tanto estas así lo requieran.  </w:t>
      </w:r>
    </w:p>
    <w:p w14:paraId="710B3EA6" w14:textId="77777777" w:rsidR="008F34C2" w:rsidRPr="00351298" w:rsidRDefault="008F34C2" w:rsidP="008F34C2">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El </w:t>
      </w:r>
      <w:r w:rsidRPr="3BF92891">
        <w:rPr>
          <w:rFonts w:ascii="Verdana" w:hAnsi="Verdana"/>
          <w:sz w:val="20"/>
          <w:szCs w:val="20"/>
          <w:lang w:val="es-ES"/>
        </w:rPr>
        <w:t>tratamiento</w:t>
      </w:r>
      <w:r w:rsidRPr="00351298">
        <w:rPr>
          <w:rFonts w:ascii="Verdana" w:hAnsi="Verdana"/>
          <w:sz w:val="20"/>
          <w:szCs w:val="20"/>
        </w:rPr>
        <w:t xml:space="preserve"> deberá prestarse a las víctimas en forma gratuita y prioritaria, y deberá incluir la provisión de los </w:t>
      </w:r>
      <w:r w:rsidRPr="3BF92891">
        <w:rPr>
          <w:rFonts w:ascii="Verdana" w:hAnsi="Verdana"/>
          <w:sz w:val="20"/>
          <w:szCs w:val="20"/>
          <w:lang w:val="es-ES"/>
        </w:rPr>
        <w:t xml:space="preserve">medicamentos que pudieran ser necesarios y, en su caso, el transporte y otros </w:t>
      </w:r>
      <w:r w:rsidRPr="00351298">
        <w:rPr>
          <w:rFonts w:ascii="Verdana" w:hAnsi="Verdana"/>
          <w:sz w:val="20"/>
          <w:szCs w:val="20"/>
        </w:rPr>
        <w:t>gastos</w:t>
      </w:r>
      <w:r w:rsidRPr="3BF92891">
        <w:rPr>
          <w:rFonts w:ascii="Verdana" w:hAnsi="Verdana"/>
          <w:sz w:val="20"/>
          <w:szCs w:val="20"/>
          <w:lang w:val="es-ES"/>
        </w:rPr>
        <w:t xml:space="preserve"> directamente relacionados y necesarios. El tratamiento, asimismo, deberá prestarse, en la medida de lo posible, en los centros más cercanos a los lugares de residencia de las personas beneficiarias, por el tiempo que sea necesario. Al proveer los tratamientos deben considerarse las circunstancias y necesidades particulares de cada víctima, según lo que se acuerde con ella y después de una evaluación individual</w:t>
      </w:r>
      <w:r w:rsidRPr="3BF92891">
        <w:rPr>
          <w:rFonts w:ascii="Verdana" w:eastAsia="MS Mincho" w:hAnsi="Verdana"/>
          <w:sz w:val="20"/>
          <w:szCs w:val="20"/>
          <w:vertAlign w:val="superscript"/>
          <w:lang w:val="es-ES"/>
        </w:rPr>
        <w:footnoteReference w:id="283"/>
      </w:r>
      <w:r w:rsidRPr="3BF92891">
        <w:rPr>
          <w:rFonts w:ascii="Verdana" w:hAnsi="Verdana"/>
          <w:sz w:val="20"/>
          <w:szCs w:val="20"/>
          <w:lang w:val="es-ES"/>
        </w:rPr>
        <w:t xml:space="preserve">. </w:t>
      </w:r>
    </w:p>
    <w:p w14:paraId="60089697" w14:textId="1151A4AD" w:rsidR="008F34C2" w:rsidRPr="00351298" w:rsidRDefault="008F34C2" w:rsidP="00D73463">
      <w:pPr>
        <w:numPr>
          <w:ilvl w:val="0"/>
          <w:numId w:val="2"/>
        </w:numPr>
        <w:spacing w:before="120" w:after="120"/>
        <w:ind w:left="0" w:firstLine="0"/>
        <w:jc w:val="both"/>
        <w:rPr>
          <w:rFonts w:ascii="Verdana" w:hAnsi="Verdana"/>
          <w:sz w:val="20"/>
          <w:szCs w:val="20"/>
        </w:rPr>
      </w:pPr>
      <w:r w:rsidRPr="3BF92891">
        <w:rPr>
          <w:rFonts w:ascii="Verdana" w:hAnsi="Verdana"/>
          <w:sz w:val="20"/>
          <w:szCs w:val="20"/>
          <w:lang w:val="es-ES"/>
        </w:rPr>
        <w:t>Las personas beneficiarias disponen de un plazo de seis meses, contado a partir de la notificación de la presente Sentencia, para confirmar al Estado su intención de recibir atención médica, psicológica y/o psiquiátrica</w:t>
      </w:r>
      <w:r w:rsidRPr="3BF92891">
        <w:rPr>
          <w:rFonts w:ascii="Verdana" w:eastAsia="MS Mincho" w:hAnsi="Verdana"/>
          <w:sz w:val="20"/>
          <w:szCs w:val="20"/>
          <w:vertAlign w:val="superscript"/>
          <w:lang w:val="es-ES"/>
        </w:rPr>
        <w:footnoteReference w:id="284"/>
      </w:r>
      <w:r w:rsidRPr="3BF92891">
        <w:rPr>
          <w:rFonts w:ascii="Verdana" w:hAnsi="Verdana"/>
          <w:sz w:val="20"/>
          <w:szCs w:val="20"/>
          <w:lang w:val="es-ES"/>
        </w:rPr>
        <w:t>. A su vez, el Estado dispondrá de un plazo máximo de seis meses, contado a partir de la recepción de dicha solicitud, para comenzar a brindar de manera efectiva la atención solicitada. En cualquier caso, sin perjuicio de los plazos establecidos, el Estado debe cumplir la medida ordenada con la máxima celeridad posible. Si las personas beneficiarias no comunicaren en el plazo establecido su intención de recibir atención médica, psicológica y/o psiquiátrica el Estado queda eximido de brindarla.</w:t>
      </w:r>
    </w:p>
    <w:p w14:paraId="50B00726" w14:textId="77777777" w:rsidR="00866208" w:rsidRPr="00351298" w:rsidRDefault="00866208" w:rsidP="00866208">
      <w:pPr>
        <w:pStyle w:val="Ttulo2"/>
        <w:numPr>
          <w:ilvl w:val="0"/>
          <w:numId w:val="9"/>
        </w:numPr>
        <w:spacing w:before="240" w:after="240"/>
        <w:rPr>
          <w:rFonts w:ascii="Verdana" w:hAnsi="Verdana"/>
          <w:i/>
          <w:color w:val="auto"/>
          <w:sz w:val="20"/>
          <w:szCs w:val="20"/>
        </w:rPr>
      </w:pPr>
      <w:bookmarkStart w:id="141" w:name="_Toc132133950"/>
      <w:r w:rsidRPr="00351298">
        <w:rPr>
          <w:rFonts w:ascii="Verdana" w:hAnsi="Verdana"/>
          <w:i/>
          <w:color w:val="auto"/>
          <w:sz w:val="20"/>
          <w:szCs w:val="20"/>
        </w:rPr>
        <w:t>Otras Medidas solicitadas</w:t>
      </w:r>
      <w:bookmarkEnd w:id="141"/>
    </w:p>
    <w:p w14:paraId="0CF6603C" w14:textId="58E43806" w:rsidR="00E726F9" w:rsidRDefault="00E726F9" w:rsidP="00E726F9">
      <w:pPr>
        <w:numPr>
          <w:ilvl w:val="0"/>
          <w:numId w:val="2"/>
        </w:numPr>
        <w:spacing w:before="120" w:after="120"/>
        <w:ind w:left="0" w:firstLine="0"/>
        <w:jc w:val="both"/>
        <w:rPr>
          <w:rFonts w:ascii="Verdana" w:hAnsi="Verdana"/>
          <w:sz w:val="20"/>
          <w:szCs w:val="20"/>
        </w:rPr>
      </w:pPr>
      <w:r>
        <w:rPr>
          <w:rFonts w:ascii="Verdana" w:hAnsi="Verdana"/>
          <w:sz w:val="20"/>
          <w:szCs w:val="20"/>
        </w:rPr>
        <w:t>L</w:t>
      </w:r>
      <w:r w:rsidRPr="00351298">
        <w:rPr>
          <w:rFonts w:ascii="Verdana" w:hAnsi="Verdana"/>
          <w:sz w:val="20"/>
          <w:szCs w:val="20"/>
        </w:rPr>
        <w:t xml:space="preserve">os </w:t>
      </w:r>
      <w:r w:rsidRPr="00351298">
        <w:rPr>
          <w:rFonts w:ascii="Verdana" w:hAnsi="Verdana"/>
          <w:b/>
          <w:i/>
          <w:sz w:val="20"/>
          <w:szCs w:val="20"/>
        </w:rPr>
        <w:t>representantes</w:t>
      </w:r>
      <w:r w:rsidRPr="00351298">
        <w:rPr>
          <w:rFonts w:ascii="Verdana" w:hAnsi="Verdana"/>
          <w:sz w:val="20"/>
          <w:szCs w:val="20"/>
        </w:rPr>
        <w:t xml:space="preserve"> solicitaron que se ordene al Estado ofrecer “una disculpa pública a las víctimas y realizar un acto público de reconocimiento de responsabilidad por los hechos del presente caso en el Municipio de Atizapán de Zaragoza, donde fue detenido, arraigado y exhibido como delincuente Daniel García Rodríguez. Sostuvieron que dicho acto debe llevarse a cabo dentro del año siguiente de la notificación de la sentencia y en él, deben participar representantes del más alto nivel del Gobierno Federal y del Gobierno del Estado de México. La realización y demás </w:t>
      </w:r>
      <w:r w:rsidRPr="00351298">
        <w:rPr>
          <w:rFonts w:ascii="Verdana" w:hAnsi="Verdana"/>
          <w:sz w:val="20"/>
          <w:szCs w:val="20"/>
        </w:rPr>
        <w:lastRenderedPageBreak/>
        <w:t xml:space="preserve">particularidades de dicha ceremonia pública deben consultarse previa y debidamente con los miembros de la familia García Rodríguez, cuyos gastos de asistencia al acto deben ser cubiertos por el Estado”. Los representantes no hicieron referencia a Reyes Alpízar en su solicitud. La </w:t>
      </w:r>
      <w:r w:rsidRPr="00351298">
        <w:rPr>
          <w:rFonts w:ascii="Verdana" w:hAnsi="Verdana"/>
          <w:b/>
          <w:i/>
          <w:sz w:val="20"/>
          <w:szCs w:val="20"/>
        </w:rPr>
        <w:t>Comisión</w:t>
      </w:r>
      <w:r w:rsidRPr="00351298">
        <w:rPr>
          <w:rFonts w:ascii="Verdana" w:hAnsi="Verdana"/>
          <w:sz w:val="20"/>
          <w:szCs w:val="20"/>
        </w:rPr>
        <w:t xml:space="preserve"> </w:t>
      </w:r>
      <w:r w:rsidRPr="00351298">
        <w:rPr>
          <w:rFonts w:ascii="Verdana" w:hAnsi="Verdana" w:cs="Calibri-Light"/>
          <w:sz w:val="20"/>
          <w:szCs w:val="20"/>
        </w:rPr>
        <w:t>no se refirió específicamente a esta medida</w:t>
      </w:r>
      <w:r w:rsidRPr="00351298">
        <w:rPr>
          <w:rFonts w:ascii="Verdana" w:hAnsi="Verdana"/>
          <w:sz w:val="20"/>
          <w:szCs w:val="20"/>
        </w:rPr>
        <w:t xml:space="preserve">. </w:t>
      </w:r>
    </w:p>
    <w:p w14:paraId="36A2A67D" w14:textId="690C6421" w:rsidR="00E726F9" w:rsidRPr="00E726F9" w:rsidRDefault="00E726F9" w:rsidP="00E726F9">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El </w:t>
      </w:r>
      <w:r w:rsidRPr="00351298">
        <w:rPr>
          <w:rFonts w:ascii="Verdana" w:hAnsi="Verdana"/>
          <w:b/>
          <w:i/>
          <w:sz w:val="20"/>
          <w:szCs w:val="20"/>
        </w:rPr>
        <w:t>Estado</w:t>
      </w:r>
      <w:r w:rsidRPr="00351298">
        <w:rPr>
          <w:rFonts w:ascii="Verdana" w:hAnsi="Verdana"/>
          <w:sz w:val="20"/>
          <w:szCs w:val="20"/>
        </w:rPr>
        <w:t xml:space="preserve"> indicó que reiteraba su voluntad, en caso de que esta Corte determine responsabilidad internacional, para se realice un acto de reconocimiento y disculpa pública respecto de las posibles violaciones a los derechos humanos de los señores Daniel García Rodríguez y Reyes Alpízar Ortiz, para erradicar la percepción social de culpabilidad en relación con los hechos investigados. Indicó asimismo que el formato del acto de reconocimiento y disculpa pública se acordará con las personas peticionarias y con su representación.</w:t>
      </w:r>
      <w:r w:rsidRPr="008F475D">
        <w:rPr>
          <w:rFonts w:ascii="Verdana" w:hAnsi="Verdana"/>
          <w:sz w:val="20"/>
          <w:szCs w:val="20"/>
        </w:rPr>
        <w:t xml:space="preserve"> </w:t>
      </w:r>
    </w:p>
    <w:p w14:paraId="02C25F9F" w14:textId="6102C3DA" w:rsidR="00E726F9" w:rsidRDefault="00E726F9" w:rsidP="00A85664">
      <w:pPr>
        <w:numPr>
          <w:ilvl w:val="0"/>
          <w:numId w:val="2"/>
        </w:numPr>
        <w:spacing w:before="120" w:after="120"/>
        <w:ind w:left="0" w:firstLine="0"/>
        <w:jc w:val="both"/>
        <w:rPr>
          <w:rFonts w:ascii="Verdana" w:hAnsi="Verdana"/>
          <w:sz w:val="20"/>
          <w:szCs w:val="20"/>
        </w:rPr>
      </w:pPr>
      <w:r>
        <w:rPr>
          <w:rFonts w:ascii="Verdana" w:hAnsi="Verdana"/>
          <w:sz w:val="20"/>
          <w:szCs w:val="20"/>
        </w:rPr>
        <w:t>Por otra lado, l</w:t>
      </w:r>
      <w:r w:rsidR="00866208" w:rsidRPr="00351298">
        <w:rPr>
          <w:rFonts w:ascii="Verdana" w:hAnsi="Verdana"/>
          <w:sz w:val="20"/>
          <w:szCs w:val="20"/>
        </w:rPr>
        <w:t xml:space="preserve">os </w:t>
      </w:r>
      <w:r w:rsidR="00866208" w:rsidRPr="00351298">
        <w:rPr>
          <w:rFonts w:ascii="Verdana" w:hAnsi="Verdana"/>
          <w:b/>
          <w:bCs/>
          <w:i/>
          <w:iCs/>
          <w:sz w:val="20"/>
          <w:szCs w:val="20"/>
        </w:rPr>
        <w:t>representantes</w:t>
      </w:r>
      <w:r w:rsidR="00866208" w:rsidRPr="00351298">
        <w:rPr>
          <w:rFonts w:ascii="Verdana" w:hAnsi="Verdana"/>
          <w:sz w:val="20"/>
          <w:szCs w:val="20"/>
        </w:rPr>
        <w:t xml:space="preserve"> </w:t>
      </w:r>
      <w:r>
        <w:rPr>
          <w:rFonts w:ascii="Verdana" w:hAnsi="Verdana"/>
          <w:sz w:val="20"/>
          <w:szCs w:val="20"/>
        </w:rPr>
        <w:t>requirieron</w:t>
      </w:r>
      <w:r w:rsidRPr="00351298">
        <w:rPr>
          <w:rFonts w:ascii="Verdana" w:hAnsi="Verdana"/>
          <w:sz w:val="20"/>
          <w:szCs w:val="20"/>
        </w:rPr>
        <w:t xml:space="preserve"> </w:t>
      </w:r>
      <w:r w:rsidR="00866208" w:rsidRPr="00351298">
        <w:rPr>
          <w:rFonts w:ascii="Verdana" w:hAnsi="Verdana"/>
          <w:sz w:val="20"/>
          <w:szCs w:val="20"/>
        </w:rPr>
        <w:t>que</w:t>
      </w:r>
      <w:r w:rsidR="00A911D9" w:rsidRPr="00351298">
        <w:rPr>
          <w:rFonts w:ascii="Verdana" w:hAnsi="Verdana"/>
          <w:sz w:val="20"/>
          <w:szCs w:val="20"/>
        </w:rPr>
        <w:t xml:space="preserve"> se </w:t>
      </w:r>
      <w:r w:rsidR="00A911D9" w:rsidRPr="00157294">
        <w:rPr>
          <w:rFonts w:ascii="Verdana" w:hAnsi="Verdana"/>
          <w:sz w:val="20"/>
          <w:szCs w:val="20"/>
        </w:rPr>
        <w:t xml:space="preserve">lleve a cabo un pronunciamiento “ante el Estado Mexicano a fin de que se promueva la promulgación de normas y </w:t>
      </w:r>
      <w:r w:rsidR="00AA7A96" w:rsidRPr="00157294">
        <w:rPr>
          <w:rFonts w:ascii="Verdana" w:hAnsi="Verdana"/>
          <w:sz w:val="20"/>
          <w:szCs w:val="20"/>
        </w:rPr>
        <w:t xml:space="preserve">prácticas </w:t>
      </w:r>
      <w:r w:rsidR="00A911D9" w:rsidRPr="00157294">
        <w:rPr>
          <w:rFonts w:ascii="Verdana" w:hAnsi="Verdana"/>
          <w:sz w:val="20"/>
          <w:szCs w:val="20"/>
        </w:rPr>
        <w:t xml:space="preserve">efectivas de combate a la impunidad frente al actuar ilegítimo del Ministerio Publico, sus agentes y auxiliares en </w:t>
      </w:r>
      <w:r w:rsidR="00AA7A96" w:rsidRPr="00157294">
        <w:rPr>
          <w:rFonts w:ascii="Verdana" w:hAnsi="Verdana"/>
          <w:sz w:val="20"/>
          <w:szCs w:val="20"/>
        </w:rPr>
        <w:t>el desarrollo</w:t>
      </w:r>
      <w:r w:rsidR="00A911D9" w:rsidRPr="00157294">
        <w:rPr>
          <w:rFonts w:ascii="Verdana" w:hAnsi="Verdana"/>
          <w:sz w:val="20"/>
          <w:szCs w:val="20"/>
        </w:rPr>
        <w:t xml:space="preserve"> de</w:t>
      </w:r>
      <w:r w:rsidR="00D55A02" w:rsidRPr="00157294">
        <w:rPr>
          <w:rFonts w:ascii="Verdana" w:hAnsi="Verdana"/>
          <w:sz w:val="20"/>
          <w:szCs w:val="20"/>
        </w:rPr>
        <w:t xml:space="preserve"> las</w:t>
      </w:r>
      <w:r w:rsidR="00A911D9" w:rsidRPr="00157294">
        <w:rPr>
          <w:rFonts w:ascii="Verdana" w:hAnsi="Verdana"/>
          <w:sz w:val="20"/>
          <w:szCs w:val="20"/>
        </w:rPr>
        <w:t xml:space="preserve"> investigac</w:t>
      </w:r>
      <w:r w:rsidR="00D55A02" w:rsidRPr="00157294">
        <w:rPr>
          <w:rFonts w:ascii="Verdana" w:hAnsi="Verdana"/>
          <w:sz w:val="20"/>
          <w:szCs w:val="20"/>
        </w:rPr>
        <w:t>iones</w:t>
      </w:r>
      <w:r w:rsidR="00A911D9" w:rsidRPr="00157294">
        <w:rPr>
          <w:rFonts w:ascii="Verdana" w:hAnsi="Verdana"/>
          <w:sz w:val="20"/>
          <w:szCs w:val="20"/>
        </w:rPr>
        <w:t>, en la aplicación de protocolos de actuación, especialmente cuando hay manipulación de cadena de custodia, o fabricación de pruebas o indicios o manipulación de evidencia o de pruebas, con el propósito de instrumentalizar a las instituciones para imputar falsos delitos”.</w:t>
      </w:r>
      <w:r w:rsidR="00E31ECD" w:rsidRPr="00157294">
        <w:rPr>
          <w:rFonts w:ascii="Verdana" w:hAnsi="Verdana"/>
          <w:sz w:val="20"/>
          <w:szCs w:val="20"/>
        </w:rPr>
        <w:t xml:space="preserve"> </w:t>
      </w:r>
    </w:p>
    <w:p w14:paraId="56B00463" w14:textId="7C50E53F" w:rsidR="00A911D9" w:rsidRPr="00351298" w:rsidRDefault="00A911D9" w:rsidP="00A85664">
      <w:pPr>
        <w:numPr>
          <w:ilvl w:val="0"/>
          <w:numId w:val="2"/>
        </w:numPr>
        <w:spacing w:before="120" w:after="120"/>
        <w:ind w:left="0" w:firstLine="0"/>
        <w:jc w:val="both"/>
        <w:rPr>
          <w:rFonts w:ascii="Verdana" w:hAnsi="Verdana"/>
          <w:sz w:val="20"/>
          <w:szCs w:val="20"/>
        </w:rPr>
      </w:pPr>
      <w:r w:rsidRPr="00157294">
        <w:rPr>
          <w:rFonts w:ascii="Verdana" w:hAnsi="Verdana"/>
          <w:sz w:val="20"/>
          <w:szCs w:val="20"/>
        </w:rPr>
        <w:t xml:space="preserve">En relación con esta </w:t>
      </w:r>
      <w:r w:rsidR="00E726F9">
        <w:rPr>
          <w:rFonts w:ascii="Verdana" w:hAnsi="Verdana"/>
          <w:sz w:val="20"/>
          <w:szCs w:val="20"/>
        </w:rPr>
        <w:t xml:space="preserve">solicitud de medida de </w:t>
      </w:r>
      <w:r w:rsidR="006A1256">
        <w:rPr>
          <w:rFonts w:ascii="Verdana" w:hAnsi="Verdana"/>
          <w:sz w:val="20"/>
          <w:szCs w:val="20"/>
        </w:rPr>
        <w:t>reparación</w:t>
      </w:r>
      <w:r w:rsidRPr="00157294">
        <w:rPr>
          <w:rFonts w:ascii="Verdana" w:hAnsi="Verdana"/>
          <w:sz w:val="20"/>
          <w:szCs w:val="20"/>
        </w:rPr>
        <w:t xml:space="preserve">, el </w:t>
      </w:r>
      <w:r w:rsidRPr="00157294">
        <w:rPr>
          <w:rFonts w:ascii="Verdana" w:hAnsi="Verdana"/>
          <w:b/>
          <w:bCs/>
          <w:i/>
          <w:iCs/>
          <w:sz w:val="20"/>
          <w:szCs w:val="20"/>
        </w:rPr>
        <w:t>Estado</w:t>
      </w:r>
      <w:r w:rsidRPr="00157294">
        <w:rPr>
          <w:rFonts w:ascii="Verdana" w:hAnsi="Verdana"/>
          <w:sz w:val="20"/>
          <w:szCs w:val="20"/>
        </w:rPr>
        <w:t xml:space="preserve"> indicó que “la Comisión IDH en ningún momento manifestó una posible fabricación del delito de homicidio</w:t>
      </w:r>
      <w:r w:rsidRPr="00351298">
        <w:rPr>
          <w:rFonts w:ascii="Verdana" w:hAnsi="Verdana"/>
          <w:sz w:val="20"/>
          <w:szCs w:val="20"/>
        </w:rPr>
        <w:t xml:space="preserve"> calificado en agravio de María de los Ángeles Tam</w:t>
      </w:r>
      <w:r w:rsidR="00A85664" w:rsidRPr="00351298">
        <w:rPr>
          <w:rFonts w:ascii="Verdana" w:hAnsi="Verdana"/>
          <w:sz w:val="20"/>
          <w:szCs w:val="20"/>
        </w:rPr>
        <w:t>é</w:t>
      </w:r>
      <w:r w:rsidRPr="00351298">
        <w:rPr>
          <w:rFonts w:ascii="Verdana" w:hAnsi="Verdana"/>
          <w:sz w:val="20"/>
          <w:szCs w:val="20"/>
        </w:rPr>
        <w:t>s, por lo que esta petición va más allá de la litis del presente caso. Aunado a lo anterior la representación de las presuntas víctimas sustenta esta solicitud de reparación derivado de los hechos distintos al marco fáctico fijado por la […] Comisión IDH en su informe de fondo”.</w:t>
      </w:r>
    </w:p>
    <w:p w14:paraId="4651E43E" w14:textId="731221EA" w:rsidR="00EB0A69" w:rsidRPr="00351298" w:rsidRDefault="00E726F9" w:rsidP="008F34C2">
      <w:pPr>
        <w:numPr>
          <w:ilvl w:val="0"/>
          <w:numId w:val="2"/>
        </w:numPr>
        <w:spacing w:before="120" w:after="120"/>
        <w:ind w:left="0" w:firstLine="0"/>
        <w:jc w:val="both"/>
        <w:rPr>
          <w:rFonts w:ascii="Verdana" w:hAnsi="Verdana"/>
          <w:sz w:val="20"/>
          <w:szCs w:val="20"/>
        </w:rPr>
      </w:pPr>
      <w:r>
        <w:rPr>
          <w:rFonts w:ascii="Verdana" w:hAnsi="Verdana"/>
          <w:sz w:val="20"/>
          <w:szCs w:val="20"/>
        </w:rPr>
        <w:t>Además</w:t>
      </w:r>
      <w:r w:rsidR="00A911D9" w:rsidRPr="00351298">
        <w:rPr>
          <w:rFonts w:ascii="Verdana" w:hAnsi="Verdana"/>
          <w:sz w:val="20"/>
          <w:szCs w:val="20"/>
        </w:rPr>
        <w:t xml:space="preserve">, los </w:t>
      </w:r>
      <w:r w:rsidR="00A911D9" w:rsidRPr="00351298">
        <w:rPr>
          <w:rFonts w:ascii="Verdana" w:hAnsi="Verdana"/>
          <w:b/>
          <w:bCs/>
          <w:i/>
          <w:iCs/>
          <w:sz w:val="20"/>
          <w:szCs w:val="20"/>
        </w:rPr>
        <w:t>representantes</w:t>
      </w:r>
      <w:r w:rsidR="00A911D9" w:rsidRPr="00351298">
        <w:rPr>
          <w:rFonts w:ascii="Verdana" w:hAnsi="Verdana"/>
          <w:sz w:val="20"/>
          <w:szCs w:val="20"/>
        </w:rPr>
        <w:t xml:space="preserve"> solicitaron </w:t>
      </w:r>
      <w:r w:rsidR="00213896" w:rsidRPr="00351298">
        <w:rPr>
          <w:rFonts w:ascii="Verdana" w:hAnsi="Verdana"/>
          <w:sz w:val="20"/>
          <w:szCs w:val="20"/>
        </w:rPr>
        <w:t>se ordene realizar “las diligencias necesarias para identificar a los autores materiales e intelectuales, procesar y sancionar a todos los funcionarios responsables tanto de la investigación, la fabricación de falsas acusaciones, la manipulación de testigos, la tortura, la negación de acceso a recursos judiciales adecuados y efectivos; a</w:t>
      </w:r>
      <w:r w:rsidR="002073F8">
        <w:rPr>
          <w:rFonts w:ascii="Verdana" w:hAnsi="Verdana"/>
          <w:sz w:val="20"/>
          <w:szCs w:val="20"/>
        </w:rPr>
        <w:t>sí</w:t>
      </w:r>
      <w:r w:rsidR="00A76163">
        <w:rPr>
          <w:rFonts w:ascii="Verdana" w:hAnsi="Verdana"/>
          <w:sz w:val="20"/>
          <w:szCs w:val="20"/>
        </w:rPr>
        <w:t xml:space="preserve"> </w:t>
      </w:r>
      <w:r w:rsidR="00213896" w:rsidRPr="00351298">
        <w:rPr>
          <w:rFonts w:ascii="Verdana" w:hAnsi="Verdana"/>
          <w:sz w:val="20"/>
          <w:szCs w:val="20"/>
        </w:rPr>
        <w:t xml:space="preserve">como a los responsables de la obstaculización a la tutela judicial efectiva del Estado”. </w:t>
      </w:r>
      <w:r w:rsidR="00EB0A69" w:rsidRPr="00351298">
        <w:rPr>
          <w:rFonts w:ascii="Verdana" w:hAnsi="Verdana"/>
          <w:sz w:val="20"/>
          <w:szCs w:val="20"/>
        </w:rPr>
        <w:t xml:space="preserve">Al respecto, </w:t>
      </w:r>
      <w:r w:rsidR="00A911D9" w:rsidRPr="00351298">
        <w:rPr>
          <w:rFonts w:ascii="Verdana" w:hAnsi="Verdana"/>
          <w:sz w:val="20"/>
          <w:szCs w:val="20"/>
        </w:rPr>
        <w:t xml:space="preserve">el </w:t>
      </w:r>
      <w:r w:rsidR="00A911D9" w:rsidRPr="00351298">
        <w:rPr>
          <w:rFonts w:ascii="Verdana" w:hAnsi="Verdana"/>
          <w:b/>
          <w:bCs/>
          <w:i/>
          <w:iCs/>
          <w:sz w:val="20"/>
          <w:szCs w:val="20"/>
        </w:rPr>
        <w:t>Estado</w:t>
      </w:r>
      <w:r w:rsidR="00A911D9" w:rsidRPr="00351298">
        <w:rPr>
          <w:rFonts w:ascii="Verdana" w:hAnsi="Verdana"/>
          <w:sz w:val="20"/>
          <w:szCs w:val="20"/>
        </w:rPr>
        <w:t xml:space="preserve"> afirmó que no era responsable “de la supuesta fabricación de falsas acusaciones, manipulación de testigos, tortura, negación de acceso a recursos judiciales adecuados y efectivos, así como de obstaculización a la tutela judicial efectiva del Estado. En ese sentido, consideró que “la petición resulta alejada de la litis planteada” y que “aun si se probara que existieron omisiones que derivaron en violaciones a la Convención Americana, de ello no se desprende la intencionalidad de la fabricación de falsas acusaciones, manipulación de testigos, tortura, negación de acceso a recursos judiciales adecuados y efectivos, así como de obstaculización a la tutela judicial efectiva del Estado”.</w:t>
      </w:r>
    </w:p>
    <w:p w14:paraId="60B6C77F" w14:textId="25698F1E" w:rsidR="008F475D" w:rsidRPr="00E726F9" w:rsidRDefault="008F475D" w:rsidP="008F475D">
      <w:pPr>
        <w:numPr>
          <w:ilvl w:val="0"/>
          <w:numId w:val="2"/>
        </w:numPr>
        <w:spacing w:before="120" w:after="120"/>
        <w:ind w:left="0" w:firstLine="0"/>
        <w:jc w:val="both"/>
        <w:rPr>
          <w:rFonts w:ascii="Verdana" w:hAnsi="Verdana"/>
          <w:sz w:val="20"/>
          <w:szCs w:val="20"/>
        </w:rPr>
      </w:pPr>
      <w:r w:rsidRPr="00E726F9">
        <w:rPr>
          <w:rFonts w:ascii="Verdana" w:hAnsi="Verdana"/>
          <w:sz w:val="20"/>
          <w:szCs w:val="20"/>
        </w:rPr>
        <w:t xml:space="preserve">En lo que respeta la solicitud relacionada con el acto público de reconocimiento, </w:t>
      </w:r>
      <w:r w:rsidR="00176725" w:rsidRPr="00E726F9">
        <w:rPr>
          <w:rFonts w:ascii="Verdana" w:hAnsi="Verdana"/>
          <w:sz w:val="20"/>
          <w:szCs w:val="20"/>
        </w:rPr>
        <w:t>l</w:t>
      </w:r>
      <w:r w:rsidRPr="00E726F9">
        <w:rPr>
          <w:rFonts w:ascii="Verdana" w:hAnsi="Verdana"/>
          <w:sz w:val="20"/>
          <w:szCs w:val="20"/>
        </w:rPr>
        <w:t xml:space="preserve">a </w:t>
      </w:r>
      <w:r w:rsidRPr="00E726F9">
        <w:rPr>
          <w:rFonts w:ascii="Verdana" w:hAnsi="Verdana"/>
          <w:b/>
          <w:bCs/>
          <w:i/>
          <w:iCs/>
          <w:sz w:val="20"/>
          <w:szCs w:val="20"/>
        </w:rPr>
        <w:t>Corte</w:t>
      </w:r>
      <w:r w:rsidRPr="00E726F9">
        <w:rPr>
          <w:rFonts w:ascii="Verdana" w:hAnsi="Verdana"/>
          <w:sz w:val="20"/>
          <w:szCs w:val="20"/>
        </w:rPr>
        <w:t xml:space="preserve"> considera que las medidas de reparación </w:t>
      </w:r>
      <w:r w:rsidR="00176725" w:rsidRPr="00E726F9">
        <w:rPr>
          <w:rFonts w:ascii="Verdana" w:hAnsi="Verdana"/>
          <w:sz w:val="20"/>
          <w:szCs w:val="20"/>
        </w:rPr>
        <w:t xml:space="preserve">ordenadas en la presente sentencia resultan suficientes por lo que no corresponde ordenar la medida </w:t>
      </w:r>
      <w:r w:rsidR="00E726F9" w:rsidRPr="00D04822">
        <w:rPr>
          <w:rFonts w:ascii="Verdana" w:hAnsi="Verdana"/>
          <w:sz w:val="20"/>
          <w:szCs w:val="20"/>
        </w:rPr>
        <w:t>planteada</w:t>
      </w:r>
      <w:r w:rsidR="00176725" w:rsidRPr="00E726F9">
        <w:rPr>
          <w:rFonts w:ascii="Verdana" w:hAnsi="Verdana"/>
          <w:sz w:val="20"/>
          <w:szCs w:val="20"/>
        </w:rPr>
        <w:t xml:space="preserve">. En cuando a las demás medias solicitadas, el Tribunal advierte que las mismas </w:t>
      </w:r>
      <w:r w:rsidRPr="00E726F9">
        <w:rPr>
          <w:rFonts w:ascii="Verdana" w:hAnsi="Verdana"/>
          <w:sz w:val="20"/>
          <w:szCs w:val="20"/>
        </w:rPr>
        <w:t>carecen de nexo causal con las violaciones declaradas en la presente Sentencia, por lo cual no estima procedente ordenarla.</w:t>
      </w:r>
    </w:p>
    <w:p w14:paraId="24BD5488" w14:textId="592EAB0E" w:rsidR="005537B2" w:rsidRPr="00D04822" w:rsidRDefault="005537B2" w:rsidP="005B635B">
      <w:pPr>
        <w:pStyle w:val="Ttulo2"/>
        <w:numPr>
          <w:ilvl w:val="0"/>
          <w:numId w:val="9"/>
        </w:numPr>
        <w:spacing w:before="240" w:after="240"/>
        <w:rPr>
          <w:rFonts w:ascii="Verdana" w:hAnsi="Verdana"/>
          <w:i/>
          <w:color w:val="auto"/>
          <w:sz w:val="20"/>
          <w:szCs w:val="20"/>
        </w:rPr>
      </w:pPr>
      <w:bookmarkStart w:id="142" w:name="_Toc131165468"/>
      <w:bookmarkStart w:id="143" w:name="_Toc131165469"/>
      <w:bookmarkStart w:id="144" w:name="_Toc131165470"/>
      <w:bookmarkStart w:id="145" w:name="_Toc131165471"/>
      <w:bookmarkStart w:id="146" w:name="_Toc131165472"/>
      <w:bookmarkStart w:id="147" w:name="_Toc131165473"/>
      <w:bookmarkStart w:id="148" w:name="_Toc131165474"/>
      <w:bookmarkStart w:id="149" w:name="_Toc132133951"/>
      <w:bookmarkEnd w:id="142"/>
      <w:bookmarkEnd w:id="143"/>
      <w:bookmarkEnd w:id="144"/>
      <w:bookmarkEnd w:id="145"/>
      <w:bookmarkEnd w:id="146"/>
      <w:bookmarkEnd w:id="147"/>
      <w:bookmarkEnd w:id="148"/>
      <w:r w:rsidRPr="008F475D">
        <w:rPr>
          <w:rFonts w:ascii="Verdana" w:hAnsi="Verdana"/>
          <w:i/>
          <w:color w:val="auto"/>
          <w:sz w:val="20"/>
          <w:szCs w:val="20"/>
        </w:rPr>
        <w:t>Indemnizaciones compensatorias</w:t>
      </w:r>
      <w:bookmarkEnd w:id="149"/>
      <w:r w:rsidRPr="008F475D">
        <w:rPr>
          <w:rFonts w:ascii="Verdana" w:hAnsi="Verdana"/>
          <w:i/>
          <w:color w:val="auto"/>
          <w:sz w:val="20"/>
          <w:szCs w:val="20"/>
        </w:rPr>
        <w:t xml:space="preserve"> </w:t>
      </w:r>
    </w:p>
    <w:p w14:paraId="52ED6C7F" w14:textId="779FF55A" w:rsidR="00A85664" w:rsidRPr="00351298" w:rsidRDefault="00FC028D" w:rsidP="006D011E">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La </w:t>
      </w:r>
      <w:r w:rsidRPr="00351298">
        <w:rPr>
          <w:rFonts w:ascii="Verdana" w:hAnsi="Verdana"/>
          <w:b/>
          <w:bCs/>
          <w:i/>
          <w:iCs/>
          <w:sz w:val="20"/>
          <w:szCs w:val="20"/>
        </w:rPr>
        <w:t>Comisión</w:t>
      </w:r>
      <w:r w:rsidRPr="00351298">
        <w:rPr>
          <w:rFonts w:ascii="Verdana" w:hAnsi="Verdana"/>
          <w:sz w:val="20"/>
          <w:szCs w:val="20"/>
        </w:rPr>
        <w:t xml:space="preserve"> solicitó que se otorgue la “compensación pecuniaria y de satisfacción, que incluyan el resarcimiento del daño material e inmaterial ocasionado como consecuencia de las violaciones declaradas, así como las medidas de rehabilitación con tratamiento de salud físico o mental a las víctimas del caso, y las medidas de investigación para establecer las responsabilidades correspondientes”.</w:t>
      </w:r>
      <w:r w:rsidR="00302BA1" w:rsidRPr="00351298">
        <w:rPr>
          <w:rFonts w:ascii="Verdana" w:hAnsi="Verdana"/>
          <w:sz w:val="20"/>
          <w:szCs w:val="20"/>
        </w:rPr>
        <w:t xml:space="preserve"> </w:t>
      </w:r>
      <w:r w:rsidR="005537B2" w:rsidRPr="00351298">
        <w:rPr>
          <w:rFonts w:ascii="Verdana" w:hAnsi="Verdana"/>
          <w:sz w:val="20"/>
          <w:szCs w:val="20"/>
        </w:rPr>
        <w:t xml:space="preserve">Los </w:t>
      </w:r>
      <w:r w:rsidR="005537B2" w:rsidRPr="00351298">
        <w:rPr>
          <w:rFonts w:ascii="Verdana" w:hAnsi="Verdana"/>
          <w:b/>
          <w:i/>
          <w:sz w:val="20"/>
          <w:szCs w:val="20"/>
        </w:rPr>
        <w:t>representantes</w:t>
      </w:r>
      <w:r w:rsidR="005537B2" w:rsidRPr="00351298">
        <w:rPr>
          <w:rFonts w:ascii="Verdana" w:hAnsi="Verdana"/>
          <w:sz w:val="20"/>
          <w:szCs w:val="20"/>
        </w:rPr>
        <w:t xml:space="preserve"> </w:t>
      </w:r>
      <w:r w:rsidR="00E3686D" w:rsidRPr="00351298">
        <w:rPr>
          <w:rFonts w:ascii="Verdana" w:hAnsi="Verdana"/>
          <w:sz w:val="20"/>
          <w:szCs w:val="20"/>
        </w:rPr>
        <w:t>solicitaron la “reparación integral por la vía de una indemnización a Daniel García, Reyes Alpízar y sus familiares, bajo la consideración del daño emergente, lucro cesante, medidas de retribución por contribuciones, y daño moral o inmaterial”</w:t>
      </w:r>
      <w:r w:rsidR="00685139" w:rsidRPr="00351298">
        <w:rPr>
          <w:rFonts w:ascii="Verdana" w:hAnsi="Verdana"/>
          <w:sz w:val="20"/>
          <w:szCs w:val="20"/>
        </w:rPr>
        <w:t>.</w:t>
      </w:r>
      <w:r w:rsidR="006D011E" w:rsidRPr="00351298">
        <w:rPr>
          <w:rFonts w:ascii="Verdana" w:hAnsi="Verdana"/>
          <w:sz w:val="20"/>
          <w:szCs w:val="20"/>
        </w:rPr>
        <w:t xml:space="preserve"> </w:t>
      </w:r>
    </w:p>
    <w:p w14:paraId="167A9C94" w14:textId="6F5CBBEA" w:rsidR="00455A78" w:rsidRPr="00351298" w:rsidRDefault="006D011E" w:rsidP="007A5F24">
      <w:pPr>
        <w:numPr>
          <w:ilvl w:val="0"/>
          <w:numId w:val="2"/>
        </w:numPr>
        <w:spacing w:before="120" w:after="120"/>
        <w:ind w:left="0" w:firstLine="0"/>
        <w:jc w:val="both"/>
        <w:rPr>
          <w:rFonts w:ascii="Verdana" w:hAnsi="Verdana"/>
          <w:sz w:val="20"/>
          <w:szCs w:val="20"/>
        </w:rPr>
      </w:pPr>
      <w:r w:rsidRPr="00351298">
        <w:rPr>
          <w:rFonts w:ascii="Verdana" w:hAnsi="Verdana"/>
          <w:sz w:val="20"/>
          <w:szCs w:val="20"/>
        </w:rPr>
        <w:lastRenderedPageBreak/>
        <w:t>En ese sentido, los representantes reclamaron: a) el pago de USD$150,000 (ciento cincuenta mil dólares de los Estados Unidos de América) a Daniel García Rodríguez, por concepto de gastos ocasionados en el presente caso; b) el pago de USD$150,000 (ciento cincuenta mil dólares de los Estados Unidos de América) a Daniel García Rodríguez por los gastos que fueron sufragados para darle de comer, vestir, asear atender la salud, pagar los medios de comunicación (tarjetas telefónicas) y transporte de visita</w:t>
      </w:r>
      <w:r w:rsidR="00D60C98" w:rsidRPr="00351298">
        <w:rPr>
          <w:rFonts w:ascii="Verdana" w:hAnsi="Verdana"/>
          <w:sz w:val="20"/>
          <w:szCs w:val="20"/>
        </w:rPr>
        <w:t xml:space="preserve">, durante los 17 años que estuvo </w:t>
      </w:r>
      <w:r w:rsidR="006A1256" w:rsidRPr="00351298">
        <w:rPr>
          <w:rFonts w:ascii="Verdana" w:hAnsi="Verdana"/>
          <w:sz w:val="20"/>
          <w:szCs w:val="20"/>
        </w:rPr>
        <w:t>privado</w:t>
      </w:r>
      <w:r w:rsidR="00D60C98" w:rsidRPr="00351298">
        <w:rPr>
          <w:rFonts w:ascii="Verdana" w:hAnsi="Verdana"/>
          <w:sz w:val="20"/>
          <w:szCs w:val="20"/>
        </w:rPr>
        <w:t xml:space="preserve"> de la libertad</w:t>
      </w:r>
      <w:r w:rsidRPr="00351298">
        <w:rPr>
          <w:rFonts w:ascii="Verdana" w:hAnsi="Verdana"/>
          <w:sz w:val="20"/>
          <w:szCs w:val="20"/>
        </w:rPr>
        <w:t>;</w:t>
      </w:r>
      <w:r w:rsidR="00A91AD4" w:rsidRPr="00351298">
        <w:rPr>
          <w:rFonts w:ascii="Verdana" w:hAnsi="Verdana"/>
          <w:sz w:val="20"/>
          <w:szCs w:val="20"/>
        </w:rPr>
        <w:t xml:space="preserve"> </w:t>
      </w:r>
      <w:r w:rsidRPr="00351298">
        <w:rPr>
          <w:rFonts w:ascii="Verdana" w:hAnsi="Verdana"/>
          <w:sz w:val="20"/>
          <w:szCs w:val="20"/>
        </w:rPr>
        <w:t>c) el pago de USD$50,000 (cincuenta mil dólares de los Estados Unidos de América) a Reyes Alpízar</w:t>
      </w:r>
      <w:r w:rsidR="007C78FA" w:rsidRPr="00351298">
        <w:rPr>
          <w:rFonts w:ascii="Verdana" w:hAnsi="Verdana"/>
          <w:sz w:val="20"/>
          <w:szCs w:val="20"/>
        </w:rPr>
        <w:t xml:space="preserve"> Ortiz </w:t>
      </w:r>
      <w:r w:rsidRPr="00351298">
        <w:rPr>
          <w:rFonts w:ascii="Verdana" w:hAnsi="Verdana"/>
          <w:sz w:val="20"/>
          <w:szCs w:val="20"/>
        </w:rPr>
        <w:t>por los gastos que fueron sufragados para darle de comer, vestir, asear atender la salud, pagar los medios de comunicación</w:t>
      </w:r>
      <w:r w:rsidR="00795815">
        <w:rPr>
          <w:rFonts w:ascii="Verdana" w:hAnsi="Verdana"/>
          <w:sz w:val="20"/>
          <w:szCs w:val="20"/>
        </w:rPr>
        <w:t xml:space="preserve"> </w:t>
      </w:r>
      <w:r w:rsidRPr="00351298">
        <w:rPr>
          <w:rFonts w:ascii="Verdana" w:hAnsi="Verdana"/>
          <w:sz w:val="20"/>
          <w:szCs w:val="20"/>
        </w:rPr>
        <w:t>(tarjetas telefónicas) y transporte de visita</w:t>
      </w:r>
      <w:r w:rsidR="00D60C98" w:rsidRPr="00351298">
        <w:rPr>
          <w:rFonts w:ascii="Verdana" w:hAnsi="Verdana"/>
          <w:sz w:val="20"/>
          <w:szCs w:val="20"/>
        </w:rPr>
        <w:t>, durante los 17 años que estuvo pr</w:t>
      </w:r>
      <w:r w:rsidR="00EF5E12" w:rsidRPr="00351298">
        <w:rPr>
          <w:rFonts w:ascii="Verdana" w:hAnsi="Verdana"/>
          <w:sz w:val="20"/>
          <w:szCs w:val="20"/>
        </w:rPr>
        <w:t>i</w:t>
      </w:r>
      <w:r w:rsidR="00D60C98" w:rsidRPr="00351298">
        <w:rPr>
          <w:rFonts w:ascii="Verdana" w:hAnsi="Verdana"/>
          <w:sz w:val="20"/>
          <w:szCs w:val="20"/>
        </w:rPr>
        <w:t>vado de la libertad;</w:t>
      </w:r>
      <w:r w:rsidR="00A91AD4" w:rsidRPr="00351298">
        <w:rPr>
          <w:rFonts w:ascii="Verdana" w:hAnsi="Verdana"/>
          <w:sz w:val="20"/>
          <w:szCs w:val="20"/>
        </w:rPr>
        <w:t xml:space="preserve"> </w:t>
      </w:r>
      <w:r w:rsidR="00D60C98" w:rsidRPr="00351298">
        <w:rPr>
          <w:rFonts w:ascii="Verdana" w:hAnsi="Verdana"/>
          <w:sz w:val="20"/>
          <w:szCs w:val="20"/>
        </w:rPr>
        <w:t>d) la cantidad de USD$2.000.000 (dos millones de dólares de los Estados Unidos de América) de lucro cesante en favor de Daniel García Rodríguez</w:t>
      </w:r>
      <w:r w:rsidR="00D60C98" w:rsidRPr="00351298">
        <w:rPr>
          <w:rStyle w:val="Refdenotaalpie"/>
          <w:rFonts w:ascii="Verdana" w:hAnsi="Verdana"/>
          <w:sz w:val="20"/>
        </w:rPr>
        <w:footnoteReference w:id="285"/>
      </w:r>
      <w:r w:rsidR="00D60C98" w:rsidRPr="00351298">
        <w:rPr>
          <w:rFonts w:ascii="Verdana" w:hAnsi="Verdana"/>
          <w:sz w:val="20"/>
          <w:szCs w:val="20"/>
        </w:rPr>
        <w:t>;</w:t>
      </w:r>
      <w:r w:rsidR="00A91AD4" w:rsidRPr="00351298">
        <w:rPr>
          <w:rFonts w:ascii="Verdana" w:hAnsi="Verdana"/>
          <w:sz w:val="20"/>
          <w:szCs w:val="20"/>
        </w:rPr>
        <w:t xml:space="preserve"> </w:t>
      </w:r>
      <w:r w:rsidR="00D60C98" w:rsidRPr="00351298">
        <w:rPr>
          <w:rFonts w:ascii="Verdana" w:hAnsi="Verdana"/>
          <w:sz w:val="20"/>
          <w:szCs w:val="20"/>
        </w:rPr>
        <w:t>e) la cantidad de USD$</w:t>
      </w:r>
      <w:r w:rsidR="00EF5E12" w:rsidRPr="00351298">
        <w:rPr>
          <w:rFonts w:ascii="Verdana" w:hAnsi="Verdana"/>
          <w:sz w:val="20"/>
          <w:szCs w:val="20"/>
        </w:rPr>
        <w:t xml:space="preserve"> 150</w:t>
      </w:r>
      <w:r w:rsidR="00D60C98" w:rsidRPr="00351298">
        <w:rPr>
          <w:rFonts w:ascii="Verdana" w:hAnsi="Verdana"/>
          <w:sz w:val="20"/>
          <w:szCs w:val="20"/>
        </w:rPr>
        <w:t>.000 (</w:t>
      </w:r>
      <w:r w:rsidR="00EF5E12" w:rsidRPr="00351298">
        <w:rPr>
          <w:rFonts w:ascii="Verdana" w:hAnsi="Verdana"/>
          <w:sz w:val="20"/>
          <w:szCs w:val="20"/>
        </w:rPr>
        <w:t>ciento cincuenta</w:t>
      </w:r>
      <w:r w:rsidR="00D60C98" w:rsidRPr="00351298">
        <w:rPr>
          <w:rFonts w:ascii="Verdana" w:hAnsi="Verdana"/>
          <w:sz w:val="20"/>
          <w:szCs w:val="20"/>
        </w:rPr>
        <w:t xml:space="preserve"> </w:t>
      </w:r>
      <w:r w:rsidR="00EF5E12" w:rsidRPr="00351298">
        <w:rPr>
          <w:rFonts w:ascii="Verdana" w:hAnsi="Verdana"/>
          <w:sz w:val="20"/>
          <w:szCs w:val="20"/>
        </w:rPr>
        <w:t>mil</w:t>
      </w:r>
      <w:r w:rsidR="00D60C98" w:rsidRPr="00351298">
        <w:rPr>
          <w:rFonts w:ascii="Verdana" w:hAnsi="Verdana"/>
          <w:sz w:val="20"/>
          <w:szCs w:val="20"/>
        </w:rPr>
        <w:t xml:space="preserve"> de dólares de los Estados Unidos de América) de lucro cesante en favor de </w:t>
      </w:r>
      <w:r w:rsidR="00CE7A39" w:rsidRPr="00351298">
        <w:rPr>
          <w:rFonts w:ascii="Verdana" w:hAnsi="Verdana"/>
          <w:sz w:val="20"/>
          <w:szCs w:val="20"/>
        </w:rPr>
        <w:t>Reyes Alpízar Ortiz</w:t>
      </w:r>
      <w:r w:rsidR="00EF5E12" w:rsidRPr="00351298">
        <w:rPr>
          <w:rStyle w:val="Refdenotaalpie"/>
          <w:rFonts w:ascii="Verdana" w:hAnsi="Verdana"/>
          <w:sz w:val="20"/>
        </w:rPr>
        <w:footnoteReference w:id="286"/>
      </w:r>
      <w:r w:rsidR="00390C4F" w:rsidRPr="00351298">
        <w:rPr>
          <w:rFonts w:ascii="Verdana" w:hAnsi="Verdana"/>
          <w:sz w:val="20"/>
          <w:szCs w:val="20"/>
        </w:rPr>
        <w:t>;</w:t>
      </w:r>
      <w:r w:rsidR="00A91AD4" w:rsidRPr="00351298">
        <w:rPr>
          <w:rFonts w:ascii="Verdana" w:hAnsi="Verdana"/>
          <w:sz w:val="20"/>
          <w:szCs w:val="20"/>
        </w:rPr>
        <w:t xml:space="preserve"> </w:t>
      </w:r>
      <w:r w:rsidR="00390C4F" w:rsidRPr="00351298">
        <w:rPr>
          <w:rFonts w:ascii="Verdana" w:hAnsi="Verdana"/>
          <w:sz w:val="20"/>
          <w:szCs w:val="20"/>
        </w:rPr>
        <w:t xml:space="preserve">f) la cantidad de USD$ 300.000 (trescientos mil de dólares de los </w:t>
      </w:r>
      <w:r w:rsidR="00390C4F" w:rsidRPr="00351298">
        <w:rPr>
          <w:rFonts w:ascii="Verdana" w:hAnsi="Verdana"/>
          <w:bCs/>
          <w:sz w:val="20"/>
          <w:szCs w:val="20"/>
        </w:rPr>
        <w:t>Estados</w:t>
      </w:r>
      <w:r w:rsidR="00390C4F" w:rsidRPr="00351298">
        <w:rPr>
          <w:rFonts w:ascii="Verdana" w:hAnsi="Verdana"/>
          <w:sz w:val="20"/>
          <w:szCs w:val="20"/>
        </w:rPr>
        <w:t xml:space="preserve"> </w:t>
      </w:r>
      <w:r w:rsidR="00390C4F" w:rsidRPr="00351298">
        <w:rPr>
          <w:rFonts w:ascii="Verdana" w:hAnsi="Verdana"/>
          <w:bCs/>
          <w:sz w:val="20"/>
          <w:szCs w:val="20"/>
        </w:rPr>
        <w:t>Unidos</w:t>
      </w:r>
      <w:r w:rsidR="00390C4F" w:rsidRPr="00351298">
        <w:rPr>
          <w:rFonts w:ascii="Verdana" w:hAnsi="Verdana"/>
          <w:sz w:val="20"/>
          <w:szCs w:val="20"/>
        </w:rPr>
        <w:t xml:space="preserve"> de América)</w:t>
      </w:r>
      <w:r w:rsidR="008731C2" w:rsidRPr="00351298">
        <w:rPr>
          <w:rFonts w:ascii="Verdana" w:hAnsi="Verdana"/>
          <w:sz w:val="20"/>
          <w:szCs w:val="20"/>
        </w:rPr>
        <w:t xml:space="preserve"> por el daño al patrimonio familiar de Daniel García</w:t>
      </w:r>
      <w:r w:rsidR="008731C2" w:rsidRPr="00351298">
        <w:rPr>
          <w:rStyle w:val="Refdenotaalpie"/>
          <w:rFonts w:ascii="Verdana" w:hAnsi="Verdana"/>
          <w:sz w:val="20"/>
        </w:rPr>
        <w:footnoteReference w:id="287"/>
      </w:r>
      <w:r w:rsidR="008731C2" w:rsidRPr="00351298">
        <w:rPr>
          <w:rFonts w:ascii="Verdana" w:hAnsi="Verdana"/>
          <w:sz w:val="20"/>
          <w:szCs w:val="20"/>
        </w:rPr>
        <w:t>; g</w:t>
      </w:r>
      <w:r w:rsidR="00455A78" w:rsidRPr="00351298">
        <w:rPr>
          <w:rFonts w:ascii="Verdana" w:hAnsi="Verdana"/>
          <w:sz w:val="20"/>
          <w:szCs w:val="20"/>
        </w:rPr>
        <w:t xml:space="preserve">) </w:t>
      </w:r>
      <w:r w:rsidR="00455A78" w:rsidRPr="00351298">
        <w:rPr>
          <w:rFonts w:ascii="Verdana" w:hAnsi="Verdana"/>
          <w:bCs/>
          <w:sz w:val="20"/>
          <w:szCs w:val="20"/>
        </w:rPr>
        <w:t>que conmine al Estado Mexicano a que dirija las comunicaciones pertinentes a las autoridades internas federales, estatales y municipales, para que de conformidad con sus procedimientos internos y con base en la legislación aplicable, determinen la cancelación, condonación o baja administrativa de cualesquier pago de derechos o contribuciones pendientes de pago, así como de cualesquier tipo de crédito fiscal derivado del incumplimiento de obligaciones federales, estatales y municipales que correspondan a las víctimas</w:t>
      </w:r>
      <w:r w:rsidR="00455A78" w:rsidRPr="00351298">
        <w:rPr>
          <w:rStyle w:val="Refdenotaalpie"/>
          <w:rFonts w:ascii="Verdana" w:hAnsi="Verdana"/>
          <w:sz w:val="20"/>
        </w:rPr>
        <w:footnoteReference w:id="288"/>
      </w:r>
      <w:r w:rsidR="00455A78" w:rsidRPr="00351298">
        <w:rPr>
          <w:rFonts w:ascii="Verdana" w:hAnsi="Verdana"/>
          <w:bCs/>
          <w:sz w:val="20"/>
          <w:szCs w:val="20"/>
        </w:rPr>
        <w:t>;</w:t>
      </w:r>
      <w:r w:rsidR="00A91AD4" w:rsidRPr="00351298">
        <w:rPr>
          <w:rFonts w:ascii="Verdana" w:hAnsi="Verdana"/>
          <w:bCs/>
          <w:sz w:val="20"/>
          <w:szCs w:val="20"/>
        </w:rPr>
        <w:t xml:space="preserve"> </w:t>
      </w:r>
      <w:r w:rsidR="00455A78" w:rsidRPr="00351298">
        <w:rPr>
          <w:rFonts w:ascii="Verdana" w:hAnsi="Verdana"/>
          <w:bCs/>
          <w:sz w:val="20"/>
          <w:szCs w:val="20"/>
        </w:rPr>
        <w:t xml:space="preserve">h) </w:t>
      </w:r>
      <w:r w:rsidR="00455A78" w:rsidRPr="00351298">
        <w:rPr>
          <w:rFonts w:ascii="Verdana" w:hAnsi="Verdana"/>
          <w:sz w:val="20"/>
          <w:szCs w:val="20"/>
        </w:rPr>
        <w:t>el pago de USD$100,000 (cien mil dólares de los Estados Unidos de América) a Daniel García Rodríguez, por concepto de daño inmaterial, y i) el pago de USD$100,000 (cien mil dólares de los Estados Unidos de América) a Reyes Al</w:t>
      </w:r>
      <w:r w:rsidR="00CE7A39" w:rsidRPr="00351298">
        <w:rPr>
          <w:rFonts w:ascii="Verdana" w:hAnsi="Verdana"/>
          <w:sz w:val="20"/>
          <w:szCs w:val="20"/>
        </w:rPr>
        <w:t>p</w:t>
      </w:r>
      <w:r w:rsidR="00455A78" w:rsidRPr="00351298">
        <w:rPr>
          <w:rFonts w:ascii="Verdana" w:hAnsi="Verdana"/>
          <w:sz w:val="20"/>
          <w:szCs w:val="20"/>
        </w:rPr>
        <w:t>ízar, por concepto de daño inmaterial.</w:t>
      </w:r>
    </w:p>
    <w:p w14:paraId="295C89F6" w14:textId="2495E805" w:rsidR="00E7285D" w:rsidRPr="00351298" w:rsidRDefault="580D08BE" w:rsidP="1D64B15C">
      <w:pPr>
        <w:numPr>
          <w:ilvl w:val="0"/>
          <w:numId w:val="2"/>
        </w:numPr>
        <w:spacing w:before="120" w:after="120"/>
        <w:ind w:left="0" w:firstLine="0"/>
        <w:jc w:val="both"/>
        <w:rPr>
          <w:rFonts w:ascii="Verdana" w:hAnsi="Verdana"/>
          <w:sz w:val="20"/>
          <w:szCs w:val="20"/>
        </w:rPr>
      </w:pPr>
      <w:r w:rsidRPr="1D64B15C">
        <w:rPr>
          <w:rFonts w:ascii="Verdana" w:hAnsi="Verdana"/>
          <w:sz w:val="20"/>
          <w:szCs w:val="20"/>
        </w:rPr>
        <w:t xml:space="preserve">El </w:t>
      </w:r>
      <w:r w:rsidRPr="1D64B15C">
        <w:rPr>
          <w:rFonts w:ascii="Verdana" w:hAnsi="Verdana"/>
          <w:b/>
          <w:bCs/>
          <w:i/>
          <w:iCs/>
          <w:sz w:val="20"/>
          <w:szCs w:val="20"/>
        </w:rPr>
        <w:t>Estado</w:t>
      </w:r>
      <w:r w:rsidRPr="1D64B15C">
        <w:rPr>
          <w:rFonts w:ascii="Verdana" w:hAnsi="Verdana"/>
          <w:sz w:val="20"/>
          <w:szCs w:val="20"/>
        </w:rPr>
        <w:t xml:space="preserve"> indicó que en sus informes presentados a la Comisión, había puesto en conocimiento que “la Comisión Ejecutiva de Atención a Víctimas del Estado de México (CEAVEM) realizó un estudio sobre la reparación integral de las violaciones de derechos humanos de cada una de las presuntas víctimas reconocidas por la Comisión IDH, y propuso un monto de indemnización de $110,000.00 dólares americanos por víctima, como parte de la reparación integral del daño”.</w:t>
      </w:r>
      <w:r w:rsidR="66DCF208" w:rsidRPr="1D64B15C">
        <w:rPr>
          <w:rFonts w:ascii="Verdana" w:hAnsi="Verdana"/>
          <w:sz w:val="20"/>
          <w:szCs w:val="20"/>
        </w:rPr>
        <w:t xml:space="preserve"> Sostuvo asimismo </w:t>
      </w:r>
      <w:r w:rsidR="525E2B31" w:rsidRPr="1D64B15C">
        <w:rPr>
          <w:rFonts w:ascii="Verdana" w:hAnsi="Verdana"/>
          <w:sz w:val="20"/>
          <w:szCs w:val="20"/>
        </w:rPr>
        <w:t>que a</w:t>
      </w:r>
      <w:r w:rsidR="66DCF208" w:rsidRPr="1D64B15C">
        <w:rPr>
          <w:rFonts w:ascii="Verdana" w:hAnsi="Verdana"/>
          <w:sz w:val="20"/>
          <w:szCs w:val="20"/>
        </w:rPr>
        <w:t xml:space="preserve"> la fecha ese monto “se mantiene” y “resulta equivalente a criterios ya utilizados por esa Corte en casos cuyos hechos son coincidentes al que nos ocupa”. Agregó que “es importante señalar que, de acuerdo con esa Corte, la indemnización es un elemento de la reparación integral al estar dirigida a compensar el daño ocasionado a la víctima bajo los elementos de apreciación prudente de los daños y el principio de equidad”.</w:t>
      </w:r>
    </w:p>
    <w:p w14:paraId="3E6785C4" w14:textId="28827A35" w:rsidR="00462EBA" w:rsidRPr="00351298" w:rsidRDefault="005537B2" w:rsidP="00D73463">
      <w:pPr>
        <w:numPr>
          <w:ilvl w:val="0"/>
          <w:numId w:val="2"/>
        </w:numPr>
        <w:spacing w:before="120" w:after="120"/>
        <w:ind w:left="0" w:firstLine="0"/>
        <w:jc w:val="both"/>
        <w:rPr>
          <w:rFonts w:ascii="Verdana" w:hAnsi="Verdana"/>
          <w:bCs/>
          <w:sz w:val="20"/>
          <w:szCs w:val="20"/>
        </w:rPr>
      </w:pPr>
      <w:r w:rsidRPr="00351298">
        <w:rPr>
          <w:rFonts w:ascii="Verdana" w:hAnsi="Verdana"/>
          <w:sz w:val="20"/>
          <w:szCs w:val="20"/>
        </w:rPr>
        <w:t>Est</w:t>
      </w:r>
      <w:r w:rsidR="00CB31B8">
        <w:rPr>
          <w:rFonts w:ascii="Verdana" w:hAnsi="Verdana"/>
          <w:sz w:val="20"/>
          <w:szCs w:val="20"/>
        </w:rPr>
        <w:t>a</w:t>
      </w:r>
      <w:r w:rsidRPr="00351298">
        <w:rPr>
          <w:rFonts w:ascii="Verdana" w:hAnsi="Verdana"/>
          <w:sz w:val="20"/>
          <w:szCs w:val="20"/>
        </w:rPr>
        <w:t xml:space="preserve"> </w:t>
      </w:r>
      <w:r w:rsidR="00CB31B8">
        <w:rPr>
          <w:rFonts w:ascii="Verdana" w:hAnsi="Verdana"/>
          <w:b/>
          <w:bCs/>
          <w:i/>
          <w:iCs/>
          <w:sz w:val="20"/>
          <w:szCs w:val="20"/>
        </w:rPr>
        <w:t>Corte</w:t>
      </w:r>
      <w:r w:rsidRPr="00351298">
        <w:rPr>
          <w:rFonts w:ascii="Verdana" w:hAnsi="Verdana"/>
          <w:sz w:val="20"/>
          <w:szCs w:val="20"/>
        </w:rPr>
        <w:t xml:space="preserve"> ha desarrollado en su jurisprudencia que el daño material supone la pérdida o detrimento de los ingresos de las víctimas, los gastos efectuados con motivo de los hechos y las </w:t>
      </w:r>
      <w:r w:rsidRPr="00351298">
        <w:rPr>
          <w:rFonts w:ascii="Verdana" w:hAnsi="Verdana"/>
          <w:sz w:val="20"/>
          <w:szCs w:val="20"/>
        </w:rPr>
        <w:lastRenderedPageBreak/>
        <w:t>consecuencias de carácter pecuniario que tengan un nexo causal con los hechos del caso</w:t>
      </w:r>
      <w:r w:rsidRPr="3BF92891">
        <w:rPr>
          <w:rStyle w:val="Refdenotaalpie"/>
          <w:rFonts w:ascii="Verdana" w:hAnsi="Verdana"/>
          <w:sz w:val="20"/>
        </w:rPr>
        <w:footnoteReference w:id="289"/>
      </w:r>
      <w:r w:rsidRPr="00351298">
        <w:rPr>
          <w:rFonts w:ascii="Verdana" w:hAnsi="Verdana"/>
          <w:sz w:val="20"/>
          <w:szCs w:val="20"/>
        </w:rPr>
        <w:t>.</w:t>
      </w:r>
      <w:r w:rsidR="00685139" w:rsidRPr="3BF92891">
        <w:rPr>
          <w:rFonts w:ascii="Verdana" w:hAnsi="Verdana"/>
          <w:sz w:val="20"/>
          <w:szCs w:val="20"/>
        </w:rPr>
        <w:t xml:space="preserve"> La Corte ha establecido en su jurisprudencia que el daño inmaterial, puede comprender</w:t>
      </w:r>
      <w:r w:rsidR="00685139" w:rsidRPr="3BF92891">
        <w:rPr>
          <w:rFonts w:ascii="Verdana" w:hAnsi="Verdana"/>
          <w:spacing w:val="1"/>
          <w:sz w:val="20"/>
          <w:szCs w:val="20"/>
        </w:rPr>
        <w:t xml:space="preserve"> </w:t>
      </w:r>
      <w:r w:rsidR="00685139" w:rsidRPr="3BF92891">
        <w:rPr>
          <w:rFonts w:ascii="Verdana" w:hAnsi="Verdana"/>
          <w:sz w:val="20"/>
          <w:szCs w:val="20"/>
        </w:rPr>
        <w:t>tanto los sufrimientos y las aflicciones causados por la violación como el menoscabo de valores</w:t>
      </w:r>
      <w:r w:rsidR="00685139" w:rsidRPr="3BF92891">
        <w:rPr>
          <w:rFonts w:ascii="Verdana" w:hAnsi="Verdana"/>
          <w:spacing w:val="1"/>
          <w:sz w:val="20"/>
          <w:szCs w:val="20"/>
        </w:rPr>
        <w:t xml:space="preserve"> </w:t>
      </w:r>
      <w:r w:rsidR="00685139" w:rsidRPr="3BF92891">
        <w:rPr>
          <w:rFonts w:ascii="Verdana" w:hAnsi="Verdana"/>
          <w:sz w:val="20"/>
          <w:szCs w:val="20"/>
        </w:rPr>
        <w:t xml:space="preserve">muy </w:t>
      </w:r>
      <w:r w:rsidR="00685139" w:rsidRPr="00351298">
        <w:rPr>
          <w:rFonts w:ascii="Verdana" w:hAnsi="Verdana"/>
          <w:sz w:val="20"/>
          <w:szCs w:val="20"/>
        </w:rPr>
        <w:t>significativos</w:t>
      </w:r>
      <w:r w:rsidR="00685139" w:rsidRPr="3BF92891">
        <w:rPr>
          <w:rFonts w:ascii="Verdana" w:hAnsi="Verdana"/>
          <w:sz w:val="20"/>
          <w:szCs w:val="20"/>
        </w:rPr>
        <w:t xml:space="preserve"> para las </w:t>
      </w:r>
      <w:r w:rsidR="00685139" w:rsidRPr="00351298">
        <w:rPr>
          <w:rFonts w:ascii="Verdana" w:hAnsi="Verdana"/>
          <w:sz w:val="20"/>
          <w:szCs w:val="20"/>
        </w:rPr>
        <w:t>personas</w:t>
      </w:r>
      <w:r w:rsidR="00685139" w:rsidRPr="3BF92891">
        <w:rPr>
          <w:rFonts w:ascii="Verdana" w:hAnsi="Verdana"/>
          <w:sz w:val="20"/>
          <w:szCs w:val="20"/>
        </w:rPr>
        <w:t xml:space="preserve"> y cualquier alteración, de carácter no pecuniario, en las</w:t>
      </w:r>
      <w:r w:rsidR="00685139" w:rsidRPr="3BF92891">
        <w:rPr>
          <w:rFonts w:ascii="Verdana" w:hAnsi="Verdana"/>
          <w:spacing w:val="1"/>
          <w:sz w:val="20"/>
          <w:szCs w:val="20"/>
        </w:rPr>
        <w:t xml:space="preserve"> </w:t>
      </w:r>
      <w:r w:rsidR="00685139" w:rsidRPr="3BF92891">
        <w:rPr>
          <w:rFonts w:ascii="Verdana" w:hAnsi="Verdana"/>
          <w:sz w:val="20"/>
          <w:szCs w:val="20"/>
        </w:rPr>
        <w:t>condiciones de existencia de las víctimas o su familia. Por otra parte, dado que no es posible</w:t>
      </w:r>
      <w:r w:rsidR="00685139" w:rsidRPr="3BF92891">
        <w:rPr>
          <w:rFonts w:ascii="Verdana" w:hAnsi="Verdana"/>
          <w:spacing w:val="1"/>
          <w:sz w:val="20"/>
          <w:szCs w:val="20"/>
        </w:rPr>
        <w:t xml:space="preserve"> </w:t>
      </w:r>
      <w:r w:rsidR="00685139" w:rsidRPr="3BF92891">
        <w:rPr>
          <w:rFonts w:ascii="Verdana" w:hAnsi="Verdana"/>
          <w:sz w:val="20"/>
          <w:szCs w:val="20"/>
        </w:rPr>
        <w:t>asignar</w:t>
      </w:r>
      <w:r w:rsidR="00685139" w:rsidRPr="3BF92891">
        <w:rPr>
          <w:rFonts w:ascii="Verdana" w:hAnsi="Verdana"/>
          <w:spacing w:val="1"/>
          <w:sz w:val="20"/>
          <w:szCs w:val="20"/>
        </w:rPr>
        <w:t xml:space="preserve"> </w:t>
      </w:r>
      <w:r w:rsidR="00685139" w:rsidRPr="3BF92891">
        <w:rPr>
          <w:rFonts w:ascii="Verdana" w:hAnsi="Verdana"/>
          <w:sz w:val="20"/>
          <w:szCs w:val="20"/>
        </w:rPr>
        <w:t>al</w:t>
      </w:r>
      <w:r w:rsidR="00685139" w:rsidRPr="3BF92891">
        <w:rPr>
          <w:rFonts w:ascii="Verdana" w:hAnsi="Verdana"/>
          <w:spacing w:val="1"/>
          <w:sz w:val="20"/>
          <w:szCs w:val="20"/>
        </w:rPr>
        <w:t xml:space="preserve"> </w:t>
      </w:r>
      <w:r w:rsidR="00685139" w:rsidRPr="3BF92891">
        <w:rPr>
          <w:rFonts w:ascii="Verdana" w:hAnsi="Verdana"/>
          <w:sz w:val="20"/>
          <w:szCs w:val="20"/>
        </w:rPr>
        <w:t>daño</w:t>
      </w:r>
      <w:r w:rsidR="00685139" w:rsidRPr="3BF92891">
        <w:rPr>
          <w:rFonts w:ascii="Verdana" w:hAnsi="Verdana"/>
          <w:spacing w:val="1"/>
          <w:sz w:val="20"/>
          <w:szCs w:val="20"/>
        </w:rPr>
        <w:t xml:space="preserve"> </w:t>
      </w:r>
      <w:r w:rsidR="00685139" w:rsidRPr="3BF92891">
        <w:rPr>
          <w:rFonts w:ascii="Verdana" w:hAnsi="Verdana"/>
          <w:sz w:val="20"/>
          <w:szCs w:val="20"/>
        </w:rPr>
        <w:t>inmaterial</w:t>
      </w:r>
      <w:r w:rsidR="00685139" w:rsidRPr="3BF92891">
        <w:rPr>
          <w:rFonts w:ascii="Verdana" w:hAnsi="Verdana"/>
          <w:spacing w:val="1"/>
          <w:sz w:val="20"/>
          <w:szCs w:val="20"/>
        </w:rPr>
        <w:t xml:space="preserve"> </w:t>
      </w:r>
      <w:r w:rsidR="00685139" w:rsidRPr="3BF92891">
        <w:rPr>
          <w:rFonts w:ascii="Verdana" w:hAnsi="Verdana"/>
          <w:sz w:val="20"/>
          <w:szCs w:val="20"/>
        </w:rPr>
        <w:t>un</w:t>
      </w:r>
      <w:r w:rsidR="00685139" w:rsidRPr="3BF92891">
        <w:rPr>
          <w:rFonts w:ascii="Verdana" w:hAnsi="Verdana"/>
          <w:spacing w:val="1"/>
          <w:sz w:val="20"/>
          <w:szCs w:val="20"/>
        </w:rPr>
        <w:t xml:space="preserve"> </w:t>
      </w:r>
      <w:r w:rsidR="00685139" w:rsidRPr="3BF92891">
        <w:rPr>
          <w:rFonts w:ascii="Verdana" w:hAnsi="Verdana"/>
          <w:sz w:val="20"/>
          <w:szCs w:val="20"/>
        </w:rPr>
        <w:t>equivalente</w:t>
      </w:r>
      <w:r w:rsidR="00685139" w:rsidRPr="3BF92891">
        <w:rPr>
          <w:rFonts w:ascii="Verdana" w:hAnsi="Verdana"/>
          <w:spacing w:val="1"/>
          <w:sz w:val="20"/>
          <w:szCs w:val="20"/>
        </w:rPr>
        <w:t xml:space="preserve"> </w:t>
      </w:r>
      <w:r w:rsidR="00685139" w:rsidRPr="3BF92891">
        <w:rPr>
          <w:rFonts w:ascii="Verdana" w:hAnsi="Verdana"/>
          <w:sz w:val="20"/>
          <w:szCs w:val="20"/>
        </w:rPr>
        <w:t>monetario</w:t>
      </w:r>
      <w:r w:rsidR="00685139" w:rsidRPr="3BF92891">
        <w:rPr>
          <w:rFonts w:ascii="Verdana" w:hAnsi="Verdana"/>
          <w:spacing w:val="1"/>
          <w:sz w:val="20"/>
          <w:szCs w:val="20"/>
        </w:rPr>
        <w:t xml:space="preserve"> </w:t>
      </w:r>
      <w:r w:rsidR="00685139" w:rsidRPr="3BF92891">
        <w:rPr>
          <w:rFonts w:ascii="Verdana" w:hAnsi="Verdana"/>
          <w:sz w:val="20"/>
          <w:szCs w:val="20"/>
        </w:rPr>
        <w:t>preciso,</w:t>
      </w:r>
      <w:r w:rsidR="00685139" w:rsidRPr="3BF92891">
        <w:rPr>
          <w:rFonts w:ascii="Verdana" w:hAnsi="Verdana"/>
          <w:spacing w:val="1"/>
          <w:sz w:val="20"/>
          <w:szCs w:val="20"/>
        </w:rPr>
        <w:t xml:space="preserve"> </w:t>
      </w:r>
      <w:r w:rsidR="00685139" w:rsidRPr="3BF92891">
        <w:rPr>
          <w:rFonts w:ascii="Verdana" w:hAnsi="Verdana"/>
          <w:sz w:val="20"/>
          <w:szCs w:val="20"/>
        </w:rPr>
        <w:t>sólo</w:t>
      </w:r>
      <w:r w:rsidR="00685139" w:rsidRPr="3BF92891">
        <w:rPr>
          <w:rFonts w:ascii="Verdana" w:hAnsi="Verdana"/>
          <w:spacing w:val="1"/>
          <w:sz w:val="20"/>
          <w:szCs w:val="20"/>
        </w:rPr>
        <w:t xml:space="preserve"> </w:t>
      </w:r>
      <w:r w:rsidR="00685139" w:rsidRPr="3BF92891">
        <w:rPr>
          <w:rFonts w:ascii="Verdana" w:hAnsi="Verdana"/>
          <w:sz w:val="20"/>
          <w:szCs w:val="20"/>
        </w:rPr>
        <w:t>puede</w:t>
      </w:r>
      <w:r w:rsidR="00685139" w:rsidRPr="3BF92891">
        <w:rPr>
          <w:rFonts w:ascii="Verdana" w:hAnsi="Verdana"/>
          <w:spacing w:val="1"/>
          <w:sz w:val="20"/>
          <w:szCs w:val="20"/>
        </w:rPr>
        <w:t xml:space="preserve"> </w:t>
      </w:r>
      <w:r w:rsidR="00685139" w:rsidRPr="3BF92891">
        <w:rPr>
          <w:rFonts w:ascii="Verdana" w:hAnsi="Verdana"/>
          <w:sz w:val="20"/>
          <w:szCs w:val="20"/>
        </w:rPr>
        <w:t>ser</w:t>
      </w:r>
      <w:r w:rsidR="00685139" w:rsidRPr="3BF92891">
        <w:rPr>
          <w:rFonts w:ascii="Verdana" w:hAnsi="Verdana"/>
          <w:spacing w:val="1"/>
          <w:sz w:val="20"/>
          <w:szCs w:val="20"/>
        </w:rPr>
        <w:t xml:space="preserve"> </w:t>
      </w:r>
      <w:r w:rsidR="00685139" w:rsidRPr="3BF92891">
        <w:rPr>
          <w:rFonts w:ascii="Verdana" w:hAnsi="Verdana"/>
          <w:sz w:val="20"/>
          <w:szCs w:val="20"/>
        </w:rPr>
        <w:t>objeto</w:t>
      </w:r>
      <w:r w:rsidR="00685139" w:rsidRPr="3BF92891">
        <w:rPr>
          <w:rFonts w:ascii="Verdana" w:hAnsi="Verdana"/>
          <w:spacing w:val="1"/>
          <w:sz w:val="20"/>
          <w:szCs w:val="20"/>
        </w:rPr>
        <w:t xml:space="preserve"> </w:t>
      </w:r>
      <w:r w:rsidR="00685139" w:rsidRPr="3BF92891">
        <w:rPr>
          <w:rFonts w:ascii="Verdana" w:hAnsi="Verdana"/>
          <w:sz w:val="20"/>
          <w:szCs w:val="20"/>
        </w:rPr>
        <w:t>de</w:t>
      </w:r>
      <w:r w:rsidR="00685139" w:rsidRPr="3BF92891">
        <w:rPr>
          <w:rFonts w:ascii="Verdana" w:hAnsi="Verdana"/>
          <w:spacing w:val="1"/>
          <w:sz w:val="20"/>
          <w:szCs w:val="20"/>
        </w:rPr>
        <w:t xml:space="preserve"> </w:t>
      </w:r>
      <w:r w:rsidR="00685139" w:rsidRPr="3BF92891">
        <w:rPr>
          <w:rFonts w:ascii="Verdana" w:hAnsi="Verdana"/>
          <w:sz w:val="20"/>
          <w:szCs w:val="20"/>
        </w:rPr>
        <w:t>compensación, para los fines de la reparación integral a las víctimas, mediante el pago de una</w:t>
      </w:r>
      <w:r w:rsidR="00685139" w:rsidRPr="3BF92891">
        <w:rPr>
          <w:rFonts w:ascii="Verdana" w:hAnsi="Verdana"/>
          <w:spacing w:val="1"/>
          <w:sz w:val="20"/>
          <w:szCs w:val="20"/>
        </w:rPr>
        <w:t xml:space="preserve"> </w:t>
      </w:r>
      <w:r w:rsidR="00685139" w:rsidRPr="3BF92891">
        <w:rPr>
          <w:rFonts w:ascii="Verdana" w:hAnsi="Verdana"/>
          <w:sz w:val="20"/>
          <w:szCs w:val="20"/>
        </w:rPr>
        <w:t>cantidad de dinero o la entrega de bienes o servicios apreciables en dinero, que el Tribunal determine en aplicación razonable del arbitrio judicial y en términos de equidad</w:t>
      </w:r>
      <w:r w:rsidR="00685139" w:rsidRPr="3BF92891">
        <w:rPr>
          <w:rStyle w:val="Refdenotaalpie"/>
          <w:rFonts w:ascii="Verdana" w:hAnsi="Verdana"/>
          <w:sz w:val="20"/>
        </w:rPr>
        <w:footnoteReference w:id="290"/>
      </w:r>
      <w:r w:rsidR="00685139" w:rsidRPr="3BF92891">
        <w:rPr>
          <w:rFonts w:ascii="Verdana" w:hAnsi="Verdana"/>
          <w:sz w:val="20"/>
          <w:szCs w:val="20"/>
        </w:rPr>
        <w:t>.</w:t>
      </w:r>
      <w:r w:rsidR="00D87F5B" w:rsidRPr="3BF92891">
        <w:rPr>
          <w:rFonts w:ascii="Verdana" w:hAnsi="Verdana"/>
          <w:sz w:val="20"/>
          <w:szCs w:val="20"/>
        </w:rPr>
        <w:t xml:space="preserve"> </w:t>
      </w:r>
    </w:p>
    <w:p w14:paraId="0E288AA7" w14:textId="42DB5EC5" w:rsidR="009A4C62" w:rsidRPr="00351298" w:rsidRDefault="00CB31B8" w:rsidP="00D73463">
      <w:pPr>
        <w:numPr>
          <w:ilvl w:val="0"/>
          <w:numId w:val="2"/>
        </w:numPr>
        <w:spacing w:before="120" w:after="120"/>
        <w:ind w:left="0" w:firstLine="0"/>
        <w:jc w:val="both"/>
        <w:rPr>
          <w:rFonts w:ascii="Verdana" w:hAnsi="Verdana"/>
          <w:bCs/>
          <w:sz w:val="20"/>
          <w:szCs w:val="20"/>
        </w:rPr>
      </w:pPr>
      <w:r w:rsidRPr="00351298">
        <w:rPr>
          <w:rFonts w:ascii="Verdana" w:hAnsi="Verdana"/>
          <w:bCs/>
          <w:sz w:val="20"/>
          <w:szCs w:val="20"/>
        </w:rPr>
        <w:t xml:space="preserve">En virtud de las circunstancias de este caso, la Corte considera razonable ordenar al Estado el pago de una indemnización por concepto de daño emergente y de lucro cesante en favor de Daniel García Rodríguez y Reyes Alpízar Ortiz quienes estuvieron privados de la libertad sin poder dedicarse a sus actividades laborales. Teniendo en cuenta los hechos examinados en este caso, este Tribunal fija en equidad la cantidad de USD$ </w:t>
      </w:r>
      <w:r>
        <w:rPr>
          <w:rFonts w:ascii="Verdana" w:hAnsi="Verdana"/>
          <w:bCs/>
          <w:sz w:val="20"/>
          <w:szCs w:val="20"/>
        </w:rPr>
        <w:t>50</w:t>
      </w:r>
      <w:r w:rsidRPr="00351298">
        <w:rPr>
          <w:rFonts w:ascii="Verdana" w:hAnsi="Verdana"/>
          <w:bCs/>
          <w:sz w:val="20"/>
          <w:szCs w:val="20"/>
        </w:rPr>
        <w:t xml:space="preserve">.000,00 (cincuenta mil dólares de los Estados Unidos de América) </w:t>
      </w:r>
      <w:r>
        <w:rPr>
          <w:rFonts w:ascii="Verdana" w:hAnsi="Verdana"/>
          <w:bCs/>
          <w:sz w:val="20"/>
          <w:szCs w:val="20"/>
        </w:rPr>
        <w:t>a</w:t>
      </w:r>
      <w:r w:rsidRPr="00351298">
        <w:rPr>
          <w:rFonts w:ascii="Verdana" w:hAnsi="Verdana"/>
          <w:bCs/>
          <w:sz w:val="20"/>
          <w:szCs w:val="20"/>
        </w:rPr>
        <w:t xml:space="preserve"> favor de Daniel García Rodríguez y USD$ </w:t>
      </w:r>
      <w:r>
        <w:rPr>
          <w:rFonts w:ascii="Verdana" w:hAnsi="Verdana"/>
          <w:bCs/>
          <w:sz w:val="20"/>
          <w:szCs w:val="20"/>
        </w:rPr>
        <w:t>50</w:t>
      </w:r>
      <w:r w:rsidRPr="00351298">
        <w:rPr>
          <w:rFonts w:ascii="Verdana" w:hAnsi="Verdana"/>
          <w:bCs/>
          <w:sz w:val="20"/>
          <w:szCs w:val="20"/>
        </w:rPr>
        <w:t>.000,00 (cincuenta mil dólares de los Estados Unidos de América)</w:t>
      </w:r>
      <w:r>
        <w:rPr>
          <w:rFonts w:ascii="Verdana" w:hAnsi="Verdana"/>
          <w:bCs/>
          <w:sz w:val="20"/>
          <w:szCs w:val="20"/>
        </w:rPr>
        <w:t xml:space="preserve"> </w:t>
      </w:r>
      <w:r w:rsidRPr="00351298">
        <w:rPr>
          <w:rFonts w:ascii="Verdana" w:hAnsi="Verdana"/>
          <w:bCs/>
          <w:sz w:val="20"/>
          <w:szCs w:val="20"/>
        </w:rPr>
        <w:t>a favor de Reyes Alpízar Ortiz</w:t>
      </w:r>
      <w:r w:rsidR="009A4C62" w:rsidRPr="00351298">
        <w:rPr>
          <w:rFonts w:ascii="Verdana" w:hAnsi="Verdana"/>
          <w:bCs/>
          <w:sz w:val="20"/>
          <w:szCs w:val="20"/>
        </w:rPr>
        <w:t>.</w:t>
      </w:r>
      <w:r w:rsidR="0053355D" w:rsidRPr="00351298">
        <w:rPr>
          <w:rFonts w:ascii="Verdana" w:hAnsi="Verdana"/>
          <w:bCs/>
          <w:sz w:val="20"/>
          <w:szCs w:val="20"/>
        </w:rPr>
        <w:t xml:space="preserve"> </w:t>
      </w:r>
    </w:p>
    <w:p w14:paraId="481B2827" w14:textId="66C7F709" w:rsidR="009A4C62" w:rsidRPr="00351298" w:rsidRDefault="009A4C62"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Por otra parte, en atención a las circunstancias del presente caso, la entidad, carácter y gravedad de las violaciones cometidas, los sufrimientos ocasionados a las víctimas por los hechos de tortura y por la privación a la libertad arbitraria por 17 años, y el tiempo transcurrido desde el momento de los hechos, la Corte considera adecuado ordenar el pago de indemnización por concepto de daño inmaterial en favor de </w:t>
      </w:r>
      <w:r w:rsidRPr="00351298">
        <w:rPr>
          <w:rFonts w:ascii="Verdana" w:hAnsi="Verdana"/>
          <w:bCs/>
          <w:sz w:val="20"/>
          <w:szCs w:val="20"/>
        </w:rPr>
        <w:t>Daniel García Rodríguez y Reyes Alpízar</w:t>
      </w:r>
      <w:r w:rsidRPr="00351298">
        <w:rPr>
          <w:rFonts w:ascii="Verdana" w:hAnsi="Verdana"/>
          <w:sz w:val="20"/>
          <w:szCs w:val="20"/>
        </w:rPr>
        <w:t xml:space="preserve"> </w:t>
      </w:r>
      <w:r w:rsidRPr="00351298">
        <w:rPr>
          <w:rFonts w:ascii="Verdana" w:hAnsi="Verdana"/>
          <w:bCs/>
          <w:sz w:val="20"/>
          <w:szCs w:val="20"/>
        </w:rPr>
        <w:t xml:space="preserve">en equidad la cantidad de USD$ </w:t>
      </w:r>
      <w:r w:rsidR="0025018D" w:rsidRPr="00351298">
        <w:rPr>
          <w:rFonts w:ascii="Verdana" w:hAnsi="Verdana"/>
          <w:bCs/>
          <w:sz w:val="20"/>
          <w:szCs w:val="20"/>
        </w:rPr>
        <w:t>5</w:t>
      </w:r>
      <w:r w:rsidRPr="00351298">
        <w:rPr>
          <w:rFonts w:ascii="Verdana" w:hAnsi="Verdana"/>
          <w:bCs/>
          <w:sz w:val="20"/>
          <w:szCs w:val="20"/>
        </w:rPr>
        <w:t xml:space="preserve">0.000,00 </w:t>
      </w:r>
      <w:r w:rsidR="008F475D">
        <w:rPr>
          <w:rFonts w:ascii="Verdana" w:hAnsi="Verdana"/>
          <w:bCs/>
          <w:sz w:val="20"/>
          <w:szCs w:val="20"/>
        </w:rPr>
        <w:t xml:space="preserve">para cada uno </w:t>
      </w:r>
      <w:r w:rsidRPr="00351298">
        <w:rPr>
          <w:rFonts w:ascii="Verdana" w:hAnsi="Verdana"/>
          <w:bCs/>
          <w:sz w:val="20"/>
          <w:szCs w:val="20"/>
        </w:rPr>
        <w:t>(ci</w:t>
      </w:r>
      <w:r w:rsidR="0025018D" w:rsidRPr="00351298">
        <w:rPr>
          <w:rFonts w:ascii="Verdana" w:hAnsi="Verdana"/>
          <w:bCs/>
          <w:sz w:val="20"/>
          <w:szCs w:val="20"/>
        </w:rPr>
        <w:t>ncuenta</w:t>
      </w:r>
      <w:r w:rsidRPr="00351298">
        <w:rPr>
          <w:rFonts w:ascii="Verdana" w:hAnsi="Verdana"/>
          <w:bCs/>
          <w:sz w:val="20"/>
          <w:szCs w:val="20"/>
        </w:rPr>
        <w:t xml:space="preserve"> mil dólares de los Estados Unidos de América)</w:t>
      </w:r>
      <w:r w:rsidR="004C27D1" w:rsidRPr="00351298">
        <w:rPr>
          <w:rFonts w:ascii="Verdana" w:hAnsi="Verdana"/>
          <w:bCs/>
          <w:sz w:val="20"/>
          <w:szCs w:val="20"/>
        </w:rPr>
        <w:t xml:space="preserve">. </w:t>
      </w:r>
    </w:p>
    <w:p w14:paraId="77617E25" w14:textId="2A5DC05E" w:rsidR="005537B2" w:rsidRPr="00351298" w:rsidRDefault="0015060E" w:rsidP="005B635B">
      <w:pPr>
        <w:pStyle w:val="Ttulo2"/>
        <w:numPr>
          <w:ilvl w:val="0"/>
          <w:numId w:val="9"/>
        </w:numPr>
        <w:spacing w:before="240" w:after="240"/>
        <w:rPr>
          <w:rFonts w:ascii="Verdana" w:hAnsi="Verdana"/>
          <w:i/>
          <w:color w:val="auto"/>
          <w:sz w:val="20"/>
          <w:szCs w:val="20"/>
        </w:rPr>
      </w:pPr>
      <w:bookmarkStart w:id="150" w:name="_Toc132133952"/>
      <w:r>
        <w:rPr>
          <w:rFonts w:ascii="Verdana" w:hAnsi="Verdana"/>
          <w:i/>
          <w:color w:val="auto"/>
          <w:sz w:val="20"/>
          <w:szCs w:val="20"/>
        </w:rPr>
        <w:t>C</w:t>
      </w:r>
      <w:r w:rsidR="005537B2" w:rsidRPr="00351298">
        <w:rPr>
          <w:rFonts w:ascii="Verdana" w:hAnsi="Verdana"/>
          <w:i/>
          <w:color w:val="auto"/>
          <w:sz w:val="20"/>
          <w:szCs w:val="20"/>
        </w:rPr>
        <w:t>ostas</w:t>
      </w:r>
      <w:r>
        <w:rPr>
          <w:rFonts w:ascii="Verdana" w:hAnsi="Verdana"/>
          <w:i/>
          <w:color w:val="auto"/>
          <w:sz w:val="20"/>
          <w:szCs w:val="20"/>
        </w:rPr>
        <w:t xml:space="preserve"> y gastos</w:t>
      </w:r>
      <w:bookmarkEnd w:id="150"/>
      <w:r w:rsidR="005537B2" w:rsidRPr="00351298">
        <w:rPr>
          <w:rFonts w:ascii="Verdana" w:hAnsi="Verdana"/>
          <w:i/>
          <w:color w:val="auto"/>
          <w:sz w:val="20"/>
          <w:szCs w:val="20"/>
        </w:rPr>
        <w:t xml:space="preserve"> </w:t>
      </w:r>
    </w:p>
    <w:p w14:paraId="3183FECB" w14:textId="2009CAC9" w:rsidR="00F27468" w:rsidRPr="00351298" w:rsidRDefault="005537B2"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Los </w:t>
      </w:r>
      <w:r w:rsidRPr="00351298">
        <w:rPr>
          <w:rFonts w:ascii="Verdana" w:hAnsi="Verdana"/>
          <w:b/>
          <w:i/>
          <w:sz w:val="20"/>
          <w:szCs w:val="20"/>
        </w:rPr>
        <w:t>representantes</w:t>
      </w:r>
      <w:r w:rsidRPr="00351298">
        <w:rPr>
          <w:rFonts w:ascii="Verdana" w:hAnsi="Verdana"/>
          <w:sz w:val="20"/>
          <w:szCs w:val="20"/>
        </w:rPr>
        <w:t xml:space="preserve"> </w:t>
      </w:r>
      <w:r w:rsidR="00E3686D" w:rsidRPr="00351298">
        <w:rPr>
          <w:rFonts w:ascii="Verdana" w:hAnsi="Verdana"/>
          <w:sz w:val="20"/>
          <w:szCs w:val="20"/>
        </w:rPr>
        <w:t>solicitaron que se paguen los “gastos incurridos bajo el concepto de gastos jurídicos en las diferentes etapas del proceso, comprendiendo los gastos de la etapa procesal a lo largo de 20 años, y el reconocimiento de las erogaciones de costas para el equipo de abogados que han participado en la sustentación del presente caso”. Asimismo, solicitaron “que en la sentencia que se dicte sobre el caso se prevea un monto para gastos de la etapa de supervisión de cumplimiento en los términos antes señalados”</w:t>
      </w:r>
      <w:r w:rsidR="00A91AD4" w:rsidRPr="00351298">
        <w:rPr>
          <w:rStyle w:val="Refdenotaalpie"/>
          <w:rFonts w:ascii="Verdana" w:hAnsi="Verdana"/>
          <w:sz w:val="20"/>
        </w:rPr>
        <w:footnoteReference w:id="291"/>
      </w:r>
      <w:r w:rsidR="00D87F5B" w:rsidRPr="00351298">
        <w:rPr>
          <w:rFonts w:ascii="Verdana" w:hAnsi="Verdana"/>
          <w:sz w:val="20"/>
          <w:szCs w:val="20"/>
        </w:rPr>
        <w:t>.</w:t>
      </w:r>
    </w:p>
    <w:p w14:paraId="32AAC08E" w14:textId="4B741AD7" w:rsidR="00D766C2" w:rsidRPr="00351298" w:rsidRDefault="00416467"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El </w:t>
      </w:r>
      <w:r w:rsidRPr="00351298">
        <w:rPr>
          <w:rFonts w:ascii="Verdana" w:hAnsi="Verdana"/>
          <w:b/>
          <w:bCs/>
          <w:i/>
          <w:iCs/>
          <w:sz w:val="20"/>
          <w:szCs w:val="20"/>
        </w:rPr>
        <w:t>Estado</w:t>
      </w:r>
      <w:r w:rsidRPr="00351298">
        <w:rPr>
          <w:rFonts w:ascii="Verdana" w:hAnsi="Verdana"/>
          <w:sz w:val="20"/>
          <w:szCs w:val="20"/>
        </w:rPr>
        <w:t xml:space="preserve"> indicó que </w:t>
      </w:r>
      <w:r w:rsidR="00D766C2" w:rsidRPr="00351298">
        <w:rPr>
          <w:rFonts w:ascii="Verdana" w:hAnsi="Verdana"/>
          <w:sz w:val="20"/>
          <w:szCs w:val="20"/>
        </w:rPr>
        <w:t xml:space="preserve">los representantes incluyeron los gastos de viaje para que Denisse Aribel García Pérez, hija de Daniel García, participe de la audiencia pública del presente caso a pesar de que la Corte la convocó para declarar por medio de un </w:t>
      </w:r>
      <w:r w:rsidR="00D766C2" w:rsidRPr="00351298">
        <w:rPr>
          <w:rFonts w:ascii="Verdana" w:hAnsi="Verdana"/>
          <w:i/>
          <w:iCs/>
          <w:sz w:val="20"/>
          <w:szCs w:val="20"/>
        </w:rPr>
        <w:t>affidavit</w:t>
      </w:r>
      <w:r w:rsidR="00D766C2" w:rsidRPr="00351298">
        <w:rPr>
          <w:rFonts w:ascii="Verdana" w:hAnsi="Verdana"/>
          <w:sz w:val="20"/>
          <w:szCs w:val="20"/>
        </w:rPr>
        <w:t xml:space="preserve">. En ese sentido, consideró </w:t>
      </w:r>
      <w:r w:rsidR="00D766C2" w:rsidRPr="00351298">
        <w:rPr>
          <w:rFonts w:ascii="Verdana" w:hAnsi="Verdana"/>
          <w:sz w:val="20"/>
          <w:szCs w:val="20"/>
        </w:rPr>
        <w:lastRenderedPageBreak/>
        <w:t>que los gastos correspondientes a su concurrencia a la audiencia en Brasilia, Brasil no deben ser tenidos en cuenta en los gastos y costas</w:t>
      </w:r>
      <w:r w:rsidR="00D766C2" w:rsidRPr="00351298">
        <w:rPr>
          <w:rStyle w:val="Refdenotaalpie"/>
          <w:rFonts w:ascii="Verdana" w:hAnsi="Verdana"/>
          <w:sz w:val="20"/>
        </w:rPr>
        <w:footnoteReference w:id="292"/>
      </w:r>
      <w:r w:rsidR="00D766C2" w:rsidRPr="00351298">
        <w:rPr>
          <w:rFonts w:ascii="Verdana" w:hAnsi="Verdana"/>
          <w:sz w:val="20"/>
          <w:szCs w:val="20"/>
        </w:rPr>
        <w:t>.</w:t>
      </w:r>
      <w:r w:rsidR="00D766C2" w:rsidRPr="00351298">
        <w:rPr>
          <w:rFonts w:ascii="Verdana" w:hAnsi="Verdana"/>
          <w:sz w:val="20"/>
          <w:szCs w:val="20"/>
        </w:rPr>
        <w:tab/>
      </w:r>
    </w:p>
    <w:p w14:paraId="1A1817D4" w14:textId="77777777" w:rsidR="005537B2" w:rsidRPr="00351298" w:rsidRDefault="005537B2"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La </w:t>
      </w:r>
      <w:r w:rsidRPr="3BF92891">
        <w:rPr>
          <w:rFonts w:ascii="Verdana" w:hAnsi="Verdana"/>
          <w:b/>
          <w:bCs/>
          <w:i/>
          <w:iCs/>
          <w:sz w:val="20"/>
          <w:szCs w:val="20"/>
        </w:rPr>
        <w:t>Corte</w:t>
      </w:r>
      <w:r w:rsidRPr="00351298">
        <w:rPr>
          <w:rFonts w:ascii="Verdana" w:hAnsi="Verdana"/>
          <w:sz w:val="20"/>
          <w:szCs w:val="20"/>
        </w:rPr>
        <w:t xml:space="preserve"> recuerda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D04822">
        <w:rPr>
          <w:rFonts w:ascii="Verdana" w:hAnsi="Verdana"/>
          <w:i/>
          <w:iCs/>
          <w:sz w:val="20"/>
          <w:szCs w:val="20"/>
        </w:rPr>
        <w:t>quantum</w:t>
      </w:r>
      <w:r w:rsidRPr="00351298">
        <w:rPr>
          <w:rFonts w:ascii="Verdana" w:hAnsi="Verdana"/>
          <w:sz w:val="20"/>
          <w:szCs w:val="20"/>
        </w:rPr>
        <w:t xml:space="preserve"> sea razonable</w:t>
      </w:r>
      <w:r w:rsidRPr="3BF92891">
        <w:rPr>
          <w:rStyle w:val="Refdenotaalpie"/>
          <w:rFonts w:ascii="Verdana" w:hAnsi="Verdana"/>
          <w:sz w:val="20"/>
        </w:rPr>
        <w:footnoteReference w:id="293"/>
      </w:r>
      <w:r w:rsidRPr="00351298">
        <w:rPr>
          <w:rFonts w:ascii="Verdana" w:hAnsi="Verdana"/>
          <w:sz w:val="20"/>
          <w:szCs w:val="20"/>
        </w:rPr>
        <w:t>.</w:t>
      </w:r>
    </w:p>
    <w:p w14:paraId="1D32467E" w14:textId="2CD17A18" w:rsidR="00E3686D" w:rsidRPr="00351298" w:rsidRDefault="005537B2"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Es</w:t>
      </w:r>
      <w:r w:rsidR="00142D5B" w:rsidRPr="00351298">
        <w:rPr>
          <w:rFonts w:ascii="Verdana" w:hAnsi="Verdana"/>
          <w:sz w:val="20"/>
          <w:szCs w:val="20"/>
        </w:rPr>
        <w:t>t</w:t>
      </w:r>
      <w:r w:rsidRPr="00351298">
        <w:rPr>
          <w:rFonts w:ascii="Verdana" w:hAnsi="Verdana"/>
          <w:sz w:val="20"/>
          <w:szCs w:val="20"/>
        </w:rPr>
        <w: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3BF92891">
        <w:rPr>
          <w:rStyle w:val="Refdenotaalpie"/>
          <w:rFonts w:ascii="Verdana" w:hAnsi="Verdana"/>
          <w:sz w:val="20"/>
        </w:rPr>
        <w:footnoteReference w:id="294"/>
      </w:r>
      <w:r w:rsidRPr="00351298">
        <w:rPr>
          <w:rFonts w:ascii="Verdana" w:hAnsi="Verdana"/>
          <w:sz w:val="20"/>
          <w:szCs w:val="20"/>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3BF92891">
        <w:rPr>
          <w:rStyle w:val="Refdenotaalpie"/>
          <w:rFonts w:ascii="Verdana" w:hAnsi="Verdana"/>
          <w:sz w:val="20"/>
        </w:rPr>
        <w:footnoteReference w:id="295"/>
      </w:r>
      <w:r w:rsidRPr="00351298">
        <w:rPr>
          <w:rFonts w:ascii="Verdana" w:hAnsi="Verdana"/>
          <w:sz w:val="20"/>
          <w:szCs w:val="20"/>
        </w:rPr>
        <w:t>.</w:t>
      </w:r>
    </w:p>
    <w:p w14:paraId="32E1EAD2" w14:textId="027637F7" w:rsidR="00F26BB9" w:rsidRPr="00351298" w:rsidRDefault="00CB31B8" w:rsidP="0061437F">
      <w:pPr>
        <w:numPr>
          <w:ilvl w:val="0"/>
          <w:numId w:val="2"/>
        </w:numPr>
        <w:spacing w:before="120" w:after="120"/>
        <w:ind w:left="0" w:firstLine="0"/>
        <w:jc w:val="both"/>
      </w:pPr>
      <w:r w:rsidRPr="00351298">
        <w:rPr>
          <w:rFonts w:ascii="Verdana" w:hAnsi="Verdana"/>
          <w:sz w:val="20"/>
          <w:szCs w:val="20"/>
        </w:rPr>
        <w:t xml:space="preserve">Tomando en cuenta los montos solicitados por los representantes y los comprobantes de gastos presentados, la Corte dispone fijar en equidad el pago USD </w:t>
      </w:r>
      <w:r>
        <w:rPr>
          <w:rFonts w:ascii="Verdana" w:hAnsi="Verdana"/>
          <w:sz w:val="20"/>
          <w:szCs w:val="20"/>
        </w:rPr>
        <w:t>$</w:t>
      </w:r>
      <w:r w:rsidRPr="00351298">
        <w:rPr>
          <w:rFonts w:ascii="Verdana" w:hAnsi="Verdana"/>
          <w:sz w:val="20"/>
          <w:szCs w:val="20"/>
        </w:rPr>
        <w:t>30</w:t>
      </w:r>
      <w:r>
        <w:rPr>
          <w:rFonts w:ascii="Verdana" w:hAnsi="Verdana"/>
          <w:sz w:val="20"/>
          <w:szCs w:val="20"/>
        </w:rPr>
        <w:t>.</w:t>
      </w:r>
      <w:r w:rsidRPr="00351298">
        <w:rPr>
          <w:rFonts w:ascii="Verdana" w:hAnsi="Verdana"/>
          <w:sz w:val="20"/>
          <w:szCs w:val="20"/>
        </w:rPr>
        <w:t>000</w:t>
      </w:r>
      <w:r>
        <w:rPr>
          <w:rFonts w:ascii="Verdana" w:hAnsi="Verdana"/>
          <w:sz w:val="20"/>
          <w:szCs w:val="20"/>
        </w:rPr>
        <w:t>,00</w:t>
      </w:r>
      <w:r w:rsidRPr="00351298">
        <w:rPr>
          <w:rFonts w:ascii="Verdana" w:hAnsi="Verdana"/>
          <w:sz w:val="20"/>
          <w:szCs w:val="20"/>
        </w:rPr>
        <w:t xml:space="preserve"> </w:t>
      </w:r>
      <w:r w:rsidRPr="00351298">
        <w:rPr>
          <w:rFonts w:ascii="Verdana" w:hAnsi="Verdana"/>
          <w:bCs/>
          <w:sz w:val="20"/>
          <w:szCs w:val="20"/>
        </w:rPr>
        <w:t>(</w:t>
      </w:r>
      <w:r>
        <w:rPr>
          <w:rFonts w:ascii="Verdana" w:hAnsi="Verdana"/>
          <w:bCs/>
          <w:sz w:val="20"/>
          <w:szCs w:val="20"/>
        </w:rPr>
        <w:t>treinta</w:t>
      </w:r>
      <w:r w:rsidRPr="00351298">
        <w:rPr>
          <w:rFonts w:ascii="Verdana" w:hAnsi="Verdana"/>
          <w:bCs/>
          <w:sz w:val="20"/>
          <w:szCs w:val="20"/>
        </w:rPr>
        <w:t xml:space="preserve"> mil dólares de los Estados Unidos de América)</w:t>
      </w:r>
      <w:r>
        <w:rPr>
          <w:rFonts w:ascii="Verdana" w:hAnsi="Verdana"/>
          <w:bCs/>
          <w:sz w:val="20"/>
          <w:szCs w:val="20"/>
        </w:rPr>
        <w:t xml:space="preserve"> </w:t>
      </w:r>
      <w:r w:rsidRPr="00351298">
        <w:rPr>
          <w:rFonts w:ascii="Verdana" w:hAnsi="Verdana"/>
          <w:sz w:val="20"/>
          <w:szCs w:val="20"/>
        </w:rPr>
        <w:t xml:space="preserve">en beneficio de la Asociación Civil Pena sin Culpa, y de USD </w:t>
      </w:r>
      <w:r>
        <w:rPr>
          <w:rFonts w:ascii="Verdana" w:hAnsi="Verdana"/>
          <w:sz w:val="20"/>
          <w:szCs w:val="20"/>
        </w:rPr>
        <w:t>$</w:t>
      </w:r>
      <w:r w:rsidRPr="00351298">
        <w:rPr>
          <w:rFonts w:ascii="Verdana" w:hAnsi="Verdana"/>
          <w:sz w:val="20"/>
          <w:szCs w:val="20"/>
        </w:rPr>
        <w:t>25</w:t>
      </w:r>
      <w:r>
        <w:rPr>
          <w:rFonts w:ascii="Verdana" w:hAnsi="Verdana"/>
          <w:sz w:val="20"/>
          <w:szCs w:val="20"/>
        </w:rPr>
        <w:t>.</w:t>
      </w:r>
      <w:r w:rsidRPr="00351298">
        <w:rPr>
          <w:rFonts w:ascii="Verdana" w:hAnsi="Verdana"/>
          <w:sz w:val="20"/>
          <w:szCs w:val="20"/>
        </w:rPr>
        <w:t>000</w:t>
      </w:r>
      <w:r>
        <w:rPr>
          <w:rFonts w:ascii="Verdana" w:hAnsi="Verdana"/>
          <w:sz w:val="20"/>
          <w:szCs w:val="20"/>
        </w:rPr>
        <w:t>,00</w:t>
      </w:r>
      <w:r w:rsidRPr="00351298">
        <w:rPr>
          <w:rFonts w:ascii="Verdana" w:hAnsi="Verdana"/>
          <w:sz w:val="20"/>
          <w:szCs w:val="20"/>
        </w:rPr>
        <w:t xml:space="preserve"> </w:t>
      </w:r>
      <w:r w:rsidRPr="00351298">
        <w:rPr>
          <w:rFonts w:ascii="Verdana" w:hAnsi="Verdana"/>
          <w:bCs/>
          <w:sz w:val="20"/>
          <w:szCs w:val="20"/>
        </w:rPr>
        <w:t>(</w:t>
      </w:r>
      <w:r>
        <w:rPr>
          <w:rFonts w:ascii="Verdana" w:hAnsi="Verdana"/>
          <w:bCs/>
          <w:sz w:val="20"/>
          <w:szCs w:val="20"/>
        </w:rPr>
        <w:t>veinticinco</w:t>
      </w:r>
      <w:r w:rsidRPr="00351298">
        <w:rPr>
          <w:rFonts w:ascii="Verdana" w:hAnsi="Verdana"/>
          <w:bCs/>
          <w:sz w:val="20"/>
          <w:szCs w:val="20"/>
        </w:rPr>
        <w:t xml:space="preserve"> mil dólares de los Estados Unidos de América)</w:t>
      </w:r>
      <w:r w:rsidRPr="00351298">
        <w:rPr>
          <w:rFonts w:ascii="Verdana" w:hAnsi="Verdana"/>
          <w:sz w:val="20"/>
          <w:szCs w:val="20"/>
        </w:rPr>
        <w:t xml:space="preserve"> por el pago de costas para el equipo de abogados que ha co-participado en la sustentación del presente asunto, a saber Sergio Armando Villa Ramos, Simón Alejandro Hernández León, y David Peña Rodríguez. Dicha cantidad deberá ser entregada directamente a los representantes. En la etapa de supervisión del cumplimiento de la presente Sentencia, la Corte podrá disponer que el Estado reembolse a las víctimas o sus representantes los gastos razonables en que incurran en dicha etapa procesal</w:t>
      </w:r>
      <w:r w:rsidR="005537B2" w:rsidRPr="00351298">
        <w:rPr>
          <w:rStyle w:val="Refdenotaalpie"/>
          <w:rFonts w:ascii="Verdana" w:hAnsi="Verdana"/>
          <w:sz w:val="20"/>
        </w:rPr>
        <w:footnoteReference w:id="296"/>
      </w:r>
      <w:r w:rsidR="00F26BB9" w:rsidRPr="00351298">
        <w:t>.</w:t>
      </w:r>
      <w:r w:rsidR="00A33AAC" w:rsidRPr="00351298">
        <w:t xml:space="preserve"> </w:t>
      </w:r>
    </w:p>
    <w:p w14:paraId="2F2D12B7" w14:textId="52F2CC30" w:rsidR="005537B2" w:rsidRPr="00351298" w:rsidRDefault="005537B2" w:rsidP="005B635B">
      <w:pPr>
        <w:pStyle w:val="Ttulo2"/>
        <w:numPr>
          <w:ilvl w:val="0"/>
          <w:numId w:val="9"/>
        </w:numPr>
        <w:spacing w:before="240" w:after="240"/>
        <w:rPr>
          <w:rFonts w:ascii="Verdana" w:hAnsi="Verdana"/>
          <w:i/>
          <w:color w:val="auto"/>
          <w:sz w:val="20"/>
          <w:szCs w:val="20"/>
        </w:rPr>
      </w:pPr>
      <w:bookmarkStart w:id="151" w:name="_Toc132133953"/>
      <w:r w:rsidRPr="00351298">
        <w:rPr>
          <w:rFonts w:ascii="Verdana" w:hAnsi="Verdana"/>
          <w:i/>
          <w:color w:val="auto"/>
          <w:sz w:val="20"/>
          <w:szCs w:val="20"/>
        </w:rPr>
        <w:t>Modalidad de cumplimiento de los pagos ordenados</w:t>
      </w:r>
      <w:bookmarkEnd w:id="151"/>
    </w:p>
    <w:p w14:paraId="2FB7E363" w14:textId="22F262FB" w:rsidR="005537B2" w:rsidRPr="00351298" w:rsidRDefault="00CB31B8"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El Estado deberá efectuar el pago de las indemnizaciones por concepto de daño material e inmaterial y el reintegro de costas y gastos establecidos en la presente Sentencia directamente a las personas </w:t>
      </w:r>
      <w:r>
        <w:rPr>
          <w:rFonts w:ascii="Verdana" w:hAnsi="Verdana"/>
          <w:sz w:val="20"/>
          <w:szCs w:val="20"/>
        </w:rPr>
        <w:t xml:space="preserve">y la organización </w:t>
      </w:r>
      <w:r w:rsidRPr="00351298">
        <w:rPr>
          <w:rFonts w:ascii="Verdana" w:hAnsi="Verdana"/>
          <w:sz w:val="20"/>
          <w:szCs w:val="20"/>
        </w:rPr>
        <w:t xml:space="preserve">indicadas en la misma, dentro del plazo de un año contado a partir </w:t>
      </w:r>
      <w:r w:rsidRPr="00351298">
        <w:rPr>
          <w:rFonts w:ascii="Verdana" w:hAnsi="Verdana"/>
          <w:sz w:val="20"/>
          <w:szCs w:val="20"/>
        </w:rPr>
        <w:lastRenderedPageBreak/>
        <w:t>de la notificación de la presente Sentencia, sin perjuicio de que pueda adelantar el pago completo en un plazo menor, en los términos de los siguientes párrafos</w:t>
      </w:r>
      <w:r w:rsidR="005537B2" w:rsidRPr="00351298">
        <w:rPr>
          <w:rFonts w:ascii="Verdana" w:hAnsi="Verdana"/>
          <w:sz w:val="20"/>
          <w:szCs w:val="20"/>
        </w:rPr>
        <w:t>.</w:t>
      </w:r>
    </w:p>
    <w:p w14:paraId="26634790" w14:textId="74E460AA" w:rsidR="005537B2" w:rsidRPr="00351298" w:rsidRDefault="005537B2"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En caso de que l</w:t>
      </w:r>
      <w:r w:rsidR="00882ABF" w:rsidRPr="00351298">
        <w:rPr>
          <w:rFonts w:ascii="Verdana" w:hAnsi="Verdana"/>
          <w:sz w:val="20"/>
          <w:szCs w:val="20"/>
        </w:rPr>
        <w:t>os</w:t>
      </w:r>
      <w:r w:rsidRPr="00351298">
        <w:rPr>
          <w:rFonts w:ascii="Verdana" w:hAnsi="Verdana"/>
          <w:sz w:val="20"/>
          <w:szCs w:val="20"/>
        </w:rPr>
        <w:t xml:space="preserve"> beneficiari</w:t>
      </w:r>
      <w:r w:rsidR="00882ABF" w:rsidRPr="00351298">
        <w:rPr>
          <w:rFonts w:ascii="Verdana" w:hAnsi="Verdana"/>
          <w:sz w:val="20"/>
          <w:szCs w:val="20"/>
        </w:rPr>
        <w:t>os</w:t>
      </w:r>
      <w:r w:rsidRPr="00351298">
        <w:rPr>
          <w:rFonts w:ascii="Verdana" w:hAnsi="Verdana"/>
          <w:sz w:val="20"/>
          <w:szCs w:val="20"/>
        </w:rPr>
        <w:t xml:space="preserve"> haya</w:t>
      </w:r>
      <w:r w:rsidR="00882ABF" w:rsidRPr="00351298">
        <w:rPr>
          <w:rFonts w:ascii="Verdana" w:hAnsi="Verdana"/>
          <w:sz w:val="20"/>
          <w:szCs w:val="20"/>
        </w:rPr>
        <w:t>n</w:t>
      </w:r>
      <w:r w:rsidRPr="00351298">
        <w:rPr>
          <w:rFonts w:ascii="Verdana" w:hAnsi="Verdana"/>
          <w:sz w:val="20"/>
          <w:szCs w:val="20"/>
        </w:rPr>
        <w:t xml:space="preserve"> fallecido o fallezca</w:t>
      </w:r>
      <w:r w:rsidR="00F95078">
        <w:rPr>
          <w:rFonts w:ascii="Verdana" w:hAnsi="Verdana"/>
          <w:sz w:val="20"/>
          <w:szCs w:val="20"/>
        </w:rPr>
        <w:t>n</w:t>
      </w:r>
      <w:r w:rsidRPr="00351298">
        <w:rPr>
          <w:rFonts w:ascii="Verdana" w:hAnsi="Verdana"/>
          <w:sz w:val="20"/>
          <w:szCs w:val="20"/>
        </w:rPr>
        <w:t xml:space="preserve"> antes de que le</w:t>
      </w:r>
      <w:r w:rsidR="00882ABF" w:rsidRPr="00351298">
        <w:rPr>
          <w:rFonts w:ascii="Verdana" w:hAnsi="Verdana"/>
          <w:sz w:val="20"/>
          <w:szCs w:val="20"/>
        </w:rPr>
        <w:t>s</w:t>
      </w:r>
      <w:r w:rsidRPr="00351298">
        <w:rPr>
          <w:rFonts w:ascii="Verdana" w:hAnsi="Verdana"/>
          <w:sz w:val="20"/>
          <w:szCs w:val="20"/>
        </w:rPr>
        <w:t xml:space="preserve"> sea</w:t>
      </w:r>
      <w:r w:rsidR="00C337EE">
        <w:rPr>
          <w:rFonts w:ascii="Verdana" w:hAnsi="Verdana"/>
          <w:sz w:val="20"/>
          <w:szCs w:val="20"/>
        </w:rPr>
        <w:t>n</w:t>
      </w:r>
      <w:r w:rsidRPr="00351298">
        <w:rPr>
          <w:rFonts w:ascii="Verdana" w:hAnsi="Verdana"/>
          <w:sz w:val="20"/>
          <w:szCs w:val="20"/>
        </w:rPr>
        <w:t xml:space="preserve"> entregada</w:t>
      </w:r>
      <w:r w:rsidR="00C337EE">
        <w:rPr>
          <w:rFonts w:ascii="Verdana" w:hAnsi="Verdana"/>
          <w:sz w:val="20"/>
          <w:szCs w:val="20"/>
        </w:rPr>
        <w:t>s</w:t>
      </w:r>
      <w:r w:rsidRPr="00351298">
        <w:rPr>
          <w:rFonts w:ascii="Verdana" w:hAnsi="Verdana"/>
          <w:sz w:val="20"/>
          <w:szCs w:val="20"/>
        </w:rPr>
        <w:t xml:space="preserve"> la</w:t>
      </w:r>
      <w:r w:rsidR="00882ABF" w:rsidRPr="00351298">
        <w:rPr>
          <w:rFonts w:ascii="Verdana" w:hAnsi="Verdana"/>
          <w:sz w:val="20"/>
          <w:szCs w:val="20"/>
        </w:rPr>
        <w:t>s</w:t>
      </w:r>
      <w:r w:rsidRPr="00351298">
        <w:rPr>
          <w:rFonts w:ascii="Verdana" w:hAnsi="Verdana"/>
          <w:sz w:val="20"/>
          <w:szCs w:val="20"/>
        </w:rPr>
        <w:t xml:space="preserve"> cantidad</w:t>
      </w:r>
      <w:r w:rsidR="00882ABF" w:rsidRPr="00351298">
        <w:rPr>
          <w:rFonts w:ascii="Verdana" w:hAnsi="Verdana"/>
          <w:sz w:val="20"/>
          <w:szCs w:val="20"/>
        </w:rPr>
        <w:t>es</w:t>
      </w:r>
      <w:r w:rsidRPr="00351298">
        <w:rPr>
          <w:rFonts w:ascii="Verdana" w:hAnsi="Verdana"/>
          <w:sz w:val="20"/>
          <w:szCs w:val="20"/>
        </w:rPr>
        <w:t xml:space="preserve"> respectiva</w:t>
      </w:r>
      <w:r w:rsidR="00882ABF" w:rsidRPr="00351298">
        <w:rPr>
          <w:rFonts w:ascii="Verdana" w:hAnsi="Verdana"/>
          <w:sz w:val="20"/>
          <w:szCs w:val="20"/>
        </w:rPr>
        <w:t>s</w:t>
      </w:r>
      <w:r w:rsidRPr="00351298">
        <w:rPr>
          <w:rFonts w:ascii="Verdana" w:hAnsi="Verdana"/>
          <w:sz w:val="20"/>
          <w:szCs w:val="20"/>
        </w:rPr>
        <w:t>, esta</w:t>
      </w:r>
      <w:r w:rsidR="00882ABF" w:rsidRPr="00351298">
        <w:rPr>
          <w:rFonts w:ascii="Verdana" w:hAnsi="Verdana"/>
          <w:sz w:val="20"/>
          <w:szCs w:val="20"/>
        </w:rPr>
        <w:t>s</w:t>
      </w:r>
      <w:r w:rsidRPr="00351298">
        <w:rPr>
          <w:rFonts w:ascii="Verdana" w:hAnsi="Verdana"/>
          <w:sz w:val="20"/>
          <w:szCs w:val="20"/>
        </w:rPr>
        <w:t xml:space="preserve"> se entregará</w:t>
      </w:r>
      <w:r w:rsidR="00882ABF" w:rsidRPr="00351298">
        <w:rPr>
          <w:rFonts w:ascii="Verdana" w:hAnsi="Verdana"/>
          <w:sz w:val="20"/>
          <w:szCs w:val="20"/>
        </w:rPr>
        <w:t>n</w:t>
      </w:r>
      <w:r w:rsidRPr="00351298">
        <w:rPr>
          <w:rFonts w:ascii="Verdana" w:hAnsi="Verdana"/>
          <w:sz w:val="20"/>
          <w:szCs w:val="20"/>
        </w:rPr>
        <w:t xml:space="preserve"> directamente a sus derechohabientes, conforme al derecho interno aplicable.</w:t>
      </w:r>
    </w:p>
    <w:p w14:paraId="7871FF6D" w14:textId="77777777" w:rsidR="005537B2" w:rsidRPr="00351298" w:rsidRDefault="005537B2"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w:t>
      </w:r>
    </w:p>
    <w:p w14:paraId="4B8BDE57" w14:textId="77DBFC16" w:rsidR="005537B2" w:rsidRPr="00351298" w:rsidRDefault="005537B2"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Si por causas atribuibles a </w:t>
      </w:r>
      <w:r w:rsidR="00882ABF" w:rsidRPr="00351298">
        <w:rPr>
          <w:rFonts w:ascii="Verdana" w:hAnsi="Verdana"/>
          <w:sz w:val="20"/>
          <w:szCs w:val="20"/>
        </w:rPr>
        <w:t>los</w:t>
      </w:r>
      <w:r w:rsidRPr="00351298">
        <w:rPr>
          <w:rFonts w:ascii="Verdana" w:hAnsi="Verdana"/>
          <w:sz w:val="20"/>
          <w:szCs w:val="20"/>
        </w:rPr>
        <w:t xml:space="preserve"> beneficiari</w:t>
      </w:r>
      <w:r w:rsidR="00882ABF" w:rsidRPr="00351298">
        <w:rPr>
          <w:rFonts w:ascii="Verdana" w:hAnsi="Verdana"/>
          <w:sz w:val="20"/>
          <w:szCs w:val="20"/>
        </w:rPr>
        <w:t>os</w:t>
      </w:r>
      <w:r w:rsidRPr="00351298">
        <w:rPr>
          <w:rFonts w:ascii="Verdana" w:hAnsi="Verdana"/>
          <w:sz w:val="20"/>
          <w:szCs w:val="20"/>
        </w:rPr>
        <w:t xml:space="preserve"> de las indemnizaciones o a sus derechohabientes no fuese posible el pago de las cantidades determinadas dentro del plazo indicado, el Estado consignará dichos montos a su favor en una cuenta o certificado de depósito en una institución financiera </w:t>
      </w:r>
      <w:r w:rsidR="00882ABF" w:rsidRPr="00351298">
        <w:rPr>
          <w:rFonts w:ascii="Verdana" w:hAnsi="Verdana"/>
          <w:sz w:val="20"/>
          <w:szCs w:val="20"/>
        </w:rPr>
        <w:t>mexicana</w:t>
      </w:r>
      <w:r w:rsidRPr="00351298">
        <w:rPr>
          <w:rFonts w:ascii="Verdana" w:hAnsi="Verdana"/>
          <w:sz w:val="20"/>
          <w:szCs w:val="20"/>
        </w:rPr>
        <w:t xml:space="preserve">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00A10F95" w14:textId="0299806F" w:rsidR="005537B2" w:rsidRDefault="00CB31B8" w:rsidP="00D73463">
      <w:pPr>
        <w:numPr>
          <w:ilvl w:val="0"/>
          <w:numId w:val="2"/>
        </w:numPr>
        <w:spacing w:before="120" w:after="120"/>
        <w:ind w:left="0" w:firstLine="0"/>
        <w:jc w:val="both"/>
        <w:rPr>
          <w:rFonts w:ascii="Verdana" w:hAnsi="Verdana"/>
          <w:sz w:val="20"/>
          <w:szCs w:val="20"/>
        </w:rPr>
      </w:pPr>
      <w:r w:rsidRPr="00351298">
        <w:rPr>
          <w:rFonts w:ascii="Verdana" w:hAnsi="Verdana"/>
          <w:sz w:val="20"/>
          <w:szCs w:val="20"/>
        </w:rPr>
        <w:t>Las cantidades asignadas en la presente Sentencia como indemnización por daños materiales e inmateriales, y como reintegro de gastos y costas, deberán ser entregadas a las personas</w:t>
      </w:r>
      <w:r>
        <w:rPr>
          <w:rFonts w:ascii="Verdana" w:hAnsi="Verdana"/>
          <w:sz w:val="20"/>
          <w:szCs w:val="20"/>
        </w:rPr>
        <w:t xml:space="preserve"> y a la organización</w:t>
      </w:r>
      <w:r w:rsidRPr="00351298">
        <w:rPr>
          <w:rFonts w:ascii="Verdana" w:hAnsi="Verdana"/>
          <w:sz w:val="20"/>
          <w:szCs w:val="20"/>
        </w:rPr>
        <w:t xml:space="preserve"> indicadas en forma íntegra, conforme a lo establecido en esta Sentencia, sin reducciones derivadas de eventuales cargas fiscales</w:t>
      </w:r>
      <w:r w:rsidR="005537B2" w:rsidRPr="00351298">
        <w:rPr>
          <w:rFonts w:ascii="Verdana" w:hAnsi="Verdana"/>
          <w:sz w:val="20"/>
          <w:szCs w:val="20"/>
        </w:rPr>
        <w:t>.</w:t>
      </w:r>
    </w:p>
    <w:p w14:paraId="5E75C185" w14:textId="09BCDE7B" w:rsidR="00CB31B8" w:rsidRPr="00CB31B8" w:rsidRDefault="00CB31B8" w:rsidP="00CB31B8">
      <w:pPr>
        <w:numPr>
          <w:ilvl w:val="0"/>
          <w:numId w:val="2"/>
        </w:numPr>
        <w:spacing w:before="120" w:after="120"/>
        <w:ind w:left="0" w:firstLine="0"/>
        <w:jc w:val="both"/>
        <w:rPr>
          <w:rFonts w:ascii="Verdana" w:hAnsi="Verdana"/>
          <w:sz w:val="20"/>
          <w:szCs w:val="20"/>
        </w:rPr>
      </w:pPr>
      <w:r w:rsidRPr="00CB31B8">
        <w:rPr>
          <w:rFonts w:ascii="Verdana" w:hAnsi="Verdana"/>
          <w:sz w:val="20"/>
          <w:szCs w:val="20"/>
        </w:rPr>
        <w:t xml:space="preserve">En caso de que el Estado incurriera en mora, deberá pagar un interés sobre la cantidad adeudada correspondiente al interés bancario moratorio </w:t>
      </w:r>
      <w:r>
        <w:rPr>
          <w:rFonts w:ascii="Verdana" w:hAnsi="Verdana"/>
          <w:sz w:val="20"/>
          <w:szCs w:val="20"/>
        </w:rPr>
        <w:t>de México.</w:t>
      </w:r>
    </w:p>
    <w:p w14:paraId="44CB2EBF" w14:textId="0E931142" w:rsidR="002236DE" w:rsidRPr="00351298" w:rsidRDefault="0085104D" w:rsidP="005B635B">
      <w:pPr>
        <w:pStyle w:val="Prrafodelista"/>
        <w:spacing w:before="360" w:after="360"/>
        <w:ind w:left="0" w:right="-799"/>
        <w:contextualSpacing w:val="0"/>
        <w:jc w:val="center"/>
        <w:outlineLvl w:val="0"/>
        <w:rPr>
          <w:rFonts w:ascii="Verdana" w:hAnsi="Verdana"/>
          <w:b/>
          <w:sz w:val="20"/>
          <w:szCs w:val="20"/>
        </w:rPr>
      </w:pPr>
      <w:bookmarkStart w:id="152" w:name="_Toc58330246"/>
      <w:bookmarkStart w:id="153" w:name="_Toc132133954"/>
      <w:bookmarkEnd w:id="134"/>
      <w:r w:rsidRPr="00351298">
        <w:rPr>
          <w:rFonts w:ascii="Verdana" w:hAnsi="Verdana"/>
          <w:b/>
          <w:color w:val="000000" w:themeColor="text1"/>
          <w:sz w:val="20"/>
          <w:szCs w:val="20"/>
        </w:rPr>
        <w:t>X</w:t>
      </w:r>
      <w:r w:rsidR="00981A1B" w:rsidRPr="00351298">
        <w:rPr>
          <w:rFonts w:ascii="Verdana" w:hAnsi="Verdana"/>
          <w:b/>
          <w:color w:val="FDE9D9" w:themeColor="accent6" w:themeTint="33"/>
          <w:sz w:val="20"/>
          <w:szCs w:val="20"/>
        </w:rPr>
        <w:t>.</w:t>
      </w:r>
      <w:r w:rsidR="002236DE" w:rsidRPr="00351298">
        <w:rPr>
          <w:rFonts w:ascii="Verdana" w:hAnsi="Verdana"/>
          <w:b/>
          <w:sz w:val="20"/>
          <w:szCs w:val="20"/>
        </w:rPr>
        <w:br/>
        <w:t>PUNTOS RESOLUTIVOS</w:t>
      </w:r>
      <w:bookmarkEnd w:id="152"/>
      <w:bookmarkEnd w:id="153"/>
    </w:p>
    <w:p w14:paraId="0DEC381B" w14:textId="77777777" w:rsidR="00FE23FC" w:rsidRPr="00351298" w:rsidRDefault="00FE23FC" w:rsidP="00FE23FC">
      <w:pPr>
        <w:numPr>
          <w:ilvl w:val="0"/>
          <w:numId w:val="2"/>
        </w:numPr>
        <w:spacing w:before="120" w:after="120"/>
        <w:ind w:left="0" w:firstLine="0"/>
        <w:jc w:val="both"/>
        <w:rPr>
          <w:rFonts w:ascii="Verdana" w:hAnsi="Verdana"/>
          <w:sz w:val="20"/>
          <w:szCs w:val="20"/>
        </w:rPr>
      </w:pPr>
      <w:r w:rsidRPr="00351298">
        <w:rPr>
          <w:rFonts w:ascii="Verdana" w:hAnsi="Verdana"/>
          <w:sz w:val="20"/>
          <w:szCs w:val="20"/>
        </w:rPr>
        <w:t xml:space="preserve">Por </w:t>
      </w:r>
      <w:r w:rsidRPr="00351298">
        <w:rPr>
          <w:rFonts w:ascii="Verdana" w:hAnsi="Verdana"/>
          <w:sz w:val="20"/>
          <w:szCs w:val="20"/>
          <w:lang w:bidi="en-US"/>
        </w:rPr>
        <w:t>tanto</w:t>
      </w:r>
      <w:r w:rsidRPr="00351298">
        <w:rPr>
          <w:rFonts w:ascii="Verdana" w:hAnsi="Verdana"/>
          <w:sz w:val="20"/>
          <w:szCs w:val="20"/>
        </w:rPr>
        <w:t xml:space="preserve">, </w:t>
      </w:r>
    </w:p>
    <w:p w14:paraId="3A311E07" w14:textId="77777777" w:rsidR="00FE23FC" w:rsidRPr="00351298" w:rsidRDefault="00FE23FC" w:rsidP="00FE23FC">
      <w:pPr>
        <w:pStyle w:val="Prrafodelista"/>
        <w:spacing w:before="240" w:after="240"/>
        <w:ind w:left="0" w:right="-799"/>
        <w:contextualSpacing w:val="0"/>
        <w:rPr>
          <w:rFonts w:ascii="Verdana" w:hAnsi="Verdana"/>
          <w:b/>
          <w:sz w:val="20"/>
          <w:szCs w:val="20"/>
        </w:rPr>
      </w:pPr>
      <w:r w:rsidRPr="00351298">
        <w:rPr>
          <w:rFonts w:ascii="Verdana" w:hAnsi="Verdana"/>
          <w:b/>
          <w:sz w:val="20"/>
          <w:szCs w:val="20"/>
        </w:rPr>
        <w:t>LA CORTE</w:t>
      </w:r>
    </w:p>
    <w:p w14:paraId="0959D18E" w14:textId="77777777" w:rsidR="00FE23FC" w:rsidRPr="00351298" w:rsidRDefault="00FE23FC" w:rsidP="00FE23FC">
      <w:pPr>
        <w:spacing w:before="240" w:after="240"/>
        <w:ind w:right="45"/>
        <w:rPr>
          <w:rFonts w:ascii="Verdana" w:hAnsi="Verdana"/>
          <w:b/>
          <w:sz w:val="20"/>
          <w:szCs w:val="20"/>
        </w:rPr>
      </w:pPr>
      <w:r w:rsidRPr="00351298">
        <w:rPr>
          <w:rFonts w:ascii="Verdana" w:hAnsi="Verdana"/>
          <w:b/>
          <w:sz w:val="20"/>
          <w:szCs w:val="20"/>
        </w:rPr>
        <w:t>DECIDE</w:t>
      </w:r>
    </w:p>
    <w:p w14:paraId="55C8F459" w14:textId="63C616CA" w:rsidR="00FE23FC" w:rsidRPr="00351298" w:rsidRDefault="00FE23FC" w:rsidP="00FE23FC">
      <w:pPr>
        <w:spacing w:before="240" w:after="240"/>
        <w:ind w:right="45"/>
        <w:rPr>
          <w:rFonts w:ascii="Verdana" w:hAnsi="Verdana"/>
          <w:sz w:val="20"/>
          <w:szCs w:val="20"/>
          <w:lang w:val="es-PE"/>
        </w:rPr>
      </w:pPr>
      <w:r w:rsidRPr="00351298">
        <w:rPr>
          <w:rFonts w:ascii="Verdana" w:hAnsi="Verdana"/>
          <w:sz w:val="20"/>
          <w:szCs w:val="20"/>
          <w:lang w:val="es-PE"/>
        </w:rPr>
        <w:t xml:space="preserve">Por </w:t>
      </w:r>
      <w:r w:rsidR="00290394">
        <w:rPr>
          <w:rFonts w:ascii="Verdana" w:hAnsi="Verdana"/>
          <w:sz w:val="20"/>
          <w:szCs w:val="20"/>
        </w:rPr>
        <w:t>unanimidad</w:t>
      </w:r>
      <w:r w:rsidRPr="00351298">
        <w:rPr>
          <w:rFonts w:ascii="Verdana" w:hAnsi="Verdana"/>
          <w:sz w:val="20"/>
          <w:szCs w:val="20"/>
          <w:lang w:val="es-PE"/>
        </w:rPr>
        <w:t>, que:</w:t>
      </w:r>
    </w:p>
    <w:p w14:paraId="6D74DD64" w14:textId="77777777" w:rsidR="00287CEF"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 xml:space="preserve">Desestimar la excepción preliminar sobre cosa juzgada internacional, de conformidad con los párrafos </w:t>
      </w:r>
      <w:r w:rsidR="00287CEF">
        <w:rPr>
          <w:rFonts w:ascii="Verdana" w:hAnsi="Verdana"/>
          <w:sz w:val="20"/>
          <w:szCs w:val="20"/>
          <w:lang w:val="es-PE"/>
        </w:rPr>
        <w:t>19</w:t>
      </w:r>
      <w:r w:rsidRPr="00351298">
        <w:rPr>
          <w:rFonts w:ascii="Verdana" w:hAnsi="Verdana"/>
          <w:sz w:val="20"/>
          <w:szCs w:val="20"/>
          <w:lang w:val="es-PE"/>
        </w:rPr>
        <w:t xml:space="preserve"> </w:t>
      </w:r>
      <w:r w:rsidR="00287CEF">
        <w:rPr>
          <w:rFonts w:ascii="Verdana" w:hAnsi="Verdana"/>
          <w:sz w:val="20"/>
          <w:szCs w:val="20"/>
          <w:lang w:val="es-PE"/>
        </w:rPr>
        <w:t>a 22</w:t>
      </w:r>
      <w:r w:rsidRPr="00351298">
        <w:rPr>
          <w:rFonts w:ascii="Verdana" w:hAnsi="Verdana"/>
          <w:sz w:val="20"/>
          <w:szCs w:val="20"/>
          <w:lang w:val="es-PE"/>
        </w:rPr>
        <w:t>.</w:t>
      </w:r>
      <w:r w:rsidR="00287CEF" w:rsidRPr="00287CEF">
        <w:rPr>
          <w:rFonts w:ascii="Verdana" w:hAnsi="Verdana"/>
          <w:sz w:val="20"/>
          <w:szCs w:val="20"/>
          <w:lang w:val="es-PE"/>
        </w:rPr>
        <w:t xml:space="preserve"> </w:t>
      </w:r>
    </w:p>
    <w:p w14:paraId="6643B8ED" w14:textId="47941E59" w:rsidR="008F475D" w:rsidRPr="00351298" w:rsidRDefault="00287CEF"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 xml:space="preserve">Desestimar la excepción preliminar sobre la falta de agotamiento de los recursos internos, de conformidad con los párrafos </w:t>
      </w:r>
      <w:r>
        <w:rPr>
          <w:rFonts w:ascii="Verdana" w:hAnsi="Verdana"/>
          <w:sz w:val="20"/>
          <w:szCs w:val="20"/>
          <w:lang w:val="es-PE"/>
        </w:rPr>
        <w:t>27</w:t>
      </w:r>
      <w:r w:rsidRPr="00351298">
        <w:rPr>
          <w:rFonts w:ascii="Verdana" w:hAnsi="Verdana"/>
          <w:sz w:val="20"/>
          <w:szCs w:val="20"/>
          <w:lang w:val="es-PE"/>
        </w:rPr>
        <w:t xml:space="preserve"> a </w:t>
      </w:r>
      <w:r>
        <w:rPr>
          <w:rFonts w:ascii="Verdana" w:hAnsi="Verdana"/>
          <w:sz w:val="20"/>
          <w:szCs w:val="20"/>
          <w:lang w:val="es-PE"/>
        </w:rPr>
        <w:t>30.</w:t>
      </w:r>
    </w:p>
    <w:p w14:paraId="1CF26782" w14:textId="77777777" w:rsidR="00FE23FC" w:rsidRPr="00351298" w:rsidRDefault="00FE23FC" w:rsidP="00FE23FC">
      <w:pPr>
        <w:spacing w:before="240" w:after="240"/>
        <w:ind w:right="45"/>
        <w:rPr>
          <w:rFonts w:ascii="Verdana" w:hAnsi="Verdana"/>
          <w:b/>
          <w:sz w:val="20"/>
          <w:szCs w:val="20"/>
          <w:lang w:val="es-PE"/>
        </w:rPr>
      </w:pPr>
      <w:r w:rsidRPr="00351298">
        <w:rPr>
          <w:rFonts w:ascii="Verdana" w:hAnsi="Verdana"/>
          <w:b/>
          <w:sz w:val="20"/>
          <w:szCs w:val="20"/>
        </w:rPr>
        <w:t>DECLARA</w:t>
      </w:r>
      <w:r w:rsidRPr="00351298">
        <w:rPr>
          <w:rFonts w:ascii="Verdana" w:hAnsi="Verdana"/>
          <w:b/>
          <w:sz w:val="20"/>
          <w:szCs w:val="20"/>
          <w:lang w:val="es-PE"/>
        </w:rPr>
        <w:t>,</w:t>
      </w:r>
    </w:p>
    <w:p w14:paraId="1A79A52B" w14:textId="0117C436" w:rsidR="00FE23FC" w:rsidRPr="00351298" w:rsidRDefault="00FE23FC" w:rsidP="00FE23FC">
      <w:pPr>
        <w:spacing w:before="240" w:after="240"/>
        <w:ind w:right="45"/>
        <w:rPr>
          <w:rFonts w:ascii="Verdana" w:hAnsi="Verdana"/>
          <w:sz w:val="20"/>
          <w:szCs w:val="20"/>
          <w:lang w:val="es-PE"/>
        </w:rPr>
      </w:pPr>
      <w:r w:rsidRPr="00351298">
        <w:rPr>
          <w:rFonts w:ascii="Verdana" w:hAnsi="Verdana"/>
          <w:sz w:val="20"/>
          <w:szCs w:val="20"/>
          <w:lang w:val="es-PE"/>
        </w:rPr>
        <w:t xml:space="preserve">Por </w:t>
      </w:r>
      <w:r w:rsidR="00290394">
        <w:rPr>
          <w:rFonts w:ascii="Verdana" w:hAnsi="Verdana"/>
          <w:sz w:val="20"/>
          <w:szCs w:val="20"/>
        </w:rPr>
        <w:t>unanimidad</w:t>
      </w:r>
      <w:r w:rsidRPr="00351298">
        <w:rPr>
          <w:rFonts w:ascii="Verdana" w:hAnsi="Verdana"/>
          <w:sz w:val="20"/>
          <w:szCs w:val="20"/>
          <w:lang w:val="es-PE"/>
        </w:rPr>
        <w:t>, que:</w:t>
      </w:r>
    </w:p>
    <w:p w14:paraId="0271E698" w14:textId="0AD0044A" w:rsidR="00863B6E" w:rsidRPr="00863B6E" w:rsidRDefault="00863B6E" w:rsidP="00863B6E">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MX"/>
        </w:rPr>
        <w:t xml:space="preserve">El Estado es responsable por la violación al derecho a la libertad personal contenido en el artículo 7.1, 7.2, 7.4 </w:t>
      </w:r>
      <w:r>
        <w:rPr>
          <w:rFonts w:ascii="Verdana" w:hAnsi="Verdana"/>
          <w:sz w:val="20"/>
          <w:szCs w:val="20"/>
          <w:lang w:val="es-MX"/>
        </w:rPr>
        <w:t xml:space="preserve">y 7.5 </w:t>
      </w:r>
      <w:r w:rsidRPr="00351298">
        <w:rPr>
          <w:rFonts w:ascii="Verdana" w:hAnsi="Verdana"/>
          <w:sz w:val="20"/>
          <w:szCs w:val="20"/>
          <w:lang w:val="es-MX"/>
        </w:rPr>
        <w:t>de la Convención Americana</w:t>
      </w:r>
      <w:r w:rsidR="00CB31B8">
        <w:rPr>
          <w:rFonts w:ascii="Verdana" w:hAnsi="Verdana"/>
          <w:sz w:val="20"/>
          <w:szCs w:val="20"/>
          <w:lang w:val="es-MX"/>
        </w:rPr>
        <w:t xml:space="preserve"> sobre Derechos Humanos</w:t>
      </w:r>
      <w:r w:rsidRPr="00351298">
        <w:rPr>
          <w:rFonts w:ascii="Verdana" w:hAnsi="Verdana"/>
          <w:sz w:val="20"/>
          <w:szCs w:val="20"/>
          <w:lang w:val="es-MX"/>
        </w:rPr>
        <w:t xml:space="preserve">, en relación </w:t>
      </w:r>
      <w:r w:rsidRPr="00351298">
        <w:rPr>
          <w:rFonts w:ascii="Verdana" w:hAnsi="Verdana"/>
          <w:sz w:val="20"/>
          <w:szCs w:val="20"/>
          <w:lang w:val="es-PE"/>
        </w:rPr>
        <w:t>con la obligación de respetar los derechos establecida en el artículo 1.1 del mismo instrumento</w:t>
      </w:r>
      <w:r w:rsidR="00291540">
        <w:rPr>
          <w:rFonts w:ascii="Verdana" w:hAnsi="Verdana"/>
          <w:sz w:val="20"/>
          <w:szCs w:val="20"/>
          <w:lang w:val="es-PE"/>
        </w:rPr>
        <w:t>,</w:t>
      </w:r>
      <w:r w:rsidRPr="00351298">
        <w:rPr>
          <w:rFonts w:ascii="Verdana" w:hAnsi="Verdana"/>
          <w:sz w:val="20"/>
          <w:szCs w:val="20"/>
          <w:lang w:val="es-PE"/>
        </w:rPr>
        <w:t xml:space="preserve"> </w:t>
      </w:r>
      <w:r w:rsidRPr="00351298">
        <w:rPr>
          <w:rFonts w:ascii="Verdana" w:hAnsi="Verdana"/>
          <w:sz w:val="20"/>
          <w:szCs w:val="20"/>
          <w:lang w:val="es-MX"/>
        </w:rPr>
        <w:t xml:space="preserve">en perjuicio </w:t>
      </w:r>
      <w:r w:rsidRPr="00351298">
        <w:rPr>
          <w:rFonts w:ascii="Verdana" w:hAnsi="Verdana"/>
          <w:sz w:val="20"/>
          <w:szCs w:val="20"/>
          <w:lang w:val="es-PE"/>
        </w:rPr>
        <w:t xml:space="preserve">de Daniel García Rodríguez y Reyes Alpízar Ortiz, </w:t>
      </w:r>
      <w:r w:rsidRPr="00351298">
        <w:rPr>
          <w:rFonts w:ascii="Verdana" w:hAnsi="Verdana"/>
          <w:sz w:val="20"/>
          <w:szCs w:val="20"/>
          <w:lang w:val="es-MX"/>
        </w:rPr>
        <w:t xml:space="preserve">en los términos de los párrafos </w:t>
      </w:r>
      <w:r>
        <w:rPr>
          <w:rFonts w:ascii="Verdana" w:hAnsi="Verdana"/>
          <w:sz w:val="20"/>
          <w:szCs w:val="20"/>
          <w:lang w:val="es-MX"/>
        </w:rPr>
        <w:t>126</w:t>
      </w:r>
      <w:r w:rsidRPr="00351298">
        <w:rPr>
          <w:rFonts w:ascii="Verdana" w:hAnsi="Verdana"/>
          <w:sz w:val="20"/>
          <w:szCs w:val="20"/>
          <w:lang w:val="es-MX"/>
        </w:rPr>
        <w:t xml:space="preserve"> a </w:t>
      </w:r>
      <w:r>
        <w:rPr>
          <w:rFonts w:ascii="Verdana" w:hAnsi="Verdana"/>
          <w:sz w:val="20"/>
          <w:szCs w:val="20"/>
          <w:lang w:val="es-MX"/>
        </w:rPr>
        <w:t>141 y 186</w:t>
      </w:r>
      <w:r w:rsidRPr="00351298">
        <w:rPr>
          <w:rFonts w:ascii="Verdana" w:hAnsi="Verdana"/>
          <w:sz w:val="20"/>
          <w:szCs w:val="20"/>
          <w:lang w:val="es-PE"/>
        </w:rPr>
        <w:t>.</w:t>
      </w:r>
    </w:p>
    <w:p w14:paraId="660F6B3E" w14:textId="1A7F3BF3" w:rsidR="008F475D" w:rsidRPr="00351298" w:rsidRDefault="00CB31B8"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lastRenderedPageBreak/>
        <w:t>El Estado es responsable por la violación a</w:t>
      </w:r>
      <w:r>
        <w:rPr>
          <w:rFonts w:ascii="Verdana" w:hAnsi="Verdana"/>
          <w:sz w:val="20"/>
          <w:szCs w:val="20"/>
          <w:lang w:val="es-PE"/>
        </w:rPr>
        <w:t xml:space="preserve"> </w:t>
      </w:r>
      <w:r w:rsidRPr="00351298">
        <w:rPr>
          <w:rFonts w:ascii="Verdana" w:hAnsi="Verdana"/>
          <w:sz w:val="20"/>
          <w:szCs w:val="20"/>
          <w:lang w:val="es-PE"/>
        </w:rPr>
        <w:t>l</w:t>
      </w:r>
      <w:r>
        <w:rPr>
          <w:rFonts w:ascii="Verdana" w:hAnsi="Verdana"/>
          <w:sz w:val="20"/>
          <w:szCs w:val="20"/>
          <w:lang w:val="es-PE"/>
        </w:rPr>
        <w:t>os</w:t>
      </w:r>
      <w:r w:rsidRPr="00351298">
        <w:rPr>
          <w:rFonts w:ascii="Verdana" w:hAnsi="Verdana"/>
          <w:sz w:val="20"/>
          <w:szCs w:val="20"/>
          <w:lang w:val="es-PE"/>
        </w:rPr>
        <w:t xml:space="preserve"> derecho</w:t>
      </w:r>
      <w:r>
        <w:rPr>
          <w:rFonts w:ascii="Verdana" w:hAnsi="Verdana"/>
          <w:sz w:val="20"/>
          <w:szCs w:val="20"/>
          <w:lang w:val="es-PE"/>
        </w:rPr>
        <w:t>s</w:t>
      </w:r>
      <w:r w:rsidRPr="00351298">
        <w:rPr>
          <w:rFonts w:ascii="Verdana" w:hAnsi="Verdana"/>
          <w:sz w:val="20"/>
          <w:szCs w:val="20"/>
          <w:lang w:val="es-PE"/>
        </w:rPr>
        <w:t xml:space="preserve"> a la libertad personal</w:t>
      </w:r>
      <w:r>
        <w:rPr>
          <w:rFonts w:ascii="Verdana" w:hAnsi="Verdana"/>
          <w:sz w:val="20"/>
          <w:szCs w:val="20"/>
          <w:lang w:val="es-PE"/>
        </w:rPr>
        <w:t xml:space="preserve">, a ser oído, y </w:t>
      </w:r>
      <w:r w:rsidRPr="00351298">
        <w:rPr>
          <w:rFonts w:ascii="Verdana" w:hAnsi="Verdana"/>
          <w:sz w:val="20"/>
          <w:szCs w:val="20"/>
          <w:lang w:val="es-PE"/>
        </w:rPr>
        <w:t>a la presunción de inocencia</w:t>
      </w:r>
      <w:r>
        <w:rPr>
          <w:rFonts w:ascii="Verdana" w:hAnsi="Verdana"/>
          <w:sz w:val="20"/>
          <w:szCs w:val="20"/>
          <w:lang w:val="es-PE"/>
        </w:rPr>
        <w:t>,</w:t>
      </w:r>
      <w:r w:rsidRPr="00351298">
        <w:rPr>
          <w:rFonts w:ascii="Verdana" w:hAnsi="Verdana"/>
          <w:sz w:val="20"/>
          <w:szCs w:val="20"/>
          <w:lang w:val="es-PE"/>
        </w:rPr>
        <w:t xml:space="preserve"> reconocido</w:t>
      </w:r>
      <w:r>
        <w:rPr>
          <w:rFonts w:ascii="Verdana" w:hAnsi="Verdana"/>
          <w:sz w:val="20"/>
          <w:szCs w:val="20"/>
          <w:lang w:val="es-PE"/>
        </w:rPr>
        <w:t>s</w:t>
      </w:r>
      <w:r w:rsidRPr="00351298">
        <w:rPr>
          <w:rFonts w:ascii="Verdana" w:hAnsi="Verdana"/>
          <w:sz w:val="20"/>
          <w:szCs w:val="20"/>
          <w:lang w:val="es-PE"/>
        </w:rPr>
        <w:t xml:space="preserve"> en </w:t>
      </w:r>
      <w:r>
        <w:rPr>
          <w:rFonts w:ascii="Verdana" w:hAnsi="Verdana"/>
          <w:sz w:val="20"/>
          <w:szCs w:val="20"/>
          <w:lang w:val="es-PE"/>
        </w:rPr>
        <w:t>los</w:t>
      </w:r>
      <w:r w:rsidRPr="00351298">
        <w:rPr>
          <w:rFonts w:ascii="Verdana" w:hAnsi="Verdana"/>
          <w:sz w:val="20"/>
          <w:szCs w:val="20"/>
          <w:lang w:val="es-PE"/>
        </w:rPr>
        <w:t xml:space="preserve"> artículo</w:t>
      </w:r>
      <w:r>
        <w:rPr>
          <w:rFonts w:ascii="Verdana" w:hAnsi="Verdana"/>
          <w:sz w:val="20"/>
          <w:szCs w:val="20"/>
          <w:lang w:val="es-PE"/>
        </w:rPr>
        <w:t xml:space="preserve">s </w:t>
      </w:r>
      <w:r w:rsidRPr="00351298">
        <w:rPr>
          <w:rFonts w:ascii="Verdana" w:hAnsi="Verdana"/>
          <w:sz w:val="20"/>
          <w:szCs w:val="20"/>
          <w:lang w:val="es-PE"/>
        </w:rPr>
        <w:t>7.1, 7.3</w:t>
      </w:r>
      <w:r>
        <w:rPr>
          <w:rFonts w:ascii="Verdana" w:hAnsi="Verdana"/>
          <w:sz w:val="20"/>
          <w:szCs w:val="20"/>
          <w:lang w:val="es-PE"/>
        </w:rPr>
        <w:t xml:space="preserve">, </w:t>
      </w:r>
      <w:r w:rsidRPr="00351298">
        <w:rPr>
          <w:rFonts w:ascii="Verdana" w:hAnsi="Verdana"/>
          <w:sz w:val="20"/>
          <w:szCs w:val="20"/>
          <w:lang w:val="es-PE"/>
        </w:rPr>
        <w:t>7.5</w:t>
      </w:r>
      <w:r>
        <w:rPr>
          <w:rFonts w:ascii="Verdana" w:hAnsi="Verdana"/>
          <w:sz w:val="20"/>
          <w:szCs w:val="20"/>
          <w:lang w:val="es-PE"/>
        </w:rPr>
        <w:t>,</w:t>
      </w:r>
      <w:r w:rsidRPr="00351298">
        <w:rPr>
          <w:rFonts w:ascii="Verdana" w:hAnsi="Verdana"/>
          <w:sz w:val="20"/>
          <w:szCs w:val="20"/>
          <w:lang w:val="es-PE"/>
        </w:rPr>
        <w:t xml:space="preserve"> </w:t>
      </w:r>
      <w:r>
        <w:rPr>
          <w:rFonts w:ascii="Verdana" w:hAnsi="Verdana"/>
          <w:sz w:val="20"/>
          <w:szCs w:val="20"/>
          <w:lang w:val="es-PE"/>
        </w:rPr>
        <w:t>8.1 y</w:t>
      </w:r>
      <w:r w:rsidRPr="00351298">
        <w:rPr>
          <w:rFonts w:ascii="Verdana" w:hAnsi="Verdana"/>
          <w:sz w:val="20"/>
          <w:szCs w:val="20"/>
          <w:lang w:val="es-PE"/>
        </w:rPr>
        <w:t xml:space="preserve"> 8.2</w:t>
      </w:r>
      <w:r>
        <w:rPr>
          <w:rFonts w:ascii="Verdana" w:hAnsi="Verdana"/>
          <w:sz w:val="20"/>
          <w:szCs w:val="20"/>
          <w:lang w:val="es-PE"/>
        </w:rPr>
        <w:t xml:space="preserve"> </w:t>
      </w:r>
      <w:r w:rsidRPr="00351298">
        <w:rPr>
          <w:rFonts w:ascii="Verdana" w:hAnsi="Verdana"/>
          <w:sz w:val="20"/>
          <w:szCs w:val="20"/>
          <w:lang w:val="es-PE"/>
        </w:rPr>
        <w:t>de la Convención Americana sobre Derechos Humanos</w:t>
      </w:r>
      <w:r w:rsidR="008F475D" w:rsidRPr="00351298">
        <w:rPr>
          <w:rFonts w:ascii="Verdana" w:hAnsi="Verdana"/>
          <w:sz w:val="20"/>
          <w:szCs w:val="20"/>
          <w:lang w:val="es-PE"/>
        </w:rPr>
        <w:t xml:space="preserve">, </w:t>
      </w:r>
      <w:r w:rsidR="006C5E70" w:rsidRPr="00351298">
        <w:rPr>
          <w:rFonts w:ascii="Verdana" w:hAnsi="Verdana"/>
          <w:sz w:val="20"/>
          <w:szCs w:val="20"/>
          <w:lang w:val="es-PE"/>
        </w:rPr>
        <w:t xml:space="preserve">en relación con la obligación de respetar y de garantizar los derechos establecida en el artículo 1.1 </w:t>
      </w:r>
      <w:r w:rsidR="006C5E70">
        <w:rPr>
          <w:rFonts w:ascii="Verdana" w:hAnsi="Verdana"/>
          <w:sz w:val="20"/>
          <w:szCs w:val="20"/>
          <w:lang w:val="es-PE"/>
        </w:rPr>
        <w:t>del mismo instrumento</w:t>
      </w:r>
      <w:r w:rsidR="006C5E70" w:rsidRPr="00351298">
        <w:rPr>
          <w:rFonts w:ascii="Verdana" w:hAnsi="Verdana"/>
          <w:sz w:val="20"/>
          <w:szCs w:val="20"/>
          <w:lang w:val="es-PE"/>
        </w:rPr>
        <w:t xml:space="preserve">, así como la obligación de adoptar disposiciones de derecho interno contenida en el artículo 2 de dicho instrumento, por la aplicación de la figura del arraigo en perjuicio de Daniel García Rodríguez y Reyes Alpízar Ortiz, </w:t>
      </w:r>
      <w:r w:rsidR="006C5E70" w:rsidRPr="00351298">
        <w:rPr>
          <w:rFonts w:ascii="Verdana" w:hAnsi="Verdana"/>
          <w:sz w:val="20"/>
          <w:szCs w:val="20"/>
          <w:lang w:val="es-MX"/>
        </w:rPr>
        <w:t xml:space="preserve">en los términos de los párrafos </w:t>
      </w:r>
      <w:r w:rsidR="006C5E70">
        <w:rPr>
          <w:rFonts w:ascii="Verdana" w:hAnsi="Verdana"/>
          <w:sz w:val="20"/>
          <w:szCs w:val="20"/>
          <w:lang w:val="es-MX"/>
        </w:rPr>
        <w:t>146</w:t>
      </w:r>
      <w:r w:rsidR="006C5E70" w:rsidRPr="00351298">
        <w:rPr>
          <w:rFonts w:ascii="Verdana" w:hAnsi="Verdana"/>
          <w:sz w:val="20"/>
          <w:szCs w:val="20"/>
          <w:lang w:val="es-MX"/>
        </w:rPr>
        <w:t xml:space="preserve"> a </w:t>
      </w:r>
      <w:r w:rsidR="006C5E70">
        <w:rPr>
          <w:rFonts w:ascii="Verdana" w:hAnsi="Verdana"/>
          <w:sz w:val="20"/>
          <w:szCs w:val="20"/>
          <w:lang w:val="es-MX"/>
        </w:rPr>
        <w:t>151, 179 y 187</w:t>
      </w:r>
      <w:r w:rsidR="00666497">
        <w:rPr>
          <w:rFonts w:ascii="Verdana" w:hAnsi="Verdana"/>
          <w:sz w:val="20"/>
          <w:szCs w:val="20"/>
          <w:lang w:val="es-MX"/>
        </w:rPr>
        <w:t>.</w:t>
      </w:r>
    </w:p>
    <w:p w14:paraId="79DE0AB7" w14:textId="14FC3E09" w:rsidR="006C5E70" w:rsidRDefault="006C5E70"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El Estado es responsable por la violación a</w:t>
      </w:r>
      <w:r>
        <w:rPr>
          <w:rFonts w:ascii="Verdana" w:hAnsi="Verdana"/>
          <w:sz w:val="20"/>
          <w:szCs w:val="20"/>
          <w:lang w:val="es-PE"/>
        </w:rPr>
        <w:t xml:space="preserve"> </w:t>
      </w:r>
      <w:r w:rsidRPr="00351298">
        <w:rPr>
          <w:rFonts w:ascii="Verdana" w:hAnsi="Verdana"/>
          <w:sz w:val="20"/>
          <w:szCs w:val="20"/>
          <w:lang w:val="es-PE"/>
        </w:rPr>
        <w:t>l</w:t>
      </w:r>
      <w:r>
        <w:rPr>
          <w:rFonts w:ascii="Verdana" w:hAnsi="Verdana"/>
          <w:sz w:val="20"/>
          <w:szCs w:val="20"/>
          <w:lang w:val="es-PE"/>
        </w:rPr>
        <w:t>os</w:t>
      </w:r>
      <w:r w:rsidRPr="00351298">
        <w:rPr>
          <w:rFonts w:ascii="Verdana" w:hAnsi="Verdana"/>
          <w:sz w:val="20"/>
          <w:szCs w:val="20"/>
          <w:lang w:val="es-PE"/>
        </w:rPr>
        <w:t xml:space="preserve"> derecho</w:t>
      </w:r>
      <w:r>
        <w:rPr>
          <w:rFonts w:ascii="Verdana" w:hAnsi="Verdana"/>
          <w:sz w:val="20"/>
          <w:szCs w:val="20"/>
          <w:lang w:val="es-PE"/>
        </w:rPr>
        <w:t>s</w:t>
      </w:r>
      <w:r w:rsidRPr="00351298">
        <w:rPr>
          <w:rFonts w:ascii="Verdana" w:hAnsi="Verdana"/>
          <w:sz w:val="20"/>
          <w:szCs w:val="20"/>
          <w:lang w:val="es-PE"/>
        </w:rPr>
        <w:t xml:space="preserve"> a la libertad personal</w:t>
      </w:r>
      <w:r>
        <w:rPr>
          <w:rFonts w:ascii="Verdana" w:hAnsi="Verdana"/>
          <w:sz w:val="20"/>
          <w:szCs w:val="20"/>
          <w:lang w:val="es-PE"/>
        </w:rPr>
        <w:t xml:space="preserve">, </w:t>
      </w:r>
      <w:r w:rsidRPr="00351298">
        <w:rPr>
          <w:rFonts w:ascii="Verdana" w:hAnsi="Verdana"/>
          <w:sz w:val="20"/>
          <w:szCs w:val="20"/>
          <w:lang w:val="es-PE"/>
        </w:rPr>
        <w:t>a la presunción de inocencia</w:t>
      </w:r>
      <w:r>
        <w:rPr>
          <w:rFonts w:ascii="Verdana" w:hAnsi="Verdana"/>
          <w:sz w:val="20"/>
          <w:szCs w:val="20"/>
          <w:lang w:val="es-PE"/>
        </w:rPr>
        <w:t>, a la igualdad ante la Ley</w:t>
      </w:r>
      <w:r w:rsidRPr="00351298">
        <w:rPr>
          <w:rFonts w:ascii="Verdana" w:hAnsi="Verdana"/>
          <w:sz w:val="20"/>
          <w:szCs w:val="20"/>
          <w:lang w:val="es-PE"/>
        </w:rPr>
        <w:t xml:space="preserve"> reconocido</w:t>
      </w:r>
      <w:r>
        <w:rPr>
          <w:rFonts w:ascii="Verdana" w:hAnsi="Verdana"/>
          <w:sz w:val="20"/>
          <w:szCs w:val="20"/>
          <w:lang w:val="es-PE"/>
        </w:rPr>
        <w:t>s</w:t>
      </w:r>
      <w:r w:rsidRPr="00351298">
        <w:rPr>
          <w:rFonts w:ascii="Verdana" w:hAnsi="Verdana"/>
          <w:sz w:val="20"/>
          <w:szCs w:val="20"/>
          <w:lang w:val="es-PE"/>
        </w:rPr>
        <w:t xml:space="preserve"> en </w:t>
      </w:r>
      <w:r>
        <w:rPr>
          <w:rFonts w:ascii="Verdana" w:hAnsi="Verdana"/>
          <w:sz w:val="20"/>
          <w:szCs w:val="20"/>
          <w:lang w:val="es-PE"/>
        </w:rPr>
        <w:t>los</w:t>
      </w:r>
      <w:r w:rsidRPr="00351298">
        <w:rPr>
          <w:rFonts w:ascii="Verdana" w:hAnsi="Verdana"/>
          <w:sz w:val="20"/>
          <w:szCs w:val="20"/>
          <w:lang w:val="es-PE"/>
        </w:rPr>
        <w:t xml:space="preserve"> artículo</w:t>
      </w:r>
      <w:r>
        <w:rPr>
          <w:rFonts w:ascii="Verdana" w:hAnsi="Verdana"/>
          <w:sz w:val="20"/>
          <w:szCs w:val="20"/>
          <w:lang w:val="es-PE"/>
        </w:rPr>
        <w:t xml:space="preserve">s </w:t>
      </w:r>
      <w:r w:rsidRPr="00351298">
        <w:rPr>
          <w:rFonts w:ascii="Verdana" w:hAnsi="Verdana"/>
          <w:sz w:val="20"/>
          <w:szCs w:val="20"/>
          <w:lang w:val="es-PE"/>
        </w:rPr>
        <w:t>7.1, 7.3</w:t>
      </w:r>
      <w:r>
        <w:rPr>
          <w:rFonts w:ascii="Verdana" w:hAnsi="Verdana"/>
          <w:sz w:val="20"/>
          <w:szCs w:val="20"/>
          <w:lang w:val="es-PE"/>
        </w:rPr>
        <w:t xml:space="preserve">, </w:t>
      </w:r>
      <w:r w:rsidRPr="00351298">
        <w:rPr>
          <w:rFonts w:ascii="Verdana" w:hAnsi="Verdana"/>
          <w:sz w:val="20"/>
          <w:szCs w:val="20"/>
          <w:lang w:val="es-PE"/>
        </w:rPr>
        <w:t>7.5</w:t>
      </w:r>
      <w:r>
        <w:rPr>
          <w:rFonts w:ascii="Verdana" w:hAnsi="Verdana"/>
          <w:sz w:val="20"/>
          <w:szCs w:val="20"/>
          <w:lang w:val="es-PE"/>
        </w:rPr>
        <w:t>,</w:t>
      </w:r>
      <w:r w:rsidRPr="00351298">
        <w:rPr>
          <w:rFonts w:ascii="Verdana" w:hAnsi="Verdana"/>
          <w:sz w:val="20"/>
          <w:szCs w:val="20"/>
          <w:lang w:val="es-PE"/>
        </w:rPr>
        <w:t xml:space="preserve"> 8.2</w:t>
      </w:r>
      <w:r>
        <w:rPr>
          <w:rFonts w:ascii="Verdana" w:hAnsi="Verdana"/>
          <w:sz w:val="20"/>
          <w:szCs w:val="20"/>
          <w:lang w:val="es-PE"/>
        </w:rPr>
        <w:t xml:space="preserve">, y 24 </w:t>
      </w:r>
      <w:r w:rsidRPr="00351298">
        <w:rPr>
          <w:rFonts w:ascii="Verdana" w:hAnsi="Verdana"/>
          <w:sz w:val="20"/>
          <w:szCs w:val="20"/>
          <w:lang w:val="es-PE"/>
        </w:rPr>
        <w:t>de la Convención Americana sobre Derechos Humanos</w:t>
      </w:r>
      <w:r>
        <w:rPr>
          <w:rFonts w:ascii="Verdana" w:hAnsi="Verdana"/>
          <w:sz w:val="20"/>
          <w:szCs w:val="20"/>
          <w:lang w:val="es-PE"/>
        </w:rPr>
        <w:t xml:space="preserve">, </w:t>
      </w:r>
      <w:r w:rsidRPr="00351298">
        <w:rPr>
          <w:rFonts w:ascii="Verdana" w:hAnsi="Verdana"/>
          <w:sz w:val="20"/>
          <w:szCs w:val="20"/>
          <w:lang w:val="es-PE"/>
        </w:rPr>
        <w:t xml:space="preserve">todos ellos en relación con la obligación de respetar y de garantizar los derechos establecida en el artículo 1.1 de la Convención, así como la obligación de adoptar disposiciones de derecho interno contenida en el artículo 2 de dicho instrumento, por la aplicación de la prisión preventiva oficiosa en perjuicio de Daniel García Rodríguez y Reyes Alpízar Ortiz, </w:t>
      </w:r>
      <w:r w:rsidRPr="00351298">
        <w:rPr>
          <w:rFonts w:ascii="Verdana" w:hAnsi="Verdana"/>
          <w:sz w:val="20"/>
          <w:szCs w:val="20"/>
          <w:lang w:val="es-MX"/>
        </w:rPr>
        <w:t xml:space="preserve">en los términos de los párrafos </w:t>
      </w:r>
      <w:r>
        <w:rPr>
          <w:rFonts w:ascii="Verdana" w:hAnsi="Verdana"/>
          <w:sz w:val="20"/>
          <w:szCs w:val="20"/>
          <w:lang w:val="es-MX"/>
        </w:rPr>
        <w:t>152</w:t>
      </w:r>
      <w:r w:rsidRPr="00351298">
        <w:rPr>
          <w:rFonts w:ascii="Verdana" w:hAnsi="Verdana"/>
          <w:sz w:val="20"/>
          <w:szCs w:val="20"/>
          <w:lang w:val="es-MX"/>
        </w:rPr>
        <w:t xml:space="preserve"> a </w:t>
      </w:r>
      <w:r>
        <w:rPr>
          <w:rFonts w:ascii="Verdana" w:hAnsi="Verdana"/>
          <w:sz w:val="20"/>
          <w:szCs w:val="20"/>
          <w:lang w:val="es-MX"/>
        </w:rPr>
        <w:t>185, y 188.</w:t>
      </w:r>
    </w:p>
    <w:p w14:paraId="2F8EFA8E" w14:textId="74E01528" w:rsidR="008F475D" w:rsidRPr="00351298" w:rsidRDefault="006C5E70"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 xml:space="preserve">El </w:t>
      </w:r>
      <w:r w:rsidRPr="00351298">
        <w:rPr>
          <w:rFonts w:ascii="Verdana" w:hAnsi="Verdana"/>
          <w:sz w:val="20"/>
          <w:szCs w:val="20"/>
        </w:rPr>
        <w:t>Estado</w:t>
      </w:r>
      <w:r w:rsidRPr="00351298">
        <w:rPr>
          <w:rFonts w:ascii="Verdana" w:hAnsi="Verdana"/>
          <w:sz w:val="20"/>
          <w:szCs w:val="20"/>
          <w:lang w:val="es-PE"/>
        </w:rPr>
        <w:t xml:space="preserve"> es responsable por la violación </w:t>
      </w:r>
      <w:r w:rsidRPr="00351298">
        <w:rPr>
          <w:rFonts w:ascii="Verdana" w:hAnsi="Verdana"/>
          <w:sz w:val="20"/>
          <w:szCs w:val="20"/>
        </w:rPr>
        <w:t xml:space="preserve">de los derechos a la integridad personal, contenidos en los artículos </w:t>
      </w:r>
      <w:r>
        <w:rPr>
          <w:rFonts w:ascii="Verdana" w:hAnsi="Verdana"/>
          <w:sz w:val="20"/>
          <w:szCs w:val="20"/>
        </w:rPr>
        <w:t xml:space="preserve">5.1 y </w:t>
      </w:r>
      <w:r w:rsidRPr="00351298">
        <w:rPr>
          <w:rFonts w:ascii="Verdana" w:hAnsi="Verdana"/>
          <w:sz w:val="20"/>
          <w:szCs w:val="20"/>
        </w:rPr>
        <w:t>5.2 de la Convención Americana sobre Derechos Humanos, en relación con la obligaci</w:t>
      </w:r>
      <w:r>
        <w:rPr>
          <w:rFonts w:ascii="Verdana" w:hAnsi="Verdana"/>
          <w:sz w:val="20"/>
          <w:szCs w:val="20"/>
        </w:rPr>
        <w:t>ó</w:t>
      </w:r>
      <w:r w:rsidRPr="00351298">
        <w:rPr>
          <w:rFonts w:ascii="Verdana" w:hAnsi="Verdana"/>
          <w:sz w:val="20"/>
          <w:szCs w:val="20"/>
        </w:rPr>
        <w:t xml:space="preserve">n de respeto establecida en el artículo 1.1 del mismo instrumento, </w:t>
      </w:r>
      <w:r w:rsidRPr="00F43DFD">
        <w:rPr>
          <w:rFonts w:ascii="Verdana" w:hAnsi="Verdana"/>
          <w:sz w:val="20"/>
          <w:szCs w:val="20"/>
        </w:rPr>
        <w:t xml:space="preserve">y </w:t>
      </w:r>
      <w:r>
        <w:rPr>
          <w:rFonts w:ascii="Verdana" w:hAnsi="Verdana"/>
          <w:sz w:val="20"/>
          <w:szCs w:val="20"/>
        </w:rPr>
        <w:t xml:space="preserve">los artículos </w:t>
      </w:r>
      <w:r w:rsidRPr="00F43DFD">
        <w:rPr>
          <w:rFonts w:ascii="Verdana" w:hAnsi="Verdana"/>
          <w:sz w:val="20"/>
          <w:szCs w:val="20"/>
        </w:rPr>
        <w:t xml:space="preserve">1 y </w:t>
      </w:r>
      <w:r>
        <w:rPr>
          <w:rFonts w:ascii="Verdana" w:hAnsi="Verdana"/>
          <w:sz w:val="20"/>
          <w:szCs w:val="20"/>
        </w:rPr>
        <w:t>6</w:t>
      </w:r>
      <w:r w:rsidRPr="00F43DFD">
        <w:rPr>
          <w:rFonts w:ascii="Verdana" w:hAnsi="Verdana"/>
          <w:sz w:val="20"/>
          <w:szCs w:val="20"/>
        </w:rPr>
        <w:t xml:space="preserve"> de la Convención Interamericana para Prevenir y Sancionar la Tortura, </w:t>
      </w:r>
      <w:r w:rsidRPr="00351298">
        <w:rPr>
          <w:rFonts w:ascii="Verdana" w:hAnsi="Verdana"/>
          <w:sz w:val="20"/>
          <w:szCs w:val="20"/>
        </w:rPr>
        <w:t xml:space="preserve">por los hechos de tortura en perjuicio de </w:t>
      </w:r>
      <w:r w:rsidRPr="00351298">
        <w:rPr>
          <w:rFonts w:ascii="Verdana" w:hAnsi="Verdana"/>
          <w:sz w:val="20"/>
          <w:szCs w:val="20"/>
          <w:lang w:val="es-PE"/>
        </w:rPr>
        <w:t xml:space="preserve">Daniel García Rodríguez y Reyes Alpízar Ortiz, </w:t>
      </w:r>
      <w:r w:rsidRPr="00351298">
        <w:rPr>
          <w:rFonts w:ascii="Verdana" w:hAnsi="Verdana"/>
          <w:sz w:val="20"/>
          <w:szCs w:val="20"/>
          <w:lang w:val="es-MX"/>
        </w:rPr>
        <w:t xml:space="preserve">en los términos de los párrafos </w:t>
      </w:r>
      <w:r>
        <w:rPr>
          <w:rFonts w:ascii="Verdana" w:hAnsi="Verdana"/>
          <w:sz w:val="20"/>
          <w:szCs w:val="20"/>
          <w:lang w:val="es-MX"/>
        </w:rPr>
        <w:t>201</w:t>
      </w:r>
      <w:r w:rsidRPr="00351298">
        <w:rPr>
          <w:rFonts w:ascii="Verdana" w:hAnsi="Verdana"/>
          <w:sz w:val="20"/>
          <w:szCs w:val="20"/>
          <w:lang w:val="es-MX"/>
        </w:rPr>
        <w:t xml:space="preserve"> a </w:t>
      </w:r>
      <w:r>
        <w:rPr>
          <w:rFonts w:ascii="Verdana" w:hAnsi="Verdana"/>
          <w:sz w:val="20"/>
          <w:szCs w:val="20"/>
          <w:lang w:val="es-MX"/>
        </w:rPr>
        <w:t>222</w:t>
      </w:r>
      <w:r w:rsidR="008F475D" w:rsidRPr="00351298">
        <w:rPr>
          <w:rFonts w:ascii="Verdana" w:hAnsi="Verdana"/>
          <w:sz w:val="20"/>
          <w:szCs w:val="20"/>
          <w:lang w:val="es-MX"/>
        </w:rPr>
        <w:t>.</w:t>
      </w:r>
    </w:p>
    <w:p w14:paraId="1112EE2F" w14:textId="2EC285FE" w:rsidR="00FE23FC" w:rsidRPr="00A422E1" w:rsidRDefault="006C5E70" w:rsidP="00A422E1">
      <w:pPr>
        <w:pStyle w:val="Prrafodelista"/>
        <w:numPr>
          <w:ilvl w:val="3"/>
          <w:numId w:val="10"/>
        </w:numPr>
        <w:spacing w:before="120" w:after="120"/>
        <w:ind w:left="0" w:right="45" w:firstLine="0"/>
        <w:contextualSpacing w:val="0"/>
        <w:jc w:val="both"/>
        <w:rPr>
          <w:rFonts w:ascii="Verdana" w:hAnsi="Verdana"/>
          <w:sz w:val="20"/>
          <w:szCs w:val="20"/>
          <w:lang w:val="es-PE"/>
        </w:rPr>
      </w:pPr>
      <w:r w:rsidRPr="00D04822">
        <w:rPr>
          <w:rFonts w:ascii="Verdana" w:hAnsi="Verdana"/>
          <w:sz w:val="20"/>
          <w:szCs w:val="20"/>
          <w:lang w:val="es-PE"/>
        </w:rPr>
        <w:t xml:space="preserve">El </w:t>
      </w:r>
      <w:r w:rsidRPr="00D04822">
        <w:rPr>
          <w:rFonts w:ascii="Verdana" w:hAnsi="Verdana"/>
          <w:sz w:val="20"/>
          <w:szCs w:val="20"/>
        </w:rPr>
        <w:t>Estado</w:t>
      </w:r>
      <w:r w:rsidRPr="00D04822">
        <w:rPr>
          <w:rFonts w:ascii="Verdana" w:hAnsi="Verdana"/>
          <w:sz w:val="20"/>
          <w:szCs w:val="20"/>
          <w:lang w:val="es-PE"/>
        </w:rPr>
        <w:t xml:space="preserve"> es responsable </w:t>
      </w:r>
      <w:r>
        <w:rPr>
          <w:rFonts w:ascii="Verdana" w:hAnsi="Verdana"/>
          <w:sz w:val="20"/>
          <w:szCs w:val="20"/>
          <w:lang w:val="es-PE"/>
        </w:rPr>
        <w:t xml:space="preserve">por la violación </w:t>
      </w:r>
      <w:r w:rsidRPr="00287CEF">
        <w:rPr>
          <w:rFonts w:ascii="Verdana" w:hAnsi="Verdana"/>
          <w:sz w:val="20"/>
          <w:szCs w:val="20"/>
          <w:lang w:val="es-PE"/>
        </w:rPr>
        <w:t>al principio del plazo razonable, y a la regla de la exclusión de la prueba obtenida bajo tortura, contenidos en los artículos 8.1 y 8.3 de la Convención Americana</w:t>
      </w:r>
      <w:r>
        <w:rPr>
          <w:rFonts w:ascii="Verdana" w:hAnsi="Verdana"/>
          <w:sz w:val="20"/>
          <w:szCs w:val="20"/>
          <w:lang w:val="es-PE"/>
        </w:rPr>
        <w:t xml:space="preserve"> sobre Derechos Humanos</w:t>
      </w:r>
      <w:r w:rsidR="009F011B" w:rsidRPr="00351298">
        <w:rPr>
          <w:rFonts w:ascii="Verdana" w:hAnsi="Verdana"/>
          <w:sz w:val="20"/>
          <w:szCs w:val="20"/>
        </w:rPr>
        <w:t xml:space="preserve">, </w:t>
      </w:r>
      <w:r w:rsidR="00291540" w:rsidRPr="00351298">
        <w:rPr>
          <w:rFonts w:ascii="Verdana" w:hAnsi="Verdana"/>
          <w:sz w:val="20"/>
          <w:szCs w:val="20"/>
          <w:lang w:val="es-MX"/>
        </w:rPr>
        <w:t xml:space="preserve">en relación </w:t>
      </w:r>
      <w:r w:rsidR="00291540" w:rsidRPr="00351298">
        <w:rPr>
          <w:rFonts w:ascii="Verdana" w:hAnsi="Verdana"/>
          <w:sz w:val="20"/>
          <w:szCs w:val="20"/>
          <w:lang w:val="es-PE"/>
        </w:rPr>
        <w:t>con la obligación de respetar los derechos establecida en el artículo 1.1 del mismo instrumento</w:t>
      </w:r>
      <w:r w:rsidR="00287CEF" w:rsidRPr="00287CEF">
        <w:rPr>
          <w:rFonts w:ascii="Verdana" w:hAnsi="Verdana"/>
          <w:sz w:val="20"/>
          <w:szCs w:val="20"/>
          <w:lang w:val="es-PE"/>
        </w:rPr>
        <w:t>, en perjuicio de Daniel García Rodríguez y Reyes Alpízar Ortiz</w:t>
      </w:r>
      <w:r w:rsidR="00287CEF" w:rsidRPr="00D04822">
        <w:rPr>
          <w:rFonts w:ascii="Verdana" w:hAnsi="Verdana"/>
          <w:sz w:val="20"/>
          <w:szCs w:val="20"/>
          <w:lang w:val="es-PE"/>
        </w:rPr>
        <w:t xml:space="preserve"> en los térm</w:t>
      </w:r>
      <w:r w:rsidR="00A422E1">
        <w:rPr>
          <w:rFonts w:ascii="Verdana" w:hAnsi="Verdana"/>
          <w:sz w:val="20"/>
          <w:szCs w:val="20"/>
          <w:lang w:val="es-PE"/>
        </w:rPr>
        <w:t>i</w:t>
      </w:r>
      <w:r w:rsidR="00287CEF" w:rsidRPr="00D04822">
        <w:rPr>
          <w:rFonts w:ascii="Verdana" w:hAnsi="Verdana"/>
          <w:sz w:val="20"/>
          <w:szCs w:val="20"/>
          <w:lang w:val="es-PE"/>
        </w:rPr>
        <w:t>nos de los párrafos 241 a 245, y 265 a 272. Además, el Estado es respons</w:t>
      </w:r>
      <w:r w:rsidR="00A422E1">
        <w:rPr>
          <w:rFonts w:ascii="Verdana" w:hAnsi="Verdana"/>
          <w:sz w:val="20"/>
          <w:szCs w:val="20"/>
          <w:lang w:val="es-PE"/>
        </w:rPr>
        <w:t>ab</w:t>
      </w:r>
      <w:r w:rsidR="00287CEF" w:rsidRPr="00A422E1">
        <w:rPr>
          <w:rFonts w:ascii="Verdana" w:hAnsi="Verdana"/>
          <w:sz w:val="20"/>
          <w:szCs w:val="20"/>
          <w:lang w:val="es-PE"/>
        </w:rPr>
        <w:t xml:space="preserve">le por </w:t>
      </w:r>
      <w:r w:rsidR="009F011B">
        <w:rPr>
          <w:rFonts w:ascii="Verdana" w:hAnsi="Verdana"/>
          <w:sz w:val="20"/>
          <w:szCs w:val="20"/>
          <w:lang w:val="es-PE"/>
        </w:rPr>
        <w:t>la</w:t>
      </w:r>
      <w:r w:rsidR="00287CEF" w:rsidRPr="00A422E1">
        <w:rPr>
          <w:rFonts w:ascii="Verdana" w:hAnsi="Verdana"/>
          <w:sz w:val="20"/>
          <w:szCs w:val="20"/>
          <w:lang w:val="es-PE"/>
        </w:rPr>
        <w:t xml:space="preserve"> violación de su obligación de investigar con la debida diligencia contenida en los artículos 8 y 25 de la Convención Americana, </w:t>
      </w:r>
      <w:r w:rsidR="00291540" w:rsidRPr="00351298">
        <w:rPr>
          <w:rFonts w:ascii="Verdana" w:hAnsi="Verdana"/>
          <w:sz w:val="20"/>
          <w:szCs w:val="20"/>
          <w:lang w:val="es-MX"/>
        </w:rPr>
        <w:t xml:space="preserve">en relación </w:t>
      </w:r>
      <w:r w:rsidR="00291540" w:rsidRPr="00351298">
        <w:rPr>
          <w:rFonts w:ascii="Verdana" w:hAnsi="Verdana"/>
          <w:sz w:val="20"/>
          <w:szCs w:val="20"/>
          <w:lang w:val="es-PE"/>
        </w:rPr>
        <w:t xml:space="preserve">con la obligación de respetar los derechos establecida en el artículo 1.1 </w:t>
      </w:r>
      <w:r w:rsidR="00291540">
        <w:rPr>
          <w:rFonts w:ascii="Verdana" w:hAnsi="Verdana"/>
          <w:sz w:val="20"/>
          <w:szCs w:val="20"/>
          <w:lang w:val="es-PE"/>
        </w:rPr>
        <w:t>de</w:t>
      </w:r>
      <w:r w:rsidR="00291540" w:rsidRPr="00351298">
        <w:rPr>
          <w:rFonts w:ascii="Verdana" w:hAnsi="Verdana"/>
          <w:sz w:val="20"/>
          <w:szCs w:val="20"/>
          <w:lang w:val="es-PE"/>
        </w:rPr>
        <w:t xml:space="preserve"> </w:t>
      </w:r>
      <w:r w:rsidR="00291540">
        <w:rPr>
          <w:rFonts w:ascii="Verdana" w:hAnsi="Verdana"/>
          <w:sz w:val="20"/>
          <w:szCs w:val="20"/>
          <w:lang w:val="es-PE"/>
        </w:rPr>
        <w:t>dicho</w:t>
      </w:r>
      <w:r w:rsidR="00291540" w:rsidRPr="00351298">
        <w:rPr>
          <w:rFonts w:ascii="Verdana" w:hAnsi="Verdana"/>
          <w:sz w:val="20"/>
          <w:szCs w:val="20"/>
          <w:lang w:val="es-PE"/>
        </w:rPr>
        <w:t xml:space="preserve"> </w:t>
      </w:r>
      <w:r w:rsidR="00291540">
        <w:rPr>
          <w:rFonts w:ascii="Verdana" w:hAnsi="Verdana"/>
          <w:sz w:val="20"/>
          <w:szCs w:val="20"/>
          <w:lang w:val="es-PE"/>
        </w:rPr>
        <w:t>tartado</w:t>
      </w:r>
      <w:r w:rsidR="00287CEF" w:rsidRPr="00A422E1">
        <w:rPr>
          <w:rFonts w:ascii="Verdana" w:hAnsi="Verdana"/>
          <w:sz w:val="20"/>
          <w:szCs w:val="20"/>
          <w:lang w:val="es-PE"/>
        </w:rPr>
        <w:t xml:space="preserve">, y 1, 6, y 8 de la </w:t>
      </w:r>
      <w:r w:rsidR="00F43DFD" w:rsidRPr="00F43DFD">
        <w:rPr>
          <w:rFonts w:ascii="Verdana" w:hAnsi="Verdana"/>
          <w:sz w:val="20"/>
          <w:szCs w:val="20"/>
          <w:lang w:val="es-PE"/>
        </w:rPr>
        <w:t>Convención Interamericana para Prevenir y Sancionar la Tortura</w:t>
      </w:r>
      <w:r w:rsidR="00287CEF" w:rsidRPr="00A422E1">
        <w:rPr>
          <w:rFonts w:ascii="Verdana" w:hAnsi="Verdana"/>
          <w:sz w:val="20"/>
          <w:szCs w:val="20"/>
          <w:lang w:val="es-PE"/>
        </w:rPr>
        <w:t xml:space="preserve">, </w:t>
      </w:r>
      <w:r w:rsidR="00F0285F">
        <w:rPr>
          <w:rFonts w:ascii="Verdana" w:hAnsi="Verdana"/>
          <w:sz w:val="20"/>
          <w:szCs w:val="20"/>
          <w:lang w:val="es-PE"/>
        </w:rPr>
        <w:t xml:space="preserve">por </w:t>
      </w:r>
      <w:r w:rsidR="00287CEF" w:rsidRPr="00A422E1">
        <w:rPr>
          <w:rFonts w:ascii="Verdana" w:hAnsi="Verdana"/>
          <w:sz w:val="20"/>
          <w:szCs w:val="20"/>
          <w:lang w:val="es-PE"/>
        </w:rPr>
        <w:t>los hechos de tortura en perjuicio de Daniel García Rodríguez y Reyes Alpízar Ortiz</w:t>
      </w:r>
      <w:r w:rsidR="008F475D" w:rsidRPr="00A422E1">
        <w:rPr>
          <w:rFonts w:ascii="Verdana" w:hAnsi="Verdana"/>
          <w:sz w:val="20"/>
          <w:szCs w:val="20"/>
          <w:lang w:val="es-PE"/>
        </w:rPr>
        <w:t xml:space="preserve">, </w:t>
      </w:r>
      <w:r w:rsidR="008F475D" w:rsidRPr="00A422E1">
        <w:rPr>
          <w:rFonts w:ascii="Verdana" w:hAnsi="Verdana"/>
          <w:sz w:val="20"/>
          <w:szCs w:val="20"/>
          <w:lang w:val="es-MX"/>
        </w:rPr>
        <w:t xml:space="preserve">en los términos de los párrafos </w:t>
      </w:r>
      <w:r w:rsidR="00287CEF" w:rsidRPr="00A422E1">
        <w:rPr>
          <w:rFonts w:ascii="Verdana" w:hAnsi="Verdana"/>
          <w:sz w:val="20"/>
          <w:szCs w:val="20"/>
          <w:lang w:val="es-MX"/>
        </w:rPr>
        <w:t>223</w:t>
      </w:r>
      <w:r w:rsidR="008F475D" w:rsidRPr="00A422E1">
        <w:rPr>
          <w:rFonts w:ascii="Verdana" w:hAnsi="Verdana"/>
          <w:sz w:val="20"/>
          <w:szCs w:val="20"/>
          <w:lang w:val="es-MX"/>
        </w:rPr>
        <w:t xml:space="preserve"> a</w:t>
      </w:r>
      <w:r w:rsidR="008F475D" w:rsidRPr="00A422E1">
        <w:rPr>
          <w:rFonts w:ascii="Verdana" w:hAnsi="Verdana"/>
          <w:sz w:val="20"/>
          <w:szCs w:val="20"/>
          <w:lang w:val="es-PE"/>
        </w:rPr>
        <w:t xml:space="preserve"> </w:t>
      </w:r>
      <w:r w:rsidR="00287CEF" w:rsidRPr="00A422E1">
        <w:rPr>
          <w:rFonts w:ascii="Verdana" w:hAnsi="Verdana"/>
          <w:sz w:val="20"/>
          <w:szCs w:val="20"/>
          <w:lang w:val="es-MX"/>
        </w:rPr>
        <w:t>226</w:t>
      </w:r>
      <w:r w:rsidR="00FE23FC" w:rsidRPr="00A422E1">
        <w:rPr>
          <w:rFonts w:ascii="Verdana" w:hAnsi="Verdana"/>
          <w:sz w:val="20"/>
          <w:szCs w:val="20"/>
          <w:lang w:val="es-MX"/>
        </w:rPr>
        <w:t>.</w:t>
      </w:r>
    </w:p>
    <w:p w14:paraId="7B50585D" w14:textId="7FAB822E" w:rsidR="008F475D" w:rsidRPr="00D04822" w:rsidRDefault="008F475D" w:rsidP="00D04822">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 xml:space="preserve">El </w:t>
      </w:r>
      <w:r w:rsidRPr="00351298">
        <w:rPr>
          <w:rFonts w:ascii="Verdana" w:hAnsi="Verdana"/>
          <w:sz w:val="20"/>
          <w:szCs w:val="20"/>
        </w:rPr>
        <w:t>Estado</w:t>
      </w:r>
      <w:r w:rsidRPr="00351298">
        <w:rPr>
          <w:rFonts w:ascii="Verdana" w:hAnsi="Verdana"/>
          <w:sz w:val="20"/>
          <w:szCs w:val="20"/>
          <w:lang w:val="es-PE"/>
        </w:rPr>
        <w:t xml:space="preserve"> es responsable por la violación del derecho a las garantías judiciales, contenidos en los artículos 8.2.d), y e), y f)</w:t>
      </w:r>
      <w:r>
        <w:rPr>
          <w:rFonts w:ascii="Verdana" w:hAnsi="Verdana"/>
          <w:sz w:val="20"/>
          <w:szCs w:val="20"/>
          <w:lang w:val="es-PE"/>
        </w:rPr>
        <w:t xml:space="preserve">, </w:t>
      </w:r>
      <w:r w:rsidRPr="00351298">
        <w:rPr>
          <w:rFonts w:ascii="Verdana" w:hAnsi="Verdana"/>
          <w:sz w:val="20"/>
          <w:szCs w:val="20"/>
          <w:lang w:val="es-PE"/>
        </w:rPr>
        <w:t xml:space="preserve">de la Convención Americana sobre Derechos Humanos, </w:t>
      </w:r>
      <w:r w:rsidR="00291540" w:rsidRPr="00351298">
        <w:rPr>
          <w:rFonts w:ascii="Verdana" w:hAnsi="Verdana"/>
          <w:sz w:val="20"/>
          <w:szCs w:val="20"/>
          <w:lang w:val="es-MX"/>
        </w:rPr>
        <w:t xml:space="preserve">en relación </w:t>
      </w:r>
      <w:r w:rsidR="00291540" w:rsidRPr="00351298">
        <w:rPr>
          <w:rFonts w:ascii="Verdana" w:hAnsi="Verdana"/>
          <w:sz w:val="20"/>
          <w:szCs w:val="20"/>
          <w:lang w:val="es-PE"/>
        </w:rPr>
        <w:t>con la obligación de respetar los derechos establecida en el artículo 1.1 del mismo instrumento</w:t>
      </w:r>
      <w:r w:rsidRPr="00351298">
        <w:rPr>
          <w:rFonts w:ascii="Verdana" w:hAnsi="Verdana"/>
          <w:sz w:val="20"/>
          <w:szCs w:val="20"/>
          <w:lang w:val="es-PE"/>
        </w:rPr>
        <w:t xml:space="preserve">, en perjuicio de Daniel García Rodríguez, </w:t>
      </w:r>
      <w:r w:rsidRPr="00351298">
        <w:rPr>
          <w:rFonts w:ascii="Verdana" w:hAnsi="Verdana"/>
          <w:sz w:val="20"/>
          <w:szCs w:val="20"/>
          <w:lang w:val="es-MX"/>
        </w:rPr>
        <w:t xml:space="preserve">en los términos de los párrafos </w:t>
      </w:r>
      <w:r w:rsidR="00287CEF">
        <w:rPr>
          <w:rFonts w:ascii="Verdana" w:hAnsi="Verdana"/>
          <w:sz w:val="20"/>
          <w:szCs w:val="20"/>
          <w:lang w:val="es-MX"/>
        </w:rPr>
        <w:t>246</w:t>
      </w:r>
      <w:r w:rsidRPr="00351298">
        <w:rPr>
          <w:rFonts w:ascii="Verdana" w:hAnsi="Verdana"/>
          <w:sz w:val="20"/>
          <w:szCs w:val="20"/>
          <w:lang w:val="es-MX"/>
        </w:rPr>
        <w:t xml:space="preserve"> a</w:t>
      </w:r>
      <w:r w:rsidRPr="00351298">
        <w:rPr>
          <w:rFonts w:ascii="Verdana" w:hAnsi="Verdana"/>
          <w:sz w:val="20"/>
          <w:szCs w:val="20"/>
          <w:lang w:val="es-PE"/>
        </w:rPr>
        <w:t xml:space="preserve"> </w:t>
      </w:r>
      <w:r w:rsidR="00287CEF">
        <w:rPr>
          <w:rFonts w:ascii="Verdana" w:hAnsi="Verdana"/>
          <w:sz w:val="20"/>
          <w:szCs w:val="20"/>
          <w:lang w:val="es-MX"/>
        </w:rPr>
        <w:t>251, 256, y 257</w:t>
      </w:r>
      <w:r w:rsidRPr="00351298">
        <w:rPr>
          <w:rFonts w:ascii="Verdana" w:hAnsi="Verdana"/>
          <w:sz w:val="20"/>
          <w:szCs w:val="20"/>
          <w:lang w:val="es-MX"/>
        </w:rPr>
        <w:t>.</w:t>
      </w:r>
    </w:p>
    <w:p w14:paraId="1E484D47" w14:textId="77777777" w:rsidR="00FE23FC" w:rsidRPr="00351298" w:rsidRDefault="00FE23FC" w:rsidP="00FE23FC">
      <w:pPr>
        <w:spacing w:before="240" w:after="240"/>
        <w:ind w:right="45"/>
        <w:jc w:val="both"/>
        <w:rPr>
          <w:rFonts w:ascii="Verdana" w:hAnsi="Verdana"/>
          <w:b/>
          <w:sz w:val="20"/>
          <w:szCs w:val="20"/>
          <w:lang w:val="es-PE"/>
        </w:rPr>
      </w:pPr>
      <w:r w:rsidRPr="00351298">
        <w:rPr>
          <w:rFonts w:ascii="Verdana" w:hAnsi="Verdana"/>
          <w:b/>
          <w:sz w:val="20"/>
          <w:szCs w:val="20"/>
          <w:lang w:val="es-PE"/>
        </w:rPr>
        <w:t>Y DISPONE:</w:t>
      </w:r>
    </w:p>
    <w:p w14:paraId="56C96C37" w14:textId="689BA22A" w:rsidR="00FE23FC" w:rsidRPr="00351298" w:rsidRDefault="00FE23FC" w:rsidP="00FE23FC">
      <w:pPr>
        <w:spacing w:before="240" w:after="240"/>
        <w:ind w:right="45"/>
        <w:jc w:val="both"/>
        <w:rPr>
          <w:rFonts w:ascii="Verdana" w:hAnsi="Verdana"/>
          <w:sz w:val="20"/>
          <w:szCs w:val="20"/>
          <w:lang w:val="es-PE"/>
        </w:rPr>
      </w:pPr>
      <w:r w:rsidRPr="00351298">
        <w:rPr>
          <w:rFonts w:ascii="Verdana" w:hAnsi="Verdana"/>
          <w:sz w:val="20"/>
          <w:szCs w:val="20"/>
          <w:lang w:val="es-PE"/>
        </w:rPr>
        <w:t xml:space="preserve">Por </w:t>
      </w:r>
      <w:r w:rsidR="00290394">
        <w:rPr>
          <w:rFonts w:ascii="Verdana" w:hAnsi="Verdana"/>
          <w:sz w:val="20"/>
          <w:szCs w:val="20"/>
        </w:rPr>
        <w:t>unanimidad</w:t>
      </w:r>
      <w:r w:rsidRPr="00351298">
        <w:rPr>
          <w:rFonts w:ascii="Verdana" w:hAnsi="Verdana"/>
          <w:sz w:val="20"/>
          <w:szCs w:val="20"/>
          <w:lang w:val="es-PE"/>
        </w:rPr>
        <w:t>, que:</w:t>
      </w:r>
    </w:p>
    <w:p w14:paraId="6018D0E6" w14:textId="77777777" w:rsidR="008F475D" w:rsidRPr="00351298"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 xml:space="preserve">Esta </w:t>
      </w:r>
      <w:r w:rsidRPr="00351298">
        <w:rPr>
          <w:rFonts w:ascii="Verdana" w:hAnsi="Verdana"/>
          <w:sz w:val="20"/>
          <w:szCs w:val="20"/>
          <w:lang w:val="es-MX"/>
        </w:rPr>
        <w:t>Sentencia</w:t>
      </w:r>
      <w:r w:rsidRPr="00351298">
        <w:rPr>
          <w:rFonts w:ascii="Verdana" w:hAnsi="Verdana"/>
          <w:sz w:val="20"/>
          <w:szCs w:val="20"/>
          <w:lang w:val="es-PE"/>
        </w:rPr>
        <w:t xml:space="preserve"> constituye por sí misma una forma de reparación.</w:t>
      </w:r>
    </w:p>
    <w:p w14:paraId="3312FADF" w14:textId="39C54754" w:rsidR="008F475D" w:rsidRPr="00D04822"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D04822">
        <w:rPr>
          <w:rFonts w:ascii="Verdana" w:hAnsi="Verdana"/>
          <w:sz w:val="20"/>
          <w:szCs w:val="20"/>
          <w:lang w:val="es-PE"/>
        </w:rPr>
        <w:t xml:space="preserve">El Estado concluirá los procedimientos penales en los términos </w:t>
      </w:r>
      <w:r w:rsidRPr="00D04822">
        <w:rPr>
          <w:rFonts w:ascii="Verdana" w:hAnsi="Verdana"/>
          <w:sz w:val="20"/>
          <w:szCs w:val="20"/>
        </w:rPr>
        <w:t xml:space="preserve">de los párrafos </w:t>
      </w:r>
      <w:r w:rsidR="00287CEF" w:rsidRPr="00D04822">
        <w:rPr>
          <w:rFonts w:ascii="Verdana" w:hAnsi="Verdana"/>
          <w:sz w:val="20"/>
          <w:szCs w:val="20"/>
        </w:rPr>
        <w:t>283</w:t>
      </w:r>
      <w:r w:rsidRPr="00D04822">
        <w:rPr>
          <w:rFonts w:ascii="Verdana" w:hAnsi="Verdana"/>
          <w:sz w:val="20"/>
          <w:szCs w:val="20"/>
        </w:rPr>
        <w:t xml:space="preserve"> y </w:t>
      </w:r>
      <w:r w:rsidR="00287CEF" w:rsidRPr="00D04822">
        <w:rPr>
          <w:rFonts w:ascii="Verdana" w:hAnsi="Verdana"/>
          <w:sz w:val="20"/>
          <w:szCs w:val="20"/>
        </w:rPr>
        <w:t>284</w:t>
      </w:r>
      <w:r w:rsidRPr="00D04822">
        <w:rPr>
          <w:rFonts w:ascii="Verdana" w:hAnsi="Verdana"/>
          <w:sz w:val="20"/>
          <w:szCs w:val="20"/>
        </w:rPr>
        <w:t>.</w:t>
      </w:r>
    </w:p>
    <w:p w14:paraId="7A2F0564" w14:textId="02B6117C" w:rsidR="008F475D" w:rsidRPr="00D04822"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D04822">
        <w:rPr>
          <w:rFonts w:ascii="Verdana" w:hAnsi="Verdana"/>
          <w:sz w:val="20"/>
          <w:szCs w:val="20"/>
          <w:lang w:val="es-PE"/>
        </w:rPr>
        <w:t xml:space="preserve">El Estado </w:t>
      </w:r>
      <w:r w:rsidRPr="00D04822">
        <w:rPr>
          <w:rFonts w:ascii="Verdana" w:hAnsi="Verdana"/>
          <w:sz w:val="20"/>
          <w:szCs w:val="20"/>
        </w:rPr>
        <w:t>revisará la pertinencia de mantener las medidas cautelares</w:t>
      </w:r>
      <w:r w:rsidRPr="00D04822">
        <w:rPr>
          <w:rFonts w:ascii="Verdana" w:hAnsi="Verdana"/>
          <w:sz w:val="20"/>
          <w:szCs w:val="20"/>
          <w:lang w:val="es-PE"/>
        </w:rPr>
        <w:t xml:space="preserve"> y </w:t>
      </w:r>
      <w:r w:rsidRPr="00D04822">
        <w:rPr>
          <w:rFonts w:ascii="Verdana" w:hAnsi="Verdana"/>
          <w:sz w:val="20"/>
          <w:szCs w:val="20"/>
        </w:rPr>
        <w:t xml:space="preserve">excluirá todos los antecedentes incriminatorios que fueron obtenidos bajo coacción o tortura en todos los actos procesales </w:t>
      </w:r>
      <w:r w:rsidRPr="00D04822">
        <w:rPr>
          <w:rFonts w:ascii="Verdana" w:hAnsi="Verdana"/>
          <w:sz w:val="20"/>
          <w:szCs w:val="20"/>
          <w:lang w:val="es-PE"/>
        </w:rPr>
        <w:t xml:space="preserve">en los términos </w:t>
      </w:r>
      <w:r w:rsidRPr="00D04822">
        <w:rPr>
          <w:rFonts w:ascii="Verdana" w:hAnsi="Verdana"/>
          <w:sz w:val="20"/>
          <w:szCs w:val="20"/>
        </w:rPr>
        <w:t>de</w:t>
      </w:r>
      <w:r w:rsidR="00287CEF" w:rsidRPr="00D04822">
        <w:rPr>
          <w:rFonts w:ascii="Verdana" w:hAnsi="Verdana"/>
          <w:sz w:val="20"/>
          <w:szCs w:val="20"/>
        </w:rPr>
        <w:t>l</w:t>
      </w:r>
      <w:r w:rsidRPr="00D04822">
        <w:rPr>
          <w:rFonts w:ascii="Verdana" w:hAnsi="Verdana"/>
          <w:sz w:val="20"/>
          <w:szCs w:val="20"/>
        </w:rPr>
        <w:t xml:space="preserve"> párrafo </w:t>
      </w:r>
      <w:r w:rsidR="00287CEF" w:rsidRPr="00D04822">
        <w:rPr>
          <w:rFonts w:ascii="Verdana" w:hAnsi="Verdana"/>
          <w:sz w:val="20"/>
          <w:szCs w:val="20"/>
        </w:rPr>
        <w:t>285</w:t>
      </w:r>
      <w:r w:rsidRPr="00D04822">
        <w:rPr>
          <w:rFonts w:ascii="Verdana" w:hAnsi="Verdana"/>
          <w:sz w:val="20"/>
          <w:szCs w:val="20"/>
        </w:rPr>
        <w:t>.</w:t>
      </w:r>
      <w:r w:rsidRPr="00D04822">
        <w:rPr>
          <w:rFonts w:ascii="Verdana" w:hAnsi="Verdana"/>
          <w:sz w:val="20"/>
          <w:szCs w:val="20"/>
          <w:lang w:val="es-PE"/>
        </w:rPr>
        <w:t xml:space="preserve"> </w:t>
      </w:r>
    </w:p>
    <w:p w14:paraId="78EEB8FF" w14:textId="0807F63D" w:rsidR="008F475D" w:rsidRPr="00287CEF"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D04822">
        <w:rPr>
          <w:rFonts w:ascii="Verdana" w:hAnsi="Verdana"/>
          <w:sz w:val="20"/>
          <w:szCs w:val="20"/>
          <w:lang w:val="es-PE"/>
        </w:rPr>
        <w:t xml:space="preserve">El Estado </w:t>
      </w:r>
      <w:r w:rsidRPr="00D04822">
        <w:rPr>
          <w:rFonts w:ascii="Verdana" w:hAnsi="Verdana"/>
          <w:sz w:val="20"/>
          <w:szCs w:val="20"/>
        </w:rPr>
        <w:t xml:space="preserve">desarrollará las investigaciones previstas en los párrafos </w:t>
      </w:r>
      <w:r w:rsidR="00287CEF" w:rsidRPr="00D04822">
        <w:rPr>
          <w:rFonts w:ascii="Verdana" w:hAnsi="Verdana"/>
          <w:sz w:val="20"/>
          <w:szCs w:val="20"/>
        </w:rPr>
        <w:t>286</w:t>
      </w:r>
      <w:r w:rsidRPr="00D04822">
        <w:rPr>
          <w:rFonts w:ascii="Verdana" w:hAnsi="Verdana"/>
          <w:sz w:val="20"/>
          <w:szCs w:val="20"/>
        </w:rPr>
        <w:t xml:space="preserve"> </w:t>
      </w:r>
      <w:r w:rsidR="00287CEF" w:rsidRPr="00D04822">
        <w:rPr>
          <w:rFonts w:ascii="Verdana" w:hAnsi="Verdana"/>
          <w:sz w:val="20"/>
          <w:szCs w:val="20"/>
        </w:rPr>
        <w:t>a</w:t>
      </w:r>
      <w:r w:rsidRPr="00D04822">
        <w:rPr>
          <w:rFonts w:ascii="Verdana" w:hAnsi="Verdana"/>
          <w:sz w:val="20"/>
          <w:szCs w:val="20"/>
        </w:rPr>
        <w:t xml:space="preserve"> </w:t>
      </w:r>
      <w:r w:rsidR="00287CEF" w:rsidRPr="00D04822">
        <w:rPr>
          <w:rFonts w:ascii="Verdana" w:hAnsi="Verdana"/>
          <w:sz w:val="20"/>
          <w:szCs w:val="20"/>
        </w:rPr>
        <w:t>288</w:t>
      </w:r>
      <w:r w:rsidRPr="00D04822">
        <w:rPr>
          <w:rFonts w:ascii="Verdana" w:hAnsi="Verdana"/>
          <w:sz w:val="20"/>
          <w:szCs w:val="20"/>
        </w:rPr>
        <w:t>.</w:t>
      </w:r>
    </w:p>
    <w:p w14:paraId="793C0F96" w14:textId="64BAE41B" w:rsidR="008F475D" w:rsidRPr="00351298"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 xml:space="preserve">El Estado deberá dejar sin efecto en su ordenamiento interno las disposiciones relativas al arraigo de naturaleza pre – procesal, en los términos </w:t>
      </w:r>
      <w:r w:rsidRPr="00351298">
        <w:rPr>
          <w:rFonts w:ascii="Verdana" w:hAnsi="Verdana"/>
          <w:sz w:val="20"/>
          <w:szCs w:val="20"/>
        </w:rPr>
        <w:t xml:space="preserve">de los párrafos </w:t>
      </w:r>
      <w:r w:rsidR="00287CEF">
        <w:rPr>
          <w:rFonts w:ascii="Verdana" w:hAnsi="Verdana"/>
          <w:sz w:val="20"/>
          <w:szCs w:val="20"/>
        </w:rPr>
        <w:t>292 a 294, 298 a 300, y 302 a 303</w:t>
      </w:r>
      <w:r w:rsidRPr="00351298">
        <w:rPr>
          <w:rFonts w:ascii="Verdana" w:hAnsi="Verdana"/>
          <w:sz w:val="20"/>
          <w:szCs w:val="20"/>
          <w:lang w:val="es-PE"/>
        </w:rPr>
        <w:t xml:space="preserve">. </w:t>
      </w:r>
    </w:p>
    <w:p w14:paraId="102EDE90" w14:textId="0E0C724F" w:rsidR="008F475D" w:rsidRPr="00351298"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lastRenderedPageBreak/>
        <w:t xml:space="preserve">El Estado deberá adecuar su ordenamiento jurídico interno sobre prisión preventiva oficiosa, en los términos </w:t>
      </w:r>
      <w:r w:rsidRPr="00351298">
        <w:rPr>
          <w:rFonts w:ascii="Verdana" w:hAnsi="Verdana"/>
          <w:sz w:val="20"/>
          <w:szCs w:val="20"/>
        </w:rPr>
        <w:t xml:space="preserve">de los párrafos </w:t>
      </w:r>
      <w:r w:rsidR="00287CEF">
        <w:rPr>
          <w:rFonts w:ascii="Verdana" w:hAnsi="Verdana"/>
          <w:sz w:val="20"/>
          <w:szCs w:val="20"/>
        </w:rPr>
        <w:t>292</w:t>
      </w:r>
      <w:r w:rsidRPr="00351298">
        <w:rPr>
          <w:rFonts w:ascii="Verdana" w:hAnsi="Verdana"/>
          <w:sz w:val="20"/>
          <w:szCs w:val="20"/>
        </w:rPr>
        <w:t xml:space="preserve"> y </w:t>
      </w:r>
      <w:r w:rsidR="00287CEF">
        <w:rPr>
          <w:rFonts w:ascii="Verdana" w:hAnsi="Verdana"/>
          <w:sz w:val="20"/>
          <w:szCs w:val="20"/>
        </w:rPr>
        <w:t>293, 295 a 299 y 301 a 303</w:t>
      </w:r>
      <w:r w:rsidRPr="00351298">
        <w:rPr>
          <w:rFonts w:ascii="Verdana" w:hAnsi="Verdana"/>
          <w:sz w:val="20"/>
          <w:szCs w:val="20"/>
          <w:lang w:val="es-PE"/>
        </w:rPr>
        <w:t>.</w:t>
      </w:r>
    </w:p>
    <w:p w14:paraId="711CF188" w14:textId="2DC9D754" w:rsidR="008F475D" w:rsidRPr="00351298"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 xml:space="preserve">El Estado implementará un programa de capacitaciones, en los términos </w:t>
      </w:r>
      <w:r w:rsidRPr="00351298">
        <w:rPr>
          <w:rFonts w:ascii="Verdana" w:hAnsi="Verdana"/>
          <w:sz w:val="20"/>
          <w:szCs w:val="20"/>
        </w:rPr>
        <w:t>de</w:t>
      </w:r>
      <w:r w:rsidR="00287CEF">
        <w:rPr>
          <w:rFonts w:ascii="Verdana" w:hAnsi="Verdana"/>
          <w:sz w:val="20"/>
          <w:szCs w:val="20"/>
        </w:rPr>
        <w:t>l</w:t>
      </w:r>
      <w:r w:rsidRPr="00351298">
        <w:rPr>
          <w:rFonts w:ascii="Verdana" w:hAnsi="Verdana"/>
          <w:sz w:val="20"/>
          <w:szCs w:val="20"/>
        </w:rPr>
        <w:t xml:space="preserve"> </w:t>
      </w:r>
      <w:r w:rsidR="00287CEF">
        <w:rPr>
          <w:rFonts w:ascii="Verdana" w:hAnsi="Verdana"/>
          <w:sz w:val="20"/>
          <w:szCs w:val="20"/>
        </w:rPr>
        <w:t>306.</w:t>
      </w:r>
    </w:p>
    <w:p w14:paraId="7E6AE996" w14:textId="102D8765" w:rsidR="008F475D" w:rsidRPr="00711BF9"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 xml:space="preserve">El Estado realizará las publicaciones indicadas en el párrafo </w:t>
      </w:r>
      <w:r w:rsidR="00287CEF">
        <w:rPr>
          <w:rFonts w:ascii="Verdana" w:hAnsi="Verdana"/>
          <w:sz w:val="20"/>
          <w:szCs w:val="20"/>
          <w:lang w:val="es-PE"/>
        </w:rPr>
        <w:t>309</w:t>
      </w:r>
      <w:r w:rsidRPr="00351298">
        <w:rPr>
          <w:rFonts w:ascii="Verdana" w:hAnsi="Verdana"/>
          <w:sz w:val="20"/>
          <w:szCs w:val="20"/>
          <w:lang w:val="es-PE"/>
        </w:rPr>
        <w:t xml:space="preserve"> de esta Sentencia, en el plazo de seis meses contados a partir de la notificación de la misma.</w:t>
      </w:r>
    </w:p>
    <w:p w14:paraId="66901102" w14:textId="6250EA5D" w:rsidR="008F475D" w:rsidRPr="00351298" w:rsidRDefault="008F475D" w:rsidP="008F475D">
      <w:pPr>
        <w:pStyle w:val="Prrafodelista"/>
        <w:numPr>
          <w:ilvl w:val="3"/>
          <w:numId w:val="10"/>
        </w:numPr>
        <w:spacing w:before="120" w:after="120"/>
        <w:ind w:left="0" w:right="45" w:firstLine="0"/>
        <w:contextualSpacing w:val="0"/>
        <w:jc w:val="both"/>
        <w:rPr>
          <w:rFonts w:ascii="Verdana" w:hAnsi="Verdana"/>
          <w:bCs/>
          <w:sz w:val="20"/>
          <w:szCs w:val="20"/>
        </w:rPr>
      </w:pPr>
      <w:r w:rsidRPr="00351298">
        <w:rPr>
          <w:rFonts w:ascii="Verdana" w:hAnsi="Verdana"/>
          <w:bCs/>
          <w:sz w:val="20"/>
          <w:szCs w:val="20"/>
        </w:rPr>
        <w:t xml:space="preserve">El Estado brindará de forma adecuada, preferencial y gratuita, el tratamiento médico, psicológico o psiquiátrico, según corresponda, de conformidad con lo establecido en </w:t>
      </w:r>
      <w:r w:rsidR="0015060E">
        <w:rPr>
          <w:rFonts w:ascii="Verdana" w:hAnsi="Verdana"/>
          <w:bCs/>
          <w:sz w:val="20"/>
          <w:szCs w:val="20"/>
        </w:rPr>
        <w:t>los</w:t>
      </w:r>
      <w:r w:rsidRPr="00351298">
        <w:rPr>
          <w:rFonts w:ascii="Verdana" w:hAnsi="Verdana"/>
          <w:bCs/>
          <w:sz w:val="20"/>
          <w:szCs w:val="20"/>
        </w:rPr>
        <w:t xml:space="preserve"> párrafo</w:t>
      </w:r>
      <w:r w:rsidR="0015060E">
        <w:rPr>
          <w:rFonts w:ascii="Verdana" w:hAnsi="Verdana"/>
          <w:bCs/>
          <w:sz w:val="20"/>
          <w:szCs w:val="20"/>
        </w:rPr>
        <w:t>s</w:t>
      </w:r>
      <w:r w:rsidRPr="00351298">
        <w:rPr>
          <w:rFonts w:ascii="Verdana" w:hAnsi="Verdana"/>
          <w:bCs/>
          <w:sz w:val="20"/>
          <w:szCs w:val="20"/>
        </w:rPr>
        <w:t xml:space="preserve"> </w:t>
      </w:r>
      <w:r w:rsidR="0015060E">
        <w:rPr>
          <w:rFonts w:ascii="Verdana" w:hAnsi="Verdana"/>
          <w:bCs/>
          <w:sz w:val="20"/>
          <w:szCs w:val="20"/>
        </w:rPr>
        <w:t>312 a 314.</w:t>
      </w:r>
    </w:p>
    <w:p w14:paraId="3FE95AC2" w14:textId="294FBA91" w:rsidR="008F475D" w:rsidRPr="00351298"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 xml:space="preserve">El Estado pagará las cantidades fijadas en los párrafos </w:t>
      </w:r>
      <w:r w:rsidR="0015060E">
        <w:rPr>
          <w:rFonts w:ascii="Verdana" w:hAnsi="Verdana"/>
          <w:sz w:val="20"/>
          <w:szCs w:val="20"/>
          <w:lang w:val="es-PE"/>
        </w:rPr>
        <w:t>324 a 326</w:t>
      </w:r>
      <w:r w:rsidRPr="00351298">
        <w:rPr>
          <w:rFonts w:ascii="Verdana" w:hAnsi="Verdana"/>
          <w:sz w:val="20"/>
          <w:szCs w:val="20"/>
          <w:lang w:val="es-PE"/>
        </w:rPr>
        <w:t xml:space="preserve">, por concepto de daños materiales e inmateriales, </w:t>
      </w:r>
      <w:r w:rsidR="0015060E">
        <w:rPr>
          <w:rFonts w:ascii="Verdana" w:hAnsi="Verdana"/>
          <w:sz w:val="20"/>
          <w:szCs w:val="20"/>
          <w:lang w:val="es-PE"/>
        </w:rPr>
        <w:t>y las cantidades establecidas en los párrafos 329 a 331 por concepto de costas y gastos</w:t>
      </w:r>
      <w:r w:rsidR="006C5E70">
        <w:rPr>
          <w:rFonts w:ascii="Verdana" w:hAnsi="Verdana"/>
          <w:sz w:val="20"/>
          <w:szCs w:val="20"/>
          <w:lang w:val="es-PE"/>
        </w:rPr>
        <w:t>, en los términos de los párrafos 332 a 337</w:t>
      </w:r>
      <w:r w:rsidRPr="00351298">
        <w:rPr>
          <w:rFonts w:ascii="Verdana" w:hAnsi="Verdana"/>
          <w:sz w:val="20"/>
          <w:szCs w:val="20"/>
          <w:lang w:val="es-PE"/>
        </w:rPr>
        <w:t>.</w:t>
      </w:r>
    </w:p>
    <w:p w14:paraId="764BA6EE" w14:textId="77777777" w:rsidR="008F475D" w:rsidRPr="00351298" w:rsidRDefault="008F475D" w:rsidP="008F475D">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El Estado rendirá al Tribunal un informe, dentro del plazo de un año contado a partir de la notificación de la Sentencia, sobre las medidas adoptadas para cumplir con la misma</w:t>
      </w:r>
      <w:r w:rsidRPr="00351298">
        <w:rPr>
          <w:rFonts w:ascii="Verdana" w:hAnsi="Verdana"/>
          <w:sz w:val="20"/>
          <w:szCs w:val="20"/>
        </w:rPr>
        <w:t>.</w:t>
      </w:r>
    </w:p>
    <w:p w14:paraId="130D1525" w14:textId="3F61492A" w:rsidR="00FE23FC" w:rsidRPr="00351298" w:rsidRDefault="008F475D" w:rsidP="00FE23FC">
      <w:pPr>
        <w:pStyle w:val="Prrafodelista"/>
        <w:numPr>
          <w:ilvl w:val="3"/>
          <w:numId w:val="10"/>
        </w:numPr>
        <w:spacing w:before="120" w:after="120"/>
        <w:ind w:left="0" w:right="45" w:firstLine="0"/>
        <w:contextualSpacing w:val="0"/>
        <w:jc w:val="both"/>
        <w:rPr>
          <w:rFonts w:ascii="Verdana" w:hAnsi="Verdana"/>
          <w:sz w:val="20"/>
          <w:szCs w:val="20"/>
          <w:lang w:val="es-PE"/>
        </w:rPr>
      </w:pPr>
      <w:r w:rsidRPr="00351298">
        <w:rPr>
          <w:rFonts w:ascii="Verdana" w:hAnsi="Verdana"/>
          <w:sz w:val="20"/>
          <w:szCs w:val="20"/>
          <w:lang w:val="es-PE"/>
        </w:rPr>
        <w:t>La Corte supervisará el cumplimiento íntegro de la Sentencia, en ejercicio de sus atribuciones y en cumplimiento de sus deberes conforme a la Convención Americana sobre Derechos Humanos, y dará por concluido el presente caso una vez que el Estado haya dado cabal cumplimiento a lo dispuesto en la misma</w:t>
      </w:r>
      <w:r w:rsidR="00FE23FC" w:rsidRPr="00351298">
        <w:rPr>
          <w:rFonts w:ascii="Verdana" w:hAnsi="Verdana"/>
          <w:sz w:val="20"/>
          <w:szCs w:val="20"/>
          <w:lang w:val="es-PE"/>
        </w:rPr>
        <w:t>.</w:t>
      </w:r>
    </w:p>
    <w:p w14:paraId="00043656" w14:textId="77777777" w:rsidR="00987D83" w:rsidRPr="00351298" w:rsidRDefault="00987D83" w:rsidP="00ED7C91">
      <w:pPr>
        <w:pStyle w:val="Prrafodelista"/>
        <w:ind w:left="0" w:right="48"/>
        <w:jc w:val="both"/>
        <w:rPr>
          <w:rFonts w:ascii="Verdana" w:hAnsi="Verdana"/>
          <w:sz w:val="20"/>
          <w:szCs w:val="20"/>
          <w:lang w:val="es-PE"/>
        </w:rPr>
      </w:pPr>
    </w:p>
    <w:p w14:paraId="58A54B29" w14:textId="77777777" w:rsidR="00602907" w:rsidRDefault="002236DE" w:rsidP="00ED7C91">
      <w:pPr>
        <w:pStyle w:val="Prrafodelista"/>
        <w:ind w:left="0" w:right="48"/>
        <w:jc w:val="both"/>
        <w:rPr>
          <w:rFonts w:ascii="Verdana" w:hAnsi="Verdana"/>
          <w:sz w:val="20"/>
          <w:szCs w:val="20"/>
          <w:lang w:val="es-PE"/>
        </w:rPr>
        <w:sectPr w:rsidR="00602907" w:rsidSect="007A0E84">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18" w:right="1418" w:bottom="1418" w:left="992" w:header="720" w:footer="720" w:gutter="0"/>
          <w:cols w:space="720"/>
          <w:docGrid w:linePitch="360"/>
        </w:sectPr>
      </w:pPr>
      <w:r w:rsidRPr="00351298">
        <w:rPr>
          <w:rFonts w:ascii="Verdana" w:hAnsi="Verdana"/>
          <w:sz w:val="20"/>
          <w:szCs w:val="20"/>
          <w:lang w:val="es-PE"/>
        </w:rPr>
        <w:t xml:space="preserve">Redactada en español en </w:t>
      </w:r>
      <w:r w:rsidR="00DC286A" w:rsidRPr="00351298">
        <w:rPr>
          <w:rFonts w:ascii="Verdana" w:hAnsi="Verdana"/>
          <w:sz w:val="20"/>
          <w:szCs w:val="20"/>
          <w:lang w:val="es-PE"/>
        </w:rPr>
        <w:t xml:space="preserve">San José, Costa </w:t>
      </w:r>
      <w:r w:rsidR="006C5E70">
        <w:rPr>
          <w:rFonts w:ascii="Verdana" w:hAnsi="Verdana"/>
          <w:sz w:val="20"/>
          <w:szCs w:val="20"/>
          <w:lang w:val="es-PE"/>
        </w:rPr>
        <w:t>R</w:t>
      </w:r>
      <w:r w:rsidR="00DC286A" w:rsidRPr="00351298">
        <w:rPr>
          <w:rFonts w:ascii="Verdana" w:hAnsi="Verdana"/>
          <w:sz w:val="20"/>
          <w:szCs w:val="20"/>
          <w:lang w:val="es-PE"/>
        </w:rPr>
        <w:t>ica</w:t>
      </w:r>
      <w:r w:rsidRPr="00351298">
        <w:rPr>
          <w:rFonts w:ascii="Verdana" w:hAnsi="Verdana"/>
          <w:sz w:val="20"/>
          <w:szCs w:val="20"/>
          <w:lang w:val="es-PE"/>
        </w:rPr>
        <w:t xml:space="preserve">, el </w:t>
      </w:r>
      <w:r w:rsidR="00533B18">
        <w:rPr>
          <w:rFonts w:ascii="Verdana" w:hAnsi="Verdana"/>
          <w:sz w:val="20"/>
          <w:szCs w:val="20"/>
          <w:lang w:val="es-PE"/>
        </w:rPr>
        <w:t>25</w:t>
      </w:r>
      <w:r w:rsidR="00533B18" w:rsidRPr="00351298">
        <w:rPr>
          <w:rFonts w:ascii="Verdana" w:hAnsi="Verdana"/>
          <w:sz w:val="20"/>
          <w:szCs w:val="20"/>
          <w:lang w:val="es-PE"/>
        </w:rPr>
        <w:t xml:space="preserve"> </w:t>
      </w:r>
      <w:r w:rsidRPr="00351298">
        <w:rPr>
          <w:rFonts w:ascii="Verdana" w:hAnsi="Verdana"/>
          <w:sz w:val="20"/>
          <w:szCs w:val="20"/>
          <w:lang w:val="es-PE"/>
        </w:rPr>
        <w:t xml:space="preserve">de </w:t>
      </w:r>
      <w:r w:rsidR="00335401">
        <w:rPr>
          <w:rFonts w:ascii="Verdana" w:hAnsi="Verdana"/>
          <w:sz w:val="20"/>
          <w:szCs w:val="20"/>
          <w:lang w:val="es-PE"/>
        </w:rPr>
        <w:t>enero</w:t>
      </w:r>
      <w:r w:rsidR="00335401" w:rsidRPr="00351298">
        <w:rPr>
          <w:rFonts w:ascii="Verdana" w:hAnsi="Verdana"/>
          <w:sz w:val="20"/>
          <w:szCs w:val="20"/>
          <w:lang w:val="es-PE"/>
        </w:rPr>
        <w:t xml:space="preserve"> </w:t>
      </w:r>
      <w:r w:rsidRPr="00351298">
        <w:rPr>
          <w:rFonts w:ascii="Verdana" w:hAnsi="Verdana"/>
          <w:sz w:val="20"/>
          <w:szCs w:val="20"/>
          <w:lang w:val="es-PE"/>
        </w:rPr>
        <w:t xml:space="preserve">de </w:t>
      </w:r>
      <w:r w:rsidR="00335401">
        <w:rPr>
          <w:rFonts w:ascii="Verdana" w:hAnsi="Verdana"/>
          <w:sz w:val="20"/>
          <w:szCs w:val="20"/>
          <w:lang w:val="es-PE"/>
        </w:rPr>
        <w:t>2023</w:t>
      </w:r>
      <w:r w:rsidRPr="00351298">
        <w:rPr>
          <w:rFonts w:ascii="Verdana" w:hAnsi="Verdana"/>
          <w:sz w:val="20"/>
          <w:szCs w:val="20"/>
          <w:lang w:val="es-PE"/>
        </w:rPr>
        <w:t>.</w:t>
      </w:r>
    </w:p>
    <w:p w14:paraId="1653D78E" w14:textId="77777777" w:rsidR="00602907" w:rsidRPr="00292044" w:rsidRDefault="00602907" w:rsidP="00602907">
      <w:pPr>
        <w:tabs>
          <w:tab w:val="left" w:pos="567"/>
        </w:tabs>
        <w:spacing w:before="240" w:after="240"/>
        <w:jc w:val="both"/>
        <w:rPr>
          <w:rFonts w:ascii="Verdana" w:eastAsia="Calibri" w:hAnsi="Verdana" w:cs="Verdana"/>
          <w:bCs/>
          <w:sz w:val="20"/>
          <w:szCs w:val="20"/>
          <w:lang w:val="es-ES"/>
        </w:rPr>
      </w:pPr>
      <w:r w:rsidRPr="00292044">
        <w:rPr>
          <w:rFonts w:ascii="Verdana" w:eastAsia="Calibri" w:hAnsi="Verdana" w:cs="Verdana"/>
          <w:bCs/>
          <w:sz w:val="20"/>
          <w:szCs w:val="20"/>
          <w:lang w:val="es-ES"/>
        </w:rPr>
        <w:lastRenderedPageBreak/>
        <w:t xml:space="preserve">Corte IDH. </w:t>
      </w:r>
      <w:r w:rsidRPr="00292044">
        <w:rPr>
          <w:rFonts w:ascii="Verdana" w:eastAsia="Calibri" w:hAnsi="Verdana" w:cs="Verdana"/>
          <w:bCs/>
          <w:i/>
          <w:iCs/>
          <w:sz w:val="20"/>
          <w:szCs w:val="20"/>
          <w:lang w:val="es-ES"/>
        </w:rPr>
        <w:t>Caso García Rodríguez y otro Vs. México. Excepciones Preliminares, Fondo, Reparaciones y Costas</w:t>
      </w:r>
      <w:r w:rsidRPr="00292044">
        <w:rPr>
          <w:rFonts w:ascii="Verdana" w:eastAsia="Calibri" w:hAnsi="Verdana" w:cs="Verdana"/>
          <w:bCs/>
          <w:sz w:val="20"/>
          <w:szCs w:val="20"/>
          <w:lang w:val="es-ES"/>
        </w:rPr>
        <w:t>. Sentencia de la Corte Interamericana de Derechos Humanos de 25 de enero de 2023. Sentencia adoptada en San José de Costa Rica.</w:t>
      </w:r>
    </w:p>
    <w:p w14:paraId="29813010" w14:textId="77777777" w:rsidR="00602907" w:rsidRPr="00292044" w:rsidRDefault="00602907" w:rsidP="00602907">
      <w:pPr>
        <w:jc w:val="center"/>
        <w:rPr>
          <w:rFonts w:ascii="Verdana" w:eastAsia="Batang" w:hAnsi="Verdana" w:cs="Times"/>
          <w:sz w:val="20"/>
          <w:szCs w:val="20"/>
          <w:lang w:val="es-ES"/>
        </w:rPr>
      </w:pPr>
    </w:p>
    <w:p w14:paraId="5C1DA89B" w14:textId="77777777" w:rsidR="00602907" w:rsidRPr="00292044" w:rsidRDefault="00602907" w:rsidP="00602907">
      <w:pPr>
        <w:jc w:val="center"/>
        <w:rPr>
          <w:rFonts w:ascii="Verdana" w:eastAsia="Batang" w:hAnsi="Verdana" w:cs="Times"/>
          <w:sz w:val="20"/>
          <w:szCs w:val="20"/>
          <w:lang w:val="es-ES"/>
        </w:rPr>
      </w:pPr>
    </w:p>
    <w:p w14:paraId="78DA377E" w14:textId="77777777" w:rsidR="00602907" w:rsidRPr="00292044" w:rsidRDefault="00602907" w:rsidP="00602907">
      <w:pPr>
        <w:jc w:val="center"/>
        <w:rPr>
          <w:rFonts w:ascii="Verdana" w:eastAsia="Batang" w:hAnsi="Verdana" w:cs="Times"/>
          <w:sz w:val="20"/>
          <w:szCs w:val="20"/>
          <w:lang w:val="es-ES"/>
        </w:rPr>
      </w:pPr>
    </w:p>
    <w:p w14:paraId="668FE045" w14:textId="77777777" w:rsidR="00602907" w:rsidRPr="00292044" w:rsidRDefault="00602907" w:rsidP="00602907">
      <w:pPr>
        <w:jc w:val="center"/>
        <w:rPr>
          <w:rFonts w:ascii="Verdana" w:eastAsia="Batang" w:hAnsi="Verdana" w:cs="Times"/>
          <w:sz w:val="20"/>
          <w:szCs w:val="20"/>
          <w:lang w:val="es-ES"/>
        </w:rPr>
      </w:pPr>
    </w:p>
    <w:p w14:paraId="389BAEE1" w14:textId="77777777" w:rsidR="00602907" w:rsidRPr="00292044" w:rsidRDefault="00602907" w:rsidP="00602907">
      <w:pPr>
        <w:jc w:val="center"/>
        <w:rPr>
          <w:rFonts w:ascii="Verdana" w:eastAsia="Batang" w:hAnsi="Verdana" w:cs="Times"/>
          <w:sz w:val="20"/>
          <w:szCs w:val="20"/>
          <w:lang w:val="es-ES"/>
        </w:rPr>
      </w:pPr>
    </w:p>
    <w:p w14:paraId="4790B239" w14:textId="77777777" w:rsidR="00602907" w:rsidRPr="00292044" w:rsidRDefault="00602907" w:rsidP="00602907">
      <w:pPr>
        <w:jc w:val="center"/>
        <w:rPr>
          <w:rFonts w:ascii="Verdana" w:eastAsia="Batang" w:hAnsi="Verdana" w:cs="Times"/>
          <w:sz w:val="20"/>
          <w:szCs w:val="20"/>
          <w:lang w:val="es-ES"/>
        </w:rPr>
      </w:pPr>
      <w:r w:rsidRPr="00292044">
        <w:rPr>
          <w:rFonts w:ascii="Verdana" w:eastAsia="Batang" w:hAnsi="Verdana" w:cs="Times"/>
          <w:sz w:val="20"/>
          <w:szCs w:val="20"/>
          <w:lang w:val="es-ES"/>
        </w:rPr>
        <w:t>Ricardo C. Pérez Manrique</w:t>
      </w:r>
    </w:p>
    <w:p w14:paraId="15120F4C" w14:textId="77777777" w:rsidR="00602907" w:rsidRPr="00292044" w:rsidRDefault="00602907" w:rsidP="00602907">
      <w:pPr>
        <w:jc w:val="center"/>
        <w:rPr>
          <w:rFonts w:ascii="Verdana" w:eastAsia="Batang" w:hAnsi="Verdana" w:cs="Times"/>
          <w:sz w:val="20"/>
          <w:szCs w:val="20"/>
          <w:lang w:val="es-ES"/>
        </w:rPr>
      </w:pPr>
      <w:r w:rsidRPr="00292044">
        <w:rPr>
          <w:rFonts w:ascii="Verdana" w:eastAsia="Batang" w:hAnsi="Verdana" w:cs="Times"/>
          <w:sz w:val="20"/>
          <w:szCs w:val="20"/>
          <w:lang w:val="es-ES"/>
        </w:rPr>
        <w:t>Presidente</w:t>
      </w:r>
    </w:p>
    <w:p w14:paraId="70E1A13C" w14:textId="77777777" w:rsidR="00602907" w:rsidRPr="00292044" w:rsidRDefault="00602907" w:rsidP="00602907">
      <w:pPr>
        <w:jc w:val="both"/>
        <w:rPr>
          <w:rFonts w:ascii="Verdana" w:eastAsia="Batang" w:hAnsi="Verdana" w:cs="Times"/>
          <w:sz w:val="20"/>
          <w:szCs w:val="20"/>
          <w:lang w:val="es-ES"/>
        </w:rPr>
      </w:pPr>
    </w:p>
    <w:p w14:paraId="1AF377B4" w14:textId="77777777" w:rsidR="00602907" w:rsidRPr="00292044" w:rsidRDefault="00602907" w:rsidP="00602907">
      <w:pPr>
        <w:jc w:val="both"/>
        <w:rPr>
          <w:rFonts w:ascii="Verdana" w:eastAsia="Batang" w:hAnsi="Verdana" w:cs="Times"/>
          <w:sz w:val="20"/>
          <w:szCs w:val="20"/>
          <w:lang w:val="es-ES"/>
        </w:rPr>
      </w:pPr>
    </w:p>
    <w:p w14:paraId="09440671" w14:textId="77777777" w:rsidR="00602907" w:rsidRPr="00292044" w:rsidRDefault="00602907" w:rsidP="00602907">
      <w:pPr>
        <w:jc w:val="both"/>
        <w:rPr>
          <w:rFonts w:ascii="Verdana" w:eastAsia="Batang" w:hAnsi="Verdana" w:cs="Times"/>
          <w:sz w:val="20"/>
          <w:szCs w:val="20"/>
          <w:lang w:val="es-ES"/>
        </w:rPr>
      </w:pPr>
    </w:p>
    <w:p w14:paraId="11B7CC8F" w14:textId="77777777" w:rsidR="00602907" w:rsidRPr="00292044" w:rsidRDefault="00602907" w:rsidP="00602907">
      <w:pPr>
        <w:jc w:val="both"/>
        <w:rPr>
          <w:rFonts w:ascii="Verdana" w:eastAsia="Batang" w:hAnsi="Verdana" w:cs="Times"/>
          <w:sz w:val="20"/>
          <w:szCs w:val="20"/>
          <w:lang w:val="es-ES"/>
        </w:rPr>
      </w:pPr>
    </w:p>
    <w:p w14:paraId="532F4391" w14:textId="77777777" w:rsidR="00602907" w:rsidRPr="00292044" w:rsidRDefault="00602907" w:rsidP="00602907">
      <w:pPr>
        <w:jc w:val="both"/>
        <w:rPr>
          <w:rFonts w:ascii="Verdana" w:eastAsia="Batang" w:hAnsi="Verdana" w:cs="Times"/>
          <w:sz w:val="20"/>
          <w:szCs w:val="20"/>
          <w:lang w:val="es-ES"/>
        </w:rPr>
      </w:pPr>
    </w:p>
    <w:p w14:paraId="574005AA" w14:textId="77777777" w:rsidR="00602907" w:rsidRPr="00292044" w:rsidRDefault="00602907" w:rsidP="00602907">
      <w:pPr>
        <w:jc w:val="both"/>
        <w:rPr>
          <w:rFonts w:ascii="Verdana" w:eastAsia="Batang" w:hAnsi="Verdana" w:cs="Times"/>
          <w:sz w:val="20"/>
          <w:szCs w:val="20"/>
          <w:lang w:val="es-ES"/>
        </w:rPr>
      </w:pPr>
      <w:r w:rsidRPr="00292044">
        <w:rPr>
          <w:rFonts w:ascii="Verdana" w:eastAsia="Batang" w:hAnsi="Verdana" w:cs="Times"/>
          <w:sz w:val="20"/>
          <w:szCs w:val="20"/>
          <w:lang w:val="es-ES"/>
        </w:rPr>
        <w:t>Humberto Antonio Sierra Porto</w:t>
      </w:r>
      <w:r w:rsidRPr="00292044">
        <w:rPr>
          <w:rFonts w:ascii="Verdana" w:eastAsia="Batang" w:hAnsi="Verdana" w:cs="Times"/>
          <w:sz w:val="20"/>
          <w:szCs w:val="20"/>
          <w:lang w:val="es-ES"/>
        </w:rPr>
        <w:tab/>
      </w:r>
      <w:r w:rsidRPr="00292044">
        <w:rPr>
          <w:rFonts w:ascii="Verdana" w:eastAsia="Batang" w:hAnsi="Verdana" w:cs="Times"/>
          <w:sz w:val="20"/>
          <w:szCs w:val="20"/>
          <w:lang w:val="es-ES"/>
        </w:rPr>
        <w:tab/>
      </w:r>
      <w:r w:rsidRPr="00292044">
        <w:rPr>
          <w:rFonts w:ascii="Verdana" w:eastAsia="Batang" w:hAnsi="Verdana" w:cs="Times"/>
          <w:sz w:val="20"/>
          <w:szCs w:val="20"/>
          <w:lang w:val="es-ES"/>
        </w:rPr>
        <w:tab/>
      </w:r>
      <w:r w:rsidRPr="00292044">
        <w:rPr>
          <w:rFonts w:ascii="Verdana" w:eastAsia="Batang" w:hAnsi="Verdana" w:cs="Times"/>
          <w:sz w:val="20"/>
          <w:szCs w:val="20"/>
          <w:lang w:val="es-ES"/>
        </w:rPr>
        <w:tab/>
      </w:r>
      <w:r>
        <w:rPr>
          <w:rFonts w:ascii="Verdana" w:eastAsia="Batang" w:hAnsi="Verdana" w:cs="Times"/>
          <w:sz w:val="20"/>
          <w:szCs w:val="20"/>
          <w:lang w:val="es-ES"/>
        </w:rPr>
        <w:tab/>
        <w:t xml:space="preserve"> </w:t>
      </w:r>
      <w:r w:rsidRPr="00292044">
        <w:rPr>
          <w:rFonts w:ascii="Verdana" w:eastAsia="Times" w:hAnsi="Verdana" w:cs="Times"/>
          <w:sz w:val="20"/>
          <w:szCs w:val="20"/>
        </w:rPr>
        <w:t>Nancy Hernández López</w:t>
      </w:r>
    </w:p>
    <w:p w14:paraId="4E262B7D" w14:textId="77777777" w:rsidR="00602907" w:rsidRPr="00292044" w:rsidRDefault="00602907" w:rsidP="00602907">
      <w:pPr>
        <w:jc w:val="both"/>
        <w:rPr>
          <w:rFonts w:ascii="Verdana" w:eastAsia="Batang" w:hAnsi="Verdana" w:cs="Times"/>
          <w:sz w:val="20"/>
          <w:szCs w:val="20"/>
          <w:lang w:val="es-ES"/>
        </w:rPr>
      </w:pPr>
    </w:p>
    <w:p w14:paraId="295F475C" w14:textId="77777777" w:rsidR="00602907" w:rsidRPr="00292044" w:rsidRDefault="00602907" w:rsidP="00602907">
      <w:pPr>
        <w:jc w:val="both"/>
        <w:rPr>
          <w:rFonts w:ascii="Verdana" w:eastAsia="Batang" w:hAnsi="Verdana" w:cs="Times"/>
          <w:sz w:val="20"/>
          <w:szCs w:val="20"/>
          <w:lang w:val="es-ES"/>
        </w:rPr>
      </w:pPr>
    </w:p>
    <w:p w14:paraId="47414BF2" w14:textId="77777777" w:rsidR="00602907" w:rsidRPr="00292044" w:rsidRDefault="00602907" w:rsidP="00602907">
      <w:pPr>
        <w:jc w:val="both"/>
        <w:rPr>
          <w:rFonts w:ascii="Verdana" w:eastAsia="Batang" w:hAnsi="Verdana" w:cs="Times"/>
          <w:sz w:val="20"/>
          <w:szCs w:val="20"/>
          <w:lang w:val="es-ES"/>
        </w:rPr>
      </w:pPr>
    </w:p>
    <w:p w14:paraId="2F0B4D3F" w14:textId="77777777" w:rsidR="00602907" w:rsidRPr="00292044" w:rsidRDefault="00602907" w:rsidP="00602907">
      <w:pPr>
        <w:jc w:val="both"/>
        <w:rPr>
          <w:rFonts w:ascii="Verdana" w:eastAsia="Batang" w:hAnsi="Verdana" w:cs="Times"/>
          <w:sz w:val="20"/>
          <w:szCs w:val="20"/>
          <w:lang w:val="es-ES"/>
        </w:rPr>
      </w:pPr>
    </w:p>
    <w:p w14:paraId="5F9F248E" w14:textId="77777777" w:rsidR="00602907" w:rsidRPr="00292044" w:rsidRDefault="00602907" w:rsidP="00602907">
      <w:pPr>
        <w:jc w:val="both"/>
        <w:rPr>
          <w:rFonts w:ascii="Verdana" w:eastAsia="Batang" w:hAnsi="Verdana" w:cs="Times"/>
          <w:sz w:val="20"/>
          <w:szCs w:val="20"/>
          <w:lang w:val="es-ES"/>
        </w:rPr>
      </w:pPr>
    </w:p>
    <w:p w14:paraId="774A3E0A" w14:textId="77777777" w:rsidR="00602907" w:rsidRPr="00292044" w:rsidRDefault="00602907" w:rsidP="00602907">
      <w:pPr>
        <w:jc w:val="both"/>
        <w:rPr>
          <w:rFonts w:ascii="Verdana" w:eastAsia="Batang" w:hAnsi="Verdana" w:cs="Times"/>
          <w:sz w:val="20"/>
          <w:szCs w:val="20"/>
        </w:rPr>
      </w:pPr>
      <w:r w:rsidRPr="00292044">
        <w:rPr>
          <w:rFonts w:ascii="Verdana" w:eastAsia="Batang" w:hAnsi="Verdana" w:cs="Times"/>
          <w:sz w:val="20"/>
          <w:szCs w:val="20"/>
        </w:rPr>
        <w:t>Verónica Gómez</w:t>
      </w:r>
      <w:r w:rsidRPr="00292044">
        <w:rPr>
          <w:rFonts w:ascii="Verdana" w:eastAsia="Batang" w:hAnsi="Verdana" w:cs="Times"/>
          <w:sz w:val="20"/>
          <w:szCs w:val="20"/>
        </w:rPr>
        <w:tab/>
      </w:r>
      <w:r w:rsidRPr="00292044">
        <w:rPr>
          <w:rFonts w:ascii="Verdana" w:eastAsia="Batang" w:hAnsi="Verdana" w:cs="Times"/>
          <w:sz w:val="20"/>
          <w:szCs w:val="20"/>
        </w:rPr>
        <w:tab/>
      </w:r>
      <w:r w:rsidRPr="00292044">
        <w:rPr>
          <w:rFonts w:ascii="Verdana" w:eastAsia="Batang" w:hAnsi="Verdana" w:cs="Times"/>
          <w:sz w:val="20"/>
          <w:szCs w:val="20"/>
        </w:rPr>
        <w:tab/>
      </w:r>
      <w:r w:rsidRPr="00292044">
        <w:rPr>
          <w:rFonts w:ascii="Verdana" w:eastAsia="Batang" w:hAnsi="Verdana" w:cs="Times"/>
          <w:sz w:val="20"/>
          <w:szCs w:val="20"/>
        </w:rPr>
        <w:tab/>
      </w:r>
      <w:r w:rsidRPr="00292044">
        <w:rPr>
          <w:rFonts w:ascii="Verdana" w:eastAsia="Batang" w:hAnsi="Verdana" w:cs="Times"/>
          <w:sz w:val="20"/>
          <w:szCs w:val="20"/>
        </w:rPr>
        <w:tab/>
      </w:r>
      <w:r w:rsidRPr="00292044">
        <w:rPr>
          <w:rFonts w:ascii="Verdana" w:eastAsia="Batang" w:hAnsi="Verdana" w:cs="Times"/>
          <w:sz w:val="20"/>
          <w:szCs w:val="20"/>
        </w:rPr>
        <w:tab/>
      </w:r>
      <w:r>
        <w:rPr>
          <w:rFonts w:ascii="Verdana" w:eastAsia="Batang" w:hAnsi="Verdana" w:cs="Times"/>
          <w:sz w:val="20"/>
          <w:szCs w:val="20"/>
        </w:rPr>
        <w:tab/>
        <w:t xml:space="preserve">  Patricia</w:t>
      </w:r>
      <w:r w:rsidRPr="00292044">
        <w:rPr>
          <w:rFonts w:ascii="Verdana" w:eastAsia="Batang" w:hAnsi="Verdana" w:cs="Times"/>
          <w:sz w:val="20"/>
          <w:szCs w:val="20"/>
          <w:lang w:val="es-ES"/>
        </w:rPr>
        <w:t xml:space="preserve"> Pérez Goldberg</w:t>
      </w:r>
    </w:p>
    <w:p w14:paraId="763AF965" w14:textId="77777777" w:rsidR="00602907" w:rsidRPr="00292044" w:rsidRDefault="00602907" w:rsidP="00602907">
      <w:pPr>
        <w:jc w:val="both"/>
        <w:rPr>
          <w:rFonts w:ascii="Verdana" w:eastAsia="Batang" w:hAnsi="Verdana" w:cs="Times"/>
          <w:sz w:val="20"/>
          <w:szCs w:val="20"/>
        </w:rPr>
      </w:pPr>
    </w:p>
    <w:p w14:paraId="4F7E89F5" w14:textId="77777777" w:rsidR="00602907" w:rsidRPr="00292044" w:rsidRDefault="00602907" w:rsidP="00602907">
      <w:pPr>
        <w:jc w:val="both"/>
        <w:rPr>
          <w:rFonts w:ascii="Verdana" w:eastAsia="Batang" w:hAnsi="Verdana" w:cs="Times"/>
          <w:sz w:val="20"/>
          <w:szCs w:val="20"/>
        </w:rPr>
      </w:pPr>
    </w:p>
    <w:p w14:paraId="447F55FE" w14:textId="77777777" w:rsidR="00602907" w:rsidRPr="00292044" w:rsidRDefault="00602907" w:rsidP="00602907">
      <w:pPr>
        <w:jc w:val="both"/>
        <w:rPr>
          <w:rFonts w:ascii="Verdana" w:eastAsia="Batang" w:hAnsi="Verdana" w:cs="Times"/>
          <w:sz w:val="20"/>
          <w:szCs w:val="20"/>
        </w:rPr>
      </w:pPr>
    </w:p>
    <w:p w14:paraId="6412D0E1" w14:textId="77777777" w:rsidR="00602907" w:rsidRPr="00292044" w:rsidRDefault="00602907" w:rsidP="00602907">
      <w:pPr>
        <w:jc w:val="both"/>
        <w:rPr>
          <w:rFonts w:ascii="Verdana" w:eastAsia="Batang" w:hAnsi="Verdana" w:cs="Times"/>
          <w:sz w:val="20"/>
          <w:szCs w:val="20"/>
        </w:rPr>
      </w:pPr>
    </w:p>
    <w:p w14:paraId="40E43F40" w14:textId="77777777" w:rsidR="00602907" w:rsidRPr="00292044" w:rsidRDefault="00602907" w:rsidP="00602907">
      <w:pPr>
        <w:jc w:val="both"/>
        <w:rPr>
          <w:rFonts w:ascii="Verdana" w:eastAsia="Batang" w:hAnsi="Verdana" w:cs="Times"/>
          <w:sz w:val="20"/>
          <w:szCs w:val="20"/>
        </w:rPr>
      </w:pPr>
    </w:p>
    <w:p w14:paraId="0F5B493A" w14:textId="77777777" w:rsidR="00602907" w:rsidRPr="00292044" w:rsidRDefault="00602907" w:rsidP="00602907">
      <w:pPr>
        <w:tabs>
          <w:tab w:val="center" w:pos="4419"/>
        </w:tabs>
        <w:rPr>
          <w:rFonts w:ascii="Verdana" w:eastAsia="Batang" w:hAnsi="Verdana" w:cs="Times"/>
          <w:sz w:val="20"/>
          <w:szCs w:val="20"/>
          <w:lang w:val="es-ES"/>
        </w:rPr>
      </w:pPr>
      <w:r w:rsidRPr="00292044">
        <w:rPr>
          <w:rFonts w:ascii="Verdana" w:eastAsia="Batang" w:hAnsi="Verdana" w:cs="Times"/>
          <w:sz w:val="20"/>
          <w:szCs w:val="20"/>
          <w:lang w:val="es-ES"/>
        </w:rPr>
        <w:tab/>
        <w:t>Rodrigo Mudrovitsch</w:t>
      </w:r>
    </w:p>
    <w:p w14:paraId="3C14FAC8" w14:textId="77777777" w:rsidR="00602907" w:rsidRPr="00292044" w:rsidRDefault="00602907" w:rsidP="00602907">
      <w:pPr>
        <w:jc w:val="both"/>
        <w:rPr>
          <w:rFonts w:ascii="Verdana" w:eastAsia="Batang" w:hAnsi="Verdana" w:cs="Times"/>
          <w:sz w:val="20"/>
          <w:szCs w:val="20"/>
          <w:lang w:val="es-ES"/>
        </w:rPr>
      </w:pPr>
    </w:p>
    <w:p w14:paraId="0BE593CA" w14:textId="77777777" w:rsidR="00602907" w:rsidRPr="00292044" w:rsidRDefault="00602907" w:rsidP="00602907">
      <w:pPr>
        <w:jc w:val="both"/>
        <w:rPr>
          <w:rFonts w:ascii="Verdana" w:eastAsia="Batang" w:hAnsi="Verdana" w:cs="Times"/>
          <w:sz w:val="20"/>
          <w:szCs w:val="20"/>
          <w:lang w:val="es-ES"/>
        </w:rPr>
      </w:pPr>
    </w:p>
    <w:p w14:paraId="01636AA7" w14:textId="77777777" w:rsidR="00602907" w:rsidRPr="00292044" w:rsidRDefault="00602907" w:rsidP="00602907">
      <w:pPr>
        <w:tabs>
          <w:tab w:val="left" w:pos="3945"/>
        </w:tabs>
        <w:jc w:val="both"/>
        <w:rPr>
          <w:rFonts w:ascii="Verdana" w:eastAsia="Times" w:hAnsi="Verdana" w:cs="Times"/>
          <w:sz w:val="20"/>
          <w:szCs w:val="20"/>
          <w:lang w:val="es-ES"/>
        </w:rPr>
      </w:pPr>
    </w:p>
    <w:p w14:paraId="5DFF39F8" w14:textId="77777777" w:rsidR="00602907" w:rsidRPr="00292044" w:rsidRDefault="00602907" w:rsidP="00602907">
      <w:pPr>
        <w:jc w:val="both"/>
        <w:rPr>
          <w:rFonts w:ascii="Verdana" w:eastAsia="Times" w:hAnsi="Verdana" w:cs="Times"/>
          <w:sz w:val="20"/>
          <w:szCs w:val="20"/>
          <w:lang w:val="es-ES"/>
        </w:rPr>
      </w:pPr>
    </w:p>
    <w:p w14:paraId="235FCCDE" w14:textId="77777777" w:rsidR="00602907" w:rsidRPr="00292044" w:rsidRDefault="00602907" w:rsidP="00602907">
      <w:pPr>
        <w:jc w:val="both"/>
        <w:rPr>
          <w:rFonts w:ascii="Verdana" w:eastAsia="Times" w:hAnsi="Verdana" w:cs="Times"/>
          <w:sz w:val="20"/>
          <w:szCs w:val="20"/>
          <w:lang w:val="es-ES"/>
        </w:rPr>
      </w:pPr>
    </w:p>
    <w:p w14:paraId="2D432390" w14:textId="77777777" w:rsidR="00602907" w:rsidRPr="00292044" w:rsidRDefault="00602907" w:rsidP="00602907">
      <w:pPr>
        <w:jc w:val="center"/>
        <w:rPr>
          <w:rFonts w:ascii="Verdana" w:eastAsia="Times" w:hAnsi="Verdana" w:cs="Times"/>
          <w:sz w:val="20"/>
          <w:szCs w:val="20"/>
        </w:rPr>
      </w:pPr>
      <w:r w:rsidRPr="00292044">
        <w:rPr>
          <w:rFonts w:ascii="Verdana" w:eastAsia="Times" w:hAnsi="Verdana" w:cs="Times"/>
          <w:sz w:val="20"/>
          <w:szCs w:val="20"/>
        </w:rPr>
        <w:t>Pablo Saavedra Alessandri</w:t>
      </w:r>
    </w:p>
    <w:p w14:paraId="03B806A9" w14:textId="77777777" w:rsidR="00602907" w:rsidRPr="00292044" w:rsidRDefault="00602907" w:rsidP="00602907">
      <w:pPr>
        <w:jc w:val="center"/>
        <w:rPr>
          <w:rFonts w:ascii="Verdana" w:eastAsia="Times" w:hAnsi="Verdana" w:cs="Times"/>
          <w:sz w:val="20"/>
          <w:szCs w:val="20"/>
        </w:rPr>
      </w:pPr>
      <w:r w:rsidRPr="00292044">
        <w:rPr>
          <w:rFonts w:ascii="Verdana" w:eastAsia="Times" w:hAnsi="Verdana" w:cs="Times"/>
          <w:sz w:val="20"/>
          <w:szCs w:val="20"/>
        </w:rPr>
        <w:t>Secretario</w:t>
      </w:r>
    </w:p>
    <w:p w14:paraId="45E42F7A" w14:textId="77777777" w:rsidR="00602907" w:rsidRPr="00292044" w:rsidRDefault="00602907" w:rsidP="00602907">
      <w:pPr>
        <w:jc w:val="both"/>
        <w:rPr>
          <w:rFonts w:ascii="Verdana" w:eastAsia="Times" w:hAnsi="Verdana" w:cs="Times"/>
          <w:sz w:val="20"/>
          <w:szCs w:val="20"/>
        </w:rPr>
      </w:pPr>
    </w:p>
    <w:p w14:paraId="5DFE29FE" w14:textId="77777777" w:rsidR="00602907" w:rsidRPr="00292044" w:rsidRDefault="00602907" w:rsidP="00602907">
      <w:pPr>
        <w:jc w:val="both"/>
        <w:rPr>
          <w:rFonts w:ascii="Verdana" w:eastAsia="Times" w:hAnsi="Verdana" w:cs="Times"/>
          <w:sz w:val="20"/>
          <w:szCs w:val="20"/>
        </w:rPr>
      </w:pPr>
    </w:p>
    <w:p w14:paraId="7A9DEAD5" w14:textId="77777777" w:rsidR="00602907" w:rsidRPr="00292044" w:rsidRDefault="00602907" w:rsidP="00602907">
      <w:pPr>
        <w:jc w:val="both"/>
        <w:rPr>
          <w:rFonts w:ascii="Verdana" w:eastAsia="Times" w:hAnsi="Verdana" w:cs="Times"/>
          <w:sz w:val="20"/>
          <w:szCs w:val="20"/>
        </w:rPr>
      </w:pPr>
    </w:p>
    <w:p w14:paraId="1746ED5C" w14:textId="77777777" w:rsidR="00602907" w:rsidRPr="00292044" w:rsidRDefault="00602907" w:rsidP="00602907">
      <w:pPr>
        <w:jc w:val="both"/>
        <w:rPr>
          <w:rFonts w:ascii="Verdana" w:eastAsia="Times" w:hAnsi="Verdana" w:cs="Times"/>
          <w:sz w:val="20"/>
          <w:szCs w:val="20"/>
        </w:rPr>
      </w:pPr>
      <w:r w:rsidRPr="00292044">
        <w:rPr>
          <w:rFonts w:ascii="Verdana" w:eastAsia="Times" w:hAnsi="Verdana" w:cs="Times"/>
          <w:sz w:val="20"/>
          <w:szCs w:val="20"/>
        </w:rPr>
        <w:t>Comuníquese y ejecútese,</w:t>
      </w:r>
    </w:p>
    <w:p w14:paraId="170C9F31" w14:textId="77777777" w:rsidR="00602907" w:rsidRPr="00292044" w:rsidRDefault="00602907" w:rsidP="00602907">
      <w:pPr>
        <w:jc w:val="both"/>
        <w:rPr>
          <w:rFonts w:ascii="Verdana" w:eastAsia="Times" w:hAnsi="Verdana" w:cs="Times"/>
          <w:sz w:val="20"/>
          <w:szCs w:val="20"/>
        </w:rPr>
      </w:pPr>
    </w:p>
    <w:p w14:paraId="5A43DA30" w14:textId="77777777" w:rsidR="00602907" w:rsidRPr="00292044" w:rsidRDefault="00602907" w:rsidP="00602907">
      <w:pPr>
        <w:jc w:val="both"/>
        <w:rPr>
          <w:rFonts w:ascii="Verdana" w:eastAsia="Times" w:hAnsi="Verdana" w:cs="Times"/>
          <w:sz w:val="20"/>
          <w:szCs w:val="20"/>
        </w:rPr>
      </w:pPr>
    </w:p>
    <w:p w14:paraId="781656E6" w14:textId="77777777" w:rsidR="00602907" w:rsidRPr="00292044" w:rsidRDefault="00602907" w:rsidP="00602907">
      <w:pPr>
        <w:jc w:val="both"/>
        <w:rPr>
          <w:rFonts w:ascii="Verdana" w:eastAsia="Times" w:hAnsi="Verdana" w:cs="Times"/>
          <w:sz w:val="20"/>
          <w:szCs w:val="20"/>
        </w:rPr>
      </w:pPr>
    </w:p>
    <w:p w14:paraId="0C10B23D" w14:textId="77777777" w:rsidR="00602907" w:rsidRPr="00292044" w:rsidRDefault="00602907" w:rsidP="00602907">
      <w:pPr>
        <w:jc w:val="both"/>
        <w:rPr>
          <w:rFonts w:ascii="Verdana" w:eastAsia="Times" w:hAnsi="Verdana" w:cs="Times"/>
          <w:sz w:val="20"/>
          <w:szCs w:val="20"/>
        </w:rPr>
      </w:pPr>
    </w:p>
    <w:p w14:paraId="77928B39" w14:textId="77777777" w:rsidR="00602907" w:rsidRPr="00292044" w:rsidRDefault="00602907" w:rsidP="00602907">
      <w:pPr>
        <w:ind w:left="4963"/>
        <w:jc w:val="center"/>
        <w:rPr>
          <w:rFonts w:ascii="Verdana" w:eastAsia="Batang" w:hAnsi="Verdana" w:cs="Times"/>
          <w:sz w:val="20"/>
          <w:szCs w:val="20"/>
        </w:rPr>
      </w:pPr>
      <w:r w:rsidRPr="00292044">
        <w:rPr>
          <w:rFonts w:ascii="Verdana" w:eastAsia="Batang" w:hAnsi="Verdana" w:cs="Times"/>
          <w:sz w:val="20"/>
          <w:szCs w:val="20"/>
        </w:rPr>
        <w:t>Ricardo C. Pérez Manrique</w:t>
      </w:r>
    </w:p>
    <w:p w14:paraId="4BF40B55" w14:textId="77777777" w:rsidR="00602907" w:rsidRPr="00292044" w:rsidRDefault="00602907" w:rsidP="00602907">
      <w:pPr>
        <w:ind w:left="4963"/>
        <w:jc w:val="center"/>
        <w:rPr>
          <w:rFonts w:ascii="Verdana" w:eastAsia="Batang" w:hAnsi="Verdana" w:cs="Times"/>
          <w:sz w:val="20"/>
          <w:szCs w:val="20"/>
        </w:rPr>
      </w:pPr>
      <w:r w:rsidRPr="00292044">
        <w:rPr>
          <w:rFonts w:ascii="Verdana" w:eastAsia="Batang" w:hAnsi="Verdana" w:cs="Times"/>
          <w:sz w:val="20"/>
          <w:szCs w:val="20"/>
        </w:rPr>
        <w:t>Presidente</w:t>
      </w:r>
    </w:p>
    <w:p w14:paraId="6C639F02" w14:textId="77777777" w:rsidR="00602907" w:rsidRPr="00292044" w:rsidRDefault="00602907" w:rsidP="00602907">
      <w:pPr>
        <w:jc w:val="both"/>
        <w:rPr>
          <w:rFonts w:ascii="Verdana" w:eastAsia="Times" w:hAnsi="Verdana" w:cs="Times"/>
          <w:sz w:val="20"/>
          <w:szCs w:val="20"/>
        </w:rPr>
      </w:pPr>
    </w:p>
    <w:p w14:paraId="44D7F57B" w14:textId="77777777" w:rsidR="00602907" w:rsidRPr="00292044" w:rsidRDefault="00602907" w:rsidP="00602907">
      <w:pPr>
        <w:jc w:val="both"/>
        <w:rPr>
          <w:rFonts w:ascii="Verdana" w:eastAsia="Times" w:hAnsi="Verdana" w:cs="Times"/>
          <w:sz w:val="20"/>
          <w:szCs w:val="20"/>
        </w:rPr>
      </w:pPr>
    </w:p>
    <w:p w14:paraId="2BF13CF0" w14:textId="77777777" w:rsidR="00602907" w:rsidRPr="00292044" w:rsidRDefault="00602907" w:rsidP="00602907">
      <w:pPr>
        <w:jc w:val="both"/>
        <w:rPr>
          <w:rFonts w:ascii="Verdana" w:eastAsia="Times" w:hAnsi="Verdana" w:cs="Times"/>
          <w:sz w:val="20"/>
          <w:szCs w:val="20"/>
        </w:rPr>
      </w:pPr>
    </w:p>
    <w:p w14:paraId="60BB8114" w14:textId="77777777" w:rsidR="00602907" w:rsidRPr="00292044" w:rsidRDefault="00602907" w:rsidP="00602907">
      <w:pPr>
        <w:jc w:val="both"/>
        <w:rPr>
          <w:rFonts w:ascii="Verdana" w:eastAsia="Times" w:hAnsi="Verdana" w:cs="Times"/>
          <w:sz w:val="20"/>
          <w:szCs w:val="20"/>
        </w:rPr>
      </w:pPr>
    </w:p>
    <w:p w14:paraId="1453B775" w14:textId="77777777" w:rsidR="00602907" w:rsidRPr="00292044" w:rsidRDefault="00602907" w:rsidP="00602907">
      <w:pPr>
        <w:jc w:val="both"/>
        <w:rPr>
          <w:rFonts w:ascii="Verdana" w:eastAsia="Times" w:hAnsi="Verdana" w:cs="Times"/>
          <w:sz w:val="20"/>
          <w:szCs w:val="20"/>
        </w:rPr>
      </w:pPr>
      <w:r w:rsidRPr="00292044">
        <w:rPr>
          <w:rFonts w:ascii="Verdana" w:eastAsia="Times" w:hAnsi="Verdana" w:cs="Times"/>
          <w:sz w:val="20"/>
          <w:szCs w:val="20"/>
        </w:rPr>
        <w:t>Pablo Saavedra Alessandri</w:t>
      </w:r>
    </w:p>
    <w:p w14:paraId="005DEDAE" w14:textId="1C11C681" w:rsidR="007E032B" w:rsidRPr="00602907" w:rsidRDefault="00602907" w:rsidP="00602907">
      <w:pPr>
        <w:jc w:val="both"/>
        <w:rPr>
          <w:rFonts w:ascii="Verdana" w:hAnsi="Verdana"/>
          <w:sz w:val="20"/>
          <w:szCs w:val="20"/>
          <w:lang w:bidi="en-US"/>
        </w:rPr>
      </w:pPr>
      <w:r w:rsidRPr="00292044">
        <w:rPr>
          <w:rFonts w:ascii="Verdana" w:eastAsia="Times" w:hAnsi="Verdana" w:cs="Times"/>
          <w:sz w:val="20"/>
          <w:szCs w:val="20"/>
        </w:rPr>
        <w:tab/>
        <w:t>Secretario</w:t>
      </w:r>
    </w:p>
    <w:sectPr w:rsidR="007E032B" w:rsidRPr="00602907" w:rsidSect="00602907">
      <w:pgSz w:w="12240" w:h="15840"/>
      <w:pgMar w:top="1418" w:right="1418" w:bottom="1418"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303F2" w14:textId="77777777" w:rsidR="00087266" w:rsidRDefault="00087266" w:rsidP="009403BF">
      <w:r>
        <w:separator/>
      </w:r>
    </w:p>
  </w:endnote>
  <w:endnote w:type="continuationSeparator" w:id="0">
    <w:p w14:paraId="1C7A0DAB" w14:textId="77777777" w:rsidR="00087266" w:rsidRDefault="00087266" w:rsidP="009403BF">
      <w:r>
        <w:continuationSeparator/>
      </w:r>
    </w:p>
  </w:endnote>
  <w:endnote w:type="continuationNotice" w:id="1">
    <w:p w14:paraId="56D14D15" w14:textId="77777777" w:rsidR="00087266" w:rsidRDefault="000872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Italic">
    <w:altName w:val="Malgun Gothic Semilight"/>
    <w:charset w:val="4D"/>
    <w:family w:val="auto"/>
    <w:pitch w:val="variable"/>
    <w:sig w:usb0="A00002FF" w:usb1="7800205A" w:usb2="14600000" w:usb3="00000000" w:csb0="00000193"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default"/>
  </w:font>
  <w:font w:name="Univers">
    <w:charset w:val="00"/>
    <w:family w:val="swiss"/>
    <w:pitch w:val="variable"/>
    <w:sig w:usb0="80000287" w:usb1="00000000" w:usb2="00000000" w:usb3="00000000" w:csb0="0000000F" w:csb1="00000000"/>
  </w:font>
  <w:font w:name="Garamond">
    <w:panose1 w:val="02020404030301010803"/>
    <w:charset w:val="00"/>
    <w:family w:val="roman"/>
    <w:pitch w:val="variable"/>
    <w:sig w:usb0="00000287" w:usb1="00000000" w:usb2="00000000" w:usb3="00000000" w:csb0="0000009F" w:csb1="00000000"/>
  </w:font>
  <w:font w:name="APPLE CHANCERY">
    <w:altName w:val="APPLE CHANCERY"/>
    <w:charset w:val="B1"/>
    <w:family w:val="script"/>
    <w:pitch w:val="variable"/>
    <w:sig w:usb0="80000867" w:usb1="00000003" w:usb2="00000000" w:usb3="00000000" w:csb0="000001F3"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Verdana Bold">
    <w:altName w:val="Verdana"/>
    <w:panose1 w:val="00000000000000000000"/>
    <w:charset w:val="80"/>
    <w:family w:val="auto"/>
    <w:notTrueType/>
    <w:pitch w:val="default"/>
    <w:sig w:usb0="00000001" w:usb1="08070000" w:usb2="00000010" w:usb3="00000000" w:csb0="00020000" w:csb1="00000000"/>
  </w:font>
  <w:font w:name="Calibri-Bold">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Times-Italic">
    <w:charset w:val="00"/>
    <w:family w:val="swiss"/>
    <w:pitch w:val="default"/>
    <w:sig w:usb0="00000003" w:usb1="00000000" w:usb2="00000000" w:usb3="00000000" w:csb0="00000001" w:csb1="00000000"/>
  </w:font>
  <w:font w:name="AvenirLTPro-Book">
    <w:altName w:val="Calibri"/>
    <w:charset w:val="00"/>
    <w:family w:val="auto"/>
    <w:pitch w:val="default"/>
    <w:sig w:usb0="00000003" w:usb1="00000000" w:usb2="00000000" w:usb3="00000000" w:csb0="00000001" w:csb1="00000000"/>
  </w:font>
  <w:font w:name="ArialMT">
    <w:altName w:val="MS Gothic"/>
    <w:panose1 w:val="00000000000000000000"/>
    <w:charset w:val="80"/>
    <w:family w:val="auto"/>
    <w:notTrueType/>
    <w:pitch w:val="default"/>
    <w:sig w:usb0="00000003" w:usb1="08070000" w:usb2="00000010" w:usb3="00000000" w:csb0="00020001" w:csb1="00000000"/>
  </w:font>
  <w:font w:name="Verdana-BoldItalic">
    <w:altName w:val="Verdana"/>
    <w:charset w:val="00"/>
    <w:family w:val="swiss"/>
    <w:pitch w:val="default"/>
    <w:sig w:usb0="00000003" w:usb1="00000000" w:usb2="00000000" w:usb3="00000000" w:csb0="00000001" w:csb1="00000000"/>
  </w:font>
  <w:font w:name="Verdana-Italic">
    <w:altName w:val="Verdana"/>
    <w:panose1 w:val="00000000000000000000"/>
    <w:charset w:val="4D"/>
    <w:family w:val="swiss"/>
    <w:notTrueType/>
    <w:pitch w:val="default"/>
    <w:sig w:usb0="00000003" w:usb1="00000000" w:usb2="00000000" w:usb3="00000000" w:csb0="00000001"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Light">
    <w:altName w:val="Calibri"/>
    <w:charset w:val="00"/>
    <w:family w:val="swiss"/>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232FE" w14:textId="77777777" w:rsidR="005A7208" w:rsidRDefault="005A7208" w:rsidP="00E1419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01B14A4" w14:textId="77777777" w:rsidR="005A7208" w:rsidRDefault="005A7208" w:rsidP="00E1419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352320"/>
      <w:docPartObj>
        <w:docPartGallery w:val="Page Numbers (Bottom of Page)"/>
        <w:docPartUnique/>
      </w:docPartObj>
    </w:sdtPr>
    <w:sdtEndPr>
      <w:rPr>
        <w:rFonts w:ascii="Verdana" w:hAnsi="Verdana"/>
        <w:noProof/>
        <w:sz w:val="16"/>
        <w:szCs w:val="16"/>
      </w:rPr>
    </w:sdtEndPr>
    <w:sdtContent>
      <w:p w14:paraId="0F80A5E2" w14:textId="425AD999" w:rsidR="005A7208" w:rsidRPr="00A05AED" w:rsidRDefault="005A7208">
        <w:pPr>
          <w:pStyle w:val="Piedepgina"/>
          <w:jc w:val="center"/>
          <w:rPr>
            <w:rFonts w:ascii="Verdana" w:hAnsi="Verdana"/>
            <w:sz w:val="16"/>
            <w:szCs w:val="16"/>
          </w:rPr>
        </w:pPr>
        <w:r w:rsidRPr="00A05AED">
          <w:rPr>
            <w:rFonts w:ascii="Verdana" w:hAnsi="Verdana"/>
            <w:sz w:val="16"/>
            <w:szCs w:val="16"/>
          </w:rPr>
          <w:t>-</w:t>
        </w:r>
        <w:r w:rsidRPr="00A05AED">
          <w:rPr>
            <w:rFonts w:ascii="Verdana" w:hAnsi="Verdana"/>
            <w:sz w:val="16"/>
            <w:szCs w:val="16"/>
          </w:rPr>
          <w:fldChar w:fldCharType="begin"/>
        </w:r>
        <w:r w:rsidRPr="00A05AED">
          <w:rPr>
            <w:rFonts w:ascii="Verdana" w:hAnsi="Verdana"/>
            <w:sz w:val="16"/>
            <w:szCs w:val="16"/>
          </w:rPr>
          <w:instrText xml:space="preserve"> PAGE   \* MERGEFORMAT </w:instrText>
        </w:r>
        <w:r w:rsidRPr="00A05AED">
          <w:rPr>
            <w:rFonts w:ascii="Verdana" w:hAnsi="Verdana"/>
            <w:sz w:val="16"/>
            <w:szCs w:val="16"/>
          </w:rPr>
          <w:fldChar w:fldCharType="separate"/>
        </w:r>
        <w:r w:rsidR="00E33F6D">
          <w:rPr>
            <w:rFonts w:ascii="Verdana" w:hAnsi="Verdana"/>
            <w:noProof/>
            <w:sz w:val="16"/>
            <w:szCs w:val="16"/>
          </w:rPr>
          <w:t>54</w:t>
        </w:r>
        <w:r w:rsidRPr="00A05AED">
          <w:rPr>
            <w:rFonts w:ascii="Verdana" w:hAnsi="Verdana"/>
            <w:noProof/>
            <w:sz w:val="16"/>
            <w:szCs w:val="16"/>
          </w:rPr>
          <w:fldChar w:fldCharType="end"/>
        </w:r>
        <w:r w:rsidRPr="00A05AED">
          <w:rPr>
            <w:rFonts w:ascii="Verdana" w:hAnsi="Verdana"/>
            <w:noProof/>
            <w:sz w:val="16"/>
            <w:szCs w:val="16"/>
          </w:rPr>
          <w:t>-</w:t>
        </w:r>
      </w:p>
    </w:sdtContent>
  </w:sdt>
  <w:p w14:paraId="55687996" w14:textId="77777777" w:rsidR="005A7208" w:rsidRDefault="005A7208" w:rsidP="00E14192">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5A3F" w14:textId="77777777" w:rsidR="00A460DE" w:rsidRDefault="00A460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7587D" w14:textId="77777777" w:rsidR="00087266" w:rsidRDefault="00087266" w:rsidP="009403BF">
      <w:r>
        <w:separator/>
      </w:r>
    </w:p>
  </w:footnote>
  <w:footnote w:type="continuationSeparator" w:id="0">
    <w:p w14:paraId="31406F4D" w14:textId="77777777" w:rsidR="00087266" w:rsidRDefault="00087266" w:rsidP="009403BF">
      <w:r>
        <w:continuationSeparator/>
      </w:r>
    </w:p>
  </w:footnote>
  <w:footnote w:type="continuationNotice" w:id="1">
    <w:p w14:paraId="209D373A" w14:textId="77777777" w:rsidR="00087266" w:rsidRDefault="00087266"/>
  </w:footnote>
  <w:footnote w:id="2">
    <w:p w14:paraId="5E1C61D5" w14:textId="1AEB5695" w:rsidR="005A7208" w:rsidRPr="00053304" w:rsidRDefault="005A7208" w:rsidP="00053304">
      <w:pPr>
        <w:pStyle w:val="Textonotapie"/>
        <w:jc w:val="both"/>
        <w:rPr>
          <w:rFonts w:ascii="Verdana" w:hAnsi="Verdana"/>
          <w:szCs w:val="16"/>
        </w:rPr>
      </w:pPr>
      <w:r w:rsidRPr="00053304">
        <w:rPr>
          <w:rStyle w:val="Refdenotaalpie"/>
          <w:rFonts w:ascii="Verdana" w:hAnsi="Verdana"/>
          <w:szCs w:val="16"/>
        </w:rPr>
        <w:t>*</w:t>
      </w:r>
      <w:r w:rsidRPr="00053304">
        <w:rPr>
          <w:rFonts w:ascii="Verdana" w:hAnsi="Verdana"/>
          <w:szCs w:val="16"/>
        </w:rPr>
        <w:t xml:space="preserve"> </w:t>
      </w:r>
      <w:r w:rsidRPr="00053304">
        <w:rPr>
          <w:rFonts w:ascii="Verdana" w:hAnsi="Verdana"/>
          <w:szCs w:val="16"/>
        </w:rPr>
        <w:tab/>
      </w:r>
      <w:r w:rsidR="003876A2" w:rsidRPr="00053304">
        <w:rPr>
          <w:rFonts w:ascii="Verdana" w:hAnsi="Verdana"/>
          <w:szCs w:val="16"/>
        </w:rPr>
        <w:t xml:space="preserve">El </w:t>
      </w:r>
      <w:r w:rsidR="008B1EA4" w:rsidRPr="00053304">
        <w:rPr>
          <w:rFonts w:ascii="Verdana" w:hAnsi="Verdana"/>
          <w:szCs w:val="16"/>
        </w:rPr>
        <w:t>Vicepresidente</w:t>
      </w:r>
      <w:r w:rsidR="003876A2" w:rsidRPr="00053304">
        <w:rPr>
          <w:rFonts w:ascii="Verdana" w:hAnsi="Verdana"/>
          <w:szCs w:val="16"/>
        </w:rPr>
        <w:t xml:space="preserve"> </w:t>
      </w:r>
      <w:r w:rsidR="006D25FB" w:rsidRPr="00053304">
        <w:rPr>
          <w:rFonts w:ascii="Verdana" w:hAnsi="Verdana"/>
          <w:szCs w:val="16"/>
        </w:rPr>
        <w:t>Eduardo Ferrer Mac-Gregor Poisot</w:t>
      </w:r>
      <w:r w:rsidR="003876A2" w:rsidRPr="00053304">
        <w:rPr>
          <w:rFonts w:ascii="Verdana" w:hAnsi="Verdana"/>
          <w:szCs w:val="16"/>
        </w:rPr>
        <w:t xml:space="preserve">, de nacionalidad </w:t>
      </w:r>
      <w:r w:rsidR="006D25FB" w:rsidRPr="00053304">
        <w:rPr>
          <w:rFonts w:ascii="Verdana" w:hAnsi="Verdana"/>
          <w:szCs w:val="16"/>
        </w:rPr>
        <w:t>mexicana</w:t>
      </w:r>
      <w:r w:rsidR="003876A2" w:rsidRPr="00053304">
        <w:rPr>
          <w:rFonts w:ascii="Verdana" w:hAnsi="Verdana"/>
          <w:szCs w:val="16"/>
        </w:rPr>
        <w:t>, no participó en la tramitación del presente caso ni en la deliberación y firma de esta Sentencia, de conformidad con lo dispuesto en los artículos 19.1 y 19.2 del Reglamento de la Corte.</w:t>
      </w:r>
      <w:r w:rsidR="005F11C2" w:rsidRPr="00053304">
        <w:rPr>
          <w:rFonts w:ascii="Verdana" w:hAnsi="Verdana"/>
          <w:szCs w:val="16"/>
        </w:rPr>
        <w:t xml:space="preserve"> </w:t>
      </w:r>
    </w:p>
  </w:footnote>
  <w:footnote w:id="3">
    <w:p w14:paraId="23F3CC18" w14:textId="5A0A8416" w:rsidR="00053304" w:rsidRPr="00053304" w:rsidRDefault="00053304"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Esa petición fue presentada también a nombre de Reyes Alpízar Ortiz.</w:t>
      </w:r>
    </w:p>
  </w:footnote>
  <w:footnote w:id="4">
    <w:p w14:paraId="0E22457F" w14:textId="05760BAB"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lang w:val="es-CR"/>
        </w:rPr>
        <w:t xml:space="preserve"> </w:t>
      </w:r>
      <w:r w:rsidRPr="00053304">
        <w:rPr>
          <w:rFonts w:ascii="Verdana" w:hAnsi="Verdana"/>
          <w:szCs w:val="16"/>
          <w:lang w:val="es-CR"/>
        </w:rPr>
        <w:tab/>
        <w:t xml:space="preserve">La representación de la presunta víctima la ejerce </w:t>
      </w:r>
      <w:r w:rsidR="00F26F4F" w:rsidRPr="00053304">
        <w:rPr>
          <w:rFonts w:ascii="Verdana" w:hAnsi="Verdana"/>
          <w:szCs w:val="16"/>
          <w:lang w:val="es-CR"/>
        </w:rPr>
        <w:t xml:space="preserve">el colectivo </w:t>
      </w:r>
      <w:r w:rsidR="008C4E13" w:rsidRPr="00053304">
        <w:rPr>
          <w:rFonts w:ascii="Verdana" w:hAnsi="Verdana"/>
          <w:szCs w:val="16"/>
          <w:lang w:val="es-CR"/>
        </w:rPr>
        <w:t>“</w:t>
      </w:r>
      <w:r w:rsidR="00F26F4F" w:rsidRPr="00053304">
        <w:rPr>
          <w:rFonts w:ascii="Verdana" w:hAnsi="Verdana"/>
          <w:szCs w:val="16"/>
          <w:lang w:val="es-CR"/>
        </w:rPr>
        <w:t>Pena Sin Culpa</w:t>
      </w:r>
      <w:r w:rsidR="008C4E13" w:rsidRPr="00053304">
        <w:rPr>
          <w:rFonts w:ascii="Verdana" w:hAnsi="Verdana"/>
          <w:szCs w:val="16"/>
          <w:lang w:val="es-CR"/>
        </w:rPr>
        <w:t>”</w:t>
      </w:r>
      <w:r w:rsidR="001C27E1" w:rsidRPr="00053304">
        <w:rPr>
          <w:rFonts w:ascii="Verdana" w:hAnsi="Verdana"/>
          <w:szCs w:val="16"/>
          <w:lang w:val="es-CR"/>
        </w:rPr>
        <w:t>, integrado por</w:t>
      </w:r>
      <w:r w:rsidR="00430C6D" w:rsidRPr="00053304">
        <w:rPr>
          <w:rFonts w:ascii="Verdana" w:hAnsi="Verdana"/>
          <w:szCs w:val="16"/>
          <w:lang w:val="es-CR"/>
        </w:rPr>
        <w:t>: Simón Alejandro Hernández León, Daniel García Rodríguez</w:t>
      </w:r>
      <w:r w:rsidR="008E19F6" w:rsidRPr="00053304">
        <w:rPr>
          <w:rFonts w:ascii="Verdana" w:hAnsi="Verdana"/>
          <w:szCs w:val="16"/>
          <w:lang w:val="es-CR"/>
        </w:rPr>
        <w:t>,</w:t>
      </w:r>
      <w:r w:rsidR="00430C6D" w:rsidRPr="00053304">
        <w:rPr>
          <w:rFonts w:ascii="Verdana" w:hAnsi="Verdana"/>
          <w:szCs w:val="16"/>
          <w:lang w:val="es-CR"/>
        </w:rPr>
        <w:t xml:space="preserve"> y David Peña Rodríguez</w:t>
      </w:r>
      <w:r w:rsidRPr="00053304">
        <w:rPr>
          <w:rFonts w:ascii="Verdana" w:hAnsi="Verdana"/>
          <w:szCs w:val="16"/>
          <w:lang w:val="es-CR"/>
        </w:rPr>
        <w:t>.</w:t>
      </w:r>
      <w:r w:rsidR="008C4E13" w:rsidRPr="00053304">
        <w:rPr>
          <w:rFonts w:ascii="Verdana" w:hAnsi="Verdana"/>
          <w:szCs w:val="16"/>
          <w:lang w:val="es-CR"/>
        </w:rPr>
        <w:t xml:space="preserve"> </w:t>
      </w:r>
    </w:p>
  </w:footnote>
  <w:footnote w:id="5">
    <w:p w14:paraId="17C04EE6" w14:textId="1A47272D" w:rsidR="00E62382" w:rsidRPr="00053304" w:rsidRDefault="00E62382"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 xml:space="preserve">Se refirieron en particular a las alegadas violaciones al derecho al honor (artículo 11 de la Convención Americana) en perjuicio de </w:t>
      </w:r>
      <w:r w:rsidRPr="00053304">
        <w:rPr>
          <w:rFonts w:ascii="Verdana" w:hAnsi="Verdana"/>
          <w:szCs w:val="16"/>
          <w:lang w:val="es-CR"/>
        </w:rPr>
        <w:t>Daniel García Rodríguez</w:t>
      </w:r>
      <w:r w:rsidRPr="00053304">
        <w:rPr>
          <w:rFonts w:ascii="Verdana" w:hAnsi="Verdana"/>
          <w:szCs w:val="16"/>
          <w:lang w:val="es-ES"/>
        </w:rPr>
        <w:t xml:space="preserve"> y Reyes Alpízar Ortiz</w:t>
      </w:r>
      <w:r w:rsidR="00857673" w:rsidRPr="00053304">
        <w:rPr>
          <w:rFonts w:ascii="Verdana" w:hAnsi="Verdana"/>
          <w:szCs w:val="16"/>
          <w:lang w:val="es-ES"/>
        </w:rPr>
        <w:t xml:space="preserve">, a la integridad de sus familiares (artículo 5 de la Convención Americana), a la libertad personal, </w:t>
      </w:r>
      <w:r w:rsidR="00D6599A" w:rsidRPr="00053304">
        <w:rPr>
          <w:rFonts w:ascii="Verdana" w:hAnsi="Verdana"/>
          <w:szCs w:val="16"/>
          <w:lang w:val="es-ES"/>
        </w:rPr>
        <w:t>g</w:t>
      </w:r>
      <w:r w:rsidR="00857673" w:rsidRPr="00053304">
        <w:rPr>
          <w:rFonts w:ascii="Verdana" w:hAnsi="Verdana"/>
          <w:szCs w:val="16"/>
          <w:lang w:val="es-ES"/>
        </w:rPr>
        <w:t xml:space="preserve">arantías judiciales, </w:t>
      </w:r>
      <w:r w:rsidR="00D6599A" w:rsidRPr="00053304">
        <w:rPr>
          <w:rFonts w:ascii="Verdana" w:hAnsi="Verdana"/>
          <w:szCs w:val="16"/>
          <w:lang w:val="es-ES"/>
        </w:rPr>
        <w:t>h</w:t>
      </w:r>
      <w:r w:rsidR="00857673" w:rsidRPr="00053304">
        <w:rPr>
          <w:rFonts w:ascii="Verdana" w:hAnsi="Verdana"/>
          <w:szCs w:val="16"/>
          <w:lang w:val="es-ES"/>
        </w:rPr>
        <w:t>onra y protección judicial de los familiares de las presuntas víctimas (artículos 7, 8, 11 y 25 de la Convención Americana), y a la libertad personal, garantías judiciales y legalidad e irretroactividad derivados de una desviación de poder (artículos 7, 8 y 25 de la Convención Americana).</w:t>
      </w:r>
    </w:p>
  </w:footnote>
  <w:footnote w:id="6">
    <w:p w14:paraId="53D0C917" w14:textId="29C117E1"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lang w:val="es-CR"/>
        </w:rPr>
        <w:t xml:space="preserve"> </w:t>
      </w:r>
      <w:r w:rsidRPr="00053304">
        <w:rPr>
          <w:rFonts w:ascii="Verdana" w:hAnsi="Verdana"/>
          <w:szCs w:val="16"/>
          <w:lang w:val="es-ES"/>
        </w:rPr>
        <w:tab/>
      </w:r>
      <w:r w:rsidR="00E17ACA" w:rsidRPr="00053304">
        <w:rPr>
          <w:rFonts w:ascii="Verdana" w:hAnsi="Verdana"/>
          <w:szCs w:val="16"/>
          <w:lang w:val="es-ES"/>
        </w:rPr>
        <w:t>E</w:t>
      </w:r>
      <w:r w:rsidRPr="00053304">
        <w:rPr>
          <w:rFonts w:ascii="Verdana" w:hAnsi="Verdana"/>
          <w:szCs w:val="16"/>
          <w:lang w:val="es-ES"/>
        </w:rPr>
        <w:t xml:space="preserve">l Estado designó como agentes a </w:t>
      </w:r>
      <w:r w:rsidR="00D20BCE" w:rsidRPr="00053304">
        <w:rPr>
          <w:rFonts w:ascii="Verdana" w:hAnsi="Verdana"/>
          <w:szCs w:val="16"/>
          <w:lang w:val="es-ES"/>
        </w:rPr>
        <w:t xml:space="preserve">Martha Delgado Peralta, Subsecretaria para Asuntos Multilaterales y Derechos Humanos; Alejandro Celorio Alcántara, Consultor Jurídico; </w:t>
      </w:r>
      <w:r w:rsidR="004A0317" w:rsidRPr="00053304">
        <w:rPr>
          <w:rFonts w:ascii="Verdana" w:hAnsi="Verdana"/>
          <w:szCs w:val="16"/>
          <w:lang w:val="es-ES"/>
        </w:rPr>
        <w:t>Roselia Margarita Barajas y Olea, Embajadora de México en Costa Rica; Cristopher Ballinas Valdés, Director General de Derechos Humanos y Democracia; Salvador Tinajero Esquivel, Consultor Jurídico Adjunto “B”; Alfredo Uriel Pérez Manríquez, Director de Derecho Internacional IV; Enrique Irazoque Palazuelos, Titular de la Unidad para la Defensa de los Derechos Humanos de la Secretaría de Gobernación; Marcos Moreno Báez, Coordinador de Asuntos Internacionales de Derechos Humanos; María Dalia Cajero Jacinto, Consultora General Jurídica; Fernando Ulises Cárdenas Uribe</w:t>
      </w:r>
      <w:r w:rsidR="00266195" w:rsidRPr="00053304">
        <w:rPr>
          <w:rFonts w:ascii="Verdana" w:hAnsi="Verdana"/>
          <w:szCs w:val="16"/>
          <w:lang w:val="es-ES"/>
        </w:rPr>
        <w:t>, Fiscal</w:t>
      </w:r>
      <w:r w:rsidR="00A6581B" w:rsidRPr="00053304">
        <w:rPr>
          <w:rFonts w:ascii="Verdana" w:hAnsi="Verdana"/>
          <w:szCs w:val="16"/>
          <w:lang w:val="es-ES"/>
        </w:rPr>
        <w:t xml:space="preserve"> </w:t>
      </w:r>
      <w:r w:rsidR="00266195" w:rsidRPr="00053304">
        <w:rPr>
          <w:rFonts w:ascii="Verdana" w:hAnsi="Verdana"/>
          <w:szCs w:val="16"/>
          <w:lang w:val="es-ES"/>
        </w:rPr>
        <w:t>Central Jurídico, Fiscalía General de Justicia</w:t>
      </w:r>
      <w:r w:rsidR="00A6581B" w:rsidRPr="00053304">
        <w:rPr>
          <w:rFonts w:ascii="Verdana" w:hAnsi="Verdana"/>
          <w:szCs w:val="16"/>
          <w:lang w:val="es-ES"/>
        </w:rPr>
        <w:t xml:space="preserve"> </w:t>
      </w:r>
      <w:r w:rsidR="00266195" w:rsidRPr="00053304">
        <w:rPr>
          <w:rFonts w:ascii="Verdana" w:hAnsi="Verdana"/>
          <w:szCs w:val="16"/>
          <w:lang w:val="es-ES"/>
        </w:rPr>
        <w:t>del Estado de México</w:t>
      </w:r>
      <w:r w:rsidR="004A0317" w:rsidRPr="00053304">
        <w:rPr>
          <w:rFonts w:ascii="Verdana" w:hAnsi="Verdana"/>
          <w:szCs w:val="16"/>
          <w:lang w:val="es-ES"/>
        </w:rPr>
        <w:t>; Martín Berdeja Rivas, Director General de Derechos Humanos e Igualdad de Género; Rubén Durán Miranda, Coordinador General Jurídico y Consultivo</w:t>
      </w:r>
      <w:r w:rsidR="002936D4" w:rsidRPr="00053304">
        <w:rPr>
          <w:rFonts w:ascii="Verdana" w:hAnsi="Verdana"/>
          <w:szCs w:val="16"/>
          <w:lang w:val="es-ES"/>
        </w:rPr>
        <w:t>,</w:t>
      </w:r>
      <w:r w:rsidR="004A0317" w:rsidRPr="00053304">
        <w:rPr>
          <w:rFonts w:ascii="Verdana" w:hAnsi="Verdana"/>
          <w:szCs w:val="16"/>
          <w:lang w:val="es-ES"/>
        </w:rPr>
        <w:t xml:space="preserve"> y Javier García Molina, Subdirector de Amparos y Derechos Humanos del Poder Judicial de México</w:t>
      </w:r>
      <w:r w:rsidRPr="00053304">
        <w:rPr>
          <w:rFonts w:ascii="Verdana" w:hAnsi="Verdana"/>
          <w:szCs w:val="16"/>
          <w:lang w:val="es-ES"/>
        </w:rPr>
        <w:t xml:space="preserve">. </w:t>
      </w:r>
    </w:p>
  </w:footnote>
  <w:footnote w:id="7">
    <w:p w14:paraId="45A78134" w14:textId="41940466" w:rsidR="00430C6D" w:rsidRPr="00053304" w:rsidRDefault="00430C6D"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00E95DF5" w:rsidRPr="00053304">
        <w:rPr>
          <w:rFonts w:ascii="Verdana" w:hAnsi="Verdana"/>
          <w:szCs w:val="16"/>
        </w:rPr>
        <w:tab/>
      </w:r>
      <w:r w:rsidR="00BF314C" w:rsidRPr="00053304">
        <w:rPr>
          <w:rFonts w:ascii="Verdana" w:hAnsi="Verdana"/>
          <w:szCs w:val="16"/>
        </w:rPr>
        <w:t xml:space="preserve">El 14 de mayo de 2022, los representantes presentaron una solicitud de medidas provisionales “con la finalidad de evitar la detención y encarcelamiento de las presuntas víctimas directas del presente caso” debido a la sentencia de condena en primera instancia que fue emitida el 12 de marzo de 2022, y en la cual se las sancionó a 35 años de cárcel por homicidio. El pleno de la Corte decidió rechazar dicha solicitud. </w:t>
      </w:r>
      <w:r w:rsidRPr="00053304">
        <w:rPr>
          <w:rFonts w:ascii="Verdana" w:hAnsi="Verdana"/>
          <w:i/>
          <w:iCs/>
          <w:szCs w:val="16"/>
          <w:lang w:val="es-CR"/>
        </w:rPr>
        <w:t>Cfr. Caso García Rodríguez y otro Vs. México</w:t>
      </w:r>
      <w:r w:rsidRPr="00053304">
        <w:rPr>
          <w:rFonts w:ascii="Verdana" w:hAnsi="Verdana"/>
          <w:szCs w:val="16"/>
        </w:rPr>
        <w:t xml:space="preserve">. Medidas provisionales. Resolución del Presidente de la Corte Interamericana de Derechos Humanos de 25 de agosto de 2022. </w:t>
      </w:r>
      <w:hyperlink r:id="rId1" w:history="1">
        <w:r w:rsidRPr="00053304">
          <w:rPr>
            <w:rStyle w:val="Hipervnculo"/>
            <w:rFonts w:ascii="Verdana" w:hAnsi="Verdana"/>
            <w:color w:val="auto"/>
            <w:szCs w:val="16"/>
          </w:rPr>
          <w:t>https://www.corteidh.or.cr/docs/medidas/garciarodriguez_se_01.pdf</w:t>
        </w:r>
      </w:hyperlink>
    </w:p>
  </w:footnote>
  <w:footnote w:id="8">
    <w:p w14:paraId="15B88EC4" w14:textId="04BB9A8B" w:rsidR="00196A88" w:rsidRPr="00053304" w:rsidRDefault="00196A8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Juzgado Penal del Distrito Judicial de Tlalnepantla, Sentencia de 12 de mayo de 2022 (expediente de </w:t>
      </w:r>
      <w:r w:rsidR="0060119E" w:rsidRPr="00053304">
        <w:rPr>
          <w:rFonts w:ascii="Verdana" w:hAnsi="Verdana"/>
          <w:szCs w:val="16"/>
        </w:rPr>
        <w:t>prueba, folios 70391 y siguientes).</w:t>
      </w:r>
    </w:p>
  </w:footnote>
  <w:footnote w:id="9">
    <w:p w14:paraId="0BBF5ACA" w14:textId="5F98823D" w:rsidR="005A7208" w:rsidRPr="00053304" w:rsidRDefault="005A7208" w:rsidP="00053304">
      <w:pPr>
        <w:pStyle w:val="Textonotapie"/>
        <w:jc w:val="both"/>
        <w:rPr>
          <w:rFonts w:ascii="Verdana" w:hAnsi="Verdana" w:cs="Arial"/>
          <w:szCs w:val="16"/>
          <w:lang w:val="es-CR"/>
        </w:rPr>
      </w:pPr>
      <w:r w:rsidRPr="00053304">
        <w:rPr>
          <w:rStyle w:val="Refdenotaalpie"/>
          <w:rFonts w:ascii="Verdana" w:hAnsi="Verdana"/>
          <w:szCs w:val="16"/>
        </w:rPr>
        <w:footnoteRef/>
      </w:r>
      <w:r w:rsidRPr="00053304">
        <w:rPr>
          <w:rFonts w:ascii="Verdana" w:hAnsi="Verdana"/>
          <w:szCs w:val="16"/>
          <w:lang w:val="es-CR"/>
        </w:rPr>
        <w:t xml:space="preserve"> </w:t>
      </w:r>
      <w:r w:rsidR="00DC1649" w:rsidRPr="00053304">
        <w:rPr>
          <w:rFonts w:ascii="Verdana" w:hAnsi="Verdana"/>
          <w:szCs w:val="16"/>
          <w:lang w:val="es-CR"/>
        </w:rPr>
        <w:t xml:space="preserve"> </w:t>
      </w:r>
      <w:r w:rsidR="00E95DF5" w:rsidRPr="00053304">
        <w:rPr>
          <w:rFonts w:ascii="Verdana" w:hAnsi="Verdana"/>
          <w:szCs w:val="16"/>
          <w:lang w:val="es-CR"/>
        </w:rPr>
        <w:tab/>
      </w:r>
      <w:r w:rsidR="00DC1649" w:rsidRPr="00053304">
        <w:rPr>
          <w:rFonts w:ascii="Verdana" w:hAnsi="Verdana"/>
          <w:szCs w:val="16"/>
          <w:lang w:val="es-CR"/>
        </w:rPr>
        <w:t>C</w:t>
      </w:r>
      <w:r w:rsidR="00973097" w:rsidRPr="00053304">
        <w:rPr>
          <w:rFonts w:ascii="Verdana" w:hAnsi="Verdana"/>
          <w:i/>
          <w:iCs/>
          <w:szCs w:val="16"/>
          <w:lang w:val="es-CR"/>
        </w:rPr>
        <w:t xml:space="preserve">fr. Caso García Rodríguez y otro Vs. México. </w:t>
      </w:r>
      <w:r w:rsidR="00973097" w:rsidRPr="00053304">
        <w:rPr>
          <w:rFonts w:ascii="Verdana" w:hAnsi="Verdana"/>
          <w:szCs w:val="16"/>
          <w:lang w:val="es-CR"/>
        </w:rPr>
        <w:t xml:space="preserve">Convocatoria a audiencia. Resolución del Presidente de la Corte Interamericana de Derechos Humanos de 6 de julio de 2022. </w:t>
      </w:r>
      <w:hyperlink r:id="rId2" w:history="1">
        <w:r w:rsidR="00973097" w:rsidRPr="00053304">
          <w:rPr>
            <w:rStyle w:val="Hipervnculo"/>
            <w:rFonts w:ascii="Verdana" w:hAnsi="Verdana"/>
            <w:color w:val="auto"/>
            <w:szCs w:val="16"/>
          </w:rPr>
          <w:t>https://www.corteidh.or.cr/docs/asuntos/garcia_rodriguez_y_otro_06_07_22.pdf</w:t>
        </w:r>
      </w:hyperlink>
      <w:r w:rsidR="00973097" w:rsidRPr="00053304">
        <w:rPr>
          <w:rFonts w:ascii="Verdana" w:hAnsi="Verdana"/>
          <w:szCs w:val="16"/>
        </w:rPr>
        <w:t xml:space="preserve"> </w:t>
      </w:r>
    </w:p>
  </w:footnote>
  <w:footnote w:id="10">
    <w:p w14:paraId="0590214E" w14:textId="38A9C7A9" w:rsidR="00C84C1E" w:rsidRPr="00053304" w:rsidRDefault="00C84C1E"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Esas personas son la presunta víctima Daniel García Rodríguez, y el perito José Ramón Cossío Díaz.</w:t>
      </w:r>
    </w:p>
  </w:footnote>
  <w:footnote w:id="11">
    <w:p w14:paraId="0C815656" w14:textId="53D40C0C" w:rsidR="00C84C1E" w:rsidRPr="00053304" w:rsidRDefault="00C84C1E"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Esas personas son las presuntas víctimas Reyes Alpízar Ortiz</w:t>
      </w:r>
      <w:r w:rsidR="00801E61" w:rsidRPr="00053304">
        <w:rPr>
          <w:rFonts w:ascii="Verdana" w:hAnsi="Verdana"/>
          <w:szCs w:val="16"/>
          <w:lang w:val="es-ES"/>
        </w:rPr>
        <w:t>;</w:t>
      </w:r>
      <w:r w:rsidRPr="00053304">
        <w:rPr>
          <w:rFonts w:ascii="Verdana" w:hAnsi="Verdana"/>
          <w:szCs w:val="16"/>
          <w:lang w:val="es-ES"/>
        </w:rPr>
        <w:t xml:space="preserve"> Maria Magdalena Perez Sifuentes</w:t>
      </w:r>
      <w:r w:rsidR="00801E61" w:rsidRPr="00053304">
        <w:rPr>
          <w:rFonts w:ascii="Verdana" w:hAnsi="Verdana"/>
          <w:szCs w:val="16"/>
          <w:lang w:val="es-ES"/>
        </w:rPr>
        <w:t>;</w:t>
      </w:r>
      <w:r w:rsidRPr="00053304">
        <w:rPr>
          <w:rFonts w:ascii="Verdana" w:hAnsi="Verdana"/>
          <w:szCs w:val="16"/>
          <w:lang w:val="es-ES"/>
        </w:rPr>
        <w:t xml:space="preserve"> Denisse Aribel García Pérez</w:t>
      </w:r>
      <w:r w:rsidR="00801E61" w:rsidRPr="00053304">
        <w:rPr>
          <w:rFonts w:ascii="Verdana" w:hAnsi="Verdana"/>
          <w:szCs w:val="16"/>
          <w:lang w:val="es-ES"/>
        </w:rPr>
        <w:t>; Laura García Rodríguez, y Guillermina Olivárez Barrera; los testigos ofrecidos por el Estado Norma Elvia Trejo Luna y José Alberto Buendía Valverde; el perito ofrecido por el Estado, Rogelio Arturo Bárcena Zubieta, y finalmente el perito ofrecido por la Comisión, Víctor Manuel Rodríguez Rescia.</w:t>
      </w:r>
    </w:p>
  </w:footnote>
  <w:footnote w:id="12">
    <w:p w14:paraId="0466292C" w14:textId="2C2477CD" w:rsidR="00DC1649" w:rsidRPr="00053304" w:rsidRDefault="00DC1649"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00E95DF5" w:rsidRPr="00053304">
        <w:rPr>
          <w:rFonts w:ascii="Verdana" w:hAnsi="Verdana"/>
          <w:szCs w:val="16"/>
        </w:rPr>
        <w:tab/>
      </w:r>
      <w:r w:rsidRPr="00053304">
        <w:rPr>
          <w:rFonts w:ascii="Verdana" w:hAnsi="Verdana"/>
          <w:i/>
          <w:iCs/>
          <w:szCs w:val="16"/>
          <w:lang w:val="es-CR"/>
        </w:rPr>
        <w:t xml:space="preserve">Cfr. Caso García Rodríguez y otro Vs. México. </w:t>
      </w:r>
      <w:r w:rsidRPr="00053304">
        <w:rPr>
          <w:rFonts w:ascii="Verdana" w:hAnsi="Verdana"/>
          <w:szCs w:val="16"/>
          <w:lang w:val="es-CR"/>
        </w:rPr>
        <w:t>Resolución del Presidente de la Corte Interamericana de Derechos Humanos de 27 de julio de 2022.</w:t>
      </w:r>
      <w:r w:rsidRPr="00053304">
        <w:rPr>
          <w:rFonts w:ascii="Verdana" w:hAnsi="Verdana"/>
          <w:szCs w:val="16"/>
        </w:rPr>
        <w:t xml:space="preserve"> </w:t>
      </w:r>
      <w:hyperlink r:id="rId3" w:history="1">
        <w:r w:rsidRPr="00053304">
          <w:rPr>
            <w:rStyle w:val="Hipervnculo"/>
            <w:rFonts w:ascii="Verdana" w:hAnsi="Verdana"/>
            <w:color w:val="auto"/>
            <w:szCs w:val="16"/>
          </w:rPr>
          <w:t>https://www.corteidh.or.cr/docs/asuntos/garcia_rodriguez_y_otro_27_07_22.pdf</w:t>
        </w:r>
      </w:hyperlink>
      <w:r w:rsidRPr="00053304">
        <w:rPr>
          <w:rFonts w:ascii="Verdana" w:hAnsi="Verdana"/>
          <w:i/>
          <w:iCs/>
          <w:szCs w:val="16"/>
        </w:rPr>
        <w:t xml:space="preserve"> </w:t>
      </w:r>
    </w:p>
  </w:footnote>
  <w:footnote w:id="13">
    <w:p w14:paraId="579819C4" w14:textId="0E14BAE2" w:rsidR="00E95DF5" w:rsidRPr="00053304" w:rsidRDefault="00E95DF5"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Pr="00053304">
        <w:rPr>
          <w:rFonts w:ascii="Verdana" w:hAnsi="Verdana"/>
          <w:szCs w:val="16"/>
        </w:rPr>
        <w:t xml:space="preserve">El 13 de julio de 2022 </w:t>
      </w:r>
      <w:r w:rsidRPr="00053304">
        <w:rPr>
          <w:rFonts w:ascii="Verdana" w:hAnsi="Verdana"/>
          <w:szCs w:val="16"/>
          <w:lang w:val="es-ES"/>
        </w:rPr>
        <w:t>el Estado solicitó la reconsideración de lo dispuesto en la Resolución de Presidencia de 6 de julio de 2022 sobre la modalidad de la audiencia,</w:t>
      </w:r>
      <w:r w:rsidRPr="00053304">
        <w:rPr>
          <w:rFonts w:ascii="Verdana" w:hAnsi="Verdana"/>
          <w:szCs w:val="16"/>
        </w:rPr>
        <w:t xml:space="preserve"> </w:t>
      </w:r>
      <w:r w:rsidRPr="00053304">
        <w:rPr>
          <w:rFonts w:ascii="Verdana" w:hAnsi="Verdana"/>
          <w:szCs w:val="16"/>
          <w:lang w:val="es-ES"/>
        </w:rPr>
        <w:t>para que la audiencia pública se llevase a cabo de manera virtual; adicionalmente, solicitó que se aceptase la participación de los peritos Ulises Carmona Tinoco y Rogelio Arturo Bárcena Zubieta de manera presencial en la audiencia pública.</w:t>
      </w:r>
    </w:p>
  </w:footnote>
  <w:footnote w:id="14">
    <w:p w14:paraId="2C9245EE" w14:textId="10DE86A1" w:rsidR="00AE3CC1" w:rsidRPr="00053304" w:rsidRDefault="00AE3CC1"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lang w:val="es-CR"/>
        </w:rPr>
        <w:t xml:space="preserve"> </w:t>
      </w:r>
      <w:r w:rsidR="00E95DF5" w:rsidRPr="00053304">
        <w:rPr>
          <w:rFonts w:ascii="Verdana" w:hAnsi="Verdana"/>
          <w:szCs w:val="16"/>
          <w:lang w:val="es-CR"/>
        </w:rPr>
        <w:tab/>
      </w:r>
      <w:r w:rsidR="00D6599A" w:rsidRPr="00053304">
        <w:rPr>
          <w:rFonts w:ascii="Verdana" w:hAnsi="Verdana"/>
          <w:szCs w:val="16"/>
          <w:lang w:val="es-CR"/>
        </w:rPr>
        <w:t>A esta audiencia comparecieron: a) por la Comisión: Esmeralda Arosemena de Troitiño, Comisionada, Jorge Meza Flores e Ignacio Bollier, ambos asesores de la Comisión; b) por los representantes: Simón Alejandro Hernández León, y David Peña Rodríguez, y c) por el Estado: Laura Beatriz Esquivel Valdés, Secretaria de Relaciones Exteriores; Alejandro Celorio Alcántara, Consultor Jurídico; Alfredo Uriel Pérez, Director de Derechos Internacional, Fabiola Catalina Aparicio Perales, Integrante del Consejo de la Judicatura del Estado de México; Joel Alfonso Sierra Palacios, Coordinador General Jurídico y Consultivo del Poder Judicial del Estado de México; Maricela Xiconténcatl Elizaga, Fiscal Central Jurídica; Elvira Díaz Salgado, Coordinadora General de Litigación; Norma Elvia Trejo Luna, Fiscal Especial para la Investigación del Delito de Tortura; Leonel Ulises Carrasco Villafuerte, Jefe de la Unidad de Derechos Humanos  de la Fiscalía General de Justicia del Estado de México; Martín Berdeja Rivas, Director General de Derechos Humanos e Igualdad de Género de la Secretaría de Justicia y Derechos Humanos del Gobierno del Estado de México y José Ignacio Felipe Martín del Campo Covarrubias, Analista especializado de la Dirección General de Derechos Humanos e Igualdad de Género</w:t>
      </w:r>
      <w:r w:rsidRPr="00053304">
        <w:rPr>
          <w:rFonts w:ascii="Verdana" w:hAnsi="Verdana"/>
          <w:szCs w:val="16"/>
          <w:lang w:val="es-CR"/>
        </w:rPr>
        <w:t xml:space="preserve">. </w:t>
      </w:r>
    </w:p>
  </w:footnote>
  <w:footnote w:id="15">
    <w:p w14:paraId="36C25376" w14:textId="4C52278C" w:rsidR="0044174B" w:rsidRPr="00053304" w:rsidRDefault="0044174B"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lang w:val="es-CR"/>
        </w:rPr>
        <w:t xml:space="preserve"> </w:t>
      </w:r>
      <w:r w:rsidRPr="00053304">
        <w:rPr>
          <w:rFonts w:ascii="Verdana" w:hAnsi="Verdana"/>
          <w:szCs w:val="16"/>
          <w:lang w:val="es-CR"/>
        </w:rPr>
        <w:tab/>
        <w:t xml:space="preserve">El escrito firmado por Netzaí Sandoval Ballesteros, Director General del Instituto Federal de Defensoría Pública, versa sobre </w:t>
      </w:r>
      <w:r w:rsidR="00A6581B" w:rsidRPr="00053304">
        <w:rPr>
          <w:rFonts w:ascii="Verdana" w:hAnsi="Verdana"/>
          <w:szCs w:val="16"/>
          <w:lang w:val="es-CR"/>
        </w:rPr>
        <w:t xml:space="preserve">una análisis de </w:t>
      </w:r>
      <w:r w:rsidRPr="00053304">
        <w:rPr>
          <w:rFonts w:ascii="Verdana" w:hAnsi="Verdana"/>
          <w:szCs w:val="16"/>
          <w:lang w:val="es-CR"/>
        </w:rPr>
        <w:t xml:space="preserve">convencionalidad de la figura de la prisión preventiva oficiosa. </w:t>
      </w:r>
    </w:p>
  </w:footnote>
  <w:footnote w:id="16">
    <w:p w14:paraId="5808AAC3" w14:textId="77777777"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 xml:space="preserve"> </w:t>
      </w:r>
      <w:r w:rsidRPr="00053304">
        <w:rPr>
          <w:rFonts w:ascii="Verdana" w:hAnsi="Verdana"/>
          <w:szCs w:val="16"/>
          <w:lang w:val="es-ES"/>
        </w:rPr>
        <w:tab/>
        <w:t>El escrito firmado por Alfonso Martínez Lazcano, presidente del Colegio de Abogados Procesalistas Latinoamericanos, versa sobre la figura del arraigo penal y de la prisión preventiva oficiosa.</w:t>
      </w:r>
    </w:p>
  </w:footnote>
  <w:footnote w:id="17">
    <w:p w14:paraId="5F8BCCF6" w14:textId="77777777"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lang w:val="es-CR"/>
        </w:rPr>
        <w:t xml:space="preserve"> </w:t>
      </w:r>
      <w:r w:rsidRPr="00053304">
        <w:rPr>
          <w:rFonts w:ascii="Verdana" w:hAnsi="Verdana"/>
          <w:szCs w:val="16"/>
          <w:lang w:val="es-CR"/>
        </w:rPr>
        <w:tab/>
      </w:r>
      <w:r w:rsidRPr="00053304">
        <w:rPr>
          <w:rFonts w:ascii="Verdana" w:hAnsi="Verdana"/>
          <w:szCs w:val="16"/>
          <w:lang w:val="es-ES"/>
        </w:rPr>
        <w:t>El escrito firmado por Pedro Tamés Fernández, padre de María de los Ángeles Tamés Pérez, versa sobre los hechos contenidos en el sometimiento del caso, a la vez presenta consideraciones jurídicas sobre la prisión preventiva prolongada.</w:t>
      </w:r>
    </w:p>
  </w:footnote>
  <w:footnote w:id="18">
    <w:p w14:paraId="1142D635" w14:textId="77777777"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lang w:val="es-CR"/>
        </w:rPr>
        <w:t xml:space="preserve"> </w:t>
      </w:r>
      <w:r w:rsidRPr="00053304">
        <w:rPr>
          <w:rFonts w:ascii="Verdana" w:hAnsi="Verdana"/>
          <w:szCs w:val="16"/>
          <w:lang w:val="es-CR"/>
        </w:rPr>
        <w:tab/>
      </w:r>
      <w:r w:rsidRPr="00053304">
        <w:rPr>
          <w:rFonts w:ascii="Verdana" w:hAnsi="Verdana"/>
          <w:szCs w:val="16"/>
          <w:lang w:val="es-ES"/>
        </w:rPr>
        <w:t>El escrito firmado por Lucía G. Chávez Vargas, directora ejecutiva de la Comisión Mexicana de Defensa y Promoción de los Derechos Humanos A.C. y Javier Carrasco Solís, director ejecutivo del Instituto de Justicia Procesal Penal A.C., versa sobre el origen, contenido, alcance e impacto en los derechos humanos de la figura del arraigo en México y de la prisión preventiva oficiosa o automática.</w:t>
      </w:r>
    </w:p>
  </w:footnote>
  <w:footnote w:id="19">
    <w:p w14:paraId="4C2064C1" w14:textId="77777777"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lang w:val="es-CR"/>
        </w:rPr>
        <w:t xml:space="preserve"> </w:t>
      </w:r>
      <w:r w:rsidRPr="00053304">
        <w:rPr>
          <w:rFonts w:ascii="Verdana" w:hAnsi="Verdana"/>
          <w:szCs w:val="16"/>
          <w:lang w:val="es-CR"/>
        </w:rPr>
        <w:tab/>
      </w:r>
      <w:r w:rsidRPr="00053304">
        <w:rPr>
          <w:rFonts w:ascii="Verdana" w:hAnsi="Verdana"/>
          <w:szCs w:val="16"/>
          <w:lang w:val="es-ES"/>
        </w:rPr>
        <w:t xml:space="preserve">El escrito firmado por Rommel Sánchez Rodríguez versa sobre: a) naturaleza de la prisión preventiva oficiosa mexicana; b) la antinomia constitucional-convencional y la prevalencia de las restricciones Constitucionales, y c) los derechos implicados y la problemática de la prisión preventiva oficiosa. </w:t>
      </w:r>
    </w:p>
  </w:footnote>
  <w:footnote w:id="20">
    <w:p w14:paraId="11C60E1E" w14:textId="35A22840" w:rsidR="0044174B" w:rsidRPr="00053304" w:rsidRDefault="0044174B"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El escrito firmado por María Elisa Franco Martín del Campo, Patricia González Rodríguez, Leici López Villalobos, Luna Mancimi, Roberto Ochoa Romero y Jaime Eduardo Torres, versa sobre</w:t>
      </w:r>
      <w:r w:rsidR="00A6581B" w:rsidRPr="00053304">
        <w:rPr>
          <w:rFonts w:ascii="Verdana" w:hAnsi="Verdana"/>
          <w:szCs w:val="16"/>
        </w:rPr>
        <w:t>:</w:t>
      </w:r>
      <w:r w:rsidRPr="00053304">
        <w:rPr>
          <w:rFonts w:ascii="Verdana" w:hAnsi="Verdana"/>
          <w:szCs w:val="16"/>
        </w:rPr>
        <w:t xml:space="preserve"> a) </w:t>
      </w:r>
      <w:r w:rsidRPr="00053304">
        <w:rPr>
          <w:rFonts w:ascii="Verdana" w:hAnsi="Verdana"/>
          <w:szCs w:val="16"/>
          <w:lang w:val="es-CR"/>
        </w:rPr>
        <w:t>la figura del arraigo desde la perspectiva del derecho procesal penal; b) el marco constitucional y legal de reconocimiento del arraigo en México, y c)</w:t>
      </w:r>
      <w:r w:rsidRPr="00053304">
        <w:rPr>
          <w:rFonts w:ascii="Verdana" w:eastAsiaTheme="minorHAnsi" w:hAnsi="Verdana" w:cs="Calibri-Bold"/>
          <w:szCs w:val="16"/>
          <w:lang w:val="es-CR" w:eastAsia="en-US"/>
        </w:rPr>
        <w:t xml:space="preserve"> </w:t>
      </w:r>
      <w:r w:rsidRPr="00053304">
        <w:rPr>
          <w:rFonts w:ascii="Verdana" w:hAnsi="Verdana"/>
          <w:szCs w:val="16"/>
          <w:lang w:val="es-CR"/>
        </w:rPr>
        <w:t>el abordaje de la figura del arraigo en el amparo mexicano.</w:t>
      </w:r>
    </w:p>
  </w:footnote>
  <w:footnote w:id="21">
    <w:p w14:paraId="76184BBE" w14:textId="77777777"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 xml:space="preserve">El escrito firmado por José Mario de la Garza Marroquín, presidente de Renace Capítulo San Luis Potosí A.C., versa sobre </w:t>
      </w:r>
      <w:r w:rsidRPr="00053304">
        <w:rPr>
          <w:rFonts w:ascii="Verdana" w:hAnsi="Verdana"/>
          <w:szCs w:val="16"/>
          <w:lang w:val="es-CR"/>
        </w:rPr>
        <w:t>consideraciones fácticas y jurídicas relativas al caso García Rodríguez y otros vs. México.</w:t>
      </w:r>
    </w:p>
  </w:footnote>
  <w:footnote w:id="22">
    <w:p w14:paraId="1D1EB6BB" w14:textId="2A96AC49" w:rsidR="0044174B" w:rsidRPr="00053304" w:rsidRDefault="0044174B" w:rsidP="00053304">
      <w:pPr>
        <w:autoSpaceDE w:val="0"/>
        <w:autoSpaceDN w:val="0"/>
        <w:adjustRightInd w:val="0"/>
        <w:spacing w:before="120" w:after="120"/>
        <w:jc w:val="both"/>
        <w:rPr>
          <w:rFonts w:ascii="Verdana" w:eastAsiaTheme="minorEastAsia" w:hAnsi="Verdana" w:cs="Times-Roman"/>
          <w:sz w:val="16"/>
          <w:szCs w:val="16"/>
          <w:lang w:eastAsia="en-US"/>
        </w:rPr>
      </w:pPr>
      <w:r w:rsidRPr="00053304">
        <w:rPr>
          <w:rStyle w:val="Refdenotaalpie"/>
          <w:rFonts w:ascii="Verdana" w:hAnsi="Verdana"/>
          <w:sz w:val="16"/>
          <w:szCs w:val="16"/>
        </w:rPr>
        <w:footnoteRef/>
      </w:r>
      <w:r w:rsidRPr="00053304">
        <w:rPr>
          <w:rFonts w:ascii="Verdana" w:hAnsi="Verdana"/>
          <w:sz w:val="16"/>
          <w:szCs w:val="16"/>
        </w:rPr>
        <w:tab/>
      </w:r>
      <w:r w:rsidRPr="00053304">
        <w:rPr>
          <w:rFonts w:ascii="Verdana" w:hAnsi="Verdana"/>
          <w:sz w:val="16"/>
          <w:szCs w:val="16"/>
          <w:lang w:eastAsia="en-US"/>
        </w:rPr>
        <w:t xml:space="preserve">El escrito firmado por Moisés Augusto Montiel Mogollón, Miguel Ángel Córdova Álvarez, René Cosme Limón, Sergio Villa Ramos Y Gabriel José Ortiz Crespo, versa sobre </w:t>
      </w:r>
      <w:r w:rsidRPr="00053304">
        <w:rPr>
          <w:rFonts w:ascii="Verdana" w:eastAsiaTheme="minorEastAsia" w:hAnsi="Verdana" w:cs="Times-Roman"/>
          <w:sz w:val="16"/>
          <w:szCs w:val="16"/>
          <w:lang w:eastAsia="en-US"/>
        </w:rPr>
        <w:t xml:space="preserve">situaciones jurídicas relativas a las restricciones constitucionales a derechos humanos reconocidos por la Convención Americana sobre Derechos Humanos y su prevalencia </w:t>
      </w:r>
      <w:r w:rsidRPr="00053304">
        <w:rPr>
          <w:rFonts w:ascii="Verdana" w:eastAsiaTheme="minorEastAsia" w:hAnsi="Verdana" w:cs="Times-Italic"/>
          <w:i/>
          <w:iCs/>
          <w:sz w:val="16"/>
          <w:szCs w:val="16"/>
          <w:lang w:eastAsia="en-US"/>
        </w:rPr>
        <w:t xml:space="preserve">de facto </w:t>
      </w:r>
      <w:r w:rsidRPr="00053304">
        <w:rPr>
          <w:rFonts w:ascii="Verdana" w:eastAsiaTheme="minorEastAsia" w:hAnsi="Verdana" w:cs="Times-Roman"/>
          <w:sz w:val="16"/>
          <w:szCs w:val="16"/>
          <w:lang w:eastAsia="en-US"/>
        </w:rPr>
        <w:t xml:space="preserve">y </w:t>
      </w:r>
      <w:r w:rsidRPr="00053304">
        <w:rPr>
          <w:rFonts w:ascii="Verdana" w:eastAsiaTheme="minorEastAsia" w:hAnsi="Verdana" w:cs="Times-Italic"/>
          <w:i/>
          <w:iCs/>
          <w:sz w:val="16"/>
          <w:szCs w:val="16"/>
          <w:lang w:eastAsia="en-US"/>
        </w:rPr>
        <w:t xml:space="preserve">de jure </w:t>
      </w:r>
      <w:r w:rsidR="6E159DF8" w:rsidRPr="00053304">
        <w:rPr>
          <w:rFonts w:ascii="Verdana" w:eastAsiaTheme="minorEastAsia" w:hAnsi="Verdana" w:cs="Times-Roman"/>
          <w:sz w:val="16"/>
          <w:szCs w:val="16"/>
          <w:lang w:eastAsia="en-US"/>
        </w:rPr>
        <w:t>en el orden jurídico interno mexicano en fraude de las obligaciones convencionales de protección y garantía del Estado mexicano a partir de la reforma constitucional de 2011.</w:t>
      </w:r>
    </w:p>
  </w:footnote>
  <w:footnote w:id="23">
    <w:p w14:paraId="3E54DD67" w14:textId="77777777"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El escrito firmado por Cristian Miguel Acosta García, Britto Maleni Díaz, Jessica Bárcenas Santos, Sandra Espinosa Rizo, Saúl Alarcón Lara Luis, Andrés David Cuellar Lugo, Sara Elena Faur Ramírez, Joaquín Fuentes Jurado, Nuria Gil Serra, Gustavo Gutiérrez Bazán, Jimena Mendoza, Ximena López, Gerardo Mata, Demian Rubio, Karla Sánchez, Alejandra Suárez y Valdespino Saavedra, versa sobre el arraigo y la prisión preventiva oficiosa frente al control de convencionalidad.</w:t>
      </w:r>
    </w:p>
  </w:footnote>
  <w:footnote w:id="24">
    <w:p w14:paraId="58BE9E78" w14:textId="0B3C22A5"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 xml:space="preserve">El escrito firmado por Jorge Adrián Cruz Flores y Sofía Margarita Miranda Espinosa versa sobre la </w:t>
      </w:r>
      <w:r w:rsidR="00A6581B" w:rsidRPr="00053304">
        <w:rPr>
          <w:rFonts w:ascii="Verdana" w:hAnsi="Verdana"/>
          <w:szCs w:val="16"/>
          <w:lang w:val="es-ES"/>
        </w:rPr>
        <w:t xml:space="preserve">alegada </w:t>
      </w:r>
      <w:r w:rsidRPr="00053304">
        <w:rPr>
          <w:rFonts w:ascii="Verdana" w:hAnsi="Verdana"/>
          <w:szCs w:val="16"/>
          <w:lang w:val="es-ES"/>
        </w:rPr>
        <w:t xml:space="preserve">desviación de poder en el caso de Daniel García Rodríguez. </w:t>
      </w:r>
    </w:p>
  </w:footnote>
  <w:footnote w:id="25">
    <w:p w14:paraId="23D24A92" w14:textId="77777777"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 xml:space="preserve"> </w:t>
      </w:r>
      <w:r w:rsidRPr="00053304">
        <w:rPr>
          <w:rFonts w:ascii="Verdana" w:hAnsi="Verdana"/>
          <w:szCs w:val="16"/>
          <w:lang w:val="es-ES"/>
        </w:rPr>
        <w:tab/>
        <w:t xml:space="preserve">El escrito firmado por Emmanuel Medina Zepeda versa sobre las doctrinas de la Suprema Corte de Justicia de la Nación acerca de la figura de la prisión preventiva oficiosa. </w:t>
      </w:r>
    </w:p>
  </w:footnote>
  <w:footnote w:id="26">
    <w:p w14:paraId="558388DF" w14:textId="77777777" w:rsidR="0044174B" w:rsidRPr="00053304" w:rsidRDefault="0044174B" w:rsidP="00053304">
      <w:pPr>
        <w:pStyle w:val="Textonotapie"/>
        <w:tabs>
          <w:tab w:val="left" w:pos="0"/>
        </w:tabs>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 xml:space="preserve">El escrito firmado por Estefanía Vela Barba, Adriana E. Ortega Arriaga, Regina Isabel Mediana Rosales, María Fernanda Torres Montañez, Haydeé Gómez Avilez, Nicole Huete Guevara, Gabriela García Gorbeta y Elsa Ramos Mecott, versa sobre: a) el marco jurídico de la prisión preventiva oficiosa, b) un recuento de su historia constitucional, y c) </w:t>
      </w:r>
      <w:r w:rsidRPr="00053304">
        <w:rPr>
          <w:rFonts w:ascii="Verdana" w:hAnsi="Verdana"/>
          <w:szCs w:val="16"/>
          <w:lang w:val="es-CR"/>
        </w:rPr>
        <w:t>datos sobre la prisión preventiva en México, provenientes de las fuentes estatales más actualizadas en la materia.</w:t>
      </w:r>
    </w:p>
  </w:footnote>
  <w:footnote w:id="27">
    <w:p w14:paraId="3226B7F1" w14:textId="478F796E"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szCs w:val="16"/>
          <w:lang w:val="es-ES"/>
        </w:rPr>
        <w:t xml:space="preserve">El escrito firmado por Camila Brenda Calvo y Carlos Manuel Garrido versa sobre las </w:t>
      </w:r>
      <w:r w:rsidR="00A6581B" w:rsidRPr="00053304">
        <w:rPr>
          <w:rFonts w:ascii="Verdana" w:hAnsi="Verdana"/>
          <w:szCs w:val="16"/>
          <w:lang w:val="es-ES"/>
        </w:rPr>
        <w:t xml:space="preserve">alegadas </w:t>
      </w:r>
      <w:r w:rsidRPr="00053304">
        <w:rPr>
          <w:rFonts w:ascii="Verdana" w:hAnsi="Verdana"/>
          <w:szCs w:val="16"/>
          <w:lang w:val="es-ES"/>
        </w:rPr>
        <w:t>violaciones al debido proceso cometidas por el Estado de México contra las víctimas.</w:t>
      </w:r>
    </w:p>
  </w:footnote>
  <w:footnote w:id="28">
    <w:p w14:paraId="126B65BB" w14:textId="50B6F804"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El escrito firmado por Nashieli Ramírez, presidenta de la Comisión de Derechos Humanos de la Ciudad de México versa sobre la</w:t>
      </w:r>
      <w:r w:rsidR="00A6581B" w:rsidRPr="00053304">
        <w:rPr>
          <w:rFonts w:ascii="Verdana" w:hAnsi="Verdana"/>
          <w:szCs w:val="16"/>
          <w:lang w:val="es-ES"/>
        </w:rPr>
        <w:t xml:space="preserve"> alegada</w:t>
      </w:r>
      <w:r w:rsidRPr="00053304">
        <w:rPr>
          <w:rFonts w:ascii="Verdana" w:hAnsi="Verdana"/>
          <w:szCs w:val="16"/>
          <w:lang w:val="es-ES"/>
        </w:rPr>
        <w:t xml:space="preserve"> inconvencionalidad del arraigo y la prisión preventa oficiosa.</w:t>
      </w:r>
    </w:p>
  </w:footnote>
  <w:footnote w:id="29">
    <w:p w14:paraId="3D2A6DDB" w14:textId="715C283C" w:rsidR="0044174B" w:rsidRPr="00053304" w:rsidRDefault="0044174B" w:rsidP="00053304">
      <w:pPr>
        <w:autoSpaceDE w:val="0"/>
        <w:autoSpaceDN w:val="0"/>
        <w:adjustRightInd w:val="0"/>
        <w:spacing w:before="120" w:after="120"/>
        <w:jc w:val="both"/>
        <w:rPr>
          <w:rFonts w:ascii="Verdana" w:eastAsiaTheme="minorEastAsia" w:hAnsi="Verdana" w:cs="AvenirLTPro-Book"/>
          <w:sz w:val="16"/>
          <w:szCs w:val="16"/>
          <w:lang w:eastAsia="en-US"/>
        </w:rPr>
      </w:pPr>
      <w:r w:rsidRPr="00053304">
        <w:rPr>
          <w:rStyle w:val="Refdenotaalpie"/>
          <w:rFonts w:ascii="Verdana" w:hAnsi="Verdana"/>
          <w:sz w:val="16"/>
          <w:szCs w:val="16"/>
        </w:rPr>
        <w:footnoteRef/>
      </w:r>
      <w:r w:rsidRPr="00053304">
        <w:rPr>
          <w:rFonts w:ascii="Verdana" w:hAnsi="Verdana"/>
          <w:sz w:val="16"/>
          <w:szCs w:val="16"/>
        </w:rPr>
        <w:tab/>
      </w:r>
      <w:r w:rsidRPr="00053304">
        <w:rPr>
          <w:rFonts w:ascii="Verdana" w:hAnsi="Verdana"/>
          <w:sz w:val="16"/>
          <w:szCs w:val="16"/>
          <w:lang w:val="es-ES"/>
        </w:rPr>
        <w:t xml:space="preserve">El escrito firmado por Daniel Torres Parra, </w:t>
      </w:r>
      <w:r w:rsidRPr="00053304">
        <w:rPr>
          <w:rFonts w:ascii="Verdana" w:eastAsiaTheme="minorEastAsia" w:hAnsi="Verdana" w:cs="AvenirLTPro-Book"/>
          <w:sz w:val="16"/>
          <w:szCs w:val="16"/>
          <w:lang w:eastAsia="en-US"/>
        </w:rPr>
        <w:t xml:space="preserve">Jocelynn Pérez Aldana, Daniela Itzel Jiménez Cortes, Jesús Joaquín Sánchez Cedillo, María del Rosario Arrambide González, María Fernanda Cobo Armijo, Mónica Hernández Frayre y Leilani Hernández, versa sobre régimen de la prisión preventiva oficiosa en México y la </w:t>
      </w:r>
      <w:r w:rsidR="00A6581B" w:rsidRPr="00053304">
        <w:rPr>
          <w:rFonts w:ascii="Verdana" w:eastAsiaTheme="minorEastAsia" w:hAnsi="Verdana" w:cs="AvenirLTPro-Book"/>
          <w:sz w:val="16"/>
          <w:szCs w:val="16"/>
          <w:lang w:eastAsia="en-US"/>
        </w:rPr>
        <w:t xml:space="preserve">alegada </w:t>
      </w:r>
      <w:r w:rsidRPr="00053304">
        <w:rPr>
          <w:rFonts w:ascii="Verdana" w:eastAsiaTheme="minorEastAsia" w:hAnsi="Verdana" w:cs="AvenirLTPro-Book"/>
          <w:sz w:val="16"/>
          <w:szCs w:val="16"/>
          <w:lang w:eastAsia="en-US"/>
        </w:rPr>
        <w:t>inconvencionalidad para su imposición</w:t>
      </w:r>
      <w:r w:rsidRPr="00053304">
        <w:rPr>
          <w:rFonts w:ascii="Verdana" w:eastAsia="ArialMT" w:hAnsi="Verdana" w:cs="ArialMT"/>
          <w:sz w:val="16"/>
          <w:szCs w:val="16"/>
          <w:lang w:eastAsia="en-US"/>
        </w:rPr>
        <w:t xml:space="preserve">‚ </w:t>
      </w:r>
      <w:r w:rsidR="6E159DF8" w:rsidRPr="00053304">
        <w:rPr>
          <w:rFonts w:ascii="Verdana" w:eastAsiaTheme="minorEastAsia" w:hAnsi="Verdana" w:cs="AvenirLTPro-Book"/>
          <w:sz w:val="16"/>
          <w:szCs w:val="16"/>
          <w:lang w:eastAsia="en-US"/>
        </w:rPr>
        <w:t xml:space="preserve">revisión y cambio en el marco del caso “García Rodríguez y Reyes Alpízar Vs. México”. </w:t>
      </w:r>
    </w:p>
  </w:footnote>
  <w:footnote w:id="30">
    <w:p w14:paraId="1FC549DF" w14:textId="77777777"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szCs w:val="16"/>
          <w:lang w:val="es-ES"/>
        </w:rPr>
        <w:t xml:space="preserve">El escrito firmado por Misael de la Rosa García pretende contribuir </w:t>
      </w:r>
      <w:r w:rsidRPr="00053304">
        <w:rPr>
          <w:rFonts w:ascii="Verdana" w:hAnsi="Verdana"/>
          <w:szCs w:val="16"/>
          <w:lang w:val="es-CR"/>
        </w:rPr>
        <w:t>a la generación de argumentos que abonen a la resolución en el caso García Rodríguez y Alpízar Ortiz vs México.</w:t>
      </w:r>
    </w:p>
  </w:footnote>
  <w:footnote w:id="31">
    <w:p w14:paraId="6EAFA549" w14:textId="77777777" w:rsidR="0044174B" w:rsidRPr="00053304" w:rsidRDefault="0044174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szCs w:val="16"/>
          <w:lang w:val="es-ES"/>
        </w:rPr>
        <w:t xml:space="preserve">El escrito firmado por Jorge Santiago Aguirre Espinosa versa sobre </w:t>
      </w:r>
      <w:r w:rsidRPr="00053304">
        <w:rPr>
          <w:rFonts w:ascii="Verdana" w:hAnsi="Verdana"/>
          <w:szCs w:val="16"/>
          <w:lang w:val="es-CR"/>
        </w:rPr>
        <w:t>sobre la obligación de las autoridades mexicanas de excluir en el proceso penal las pruebas obtenidas bajo tortura, tratos crueles e inhumanos u otros actos de coacción, conforme a las normas y estándares nacionales en la materia.</w:t>
      </w:r>
    </w:p>
  </w:footnote>
  <w:footnote w:id="32">
    <w:p w14:paraId="6364C0FA" w14:textId="7DE97157" w:rsidR="0044174B" w:rsidRPr="00053304" w:rsidRDefault="0044174B"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szCs w:val="16"/>
          <w:lang w:val="es-ES"/>
        </w:rPr>
        <w:t xml:space="preserve">El escrito firmado por Roberto Borges Zurita, </w:t>
      </w:r>
      <w:r w:rsidRPr="00053304">
        <w:rPr>
          <w:rFonts w:ascii="Verdana" w:hAnsi="Verdana"/>
          <w:szCs w:val="16"/>
          <w:lang w:val="es-CR"/>
        </w:rPr>
        <w:t>profesor adscrito a la Universidad Autónoma de Tlaxcala, versa sobre</w:t>
      </w:r>
      <w:r w:rsidR="00A6581B" w:rsidRPr="00053304">
        <w:rPr>
          <w:rFonts w:ascii="Verdana" w:hAnsi="Verdana"/>
          <w:szCs w:val="16"/>
          <w:lang w:val="es-CR"/>
        </w:rPr>
        <w:t>:</w:t>
      </w:r>
      <w:r w:rsidRPr="00053304">
        <w:rPr>
          <w:rFonts w:ascii="Verdana" w:hAnsi="Verdana"/>
          <w:szCs w:val="16"/>
          <w:lang w:val="es-CR"/>
        </w:rPr>
        <w:t xml:space="preserve"> a) la figura del arraigo y la prisión preventiva oficiosa en México; b) algunas conductas estatales que considera deben ser de conocimiento de la Corte</w:t>
      </w:r>
      <w:r w:rsidR="00A6581B" w:rsidRPr="00053304">
        <w:rPr>
          <w:rFonts w:ascii="Verdana" w:hAnsi="Verdana"/>
          <w:szCs w:val="16"/>
          <w:lang w:val="es-CR"/>
        </w:rPr>
        <w:t>, y</w:t>
      </w:r>
      <w:r w:rsidRPr="00053304">
        <w:rPr>
          <w:rFonts w:ascii="Verdana" w:hAnsi="Verdana"/>
          <w:szCs w:val="16"/>
          <w:lang w:val="es-CR"/>
        </w:rPr>
        <w:t xml:space="preserve"> c) sobre los derechos que estim</w:t>
      </w:r>
      <w:r w:rsidR="00A6581B" w:rsidRPr="00053304">
        <w:rPr>
          <w:rFonts w:ascii="Verdana" w:hAnsi="Verdana"/>
          <w:szCs w:val="16"/>
          <w:lang w:val="es-CR"/>
        </w:rPr>
        <w:t>ó</w:t>
      </w:r>
      <w:r w:rsidRPr="00053304">
        <w:rPr>
          <w:rFonts w:ascii="Verdana" w:hAnsi="Verdana"/>
          <w:szCs w:val="16"/>
          <w:lang w:val="es-CR"/>
        </w:rPr>
        <w:t xml:space="preserve"> </w:t>
      </w:r>
      <w:r w:rsidRPr="00053304">
        <w:rPr>
          <w:rFonts w:ascii="Verdana" w:hAnsi="Verdana"/>
          <w:i/>
          <w:iCs/>
          <w:szCs w:val="16"/>
          <w:lang w:val="es-CR"/>
        </w:rPr>
        <w:t>violados por el Estado mexicano en el Caso Tzompaxtle Tecpile y otros vs México</w:t>
      </w:r>
      <w:r w:rsidR="3BF92891" w:rsidRPr="00053304">
        <w:rPr>
          <w:rFonts w:ascii="Verdana" w:hAnsi="Verdana"/>
          <w:szCs w:val="16"/>
          <w:lang w:val="es-CR"/>
        </w:rPr>
        <w:t xml:space="preserve">, con la finalidad de que este documento igualmente constituya una visión </w:t>
      </w:r>
      <w:r w:rsidR="3BF92891" w:rsidRPr="00053304">
        <w:rPr>
          <w:rFonts w:ascii="Verdana" w:hAnsi="Verdana"/>
          <w:i/>
          <w:iCs/>
          <w:szCs w:val="16"/>
          <w:lang w:val="es-CR"/>
        </w:rPr>
        <w:t xml:space="preserve">a posteriori </w:t>
      </w:r>
      <w:r w:rsidR="3BF92891" w:rsidRPr="00053304">
        <w:rPr>
          <w:rFonts w:ascii="Verdana" w:hAnsi="Verdana"/>
          <w:szCs w:val="16"/>
          <w:lang w:val="es-CR"/>
        </w:rPr>
        <w:t>de política criminal tendiente a evitar que la autoridad y los agentes estatales cometan violaciones a derechos humanos.</w:t>
      </w:r>
    </w:p>
  </w:footnote>
  <w:footnote w:id="33">
    <w:p w14:paraId="0CCF29ED" w14:textId="0C8C0EB4" w:rsidR="00DA017B" w:rsidRPr="00053304" w:rsidRDefault="00DA017B" w:rsidP="00053304">
      <w:pPr>
        <w:pStyle w:val="Textonotapie"/>
        <w:jc w:val="both"/>
        <w:rPr>
          <w:rFonts w:ascii="Verdana" w:hAnsi="Verdana"/>
          <w:szCs w:val="16"/>
          <w:lang w:val="es-ES"/>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lang w:val="es-ES"/>
        </w:rPr>
        <w:tab/>
      </w:r>
      <w:r w:rsidR="40DDB40B" w:rsidRPr="00053304">
        <w:rPr>
          <w:rFonts w:ascii="Verdana" w:hAnsi="Verdana"/>
          <w:i/>
          <w:iCs/>
          <w:szCs w:val="16"/>
          <w:lang w:val="es-ES"/>
        </w:rPr>
        <w:t>Cfr. Caso Baena Ricardo y otros Vs. Panamá</w:t>
      </w:r>
      <w:r w:rsidR="3BF92891" w:rsidRPr="00053304">
        <w:rPr>
          <w:rFonts w:ascii="Verdana" w:hAnsi="Verdana"/>
          <w:i/>
          <w:iCs/>
          <w:szCs w:val="16"/>
          <w:lang w:val="es-ES"/>
        </w:rPr>
        <w:t>.</w:t>
      </w:r>
      <w:r w:rsidR="40DDB40B" w:rsidRPr="00053304">
        <w:rPr>
          <w:rFonts w:ascii="Verdana" w:hAnsi="Verdana"/>
          <w:szCs w:val="16"/>
          <w:lang w:val="es-ES"/>
        </w:rPr>
        <w:t xml:space="preserve"> </w:t>
      </w:r>
      <w:r w:rsidR="3BF92891" w:rsidRPr="00053304">
        <w:rPr>
          <w:rFonts w:ascii="Verdana" w:hAnsi="Verdana"/>
          <w:i/>
          <w:iCs/>
          <w:szCs w:val="16"/>
          <w:lang w:val="es-ES"/>
        </w:rPr>
        <w:t>Excepciones Preliminares.</w:t>
      </w:r>
      <w:r w:rsidR="3BF92891" w:rsidRPr="00053304">
        <w:rPr>
          <w:rFonts w:ascii="Verdana" w:hAnsi="Verdana"/>
          <w:szCs w:val="16"/>
          <w:lang w:val="es-ES"/>
        </w:rPr>
        <w:t xml:space="preserve"> Sentencia de 18 de noviembre de 1999, Serie C No. 104, </w:t>
      </w:r>
      <w:r w:rsidR="40DDB40B" w:rsidRPr="00053304">
        <w:rPr>
          <w:rFonts w:ascii="Verdana" w:hAnsi="Verdana"/>
          <w:szCs w:val="16"/>
          <w:lang w:val="es-ES"/>
        </w:rPr>
        <w:t xml:space="preserve">párr. 53; </w:t>
      </w:r>
      <w:r w:rsidR="40DDB40B" w:rsidRPr="00053304">
        <w:rPr>
          <w:rFonts w:ascii="Verdana" w:hAnsi="Verdana"/>
          <w:i/>
          <w:iCs/>
          <w:szCs w:val="16"/>
          <w:lang w:val="es-ES"/>
        </w:rPr>
        <w:t>Caso J. Vs. Perú</w:t>
      </w:r>
      <w:r w:rsidR="3BF92891" w:rsidRPr="00053304">
        <w:rPr>
          <w:rFonts w:ascii="Verdana" w:hAnsi="Verdana"/>
          <w:i/>
          <w:iCs/>
          <w:szCs w:val="16"/>
          <w:lang w:val="es-ES"/>
        </w:rPr>
        <w:t>.</w:t>
      </w:r>
      <w:r w:rsidR="00795815" w:rsidRPr="00053304">
        <w:rPr>
          <w:rFonts w:ascii="Verdana" w:hAnsi="Verdana"/>
          <w:szCs w:val="16"/>
          <w:lang w:val="es-ES"/>
        </w:rPr>
        <w:t xml:space="preserve"> </w:t>
      </w:r>
      <w:r w:rsidR="3BF92891" w:rsidRPr="00053304">
        <w:rPr>
          <w:rFonts w:ascii="Verdana" w:hAnsi="Verdana"/>
          <w:i/>
          <w:iCs/>
          <w:szCs w:val="16"/>
          <w:lang w:val="es-ES"/>
        </w:rPr>
        <w:t xml:space="preserve">Excepción Preliminar, Fondo, Reparaciones y Costas. </w:t>
      </w:r>
      <w:r w:rsidR="3BF92891" w:rsidRPr="00053304">
        <w:rPr>
          <w:rFonts w:ascii="Verdana" w:hAnsi="Verdana"/>
          <w:szCs w:val="16"/>
          <w:lang w:val="es-ES"/>
        </w:rPr>
        <w:t>Sentencia de</w:t>
      </w:r>
      <w:r w:rsidR="3BF92891" w:rsidRPr="00053304">
        <w:rPr>
          <w:rFonts w:ascii="Verdana" w:hAnsi="Verdana"/>
          <w:i/>
          <w:iCs/>
          <w:szCs w:val="16"/>
          <w:lang w:val="es-ES"/>
        </w:rPr>
        <w:t xml:space="preserve"> </w:t>
      </w:r>
      <w:r w:rsidR="3BF92891" w:rsidRPr="00053304">
        <w:rPr>
          <w:rFonts w:ascii="Verdana" w:hAnsi="Verdana"/>
          <w:szCs w:val="16"/>
          <w:lang w:val="es-ES"/>
        </w:rPr>
        <w:t xml:space="preserve">27 de noviembre de 2013, Serie C No. 275, </w:t>
      </w:r>
      <w:r w:rsidR="40DDB40B" w:rsidRPr="00053304">
        <w:rPr>
          <w:rFonts w:ascii="Verdana" w:hAnsi="Verdana"/>
          <w:szCs w:val="16"/>
          <w:lang w:val="es-ES"/>
        </w:rPr>
        <w:t>párr. 30,</w:t>
      </w:r>
      <w:r w:rsidR="40DDB40B" w:rsidRPr="00053304">
        <w:rPr>
          <w:rFonts w:ascii="Verdana" w:eastAsia="Verdana" w:hAnsi="Verdana" w:cs="Verdana"/>
          <w:szCs w:val="16"/>
          <w:lang w:val="es-ES"/>
        </w:rPr>
        <w:t xml:space="preserve"> y </w:t>
      </w:r>
      <w:r w:rsidR="006A6F7A" w:rsidRPr="00053304">
        <w:rPr>
          <w:rFonts w:ascii="Verdana" w:eastAsia="Verdana" w:hAnsi="Verdana" w:cs="Verdana"/>
          <w:i/>
          <w:iCs/>
          <w:szCs w:val="16"/>
          <w:lang w:val="es-ES"/>
        </w:rPr>
        <w:t>Caso Integrantes y Militantes de la Unión Patriótica Vs. Colombia</w:t>
      </w:r>
      <w:r w:rsidR="006A6F7A" w:rsidRPr="00053304">
        <w:rPr>
          <w:rFonts w:ascii="Verdana" w:eastAsia="Verdana" w:hAnsi="Verdana" w:cs="Verdana"/>
          <w:szCs w:val="16"/>
          <w:lang w:val="es-ES"/>
        </w:rPr>
        <w:t>.</w:t>
      </w:r>
      <w:r w:rsidR="006A6F7A" w:rsidRPr="00053304">
        <w:rPr>
          <w:rFonts w:ascii="Verdana" w:eastAsia="Verdana" w:hAnsi="Verdana" w:cs="Verdana"/>
          <w:i/>
          <w:iCs/>
          <w:szCs w:val="16"/>
          <w:lang w:val="es-ES"/>
        </w:rPr>
        <w:t xml:space="preserve"> </w:t>
      </w:r>
      <w:r w:rsidR="006A6F7A" w:rsidRPr="00053304">
        <w:rPr>
          <w:rFonts w:ascii="Verdana" w:eastAsia="Verdana" w:hAnsi="Verdana" w:cs="Verdana"/>
          <w:szCs w:val="16"/>
          <w:lang w:val="es-ES"/>
        </w:rPr>
        <w:t>Excepciones Preliminares, Fondo, Reparaciones y Costas. Sentencia de 27 de julio de 2022. Serie C No. 455</w:t>
      </w:r>
      <w:r w:rsidR="3BF92891" w:rsidRPr="00053304">
        <w:rPr>
          <w:rFonts w:ascii="Verdana" w:eastAsia="Verdana" w:hAnsi="Verdana" w:cs="Verdana"/>
          <w:szCs w:val="16"/>
          <w:lang w:val="es-ES"/>
        </w:rPr>
        <w:t xml:space="preserve">, párr. </w:t>
      </w:r>
      <w:r w:rsidR="006A6F7A" w:rsidRPr="00053304">
        <w:rPr>
          <w:rFonts w:ascii="Verdana" w:eastAsia="Verdana" w:hAnsi="Verdana" w:cs="Verdana"/>
          <w:szCs w:val="16"/>
          <w:lang w:val="es-ES"/>
        </w:rPr>
        <w:t>119</w:t>
      </w:r>
      <w:r w:rsidR="40DDB40B" w:rsidRPr="00053304">
        <w:rPr>
          <w:rFonts w:ascii="Verdana" w:hAnsi="Verdana"/>
          <w:szCs w:val="16"/>
          <w:lang w:val="es-ES"/>
        </w:rPr>
        <w:t>.</w:t>
      </w:r>
    </w:p>
  </w:footnote>
  <w:footnote w:id="34">
    <w:p w14:paraId="00B65F6B" w14:textId="741CB467" w:rsidR="009010F3" w:rsidRPr="00053304" w:rsidRDefault="009010F3"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En particular, los representantes hicieron referencia a un alegato sobre el contexto político y sobre desviación de poder (</w:t>
      </w:r>
      <w:r w:rsidRPr="00053304">
        <w:rPr>
          <w:rFonts w:ascii="Verdana" w:hAnsi="Verdana"/>
          <w:i/>
          <w:iCs/>
          <w:szCs w:val="16"/>
        </w:rPr>
        <w:t>infra</w:t>
      </w:r>
      <w:r w:rsidRPr="00053304">
        <w:rPr>
          <w:rFonts w:ascii="Verdana" w:hAnsi="Verdana"/>
          <w:szCs w:val="16"/>
        </w:rPr>
        <w:t xml:space="preserve"> párr. </w:t>
      </w:r>
      <w:r w:rsidR="00875291" w:rsidRPr="00053304">
        <w:rPr>
          <w:rFonts w:ascii="Verdana" w:hAnsi="Verdana"/>
          <w:szCs w:val="16"/>
        </w:rPr>
        <w:t>45</w:t>
      </w:r>
      <w:r w:rsidRPr="00053304">
        <w:rPr>
          <w:rFonts w:ascii="Verdana" w:hAnsi="Verdana"/>
          <w:szCs w:val="16"/>
        </w:rPr>
        <w:t>).</w:t>
      </w:r>
    </w:p>
  </w:footnote>
  <w:footnote w:id="35">
    <w:p w14:paraId="74C0FE19" w14:textId="52D39E5B" w:rsidR="006A351E" w:rsidRPr="00053304" w:rsidRDefault="006A351E" w:rsidP="00053304">
      <w:pPr>
        <w:pStyle w:val="Textonotapie"/>
        <w:jc w:val="both"/>
        <w:rPr>
          <w:rFonts w:ascii="Verdana" w:hAnsi="Verdana"/>
          <w:szCs w:val="16"/>
          <w:lang w:val="es-ES"/>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lang w:val="es-ES"/>
        </w:rPr>
        <w:tab/>
      </w:r>
      <w:r w:rsidR="40DDB40B" w:rsidRPr="00053304">
        <w:rPr>
          <w:rFonts w:ascii="Verdana" w:hAnsi="Verdana"/>
          <w:szCs w:val="16"/>
          <w:lang w:val="es-ES"/>
        </w:rPr>
        <w:t xml:space="preserve">En el </w:t>
      </w:r>
      <w:r w:rsidR="40DDB40B" w:rsidRPr="00053304">
        <w:rPr>
          <w:rFonts w:ascii="Verdana" w:hAnsi="Verdana"/>
          <w:i/>
          <w:iCs/>
          <w:szCs w:val="16"/>
          <w:lang w:val="es-ES"/>
        </w:rPr>
        <w:t xml:space="preserve">caso Tzompaxtle Tecpíle y Otros Vs. México, </w:t>
      </w:r>
      <w:r w:rsidR="40DDB40B" w:rsidRPr="00053304">
        <w:rPr>
          <w:rFonts w:ascii="Verdana" w:hAnsi="Verdana"/>
          <w:szCs w:val="16"/>
          <w:lang w:val="es-ES"/>
        </w:rPr>
        <w:t xml:space="preserve">el Estado había presentado una excepción de similar naturaleza en donde también se hizo alusión a recomendaciones del GTDA. Sin embargo, en el trámite del caso renunció a esa excepción preliminar que había planteado. </w:t>
      </w:r>
      <w:r w:rsidR="40DDB40B" w:rsidRPr="00053304">
        <w:rPr>
          <w:rFonts w:ascii="Verdana" w:hAnsi="Verdana"/>
          <w:i/>
          <w:iCs/>
          <w:szCs w:val="16"/>
          <w:lang w:val="es-ES"/>
        </w:rPr>
        <w:t>Cfr. Tzompaxtle Tecpíle y Otros Vs. México.</w:t>
      </w:r>
      <w:r w:rsidR="40DDB40B" w:rsidRPr="00053304">
        <w:rPr>
          <w:rFonts w:ascii="Verdana" w:hAnsi="Verdana"/>
          <w:szCs w:val="16"/>
          <w:lang w:val="es-ES"/>
        </w:rPr>
        <w:t xml:space="preserve"> </w:t>
      </w:r>
      <w:r w:rsidR="40DDB40B" w:rsidRPr="00053304">
        <w:rPr>
          <w:rFonts w:ascii="Verdana" w:hAnsi="Verdana"/>
          <w:i/>
          <w:iCs/>
          <w:szCs w:val="16"/>
          <w:lang w:val="es-ES"/>
        </w:rPr>
        <w:t>Excepción Preliminar, Fondo, Reparaciones y Costas,</w:t>
      </w:r>
      <w:r w:rsidR="40DDB40B" w:rsidRPr="00053304">
        <w:rPr>
          <w:rFonts w:ascii="Verdana" w:hAnsi="Verdana"/>
          <w:szCs w:val="16"/>
          <w:lang w:val="es-ES"/>
        </w:rPr>
        <w:t xml:space="preserve"> Sentencia de 7 de noviembre de 2022. Serie C No. 470, párr. 30.</w:t>
      </w:r>
    </w:p>
  </w:footnote>
  <w:footnote w:id="36">
    <w:p w14:paraId="455491DF" w14:textId="03FD26D6" w:rsidR="00E12EC0" w:rsidRPr="00053304" w:rsidRDefault="00E12EC0"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Explicó que</w:t>
      </w:r>
      <w:r w:rsidR="004E2FBF" w:rsidRPr="00053304">
        <w:rPr>
          <w:rFonts w:ascii="Verdana" w:hAnsi="Verdana"/>
          <w:szCs w:val="16"/>
          <w:lang w:val="es-ES"/>
        </w:rPr>
        <w:t>,</w:t>
      </w:r>
      <w:r w:rsidRPr="00053304">
        <w:rPr>
          <w:rFonts w:ascii="Verdana" w:hAnsi="Verdana"/>
          <w:szCs w:val="16"/>
          <w:lang w:val="es-ES"/>
        </w:rPr>
        <w:t xml:space="preserve"> para el momento de la consideración de la admisibilidad de la petición, habían transcurrido catorce años desde que las presuntas víctimas habían sido detenidas, sin que para ese entonces se hubiera dictado sentencia definitiva que ponga fin al proceso penal al cual se hallaban vinculadas. Agregó que conforme la información aportada por el Estado, el proceso judicial aun continua en trámite, habiéndose dictado una decisión de primera instancia el 12 de mayo de 2022.</w:t>
      </w:r>
    </w:p>
  </w:footnote>
  <w:footnote w:id="37">
    <w:p w14:paraId="70452E2F" w14:textId="5E89FC08" w:rsidR="00E12EC0" w:rsidRPr="00053304" w:rsidRDefault="00E12EC0"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 xml:space="preserve">Recordó que, en el caso de Reyes Alpízar, a pesar de haberse denunciado oportunamente los hechos al poco tiempo de haber sido detenido y de tener el Estado mexicano conocimiento de dichas denuncias, la correspondiente investigación penal no se inició sino </w:t>
      </w:r>
      <w:r w:rsidR="005B640D" w:rsidRPr="00053304">
        <w:rPr>
          <w:rFonts w:ascii="Verdana" w:hAnsi="Verdana"/>
          <w:szCs w:val="16"/>
          <w:lang w:val="es-ES"/>
        </w:rPr>
        <w:t xml:space="preserve">hasta </w:t>
      </w:r>
      <w:r w:rsidRPr="00053304">
        <w:rPr>
          <w:rFonts w:ascii="Verdana" w:hAnsi="Verdana"/>
          <w:szCs w:val="16"/>
          <w:lang w:val="es-ES"/>
        </w:rPr>
        <w:t xml:space="preserve">cinco años después. En lo que respecta García Rodríguez, la Comisión observó que, desde su declaración inicial en el proceso, tomada el mismo día en que fue detenido, la víctima denunció haber sido amenazado </w:t>
      </w:r>
      <w:r w:rsidR="005B640D" w:rsidRPr="00053304">
        <w:rPr>
          <w:rFonts w:ascii="Verdana" w:hAnsi="Verdana"/>
          <w:szCs w:val="16"/>
          <w:lang w:val="es-ES"/>
        </w:rPr>
        <w:t xml:space="preserve">con la finalidad de que se </w:t>
      </w:r>
      <w:r w:rsidRPr="00053304">
        <w:rPr>
          <w:rFonts w:ascii="Verdana" w:hAnsi="Verdana"/>
          <w:szCs w:val="16"/>
          <w:lang w:val="es-ES"/>
        </w:rPr>
        <w:t>autoincriminar</w:t>
      </w:r>
      <w:r w:rsidR="005B640D" w:rsidRPr="00053304">
        <w:rPr>
          <w:rFonts w:ascii="Verdana" w:hAnsi="Verdana"/>
          <w:szCs w:val="16"/>
          <w:lang w:val="es-ES"/>
        </w:rPr>
        <w:t xml:space="preserve">a </w:t>
      </w:r>
      <w:r w:rsidRPr="00053304">
        <w:rPr>
          <w:rFonts w:ascii="Verdana" w:hAnsi="Verdana"/>
          <w:szCs w:val="16"/>
          <w:lang w:val="es-ES"/>
        </w:rPr>
        <w:t xml:space="preserve">a cambio de que familiares suyos no </w:t>
      </w:r>
      <w:r w:rsidR="00A00FD3" w:rsidRPr="00053304">
        <w:rPr>
          <w:rFonts w:ascii="Verdana" w:hAnsi="Verdana"/>
          <w:szCs w:val="16"/>
          <w:lang w:val="es-ES"/>
        </w:rPr>
        <w:t>fuera</w:t>
      </w:r>
      <w:r w:rsidRPr="00053304">
        <w:rPr>
          <w:rFonts w:ascii="Verdana" w:hAnsi="Verdana"/>
          <w:szCs w:val="16"/>
          <w:lang w:val="es-ES"/>
        </w:rPr>
        <w:t>n arraigados. Sin embargo, la Comisión not</w:t>
      </w:r>
      <w:r w:rsidR="005B640D" w:rsidRPr="00053304">
        <w:rPr>
          <w:rFonts w:ascii="Verdana" w:hAnsi="Verdana"/>
          <w:szCs w:val="16"/>
          <w:lang w:val="es-ES"/>
        </w:rPr>
        <w:t>ó</w:t>
      </w:r>
      <w:r w:rsidRPr="00053304">
        <w:rPr>
          <w:rFonts w:ascii="Verdana" w:hAnsi="Verdana"/>
          <w:szCs w:val="16"/>
          <w:lang w:val="es-ES"/>
        </w:rPr>
        <w:t xml:space="preserve"> que las primeras diligencias investigativas, y en particular, los peritajes médicos</w:t>
      </w:r>
      <w:r w:rsidR="005B640D" w:rsidRPr="00053304">
        <w:rPr>
          <w:rFonts w:ascii="Verdana" w:hAnsi="Verdana"/>
          <w:szCs w:val="16"/>
          <w:lang w:val="es-ES"/>
        </w:rPr>
        <w:t>,</w:t>
      </w:r>
      <w:r w:rsidRPr="00053304">
        <w:rPr>
          <w:rFonts w:ascii="Verdana" w:hAnsi="Verdana"/>
          <w:szCs w:val="16"/>
          <w:lang w:val="es-ES"/>
        </w:rPr>
        <w:t xml:space="preserve"> tuvieron lugar recién en el año 2015.</w:t>
      </w:r>
    </w:p>
  </w:footnote>
  <w:footnote w:id="38">
    <w:p w14:paraId="2F241C96" w14:textId="39E19D73" w:rsidR="00DA7C05" w:rsidRPr="00053304" w:rsidRDefault="00DA7C05" w:rsidP="00053304">
      <w:pPr>
        <w:pStyle w:val="Textonotapie"/>
        <w:jc w:val="both"/>
        <w:rPr>
          <w:rFonts w:ascii="Verdana" w:hAnsi="Verdana"/>
          <w:szCs w:val="16"/>
          <w:lang w:val="es-ES"/>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lang w:val="es-ES"/>
        </w:rPr>
        <w:tab/>
      </w:r>
      <w:r w:rsidR="40DDB40B" w:rsidRPr="00053304">
        <w:rPr>
          <w:rFonts w:ascii="Verdana" w:hAnsi="Verdana"/>
          <w:i/>
          <w:iCs/>
          <w:spacing w:val="-2"/>
          <w:szCs w:val="16"/>
          <w:lang w:val="es-CR"/>
        </w:rPr>
        <w:t>Cfr.</w:t>
      </w:r>
      <w:r w:rsidR="40DDB40B" w:rsidRPr="00053304">
        <w:rPr>
          <w:rFonts w:ascii="Verdana" w:hAnsi="Verdana"/>
          <w:i/>
          <w:iCs/>
          <w:spacing w:val="-9"/>
          <w:szCs w:val="16"/>
          <w:lang w:val="es-CR"/>
        </w:rPr>
        <w:t xml:space="preserve"> </w:t>
      </w:r>
      <w:r w:rsidR="40DDB40B" w:rsidRPr="00053304">
        <w:rPr>
          <w:rFonts w:ascii="Verdana" w:hAnsi="Verdana"/>
          <w:i/>
          <w:iCs/>
          <w:spacing w:val="-2"/>
          <w:szCs w:val="16"/>
          <w:lang w:val="es-CR"/>
        </w:rPr>
        <w:t>Caso</w:t>
      </w:r>
      <w:r w:rsidR="40DDB40B" w:rsidRPr="00053304">
        <w:rPr>
          <w:rFonts w:ascii="Verdana" w:hAnsi="Verdana"/>
          <w:i/>
          <w:iCs/>
          <w:spacing w:val="-7"/>
          <w:szCs w:val="16"/>
          <w:lang w:val="es-CR"/>
        </w:rPr>
        <w:t xml:space="preserve"> </w:t>
      </w:r>
      <w:r w:rsidR="40DDB40B" w:rsidRPr="00053304">
        <w:rPr>
          <w:rFonts w:ascii="Verdana" w:hAnsi="Verdana"/>
          <w:i/>
          <w:iCs/>
          <w:spacing w:val="-2"/>
          <w:szCs w:val="16"/>
          <w:lang w:val="es-CR"/>
        </w:rPr>
        <w:t>Velásquez</w:t>
      </w:r>
      <w:r w:rsidR="40DDB40B" w:rsidRPr="00053304">
        <w:rPr>
          <w:rFonts w:ascii="Verdana" w:hAnsi="Verdana"/>
          <w:i/>
          <w:iCs/>
          <w:spacing w:val="-9"/>
          <w:szCs w:val="16"/>
          <w:lang w:val="es-CR"/>
        </w:rPr>
        <w:t xml:space="preserve"> </w:t>
      </w:r>
      <w:r w:rsidR="40DDB40B" w:rsidRPr="00053304">
        <w:rPr>
          <w:rFonts w:ascii="Verdana" w:hAnsi="Verdana"/>
          <w:i/>
          <w:iCs/>
          <w:spacing w:val="-2"/>
          <w:szCs w:val="16"/>
          <w:lang w:val="es-CR"/>
        </w:rPr>
        <w:t>Rodríguez</w:t>
      </w:r>
      <w:r w:rsidR="40DDB40B" w:rsidRPr="00053304">
        <w:rPr>
          <w:rFonts w:ascii="Verdana" w:hAnsi="Verdana"/>
          <w:i/>
          <w:iCs/>
          <w:spacing w:val="-11"/>
          <w:szCs w:val="16"/>
          <w:lang w:val="es-CR"/>
        </w:rPr>
        <w:t xml:space="preserve"> </w:t>
      </w:r>
      <w:r w:rsidR="40DDB40B" w:rsidRPr="00053304">
        <w:rPr>
          <w:rFonts w:ascii="Verdana" w:hAnsi="Verdana"/>
          <w:i/>
          <w:iCs/>
          <w:spacing w:val="-2"/>
          <w:szCs w:val="16"/>
          <w:lang w:val="es-CR"/>
        </w:rPr>
        <w:t>Vs.</w:t>
      </w:r>
      <w:r w:rsidR="40DDB40B" w:rsidRPr="00053304">
        <w:rPr>
          <w:rFonts w:ascii="Verdana" w:hAnsi="Verdana"/>
          <w:i/>
          <w:iCs/>
          <w:spacing w:val="-9"/>
          <w:szCs w:val="16"/>
          <w:lang w:val="es-CR"/>
        </w:rPr>
        <w:t xml:space="preserve"> </w:t>
      </w:r>
      <w:r w:rsidR="40DDB40B" w:rsidRPr="00053304">
        <w:rPr>
          <w:rFonts w:ascii="Verdana" w:hAnsi="Verdana"/>
          <w:i/>
          <w:iCs/>
          <w:spacing w:val="-2"/>
          <w:szCs w:val="16"/>
          <w:lang w:val="es-CR"/>
        </w:rPr>
        <w:t>Honduras.</w:t>
      </w:r>
      <w:r w:rsidR="40DDB40B" w:rsidRPr="00053304">
        <w:rPr>
          <w:rFonts w:ascii="Verdana" w:hAnsi="Verdana"/>
          <w:i/>
          <w:iCs/>
          <w:spacing w:val="-9"/>
          <w:szCs w:val="16"/>
          <w:lang w:val="es-CR"/>
        </w:rPr>
        <w:t xml:space="preserve"> </w:t>
      </w:r>
      <w:r w:rsidR="40DDB40B" w:rsidRPr="00053304">
        <w:rPr>
          <w:rFonts w:ascii="Verdana" w:hAnsi="Verdana"/>
          <w:i/>
          <w:iCs/>
          <w:spacing w:val="-2"/>
          <w:szCs w:val="16"/>
          <w:lang w:val="es-CR"/>
        </w:rPr>
        <w:t>Excepciones</w:t>
      </w:r>
      <w:r w:rsidR="40DDB40B" w:rsidRPr="00053304">
        <w:rPr>
          <w:rFonts w:ascii="Verdana" w:hAnsi="Verdana"/>
          <w:i/>
          <w:iCs/>
          <w:spacing w:val="-8"/>
          <w:szCs w:val="16"/>
          <w:lang w:val="es-CR"/>
        </w:rPr>
        <w:t xml:space="preserve"> </w:t>
      </w:r>
      <w:r w:rsidR="40DDB40B" w:rsidRPr="00053304">
        <w:rPr>
          <w:rFonts w:ascii="Verdana" w:hAnsi="Verdana"/>
          <w:i/>
          <w:iCs/>
          <w:spacing w:val="-2"/>
          <w:szCs w:val="16"/>
          <w:lang w:val="es-CR"/>
        </w:rPr>
        <w:t>Preliminares,</w:t>
      </w:r>
      <w:r w:rsidR="40DDB40B" w:rsidRPr="00053304">
        <w:rPr>
          <w:rFonts w:ascii="Verdana" w:hAnsi="Verdana"/>
          <w:i/>
          <w:iCs/>
          <w:spacing w:val="-9"/>
          <w:szCs w:val="16"/>
          <w:lang w:val="es-CR"/>
        </w:rPr>
        <w:t xml:space="preserve"> </w:t>
      </w:r>
      <w:r w:rsidR="3BF92891" w:rsidRPr="00053304">
        <w:rPr>
          <w:rFonts w:ascii="Verdana" w:hAnsi="Verdana"/>
          <w:szCs w:val="16"/>
          <w:lang w:val="es-CR"/>
        </w:rPr>
        <w:t>Sentencia de 26 de junio de 1987. Serie C No. 1,</w:t>
      </w:r>
      <w:r w:rsidR="3BF92891" w:rsidRPr="00053304">
        <w:rPr>
          <w:rFonts w:ascii="Verdana" w:hAnsi="Verdana"/>
          <w:i/>
          <w:iCs/>
          <w:szCs w:val="16"/>
          <w:lang w:val="es-CR"/>
        </w:rPr>
        <w:t xml:space="preserve"> </w:t>
      </w:r>
      <w:r w:rsidR="40DDB40B" w:rsidRPr="00053304">
        <w:rPr>
          <w:rFonts w:ascii="Verdana" w:hAnsi="Verdana"/>
          <w:spacing w:val="-9"/>
          <w:szCs w:val="16"/>
          <w:lang w:val="es-CR"/>
        </w:rPr>
        <w:t xml:space="preserve"> </w:t>
      </w:r>
      <w:r w:rsidR="40DDB40B" w:rsidRPr="00053304">
        <w:rPr>
          <w:rFonts w:ascii="Verdana" w:hAnsi="Verdana"/>
          <w:spacing w:val="-2"/>
          <w:szCs w:val="16"/>
          <w:lang w:val="es-CR"/>
        </w:rPr>
        <w:t>párr.</w:t>
      </w:r>
      <w:r w:rsidR="40DDB40B" w:rsidRPr="00053304">
        <w:rPr>
          <w:rFonts w:ascii="Verdana" w:hAnsi="Verdana"/>
          <w:spacing w:val="-9"/>
          <w:szCs w:val="16"/>
          <w:lang w:val="es-CR"/>
        </w:rPr>
        <w:t xml:space="preserve"> </w:t>
      </w:r>
      <w:r w:rsidR="40DDB40B" w:rsidRPr="00053304">
        <w:rPr>
          <w:rFonts w:ascii="Verdana" w:hAnsi="Verdana"/>
          <w:spacing w:val="-2"/>
          <w:szCs w:val="16"/>
        </w:rPr>
        <w:t>85;</w:t>
      </w:r>
      <w:r w:rsidR="40DDB40B" w:rsidRPr="00053304">
        <w:rPr>
          <w:rFonts w:ascii="Verdana" w:hAnsi="Verdana"/>
          <w:spacing w:val="-9"/>
          <w:szCs w:val="16"/>
        </w:rPr>
        <w:t xml:space="preserve"> </w:t>
      </w:r>
      <w:r w:rsidR="40DDB40B" w:rsidRPr="00053304">
        <w:rPr>
          <w:rFonts w:ascii="Verdana" w:hAnsi="Verdana"/>
          <w:i/>
          <w:iCs/>
          <w:spacing w:val="-2"/>
          <w:szCs w:val="16"/>
        </w:rPr>
        <w:t xml:space="preserve">Caso Profesores de Chañaral </w:t>
      </w:r>
      <w:r w:rsidR="40DDB40B" w:rsidRPr="00053304">
        <w:rPr>
          <w:rFonts w:ascii="Verdana" w:hAnsi="Verdana"/>
          <w:i/>
          <w:iCs/>
          <w:szCs w:val="16"/>
        </w:rPr>
        <w:t xml:space="preserve">y otras municipalidades Vs. Chile. </w:t>
      </w:r>
      <w:r w:rsidR="40DDB40B" w:rsidRPr="00053304">
        <w:rPr>
          <w:rFonts w:ascii="Verdana" w:hAnsi="Verdana"/>
          <w:i/>
          <w:iCs/>
          <w:szCs w:val="16"/>
          <w:lang w:val="es-CR"/>
        </w:rPr>
        <w:t xml:space="preserve">Excepción preliminar, Fondo, Reparaciones y Costas. </w:t>
      </w:r>
      <w:r w:rsidR="40DDB40B" w:rsidRPr="00053304">
        <w:rPr>
          <w:rFonts w:ascii="Verdana" w:hAnsi="Verdana"/>
          <w:szCs w:val="16"/>
          <w:lang w:val="es-CR"/>
        </w:rPr>
        <w:t xml:space="preserve">Sentencia de 10 de noviembre de 2021. </w:t>
      </w:r>
      <w:r w:rsidR="40DDB40B" w:rsidRPr="00053304">
        <w:rPr>
          <w:rFonts w:ascii="Verdana" w:hAnsi="Verdana"/>
          <w:szCs w:val="16"/>
        </w:rPr>
        <w:t>Serie C No. 443, párr. 24, y</w:t>
      </w:r>
      <w:r w:rsidR="40DDB40B" w:rsidRPr="00053304">
        <w:rPr>
          <w:rFonts w:ascii="Verdana" w:eastAsia="Verdana" w:hAnsi="Verdana" w:cs="Verdana"/>
          <w:szCs w:val="16"/>
        </w:rPr>
        <w:t xml:space="preserve"> </w:t>
      </w:r>
      <w:r w:rsidR="3BF92891" w:rsidRPr="00053304">
        <w:rPr>
          <w:rFonts w:ascii="Verdana" w:eastAsia="Verdana" w:hAnsi="Verdana" w:cs="Verdana"/>
          <w:i/>
          <w:iCs/>
          <w:szCs w:val="16"/>
        </w:rPr>
        <w:t>Caso Angulo Losada Vs. Bolivia. Excepciones Preliminares, Fondo y Reparaciones.</w:t>
      </w:r>
      <w:r w:rsidR="3BF92891" w:rsidRPr="00053304">
        <w:rPr>
          <w:rFonts w:ascii="Verdana" w:eastAsia="Verdana" w:hAnsi="Verdana" w:cs="Verdana"/>
          <w:szCs w:val="16"/>
        </w:rPr>
        <w:t xml:space="preserve"> Sentencia de 18 de noviembre de 2022. Serie C No. 475</w:t>
      </w:r>
      <w:r w:rsidR="006A6F7A" w:rsidRPr="00053304">
        <w:rPr>
          <w:rFonts w:ascii="Verdana" w:hAnsi="Verdana"/>
          <w:szCs w:val="16"/>
        </w:rPr>
        <w:t>, párr. 20.</w:t>
      </w:r>
    </w:p>
  </w:footnote>
  <w:footnote w:id="39">
    <w:p w14:paraId="3AB5C755" w14:textId="03773541" w:rsidR="00DA7C05" w:rsidRPr="00053304" w:rsidRDefault="00DA7C05"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ab/>
      </w:r>
      <w:r w:rsidR="40DDB40B" w:rsidRPr="00053304">
        <w:rPr>
          <w:rFonts w:ascii="Verdana" w:hAnsi="Verdana"/>
          <w:i/>
          <w:iCs/>
          <w:szCs w:val="16"/>
        </w:rPr>
        <w:t>Cfr</w:t>
      </w:r>
      <w:r w:rsidR="40DDB40B" w:rsidRPr="00053304">
        <w:rPr>
          <w:rFonts w:ascii="Verdana" w:hAnsi="Verdana"/>
          <w:szCs w:val="16"/>
        </w:rPr>
        <w:t xml:space="preserve">. </w:t>
      </w:r>
      <w:r w:rsidR="40DDB40B" w:rsidRPr="00053304">
        <w:rPr>
          <w:rFonts w:ascii="Verdana" w:hAnsi="Verdana"/>
          <w:i/>
          <w:iCs/>
          <w:szCs w:val="16"/>
        </w:rPr>
        <w:t xml:space="preserve">Caso Velásquez Rodríguez Vs. Honduras. Fondo. </w:t>
      </w:r>
      <w:r w:rsidR="6E159DF8" w:rsidRPr="00053304">
        <w:rPr>
          <w:rFonts w:ascii="Verdana" w:hAnsi="Verdana"/>
          <w:szCs w:val="16"/>
        </w:rPr>
        <w:t>S</w:t>
      </w:r>
      <w:r w:rsidR="40DDB40B" w:rsidRPr="00053304">
        <w:rPr>
          <w:rFonts w:ascii="Verdana" w:hAnsi="Verdana"/>
          <w:szCs w:val="16"/>
        </w:rPr>
        <w:t xml:space="preserve">entencia de 29 de julio de 1988. Serie C No. 4, párr. 63, y </w:t>
      </w:r>
      <w:r w:rsidR="009E3AEE" w:rsidRPr="00053304">
        <w:rPr>
          <w:rFonts w:ascii="Verdana" w:hAnsi="Verdana" w:cstheme="minorHAnsi"/>
          <w:i/>
          <w:szCs w:val="16"/>
          <w:lang w:val="es-CR"/>
        </w:rPr>
        <w:t>Caso Moya Solís Vs. Perú. Excepciones Preliminares, Fondo, Reparaciones y Costas</w:t>
      </w:r>
      <w:r w:rsidR="009E3AEE" w:rsidRPr="00053304">
        <w:rPr>
          <w:rFonts w:ascii="Verdana" w:hAnsi="Verdana" w:cstheme="minorHAnsi"/>
          <w:szCs w:val="16"/>
          <w:lang w:val="es-CR"/>
        </w:rPr>
        <w:t>. Sentencia de 3 de junio de 2021. Serie C No. 425, párr. 24</w:t>
      </w:r>
      <w:r w:rsidR="6E159DF8" w:rsidRPr="00053304">
        <w:rPr>
          <w:rFonts w:ascii="Verdana" w:hAnsi="Verdana"/>
          <w:szCs w:val="16"/>
        </w:rPr>
        <w:t>.</w:t>
      </w:r>
    </w:p>
  </w:footnote>
  <w:footnote w:id="40">
    <w:p w14:paraId="2736A757" w14:textId="35C79F76" w:rsidR="00F7182D" w:rsidRPr="00053304" w:rsidRDefault="00F7182D" w:rsidP="00053304">
      <w:pPr>
        <w:pStyle w:val="Textonotapie"/>
        <w:jc w:val="both"/>
        <w:rPr>
          <w:rFonts w:ascii="Verdana" w:hAnsi="Verdana" w:cstheme="minorHAnsi"/>
          <w:i/>
          <w:szCs w:val="16"/>
          <w:lang w:val="es-CR"/>
        </w:rPr>
      </w:pPr>
      <w:r w:rsidRPr="00053304">
        <w:rPr>
          <w:rStyle w:val="Refdenotaalpie"/>
          <w:rFonts w:ascii="Verdana" w:hAnsi="Verdana"/>
          <w:szCs w:val="16"/>
          <w:lang w:val="es-CR"/>
        </w:rPr>
        <w:footnoteRef/>
      </w:r>
      <w:r w:rsidRPr="00602907">
        <w:rPr>
          <w:rFonts w:ascii="Verdana" w:hAnsi="Verdana"/>
          <w:szCs w:val="16"/>
          <w:lang w:val="es-CR"/>
        </w:rPr>
        <w:t xml:space="preserve"> </w:t>
      </w:r>
      <w:r w:rsidRPr="00602907">
        <w:rPr>
          <w:rFonts w:ascii="Verdana" w:hAnsi="Verdana"/>
          <w:szCs w:val="16"/>
          <w:lang w:val="es-CR"/>
        </w:rPr>
        <w:tab/>
      </w:r>
      <w:r w:rsidRPr="00602907">
        <w:rPr>
          <w:rFonts w:ascii="Verdana" w:hAnsi="Verdana" w:cstheme="minorHAnsi"/>
          <w:i/>
          <w:szCs w:val="16"/>
          <w:lang w:val="es-CR"/>
        </w:rPr>
        <w:t>Cfr.</w:t>
      </w:r>
      <w:r w:rsidRPr="00602907">
        <w:rPr>
          <w:rFonts w:ascii="Verdana" w:hAnsi="Verdana" w:cstheme="minorHAnsi"/>
          <w:szCs w:val="16"/>
          <w:lang w:val="es-CR"/>
        </w:rPr>
        <w:t xml:space="preserve"> </w:t>
      </w:r>
      <w:r w:rsidRPr="00602907">
        <w:rPr>
          <w:rFonts w:ascii="Verdana" w:eastAsiaTheme="minorHAnsi" w:hAnsi="Verdana" w:cstheme="minorHAnsi"/>
          <w:i/>
          <w:iCs/>
          <w:szCs w:val="16"/>
          <w:lang w:val="es-CR"/>
        </w:rPr>
        <w:t xml:space="preserve">Caso Familia Pacheco Tineo Vs. </w:t>
      </w:r>
      <w:r w:rsidRPr="00053304">
        <w:rPr>
          <w:rFonts w:ascii="Verdana" w:eastAsiaTheme="minorHAnsi" w:hAnsi="Verdana" w:cstheme="minorHAnsi"/>
          <w:i/>
          <w:iCs/>
          <w:szCs w:val="16"/>
          <w:lang w:val="es-CR"/>
        </w:rPr>
        <w:t xml:space="preserve">Bolivia. Excepciones Preliminares, Fondo, Reparaciones y Costas. </w:t>
      </w:r>
      <w:r w:rsidRPr="00053304">
        <w:rPr>
          <w:rFonts w:ascii="Verdana" w:eastAsiaTheme="minorHAnsi" w:hAnsi="Verdana" w:cstheme="minorHAnsi"/>
          <w:iCs/>
          <w:szCs w:val="16"/>
          <w:lang w:val="es-CR"/>
        </w:rPr>
        <w:t>Sentencia de 25 de noviembre de 2013. Serie C No. 272, párr. 22, y</w:t>
      </w:r>
      <w:r w:rsidRPr="00053304">
        <w:rPr>
          <w:rFonts w:ascii="Verdana" w:hAnsi="Verdana" w:cstheme="minorHAnsi"/>
          <w:i/>
          <w:szCs w:val="16"/>
          <w:lang w:val="es-CR"/>
        </w:rPr>
        <w:t xml:space="preserve"> Caso Moya Solís Vs. Perú</w:t>
      </w:r>
      <w:r w:rsidRPr="00053304">
        <w:rPr>
          <w:rFonts w:ascii="Verdana" w:hAnsi="Verdana" w:cstheme="minorHAnsi"/>
          <w:szCs w:val="16"/>
          <w:lang w:val="es-CR"/>
        </w:rPr>
        <w:t>,</w:t>
      </w:r>
      <w:r w:rsidR="009E3AEE" w:rsidRPr="00053304">
        <w:rPr>
          <w:rFonts w:ascii="Verdana" w:hAnsi="Verdana" w:cstheme="minorHAnsi"/>
          <w:szCs w:val="16"/>
          <w:lang w:val="es-CR"/>
        </w:rPr>
        <w:t xml:space="preserve"> </w:t>
      </w:r>
      <w:r w:rsidR="009E3AEE" w:rsidRPr="00053304">
        <w:rPr>
          <w:rFonts w:ascii="Verdana" w:hAnsi="Verdana" w:cstheme="minorHAnsi"/>
          <w:i/>
          <w:iCs/>
          <w:szCs w:val="16"/>
          <w:lang w:val="es-CR"/>
        </w:rPr>
        <w:t>supra</w:t>
      </w:r>
      <w:r w:rsidR="009E3AEE" w:rsidRPr="00053304">
        <w:rPr>
          <w:rFonts w:ascii="Verdana" w:hAnsi="Verdana" w:cstheme="minorHAnsi"/>
          <w:szCs w:val="16"/>
          <w:lang w:val="es-CR"/>
        </w:rPr>
        <w:t>,</w:t>
      </w:r>
      <w:r w:rsidRPr="00053304">
        <w:rPr>
          <w:rFonts w:ascii="Verdana" w:hAnsi="Verdana" w:cstheme="minorHAnsi"/>
          <w:szCs w:val="16"/>
          <w:lang w:val="es-CR"/>
        </w:rPr>
        <w:t xml:space="preserve"> párr. 32.</w:t>
      </w:r>
    </w:p>
  </w:footnote>
  <w:footnote w:id="41">
    <w:p w14:paraId="52C7CAC9" w14:textId="34977E14" w:rsidR="00817812" w:rsidRPr="00053304" w:rsidRDefault="00817812" w:rsidP="00053304">
      <w:pPr>
        <w:pStyle w:val="Textonotapie"/>
        <w:jc w:val="both"/>
        <w:rPr>
          <w:rFonts w:ascii="Verdana" w:hAnsi="Verdana" w:cstheme="minorBidi"/>
          <w:i/>
          <w:iCs/>
          <w:szCs w:val="16"/>
          <w:lang w:val="es-CR"/>
        </w:rPr>
      </w:pPr>
      <w:r w:rsidRPr="00053304">
        <w:rPr>
          <w:rStyle w:val="Refdenotaalpie"/>
          <w:rFonts w:ascii="Verdana" w:hAnsi="Verdana"/>
          <w:szCs w:val="16"/>
          <w:lang w:val="es-CR"/>
        </w:rPr>
        <w:footnoteRef/>
      </w:r>
      <w:r w:rsidRPr="00053304">
        <w:rPr>
          <w:rFonts w:ascii="Verdana" w:hAnsi="Verdana"/>
          <w:szCs w:val="16"/>
          <w:lang w:val="es-CR"/>
        </w:rPr>
        <w:t xml:space="preserve"> </w:t>
      </w:r>
      <w:r w:rsidRPr="00053304">
        <w:rPr>
          <w:rFonts w:ascii="Verdana" w:hAnsi="Verdana"/>
          <w:szCs w:val="16"/>
          <w:lang w:val="es-CR"/>
        </w:rPr>
        <w:tab/>
        <w:t>En particular, la Comisión mencionó que las presuntas</w:t>
      </w:r>
      <w:r w:rsidRPr="00053304">
        <w:rPr>
          <w:rFonts w:ascii="Verdana" w:hAnsi="Verdana"/>
          <w:szCs w:val="16"/>
        </w:rPr>
        <w:t xml:space="preserve"> víctimas fueron presentadas ante la opinión pública como unos de los </w:t>
      </w:r>
      <w:r w:rsidRPr="00053304">
        <w:rPr>
          <w:rFonts w:ascii="Verdana" w:hAnsi="Verdana"/>
          <w:i/>
          <w:iCs/>
          <w:szCs w:val="16"/>
        </w:rPr>
        <w:t>responsables por el homicidio de la</w:t>
      </w:r>
      <w:r w:rsidRPr="00053304">
        <w:rPr>
          <w:rFonts w:ascii="Verdana" w:hAnsi="Verdana"/>
          <w:szCs w:val="16"/>
        </w:rPr>
        <w:t xml:space="preserve"> regidora</w:t>
      </w:r>
      <w:r w:rsidRPr="00053304">
        <w:rPr>
          <w:rFonts w:ascii="Verdana" w:hAnsi="Verdana"/>
          <w:i/>
          <w:iCs/>
          <w:szCs w:val="16"/>
        </w:rPr>
        <w:t>, y que</w:t>
      </w:r>
      <w:r w:rsidRPr="00053304">
        <w:rPr>
          <w:rFonts w:ascii="Verdana" w:hAnsi="Verdana"/>
          <w:szCs w:val="16"/>
        </w:rPr>
        <w:t xml:space="preserve"> </w:t>
      </w:r>
      <w:r w:rsidRPr="00053304">
        <w:rPr>
          <w:rFonts w:ascii="Verdana" w:hAnsi="Verdana"/>
          <w:i/>
          <w:iCs/>
          <w:szCs w:val="16"/>
        </w:rPr>
        <w:t>e</w:t>
      </w:r>
      <w:r w:rsidRPr="00053304">
        <w:rPr>
          <w:rFonts w:ascii="Verdana" w:hAnsi="Verdana"/>
          <w:szCs w:val="16"/>
        </w:rPr>
        <w:t xml:space="preserve">sa información fue publicada en: a) los boletines de prensa emitidos por la PGJEM, b) extractos de noticias incluidos en prensa de circulación nacional, y c) </w:t>
      </w:r>
      <w:r w:rsidRPr="00053304">
        <w:rPr>
          <w:rFonts w:ascii="Verdana" w:hAnsi="Verdana"/>
          <w:i/>
          <w:iCs/>
          <w:szCs w:val="16"/>
        </w:rPr>
        <w:t xml:space="preserve">en </w:t>
      </w:r>
      <w:r w:rsidRPr="00053304">
        <w:rPr>
          <w:rFonts w:ascii="Verdana" w:hAnsi="Verdana"/>
          <w:szCs w:val="16"/>
        </w:rPr>
        <w:t>un informe gubernamental, durante la investigación y tramitación del proceso penal en su contra en los que fueron presentados por el Ministerio Público</w:t>
      </w:r>
      <w:r w:rsidRPr="00053304">
        <w:rPr>
          <w:rFonts w:ascii="Verdana" w:hAnsi="Verdana"/>
          <w:i/>
          <w:iCs/>
          <w:szCs w:val="16"/>
        </w:rPr>
        <w:t xml:space="preserve"> </w:t>
      </w:r>
      <w:r w:rsidRPr="00053304">
        <w:rPr>
          <w:rFonts w:ascii="Verdana" w:hAnsi="Verdana"/>
          <w:szCs w:val="16"/>
        </w:rPr>
        <w:t>(</w:t>
      </w:r>
      <w:r w:rsidRPr="00053304">
        <w:rPr>
          <w:rFonts w:ascii="Verdana" w:hAnsi="Verdana"/>
          <w:i/>
          <w:iCs/>
          <w:szCs w:val="16"/>
        </w:rPr>
        <w:t>infra</w:t>
      </w:r>
      <w:r w:rsidRPr="00053304">
        <w:rPr>
          <w:rFonts w:ascii="Verdana" w:hAnsi="Verdana"/>
          <w:szCs w:val="16"/>
        </w:rPr>
        <w:t xml:space="preserve"> párr. </w:t>
      </w:r>
      <w:r w:rsidR="00E32C8A" w:rsidRPr="00053304">
        <w:rPr>
          <w:rFonts w:ascii="Verdana" w:hAnsi="Verdana"/>
          <w:szCs w:val="16"/>
        </w:rPr>
        <w:t>259</w:t>
      </w:r>
      <w:r w:rsidRPr="00053304">
        <w:rPr>
          <w:rFonts w:ascii="Verdana" w:hAnsi="Verdana"/>
          <w:szCs w:val="16"/>
        </w:rPr>
        <w:t>).</w:t>
      </w:r>
    </w:p>
  </w:footnote>
  <w:footnote w:id="42">
    <w:p w14:paraId="56505E0C" w14:textId="3AC3A054" w:rsidR="004E1063" w:rsidRPr="00053304" w:rsidRDefault="004E1063" w:rsidP="00053304">
      <w:pPr>
        <w:pStyle w:val="Textonotapie"/>
        <w:jc w:val="both"/>
        <w:rPr>
          <w:rFonts w:ascii="Verdana" w:hAnsi="Verdana"/>
          <w:szCs w:val="16"/>
          <w:lang w:val="es-ES"/>
        </w:rPr>
      </w:pPr>
      <w:r w:rsidRPr="00053304">
        <w:rPr>
          <w:rStyle w:val="Refdenotaalpie"/>
          <w:rFonts w:ascii="Verdana" w:hAnsi="Verdana"/>
          <w:szCs w:val="16"/>
          <w:lang w:val="es-ES"/>
        </w:rPr>
        <w:footnoteRef/>
      </w:r>
      <w:r w:rsidRPr="00053304">
        <w:rPr>
          <w:rFonts w:ascii="Verdana" w:hAnsi="Verdana"/>
          <w:szCs w:val="16"/>
          <w:lang w:val="es-ES"/>
        </w:rPr>
        <w:t xml:space="preserve"> </w:t>
      </w:r>
      <w:r w:rsidRPr="00053304">
        <w:rPr>
          <w:rFonts w:ascii="Verdana" w:hAnsi="Verdana"/>
          <w:szCs w:val="16"/>
          <w:lang w:val="es-ES"/>
        </w:rPr>
        <w:tab/>
      </w:r>
      <w:r w:rsidRPr="00053304">
        <w:rPr>
          <w:rFonts w:ascii="Verdana" w:hAnsi="Verdana" w:cs="Verdana-Italic"/>
          <w:i/>
          <w:iCs/>
          <w:szCs w:val="16"/>
          <w:lang w:val="es-ES"/>
        </w:rPr>
        <w:t>Cfr. Caso de las Masacres de Ituango Vs. Colombia. Excepción Preliminar, Fondo, Reparaciones y Costas</w:t>
      </w:r>
      <w:r w:rsidRPr="00053304">
        <w:rPr>
          <w:rFonts w:ascii="Verdana" w:hAnsi="Verdana" w:cs="Verdana"/>
          <w:szCs w:val="16"/>
          <w:lang w:val="es-ES"/>
        </w:rPr>
        <w:t xml:space="preserve">. </w:t>
      </w:r>
      <w:r w:rsidRPr="00053304">
        <w:rPr>
          <w:rFonts w:ascii="Verdana" w:hAnsi="Verdana" w:cs="Verdana"/>
          <w:szCs w:val="16"/>
          <w:lang w:val="pt-BR"/>
        </w:rPr>
        <w:t xml:space="preserve">Sentencia de 1 de julio de 2006. Serie C No. 148, párr. 98; </w:t>
      </w:r>
      <w:r w:rsidRPr="00053304">
        <w:rPr>
          <w:rStyle w:val="Textoennegrita"/>
          <w:rFonts w:ascii="Verdana" w:hAnsi="Verdana"/>
          <w:b w:val="0"/>
          <w:bCs w:val="0"/>
          <w:i/>
          <w:iCs/>
          <w:szCs w:val="16"/>
          <w:lang w:val="pt-BR"/>
        </w:rPr>
        <w:t xml:space="preserve">Caso Favela Nova Brasília Vs. </w:t>
      </w:r>
      <w:r w:rsidRPr="00053304">
        <w:rPr>
          <w:rStyle w:val="Textoennegrita"/>
          <w:rFonts w:ascii="Verdana" w:hAnsi="Verdana"/>
          <w:b w:val="0"/>
          <w:bCs w:val="0"/>
          <w:i/>
          <w:iCs/>
          <w:szCs w:val="16"/>
        </w:rPr>
        <w:t>Brasil</w:t>
      </w:r>
      <w:r w:rsidRPr="00053304">
        <w:rPr>
          <w:rStyle w:val="Textoennegrita"/>
          <w:rFonts w:ascii="Verdana" w:hAnsi="Verdana"/>
          <w:b w:val="0"/>
          <w:bCs w:val="0"/>
          <w:szCs w:val="16"/>
        </w:rPr>
        <w:t xml:space="preserve">. </w:t>
      </w:r>
      <w:r w:rsidRPr="00053304">
        <w:rPr>
          <w:rFonts w:ascii="Verdana" w:hAnsi="Verdana" w:cs="Verdana"/>
          <w:i/>
          <w:iCs/>
          <w:szCs w:val="16"/>
          <w:lang w:val="es-ES"/>
        </w:rPr>
        <w:t xml:space="preserve">Excepciones Preliminares, Fondo, Reparaciones y Costas. </w:t>
      </w:r>
      <w:r w:rsidRPr="00053304">
        <w:rPr>
          <w:rFonts w:ascii="Verdana" w:hAnsi="Verdana" w:cs="Verdana"/>
          <w:szCs w:val="16"/>
          <w:lang w:val="es-ES"/>
        </w:rPr>
        <w:t>Sentencia de 16 de febrero de 2017. Serie C No. 333,</w:t>
      </w:r>
      <w:r w:rsidRPr="00053304">
        <w:rPr>
          <w:rStyle w:val="Textoennegrita"/>
          <w:rFonts w:ascii="Verdana" w:hAnsi="Verdana"/>
          <w:b w:val="0"/>
          <w:bCs w:val="0"/>
          <w:szCs w:val="16"/>
        </w:rPr>
        <w:t xml:space="preserve"> párr. 36, y </w:t>
      </w:r>
      <w:r w:rsidR="00E32C8A" w:rsidRPr="00053304">
        <w:rPr>
          <w:rStyle w:val="Textoennegrita"/>
          <w:rFonts w:ascii="Verdana" w:eastAsia="Verdana" w:hAnsi="Verdana" w:cs="Verdana"/>
          <w:b w:val="0"/>
          <w:bCs w:val="0"/>
          <w:i/>
          <w:iCs/>
          <w:szCs w:val="16"/>
        </w:rPr>
        <w:t>Caso Pueblos Indígenas Maya Kaqchikel de Sumpango y otros Vs. Guatemala</w:t>
      </w:r>
      <w:r w:rsidR="00E32C8A" w:rsidRPr="00053304">
        <w:rPr>
          <w:rStyle w:val="Textoennegrita"/>
          <w:rFonts w:ascii="Verdana" w:eastAsia="Verdana" w:hAnsi="Verdana" w:cs="Verdana"/>
          <w:b w:val="0"/>
          <w:bCs w:val="0"/>
          <w:szCs w:val="16"/>
        </w:rPr>
        <w:t>. Fondo, Reparaciones y Costas. Sentencia de 6 de octubre de 2021. Serie C No. 440</w:t>
      </w:r>
      <w:r w:rsidR="3BF92891" w:rsidRPr="00053304">
        <w:rPr>
          <w:rFonts w:ascii="Verdana" w:eastAsia="Verdana" w:hAnsi="Verdana" w:cs="Verdana"/>
          <w:szCs w:val="16"/>
        </w:rPr>
        <w:t xml:space="preserve">, párr. </w:t>
      </w:r>
      <w:r w:rsidR="00E32C8A" w:rsidRPr="00053304">
        <w:rPr>
          <w:rFonts w:ascii="Verdana" w:eastAsia="Verdana" w:hAnsi="Verdana" w:cs="Verdana"/>
          <w:szCs w:val="16"/>
        </w:rPr>
        <w:t>22</w:t>
      </w:r>
      <w:r w:rsidRPr="00053304">
        <w:rPr>
          <w:rStyle w:val="Textoennegrita"/>
          <w:rFonts w:ascii="Verdana" w:hAnsi="Verdana"/>
          <w:b w:val="0"/>
          <w:bCs w:val="0"/>
          <w:szCs w:val="16"/>
        </w:rPr>
        <w:t>.</w:t>
      </w:r>
    </w:p>
  </w:footnote>
  <w:footnote w:id="43">
    <w:p w14:paraId="6434DF14" w14:textId="3AB39233" w:rsidR="004E1063" w:rsidRPr="00053304" w:rsidRDefault="004E1063" w:rsidP="00053304">
      <w:pPr>
        <w:pStyle w:val="Textonotapie"/>
        <w:jc w:val="both"/>
        <w:rPr>
          <w:rFonts w:ascii="Verdana" w:hAnsi="Verdana"/>
          <w:szCs w:val="16"/>
          <w:lang w:val="es-ES"/>
        </w:rPr>
      </w:pPr>
      <w:r w:rsidRPr="00053304">
        <w:rPr>
          <w:rStyle w:val="Refdenotaalpie"/>
          <w:rFonts w:ascii="Verdana" w:hAnsi="Verdana"/>
          <w:szCs w:val="16"/>
          <w:lang w:val="es-ES"/>
        </w:rPr>
        <w:footnoteRef/>
      </w:r>
      <w:r w:rsidR="40DDB40B" w:rsidRPr="00053304">
        <w:rPr>
          <w:rFonts w:ascii="Verdana" w:hAnsi="Verdana"/>
          <w:szCs w:val="16"/>
          <w:lang w:val="es-ES"/>
        </w:rPr>
        <w:t xml:space="preserve"> </w:t>
      </w:r>
      <w:r w:rsidRPr="00053304">
        <w:rPr>
          <w:rFonts w:ascii="Verdana" w:hAnsi="Verdana"/>
          <w:szCs w:val="16"/>
          <w:lang w:val="es-ES"/>
        </w:rPr>
        <w:tab/>
      </w:r>
      <w:r w:rsidR="40DDB40B" w:rsidRPr="00053304">
        <w:rPr>
          <w:rFonts w:ascii="Verdana" w:hAnsi="Verdana"/>
          <w:i/>
          <w:iCs/>
          <w:szCs w:val="16"/>
          <w:lang w:val="es-ES"/>
        </w:rPr>
        <w:t xml:space="preserve">Cfr. </w:t>
      </w:r>
      <w:r w:rsidR="40DDB40B" w:rsidRPr="00053304">
        <w:rPr>
          <w:rStyle w:val="Textoennegrita"/>
          <w:rFonts w:ascii="Verdana" w:hAnsi="Verdana"/>
          <w:b w:val="0"/>
          <w:bCs w:val="0"/>
          <w:i/>
          <w:iCs/>
          <w:szCs w:val="16"/>
          <w:lang w:val="es-ES"/>
        </w:rPr>
        <w:t>Caso Masacres de Río Negro Vs. Guatemala. Excepción Preliminar, Fondo, Reparaciones y Costas</w:t>
      </w:r>
      <w:r w:rsidR="40DDB40B" w:rsidRPr="00053304">
        <w:rPr>
          <w:rStyle w:val="Textoennegrita"/>
          <w:rFonts w:ascii="Verdana" w:hAnsi="Verdana"/>
          <w:b w:val="0"/>
          <w:bCs w:val="0"/>
          <w:szCs w:val="16"/>
          <w:lang w:val="es-ES"/>
        </w:rPr>
        <w:t xml:space="preserve">. Sentencia de 4 de septiembre de 2012. Serie C No. 250, párr. 48; </w:t>
      </w:r>
      <w:r w:rsidR="40DDB40B" w:rsidRPr="00053304">
        <w:rPr>
          <w:rStyle w:val="Textoennegrita"/>
          <w:rFonts w:ascii="Verdana" w:hAnsi="Verdana"/>
          <w:b w:val="0"/>
          <w:bCs w:val="0"/>
          <w:i/>
          <w:iCs/>
          <w:szCs w:val="16"/>
        </w:rPr>
        <w:t>Caso Favela Nova Brasília Vs. Brasil</w:t>
      </w:r>
      <w:r w:rsidR="3BF92891" w:rsidRPr="00053304">
        <w:rPr>
          <w:rStyle w:val="Textoennegrita"/>
          <w:rFonts w:ascii="Verdana" w:hAnsi="Verdana"/>
          <w:b w:val="0"/>
          <w:bCs w:val="0"/>
          <w:i/>
          <w:iCs/>
          <w:szCs w:val="16"/>
        </w:rPr>
        <w:t>.</w:t>
      </w:r>
      <w:r w:rsidR="40DDB40B" w:rsidRPr="00053304">
        <w:rPr>
          <w:rStyle w:val="Textoennegrita"/>
          <w:rFonts w:ascii="Verdana" w:hAnsi="Verdana"/>
          <w:b w:val="0"/>
          <w:bCs w:val="0"/>
          <w:szCs w:val="16"/>
        </w:rPr>
        <w:t xml:space="preserve"> </w:t>
      </w:r>
      <w:r w:rsidR="3BF92891" w:rsidRPr="00053304">
        <w:rPr>
          <w:rFonts w:ascii="Verdana" w:hAnsi="Verdana" w:cs="Verdana"/>
          <w:i/>
          <w:iCs/>
          <w:szCs w:val="16"/>
          <w:lang w:val="es-ES"/>
        </w:rPr>
        <w:t xml:space="preserve">Excepciones Preliminares, Fondo, Reparaciones y Costa, </w:t>
      </w:r>
      <w:r w:rsidR="3BF92891" w:rsidRPr="00053304">
        <w:rPr>
          <w:rStyle w:val="Textoennegrita"/>
          <w:rFonts w:ascii="Verdana" w:hAnsi="Verdana"/>
          <w:b w:val="0"/>
          <w:bCs w:val="0"/>
          <w:i/>
          <w:iCs/>
          <w:szCs w:val="16"/>
        </w:rPr>
        <w:t xml:space="preserve">supra, </w:t>
      </w:r>
      <w:r w:rsidR="40DDB40B" w:rsidRPr="00053304">
        <w:rPr>
          <w:rStyle w:val="Textoennegrita"/>
          <w:rFonts w:ascii="Verdana" w:hAnsi="Verdana"/>
          <w:b w:val="0"/>
          <w:bCs w:val="0"/>
          <w:szCs w:val="16"/>
        </w:rPr>
        <w:t>párr. 36,</w:t>
      </w:r>
      <w:r w:rsidR="40DDB40B" w:rsidRPr="00053304">
        <w:rPr>
          <w:rStyle w:val="Textoennegrita"/>
          <w:rFonts w:ascii="Verdana" w:eastAsia="Verdana" w:hAnsi="Verdana" w:cs="Verdana"/>
          <w:b w:val="0"/>
          <w:bCs w:val="0"/>
          <w:szCs w:val="16"/>
        </w:rPr>
        <w:t xml:space="preserve"> y </w:t>
      </w:r>
      <w:r w:rsidR="3BF92891" w:rsidRPr="00053304">
        <w:rPr>
          <w:rFonts w:ascii="Verdana" w:eastAsia="Verdana" w:hAnsi="Verdana" w:cs="Verdana"/>
          <w:i/>
          <w:iCs/>
          <w:szCs w:val="16"/>
        </w:rPr>
        <w:t>Caso Barbosa de Souza y otros Vs. Brasil. Excepciones preliminares, Fondo, Reparaciones y Costas.</w:t>
      </w:r>
      <w:r w:rsidR="3BF92891" w:rsidRPr="00053304">
        <w:rPr>
          <w:rFonts w:ascii="Verdana" w:eastAsia="Verdana" w:hAnsi="Verdana" w:cs="Verdana"/>
          <w:szCs w:val="16"/>
        </w:rPr>
        <w:t xml:space="preserve"> Sentencia de 7 de septiembre de 2021. Serie C No. 435, párr. 38</w:t>
      </w:r>
      <w:r w:rsidR="40DDB40B" w:rsidRPr="00053304">
        <w:rPr>
          <w:rStyle w:val="Textoennegrita"/>
          <w:rFonts w:ascii="Verdana" w:hAnsi="Verdana"/>
          <w:b w:val="0"/>
          <w:bCs w:val="0"/>
          <w:szCs w:val="16"/>
        </w:rPr>
        <w:t>.</w:t>
      </w:r>
      <w:r w:rsidR="40DDB40B" w:rsidRPr="00053304">
        <w:rPr>
          <w:rStyle w:val="Textoennegrita"/>
          <w:rFonts w:ascii="Verdana" w:hAnsi="Verdana"/>
          <w:b w:val="0"/>
          <w:bCs w:val="0"/>
          <w:szCs w:val="16"/>
          <w:shd w:val="clear" w:color="auto" w:fill="FFFFFF"/>
        </w:rPr>
        <w:t xml:space="preserve"> </w:t>
      </w:r>
    </w:p>
  </w:footnote>
  <w:footnote w:id="44">
    <w:p w14:paraId="6CA7BD4D" w14:textId="66799B03" w:rsidR="00DA5734" w:rsidRPr="00053304" w:rsidRDefault="00DA5734"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00E32C8A" w:rsidRPr="00053304">
        <w:rPr>
          <w:rFonts w:ascii="Verdana" w:hAnsi="Verdana"/>
          <w:szCs w:val="16"/>
        </w:rPr>
        <w:t xml:space="preserve">Comisión Interamericana, </w:t>
      </w:r>
      <w:r w:rsidRPr="00053304">
        <w:rPr>
          <w:rFonts w:ascii="Verdana" w:hAnsi="Verdana"/>
          <w:szCs w:val="16"/>
        </w:rPr>
        <w:t xml:space="preserve">Informe de Admisibilidad </w:t>
      </w:r>
      <w:r w:rsidR="00F2066E" w:rsidRPr="00053304">
        <w:rPr>
          <w:rFonts w:ascii="Verdana" w:hAnsi="Verdana"/>
          <w:szCs w:val="16"/>
        </w:rPr>
        <w:t xml:space="preserve">No. </w:t>
      </w:r>
      <w:r w:rsidR="00E32C8A" w:rsidRPr="00053304">
        <w:rPr>
          <w:rFonts w:ascii="Verdana" w:hAnsi="Verdana"/>
          <w:szCs w:val="16"/>
        </w:rPr>
        <w:t xml:space="preserve">68/17, </w:t>
      </w:r>
      <w:r w:rsidRPr="00053304">
        <w:rPr>
          <w:rFonts w:ascii="Verdana" w:hAnsi="Verdana"/>
          <w:szCs w:val="16"/>
        </w:rPr>
        <w:t xml:space="preserve">párr. </w:t>
      </w:r>
      <w:r w:rsidR="007250F1" w:rsidRPr="00053304">
        <w:rPr>
          <w:rFonts w:ascii="Verdana" w:hAnsi="Verdana"/>
          <w:szCs w:val="16"/>
        </w:rPr>
        <w:t xml:space="preserve">23 y resolutivo </w:t>
      </w:r>
      <w:r w:rsidR="00795F74" w:rsidRPr="00053304">
        <w:rPr>
          <w:rFonts w:ascii="Verdana" w:hAnsi="Verdana"/>
          <w:szCs w:val="16"/>
        </w:rPr>
        <w:t>3</w:t>
      </w:r>
      <w:r w:rsidRPr="00053304">
        <w:rPr>
          <w:rFonts w:ascii="Verdana" w:hAnsi="Verdana"/>
          <w:szCs w:val="16"/>
        </w:rPr>
        <w:t xml:space="preserve"> (</w:t>
      </w:r>
      <w:r w:rsidR="00E32C8A" w:rsidRPr="00053304">
        <w:rPr>
          <w:rFonts w:ascii="Verdana" w:hAnsi="Verdana"/>
          <w:i/>
          <w:iCs/>
          <w:szCs w:val="16"/>
        </w:rPr>
        <w:t>supra</w:t>
      </w:r>
      <w:r w:rsidR="00E32C8A" w:rsidRPr="00053304">
        <w:rPr>
          <w:rFonts w:ascii="Verdana" w:hAnsi="Verdana"/>
          <w:szCs w:val="16"/>
        </w:rPr>
        <w:t xml:space="preserve"> párr. 2.b</w:t>
      </w:r>
      <w:r w:rsidRPr="00053304">
        <w:rPr>
          <w:rFonts w:ascii="Verdana" w:hAnsi="Verdana"/>
          <w:szCs w:val="16"/>
        </w:rPr>
        <w:t>)</w:t>
      </w:r>
      <w:r w:rsidR="00F45AA5">
        <w:rPr>
          <w:rFonts w:ascii="Verdana" w:hAnsi="Verdana"/>
          <w:szCs w:val="16"/>
        </w:rPr>
        <w:t>.</w:t>
      </w:r>
    </w:p>
  </w:footnote>
  <w:footnote w:id="45">
    <w:p w14:paraId="1104401F" w14:textId="6E96A122" w:rsidR="00066CB5" w:rsidRPr="00053304" w:rsidRDefault="00066CB5" w:rsidP="00053304">
      <w:pPr>
        <w:pStyle w:val="Textonotapie"/>
        <w:jc w:val="both"/>
        <w:rPr>
          <w:rFonts w:ascii="Verdana" w:hAnsi="Verdana"/>
          <w:szCs w:val="16"/>
          <w:lang w:val="es-ES"/>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lang w:val="es-ES"/>
        </w:rPr>
        <w:tab/>
      </w:r>
      <w:r w:rsidR="40DDB40B" w:rsidRPr="00053304">
        <w:rPr>
          <w:rFonts w:ascii="Verdana" w:hAnsi="Verdana"/>
          <w:i/>
          <w:iCs/>
          <w:szCs w:val="16"/>
          <w:lang w:val="es-ES"/>
        </w:rPr>
        <w:t>Cfr</w:t>
      </w:r>
      <w:r w:rsidR="40DDB40B" w:rsidRPr="00053304">
        <w:rPr>
          <w:rFonts w:ascii="Verdana" w:hAnsi="Verdana"/>
          <w:szCs w:val="16"/>
          <w:lang w:val="es-ES"/>
        </w:rPr>
        <w:t xml:space="preserve">. </w:t>
      </w:r>
      <w:r w:rsidR="40DDB40B" w:rsidRPr="00053304">
        <w:rPr>
          <w:rFonts w:ascii="Verdana" w:hAnsi="Verdana"/>
          <w:i/>
          <w:iCs/>
          <w:szCs w:val="16"/>
          <w:lang w:val="es-ES"/>
        </w:rPr>
        <w:t>Caso Vera Vera y otra Vs. Ecuador</w:t>
      </w:r>
      <w:r w:rsidR="3BF92891" w:rsidRPr="00053304">
        <w:rPr>
          <w:rFonts w:ascii="Verdana" w:hAnsi="Verdana"/>
          <w:i/>
          <w:iCs/>
          <w:szCs w:val="16"/>
          <w:lang w:val="es-ES"/>
        </w:rPr>
        <w:t>.</w:t>
      </w:r>
      <w:r w:rsidR="3BF92891" w:rsidRPr="00053304">
        <w:rPr>
          <w:rFonts w:ascii="Verdana" w:hAnsi="Verdana"/>
          <w:szCs w:val="16"/>
          <w:lang w:val="es-ES"/>
        </w:rPr>
        <w:t xml:space="preserve"> </w:t>
      </w:r>
      <w:r w:rsidR="3BF92891" w:rsidRPr="00053304">
        <w:rPr>
          <w:rFonts w:ascii="Verdana" w:hAnsi="Verdana"/>
          <w:i/>
          <w:iCs/>
          <w:szCs w:val="16"/>
          <w:lang w:val="es-ES"/>
        </w:rPr>
        <w:t xml:space="preserve">Excepción Preliminar, Fondo, Reparaciones y Costas. </w:t>
      </w:r>
      <w:r w:rsidR="3BF92891" w:rsidRPr="00053304">
        <w:rPr>
          <w:rFonts w:ascii="Verdana" w:hAnsi="Verdana"/>
          <w:szCs w:val="16"/>
          <w:lang w:val="es-ES"/>
        </w:rPr>
        <w:t>Sentencia de 19 de mayo de 2011. Serie C No. 226,</w:t>
      </w:r>
      <w:r w:rsidR="40DDB40B" w:rsidRPr="00053304">
        <w:rPr>
          <w:rFonts w:ascii="Verdana" w:hAnsi="Verdana"/>
          <w:szCs w:val="16"/>
          <w:lang w:val="es-ES"/>
        </w:rPr>
        <w:t xml:space="preserve"> párr. 32; </w:t>
      </w:r>
      <w:r w:rsidR="40DDB40B" w:rsidRPr="00053304">
        <w:rPr>
          <w:rFonts w:ascii="Verdana" w:hAnsi="Verdana"/>
          <w:i/>
          <w:iCs/>
          <w:szCs w:val="16"/>
          <w:lang w:val="es-ES"/>
        </w:rPr>
        <w:t>Caso Vera Rojas y otros Vs. Chile</w:t>
      </w:r>
      <w:r w:rsidR="3BF92891" w:rsidRPr="00053304">
        <w:rPr>
          <w:rFonts w:ascii="Verdana" w:hAnsi="Verdana"/>
          <w:i/>
          <w:iCs/>
          <w:szCs w:val="16"/>
          <w:lang w:val="es-ES"/>
        </w:rPr>
        <w:t xml:space="preserve">. Excepciones Preliminares, Fondo, Reparaciones y Costas. </w:t>
      </w:r>
      <w:r w:rsidR="3BF92891" w:rsidRPr="00053304">
        <w:rPr>
          <w:rFonts w:ascii="Verdana" w:hAnsi="Verdana"/>
          <w:szCs w:val="16"/>
          <w:lang w:val="es-ES"/>
        </w:rPr>
        <w:t xml:space="preserve">Sentencia de 1 de octubre de 2021. Serie C No. 439, </w:t>
      </w:r>
      <w:r w:rsidR="40DDB40B" w:rsidRPr="00053304">
        <w:rPr>
          <w:rFonts w:ascii="Verdana" w:hAnsi="Verdana"/>
          <w:szCs w:val="16"/>
          <w:lang w:val="es-ES"/>
        </w:rPr>
        <w:t>párr. 3</w:t>
      </w:r>
      <w:r w:rsidR="3BF92891" w:rsidRPr="00053304">
        <w:rPr>
          <w:rFonts w:ascii="Verdana" w:hAnsi="Verdana"/>
          <w:szCs w:val="16"/>
          <w:lang w:val="es-ES"/>
        </w:rPr>
        <w:t>8, y</w:t>
      </w:r>
      <w:r w:rsidR="3BF92891" w:rsidRPr="00053304">
        <w:rPr>
          <w:rFonts w:ascii="Verdana" w:eastAsia="Verdana" w:hAnsi="Verdana" w:cs="Verdana"/>
          <w:szCs w:val="16"/>
          <w:lang w:val="es-ES"/>
        </w:rPr>
        <w:t xml:space="preserve"> </w:t>
      </w:r>
      <w:r w:rsidR="00E32C8A" w:rsidRPr="00053304">
        <w:rPr>
          <w:rFonts w:ascii="Verdana" w:eastAsia="Verdana" w:hAnsi="Verdana" w:cs="Verdana"/>
          <w:i/>
          <w:iCs/>
          <w:szCs w:val="16"/>
          <w:lang w:val="es-ES"/>
        </w:rPr>
        <w:t xml:space="preserve">Caso Casierra Quiñonez y otros Vs. Ecuador. Excepción Preliminar, Fondo, Reparaciones y Costas. </w:t>
      </w:r>
      <w:r w:rsidR="00E32C8A" w:rsidRPr="00053304">
        <w:rPr>
          <w:rFonts w:ascii="Verdana" w:eastAsia="Verdana" w:hAnsi="Verdana" w:cs="Verdana"/>
          <w:szCs w:val="16"/>
          <w:lang w:val="es-ES"/>
        </w:rPr>
        <w:t>Sentencia de 11 de mayo de 2022. Serie C No. 450</w:t>
      </w:r>
      <w:r w:rsidR="3BF92891" w:rsidRPr="00053304">
        <w:rPr>
          <w:rFonts w:ascii="Verdana" w:eastAsia="Verdana" w:hAnsi="Verdana" w:cs="Verdana"/>
          <w:szCs w:val="16"/>
          <w:lang w:val="es-ES"/>
        </w:rPr>
        <w:t xml:space="preserve">, párr. </w:t>
      </w:r>
      <w:r w:rsidR="00E32C8A" w:rsidRPr="00053304">
        <w:rPr>
          <w:rFonts w:ascii="Verdana" w:eastAsia="Verdana" w:hAnsi="Verdana" w:cs="Verdana"/>
          <w:szCs w:val="16"/>
          <w:lang w:val="es-ES"/>
        </w:rPr>
        <w:t>40</w:t>
      </w:r>
      <w:r w:rsidR="40DDB40B" w:rsidRPr="00053304">
        <w:rPr>
          <w:rFonts w:ascii="Verdana" w:hAnsi="Verdana"/>
          <w:szCs w:val="16"/>
          <w:lang w:val="es-ES"/>
        </w:rPr>
        <w:t>.</w:t>
      </w:r>
    </w:p>
  </w:footnote>
  <w:footnote w:id="46">
    <w:p w14:paraId="0782DD20" w14:textId="6AC83684" w:rsidR="005A7208" w:rsidRPr="00053304" w:rsidRDefault="005A7208" w:rsidP="00053304">
      <w:pPr>
        <w:pStyle w:val="Textonotapie"/>
        <w:jc w:val="both"/>
        <w:rPr>
          <w:rFonts w:ascii="Verdana" w:hAnsi="Verdana"/>
          <w:szCs w:val="16"/>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rPr>
        <w:tab/>
      </w:r>
      <w:r w:rsidR="40DDB40B" w:rsidRPr="00053304">
        <w:rPr>
          <w:rFonts w:ascii="Verdana" w:hAnsi="Verdana"/>
          <w:i/>
          <w:iCs/>
          <w:szCs w:val="16"/>
        </w:rPr>
        <w:t>Cfr. Caso Velásquez Rodríguez Vs. Honduras. Fondo, supra</w:t>
      </w:r>
      <w:r w:rsidR="40DDB40B" w:rsidRPr="00053304">
        <w:rPr>
          <w:rFonts w:ascii="Verdana" w:hAnsi="Verdana"/>
          <w:szCs w:val="16"/>
        </w:rPr>
        <w:t xml:space="preserve">, párr. 140, y </w:t>
      </w:r>
      <w:r w:rsidR="00E7296B" w:rsidRPr="00053304">
        <w:rPr>
          <w:rFonts w:ascii="Verdana" w:hAnsi="Verdana"/>
          <w:i/>
          <w:iCs/>
          <w:szCs w:val="16"/>
          <w:lang w:val="es-ES"/>
        </w:rPr>
        <w:t>Tzompaxtle Tecpíle y Otros Vs. México</w:t>
      </w:r>
      <w:r w:rsidR="40DDB40B" w:rsidRPr="00053304">
        <w:rPr>
          <w:rFonts w:ascii="Verdana" w:hAnsi="Verdana"/>
          <w:szCs w:val="16"/>
        </w:rPr>
        <w:t>,</w:t>
      </w:r>
      <w:r w:rsidR="00E7296B" w:rsidRPr="00053304">
        <w:rPr>
          <w:rFonts w:ascii="Verdana" w:hAnsi="Verdana"/>
          <w:szCs w:val="16"/>
        </w:rPr>
        <w:t xml:space="preserve"> </w:t>
      </w:r>
      <w:r w:rsidR="00E7296B" w:rsidRPr="00053304">
        <w:rPr>
          <w:rFonts w:ascii="Verdana" w:hAnsi="Verdana"/>
          <w:i/>
          <w:iCs/>
          <w:szCs w:val="16"/>
        </w:rPr>
        <w:t>supra</w:t>
      </w:r>
      <w:r w:rsidR="00E7296B" w:rsidRPr="00053304">
        <w:rPr>
          <w:rFonts w:ascii="Verdana" w:hAnsi="Verdana"/>
          <w:szCs w:val="16"/>
        </w:rPr>
        <w:t>,</w:t>
      </w:r>
      <w:r w:rsidR="40DDB40B" w:rsidRPr="00053304">
        <w:rPr>
          <w:rFonts w:ascii="Verdana" w:hAnsi="Verdana"/>
          <w:szCs w:val="16"/>
        </w:rPr>
        <w:t xml:space="preserve"> párr. </w:t>
      </w:r>
      <w:r w:rsidR="00667635" w:rsidRPr="00053304">
        <w:rPr>
          <w:rFonts w:ascii="Verdana" w:hAnsi="Verdana"/>
          <w:szCs w:val="16"/>
        </w:rPr>
        <w:t>31</w:t>
      </w:r>
      <w:r w:rsidR="40DDB40B" w:rsidRPr="00053304">
        <w:rPr>
          <w:rFonts w:ascii="Verdana" w:hAnsi="Verdana"/>
          <w:szCs w:val="16"/>
        </w:rPr>
        <w:t>.</w:t>
      </w:r>
    </w:p>
  </w:footnote>
  <w:footnote w:id="47">
    <w:p w14:paraId="4D9A22A8" w14:textId="407A6F38" w:rsidR="005A7208" w:rsidRPr="00053304" w:rsidRDefault="005A7208"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ab/>
      </w:r>
      <w:r w:rsidR="00923441" w:rsidRPr="00053304">
        <w:rPr>
          <w:rFonts w:ascii="Verdana" w:hAnsi="Verdana"/>
          <w:szCs w:val="16"/>
          <w:lang w:val="es-CR"/>
        </w:rPr>
        <w:t>Se recibieron las declaraciones de</w:t>
      </w:r>
      <w:r w:rsidR="3BF92891" w:rsidRPr="00053304">
        <w:rPr>
          <w:rFonts w:ascii="Verdana" w:hAnsi="Verdana"/>
          <w:szCs w:val="16"/>
          <w:lang w:val="es-CR"/>
        </w:rPr>
        <w:t xml:space="preserve"> </w:t>
      </w:r>
      <w:r w:rsidR="6E159DF8" w:rsidRPr="00053304">
        <w:rPr>
          <w:rFonts w:ascii="Verdana" w:hAnsi="Verdana"/>
          <w:szCs w:val="16"/>
          <w:lang w:val="es-CR"/>
        </w:rPr>
        <w:t xml:space="preserve">Daniel García Rodríguez, José Ramón Cossío Díaz y Rogelio Arturo Bárcena Zubieta. </w:t>
      </w:r>
    </w:p>
  </w:footnote>
  <w:footnote w:id="48">
    <w:p w14:paraId="02CED786" w14:textId="6C5BBD88" w:rsidR="005A7208" w:rsidRPr="00053304" w:rsidRDefault="005A7208"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ab/>
        <w:t>Se recibieron las declaraciones rendidas ante fedatario público (</w:t>
      </w:r>
      <w:r w:rsidR="00923441" w:rsidRPr="00053304">
        <w:rPr>
          <w:rFonts w:ascii="Verdana" w:hAnsi="Verdana"/>
          <w:i/>
          <w:iCs/>
          <w:szCs w:val="16"/>
        </w:rPr>
        <w:t>affidavit</w:t>
      </w:r>
      <w:r w:rsidR="00923441" w:rsidRPr="00053304">
        <w:rPr>
          <w:rFonts w:ascii="Verdana" w:hAnsi="Verdana"/>
          <w:szCs w:val="16"/>
        </w:rPr>
        <w:t xml:space="preserve">) de: Jorge Ulises Carmona Tinoco, José Alberto Buendía Valverde, Norma Elvira Trejos, Denisse Aribel Pérez, Guillermina Trinidad </w:t>
      </w:r>
      <w:r w:rsidR="3BF92891" w:rsidRPr="00053304">
        <w:rPr>
          <w:rFonts w:ascii="Verdana" w:hAnsi="Verdana"/>
          <w:szCs w:val="16"/>
        </w:rPr>
        <w:t>Olivarez</w:t>
      </w:r>
      <w:r w:rsidR="6E159DF8" w:rsidRPr="00053304">
        <w:rPr>
          <w:rFonts w:ascii="Verdana" w:hAnsi="Verdana"/>
          <w:szCs w:val="16"/>
        </w:rPr>
        <w:t xml:space="preserve">, Laura García Rodríguez, María Magdalena Pérez, Reyes Alpízar y Víctor Rodríguez. </w:t>
      </w:r>
    </w:p>
  </w:footnote>
  <w:footnote w:id="49">
    <w:p w14:paraId="6586B377" w14:textId="1682F482" w:rsidR="005A7208" w:rsidRPr="00053304" w:rsidRDefault="005A7208" w:rsidP="00053304">
      <w:pPr>
        <w:pStyle w:val="Textonotapie"/>
        <w:jc w:val="both"/>
        <w:rPr>
          <w:rFonts w:ascii="Verdana" w:hAnsi="Verdana"/>
          <w:szCs w:val="16"/>
          <w:lang w:val="es-MX"/>
        </w:rPr>
      </w:pPr>
      <w:r w:rsidRPr="00053304">
        <w:rPr>
          <w:rStyle w:val="Refdenotaalpie"/>
          <w:rFonts w:ascii="Verdana" w:hAnsi="Verdana"/>
          <w:szCs w:val="16"/>
        </w:rPr>
        <w:footnoteRef/>
      </w:r>
      <w:r w:rsidRPr="00053304">
        <w:rPr>
          <w:rFonts w:ascii="Verdana" w:hAnsi="Verdana"/>
          <w:szCs w:val="16"/>
          <w:lang w:val="es-CR"/>
        </w:rPr>
        <w:t xml:space="preserve"> </w:t>
      </w:r>
      <w:r w:rsidRPr="00053304">
        <w:rPr>
          <w:rFonts w:ascii="Verdana" w:hAnsi="Verdana"/>
          <w:szCs w:val="16"/>
          <w:lang w:val="es-MX"/>
        </w:rPr>
        <w:tab/>
        <w:t xml:space="preserve">Los objetos de las declaraciones se encuentran establecidos en </w:t>
      </w:r>
      <w:r w:rsidR="007E30E1" w:rsidRPr="00053304">
        <w:rPr>
          <w:rFonts w:ascii="Verdana" w:hAnsi="Verdana"/>
          <w:szCs w:val="16"/>
          <w:lang w:val="es-MX"/>
        </w:rPr>
        <w:t xml:space="preserve">las </w:t>
      </w:r>
      <w:r w:rsidRPr="00053304">
        <w:rPr>
          <w:rFonts w:ascii="Verdana" w:hAnsi="Verdana"/>
          <w:szCs w:val="16"/>
          <w:lang w:val="es-MX"/>
        </w:rPr>
        <w:t>Resolución de</w:t>
      </w:r>
      <w:r w:rsidR="000E1B19" w:rsidRPr="00053304">
        <w:rPr>
          <w:rFonts w:ascii="Verdana" w:hAnsi="Verdana"/>
          <w:szCs w:val="16"/>
          <w:lang w:val="es-MX"/>
        </w:rPr>
        <w:t xml:space="preserve">l </w:t>
      </w:r>
      <w:r w:rsidRPr="00053304">
        <w:rPr>
          <w:rFonts w:ascii="Verdana" w:hAnsi="Verdana"/>
          <w:szCs w:val="16"/>
          <w:lang w:val="es-MX"/>
        </w:rPr>
        <w:t>President</w:t>
      </w:r>
      <w:r w:rsidR="000E1B19" w:rsidRPr="00053304">
        <w:rPr>
          <w:rFonts w:ascii="Verdana" w:hAnsi="Verdana"/>
          <w:szCs w:val="16"/>
          <w:lang w:val="es-MX"/>
        </w:rPr>
        <w:t>e</w:t>
      </w:r>
      <w:r w:rsidRPr="00053304">
        <w:rPr>
          <w:rFonts w:ascii="Verdana" w:hAnsi="Verdana"/>
          <w:szCs w:val="16"/>
          <w:lang w:val="es-MX"/>
        </w:rPr>
        <w:t xml:space="preserve"> de la Corte de </w:t>
      </w:r>
      <w:r w:rsidR="00572860" w:rsidRPr="00053304">
        <w:rPr>
          <w:rFonts w:ascii="Verdana" w:hAnsi="Verdana"/>
          <w:szCs w:val="16"/>
          <w:lang w:val="es-MX"/>
        </w:rPr>
        <w:t>6</w:t>
      </w:r>
      <w:r w:rsidRPr="00053304">
        <w:rPr>
          <w:rFonts w:ascii="Verdana" w:hAnsi="Verdana"/>
          <w:szCs w:val="16"/>
          <w:lang w:val="es-MX"/>
        </w:rPr>
        <w:t xml:space="preserve"> de </w:t>
      </w:r>
      <w:r w:rsidR="00572860" w:rsidRPr="00053304">
        <w:rPr>
          <w:rFonts w:ascii="Verdana" w:hAnsi="Verdana"/>
          <w:szCs w:val="16"/>
          <w:lang w:val="es-MX"/>
        </w:rPr>
        <w:t>julio</w:t>
      </w:r>
      <w:r w:rsidRPr="00053304">
        <w:rPr>
          <w:rFonts w:ascii="Verdana" w:hAnsi="Verdana"/>
          <w:szCs w:val="16"/>
          <w:lang w:val="es-MX"/>
        </w:rPr>
        <w:t xml:space="preserve"> de </w:t>
      </w:r>
      <w:r w:rsidR="000E1B19" w:rsidRPr="00053304">
        <w:rPr>
          <w:rFonts w:ascii="Verdana" w:hAnsi="Verdana"/>
          <w:szCs w:val="16"/>
          <w:lang w:val="es-MX"/>
        </w:rPr>
        <w:t>2022</w:t>
      </w:r>
      <w:r w:rsidR="007E30E1" w:rsidRPr="00053304">
        <w:rPr>
          <w:rFonts w:ascii="Verdana" w:hAnsi="Verdana"/>
          <w:szCs w:val="16"/>
          <w:lang w:val="es-MX"/>
        </w:rPr>
        <w:t xml:space="preserve"> y de 27 de julio de 2022 (</w:t>
      </w:r>
      <w:r w:rsidR="007E30E1" w:rsidRPr="00053304">
        <w:rPr>
          <w:rFonts w:ascii="Verdana" w:hAnsi="Verdana"/>
          <w:i/>
          <w:iCs/>
          <w:szCs w:val="16"/>
          <w:lang w:val="es-MX"/>
        </w:rPr>
        <w:t>supra</w:t>
      </w:r>
      <w:r w:rsidR="007E30E1" w:rsidRPr="00053304">
        <w:rPr>
          <w:rFonts w:ascii="Verdana" w:hAnsi="Verdana"/>
          <w:szCs w:val="16"/>
          <w:lang w:val="es-MX"/>
        </w:rPr>
        <w:t xml:space="preserve"> párr. 11)</w:t>
      </w:r>
      <w:r w:rsidRPr="00053304">
        <w:rPr>
          <w:rFonts w:ascii="Verdana" w:hAnsi="Verdana"/>
          <w:szCs w:val="16"/>
          <w:lang w:val="es-MX"/>
        </w:rPr>
        <w:t>.</w:t>
      </w:r>
    </w:p>
  </w:footnote>
  <w:footnote w:id="50">
    <w:p w14:paraId="31EFE7CA" w14:textId="24CD079D" w:rsidR="005A7208" w:rsidRPr="00053304" w:rsidRDefault="005A7208"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 xml:space="preserve">Remitieron </w:t>
      </w:r>
      <w:r w:rsidR="00CB546C" w:rsidRPr="00053304">
        <w:rPr>
          <w:rFonts w:ascii="Verdana" w:hAnsi="Verdana"/>
          <w:szCs w:val="16"/>
        </w:rPr>
        <w:t>los siguientes documentos</w:t>
      </w:r>
      <w:r w:rsidR="002F4887" w:rsidRPr="00053304">
        <w:rPr>
          <w:rFonts w:ascii="Verdana" w:hAnsi="Verdana"/>
          <w:szCs w:val="16"/>
        </w:rPr>
        <w:t xml:space="preserve">: 1) </w:t>
      </w:r>
      <w:r w:rsidR="00572860" w:rsidRPr="00053304">
        <w:rPr>
          <w:rFonts w:ascii="Verdana" w:hAnsi="Verdana"/>
          <w:szCs w:val="16"/>
        </w:rPr>
        <w:t xml:space="preserve">Copias de comprobantes de </w:t>
      </w:r>
      <w:r w:rsidR="004B0076" w:rsidRPr="00053304">
        <w:rPr>
          <w:rFonts w:ascii="Verdana" w:hAnsi="Verdana"/>
          <w:szCs w:val="16"/>
        </w:rPr>
        <w:t>hospedaje</w:t>
      </w:r>
      <w:r w:rsidR="002F4887" w:rsidRPr="00053304">
        <w:rPr>
          <w:rFonts w:ascii="Verdana" w:hAnsi="Verdana"/>
          <w:szCs w:val="16"/>
        </w:rPr>
        <w:t xml:space="preserve">, 2) Copias de facturas de compra boletos aéreos, 3) copias de facturas de transportes terrestres (taxis), </w:t>
      </w:r>
      <w:r w:rsidR="00BD310A" w:rsidRPr="00053304">
        <w:rPr>
          <w:rFonts w:ascii="Verdana" w:hAnsi="Verdana"/>
          <w:szCs w:val="16"/>
        </w:rPr>
        <w:t xml:space="preserve">y </w:t>
      </w:r>
      <w:r w:rsidR="002F4887" w:rsidRPr="00053304">
        <w:rPr>
          <w:rFonts w:ascii="Verdana" w:hAnsi="Verdana"/>
          <w:szCs w:val="16"/>
        </w:rPr>
        <w:t>4) copias de facturas por gastos de alimentación</w:t>
      </w:r>
      <w:r w:rsidRPr="00053304">
        <w:rPr>
          <w:rFonts w:ascii="Verdana" w:hAnsi="Verdana"/>
          <w:szCs w:val="16"/>
        </w:rPr>
        <w:t xml:space="preserve"> (expediente de prueba</w:t>
      </w:r>
      <w:r w:rsidR="007E30E1" w:rsidRPr="00053304">
        <w:rPr>
          <w:rFonts w:ascii="Verdana" w:hAnsi="Verdana"/>
          <w:szCs w:val="16"/>
        </w:rPr>
        <w:t>,</w:t>
      </w:r>
      <w:r w:rsidRPr="00053304">
        <w:rPr>
          <w:rFonts w:ascii="Verdana" w:hAnsi="Verdana"/>
          <w:szCs w:val="16"/>
        </w:rPr>
        <w:t xml:space="preserve"> folios </w:t>
      </w:r>
      <w:r w:rsidR="007E30E1" w:rsidRPr="00053304">
        <w:rPr>
          <w:rFonts w:ascii="Verdana" w:hAnsi="Verdana"/>
          <w:szCs w:val="16"/>
        </w:rPr>
        <w:t>70359</w:t>
      </w:r>
      <w:r w:rsidRPr="00053304">
        <w:rPr>
          <w:rFonts w:ascii="Verdana" w:hAnsi="Verdana"/>
          <w:szCs w:val="16"/>
        </w:rPr>
        <w:t xml:space="preserve"> y </w:t>
      </w:r>
      <w:r w:rsidR="007E30E1" w:rsidRPr="00053304">
        <w:rPr>
          <w:rFonts w:ascii="Verdana" w:hAnsi="Verdana"/>
          <w:szCs w:val="16"/>
        </w:rPr>
        <w:t>siguientes</w:t>
      </w:r>
      <w:r w:rsidRPr="00053304">
        <w:rPr>
          <w:rFonts w:ascii="Verdana" w:hAnsi="Verdana"/>
          <w:szCs w:val="16"/>
        </w:rPr>
        <w:t>).</w:t>
      </w:r>
    </w:p>
  </w:footnote>
  <w:footnote w:id="51">
    <w:p w14:paraId="69C1308A" w14:textId="1B95B91F" w:rsidR="007E30E1" w:rsidRPr="00053304" w:rsidRDefault="007E30E1"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Remitió los siguientes documentos: 1) Certificados médicos del Sr. Daniel García Rodríguez; 2) Comprobantes de servicios de luz eléctrica y agua potable del Centro Penitenciario y de Reinserción Social Tlalnepantla; 3) Desglose de la partida presupuestal del Centro Penitenciario y de Reinserción Social Tlalnepantla (2017-2022); 4) Contrato de servicios con empresa privada encargada de la proporción de alimentos a las personas privadas de la libertad en los Centros Penitenciarios del Estado de México; 5) Fotografías de la elaboración de alimentos dentro del Centro Penitenciario y de Reinserción Social Tlalnepantla; 6) Fotografías de instalación y suministro de agua potable al Centro Penitenciario y de Reinserción Social Tlalnepantla; 7) Fotografías de entrega de artículos de aseo personal, tenis y cobijas a las personas privadas de la libertad en el Centro Penitenciario y de Reinserción Social Tlalnepantla; 8) Convenio de Colaboración para la Atención Médica Quirúrgica de Especialidades disponibles y de Emergencia celebrado por la Dirección General de Prevención y Reinserción Social con el Instituto de Salud del Estado de México; 9) Folleto de listado de objetos, artículos y alimentos permitidos así como no permitidos para el ingreso a Instituciones Penitenciarias del Estado de México; 10) Fotografías de convivencias con fines de prevención al abandono, organizadas por el Centro Penitenciario y de Reinserción Social Tlalnepantla a las personas privadas de la libertad; 11) Constancias de participación del Sr. Daniel García Rodríguez, a dos talleres ofertados por el Centro Penitenciario y de Reinserción Social Tlalnepantla; 12) Informe del área de trabajo social del Centro Penitenciario y de Reinserción Social Tlalnepantla respecto de las visitas familiares e íntimas al Sr. Daniel García Rodríguez; 13) Informe del área de psicología del Centro Penitenciario y de Reinserción Social Tlalnepantla respecto a su negativa de participación en actividades de tal área; 14) Fotografías e informe estadístico respecto a las actividades de autoempleo y aquellas no remuneradas del Centro Penitenciario y de Reinserción Social Tlalnepantla; 15) Informe estadístico de Cambio de Medida Cautelar emitido por la FECOR. (2018-2022); 16) Versión taquigráfica de la Sesión Pública Ordinaria del Pleno de la Suprema Corte de Justicia de la Nación, celebrada el lunes 5 de septiembre de 2022; 17) Versión taquigráfica de la Sesión Pública Ordinaria del Pleno de la Suprema Corte de Justicia de la Nación, celebrada el martes 6 de septiembre de 2022; 18) Versión taquigráfica de la Sesión Pública Ordinaria del Pleno de la Suprema Corte de Justicia de la Nación, celebrada el jueves 8 de septiembre de 2022; 19) Modificaciones artículo 19 constitucional respecto a la Prisión Preventiva oficiosa, y 20) Modificaciones artículo 20 constitucional respecto a la Prisión Preventiva oficiosa (expediente de prueba, folios 71351 y siguientes).</w:t>
      </w:r>
    </w:p>
  </w:footnote>
  <w:footnote w:id="52">
    <w:p w14:paraId="26C465BD" w14:textId="19257F09" w:rsidR="00057A46" w:rsidRPr="00053304" w:rsidRDefault="00057A46"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Sentencia de 12 de mayo de 2022 (exp</w:t>
      </w:r>
      <w:r w:rsidR="00E216F5" w:rsidRPr="00053304">
        <w:rPr>
          <w:rFonts w:ascii="Verdana" w:hAnsi="Verdana"/>
          <w:szCs w:val="16"/>
        </w:rPr>
        <w:t>e</w:t>
      </w:r>
      <w:r w:rsidRPr="00053304">
        <w:rPr>
          <w:rFonts w:ascii="Verdana" w:hAnsi="Verdana"/>
          <w:szCs w:val="16"/>
        </w:rPr>
        <w:t xml:space="preserve">diente de prueba, folios </w:t>
      </w:r>
      <w:r w:rsidR="00EA296B" w:rsidRPr="00053304">
        <w:rPr>
          <w:rFonts w:ascii="Verdana" w:hAnsi="Verdana"/>
          <w:szCs w:val="16"/>
        </w:rPr>
        <w:t>70367</w:t>
      </w:r>
      <w:r w:rsidRPr="00053304">
        <w:rPr>
          <w:rFonts w:ascii="Verdana" w:hAnsi="Verdana"/>
          <w:szCs w:val="16"/>
        </w:rPr>
        <w:t xml:space="preserve"> y </w:t>
      </w:r>
      <w:r w:rsidR="00FB77A3" w:rsidRPr="00053304">
        <w:rPr>
          <w:rFonts w:ascii="Verdana" w:hAnsi="Verdana"/>
          <w:szCs w:val="16"/>
        </w:rPr>
        <w:t>siguientes</w:t>
      </w:r>
      <w:r w:rsidRPr="00053304">
        <w:rPr>
          <w:rFonts w:ascii="Verdana" w:hAnsi="Verdana"/>
          <w:szCs w:val="16"/>
        </w:rPr>
        <w:t>).</w:t>
      </w:r>
    </w:p>
  </w:footnote>
  <w:footnote w:id="53">
    <w:p w14:paraId="766F1C94" w14:textId="58BC8E34"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0085540D" w:rsidRPr="00053304">
        <w:rPr>
          <w:rFonts w:ascii="Verdana" w:hAnsi="Verdana"/>
          <w:i/>
          <w:iCs/>
          <w:szCs w:val="16"/>
          <w:lang w:val="es-ES"/>
        </w:rPr>
        <w:t>Cfr</w:t>
      </w:r>
      <w:r w:rsidRPr="00053304">
        <w:rPr>
          <w:rFonts w:ascii="Verdana" w:hAnsi="Verdana"/>
          <w:szCs w:val="16"/>
          <w:lang w:val="es-ES"/>
        </w:rPr>
        <w:t xml:space="preserve">. Declaración de Daniel García Rodríguez durante la audiencia pública del presente caso </w:t>
      </w:r>
      <w:r w:rsidR="3BF92891" w:rsidRPr="00053304">
        <w:rPr>
          <w:rFonts w:ascii="Verdana" w:hAnsi="Verdana"/>
          <w:szCs w:val="16"/>
          <w:lang w:val="es-ES"/>
        </w:rPr>
        <w:t>de</w:t>
      </w:r>
      <w:r w:rsidR="6E159DF8" w:rsidRPr="00053304">
        <w:rPr>
          <w:rFonts w:ascii="Verdana" w:hAnsi="Verdana"/>
          <w:szCs w:val="16"/>
          <w:lang w:val="es-ES"/>
        </w:rPr>
        <w:t xml:space="preserve"> 26 de julio de 2022. </w:t>
      </w:r>
    </w:p>
  </w:footnote>
  <w:footnote w:id="54">
    <w:p w14:paraId="1FA8551A" w14:textId="556063EA"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00E216F5" w:rsidRPr="00053304">
        <w:rPr>
          <w:rFonts w:ascii="Verdana" w:hAnsi="Verdana"/>
          <w:i/>
          <w:iCs/>
          <w:szCs w:val="16"/>
          <w:lang w:val="es-ES"/>
        </w:rPr>
        <w:t>Cfr</w:t>
      </w:r>
      <w:r w:rsidRPr="00053304">
        <w:rPr>
          <w:rFonts w:ascii="Verdana" w:hAnsi="Verdana"/>
          <w:szCs w:val="16"/>
          <w:lang w:val="es-ES"/>
        </w:rPr>
        <w:t xml:space="preserve">. </w:t>
      </w:r>
      <w:r w:rsidR="3BF92891" w:rsidRPr="00053304">
        <w:rPr>
          <w:rFonts w:ascii="Verdana" w:hAnsi="Verdana"/>
          <w:szCs w:val="16"/>
          <w:lang w:val="es-ES"/>
        </w:rPr>
        <w:t>Affidávit Reyes Alpízar Ortiz (expediente de fondo, folio 993)</w:t>
      </w:r>
      <w:r w:rsidR="6E159DF8" w:rsidRPr="00053304">
        <w:rPr>
          <w:rFonts w:ascii="Verdana" w:hAnsi="Verdana"/>
          <w:szCs w:val="16"/>
          <w:lang w:val="es-ES"/>
        </w:rPr>
        <w:t>.</w:t>
      </w:r>
    </w:p>
  </w:footnote>
  <w:footnote w:id="55">
    <w:p w14:paraId="7915E77C" w14:textId="2897422D" w:rsidR="009B26D7" w:rsidRPr="00053304" w:rsidRDefault="009B26D7"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i/>
          <w:iCs/>
          <w:szCs w:val="16"/>
          <w:lang w:val="es-ES"/>
        </w:rPr>
        <w:tab/>
        <w:t xml:space="preserve">Cfr. </w:t>
      </w:r>
      <w:r w:rsidRPr="00053304">
        <w:rPr>
          <w:rFonts w:ascii="Verdana" w:hAnsi="Verdana"/>
          <w:szCs w:val="16"/>
          <w:lang w:val="es-US"/>
        </w:rPr>
        <w:t>Auto. Orden de Aprehensión. Juez Quinto Penal de primera instancia del Distrito Judicial Tlalnepantla, Estado de México, 8 de abril de 2002, “Orden de Aprehensión Daniel García” (expediente de prueba</w:t>
      </w:r>
      <w:r w:rsidR="6E159DF8" w:rsidRPr="00053304">
        <w:rPr>
          <w:rFonts w:ascii="Verdana" w:hAnsi="Verdana"/>
          <w:szCs w:val="16"/>
          <w:lang w:val="es-US"/>
        </w:rPr>
        <w:t>,</w:t>
      </w:r>
      <w:r w:rsidRPr="00053304">
        <w:rPr>
          <w:rFonts w:ascii="Verdana" w:hAnsi="Verdana"/>
          <w:szCs w:val="16"/>
          <w:lang w:val="es-US"/>
        </w:rPr>
        <w:t xml:space="preserve"> folios 10 a 378).</w:t>
      </w:r>
    </w:p>
  </w:footnote>
  <w:footnote w:id="56">
    <w:p w14:paraId="585E84E5" w14:textId="1FE92803" w:rsidR="009B26D7" w:rsidRPr="00053304" w:rsidRDefault="009B26D7"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00E7296B" w:rsidRPr="00053304">
        <w:rPr>
          <w:rFonts w:ascii="Verdana" w:hAnsi="Verdana"/>
          <w:szCs w:val="16"/>
          <w:lang w:val="es-US"/>
        </w:rPr>
        <w:t xml:space="preserve">Esa institución es hoy </w:t>
      </w:r>
      <w:r w:rsidRPr="00053304">
        <w:rPr>
          <w:rFonts w:ascii="Verdana" w:hAnsi="Verdana"/>
          <w:szCs w:val="16"/>
          <w:lang w:val="es-US"/>
        </w:rPr>
        <w:t>la Fiscalía General de Justicia del Estado de México. Se creó el 10 de enero de 2020 y reemplazó a la Procuraduría General de Justicia del Distrito Federal.</w:t>
      </w:r>
    </w:p>
  </w:footnote>
  <w:footnote w:id="57">
    <w:p w14:paraId="1826F14B" w14:textId="4EB0BB4E"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w:t>
      </w:r>
      <w:r w:rsidRPr="00053304">
        <w:rPr>
          <w:rFonts w:ascii="Verdana" w:hAnsi="Verdana"/>
          <w:szCs w:val="16"/>
          <w:lang w:val="es-US"/>
        </w:rPr>
        <w:t>Gobierno del Estado de México. Procuraduría General de Justicia. Promueve Arraigo (Daniel García), Tlalnepantla, 25 de febrero de 2002 (expediente de prueba, folios 602 a 616).</w:t>
      </w:r>
    </w:p>
  </w:footnote>
  <w:footnote w:id="58">
    <w:p w14:paraId="29037721" w14:textId="6D0E6C5C"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Pr="00053304">
        <w:rPr>
          <w:rFonts w:ascii="Verdana" w:hAnsi="Verdana"/>
          <w:i/>
          <w:iCs/>
          <w:szCs w:val="16"/>
          <w:lang w:val="es-ES"/>
        </w:rPr>
        <w:t>Cfr</w:t>
      </w:r>
      <w:r w:rsidRPr="00053304">
        <w:rPr>
          <w:rFonts w:ascii="Verdana" w:hAnsi="Verdana"/>
          <w:szCs w:val="16"/>
          <w:lang w:val="es-ES"/>
        </w:rPr>
        <w:t xml:space="preserve">. </w:t>
      </w:r>
      <w:r w:rsidRPr="00053304">
        <w:rPr>
          <w:rFonts w:ascii="Verdana" w:hAnsi="Verdana"/>
          <w:szCs w:val="16"/>
          <w:lang w:val="es-US"/>
        </w:rPr>
        <w:t xml:space="preserve">Orden de Arraigo. Tlalnepantla, México, 25 de febrero de 2002 (expediente de prueba, folio 618 a 636). </w:t>
      </w:r>
    </w:p>
  </w:footnote>
  <w:footnote w:id="59">
    <w:p w14:paraId="04FDFF43" w14:textId="5D5FFB22"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szCs w:val="16"/>
          <w:lang w:val="es-US"/>
        </w:rPr>
        <w:t>Gobierno del Estado de México. Procuraduría General de Justicia. Acuerdo, Tlalnepantla, 25 de febrero de 2002, foliación indeterminada 019446. El certificado médico indica que el examen se practicó a las 19:55 hrs, y se constató que se encontraba “sin lesiones al exterior al momento de su presentación (expediente de prueba, folio 638)</w:t>
      </w:r>
      <w:r w:rsidR="007F4456" w:rsidRPr="00053304">
        <w:rPr>
          <w:rFonts w:ascii="Verdana" w:hAnsi="Verdana"/>
          <w:szCs w:val="16"/>
          <w:lang w:val="es-US"/>
        </w:rPr>
        <w:t>, y</w:t>
      </w:r>
      <w:r w:rsidRPr="00053304">
        <w:rPr>
          <w:rFonts w:ascii="Verdana" w:hAnsi="Verdana"/>
          <w:szCs w:val="16"/>
          <w:lang w:val="es-US"/>
        </w:rPr>
        <w:t xml:space="preserve"> Gobierno del Estado de México. Procuraduría General de Justicia. Dirección General de Servicios Periciales. Servicio Médico Forense. Certificado Médico. Tlalnepantla de Baz México, 25 de febrero de 2002, 19:55 horas (expediente de prueba, folio 640). </w:t>
      </w:r>
    </w:p>
  </w:footnote>
  <w:footnote w:id="60">
    <w:p w14:paraId="06B6A660" w14:textId="46322EFA"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lang w:val="es-ES"/>
        </w:rPr>
        <w:t>Cfr</w:t>
      </w:r>
      <w:r w:rsidRPr="00053304">
        <w:rPr>
          <w:rFonts w:ascii="Verdana" w:hAnsi="Verdana"/>
          <w:szCs w:val="16"/>
          <w:lang w:val="es-ES"/>
        </w:rPr>
        <w:t xml:space="preserve">. </w:t>
      </w:r>
      <w:r w:rsidRPr="00053304">
        <w:rPr>
          <w:rFonts w:ascii="Verdana" w:hAnsi="Verdana"/>
          <w:szCs w:val="16"/>
          <w:lang w:val="es-US"/>
        </w:rPr>
        <w:t>Gobierno del Estado de México. Procuraduría General de Justicia. Oficio 213/300002/176/02. Solicita Prórroga de Arraigo (expediente de prueba, folios 642 a 653).</w:t>
      </w:r>
    </w:p>
  </w:footnote>
  <w:footnote w:id="61">
    <w:p w14:paraId="28195943" w14:textId="0E410EAE"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 xml:space="preserve"> </w:t>
      </w:r>
      <w:r w:rsidRPr="00053304">
        <w:rPr>
          <w:rFonts w:ascii="Verdana" w:hAnsi="Verdana"/>
          <w:szCs w:val="16"/>
          <w:lang w:val="es-ES"/>
        </w:rPr>
        <w:tab/>
      </w:r>
      <w:r w:rsidRPr="00053304">
        <w:rPr>
          <w:rFonts w:ascii="Verdana" w:hAnsi="Verdana"/>
          <w:i/>
          <w:iCs/>
          <w:szCs w:val="16"/>
          <w:lang w:val="es-ES"/>
        </w:rPr>
        <w:t>Cfr</w:t>
      </w:r>
      <w:r w:rsidRPr="00053304">
        <w:rPr>
          <w:rFonts w:ascii="Verdana" w:hAnsi="Verdana"/>
          <w:szCs w:val="16"/>
          <w:lang w:val="es-ES"/>
        </w:rPr>
        <w:t xml:space="preserve">. </w:t>
      </w:r>
      <w:r w:rsidRPr="00053304">
        <w:rPr>
          <w:rFonts w:ascii="Verdana" w:hAnsi="Verdana"/>
          <w:szCs w:val="16"/>
          <w:lang w:val="es-US"/>
        </w:rPr>
        <w:t>Auto de Ampliación de Arraigo. Tlalnepantla, México, 26 de marzo de 2002 (“Ampliación de Arraigo, Daniel García”) (expediente de prueba, folios 655 a 689).</w:t>
      </w:r>
    </w:p>
  </w:footnote>
  <w:footnote w:id="62">
    <w:p w14:paraId="714B91B8" w14:textId="7F2536C3"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lang w:val="es-ES"/>
        </w:rPr>
        <w:t xml:space="preserve">Cfr. </w:t>
      </w:r>
      <w:r w:rsidRPr="00053304">
        <w:rPr>
          <w:rFonts w:ascii="Verdana" w:hAnsi="Verdana"/>
          <w:szCs w:val="16"/>
          <w:lang w:val="es-US"/>
        </w:rPr>
        <w:t>Auto. Orden de Aprehensión. Juez Quinto Penal de primera instancia del Distrito Judicial Tlalnepantla, Estado de México, 8 de abril de 2002, “Orden de Aprehensión Daniel García” (expediente de prueba folios 11 a 378).</w:t>
      </w:r>
    </w:p>
  </w:footnote>
  <w:footnote w:id="63">
    <w:p w14:paraId="7B22236C" w14:textId="70DCE53A"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ES"/>
        </w:rPr>
        <w:t>Cfr</w:t>
      </w:r>
      <w:r w:rsidRPr="00053304">
        <w:rPr>
          <w:rFonts w:ascii="Verdana" w:hAnsi="Verdana"/>
          <w:szCs w:val="16"/>
          <w:lang w:val="es-ES"/>
        </w:rPr>
        <w:t xml:space="preserve">. </w:t>
      </w:r>
      <w:r w:rsidRPr="00053304">
        <w:rPr>
          <w:rFonts w:ascii="Verdana" w:hAnsi="Verdana"/>
          <w:szCs w:val="16"/>
          <w:lang w:val="es-US"/>
        </w:rPr>
        <w:t>Notificación de Orden de Aprehensión Daniel García (expediente de prueba, folio 691 a 693); Orden de Detención. Juzgado Quinto Penal de Primera Instancia del Distrito Judicial de Tlalnepantla, Estado de México, 10 de abril de 2002 (expediente de prueba, folio 6995)</w:t>
      </w:r>
      <w:r w:rsidR="007F4456" w:rsidRPr="00053304">
        <w:rPr>
          <w:rFonts w:ascii="Verdana" w:hAnsi="Verdana"/>
          <w:szCs w:val="16"/>
          <w:lang w:val="es-US"/>
        </w:rPr>
        <w:t>, y</w:t>
      </w:r>
      <w:r w:rsidRPr="00053304">
        <w:rPr>
          <w:rFonts w:ascii="Verdana" w:hAnsi="Verdana"/>
          <w:szCs w:val="16"/>
          <w:lang w:val="es-US"/>
        </w:rPr>
        <w:t xml:space="preserve"> Boleta de Ingreso al Centro Preventivo y de Readaptación Social, Tlalnepantla, México. 10 de abril de 2002 (expediente de prueba, folio 697). </w:t>
      </w:r>
    </w:p>
  </w:footnote>
  <w:footnote w:id="64">
    <w:p w14:paraId="67B5CF82" w14:textId="34D6EA99"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rPr>
        <w:t>Cfr</w:t>
      </w:r>
      <w:r w:rsidRPr="00053304">
        <w:rPr>
          <w:rFonts w:ascii="Verdana" w:hAnsi="Verdana"/>
          <w:szCs w:val="16"/>
          <w:lang w:val="es-US"/>
        </w:rPr>
        <w:t>. Orden de Aprehensión Daniel García</w:t>
      </w:r>
      <w:r w:rsidRPr="00053304">
        <w:rPr>
          <w:rFonts w:ascii="Verdana" w:hAnsi="Verdana"/>
          <w:szCs w:val="16"/>
          <w:lang w:val="es-US" w:eastAsia="en-US"/>
        </w:rPr>
        <w:t xml:space="preserve"> (expediente de prueba, folios 10 a 378)</w:t>
      </w:r>
      <w:r w:rsidR="6E159DF8" w:rsidRPr="00053304">
        <w:rPr>
          <w:rFonts w:ascii="Verdana" w:hAnsi="Verdana"/>
          <w:szCs w:val="16"/>
          <w:lang w:val="es-US"/>
        </w:rPr>
        <w:t>; Auto de Notificación de Orden de Aprehensión. Juzgado Quinto Penal de Primera Instancia del Distrito Judicial de Tlalnepantla, Estado de México, 10 de abril de 2002. Oficio No: 530 (“Notificación de Orden de Aprehensión Daniel García”) (expediente de prueba 691 a 693).</w:t>
      </w:r>
    </w:p>
  </w:footnote>
  <w:footnote w:id="65">
    <w:p w14:paraId="44E69002" w14:textId="030F3274"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rPr>
        <w:t>Cfr</w:t>
      </w:r>
      <w:r w:rsidRPr="00053304">
        <w:rPr>
          <w:rFonts w:ascii="Verdana" w:hAnsi="Verdana"/>
          <w:szCs w:val="16"/>
          <w:lang w:val="es-US"/>
        </w:rPr>
        <w:t xml:space="preserve">. </w:t>
      </w:r>
      <w:r w:rsidR="6E159DF8" w:rsidRPr="00053304">
        <w:rPr>
          <w:rFonts w:ascii="Verdana" w:hAnsi="Verdana"/>
          <w:szCs w:val="16"/>
          <w:lang w:val="es-US"/>
        </w:rPr>
        <w:t>Notificación de Orden de Aprehensión Daniel García, (expediente de prueba, folio 691 a 693); Comunicación de Detención. Juzgado Quinto Penal de Primera Instancia del Distrito Judicial de Tlalnepantla, Estado de México, 10 de abril de 2002, (expediente de prueba, folio 695)</w:t>
      </w:r>
      <w:r w:rsidR="007F4456" w:rsidRPr="00053304">
        <w:rPr>
          <w:rFonts w:ascii="Verdana" w:hAnsi="Verdana"/>
          <w:szCs w:val="16"/>
          <w:lang w:val="es-US"/>
        </w:rPr>
        <w:t>,</w:t>
      </w:r>
      <w:r w:rsidR="6E159DF8" w:rsidRPr="00053304">
        <w:rPr>
          <w:rFonts w:ascii="Verdana" w:hAnsi="Verdana"/>
          <w:szCs w:val="16"/>
          <w:lang w:val="es-US"/>
        </w:rPr>
        <w:t xml:space="preserve"> y Boleta de Ingreso al Centro Preventivo y de Readaptación Social, Tlalnepantla, México. 10 de abril de 2002 (expediente de prueba, folio 697).</w:t>
      </w:r>
    </w:p>
  </w:footnote>
  <w:footnote w:id="66">
    <w:p w14:paraId="5C2F7823" w14:textId="2926DC5D"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6E159DF8" w:rsidRPr="00053304">
        <w:rPr>
          <w:rFonts w:ascii="Verdana" w:hAnsi="Verdana"/>
          <w:szCs w:val="16"/>
          <w:lang w:val="es-US"/>
        </w:rPr>
        <w:t xml:space="preserve"> Primera audiencia y declaración preparatoria Daniel García, 11 de abril de 2022 (expediente de prueba folios 583 a 601).</w:t>
      </w:r>
    </w:p>
  </w:footnote>
  <w:footnote w:id="67">
    <w:p w14:paraId="2420C7A2" w14:textId="34409093" w:rsidR="00630B6F" w:rsidRPr="00053304" w:rsidRDefault="00630B6F"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ES"/>
        </w:rPr>
        <w:t>Cfr</w:t>
      </w:r>
      <w:r w:rsidR="00036CC4" w:rsidRPr="00053304">
        <w:rPr>
          <w:rFonts w:ascii="Verdana" w:hAnsi="Verdana"/>
          <w:szCs w:val="16"/>
          <w:lang w:val="es-ES"/>
        </w:rPr>
        <w:t xml:space="preserve">. </w:t>
      </w:r>
      <w:r w:rsidR="00036CC4" w:rsidRPr="00053304">
        <w:rPr>
          <w:rFonts w:ascii="Verdana" w:hAnsi="Verdana"/>
          <w:szCs w:val="16"/>
          <w:lang w:val="es-CR"/>
        </w:rPr>
        <w:t>Declaración preparatoria de Daniel García Rodríguez. Juzgado Quinto Penal de Primera Instancia del Distrito Judicial de Tlalnepantla, Estado de México, 11 de abril de 2002</w:t>
      </w:r>
      <w:r w:rsidRPr="00053304">
        <w:rPr>
          <w:rFonts w:ascii="Verdana" w:hAnsi="Verdana"/>
          <w:szCs w:val="16"/>
          <w:lang w:val="es-CR"/>
        </w:rPr>
        <w:t xml:space="preserve"> </w:t>
      </w:r>
      <w:r w:rsidR="3BF92891" w:rsidRPr="00053304">
        <w:rPr>
          <w:rFonts w:ascii="Verdana" w:hAnsi="Verdana"/>
          <w:szCs w:val="16"/>
          <w:lang w:val="es-US"/>
        </w:rPr>
        <w:t>(expediente de prueba folios 583 a 601)</w:t>
      </w:r>
      <w:r w:rsidR="6E159DF8" w:rsidRPr="00053304">
        <w:rPr>
          <w:rFonts w:ascii="Verdana" w:hAnsi="Verdana"/>
          <w:szCs w:val="16"/>
          <w:lang w:val="es-CR"/>
        </w:rPr>
        <w:t>.</w:t>
      </w:r>
    </w:p>
  </w:footnote>
  <w:footnote w:id="68">
    <w:p w14:paraId="028168B2" w14:textId="2DC3B873" w:rsidR="00630B6F" w:rsidRPr="00053304" w:rsidRDefault="00630B6F"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ES"/>
        </w:rPr>
        <w:t>Cfr</w:t>
      </w:r>
      <w:r w:rsidR="00036CC4" w:rsidRPr="00053304">
        <w:rPr>
          <w:rFonts w:ascii="Verdana" w:hAnsi="Verdana"/>
          <w:szCs w:val="16"/>
          <w:lang w:val="es-ES"/>
        </w:rPr>
        <w:t xml:space="preserve">. </w:t>
      </w:r>
      <w:r w:rsidR="00036CC4" w:rsidRPr="00053304">
        <w:rPr>
          <w:rFonts w:ascii="Verdana" w:hAnsi="Verdana"/>
          <w:szCs w:val="16"/>
          <w:lang w:val="es-US"/>
        </w:rPr>
        <w:t>Declaración preparatoria de Daniel García Rodríguez. Juzgado Quinto Penal de Primera Instancia del Distrito Judicial de Tlalnepantla, Estado de México, 11 de abril de 2002</w:t>
      </w:r>
      <w:r w:rsidRPr="00053304">
        <w:rPr>
          <w:rFonts w:ascii="Verdana" w:hAnsi="Verdana"/>
          <w:szCs w:val="16"/>
          <w:lang w:val="es-US"/>
        </w:rPr>
        <w:t xml:space="preserve"> </w:t>
      </w:r>
      <w:r w:rsidR="3BF92891" w:rsidRPr="00053304">
        <w:rPr>
          <w:rFonts w:ascii="Verdana" w:hAnsi="Verdana"/>
          <w:szCs w:val="16"/>
          <w:lang w:val="es-US"/>
        </w:rPr>
        <w:t>(expediente de prueba folios 583 a 601)</w:t>
      </w:r>
      <w:r w:rsidR="6E159DF8" w:rsidRPr="00053304">
        <w:rPr>
          <w:rFonts w:ascii="Verdana" w:hAnsi="Verdana"/>
          <w:szCs w:val="16"/>
        </w:rPr>
        <w:t>.</w:t>
      </w:r>
    </w:p>
  </w:footnote>
  <w:footnote w:id="69">
    <w:p w14:paraId="7AD446A6" w14:textId="1E04C27E" w:rsidR="00630B6F" w:rsidRPr="00053304" w:rsidRDefault="00630B6F"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Pr="00053304">
        <w:rPr>
          <w:rFonts w:ascii="Verdana" w:hAnsi="Verdana"/>
          <w:i/>
          <w:iCs/>
          <w:szCs w:val="16"/>
          <w:lang w:val="es-ES"/>
        </w:rPr>
        <w:t>Cfr</w:t>
      </w:r>
      <w:r w:rsidRPr="00053304">
        <w:rPr>
          <w:rFonts w:ascii="Verdana" w:hAnsi="Verdana"/>
          <w:szCs w:val="16"/>
          <w:lang w:val="es-ES"/>
        </w:rPr>
        <w:t xml:space="preserve">. </w:t>
      </w:r>
      <w:r w:rsidRPr="00053304">
        <w:rPr>
          <w:rFonts w:ascii="Verdana" w:hAnsi="Verdana"/>
          <w:szCs w:val="16"/>
          <w:lang w:val="es-CR"/>
        </w:rPr>
        <w:t>Declaración preparatoria de Daniel García Rodríguez. Juzgado Quinto Penal de Primera Instancia del Distrito Judicial de Tlalnepantla, Estado de México, 11 de abril de 2002</w:t>
      </w:r>
      <w:r w:rsidR="00036CC4" w:rsidRPr="00053304">
        <w:rPr>
          <w:rFonts w:ascii="Verdana" w:hAnsi="Verdana"/>
          <w:szCs w:val="16"/>
          <w:lang w:val="es-CR"/>
        </w:rPr>
        <w:t xml:space="preserve"> </w:t>
      </w:r>
      <w:r w:rsidR="00036CC4" w:rsidRPr="00053304">
        <w:rPr>
          <w:rFonts w:ascii="Verdana" w:hAnsi="Verdana"/>
          <w:szCs w:val="16"/>
          <w:lang w:val="es-US"/>
        </w:rPr>
        <w:t>(expediente de prueba folios 583 a 601)</w:t>
      </w:r>
      <w:r w:rsidRPr="00053304">
        <w:rPr>
          <w:rFonts w:ascii="Verdana" w:hAnsi="Verdana"/>
          <w:szCs w:val="16"/>
          <w:lang w:val="es-CR"/>
        </w:rPr>
        <w:t>.</w:t>
      </w:r>
    </w:p>
  </w:footnote>
  <w:footnote w:id="70">
    <w:p w14:paraId="128A7202" w14:textId="32113F0B" w:rsidR="00630B6F" w:rsidRPr="00053304" w:rsidRDefault="00630B6F"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ES"/>
        </w:rPr>
        <w:t>Cfr</w:t>
      </w:r>
      <w:r w:rsidR="00036CC4" w:rsidRPr="00053304">
        <w:rPr>
          <w:rFonts w:ascii="Verdana" w:hAnsi="Verdana"/>
          <w:szCs w:val="16"/>
          <w:lang w:val="es-ES"/>
        </w:rPr>
        <w:t xml:space="preserve">. </w:t>
      </w:r>
      <w:r w:rsidR="00036CC4" w:rsidRPr="00053304">
        <w:rPr>
          <w:rFonts w:ascii="Verdana" w:hAnsi="Verdana"/>
          <w:szCs w:val="16"/>
          <w:lang w:val="es-CR"/>
        </w:rPr>
        <w:t>Declaración preparatoria de Daniel García Rodríguez. Juzgado Quinto Penal de Primera Instancia del Distrito Judicial de Tlalnepantla, Estado de México, 11 de abril de 2002</w:t>
      </w:r>
      <w:r w:rsidRPr="00053304">
        <w:rPr>
          <w:rFonts w:ascii="Verdana" w:hAnsi="Verdana"/>
          <w:szCs w:val="16"/>
          <w:lang w:val="es-CR"/>
        </w:rPr>
        <w:t xml:space="preserve"> </w:t>
      </w:r>
      <w:r w:rsidR="3BF92891" w:rsidRPr="00053304">
        <w:rPr>
          <w:rFonts w:ascii="Verdana" w:hAnsi="Verdana"/>
          <w:szCs w:val="16"/>
          <w:lang w:val="es-US"/>
        </w:rPr>
        <w:t>(expediente de prueba folios 583 a 601)</w:t>
      </w:r>
      <w:r w:rsidR="6E159DF8" w:rsidRPr="00053304">
        <w:rPr>
          <w:rFonts w:ascii="Verdana" w:hAnsi="Verdana"/>
          <w:szCs w:val="16"/>
          <w:lang w:val="es-CR"/>
        </w:rPr>
        <w:t>.</w:t>
      </w:r>
    </w:p>
  </w:footnote>
  <w:footnote w:id="71">
    <w:p w14:paraId="64448420" w14:textId="7CE00641"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rPr>
        <w:t>Cfr</w:t>
      </w:r>
      <w:r w:rsidR="00036CC4" w:rsidRPr="00053304">
        <w:rPr>
          <w:rFonts w:ascii="Verdana" w:hAnsi="Verdana"/>
          <w:szCs w:val="16"/>
        </w:rPr>
        <w:t xml:space="preserve">. Información contenida en: Segunda Sala Colegiada Penal de Tlalnepantla, Tribunal Superior de Justicia del Estado de México. Fallo Juicio de Amparo Indirecto 1192/2005-E. Tlalnepantla de Baz, Estado de México, 23 de mayo de </w:t>
      </w:r>
      <w:r w:rsidRPr="00053304">
        <w:rPr>
          <w:rFonts w:ascii="Verdana" w:hAnsi="Verdana"/>
          <w:szCs w:val="16"/>
        </w:rPr>
        <w:t>2007</w:t>
      </w:r>
      <w:r w:rsidR="00795815" w:rsidRPr="00053304">
        <w:rPr>
          <w:rFonts w:ascii="Verdana" w:hAnsi="Verdana"/>
          <w:szCs w:val="16"/>
          <w:lang w:val="es-US"/>
        </w:rPr>
        <w:t xml:space="preserve"> </w:t>
      </w:r>
      <w:r w:rsidRPr="00053304">
        <w:rPr>
          <w:rFonts w:ascii="Verdana" w:hAnsi="Verdana"/>
          <w:szCs w:val="16"/>
          <w:lang w:val="es-US"/>
        </w:rPr>
        <w:t>(expediente de prueba, folios 710-825)</w:t>
      </w:r>
      <w:r w:rsidR="3BF92891" w:rsidRPr="00053304">
        <w:rPr>
          <w:rFonts w:ascii="Verdana" w:hAnsi="Verdana"/>
          <w:szCs w:val="16"/>
          <w:lang w:val="es-US"/>
        </w:rPr>
        <w:t>.</w:t>
      </w:r>
      <w:r w:rsidR="6E159DF8" w:rsidRPr="00053304">
        <w:rPr>
          <w:rFonts w:ascii="Verdana" w:hAnsi="Verdana"/>
          <w:szCs w:val="16"/>
        </w:rPr>
        <w:t xml:space="preserve"> </w:t>
      </w:r>
    </w:p>
  </w:footnote>
  <w:footnote w:id="72">
    <w:p w14:paraId="338DB1D1" w14:textId="66BD3759"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rPr>
        <w:t>Cfr</w:t>
      </w:r>
      <w:r w:rsidR="00036CC4" w:rsidRPr="00053304">
        <w:rPr>
          <w:rFonts w:ascii="Verdana" w:hAnsi="Verdana"/>
          <w:szCs w:val="16"/>
        </w:rPr>
        <w:t xml:space="preserve">. Información contenida en: Segunda Sala Colegiada Penal de Tlalnepantla, Tribunal Superior de Justicia del Estado de México. Fallo Juicio de Amparo Indirecto 1192/2005-E. Tlalnepantla de Baz, Estado de México, 23 de mayo de </w:t>
      </w:r>
      <w:r w:rsidRPr="00053304">
        <w:rPr>
          <w:rFonts w:ascii="Verdana" w:hAnsi="Verdana"/>
          <w:szCs w:val="16"/>
        </w:rPr>
        <w:t>2007</w:t>
      </w:r>
      <w:r w:rsidR="00795815" w:rsidRPr="00053304">
        <w:rPr>
          <w:rFonts w:ascii="Verdana" w:hAnsi="Verdana"/>
          <w:szCs w:val="16"/>
        </w:rPr>
        <w:t xml:space="preserve"> </w:t>
      </w:r>
      <w:r w:rsidRPr="00053304">
        <w:rPr>
          <w:rFonts w:ascii="Verdana" w:hAnsi="Verdana"/>
          <w:szCs w:val="16"/>
          <w:lang w:val="es-US"/>
        </w:rPr>
        <w:t>(expediente de prueba, folios 710-825)</w:t>
      </w:r>
      <w:r w:rsidR="3BF92891" w:rsidRPr="00053304">
        <w:rPr>
          <w:rFonts w:ascii="Verdana" w:hAnsi="Verdana"/>
          <w:szCs w:val="16"/>
          <w:lang w:val="es-US"/>
        </w:rPr>
        <w:t>.</w:t>
      </w:r>
      <w:r w:rsidR="6E159DF8" w:rsidRPr="00053304">
        <w:rPr>
          <w:rFonts w:ascii="Verdana" w:hAnsi="Verdana"/>
          <w:szCs w:val="16"/>
        </w:rPr>
        <w:t xml:space="preserve"> </w:t>
      </w:r>
    </w:p>
  </w:footnote>
  <w:footnote w:id="73">
    <w:p w14:paraId="5DEB71DF" w14:textId="6B3AB560"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6E159DF8" w:rsidRPr="00053304">
        <w:rPr>
          <w:rFonts w:ascii="Verdana" w:hAnsi="Verdana"/>
          <w:szCs w:val="16"/>
          <w:lang w:val="es-US"/>
        </w:rPr>
        <w:t>. Información contenida en: Segunda Sala Colegiada Penal de Tlalnepantla, Tribunal Superior de Justicia del Estado de México. Fallo Juicio de Amparo Indirecto 1192/2005-E. Tlalnepantla de Baz, Estado de México, 23 de mayo de 2007 (expediente de prueba, folios 710-825)</w:t>
      </w:r>
      <w:r w:rsidR="610EE4FF" w:rsidRPr="00053304">
        <w:rPr>
          <w:rFonts w:ascii="Verdana" w:hAnsi="Verdana"/>
          <w:szCs w:val="16"/>
          <w:lang w:val="es-US"/>
        </w:rPr>
        <w:t>.</w:t>
      </w:r>
    </w:p>
  </w:footnote>
  <w:footnote w:id="74">
    <w:p w14:paraId="1FC5E2AA" w14:textId="464D17F0"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szCs w:val="16"/>
          <w:lang w:val="es-US"/>
        </w:rPr>
        <w:t>Gobierno del Estado de México Procuraduría General de Justicia. Grupo de Operaciones Especiales. Expediente ATI/II/3672/01. Asunto: Puesta a Disposición de Persona. Tlalneplanta de Báz 25 de octubre de 2002</w:t>
      </w:r>
      <w:r w:rsidRPr="00053304">
        <w:rPr>
          <w:rFonts w:ascii="Verdana" w:hAnsi="Verdana"/>
          <w:szCs w:val="16"/>
          <w:lang w:val="es-MX"/>
        </w:rPr>
        <w:t xml:space="preserve"> </w:t>
      </w:r>
      <w:r w:rsidRPr="00053304">
        <w:rPr>
          <w:rFonts w:ascii="Verdana" w:hAnsi="Verdana"/>
          <w:szCs w:val="16"/>
          <w:lang w:val="es-US"/>
        </w:rPr>
        <w:t>(expediente de prueba, folios 826-827)</w:t>
      </w:r>
      <w:r w:rsidR="007F4456" w:rsidRPr="00053304">
        <w:rPr>
          <w:rFonts w:ascii="Verdana" w:hAnsi="Verdana"/>
          <w:szCs w:val="16"/>
          <w:lang w:val="es-US"/>
        </w:rPr>
        <w:t>, y</w:t>
      </w:r>
      <w:r w:rsidRPr="00053304">
        <w:rPr>
          <w:rFonts w:ascii="Verdana" w:hAnsi="Verdana"/>
          <w:szCs w:val="16"/>
          <w:lang w:val="es-US"/>
        </w:rPr>
        <w:t xml:space="preserve"> Gobierno del Estado de México. Procuraduría General de Justicia. Constancia de ratificación de escrito de puesta a disposición. Tlalnepantla de Báz, 25 de octubre de 2002 (expediente de prueba, folios 828</w:t>
      </w:r>
      <w:r w:rsidRPr="00053304">
        <w:rPr>
          <w:rFonts w:ascii="Verdana" w:hAnsi="Verdana"/>
          <w:szCs w:val="16"/>
        </w:rPr>
        <w:t xml:space="preserve"> a </w:t>
      </w:r>
      <w:r w:rsidRPr="00053304">
        <w:rPr>
          <w:rFonts w:ascii="Verdana" w:hAnsi="Verdana"/>
          <w:szCs w:val="16"/>
          <w:lang w:val="es-US"/>
        </w:rPr>
        <w:t>831).</w:t>
      </w:r>
    </w:p>
  </w:footnote>
  <w:footnote w:id="75">
    <w:p w14:paraId="05955A7E" w14:textId="169C39F7"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szCs w:val="16"/>
          <w:lang w:val="es-US"/>
        </w:rPr>
        <w:t>Acta de Audiencia de Declaración Preparatoria, 28 de noviembre de 2002, Juez Quinto Penal de Primera Instancia del Distrito Judicial de Tlalnepantla (expediente de prueba, folios 832-844).</w:t>
      </w:r>
    </w:p>
  </w:footnote>
  <w:footnote w:id="76">
    <w:p w14:paraId="4DBD593B" w14:textId="4CD6D574"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rPr>
        <w:t>Cfr</w:t>
      </w:r>
      <w:r w:rsidRPr="00053304">
        <w:rPr>
          <w:rFonts w:ascii="Verdana" w:hAnsi="Verdana"/>
          <w:szCs w:val="16"/>
          <w:lang w:val="es-US"/>
        </w:rPr>
        <w:t>. Declaración Reyes Alpízar Ortiz, fechada 28 de noviembre de 2002, escrita y firmada a mano (expediente de prueba, folios 845 a 848)</w:t>
      </w:r>
      <w:r w:rsidR="007F4456" w:rsidRPr="00053304">
        <w:rPr>
          <w:rFonts w:ascii="Verdana" w:hAnsi="Verdana"/>
          <w:szCs w:val="16"/>
          <w:lang w:val="es-US"/>
        </w:rPr>
        <w:t>, y e</w:t>
      </w:r>
      <w:r w:rsidRPr="00053304">
        <w:rPr>
          <w:rFonts w:ascii="Verdana" w:hAnsi="Verdana"/>
          <w:szCs w:val="16"/>
          <w:lang w:val="es-US"/>
        </w:rPr>
        <w:t xml:space="preserve">xpediente CODHEM/NJ/5088/2002-3, Comisión de Derechos Humanos del Estado de México, Tercera Visitaduría General (expediente de prueba, folios 849 a </w:t>
      </w:r>
      <w:r w:rsidR="6E159DF8" w:rsidRPr="00053304">
        <w:rPr>
          <w:rFonts w:ascii="Verdana" w:hAnsi="Verdana"/>
          <w:szCs w:val="16"/>
          <w:lang w:val="es-US"/>
        </w:rPr>
        <w:t>911).</w:t>
      </w:r>
    </w:p>
  </w:footnote>
  <w:footnote w:id="77">
    <w:p w14:paraId="1517326C" w14:textId="524707FB" w:rsidR="008F25E5" w:rsidRPr="00053304" w:rsidRDefault="008F25E5"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szCs w:val="16"/>
          <w:lang w:val="es-US"/>
        </w:rPr>
        <w:t>Gobierno del Estado de México Procuraduría General de Justicia. Grupo de Operaciones Especiales. Expediente ATI/II/3672/01. Asunto: Puesta a Disposición de Persona. Tlalneplanta de Báz 25 de octubre de 2002</w:t>
      </w:r>
      <w:r w:rsidRPr="00053304">
        <w:rPr>
          <w:rFonts w:ascii="Verdana" w:hAnsi="Verdana"/>
          <w:szCs w:val="16"/>
          <w:lang w:val="es-MX"/>
        </w:rPr>
        <w:t xml:space="preserve"> </w:t>
      </w:r>
      <w:r w:rsidRPr="00053304">
        <w:rPr>
          <w:rFonts w:ascii="Verdana" w:hAnsi="Verdana"/>
          <w:szCs w:val="16"/>
          <w:lang w:val="es-US"/>
        </w:rPr>
        <w:t>(expediente de prueba, folios 826)</w:t>
      </w:r>
      <w:r w:rsidR="007F4456" w:rsidRPr="00053304">
        <w:rPr>
          <w:rFonts w:ascii="Verdana" w:hAnsi="Verdana"/>
          <w:szCs w:val="16"/>
          <w:lang w:val="es-US"/>
        </w:rPr>
        <w:t>, y</w:t>
      </w:r>
      <w:r w:rsidRPr="00053304">
        <w:rPr>
          <w:rFonts w:ascii="Verdana" w:hAnsi="Verdana"/>
          <w:szCs w:val="16"/>
          <w:lang w:val="es-US"/>
        </w:rPr>
        <w:t xml:space="preserve"> Gobierno del Estado de México. Procuraduría General de Justicia. Constancia de ratificación de escrito de puesta a disposición. Tlalnepantla de Báz, 25 de octubre de 2002 (expediente de prueba, folios 828</w:t>
      </w:r>
      <w:r w:rsidRPr="00053304">
        <w:rPr>
          <w:rFonts w:ascii="Verdana" w:hAnsi="Verdana"/>
          <w:szCs w:val="16"/>
        </w:rPr>
        <w:t xml:space="preserve"> a </w:t>
      </w:r>
      <w:r w:rsidRPr="00053304">
        <w:rPr>
          <w:rFonts w:ascii="Verdana" w:hAnsi="Verdana"/>
          <w:szCs w:val="16"/>
          <w:lang w:val="es-US"/>
        </w:rPr>
        <w:t>831).</w:t>
      </w:r>
    </w:p>
  </w:footnote>
  <w:footnote w:id="78">
    <w:p w14:paraId="67CF03E2" w14:textId="0A0A1522"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szCs w:val="16"/>
          <w:lang w:val="es-US"/>
        </w:rPr>
        <w:t>Gobierno del Estado de México Procuraduría General de Justicia. Grupo de Operaciones Especiales. Expediente ATI/II/3672/01. Asunto: Puesta a Disposición de Persona. Tlalneplanta de Báz 25 de octubre de 2002</w:t>
      </w:r>
      <w:r w:rsidRPr="00053304">
        <w:rPr>
          <w:rFonts w:ascii="Verdana" w:hAnsi="Verdana"/>
          <w:szCs w:val="16"/>
          <w:lang w:val="es-MX"/>
        </w:rPr>
        <w:t xml:space="preserve"> </w:t>
      </w:r>
      <w:r w:rsidRPr="00053304">
        <w:rPr>
          <w:rFonts w:ascii="Verdana" w:hAnsi="Verdana"/>
          <w:szCs w:val="16"/>
          <w:lang w:val="es-US"/>
        </w:rPr>
        <w:t>(expediente de prueba, folios 826-827)</w:t>
      </w:r>
      <w:r w:rsidR="007F4456" w:rsidRPr="00053304">
        <w:rPr>
          <w:rFonts w:ascii="Verdana" w:hAnsi="Verdana"/>
          <w:szCs w:val="16"/>
          <w:lang w:val="es-US"/>
        </w:rPr>
        <w:t>, y</w:t>
      </w:r>
      <w:r w:rsidRPr="00053304">
        <w:rPr>
          <w:rFonts w:ascii="Verdana" w:hAnsi="Verdana"/>
          <w:szCs w:val="16"/>
          <w:lang w:val="es-US"/>
        </w:rPr>
        <w:t xml:space="preserve"> Gobierno del Estado de México. Procuraduría General de Justicia. Constancia de ratificación de escrito de puesta a disposición. Tlalnepantla de Báz, 25 de octubre de 2002 (expediente de prueba, folios 828</w:t>
      </w:r>
      <w:r w:rsidRPr="00053304">
        <w:rPr>
          <w:rFonts w:ascii="Verdana" w:hAnsi="Verdana"/>
          <w:szCs w:val="16"/>
        </w:rPr>
        <w:t xml:space="preserve"> a </w:t>
      </w:r>
      <w:r w:rsidRPr="00053304">
        <w:rPr>
          <w:rFonts w:ascii="Verdana" w:hAnsi="Verdana"/>
          <w:szCs w:val="16"/>
          <w:lang w:val="es-US"/>
        </w:rPr>
        <w:t>831).</w:t>
      </w:r>
    </w:p>
  </w:footnote>
  <w:footnote w:id="79">
    <w:p w14:paraId="0BD4D098" w14:textId="3FD970E0" w:rsidR="00630B6F" w:rsidRPr="00053304" w:rsidRDefault="00630B6F" w:rsidP="00053304">
      <w:pPr>
        <w:pStyle w:val="Textonotapie"/>
        <w:jc w:val="both"/>
        <w:rPr>
          <w:rFonts w:ascii="Verdana" w:hAnsi="Verdana"/>
          <w:szCs w:val="16"/>
          <w:lang w:val="es-MX"/>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szCs w:val="16"/>
          <w:lang w:val="es-US"/>
        </w:rPr>
        <w:t xml:space="preserve">Gobierno del Estado de México. Procuraduría General de Justicia. </w:t>
      </w:r>
      <w:r w:rsidRPr="00053304">
        <w:rPr>
          <w:rFonts w:ascii="Verdana" w:hAnsi="Verdana"/>
          <w:szCs w:val="16"/>
          <w:lang w:val="es-MX"/>
        </w:rPr>
        <w:t xml:space="preserve">Acuerdo de Retención de Reyes Alpízar Ortiz. Tlalnepantla, Estado de México, 25 de octubre de 2002 (expediente de pruebas, folios 912 </w:t>
      </w:r>
      <w:r w:rsidRPr="00053304">
        <w:rPr>
          <w:rFonts w:ascii="Verdana" w:hAnsi="Verdana"/>
          <w:szCs w:val="16"/>
        </w:rPr>
        <w:t xml:space="preserve">a </w:t>
      </w:r>
      <w:r w:rsidRPr="00053304">
        <w:rPr>
          <w:rFonts w:ascii="Verdana" w:hAnsi="Verdana"/>
          <w:szCs w:val="16"/>
          <w:lang w:val="es-MX"/>
        </w:rPr>
        <w:t>915)</w:t>
      </w:r>
      <w:r w:rsidR="007F4456" w:rsidRPr="00053304">
        <w:rPr>
          <w:rFonts w:ascii="Verdana" w:hAnsi="Verdana"/>
          <w:szCs w:val="16"/>
          <w:lang w:val="es-MX"/>
        </w:rPr>
        <w:t>, y</w:t>
      </w:r>
      <w:r w:rsidRPr="00053304">
        <w:rPr>
          <w:rFonts w:ascii="Verdana" w:hAnsi="Verdana"/>
          <w:szCs w:val="16"/>
          <w:lang w:val="es-MX"/>
        </w:rPr>
        <w:t xml:space="preserve"> </w:t>
      </w:r>
      <w:r w:rsidRPr="00053304">
        <w:rPr>
          <w:rFonts w:ascii="Verdana" w:hAnsi="Verdana"/>
          <w:szCs w:val="16"/>
          <w:lang w:val="es-US"/>
        </w:rPr>
        <w:t xml:space="preserve">Gobierno del Estado de México. Procuraduría General de Justicia. </w:t>
      </w:r>
      <w:r w:rsidRPr="00053304">
        <w:rPr>
          <w:rFonts w:ascii="Verdana" w:hAnsi="Verdana"/>
          <w:szCs w:val="16"/>
          <w:lang w:val="es-MX"/>
        </w:rPr>
        <w:t>Boleta de ingreso de Reyes Alpízar. Tlalnepantla, Estado de México, 25 de octubre de 2002 (expediente de prueba, folios 916</w:t>
      </w:r>
      <w:r w:rsidRPr="00053304">
        <w:rPr>
          <w:rFonts w:ascii="Verdana" w:hAnsi="Verdana"/>
          <w:szCs w:val="16"/>
        </w:rPr>
        <w:t xml:space="preserve"> a </w:t>
      </w:r>
      <w:r w:rsidRPr="00053304">
        <w:rPr>
          <w:rFonts w:ascii="Verdana" w:hAnsi="Verdana"/>
          <w:szCs w:val="16"/>
          <w:lang w:val="es-MX"/>
        </w:rPr>
        <w:t>917).</w:t>
      </w:r>
    </w:p>
  </w:footnote>
  <w:footnote w:id="80">
    <w:p w14:paraId="1720CCBB" w14:textId="4746E6B1" w:rsidR="00E216F5" w:rsidRPr="00053304" w:rsidRDefault="00E216F5"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6E159DF8" w:rsidRPr="00053304">
        <w:rPr>
          <w:rFonts w:ascii="Verdana" w:hAnsi="Verdana"/>
          <w:i/>
          <w:iCs/>
          <w:szCs w:val="16"/>
          <w:lang w:val="es-ES"/>
        </w:rPr>
        <w:t>Cfr</w:t>
      </w:r>
      <w:r w:rsidR="610EE4FF" w:rsidRPr="00053304">
        <w:rPr>
          <w:rFonts w:ascii="Verdana" w:hAnsi="Verdana"/>
          <w:szCs w:val="16"/>
          <w:lang w:val="es-ES"/>
        </w:rPr>
        <w:t>. Ampliación de Declaración de Reyes Alpízar (expediente de prueba, folios 70063 a 70067).</w:t>
      </w:r>
    </w:p>
  </w:footnote>
  <w:footnote w:id="81">
    <w:p w14:paraId="7E530260" w14:textId="77777777" w:rsidR="00630B6F" w:rsidRPr="00053304" w:rsidRDefault="00630B6F"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Expediente CODHEM/NJ/5088/2002-3, Comisión de Derechos Humanos del Estado de México, Tercera Visitaduría General (expediente de prueba, 849 a 911).</w:t>
      </w:r>
    </w:p>
  </w:footnote>
  <w:footnote w:id="82">
    <w:p w14:paraId="518F0EB1" w14:textId="77777777"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szCs w:val="16"/>
          <w:lang w:val="es-US"/>
        </w:rPr>
        <w:t xml:space="preserve">Gobierno del Estado de México. Procuraduría General de Justicia. </w:t>
      </w:r>
      <w:r w:rsidRPr="00053304">
        <w:rPr>
          <w:rFonts w:ascii="Verdana" w:hAnsi="Verdana"/>
          <w:szCs w:val="16"/>
          <w:lang w:val="es-MX"/>
        </w:rPr>
        <w:t>Acuerdo de inmediata libertad y notificación de arraigo de Reyes Alpízar. Tlalnepantla, Estado de México, 28 de octubre de 2002 (expediente de pruebas, folios 937</w:t>
      </w:r>
      <w:r w:rsidRPr="00053304">
        <w:rPr>
          <w:rFonts w:ascii="Verdana" w:hAnsi="Verdana"/>
          <w:szCs w:val="16"/>
        </w:rPr>
        <w:t xml:space="preserve"> a </w:t>
      </w:r>
      <w:r w:rsidRPr="00053304">
        <w:rPr>
          <w:rFonts w:ascii="Verdana" w:hAnsi="Verdana"/>
          <w:szCs w:val="16"/>
          <w:lang w:val="es-MX"/>
        </w:rPr>
        <w:t>939).</w:t>
      </w:r>
    </w:p>
  </w:footnote>
  <w:footnote w:id="83">
    <w:p w14:paraId="68C99A70" w14:textId="77777777"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szCs w:val="16"/>
          <w:lang w:val="es-US"/>
        </w:rPr>
        <w:t xml:space="preserve">Gobierno del Estado de México. Procuraduría General de Justicia. </w:t>
      </w:r>
      <w:r w:rsidRPr="00053304">
        <w:rPr>
          <w:rFonts w:ascii="Verdana" w:hAnsi="Verdana"/>
          <w:szCs w:val="16"/>
          <w:lang w:val="es-MX"/>
        </w:rPr>
        <w:t>Notificación Personal a Reyes Alpízar. Tlalnepantla, Estado de México, 28 de octubre de 2002 (expediente de pruebas, folios 940</w:t>
      </w:r>
      <w:r w:rsidRPr="00053304">
        <w:rPr>
          <w:rFonts w:ascii="Verdana" w:hAnsi="Verdana"/>
          <w:szCs w:val="16"/>
        </w:rPr>
        <w:t xml:space="preserve"> a </w:t>
      </w:r>
      <w:r w:rsidRPr="00053304">
        <w:rPr>
          <w:rFonts w:ascii="Verdana" w:hAnsi="Verdana"/>
          <w:szCs w:val="16"/>
          <w:lang w:val="es-MX"/>
        </w:rPr>
        <w:t xml:space="preserve">941). </w:t>
      </w:r>
    </w:p>
  </w:footnote>
  <w:footnote w:id="84">
    <w:p w14:paraId="71E6FAB6" w14:textId="77777777" w:rsidR="00974ECD" w:rsidRPr="00053304" w:rsidRDefault="00974ECD"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Gobierno del Estado de México. Procuraduría General de Justicia. Declaración de Reyes Alpízar. 6 de noviembre de 2002 (expediente de pruebas, folios 1041 a 1043). </w:t>
      </w:r>
    </w:p>
  </w:footnote>
  <w:footnote w:id="85">
    <w:p w14:paraId="518F84C5" w14:textId="00FF714B"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610EE4FF" w:rsidRPr="00053304">
        <w:rPr>
          <w:rFonts w:ascii="Verdana" w:hAnsi="Verdana"/>
          <w:szCs w:val="16"/>
          <w:lang w:val="es-US"/>
        </w:rPr>
        <w:t>. Gobierno del Estado de México. Procuraduría General de Justicia. Consignación Sin Detenido Tlalnepantla, Estado de México, 25 de noviembre de 2002 (expediente de prueba, folios 1245 a 1494).</w:t>
      </w:r>
    </w:p>
  </w:footnote>
  <w:footnote w:id="86">
    <w:p w14:paraId="09E567DD" w14:textId="045F8555"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ES"/>
        </w:rPr>
        <w:t>Cfr</w:t>
      </w:r>
      <w:r w:rsidR="610EE4FF" w:rsidRPr="00053304">
        <w:rPr>
          <w:rFonts w:ascii="Verdana" w:hAnsi="Verdana"/>
          <w:szCs w:val="16"/>
          <w:lang w:val="es-ES"/>
        </w:rPr>
        <w:t>. Poder Judicial del Estado de México. Juzgado Penal del Distrito Judicial de Tlalnepantla, Sentencia definitiva de 12 de mayo de 2022, Tlalnepantla de Baz, Estado de México (expediente de prueba, folios 70391 a 71350).</w:t>
      </w:r>
    </w:p>
  </w:footnote>
  <w:footnote w:id="87">
    <w:p w14:paraId="40CE4B26" w14:textId="257B3C84" w:rsidR="00630B6F" w:rsidRPr="00053304" w:rsidRDefault="00630B6F" w:rsidP="00053304">
      <w:pPr>
        <w:pStyle w:val="Default"/>
        <w:spacing w:before="120" w:after="120"/>
        <w:jc w:val="both"/>
        <w:rPr>
          <w:rFonts w:ascii="Verdana" w:hAnsi="Verdana"/>
          <w:color w:val="auto"/>
          <w:sz w:val="16"/>
          <w:szCs w:val="16"/>
          <w:lang w:val="es-CR"/>
        </w:rPr>
      </w:pPr>
      <w:r w:rsidRPr="00053304">
        <w:rPr>
          <w:rStyle w:val="Refdenotaalpie"/>
          <w:rFonts w:ascii="Verdana" w:hAnsi="Verdana"/>
          <w:color w:val="auto"/>
          <w:sz w:val="16"/>
          <w:szCs w:val="16"/>
        </w:rPr>
        <w:footnoteRef/>
      </w:r>
      <w:r w:rsidRPr="00053304">
        <w:rPr>
          <w:rFonts w:ascii="Verdana" w:hAnsi="Verdana"/>
          <w:color w:val="auto"/>
          <w:sz w:val="16"/>
          <w:szCs w:val="16"/>
          <w:lang w:val="es-CR"/>
        </w:rPr>
        <w:tab/>
      </w:r>
      <w:r w:rsidRPr="00053304">
        <w:rPr>
          <w:rFonts w:ascii="Verdana" w:hAnsi="Verdana"/>
          <w:i/>
          <w:iCs/>
          <w:color w:val="auto"/>
          <w:sz w:val="16"/>
          <w:szCs w:val="16"/>
          <w:lang w:val="es-ES"/>
        </w:rPr>
        <w:t>Cfr</w:t>
      </w:r>
      <w:r w:rsidR="3BF92891" w:rsidRPr="00053304">
        <w:rPr>
          <w:rFonts w:ascii="Verdana" w:hAnsi="Verdana"/>
          <w:color w:val="auto"/>
          <w:sz w:val="16"/>
          <w:szCs w:val="16"/>
          <w:lang w:val="es-ES"/>
        </w:rPr>
        <w:t xml:space="preserve">. </w:t>
      </w:r>
      <w:r w:rsidR="610EE4FF" w:rsidRPr="00053304">
        <w:rPr>
          <w:rFonts w:ascii="Verdana" w:hAnsi="Verdana"/>
          <w:color w:val="auto"/>
          <w:sz w:val="16"/>
          <w:szCs w:val="16"/>
          <w:lang w:val="es-CR"/>
        </w:rPr>
        <w:t>Declaración Reyes Alpízar Ortiz, fechada 28 de noviembre de 2002, escrita y firmada a mano (expediente de prueba, folios 845 a 848)</w:t>
      </w:r>
      <w:r w:rsidR="00F2066E" w:rsidRPr="00053304">
        <w:rPr>
          <w:rFonts w:ascii="Verdana" w:hAnsi="Verdana"/>
          <w:color w:val="auto"/>
          <w:sz w:val="16"/>
          <w:szCs w:val="16"/>
          <w:lang w:val="es-CR"/>
        </w:rPr>
        <w:t>.</w:t>
      </w:r>
    </w:p>
  </w:footnote>
  <w:footnote w:id="88">
    <w:p w14:paraId="4525BDAE" w14:textId="20AF2D3A"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007F4456" w:rsidRPr="00053304">
        <w:rPr>
          <w:rFonts w:ascii="Verdana" w:hAnsi="Verdana"/>
          <w:szCs w:val="16"/>
        </w:rPr>
        <w:t xml:space="preserve"> </w:t>
      </w:r>
      <w:r w:rsidR="007F4456" w:rsidRPr="00053304">
        <w:rPr>
          <w:rFonts w:ascii="Verdana" w:hAnsi="Verdana"/>
          <w:szCs w:val="16"/>
        </w:rPr>
        <w:tab/>
      </w:r>
      <w:r w:rsidR="610EE4FF" w:rsidRPr="00053304">
        <w:rPr>
          <w:rFonts w:ascii="Verdana" w:hAnsi="Verdana"/>
          <w:i/>
          <w:iCs/>
          <w:szCs w:val="16"/>
        </w:rPr>
        <w:t>Cfr.</w:t>
      </w:r>
      <w:r w:rsidR="007F4456" w:rsidRPr="00053304">
        <w:rPr>
          <w:rFonts w:ascii="Verdana" w:hAnsi="Verdana"/>
          <w:szCs w:val="16"/>
        </w:rPr>
        <w:t xml:space="preserve"> </w:t>
      </w:r>
      <w:r w:rsidR="610EE4FF" w:rsidRPr="00053304">
        <w:rPr>
          <w:rFonts w:ascii="Verdana" w:eastAsia="Verdana" w:hAnsi="Verdana" w:cs="Verdana"/>
          <w:szCs w:val="16"/>
        </w:rPr>
        <w:t>Acta de Audiencia de Declaración Preparatoria, 28 de noviembre de 2002, Juez Quinto Penal de Primera Instancia del Distrito Judicial de Tlalnepantla (expediente de prueba, folios 832 a 844).</w:t>
      </w:r>
    </w:p>
  </w:footnote>
  <w:footnote w:id="89">
    <w:p w14:paraId="6D2597A4" w14:textId="7B66D9B7"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szCs w:val="16"/>
          <w:lang w:val="es-US"/>
        </w:rPr>
        <w:t>Primera Sala Colegiada Penal de Tlalnepantla, Tribunal Superior de Justicia del Estado de México. Fallo de Apelación de Reemplazo. Tlalnepantla de Baz, Estado de México, 17 de noviembre de 2006 (expediente de prueba, folios 1502</w:t>
      </w:r>
      <w:r w:rsidRPr="00053304">
        <w:rPr>
          <w:rFonts w:ascii="Verdana" w:hAnsi="Verdana"/>
          <w:szCs w:val="16"/>
        </w:rPr>
        <w:t xml:space="preserve"> a </w:t>
      </w:r>
      <w:r w:rsidRPr="00053304">
        <w:rPr>
          <w:rFonts w:ascii="Verdana" w:hAnsi="Verdana"/>
          <w:szCs w:val="16"/>
          <w:lang w:val="es-US"/>
        </w:rPr>
        <w:t>1551).</w:t>
      </w:r>
    </w:p>
  </w:footnote>
  <w:footnote w:id="90">
    <w:p w14:paraId="2F05CCF1" w14:textId="25C3DB51" w:rsidR="005F37F4" w:rsidRPr="00053304" w:rsidRDefault="005F37F4"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ES"/>
        </w:rPr>
        <w:t>Cfr</w:t>
      </w:r>
      <w:r w:rsidR="610EE4FF" w:rsidRPr="00053304">
        <w:rPr>
          <w:rFonts w:ascii="Verdana" w:hAnsi="Verdana"/>
          <w:szCs w:val="16"/>
          <w:lang w:val="es-ES"/>
        </w:rPr>
        <w:t>. Poder Judicial del Estado de México. Juzgado Penal del Distrito Judicial de Tlalnepantla, Sentencia definitiva de 12 de mayo de 2022, Tlalnepantla de Baz, Estado de México (expediente de prueba, folios 70391 a 71350).</w:t>
      </w:r>
    </w:p>
  </w:footnote>
  <w:footnote w:id="91">
    <w:p w14:paraId="72298987" w14:textId="2FAE6ECB" w:rsidR="005623B9" w:rsidRPr="00053304" w:rsidRDefault="005623B9"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szCs w:val="16"/>
          <w:lang w:val="es-US"/>
        </w:rPr>
        <w:t xml:space="preserve">El 9 de marzo de 2004, se emitió auto en el que se determinó que el Ministerio Público ya no tenía derecho a seguir desahogando pruebas porque transcurrió el término de un año para juzgar al procesado Reyes Alpízar Ortiz. Contra esa resolución fue interpuesto un </w:t>
      </w:r>
      <w:r w:rsidR="007F4456" w:rsidRPr="00053304">
        <w:rPr>
          <w:rFonts w:ascii="Verdana" w:hAnsi="Verdana"/>
          <w:szCs w:val="16"/>
          <w:lang w:val="es-US"/>
        </w:rPr>
        <w:t>a</w:t>
      </w:r>
      <w:r w:rsidRPr="00053304">
        <w:rPr>
          <w:rFonts w:ascii="Verdana" w:hAnsi="Verdana"/>
          <w:szCs w:val="16"/>
          <w:lang w:val="es-US"/>
        </w:rPr>
        <w:t xml:space="preserve">mparo </w:t>
      </w:r>
      <w:r w:rsidR="007F4456" w:rsidRPr="00053304">
        <w:rPr>
          <w:rFonts w:ascii="Verdana" w:hAnsi="Verdana"/>
          <w:szCs w:val="16"/>
          <w:lang w:val="es-US"/>
        </w:rPr>
        <w:t>i</w:t>
      </w:r>
      <w:r w:rsidRPr="00053304">
        <w:rPr>
          <w:rFonts w:ascii="Verdana" w:hAnsi="Verdana"/>
          <w:szCs w:val="16"/>
          <w:lang w:val="es-US"/>
        </w:rPr>
        <w:t xml:space="preserve">ndirecto, el cual fue concedido el 18 de octubre de 2006 en atención a que la resolución carecía de fundamentación y motivación ordenando un nuevo estudio. El 17 de noviembre de 2006 la Primera Sala Colegiada Penal de Tlalnepantla dictó fallo de reemplazo, manteniendo la prisión por homicidio calificado y cohecho – que al ser sancionados con pena corporal ameritaban la prisión preventiva – otorgando libertad por delincuencia organizada. </w:t>
      </w:r>
      <w:r w:rsidRPr="00053304">
        <w:rPr>
          <w:rFonts w:ascii="Verdana" w:hAnsi="Verdana"/>
          <w:i/>
          <w:iCs/>
          <w:szCs w:val="16"/>
          <w:lang w:val="es-US"/>
        </w:rPr>
        <w:t xml:space="preserve">Cfr. </w:t>
      </w:r>
      <w:r w:rsidRPr="00053304">
        <w:rPr>
          <w:rFonts w:ascii="Verdana" w:hAnsi="Verdana"/>
          <w:szCs w:val="16"/>
          <w:lang w:val="es-US"/>
        </w:rPr>
        <w:t>Primera Sala Colegiada Penal de Tlalnepantla, Tribunal Superior de Justicia del Estado de México. Fallo de Apelación de Reemplazo. Tlalnepantla de Baz, Estado de México, 17 de noviembre de 2006 (expediente de prueba, folios 1502</w:t>
      </w:r>
      <w:r w:rsidR="3BF92891" w:rsidRPr="00053304">
        <w:rPr>
          <w:rFonts w:ascii="Verdana" w:hAnsi="Verdana"/>
          <w:szCs w:val="16"/>
          <w:lang w:val="es-US"/>
        </w:rPr>
        <w:t xml:space="preserve"> a </w:t>
      </w:r>
      <w:r w:rsidR="610EE4FF" w:rsidRPr="00053304">
        <w:rPr>
          <w:rFonts w:ascii="Verdana" w:hAnsi="Verdana"/>
          <w:szCs w:val="16"/>
          <w:lang w:val="es-US"/>
        </w:rPr>
        <w:t>1551).</w:t>
      </w:r>
    </w:p>
  </w:footnote>
  <w:footnote w:id="92">
    <w:p w14:paraId="302F3EE3" w14:textId="2ACBAEA3" w:rsidR="005623B9" w:rsidRPr="00053304" w:rsidRDefault="005623B9"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610EE4FF" w:rsidRPr="00053304">
        <w:rPr>
          <w:rFonts w:ascii="Verdana" w:hAnsi="Verdana"/>
          <w:i/>
          <w:iCs/>
          <w:szCs w:val="16"/>
        </w:rPr>
        <w:t>Cfr</w:t>
      </w:r>
      <w:r w:rsidR="610EE4FF" w:rsidRPr="00053304">
        <w:rPr>
          <w:rFonts w:ascii="Verdana" w:hAnsi="Verdana"/>
          <w:szCs w:val="16"/>
        </w:rPr>
        <w:t>. Audiencia de Pruebas. Tlalnepantla, Estado de México, 19 de junio de 2008 (expediente de prueba, folios 1778 a 1782</w:t>
      </w:r>
      <w:r w:rsidR="007F4456" w:rsidRPr="00053304">
        <w:rPr>
          <w:rFonts w:ascii="Verdana" w:hAnsi="Verdana"/>
          <w:szCs w:val="16"/>
        </w:rPr>
        <w:t>).</w:t>
      </w:r>
      <w:r w:rsidRPr="00053304">
        <w:rPr>
          <w:rFonts w:ascii="Verdana" w:hAnsi="Verdana"/>
          <w:szCs w:val="16"/>
        </w:rPr>
        <w:tab/>
      </w:r>
      <w:r w:rsidRPr="00053304">
        <w:rPr>
          <w:rFonts w:ascii="Verdana" w:hAnsi="Verdana"/>
          <w:szCs w:val="16"/>
        </w:rPr>
        <w:tab/>
      </w:r>
    </w:p>
  </w:footnote>
  <w:footnote w:id="93">
    <w:p w14:paraId="2C94488F" w14:textId="0D82FC6C" w:rsidR="00F92AA0" w:rsidRPr="00053304" w:rsidRDefault="00F92AA0"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007F4456" w:rsidRPr="00053304">
        <w:rPr>
          <w:rFonts w:ascii="Verdana" w:hAnsi="Verdana"/>
          <w:szCs w:val="16"/>
        </w:rPr>
        <w:tab/>
      </w:r>
      <w:r w:rsidR="610EE4FF" w:rsidRPr="00053304">
        <w:rPr>
          <w:rFonts w:ascii="Verdana" w:hAnsi="Verdana"/>
          <w:i/>
          <w:iCs/>
          <w:szCs w:val="16"/>
        </w:rPr>
        <w:t>Cfr.</w:t>
      </w:r>
      <w:r w:rsidR="007F4456" w:rsidRPr="00053304">
        <w:rPr>
          <w:rFonts w:ascii="Verdana" w:hAnsi="Verdana"/>
          <w:szCs w:val="16"/>
          <w:lang w:val="es-US"/>
        </w:rPr>
        <w:t xml:space="preserve"> </w:t>
      </w:r>
      <w:r w:rsidRPr="00053304">
        <w:rPr>
          <w:rFonts w:ascii="Verdana" w:hAnsi="Verdana"/>
          <w:szCs w:val="16"/>
          <w:lang w:val="es-US"/>
        </w:rPr>
        <w:t>Auto. Juez Sexto de Distrito Estado de México. 12 de junio de 2012 (expediente de prueba, folios 2232 a 2235).</w:t>
      </w:r>
    </w:p>
  </w:footnote>
  <w:footnote w:id="94">
    <w:p w14:paraId="6CB88CCD" w14:textId="152C8A3A" w:rsidR="00F92AA0" w:rsidRPr="00053304" w:rsidRDefault="00F92AA0"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rPr>
        <w:t>Cfr</w:t>
      </w:r>
      <w:r w:rsidR="610EE4FF" w:rsidRPr="00053304">
        <w:rPr>
          <w:rFonts w:ascii="Verdana" w:hAnsi="Verdana"/>
          <w:szCs w:val="16"/>
        </w:rPr>
        <w:t>. Información contenida en: Sentencia de apelación de 28 de marzo de 2016 emitida por la Primera Sala Colegiada Penal de Tlalnepantla del Tribunal Superior de Justicia del Estado de México, 460/2015 (expediente de prueba, folios 2699 a 2741).</w:t>
      </w:r>
    </w:p>
  </w:footnote>
  <w:footnote w:id="95">
    <w:p w14:paraId="1701959B" w14:textId="192E9CCA" w:rsidR="001222EC" w:rsidRPr="00053304" w:rsidRDefault="001222EC"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t xml:space="preserve">Al ser acogido un recurso de revisión contra la detención de Daniel García Rodríguez, el 30 de marzo de 2007, se ordenó la revisión del auto formal de prisión, el cual fue enmendado el 23 de mayo de 2007, ordenando su libertad “por falta de elementos para procesar con las reservas de la ley”, respecto de los delitos de extorsión, fraude y delincuencia organizada, manteniéndose por el delito de homicidio calificado, “mismo que al ser sancionado con pena corporal amerita la prisión preventiva del indiciado”. </w:t>
      </w:r>
      <w:r w:rsidRPr="00053304">
        <w:rPr>
          <w:rFonts w:ascii="Verdana" w:hAnsi="Verdana"/>
          <w:i/>
          <w:iCs/>
          <w:szCs w:val="16"/>
          <w:lang w:val="es-US"/>
        </w:rPr>
        <w:t>Cfr</w:t>
      </w:r>
      <w:r w:rsidR="3BF92891" w:rsidRPr="00053304">
        <w:rPr>
          <w:rFonts w:ascii="Verdana" w:hAnsi="Verdana"/>
          <w:szCs w:val="16"/>
          <w:lang w:val="es-US"/>
        </w:rPr>
        <w:t>. Segunda Sala Colegiada Penal de Tlalnepantla, Tribunal Superior de Justicia del Estado de México. Fallo Juicio de Amparo Indirecto 1192/2005-E. Tlalnepantla de Baz, Estado de México, 23 de mayo de 2007 (expediente de prueba, folios 710 a 825)</w:t>
      </w:r>
      <w:r w:rsidR="610EE4FF" w:rsidRPr="00053304">
        <w:rPr>
          <w:rFonts w:ascii="Verdana" w:hAnsi="Verdana"/>
          <w:szCs w:val="16"/>
          <w:lang w:val="es-US"/>
        </w:rPr>
        <w:t>.</w:t>
      </w:r>
    </w:p>
  </w:footnote>
  <w:footnote w:id="96">
    <w:p w14:paraId="2E2C0B0C" w14:textId="5FD4F9DD" w:rsidR="00630B6F" w:rsidRPr="00053304" w:rsidRDefault="00630B6F" w:rsidP="00053304">
      <w:pPr>
        <w:pStyle w:val="Default"/>
        <w:spacing w:before="120" w:after="120"/>
        <w:jc w:val="both"/>
        <w:rPr>
          <w:rFonts w:ascii="Verdana" w:hAnsi="Verdana"/>
          <w:color w:val="auto"/>
          <w:sz w:val="16"/>
          <w:szCs w:val="16"/>
          <w:lang w:val="es-CR"/>
        </w:rPr>
      </w:pPr>
      <w:r w:rsidRPr="00053304">
        <w:rPr>
          <w:rStyle w:val="Refdenotaalpie"/>
          <w:rFonts w:ascii="Verdana" w:hAnsi="Verdana"/>
          <w:color w:val="auto"/>
          <w:sz w:val="16"/>
          <w:szCs w:val="16"/>
        </w:rPr>
        <w:footnoteRef/>
      </w:r>
      <w:r w:rsidRPr="00053304">
        <w:rPr>
          <w:rFonts w:ascii="Verdana" w:hAnsi="Verdana"/>
          <w:color w:val="auto"/>
          <w:sz w:val="16"/>
          <w:szCs w:val="16"/>
          <w:lang w:val="es-CR"/>
        </w:rPr>
        <w:tab/>
      </w:r>
      <w:r w:rsidR="3BF92891" w:rsidRPr="00053304">
        <w:rPr>
          <w:rFonts w:ascii="Verdana" w:hAnsi="Verdana"/>
          <w:i/>
          <w:iCs/>
          <w:color w:val="auto"/>
          <w:sz w:val="16"/>
          <w:szCs w:val="16"/>
          <w:lang w:val="es-CR"/>
        </w:rPr>
        <w:t>Cfr</w:t>
      </w:r>
      <w:r w:rsidR="610EE4FF" w:rsidRPr="00053304">
        <w:rPr>
          <w:rFonts w:ascii="Verdana" w:hAnsi="Verdana"/>
          <w:color w:val="auto"/>
          <w:sz w:val="16"/>
          <w:szCs w:val="16"/>
          <w:lang w:val="es-CR"/>
        </w:rPr>
        <w:t>. Resolución Incidente. Tlalnepantla, Estado de México, 24 de noviembre de 2011 (expediente de prueba, folios 2762 a 2768).</w:t>
      </w:r>
    </w:p>
  </w:footnote>
  <w:footnote w:id="97">
    <w:p w14:paraId="15C426F2" w14:textId="1D2A0773"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rPr>
        <w:t>Cfr</w:t>
      </w:r>
      <w:r w:rsidRPr="00053304">
        <w:rPr>
          <w:rFonts w:ascii="Verdana" w:hAnsi="Verdana"/>
          <w:szCs w:val="16"/>
        </w:rPr>
        <w:t>.</w:t>
      </w:r>
      <w:r w:rsidR="00795815" w:rsidRPr="00053304">
        <w:rPr>
          <w:rFonts w:ascii="Verdana" w:hAnsi="Verdana"/>
          <w:szCs w:val="16"/>
        </w:rPr>
        <w:t xml:space="preserve"> </w:t>
      </w:r>
      <w:r w:rsidRPr="00053304">
        <w:rPr>
          <w:rFonts w:ascii="Verdana" w:hAnsi="Verdana"/>
          <w:szCs w:val="16"/>
        </w:rPr>
        <w:t xml:space="preserve">Escrito Daniel García y Reyes Alpízar dirigido al Ministro Juan N. Silva Meza, </w:t>
      </w:r>
      <w:r w:rsidRPr="00053304">
        <w:rPr>
          <w:rFonts w:ascii="Verdana" w:hAnsi="Verdana"/>
          <w:szCs w:val="16"/>
          <w:lang w:val="es-US"/>
        </w:rPr>
        <w:t xml:space="preserve">Presidente de la Suprema Corte de Justicia de la Nación. 25 de enero de 2012 (expediente de prueba, folios 2849 a 2851); Escrito Daniel García y Reyes Alpízar dirigido al </w:t>
      </w:r>
      <w:r w:rsidR="00D73463" w:rsidRPr="00053304">
        <w:rPr>
          <w:rFonts w:ascii="Verdana" w:hAnsi="Verdana"/>
          <w:szCs w:val="16"/>
          <w:lang w:val="es-US"/>
        </w:rPr>
        <w:t>Ministro</w:t>
      </w:r>
      <w:r w:rsidRPr="00053304">
        <w:rPr>
          <w:rFonts w:ascii="Verdana" w:hAnsi="Verdana"/>
          <w:szCs w:val="16"/>
          <w:lang w:val="es-US"/>
        </w:rPr>
        <w:t xml:space="preserve"> Arturo Zald</w:t>
      </w:r>
      <w:r w:rsidR="3BF92891" w:rsidRPr="00053304">
        <w:rPr>
          <w:rFonts w:ascii="Verdana" w:hAnsi="Verdana"/>
          <w:szCs w:val="16"/>
          <w:lang w:val="es-US"/>
        </w:rPr>
        <w:t>í</w:t>
      </w:r>
      <w:r w:rsidR="610EE4FF" w:rsidRPr="00053304">
        <w:rPr>
          <w:rFonts w:ascii="Verdana" w:hAnsi="Verdana"/>
          <w:szCs w:val="16"/>
          <w:lang w:val="es-US"/>
        </w:rPr>
        <w:t>var Lelo de Larrea, Suprema Corte de Justicia de la Nación. 25 de enero de 2012, (expediente de prueba 2855 a 2857)</w:t>
      </w:r>
      <w:r w:rsidRPr="00053304">
        <w:rPr>
          <w:rStyle w:val="Refdenotaalpie"/>
          <w:rFonts w:ascii="Verdana" w:hAnsi="Verdana"/>
          <w:szCs w:val="16"/>
        </w:rPr>
        <w:footnoteRef/>
      </w:r>
      <w:r w:rsidR="007F4456" w:rsidRPr="00053304">
        <w:rPr>
          <w:rFonts w:ascii="Verdana" w:hAnsi="Verdana"/>
          <w:szCs w:val="16"/>
          <w:lang w:val="es-US"/>
        </w:rPr>
        <w:t>, y</w:t>
      </w:r>
      <w:r w:rsidR="610EE4FF" w:rsidRPr="00053304">
        <w:rPr>
          <w:rFonts w:ascii="Verdana" w:hAnsi="Verdana"/>
          <w:szCs w:val="16"/>
          <w:lang w:val="es-US"/>
        </w:rPr>
        <w:t xml:space="preserve"> </w:t>
      </w:r>
      <w:r w:rsidR="007F4456" w:rsidRPr="00053304">
        <w:rPr>
          <w:rFonts w:ascii="Verdana" w:hAnsi="Verdana"/>
          <w:szCs w:val="16"/>
          <w:lang w:val="es-US"/>
        </w:rPr>
        <w:t>e</w:t>
      </w:r>
      <w:r w:rsidR="610EE4FF" w:rsidRPr="00053304">
        <w:rPr>
          <w:rFonts w:ascii="Verdana" w:hAnsi="Verdana"/>
          <w:szCs w:val="16"/>
          <w:lang w:val="es-US"/>
        </w:rPr>
        <w:t xml:space="preserve">scrito Daniel García y Reyes Alpízar. Interpone Recurso de Revisión ante la Suprema Corte de Justicia de la Nación. México, 15 de abril de 2012 (expediente de prueba, folios 2923 a 2972. </w:t>
      </w:r>
    </w:p>
  </w:footnote>
  <w:footnote w:id="98">
    <w:p w14:paraId="2116BCB3" w14:textId="5683F36E"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610EE4FF" w:rsidRPr="00053304">
        <w:rPr>
          <w:rFonts w:ascii="Verdana" w:hAnsi="Verdana"/>
          <w:i/>
          <w:iCs/>
          <w:szCs w:val="16"/>
          <w:lang w:val="es-US"/>
        </w:rPr>
        <w:t>Cfr</w:t>
      </w:r>
      <w:r w:rsidR="610EE4FF" w:rsidRPr="00053304">
        <w:rPr>
          <w:rFonts w:ascii="Verdana" w:hAnsi="Verdana"/>
          <w:szCs w:val="16"/>
          <w:lang w:val="es-US"/>
        </w:rPr>
        <w:t>. Juzgado Octavo de Distrito del Estado de México. Fallo Juicio de Amparo 1551/2011-E. Carta de la secretaria de la Ministra de la Corte Suprema de Justicia Olga Sánchez. México, DF, 27 de febrero de 2012 (expediente de prueba, folios 2899 a 2922).</w:t>
      </w:r>
    </w:p>
  </w:footnote>
  <w:footnote w:id="99">
    <w:p w14:paraId="7A2FB89A" w14:textId="771E575D"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3BF92891" w:rsidRPr="00053304">
        <w:rPr>
          <w:rFonts w:ascii="Verdana" w:hAnsi="Verdana"/>
          <w:szCs w:val="16"/>
          <w:lang w:val="es-US"/>
        </w:rPr>
        <w:t xml:space="preserve"> Información contenida en: </w:t>
      </w:r>
      <w:r w:rsidR="610EE4FF" w:rsidRPr="00053304">
        <w:rPr>
          <w:rFonts w:ascii="Verdana" w:hAnsi="Verdana"/>
          <w:szCs w:val="16"/>
        </w:rPr>
        <w:t>Sentencia de 18 de enero de 2018, Segundo Tribunal Colegiado en Materia Penal del Segundo Circuito, Recurso de Revisión 312/2017 (expediente de prueba, folios 2987 a 3018).</w:t>
      </w:r>
    </w:p>
  </w:footnote>
  <w:footnote w:id="100">
    <w:p w14:paraId="13C9E81B" w14:textId="0588486B"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3BF92891" w:rsidRPr="00053304">
        <w:rPr>
          <w:rFonts w:ascii="Verdana" w:hAnsi="Verdana"/>
          <w:szCs w:val="16"/>
          <w:lang w:val="es-US"/>
        </w:rPr>
        <w:t xml:space="preserve"> Información contenida en: </w:t>
      </w:r>
      <w:r w:rsidR="610EE4FF" w:rsidRPr="00053304">
        <w:rPr>
          <w:rFonts w:ascii="Verdana" w:hAnsi="Verdana"/>
          <w:szCs w:val="16"/>
        </w:rPr>
        <w:t>Sentencia de 1 de febrero de 2018, Segundo Tribunal Colegiado en Materia Penal del Segundo Circuito, Recurso de Revisión 312/2017 (expediente de prueba, folios 2987 a 3018).</w:t>
      </w:r>
    </w:p>
  </w:footnote>
  <w:footnote w:id="101">
    <w:p w14:paraId="43DA0689" w14:textId="5A267613" w:rsidR="00630B6F" w:rsidRPr="00053304" w:rsidRDefault="00630B6F" w:rsidP="00053304">
      <w:pPr>
        <w:pStyle w:val="Default"/>
        <w:spacing w:before="120" w:after="120"/>
        <w:jc w:val="both"/>
        <w:rPr>
          <w:rFonts w:ascii="Verdana" w:hAnsi="Verdana"/>
          <w:color w:val="auto"/>
          <w:sz w:val="16"/>
          <w:szCs w:val="16"/>
          <w:lang w:val="es-CR"/>
        </w:rPr>
      </w:pPr>
      <w:r w:rsidRPr="00053304">
        <w:rPr>
          <w:rStyle w:val="Refdenotaalpie"/>
          <w:rFonts w:ascii="Verdana" w:hAnsi="Verdana"/>
          <w:color w:val="auto"/>
          <w:sz w:val="16"/>
          <w:szCs w:val="16"/>
        </w:rPr>
        <w:footnoteRef/>
      </w:r>
      <w:r w:rsidRPr="00053304">
        <w:rPr>
          <w:rFonts w:ascii="Verdana" w:hAnsi="Verdana"/>
          <w:color w:val="auto"/>
          <w:sz w:val="16"/>
          <w:szCs w:val="16"/>
          <w:lang w:val="es-CR"/>
        </w:rPr>
        <w:tab/>
      </w:r>
      <w:r w:rsidRPr="00053304">
        <w:rPr>
          <w:rFonts w:ascii="Verdana" w:hAnsi="Verdana"/>
          <w:i/>
          <w:iCs/>
          <w:color w:val="auto"/>
          <w:sz w:val="16"/>
          <w:szCs w:val="16"/>
          <w:lang w:val="es-US"/>
        </w:rPr>
        <w:t>Cfr.</w:t>
      </w:r>
      <w:r w:rsidR="3BF92891" w:rsidRPr="00053304">
        <w:rPr>
          <w:rFonts w:ascii="Verdana" w:hAnsi="Verdana"/>
          <w:color w:val="auto"/>
          <w:sz w:val="16"/>
          <w:szCs w:val="16"/>
          <w:lang w:val="es-US"/>
        </w:rPr>
        <w:t xml:space="preserve"> </w:t>
      </w:r>
      <w:r w:rsidR="610EE4FF" w:rsidRPr="00053304">
        <w:rPr>
          <w:rFonts w:ascii="Verdana" w:hAnsi="Verdana"/>
          <w:color w:val="auto"/>
          <w:sz w:val="16"/>
          <w:szCs w:val="16"/>
          <w:lang w:val="es-CR"/>
        </w:rPr>
        <w:t>Sentencia de 1 de febrero de 2018, Segundo Tribunal Colegiado en Materia Penal del Segundo Circuito, Recurso de Revisión 312/2017 (expediente de prueba, folios 2987 a 3018).</w:t>
      </w:r>
    </w:p>
  </w:footnote>
  <w:footnote w:id="102">
    <w:p w14:paraId="1E398E7D" w14:textId="46995643"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CR"/>
        </w:rPr>
        <w:t>Cfr</w:t>
      </w:r>
      <w:r w:rsidRPr="00053304">
        <w:rPr>
          <w:rFonts w:ascii="Verdana" w:hAnsi="Verdana"/>
          <w:szCs w:val="16"/>
          <w:lang w:val="es-CR"/>
        </w:rPr>
        <w:t xml:space="preserve">. </w:t>
      </w:r>
      <w:r w:rsidR="3BF92891" w:rsidRPr="00053304">
        <w:rPr>
          <w:rFonts w:ascii="Verdana" w:hAnsi="Verdana"/>
          <w:szCs w:val="16"/>
          <w:lang w:val="es-CR"/>
        </w:rPr>
        <w:t xml:space="preserve">Amparo N. 1613/2017-V. </w:t>
      </w:r>
      <w:r w:rsidR="610EE4FF" w:rsidRPr="00053304">
        <w:rPr>
          <w:rFonts w:ascii="Verdana" w:hAnsi="Verdana"/>
          <w:szCs w:val="16"/>
          <w:lang w:val="es-US"/>
        </w:rPr>
        <w:t>Recurso de revisión de medidas cautelares, (expediente de prueba, folios 3046 a 3058).</w:t>
      </w:r>
    </w:p>
  </w:footnote>
  <w:footnote w:id="103">
    <w:p w14:paraId="211C0749" w14:textId="038F342A"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Información contenida en:</w:t>
      </w:r>
      <w:r w:rsidRPr="00053304">
        <w:rPr>
          <w:rFonts w:ascii="Verdana" w:hAnsi="Verdana"/>
          <w:szCs w:val="16"/>
          <w:lang w:val="es-US"/>
        </w:rPr>
        <w:t xml:space="preserve"> Sentencia de Apelación, 12 de diciembre de 2017, Primer Tribunal de Alzada en Materia Penal de Tlalnepantla, México (expediente de prueba, folios 3061 a 3090).</w:t>
      </w:r>
    </w:p>
  </w:footnote>
  <w:footnote w:id="104">
    <w:p w14:paraId="00486B6D" w14:textId="2622072A" w:rsidR="003B5F7D" w:rsidRPr="00053304" w:rsidRDefault="003B5F7D"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ES"/>
        </w:rPr>
        <w:t>Cfr</w:t>
      </w:r>
      <w:r w:rsidR="3BF92891" w:rsidRPr="00053304">
        <w:rPr>
          <w:rFonts w:ascii="Verdana" w:hAnsi="Verdana"/>
          <w:szCs w:val="16"/>
          <w:lang w:val="es-ES"/>
        </w:rPr>
        <w:t xml:space="preserve">. Información contenida en: </w:t>
      </w:r>
      <w:r w:rsidR="610EE4FF" w:rsidRPr="00053304">
        <w:rPr>
          <w:rFonts w:ascii="Verdana" w:hAnsi="Verdana"/>
          <w:szCs w:val="16"/>
          <w:lang w:val="es-CR"/>
        </w:rPr>
        <w:t>Sentencia de 8 de junio de 2018, emitida por el Juez Cuarto de Distrito en el Estado de México al resolver el juicio de amparo indirecto número 1813/2017-V</w:t>
      </w:r>
      <w:r w:rsidR="007F4456" w:rsidRPr="00053304">
        <w:rPr>
          <w:rFonts w:ascii="Verdana" w:hAnsi="Verdana"/>
          <w:szCs w:val="16"/>
          <w:lang w:val="es-CR"/>
        </w:rPr>
        <w:t xml:space="preserve"> </w:t>
      </w:r>
      <w:r w:rsidR="610EE4FF" w:rsidRPr="00053304">
        <w:rPr>
          <w:rFonts w:ascii="Verdana" w:hAnsi="Verdana"/>
          <w:szCs w:val="16"/>
          <w:lang w:val="es-CR"/>
        </w:rPr>
        <w:t>(expediente de prueba, folios 2316 a 2332).</w:t>
      </w:r>
    </w:p>
  </w:footnote>
  <w:footnote w:id="105">
    <w:p w14:paraId="2FFCFBB7" w14:textId="1DECE3D0" w:rsidR="008B4F19" w:rsidRPr="00053304" w:rsidRDefault="008B4F19"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eastAsia="Calibri" w:hAnsi="Verdana" w:cs="Calibri"/>
          <w:szCs w:val="16"/>
          <w:lang w:val="es-US"/>
        </w:rPr>
        <w:t xml:space="preserve">Después de analizar las declaraciones de diversos testigos relativos a la conducta de Daniel García mientras éste se desempeñaba como servidor público, la Jueza de la causa afirmó que “se puede establecer que dicho acusado no se conducía con honradez, lealtad ni rectitud en el ejercicio de sus funciones como secretario particular del presidente Municipal de Atizapán de Zaragoza, motivo por el cual indicaron que fue despedido de ese ayuntamiento […] lo que hace más proclive el riesgo de que el acusado se sustraiga de la acción de la justicia en caso de que sea modificada la medida cautelar de prisión preventiva”. </w:t>
      </w:r>
      <w:r w:rsidR="0071409E" w:rsidRPr="00053304">
        <w:rPr>
          <w:rFonts w:ascii="Verdana" w:hAnsi="Verdana"/>
          <w:i/>
          <w:iCs/>
          <w:szCs w:val="16"/>
          <w:lang w:val="es-US"/>
        </w:rPr>
        <w:t>Cfr</w:t>
      </w:r>
      <w:r w:rsidR="3BF92891" w:rsidRPr="00053304">
        <w:rPr>
          <w:rFonts w:ascii="Verdana" w:hAnsi="Verdana"/>
          <w:szCs w:val="16"/>
          <w:lang w:val="es-US"/>
        </w:rPr>
        <w:t>. Resolución incidental, 30 de enero de 2018, Jueza Penal de Primera Instancia del Distrito Judicial de Tlalnepantla, Incidente no especificado de revisión y cese de determinación cautelar de prisión preventiva (expediente de prueba, folios 2559 a 2643).</w:t>
      </w:r>
      <w:r w:rsidR="610EE4FF" w:rsidRPr="00053304">
        <w:rPr>
          <w:rFonts w:ascii="Verdana" w:hAnsi="Verdana"/>
          <w:szCs w:val="16"/>
          <w:lang w:val="es-US"/>
        </w:rPr>
        <w:t xml:space="preserve"> </w:t>
      </w:r>
    </w:p>
  </w:footnote>
  <w:footnote w:id="106">
    <w:p w14:paraId="17516FA1" w14:textId="1C4803AC" w:rsidR="008B4F19" w:rsidRPr="00053304" w:rsidRDefault="008B4F19"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0025018D" w:rsidRPr="00053304">
        <w:rPr>
          <w:rFonts w:ascii="Verdana" w:hAnsi="Verdana"/>
          <w:i/>
          <w:iCs/>
          <w:szCs w:val="16"/>
        </w:rPr>
        <w:t>Cfr</w:t>
      </w:r>
      <w:r w:rsidRPr="00053304">
        <w:rPr>
          <w:rFonts w:ascii="Verdana" w:hAnsi="Verdana"/>
          <w:szCs w:val="16"/>
          <w:lang w:val="es-US"/>
        </w:rPr>
        <w:t>. Información contenida en:</w:t>
      </w:r>
      <w:r w:rsidR="3BF92891" w:rsidRPr="00053304">
        <w:rPr>
          <w:rFonts w:ascii="Verdana" w:hAnsi="Verdana"/>
          <w:szCs w:val="16"/>
          <w:lang w:val="es-US"/>
        </w:rPr>
        <w:t xml:space="preserve"> </w:t>
      </w:r>
      <w:r w:rsidR="610EE4FF" w:rsidRPr="00053304">
        <w:rPr>
          <w:rFonts w:ascii="Verdana" w:hAnsi="Verdana"/>
          <w:szCs w:val="16"/>
          <w:lang w:val="es-US"/>
        </w:rPr>
        <w:t>Resolución incidental, 30 de enero de 2018, Jueza Penal de Primera Instancia del Distrito Judicial de Tlalnepantla, Incidente no especificado de revisión y cese de determinación cautelar de prisión preventiva (expediente de prueba, folios 2559 a 2643).</w:t>
      </w:r>
    </w:p>
  </w:footnote>
  <w:footnote w:id="107">
    <w:p w14:paraId="2A34264B" w14:textId="5173B9AB" w:rsidR="008B4F19" w:rsidRPr="00053304" w:rsidRDefault="008B4F19"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610EE4FF" w:rsidRPr="00053304">
        <w:rPr>
          <w:rFonts w:ascii="Verdana" w:hAnsi="Verdana"/>
          <w:szCs w:val="16"/>
          <w:lang w:val="es-US"/>
        </w:rPr>
        <w:t>. Resolución incidental, 30 de enero de 2018, Jueza Penal de Primera Instancia del Distrito Judicial de Tlalnepantla, Incidente no especificado de revisión y cese de determinación cautelar de prisión preventiva (expediente de prueba, folios 2559 a 2643).</w:t>
      </w:r>
    </w:p>
  </w:footnote>
  <w:footnote w:id="108">
    <w:p w14:paraId="022897B0" w14:textId="176DB23C" w:rsidR="00D73463" w:rsidRPr="00053304" w:rsidRDefault="00D73463"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i/>
          <w:iCs/>
          <w:szCs w:val="16"/>
          <w:lang w:val="es-ES"/>
        </w:rPr>
        <w:t xml:space="preserve"> </w:t>
      </w:r>
      <w:r w:rsidR="00795815" w:rsidRPr="00053304">
        <w:rPr>
          <w:rFonts w:ascii="Verdana" w:hAnsi="Verdana"/>
          <w:i/>
          <w:iCs/>
          <w:szCs w:val="16"/>
          <w:lang w:val="es-ES"/>
        </w:rPr>
        <w:t xml:space="preserve"> </w:t>
      </w:r>
      <w:r w:rsidR="00795815" w:rsidRPr="00053304">
        <w:rPr>
          <w:rFonts w:ascii="Verdana" w:hAnsi="Verdana"/>
          <w:i/>
          <w:iCs/>
          <w:szCs w:val="16"/>
          <w:lang w:val="es-ES"/>
        </w:rPr>
        <w:tab/>
      </w:r>
      <w:r w:rsidRPr="00053304">
        <w:rPr>
          <w:rFonts w:ascii="Verdana" w:hAnsi="Verdana"/>
          <w:i/>
          <w:iCs/>
          <w:szCs w:val="16"/>
          <w:lang w:val="es-ES"/>
        </w:rPr>
        <w:t>Cfr</w:t>
      </w:r>
      <w:r w:rsidRPr="00053304">
        <w:rPr>
          <w:rFonts w:ascii="Verdana" w:hAnsi="Verdana"/>
          <w:szCs w:val="16"/>
          <w:lang w:val="es-ES"/>
        </w:rPr>
        <w:t>. Poder Judicial del Estado de México. Juzgado Penal del Distrito Judicial de Tlalnepantla, Sentencia definitiva de 12 de mayo de 2022, Tlalnepantla de Baz, Estado de México (expediente de prueba, folios 70391 a 71350).</w:t>
      </w:r>
    </w:p>
  </w:footnote>
  <w:footnote w:id="109">
    <w:p w14:paraId="239D68FF" w14:textId="0D784FE6"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610EE4FF" w:rsidRPr="00053304">
        <w:rPr>
          <w:rFonts w:ascii="Verdana" w:hAnsi="Verdana"/>
          <w:szCs w:val="16"/>
          <w:lang w:val="es-US"/>
        </w:rPr>
        <w:t>. Sentencia de Apelación, 12 de diciembre de 2017, Primer Tribunal de Alzada en Materia Penal de Tlalnepantla, México (expediente de prueba, folios 3061 a 3090).</w:t>
      </w:r>
    </w:p>
  </w:footnote>
  <w:footnote w:id="110">
    <w:p w14:paraId="6C3FD88D" w14:textId="3C49D362" w:rsidR="00FC16F3" w:rsidRPr="00053304" w:rsidRDefault="00FC16F3"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007F4456" w:rsidRPr="00053304">
        <w:rPr>
          <w:rFonts w:ascii="Verdana" w:hAnsi="Verdana"/>
          <w:i/>
          <w:iCs/>
          <w:szCs w:val="16"/>
          <w:lang w:val="es-ES"/>
        </w:rPr>
        <w:t>Cfr</w:t>
      </w:r>
      <w:r w:rsidR="007F4456" w:rsidRPr="00053304">
        <w:rPr>
          <w:rFonts w:ascii="Verdana" w:hAnsi="Verdana"/>
          <w:szCs w:val="16"/>
          <w:lang w:val="es-ES"/>
        </w:rPr>
        <w:t xml:space="preserve">. </w:t>
      </w:r>
      <w:r w:rsidRPr="00053304">
        <w:rPr>
          <w:rFonts w:ascii="Verdana" w:hAnsi="Verdana" w:cs="Verdana"/>
          <w:szCs w:val="16"/>
          <w:lang w:val="es-ES_tradnl" w:eastAsia="ja-JP"/>
        </w:rPr>
        <w:t xml:space="preserve">Declaración </w:t>
      </w:r>
      <w:r w:rsidR="0085550F" w:rsidRPr="00053304">
        <w:rPr>
          <w:rFonts w:ascii="Verdana" w:hAnsi="Verdana" w:cs="Verdana"/>
          <w:szCs w:val="16"/>
          <w:lang w:val="es-ES_tradnl" w:eastAsia="ja-JP"/>
        </w:rPr>
        <w:t>ante fedatario público de</w:t>
      </w:r>
      <w:r w:rsidRPr="00053304">
        <w:rPr>
          <w:rFonts w:ascii="Verdana" w:hAnsi="Verdana" w:cs="Verdana"/>
          <w:szCs w:val="16"/>
          <w:lang w:val="es-ES_tradnl" w:eastAsia="ja-JP"/>
        </w:rPr>
        <w:t xml:space="preserve"> Reyes Alpízar Ortiz (expediente de prueba, folios </w:t>
      </w:r>
      <w:r w:rsidR="001C5F21" w:rsidRPr="00053304">
        <w:rPr>
          <w:rFonts w:ascii="Verdana" w:hAnsi="Verdana" w:cs="Verdana"/>
          <w:szCs w:val="16"/>
          <w:lang w:val="es-ES_tradnl" w:eastAsia="ja-JP"/>
        </w:rPr>
        <w:t>993 y siguientes</w:t>
      </w:r>
      <w:r w:rsidRPr="00053304">
        <w:rPr>
          <w:rFonts w:ascii="Verdana" w:hAnsi="Verdana" w:cs="Verdana"/>
          <w:szCs w:val="16"/>
          <w:lang w:val="es-ES_tradnl" w:eastAsia="ja-JP"/>
        </w:rPr>
        <w:t>)</w:t>
      </w:r>
      <w:r w:rsidR="00945E2D" w:rsidRPr="00053304">
        <w:rPr>
          <w:rFonts w:ascii="Verdana" w:hAnsi="Verdana" w:cs="Verdana"/>
          <w:szCs w:val="16"/>
          <w:lang w:val="es-ES_tradnl" w:eastAsia="ja-JP"/>
        </w:rPr>
        <w:t>.</w:t>
      </w:r>
    </w:p>
  </w:footnote>
  <w:footnote w:id="111">
    <w:p w14:paraId="438FBB6B" w14:textId="773F1949" w:rsidR="004817E4" w:rsidRPr="00053304" w:rsidRDefault="004817E4" w:rsidP="00053304">
      <w:pPr>
        <w:pStyle w:val="Default"/>
        <w:spacing w:before="120" w:after="120"/>
        <w:jc w:val="both"/>
        <w:rPr>
          <w:rFonts w:ascii="Verdana" w:hAnsi="Verdana"/>
          <w:color w:val="auto"/>
          <w:sz w:val="16"/>
          <w:szCs w:val="16"/>
          <w:lang w:val="es-CR"/>
        </w:rPr>
      </w:pPr>
      <w:r w:rsidRPr="00053304">
        <w:rPr>
          <w:rStyle w:val="Refdenotaalpie"/>
          <w:rFonts w:ascii="Verdana" w:hAnsi="Verdana"/>
          <w:color w:val="auto"/>
          <w:sz w:val="16"/>
          <w:szCs w:val="16"/>
        </w:rPr>
        <w:footnoteRef/>
      </w:r>
      <w:r w:rsidRPr="00053304">
        <w:rPr>
          <w:rFonts w:ascii="Verdana" w:hAnsi="Verdana"/>
          <w:color w:val="auto"/>
          <w:sz w:val="16"/>
          <w:szCs w:val="16"/>
          <w:lang w:val="es-CR"/>
        </w:rPr>
        <w:tab/>
      </w:r>
      <w:r w:rsidRPr="00053304">
        <w:rPr>
          <w:rFonts w:ascii="Verdana" w:hAnsi="Verdana"/>
          <w:i/>
          <w:iCs/>
          <w:color w:val="auto"/>
          <w:sz w:val="16"/>
          <w:szCs w:val="16"/>
          <w:lang w:val="es-ES"/>
        </w:rPr>
        <w:t>Cfr</w:t>
      </w:r>
      <w:r w:rsidR="00E05831" w:rsidRPr="00053304">
        <w:rPr>
          <w:rFonts w:ascii="Verdana" w:hAnsi="Verdana"/>
          <w:color w:val="auto"/>
          <w:sz w:val="16"/>
          <w:szCs w:val="16"/>
          <w:lang w:val="es-ES"/>
        </w:rPr>
        <w:t xml:space="preserve">. </w:t>
      </w:r>
      <w:r w:rsidRPr="00053304">
        <w:rPr>
          <w:rFonts w:ascii="Verdana" w:hAnsi="Verdana"/>
          <w:color w:val="auto"/>
          <w:sz w:val="16"/>
          <w:szCs w:val="16"/>
          <w:lang w:val="es-CR"/>
        </w:rPr>
        <w:t xml:space="preserve">Declaración Reyes Alpízar Ortiz, </w:t>
      </w:r>
      <w:r w:rsidR="00E05831" w:rsidRPr="00053304">
        <w:rPr>
          <w:rFonts w:ascii="Verdana" w:hAnsi="Verdana"/>
          <w:color w:val="auto"/>
          <w:sz w:val="16"/>
          <w:szCs w:val="16"/>
          <w:lang w:val="es-CR"/>
        </w:rPr>
        <w:t>de</w:t>
      </w:r>
      <w:r w:rsidRPr="00053304">
        <w:rPr>
          <w:rFonts w:ascii="Verdana" w:hAnsi="Verdana"/>
          <w:color w:val="auto"/>
          <w:sz w:val="16"/>
          <w:szCs w:val="16"/>
          <w:lang w:val="es-CR"/>
        </w:rPr>
        <w:t xml:space="preserve"> 28 de noviembre de 2002</w:t>
      </w:r>
      <w:r w:rsidR="3BF92891" w:rsidRPr="00053304">
        <w:rPr>
          <w:rFonts w:ascii="Verdana" w:hAnsi="Verdana"/>
          <w:color w:val="auto"/>
          <w:sz w:val="16"/>
          <w:szCs w:val="16"/>
          <w:lang w:val="es-CR"/>
        </w:rPr>
        <w:t xml:space="preserve"> </w:t>
      </w:r>
      <w:r w:rsidR="610EE4FF" w:rsidRPr="00053304">
        <w:rPr>
          <w:rFonts w:ascii="Verdana" w:hAnsi="Verdana"/>
          <w:color w:val="auto"/>
          <w:sz w:val="16"/>
          <w:szCs w:val="16"/>
          <w:lang w:val="es-CR"/>
        </w:rPr>
        <w:t>(expediente de prueba, folios 845 a 848)</w:t>
      </w:r>
      <w:r w:rsidR="00945E2D" w:rsidRPr="00053304">
        <w:rPr>
          <w:rFonts w:ascii="Verdana" w:hAnsi="Verdana"/>
          <w:color w:val="auto"/>
          <w:sz w:val="16"/>
          <w:szCs w:val="16"/>
          <w:lang w:val="es-CR"/>
        </w:rPr>
        <w:t>.</w:t>
      </w:r>
    </w:p>
  </w:footnote>
  <w:footnote w:id="112">
    <w:p w14:paraId="45881D1B" w14:textId="5B863275" w:rsidR="00DA5CD0" w:rsidRPr="00053304" w:rsidRDefault="00DA5CD0"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Dictamen médico Instituto de Servicios Periciales. Departamento de Medicina Forense. Causa Penal 88/2002 Tlalnepantla, México, 3 de mayo de 2008. Contiene Informe, Anexo de Consentimiento Informado y fotografías (36 págs.) (expediente de pruebas, folios 942-1040); Dictamen médico Causa Penal 88/2002-1 México, Distrito Federal 7 de noviembre de 2007. Contiene Informe, Anexo de cronología de evolución de lesiones y fotografías (60 págs.) (expediente de pruebas, folios 1044 a 1086).</w:t>
      </w:r>
    </w:p>
  </w:footnote>
  <w:footnote w:id="113">
    <w:p w14:paraId="11D172FF" w14:textId="0F36B167" w:rsidR="00DA5CD0" w:rsidRPr="00053304" w:rsidRDefault="00DA5CD0"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rPr>
        <w:t>Cfr</w:t>
      </w:r>
      <w:r w:rsidR="610EE4FF" w:rsidRPr="00053304">
        <w:rPr>
          <w:rFonts w:ascii="Verdana" w:hAnsi="Verdana"/>
          <w:szCs w:val="16"/>
        </w:rPr>
        <w:t>. Dictamen médico Instituto de Servicios Periciales. Departamento de Medicina Forense. Causa Penal 88/2002 Tlalnepantla, México, 3 de mayo de 2008. Contiene Informe (Anexo de Consentimiento Informado y fotografías) (expediente de pruebas, folios 942 a 1040).</w:t>
      </w:r>
    </w:p>
  </w:footnote>
  <w:footnote w:id="114">
    <w:p w14:paraId="2B35607A" w14:textId="064A87C1" w:rsidR="00DA5CD0" w:rsidRPr="00053304" w:rsidRDefault="00DA5CD0"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rPr>
        <w:t>Cfr</w:t>
      </w:r>
      <w:r w:rsidR="610EE4FF" w:rsidRPr="00053304">
        <w:rPr>
          <w:rFonts w:ascii="Verdana" w:hAnsi="Verdana"/>
          <w:szCs w:val="16"/>
        </w:rPr>
        <w:t>. Dictamen médico Causa Penal 88/2002-1 México, Distrito Federal 7 de noviembre de 2007. Contiene Informe (42 págs.), Anexo de cronología de evolución de lesiones y fotografías (expediente de pruebas, folios 1044 a 1149).</w:t>
      </w:r>
    </w:p>
  </w:footnote>
  <w:footnote w:id="115">
    <w:p w14:paraId="39C2F8DE" w14:textId="4BEA6CF5" w:rsidR="00DA5CD0" w:rsidRPr="00053304" w:rsidRDefault="00DA5CD0"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rPr>
        <w:t>Cfr</w:t>
      </w:r>
      <w:r w:rsidR="610EE4FF" w:rsidRPr="00053304">
        <w:rPr>
          <w:rFonts w:ascii="Verdana" w:hAnsi="Verdana"/>
          <w:szCs w:val="16"/>
        </w:rPr>
        <w:t>. Dictamen médico Instituto de Servicios Periciales. Departamento de Medicina Forense. Causa Penal 88/2002 Tlalnepantla, México, 3 de mayo de 2008. Contiene Informe, Anexo de Consentimiento Informado y fotografías (expediente de pruebas, folios 942-1040)</w:t>
      </w:r>
      <w:r w:rsidR="00B51616" w:rsidRPr="00053304">
        <w:rPr>
          <w:rFonts w:ascii="Verdana" w:hAnsi="Verdana"/>
          <w:szCs w:val="16"/>
        </w:rPr>
        <w:t>, y</w:t>
      </w:r>
      <w:r w:rsidR="610EE4FF" w:rsidRPr="00053304">
        <w:rPr>
          <w:rFonts w:ascii="Verdana" w:hAnsi="Verdana"/>
          <w:szCs w:val="16"/>
        </w:rPr>
        <w:t xml:space="preserve"> Dictamen médico Causa Penal 88/2002-1 México, Distrito Federal 7 de noviembre de 2007. Contiene Informe, Anexo de cronología de evolución de lesiones y fotografías (expediente de pruebas, folios 1044 a 1149).</w:t>
      </w:r>
    </w:p>
  </w:footnote>
  <w:footnote w:id="116">
    <w:p w14:paraId="07D2409B" w14:textId="23B09A93" w:rsidR="00DA5CD0" w:rsidRPr="00053304" w:rsidRDefault="00DA5CD0"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rPr>
        <w:t>Cfr</w:t>
      </w:r>
      <w:r w:rsidR="610EE4FF" w:rsidRPr="00053304">
        <w:rPr>
          <w:rFonts w:ascii="Verdana" w:hAnsi="Verdana"/>
          <w:szCs w:val="16"/>
        </w:rPr>
        <w:t>. Dictamen médico Instituto de Servicios Periciales. Departamento de Medicina Forense. Causa Penal 88/2002 Tlalnepantla, México, 3 de mayo de 2008. Informe, Anexo de Consentimiento Informado y fotografías</w:t>
      </w:r>
      <w:r w:rsidR="000B53CC" w:rsidRPr="00053304">
        <w:rPr>
          <w:rFonts w:ascii="Verdana" w:hAnsi="Verdana"/>
          <w:szCs w:val="16"/>
        </w:rPr>
        <w:t xml:space="preserve"> </w:t>
      </w:r>
      <w:r w:rsidR="610EE4FF" w:rsidRPr="00053304">
        <w:rPr>
          <w:rFonts w:ascii="Verdana" w:hAnsi="Verdana"/>
          <w:szCs w:val="16"/>
        </w:rPr>
        <w:t>(expediente de pruebas, folios 942 a 1040).</w:t>
      </w:r>
    </w:p>
  </w:footnote>
  <w:footnote w:id="117">
    <w:p w14:paraId="280539A0" w14:textId="056C983F" w:rsidR="00DA5CD0" w:rsidRPr="00053304" w:rsidRDefault="00DA5CD0"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00E05831" w:rsidRPr="00053304">
        <w:rPr>
          <w:rFonts w:ascii="Verdana" w:hAnsi="Verdana"/>
          <w:i/>
          <w:iCs/>
          <w:szCs w:val="16"/>
        </w:rPr>
        <w:t>Cfr</w:t>
      </w:r>
      <w:r w:rsidRPr="00053304">
        <w:rPr>
          <w:rFonts w:ascii="Verdana" w:hAnsi="Verdana"/>
          <w:szCs w:val="16"/>
        </w:rPr>
        <w:t>. Dictamen médico Instituto de Servicios Periciales. Departamento de Medicina Forense. Causa Penal 88/2002 Tlalnepantla, México, 3 de mayo de 2008. Contiene Informe</w:t>
      </w:r>
      <w:r w:rsidRPr="00053304">
        <w:rPr>
          <w:rFonts w:ascii="Verdana" w:hAnsi="Verdana"/>
          <w:szCs w:val="16"/>
          <w:lang w:val="es-MX"/>
        </w:rPr>
        <w:t>, Anexo de Consentimiento Informado y fotografías (expediente de pruebas, folios 942 a 1040)</w:t>
      </w:r>
      <w:r w:rsidR="00B51616" w:rsidRPr="00053304">
        <w:rPr>
          <w:rFonts w:ascii="Verdana" w:hAnsi="Verdana"/>
          <w:szCs w:val="16"/>
          <w:lang w:val="es-MX"/>
        </w:rPr>
        <w:t>, y</w:t>
      </w:r>
      <w:r w:rsidRPr="00053304">
        <w:rPr>
          <w:rFonts w:ascii="Verdana" w:hAnsi="Verdana"/>
          <w:szCs w:val="16"/>
          <w:lang w:val="es-MX"/>
        </w:rPr>
        <w:t xml:space="preserve"> Gobierno del Estado de México. Procuraduría General de Justicia. Acuerdo y Fe Ministerial de Estado Psicofísico</w:t>
      </w:r>
      <w:r w:rsidRPr="00053304">
        <w:rPr>
          <w:rFonts w:ascii="Verdana" w:hAnsi="Verdana"/>
          <w:szCs w:val="16"/>
          <w:lang w:val="es-US"/>
        </w:rPr>
        <w:t xml:space="preserve"> de Reyes Alpízar. Tlalnepantla de Baz, México, 28 de octubre de 2002 (expediente de prueba, folios 932</w:t>
      </w:r>
      <w:r w:rsidR="3BF92891" w:rsidRPr="00053304">
        <w:rPr>
          <w:rFonts w:ascii="Verdana" w:hAnsi="Verdana"/>
          <w:szCs w:val="16"/>
          <w:lang w:val="es-US"/>
        </w:rPr>
        <w:t xml:space="preserve"> a </w:t>
      </w:r>
      <w:r w:rsidR="610EE4FF" w:rsidRPr="00053304">
        <w:rPr>
          <w:rFonts w:ascii="Verdana" w:hAnsi="Verdana"/>
          <w:szCs w:val="16"/>
          <w:lang w:val="es-US"/>
        </w:rPr>
        <w:t>936).</w:t>
      </w:r>
    </w:p>
  </w:footnote>
  <w:footnote w:id="118">
    <w:p w14:paraId="6B807541" w14:textId="10DF7A22" w:rsidR="00DA5CD0" w:rsidRPr="00053304" w:rsidRDefault="00DA5CD0"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rPr>
        <w:t>Cfr</w:t>
      </w:r>
      <w:r w:rsidR="610EE4FF" w:rsidRPr="00053304">
        <w:rPr>
          <w:rFonts w:ascii="Verdana" w:hAnsi="Verdana"/>
          <w:szCs w:val="16"/>
        </w:rPr>
        <w:t>. Dictamen médico Instituto de Servicios Periciales. Departamento de Medicina Forense. Causa Penal 88/2002 Tlalnepantla, México, 3 de mayo de 2008. Contiene Informe, Anexo de Consentimiento Informado y fotografías (expediente de pruebas, folios 942 a 1040).</w:t>
      </w:r>
    </w:p>
  </w:footnote>
  <w:footnote w:id="119">
    <w:p w14:paraId="3A1F3F6A" w14:textId="0BBB2646" w:rsidR="00DA5CD0" w:rsidRPr="00053304" w:rsidRDefault="00DA5CD0"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MX"/>
        </w:rPr>
        <w:t>Cfr</w:t>
      </w:r>
      <w:r w:rsidRPr="00053304">
        <w:rPr>
          <w:rFonts w:ascii="Verdana" w:hAnsi="Verdana"/>
          <w:szCs w:val="16"/>
          <w:lang w:val="es-MX"/>
        </w:rPr>
        <w:t>. Dictamen médico Instituto de Servicios Periciales. Departamento de Medicina Forense. Causa Penal 88/2002 Tlalnepantla, México, 3 de mayo de 2008. Contiene Informe, Anexo de Consentimiento Informado y fotografías (expediente de pruebas, folios 942-1040)</w:t>
      </w:r>
      <w:r w:rsidR="00B51616" w:rsidRPr="00053304">
        <w:rPr>
          <w:rFonts w:ascii="Verdana" w:hAnsi="Verdana"/>
          <w:szCs w:val="16"/>
          <w:lang w:val="es-MX"/>
        </w:rPr>
        <w:t>, y</w:t>
      </w:r>
      <w:r w:rsidRPr="00053304">
        <w:rPr>
          <w:rFonts w:ascii="Verdana" w:hAnsi="Verdana"/>
          <w:szCs w:val="16"/>
          <w:lang w:val="es-MX"/>
        </w:rPr>
        <w:t xml:space="preserve"> </w:t>
      </w:r>
      <w:r w:rsidR="3BF92891" w:rsidRPr="00053304">
        <w:rPr>
          <w:rFonts w:ascii="Verdana" w:hAnsi="Verdana"/>
          <w:szCs w:val="16"/>
          <w:lang w:val="es-MX"/>
        </w:rPr>
        <w:t>Gobierno del Estado de México. Procuraduría General de Justicia. Acuerdo y Fe Ministerial de Estado Psicofísico</w:t>
      </w:r>
      <w:r w:rsidR="610EE4FF" w:rsidRPr="00053304">
        <w:rPr>
          <w:rFonts w:ascii="Verdana" w:hAnsi="Verdana"/>
          <w:szCs w:val="16"/>
          <w:lang w:val="es-US"/>
        </w:rPr>
        <w:t xml:space="preserve"> de Reyes Alpízar. Tlalnepantla de Baz, México, 28 de octubre de 2002 (expediente de prueba, folios 932 a 936).</w:t>
      </w:r>
    </w:p>
  </w:footnote>
  <w:footnote w:id="120">
    <w:p w14:paraId="3BC5B2F2" w14:textId="77777777" w:rsidR="00D46E11" w:rsidRPr="00053304" w:rsidRDefault="00D46E11"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Expediente CODHEM/NJ/5088/2002-3, Comisión de Derechos Humanos del Estado de México, Tercera Visitaduría General (expediente de prueba, folios 849 a 911).</w:t>
      </w:r>
    </w:p>
  </w:footnote>
  <w:footnote w:id="121">
    <w:p w14:paraId="63242ED8" w14:textId="6BF25F7E" w:rsidR="001B563F" w:rsidRPr="00053304" w:rsidRDefault="001B563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CR"/>
        </w:rPr>
        <w:t>Cfr</w:t>
      </w:r>
      <w:r w:rsidR="008F233B" w:rsidRPr="00053304">
        <w:rPr>
          <w:rFonts w:ascii="Verdana" w:hAnsi="Verdana"/>
          <w:szCs w:val="16"/>
          <w:lang w:val="es-CR"/>
        </w:rPr>
        <w:t>. Informe Pericial (expediente de prueba, folios 1045 a 1149)</w:t>
      </w:r>
      <w:r w:rsidR="00B51616" w:rsidRPr="00053304">
        <w:rPr>
          <w:rFonts w:ascii="Verdana" w:hAnsi="Verdana"/>
          <w:szCs w:val="16"/>
          <w:lang w:val="es-CR"/>
        </w:rPr>
        <w:t>, y</w:t>
      </w:r>
      <w:r w:rsidR="008F233B" w:rsidRPr="00053304">
        <w:rPr>
          <w:rFonts w:ascii="Verdana" w:hAnsi="Verdana"/>
          <w:szCs w:val="16"/>
          <w:lang w:val="es-CR"/>
        </w:rPr>
        <w:t xml:space="preserve"> </w:t>
      </w:r>
      <w:r w:rsidRPr="00053304">
        <w:rPr>
          <w:rFonts w:ascii="Verdana" w:hAnsi="Verdana"/>
          <w:szCs w:val="16"/>
          <w:lang w:val="es-US"/>
        </w:rPr>
        <w:t>Juzgado Quinto Penal de Primera Instancia. Diligencia Especial de Ratificación de Dictamen Pericial. Tlalnepantla, Estado de México, 5 de diciembre de 2007</w:t>
      </w:r>
      <w:r w:rsidR="3BF92891" w:rsidRPr="00053304">
        <w:rPr>
          <w:rFonts w:ascii="Verdana" w:hAnsi="Verdana"/>
          <w:szCs w:val="16"/>
          <w:lang w:val="es-US"/>
        </w:rPr>
        <w:t xml:space="preserve"> </w:t>
      </w:r>
      <w:r w:rsidR="610EE4FF" w:rsidRPr="00053304">
        <w:rPr>
          <w:rFonts w:ascii="Verdana" w:hAnsi="Verdana"/>
          <w:szCs w:val="16"/>
          <w:lang w:val="es-US"/>
        </w:rPr>
        <w:t>(expediente de prueba, folios 1553 a 1554).</w:t>
      </w:r>
    </w:p>
  </w:footnote>
  <w:footnote w:id="122">
    <w:p w14:paraId="0E7F6BAC" w14:textId="4312A2C6"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00AA30FE" w:rsidRPr="00053304">
        <w:rPr>
          <w:rFonts w:ascii="Verdana" w:hAnsi="Verdana"/>
          <w:szCs w:val="16"/>
          <w:lang w:val="es-US"/>
        </w:rPr>
        <w:t xml:space="preserve">. </w:t>
      </w:r>
      <w:r w:rsidRPr="00053304">
        <w:rPr>
          <w:rFonts w:ascii="Verdana" w:hAnsi="Verdana"/>
          <w:szCs w:val="16"/>
          <w:lang w:val="es-US"/>
        </w:rPr>
        <w:t>Causa: 88/</w:t>
      </w:r>
      <w:r w:rsidR="3BF92891" w:rsidRPr="00053304">
        <w:rPr>
          <w:rFonts w:ascii="Verdana" w:hAnsi="Verdana"/>
          <w:szCs w:val="16"/>
          <w:lang w:val="es-US"/>
        </w:rPr>
        <w:t>20</w:t>
      </w:r>
      <w:r w:rsidR="610EE4FF" w:rsidRPr="00053304">
        <w:rPr>
          <w:rFonts w:ascii="Verdana" w:hAnsi="Verdana"/>
          <w:szCs w:val="16"/>
          <w:lang w:val="es-US"/>
        </w:rPr>
        <w:t>02. Asunto: Se Ofrecen Periciales. Tlalnepantla, México, 24 de enero de 2008 (expediente de prueba, folios 1556 a 1557).</w:t>
      </w:r>
    </w:p>
  </w:footnote>
  <w:footnote w:id="123">
    <w:p w14:paraId="495263E6" w14:textId="1475E4A5"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3BF92891" w:rsidRPr="00053304">
        <w:rPr>
          <w:rFonts w:ascii="Verdana" w:hAnsi="Verdana"/>
          <w:szCs w:val="16"/>
          <w:lang w:val="es-US"/>
        </w:rPr>
        <w:t xml:space="preserve">. </w:t>
      </w:r>
      <w:r w:rsidR="610EE4FF" w:rsidRPr="00053304">
        <w:rPr>
          <w:rFonts w:ascii="Verdana" w:hAnsi="Verdana"/>
          <w:szCs w:val="16"/>
          <w:lang w:val="es-US"/>
        </w:rPr>
        <w:t xml:space="preserve">Juzgado Quinto Penal de Primera Instancia. Auto. Tlalnepantla, Estado de México, 8 de mayo de 2008, (expediente de prueba, folios 1559 a 1561). </w:t>
      </w:r>
    </w:p>
  </w:footnote>
  <w:footnote w:id="124">
    <w:p w14:paraId="4C180983" w14:textId="33224027" w:rsidR="001B563F" w:rsidRPr="00053304" w:rsidRDefault="001B563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610EE4FF" w:rsidRPr="00053304">
        <w:rPr>
          <w:rFonts w:ascii="Verdana" w:hAnsi="Verdana"/>
          <w:szCs w:val="16"/>
          <w:lang w:val="es-US"/>
        </w:rPr>
        <w:t xml:space="preserve">. </w:t>
      </w:r>
      <w:r w:rsidR="2A6C35C3" w:rsidRPr="00053304">
        <w:rPr>
          <w:rFonts w:ascii="Verdana" w:hAnsi="Verdana"/>
          <w:szCs w:val="16"/>
          <w:lang w:val="es-US"/>
        </w:rPr>
        <w:t xml:space="preserve">Dictamen médico Instituto de Servicios Periciales. Departamento de Medicina Forense. Causa Penal 88/2002 Tlalnepantla, México, 3 de mayo de 2008 (expediente de prueba, folios 942 y siguientes), y Juzgado Quinto Penal de Primera Instancia. Comparecencia Voluntaria de Perito. Tlalnepantla, México, 8 de mayo de 2008 (expediente de prueba, folios 1559 a 1561). </w:t>
      </w:r>
    </w:p>
  </w:footnote>
  <w:footnote w:id="125">
    <w:p w14:paraId="3F1C9CE0" w14:textId="53D6A1B9" w:rsidR="008F233B" w:rsidRPr="00053304" w:rsidRDefault="008F233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007F4A7E" w:rsidRPr="00053304">
        <w:rPr>
          <w:rFonts w:ascii="Verdana" w:hAnsi="Verdana"/>
          <w:szCs w:val="16"/>
        </w:rPr>
        <w:t xml:space="preserve">Indicó que “básicamente corresponden a contusiones simples ocasionadas, a través de mecanismos de presión (equimosis) y fricción (excoriación), durante las maniobras de detención referidas por el C. Reyes </w:t>
      </w:r>
      <w:r w:rsidRPr="00053304">
        <w:rPr>
          <w:rFonts w:ascii="Verdana" w:hAnsi="Verdana"/>
          <w:szCs w:val="16"/>
        </w:rPr>
        <w:t>Alpízar</w:t>
      </w:r>
      <w:r w:rsidRPr="00053304">
        <w:rPr>
          <w:rFonts w:ascii="Verdana" w:hAnsi="Verdana"/>
          <w:szCs w:val="16"/>
          <w:lang w:val="es-US"/>
        </w:rPr>
        <w:t xml:space="preserve"> Ortiz”, las que “no pusieron en peligro la vida, tardaron en sanar menos de quince días. No ameritaron hospitalización”. Lo anterior, la llevó a concluir que “no existe congruencia entre los hechos de tortura referidos por el C. Reyes </w:t>
      </w:r>
      <w:r w:rsidR="3BF92891" w:rsidRPr="00053304">
        <w:rPr>
          <w:rFonts w:ascii="Verdana" w:hAnsi="Verdana"/>
          <w:szCs w:val="16"/>
          <w:lang w:val="es-US"/>
        </w:rPr>
        <w:t>Alpízar</w:t>
      </w:r>
      <w:r w:rsidR="610EE4FF" w:rsidRPr="00053304">
        <w:rPr>
          <w:rFonts w:ascii="Verdana" w:hAnsi="Verdana"/>
          <w:szCs w:val="16"/>
          <w:lang w:val="es-US"/>
        </w:rPr>
        <w:t xml:space="preserve"> Ortiz y las lesiones contenidas en los certificados médicos coetáneos realizados, ni a la fecha del presente examen realizado por la suscrita”</w:t>
      </w:r>
      <w:r w:rsidR="2A6C35C3" w:rsidRPr="00053304">
        <w:rPr>
          <w:rFonts w:ascii="Verdana" w:hAnsi="Verdana"/>
          <w:szCs w:val="16"/>
          <w:lang w:val="es-US"/>
        </w:rPr>
        <w:t xml:space="preserve">. </w:t>
      </w:r>
    </w:p>
  </w:footnote>
  <w:footnote w:id="126">
    <w:p w14:paraId="2CC89F08" w14:textId="68527342" w:rsidR="008F233B" w:rsidRPr="00053304" w:rsidRDefault="008F233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t xml:space="preserve">Dictamen psicológico. Servicios Periciales. Psicología. Causa Penal 88/2002 </w:t>
      </w:r>
      <w:r w:rsidRPr="00053304">
        <w:rPr>
          <w:rFonts w:ascii="Verdana" w:hAnsi="Verdana"/>
          <w:szCs w:val="16"/>
          <w:lang w:val="es-US"/>
        </w:rPr>
        <w:t>Tlalbepantla, México, 7 de mayo de 2008. Contiene 114 páginas, pág. 105 (expediente de prueba, folios 1564 a 1679)</w:t>
      </w:r>
      <w:r w:rsidR="3BF92891" w:rsidRPr="00053304">
        <w:rPr>
          <w:rFonts w:ascii="Verdana" w:hAnsi="Verdana"/>
          <w:szCs w:val="16"/>
          <w:lang w:val="es-US"/>
        </w:rPr>
        <w:t xml:space="preserve">, y Juzgado Quinto Penal de Primera Instancia. Comparecencia Voluntaria de Perito. Tlalnepantla, Estado de México, 12 de mayo de 2008 </w:t>
      </w:r>
      <w:r w:rsidR="2A6C35C3" w:rsidRPr="00053304">
        <w:rPr>
          <w:rFonts w:ascii="Verdana" w:hAnsi="Verdana"/>
          <w:szCs w:val="16"/>
          <w:lang w:val="es-US"/>
        </w:rPr>
        <w:t xml:space="preserve">(expediente de prueba, folios 1680 a 1681). </w:t>
      </w:r>
    </w:p>
  </w:footnote>
  <w:footnote w:id="127">
    <w:p w14:paraId="270D1EA5" w14:textId="4926D1BE" w:rsidR="008F233B" w:rsidRPr="00053304" w:rsidRDefault="008F233B"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00085C3D" w:rsidRPr="00053304">
        <w:rPr>
          <w:rFonts w:ascii="Verdana" w:hAnsi="Verdana"/>
          <w:szCs w:val="16"/>
        </w:rPr>
        <w:t>Alega</w:t>
      </w:r>
      <w:r w:rsidR="00B51616" w:rsidRPr="00053304">
        <w:rPr>
          <w:rFonts w:ascii="Verdana" w:hAnsi="Verdana"/>
          <w:szCs w:val="16"/>
        </w:rPr>
        <w:t>ron</w:t>
      </w:r>
      <w:r w:rsidR="00085C3D" w:rsidRPr="00053304">
        <w:rPr>
          <w:rFonts w:ascii="Verdana" w:hAnsi="Verdana"/>
          <w:szCs w:val="16"/>
        </w:rPr>
        <w:t xml:space="preserve"> que éstas se habían realizado por las mismas profesionales que lo habrían revisado durante el arraigo, con burlas y muecas de éstas “sin bata, sin cama o sábana y en el patio del penal y sin el apoyo de nadie” con “mofas, sarcasmos, burlas y comentarios”. Escrito de Reyes </w:t>
      </w:r>
      <w:r w:rsidRPr="00053304">
        <w:rPr>
          <w:rFonts w:ascii="Verdana" w:hAnsi="Verdana"/>
          <w:szCs w:val="16"/>
        </w:rPr>
        <w:t>Alp</w:t>
      </w:r>
      <w:r w:rsidRPr="00053304">
        <w:rPr>
          <w:rFonts w:ascii="Verdana" w:hAnsi="Verdana"/>
          <w:szCs w:val="16"/>
          <w:lang w:val="es-US"/>
        </w:rPr>
        <w:t>í</w:t>
      </w:r>
      <w:r w:rsidR="00085C3D" w:rsidRPr="00053304">
        <w:rPr>
          <w:rFonts w:ascii="Verdana" w:hAnsi="Verdana"/>
          <w:szCs w:val="16"/>
          <w:lang w:val="es-US"/>
        </w:rPr>
        <w:t xml:space="preserve">zar Ortiz. Causa penal 88/02. 18 de febrero de 2008 </w:t>
      </w:r>
      <w:r w:rsidRPr="00053304">
        <w:rPr>
          <w:rFonts w:ascii="Verdana" w:hAnsi="Verdana"/>
          <w:szCs w:val="16"/>
          <w:lang w:val="es-US"/>
        </w:rPr>
        <w:t>(expediente de prueba, folios 168</w:t>
      </w:r>
      <w:r w:rsidR="00085C3D" w:rsidRPr="00053304">
        <w:rPr>
          <w:rFonts w:ascii="Verdana" w:hAnsi="Verdana"/>
          <w:szCs w:val="16"/>
          <w:lang w:val="es-US"/>
        </w:rPr>
        <w:t>2</w:t>
      </w:r>
      <w:r w:rsidRPr="00053304">
        <w:rPr>
          <w:rFonts w:ascii="Verdana" w:hAnsi="Verdana"/>
          <w:szCs w:val="16"/>
          <w:lang w:val="es-US"/>
        </w:rPr>
        <w:t xml:space="preserve"> a 16</w:t>
      </w:r>
      <w:r w:rsidR="3BF92891" w:rsidRPr="00053304">
        <w:rPr>
          <w:rFonts w:ascii="Verdana" w:hAnsi="Verdana"/>
          <w:szCs w:val="16"/>
          <w:lang w:val="es-US"/>
        </w:rPr>
        <w:t>99</w:t>
      </w:r>
      <w:r w:rsidR="2A6C35C3" w:rsidRPr="00053304">
        <w:rPr>
          <w:rFonts w:ascii="Verdana" w:hAnsi="Verdana"/>
          <w:szCs w:val="16"/>
          <w:lang w:val="es-US"/>
        </w:rPr>
        <w:t xml:space="preserve">). </w:t>
      </w:r>
    </w:p>
  </w:footnote>
  <w:footnote w:id="128">
    <w:p w14:paraId="01E45689" w14:textId="683470A1" w:rsidR="00085C3D" w:rsidRPr="00053304" w:rsidRDefault="00085C3D"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Pr="00053304">
        <w:rPr>
          <w:rFonts w:ascii="Verdana" w:hAnsi="Verdana"/>
          <w:szCs w:val="16"/>
          <w:lang w:val="es-US"/>
        </w:rPr>
        <w:t xml:space="preserve">. </w:t>
      </w:r>
      <w:r w:rsidR="3BF92891" w:rsidRPr="00053304">
        <w:rPr>
          <w:rFonts w:ascii="Verdana" w:hAnsi="Verdana"/>
          <w:szCs w:val="16"/>
          <w:lang w:val="es-US"/>
        </w:rPr>
        <w:t xml:space="preserve">Escrito de Reyes Alpízar Ortiz. Causa penal 88/02. 31 de marzo de 2008 </w:t>
      </w:r>
      <w:r w:rsidR="2A6C35C3" w:rsidRPr="00053304">
        <w:rPr>
          <w:rFonts w:ascii="Verdana" w:hAnsi="Verdana"/>
          <w:szCs w:val="16"/>
          <w:lang w:val="es-US"/>
        </w:rPr>
        <w:t xml:space="preserve">(expediente de prueba, folios 1700 a 1710). </w:t>
      </w:r>
    </w:p>
  </w:footnote>
  <w:footnote w:id="129">
    <w:p w14:paraId="78CF5428" w14:textId="5507253C"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2A6C35C3" w:rsidRPr="00053304">
        <w:rPr>
          <w:rFonts w:ascii="Verdana" w:hAnsi="Verdana"/>
          <w:szCs w:val="16"/>
          <w:lang w:val="es-US"/>
        </w:rPr>
        <w:t>. Juzgado Quinto Penal de Primera Instancia. Audiencia de Pruebas. Tlalnepantla, Estado de México, 5 de junio de 2008 (expediente de prueba, folios 1774 a 1777)</w:t>
      </w:r>
      <w:r w:rsidR="001C5F21" w:rsidRPr="00053304">
        <w:rPr>
          <w:rFonts w:ascii="Verdana" w:hAnsi="Verdana"/>
          <w:szCs w:val="16"/>
          <w:lang w:val="es-US"/>
        </w:rPr>
        <w:t>, y</w:t>
      </w:r>
      <w:r w:rsidR="2A6C35C3" w:rsidRPr="00053304">
        <w:rPr>
          <w:rFonts w:ascii="Verdana" w:hAnsi="Verdana"/>
          <w:szCs w:val="16"/>
          <w:lang w:val="es-US"/>
        </w:rPr>
        <w:t xml:space="preserve"> Juzgado Quinto Penal de Primera Instancia. Audiencia de Pruebas. Tlalnepantla, Estado de México, 19 de junio de 2008, “Audiencia de Pruebas 19.6.2008” (expediente de prueba, folios 1779 a 1782). </w:t>
      </w:r>
    </w:p>
  </w:footnote>
  <w:footnote w:id="130">
    <w:p w14:paraId="7FAFC435" w14:textId="58215663" w:rsidR="00085C3D" w:rsidRPr="00053304" w:rsidRDefault="00085C3D"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2A6C35C3" w:rsidRPr="00053304">
        <w:rPr>
          <w:rFonts w:ascii="Verdana" w:hAnsi="Verdana"/>
          <w:szCs w:val="16"/>
          <w:lang w:val="es-US"/>
        </w:rPr>
        <w:t>. Juzgado Quinto Penal de Primera Instancia. Auto. Tlalnepantla, Estado de México, 4 de abril de 2008 (expediente de prueba, folios 1716 a 1718).</w:t>
      </w:r>
    </w:p>
  </w:footnote>
  <w:footnote w:id="131">
    <w:p w14:paraId="09B6091B" w14:textId="0CEC7AD3" w:rsidR="00085C3D" w:rsidRPr="00053304" w:rsidRDefault="00085C3D"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Pr="00053304">
        <w:rPr>
          <w:rFonts w:ascii="Verdana" w:hAnsi="Verdana"/>
          <w:szCs w:val="16"/>
          <w:lang w:val="es-US"/>
        </w:rPr>
        <w:t xml:space="preserve">. Visitaduría General II Nororiente. </w:t>
      </w:r>
      <w:r w:rsidR="3BF92891" w:rsidRPr="00053304">
        <w:rPr>
          <w:rFonts w:ascii="Verdana" w:hAnsi="Verdana"/>
          <w:szCs w:val="16"/>
          <w:lang w:val="es-US"/>
        </w:rPr>
        <w:t>Exp</w:t>
      </w:r>
      <w:r w:rsidR="2A6C35C3" w:rsidRPr="00053304">
        <w:rPr>
          <w:rFonts w:ascii="Verdana" w:hAnsi="Verdana"/>
          <w:szCs w:val="16"/>
          <w:lang w:val="es-US"/>
        </w:rPr>
        <w:t xml:space="preserve">. CODHEM/NJ/1413/2007. Oficio No. 400C132300/2200/2008. Remite Copia Certificada de Examen Médico. Tlalnepantla de Baz, México, 26 de marzo de 2008 (expediente de prueba, folios 1719 a 1721). </w:t>
      </w:r>
    </w:p>
  </w:footnote>
  <w:footnote w:id="132">
    <w:p w14:paraId="739C2A7C" w14:textId="5148E9D2" w:rsidR="00085C3D" w:rsidRPr="00053304" w:rsidRDefault="00085C3D"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007F4A7E" w:rsidRPr="00053304">
        <w:rPr>
          <w:rFonts w:ascii="Verdana" w:hAnsi="Verdana"/>
          <w:i/>
          <w:iCs/>
          <w:szCs w:val="16"/>
          <w:lang w:val="es-US"/>
        </w:rPr>
        <w:t>Cfr</w:t>
      </w:r>
      <w:r w:rsidRPr="00053304">
        <w:rPr>
          <w:rFonts w:ascii="Verdana" w:hAnsi="Verdana"/>
          <w:szCs w:val="16"/>
          <w:lang w:val="es-US"/>
        </w:rPr>
        <w:t xml:space="preserve">. Copia Certificada de Examen Médico que CODHEM practicó a Reyes </w:t>
      </w:r>
      <w:r w:rsidR="3BF92891" w:rsidRPr="00053304">
        <w:rPr>
          <w:rFonts w:ascii="Verdana" w:hAnsi="Verdana"/>
          <w:szCs w:val="16"/>
          <w:lang w:val="es-US"/>
        </w:rPr>
        <w:t>Alpízar</w:t>
      </w:r>
      <w:r w:rsidR="2A6C35C3" w:rsidRPr="00053304">
        <w:rPr>
          <w:rFonts w:ascii="Verdana" w:hAnsi="Verdana"/>
          <w:szCs w:val="16"/>
          <w:lang w:val="es-US"/>
        </w:rPr>
        <w:t xml:space="preserve"> el 11 de diciembre de 2007 (expediente de prueba, folios 1722 a 1739). </w:t>
      </w:r>
    </w:p>
  </w:footnote>
  <w:footnote w:id="133">
    <w:p w14:paraId="58A3A46C" w14:textId="0FED6A17" w:rsidR="00085C3D" w:rsidRPr="00053304" w:rsidRDefault="00085C3D"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007F4A7E" w:rsidRPr="00053304">
        <w:rPr>
          <w:rFonts w:ascii="Verdana" w:hAnsi="Verdana"/>
          <w:i/>
          <w:iCs/>
          <w:szCs w:val="16"/>
          <w:lang w:val="es-US"/>
        </w:rPr>
        <w:t>Cfr</w:t>
      </w:r>
      <w:r w:rsidRPr="00053304">
        <w:rPr>
          <w:rFonts w:ascii="Verdana" w:hAnsi="Verdana"/>
          <w:szCs w:val="16"/>
          <w:lang w:val="es-US"/>
        </w:rPr>
        <w:t xml:space="preserve">. Escrito de Daniel García </w:t>
      </w:r>
      <w:r w:rsidR="006C1CA4" w:rsidRPr="00053304">
        <w:rPr>
          <w:rFonts w:ascii="Verdana" w:hAnsi="Verdana"/>
          <w:szCs w:val="16"/>
          <w:lang w:val="es-US"/>
        </w:rPr>
        <w:t xml:space="preserve">Rodríguez </w:t>
      </w:r>
      <w:r w:rsidRPr="00053304">
        <w:rPr>
          <w:rFonts w:ascii="Verdana" w:hAnsi="Verdana"/>
          <w:szCs w:val="16"/>
          <w:lang w:val="es-US"/>
        </w:rPr>
        <w:t xml:space="preserve">y Reyes </w:t>
      </w:r>
      <w:r w:rsidR="007F4A7E" w:rsidRPr="00053304">
        <w:rPr>
          <w:rFonts w:ascii="Verdana" w:hAnsi="Verdana"/>
          <w:szCs w:val="16"/>
          <w:lang w:val="es-US"/>
        </w:rPr>
        <w:t>Alpízar</w:t>
      </w:r>
      <w:r w:rsidRPr="00053304">
        <w:rPr>
          <w:rFonts w:ascii="Verdana" w:hAnsi="Verdana"/>
          <w:szCs w:val="16"/>
          <w:lang w:val="es-US"/>
        </w:rPr>
        <w:t xml:space="preserve"> Ortiz. Causa penal 88/02. 9 de octubre de 2008 (expediente de prueba, folios 1740 a 1772</w:t>
      </w:r>
      <w:r w:rsidR="001C5F21" w:rsidRPr="00053304">
        <w:rPr>
          <w:rFonts w:ascii="Verdana" w:hAnsi="Verdana"/>
          <w:szCs w:val="16"/>
          <w:lang w:val="es-US"/>
        </w:rPr>
        <w:t>)</w:t>
      </w:r>
      <w:r w:rsidR="2A6C35C3" w:rsidRPr="00053304">
        <w:rPr>
          <w:rFonts w:ascii="Verdana" w:hAnsi="Verdana"/>
          <w:szCs w:val="16"/>
          <w:lang w:val="es-US"/>
        </w:rPr>
        <w:t xml:space="preserve">. </w:t>
      </w:r>
    </w:p>
  </w:footnote>
  <w:footnote w:id="134">
    <w:p w14:paraId="26457BEE" w14:textId="2306E8BE" w:rsidR="00C60D1D" w:rsidRPr="00053304" w:rsidRDefault="00C60D1D"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lang w:val="es-US"/>
        </w:rPr>
        <w:t xml:space="preserve"> </w:t>
      </w:r>
      <w:r w:rsidRPr="00053304">
        <w:rPr>
          <w:rFonts w:ascii="Verdana" w:hAnsi="Verdana"/>
          <w:szCs w:val="16"/>
          <w:lang w:val="es-US"/>
        </w:rPr>
        <w:tab/>
      </w:r>
      <w:r w:rsidR="002022AE" w:rsidRPr="00053304">
        <w:rPr>
          <w:rFonts w:ascii="Verdana" w:hAnsi="Verdana"/>
          <w:i/>
          <w:iCs/>
          <w:szCs w:val="16"/>
          <w:lang w:val="es-US"/>
        </w:rPr>
        <w:t>Cfr</w:t>
      </w:r>
      <w:r w:rsidR="002022AE" w:rsidRPr="00053304">
        <w:rPr>
          <w:rFonts w:ascii="Verdana" w:hAnsi="Verdana"/>
          <w:szCs w:val="16"/>
          <w:lang w:val="es-US"/>
        </w:rPr>
        <w:t xml:space="preserve">. </w:t>
      </w:r>
      <w:r w:rsidRPr="00053304">
        <w:rPr>
          <w:rFonts w:ascii="Verdana" w:hAnsi="Verdana"/>
          <w:szCs w:val="16"/>
          <w:lang w:val="es-US"/>
        </w:rPr>
        <w:t>Juzgado Quinto Penal de Primera Instancia. Audiencia de Pruebas. Tlalnepantla, Estado de México, 5 de junio de 2008 (“Audiencia de Pruebas 19.6.2008”</w:t>
      </w:r>
      <w:r w:rsidR="000B53CC" w:rsidRPr="00053304">
        <w:rPr>
          <w:rFonts w:ascii="Verdana" w:hAnsi="Verdana"/>
          <w:szCs w:val="16"/>
          <w:lang w:val="es-US"/>
        </w:rPr>
        <w:t xml:space="preserve">, </w:t>
      </w:r>
      <w:r w:rsidR="00EF380D" w:rsidRPr="00053304">
        <w:rPr>
          <w:rFonts w:ascii="Verdana" w:hAnsi="Verdana"/>
          <w:szCs w:val="16"/>
          <w:lang w:val="es-US"/>
        </w:rPr>
        <w:t>expediente de prueba, folios 1773 a 1782)</w:t>
      </w:r>
      <w:r w:rsidRPr="00053304">
        <w:rPr>
          <w:rFonts w:ascii="Verdana" w:hAnsi="Verdana"/>
          <w:szCs w:val="16"/>
          <w:lang w:val="es-US"/>
        </w:rPr>
        <w:t xml:space="preserve">. </w:t>
      </w:r>
      <w:r w:rsidR="002022AE" w:rsidRPr="00053304">
        <w:rPr>
          <w:rFonts w:ascii="Verdana" w:hAnsi="Verdana"/>
          <w:szCs w:val="16"/>
          <w:lang w:val="es-US"/>
        </w:rPr>
        <w:t>Cabe recordar que el artículo 230 del Código de Procedimientos Penales del Estado de México de 2000, establecía: Cuando las opiniones de los peritos discordaren, el servidor público que practique las diligencias nombrará además un tercer perito, procurando que el nombramiento de éste recaiga, cuando sea posible, en persona ajena a la institución u oficina de los peritos en discordia y los citará a una junta, en la que aquéllos o quienes los hayan sustituido y el perito tercero, discutirán los puntos de diferencia, haciéndose constar en el acta el resultado de la discusión.</w:t>
      </w:r>
    </w:p>
  </w:footnote>
  <w:footnote w:id="135">
    <w:p w14:paraId="52B00F2F" w14:textId="60BED6B9" w:rsidR="00C60D1D" w:rsidRPr="00053304" w:rsidRDefault="00C60D1D"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lang w:val="es-US"/>
        </w:rPr>
        <w:t xml:space="preserve"> </w:t>
      </w:r>
      <w:r w:rsidRPr="00053304">
        <w:rPr>
          <w:rFonts w:ascii="Verdana" w:hAnsi="Verdana"/>
          <w:szCs w:val="16"/>
          <w:lang w:val="es-US"/>
        </w:rPr>
        <w:tab/>
        <w:t>Dictamen psicológico. Causa Penal 88/2002. México, Distrito Federal, 11 de agosto de 2009. Contiene 74 páginas, Juzgado Quinto Penal de Primera Instancia (expediente de prueba, folios 1783 a 1856)</w:t>
      </w:r>
      <w:r w:rsidR="001C5F21" w:rsidRPr="00053304">
        <w:rPr>
          <w:rFonts w:ascii="Verdana" w:hAnsi="Verdana"/>
          <w:szCs w:val="16"/>
          <w:lang w:val="es-US"/>
        </w:rPr>
        <w:t>, y</w:t>
      </w:r>
      <w:r w:rsidRPr="00053304">
        <w:rPr>
          <w:rFonts w:ascii="Verdana" w:hAnsi="Verdana"/>
          <w:szCs w:val="16"/>
          <w:lang w:val="es-US"/>
        </w:rPr>
        <w:t xml:space="preserve"> </w:t>
      </w:r>
      <w:r w:rsidRPr="00053304">
        <w:rPr>
          <w:rFonts w:ascii="Verdana" w:hAnsi="Verdana"/>
          <w:szCs w:val="16"/>
          <w:lang w:val="es-CR"/>
        </w:rPr>
        <w:t xml:space="preserve">Audiencia de Desahogo de Pruebas y Junta de Peritos. </w:t>
      </w:r>
      <w:r w:rsidRPr="00053304">
        <w:rPr>
          <w:rFonts w:ascii="Verdana" w:hAnsi="Verdana"/>
          <w:szCs w:val="16"/>
          <w:lang w:val="es-US"/>
        </w:rPr>
        <w:t>Tlalnepantla, Estado de México, 20 de noviembre de 2009 (“Audiencia Prueba y Junta Peritos 20.11.2009”) (expediente de prueba,</w:t>
      </w:r>
      <w:r w:rsidRPr="00053304">
        <w:rPr>
          <w:rFonts w:ascii="Verdana" w:eastAsia="Verdana" w:hAnsi="Verdana" w:cs="Verdana"/>
          <w:szCs w:val="16"/>
          <w:lang w:val="es-US"/>
        </w:rPr>
        <w:t xml:space="preserve"> </w:t>
      </w:r>
      <w:r w:rsidR="2A6C35C3" w:rsidRPr="00053304">
        <w:rPr>
          <w:rFonts w:ascii="Verdana" w:eastAsia="Verdana" w:hAnsi="Verdana" w:cs="Verdana"/>
          <w:szCs w:val="16"/>
          <w:lang w:val="es-CR"/>
        </w:rPr>
        <w:t>1857-1873</w:t>
      </w:r>
      <w:r w:rsidRPr="00053304">
        <w:rPr>
          <w:rFonts w:ascii="Verdana" w:hAnsi="Verdana"/>
          <w:szCs w:val="16"/>
          <w:lang w:val="es-US"/>
        </w:rPr>
        <w:t>).</w:t>
      </w:r>
    </w:p>
  </w:footnote>
  <w:footnote w:id="136">
    <w:p w14:paraId="474360FB" w14:textId="746D732E" w:rsidR="00C60D1D" w:rsidRPr="00053304" w:rsidRDefault="00C60D1D"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lang w:val="es-US"/>
        </w:rPr>
        <w:t xml:space="preserve"> </w:t>
      </w:r>
      <w:r w:rsidRPr="00053304">
        <w:rPr>
          <w:rFonts w:ascii="Verdana" w:hAnsi="Verdana"/>
          <w:szCs w:val="16"/>
          <w:lang w:val="es-US"/>
        </w:rPr>
        <w:tab/>
        <w:t>Dictamen Pericial en Psicología. Causa Penal 88/2002. Extorsión, Fraude, Homicidio Calificado, Otros. Toluca, México, 20 de octubre de 2009. Contiene 14 páginas, pág. 9. Audiencia Prueba y Junta Peritos 20.11.2009 (expediente de prueba, folios</w:t>
      </w:r>
      <w:r w:rsidRPr="00053304">
        <w:rPr>
          <w:rFonts w:ascii="Verdana" w:eastAsia="Verdana" w:hAnsi="Verdana" w:cs="Verdana"/>
          <w:szCs w:val="16"/>
          <w:lang w:val="es-US"/>
        </w:rPr>
        <w:t xml:space="preserve"> </w:t>
      </w:r>
      <w:r w:rsidR="2A6C35C3" w:rsidRPr="00053304">
        <w:rPr>
          <w:rFonts w:ascii="Verdana" w:eastAsia="Verdana" w:hAnsi="Verdana" w:cs="Verdana"/>
          <w:szCs w:val="16"/>
          <w:lang w:val="es-CR"/>
        </w:rPr>
        <w:t>1874-1888</w:t>
      </w:r>
      <w:r w:rsidRPr="00053304">
        <w:rPr>
          <w:rFonts w:ascii="Verdana" w:hAnsi="Verdana"/>
          <w:szCs w:val="16"/>
          <w:lang w:val="es-US"/>
        </w:rPr>
        <w:t>).</w:t>
      </w:r>
    </w:p>
  </w:footnote>
  <w:footnote w:id="137">
    <w:p w14:paraId="7EEC4E07" w14:textId="144057DE" w:rsidR="00C60D1D" w:rsidRPr="00053304" w:rsidRDefault="00C60D1D"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lang w:val="es-US"/>
        </w:rPr>
        <w:tab/>
        <w:t>Juzgado Quinto Penal de Primera Instancia. Audiencia de Desahogo de Pruebas y Junta de Peritos. Tlalnepantla, Estado de México, 17 de febrero de 2010 (expediente de prueba, folios</w:t>
      </w:r>
      <w:r w:rsidRPr="00053304">
        <w:rPr>
          <w:rFonts w:ascii="Verdana" w:eastAsia="Verdana" w:hAnsi="Verdana" w:cs="Verdana"/>
          <w:szCs w:val="16"/>
          <w:lang w:val="es-US"/>
        </w:rPr>
        <w:t xml:space="preserve"> </w:t>
      </w:r>
      <w:r w:rsidR="2A6C35C3" w:rsidRPr="00053304">
        <w:rPr>
          <w:rFonts w:ascii="Verdana" w:eastAsia="Verdana" w:hAnsi="Verdana" w:cs="Verdana"/>
          <w:szCs w:val="16"/>
          <w:lang w:val="es-CR"/>
        </w:rPr>
        <w:t>1889-1916</w:t>
      </w:r>
      <w:r w:rsidRPr="00053304">
        <w:rPr>
          <w:rFonts w:ascii="Verdana" w:hAnsi="Verdana"/>
          <w:szCs w:val="16"/>
          <w:lang w:val="es-US"/>
        </w:rPr>
        <w:t>).</w:t>
      </w:r>
    </w:p>
  </w:footnote>
  <w:footnote w:id="138">
    <w:p w14:paraId="44DC680F" w14:textId="1F25AF59"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2A6C35C3" w:rsidRPr="00053304">
        <w:rPr>
          <w:rFonts w:ascii="Verdana" w:hAnsi="Verdana"/>
          <w:szCs w:val="16"/>
          <w:lang w:val="es-US"/>
        </w:rPr>
        <w:t xml:space="preserve">. Escrito de Reyes Alpízar Ortiz Incidente No Especificado ante el Juzgado Quinto Penal de Primera Instancia. Causa 88/2002. Con timbre de recepción de 22 de septiembre de 2010 (expediente de prueba, folios 1918 a 2011). </w:t>
      </w:r>
    </w:p>
  </w:footnote>
  <w:footnote w:id="139">
    <w:p w14:paraId="5690E615" w14:textId="2C1EDC13" w:rsidR="00630B6F" w:rsidRPr="00053304" w:rsidRDefault="00630B6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szCs w:val="16"/>
          <w:lang w:val="es-US"/>
        </w:rPr>
        <w:t xml:space="preserve">Asimismo, indicó que </w:t>
      </w:r>
      <w:r w:rsidRPr="00053304">
        <w:rPr>
          <w:rFonts w:ascii="Verdana" w:hAnsi="Verdana"/>
          <w:i/>
          <w:iCs/>
          <w:szCs w:val="16"/>
          <w:lang w:val="es-US"/>
        </w:rPr>
        <w:t>“desde aquella fecha el ahora quejoso se dolía según su apreciación por hechos constitutivos de tortura, desde entonces tuvo su derecho expedito para hacerlo valer ante la autoridad correspondiente”</w:t>
      </w:r>
      <w:r w:rsidRPr="00053304">
        <w:rPr>
          <w:rFonts w:ascii="Verdana" w:hAnsi="Verdana"/>
          <w:szCs w:val="16"/>
          <w:lang w:val="es-US"/>
        </w:rPr>
        <w:t xml:space="preserve">.  Sobre las pruebas de presunta tortura en el caso, indicó que </w:t>
      </w:r>
      <w:r w:rsidRPr="00053304">
        <w:rPr>
          <w:rFonts w:ascii="Verdana" w:hAnsi="Verdana"/>
          <w:i/>
          <w:iCs/>
          <w:szCs w:val="16"/>
          <w:lang w:val="es-US"/>
        </w:rPr>
        <w:t>“desde luego serán motivo de valoración y análisis al momento en que se resuelva en definitiva la situación jurídica”</w:t>
      </w:r>
      <w:r w:rsidRPr="00053304">
        <w:rPr>
          <w:rFonts w:ascii="Verdana" w:hAnsi="Verdana"/>
          <w:szCs w:val="16"/>
          <w:lang w:val="es-US"/>
        </w:rPr>
        <w:t xml:space="preserve">, insistiendo en que éste tenía el </w:t>
      </w:r>
      <w:r w:rsidRPr="00053304">
        <w:rPr>
          <w:rFonts w:ascii="Verdana" w:hAnsi="Verdana"/>
          <w:i/>
          <w:iCs/>
          <w:szCs w:val="16"/>
          <w:lang w:val="es-US"/>
        </w:rPr>
        <w:t>“derecho expedito”</w:t>
      </w:r>
      <w:r w:rsidRPr="00053304">
        <w:rPr>
          <w:rFonts w:ascii="Verdana" w:hAnsi="Verdana"/>
          <w:szCs w:val="16"/>
          <w:lang w:val="es-US"/>
        </w:rPr>
        <w:t xml:space="preserve"> para hacer valer las alegaciones de tortura </w:t>
      </w:r>
      <w:r w:rsidRPr="00053304">
        <w:rPr>
          <w:rFonts w:ascii="Verdana" w:hAnsi="Verdana"/>
          <w:i/>
          <w:iCs/>
          <w:szCs w:val="16"/>
          <w:lang w:val="es-US"/>
        </w:rPr>
        <w:t>“ante las autoridades correspondientes”</w:t>
      </w:r>
      <w:r w:rsidRPr="00053304">
        <w:rPr>
          <w:rFonts w:ascii="Verdana" w:hAnsi="Verdana"/>
          <w:szCs w:val="16"/>
          <w:lang w:val="es-US"/>
        </w:rPr>
        <w:t xml:space="preserve">. </w:t>
      </w:r>
      <w:r w:rsidRPr="00053304">
        <w:rPr>
          <w:rFonts w:ascii="Verdana" w:hAnsi="Verdana"/>
          <w:i/>
          <w:iCs/>
          <w:szCs w:val="16"/>
          <w:lang w:val="es-US"/>
        </w:rPr>
        <w:t>Cfr</w:t>
      </w:r>
      <w:r w:rsidRPr="00053304">
        <w:rPr>
          <w:rFonts w:ascii="Verdana" w:hAnsi="Verdana"/>
          <w:szCs w:val="16"/>
          <w:lang w:val="es-US"/>
        </w:rPr>
        <w:t xml:space="preserve">. Juzgado Quinto Penal de Primera Instancia. Resolución Incidental. Tlalnepantla, Estado de México, 24 de septiembre de 2010 (expediente de prueba, folios 2013 a 2017). </w:t>
      </w:r>
    </w:p>
  </w:footnote>
  <w:footnote w:id="140">
    <w:p w14:paraId="0FD79D48" w14:textId="714AB6F2" w:rsidR="00630B6F" w:rsidRPr="00053304" w:rsidRDefault="00630B6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3BF92891" w:rsidRPr="00053304">
        <w:rPr>
          <w:rFonts w:ascii="Verdana" w:hAnsi="Verdana"/>
          <w:szCs w:val="16"/>
          <w:lang w:val="es-US"/>
        </w:rPr>
        <w:t xml:space="preserve">. </w:t>
      </w:r>
      <w:r w:rsidR="2A6C35C3" w:rsidRPr="00053304">
        <w:rPr>
          <w:rFonts w:ascii="Verdana" w:hAnsi="Verdana"/>
          <w:szCs w:val="16"/>
          <w:lang w:val="es-US"/>
        </w:rPr>
        <w:t>Juzgado Quinto Penal de Primera Instancia. Causa penal: 88/2002. Asunto: Se rinde informe. Oficio: 1010. Tlalnepantla de Baz, México, 15 de agosto de 2011 (expediente de prueba, folios 2019 a 2032)</w:t>
      </w:r>
      <w:r w:rsidR="002F7053" w:rsidRPr="00053304">
        <w:rPr>
          <w:rFonts w:ascii="Verdana" w:hAnsi="Verdana"/>
          <w:szCs w:val="16"/>
          <w:lang w:val="es-US"/>
        </w:rPr>
        <w:t>, y</w:t>
      </w:r>
      <w:r w:rsidR="2A6C35C3" w:rsidRPr="00053304">
        <w:rPr>
          <w:rFonts w:ascii="Verdana" w:hAnsi="Verdana"/>
          <w:szCs w:val="16"/>
          <w:lang w:val="es-US"/>
        </w:rPr>
        <w:t xml:space="preserve"> Juzgado Quinto Penal de Primera Instancia. Causa penal: 88/2002. Asunto: Se rinde informe. Oficio: 1016. Tlalnepantla de Baz, México, 16 de agosto de 2011 (expediente de prueba, folios 2034 a 2045). </w:t>
      </w:r>
    </w:p>
  </w:footnote>
  <w:footnote w:id="141">
    <w:p w14:paraId="2E010DDA" w14:textId="4B354F24" w:rsidR="00E46DBD" w:rsidRPr="00053304" w:rsidRDefault="00E46DBD"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Pr="00053304">
        <w:rPr>
          <w:rFonts w:ascii="Verdana" w:hAnsi="Verdana"/>
          <w:szCs w:val="16"/>
          <w:lang w:val="es-US"/>
        </w:rPr>
        <w:t>. Juzgado Quinto Penal de Primera Instancia. Causa penal: 88/2002. Asunto: Se rinde informe. Oficio: 1010. Tlalnepantla de Baz, México, 15 de agosto de 2011 (expediente de prueba, folios 2019 a 2032)</w:t>
      </w:r>
      <w:r w:rsidR="002F7053" w:rsidRPr="00053304">
        <w:rPr>
          <w:rFonts w:ascii="Verdana" w:hAnsi="Verdana"/>
          <w:szCs w:val="16"/>
          <w:lang w:val="es-US"/>
        </w:rPr>
        <w:t>, y</w:t>
      </w:r>
      <w:r w:rsidRPr="00053304">
        <w:rPr>
          <w:rFonts w:ascii="Verdana" w:hAnsi="Verdana"/>
          <w:szCs w:val="16"/>
          <w:lang w:val="es-US"/>
        </w:rPr>
        <w:t xml:space="preserve"> Juzgado Quinto Penal de Primera Instancia. Causa penal: 88/2002. Asunto: Se rinde informe. Oficio: 1016. Tlalnepantla de Baz, México, 16 de agosto de 2011 (expediente de prueba, folios 2034 a 2045). </w:t>
      </w:r>
    </w:p>
  </w:footnote>
  <w:footnote w:id="142">
    <w:p w14:paraId="797D26F4" w14:textId="63844FBA" w:rsidR="00E46DBD" w:rsidRPr="00053304" w:rsidRDefault="00E46DBD"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Pr="00053304">
        <w:rPr>
          <w:rFonts w:ascii="Verdana" w:hAnsi="Verdana"/>
          <w:szCs w:val="16"/>
          <w:lang w:val="es-US"/>
        </w:rPr>
        <w:t xml:space="preserve">. Juzgado Quinto Penal de Primera Instancia. Audiencia de Desahogo de Pruebas. Tlalnepantla, Estado de México, 7 de mayo de 2012, foliación indeterminada 32514-32519 </w:t>
      </w:r>
      <w:r w:rsidRPr="00053304">
        <w:rPr>
          <w:rFonts w:ascii="Verdana" w:hAnsi="Verdana"/>
          <w:szCs w:val="16"/>
        </w:rPr>
        <w:t>(expediente de prueba, folios 2047 a 2058).</w:t>
      </w:r>
    </w:p>
  </w:footnote>
  <w:footnote w:id="143">
    <w:p w14:paraId="514C58C6" w14:textId="23CABF7A" w:rsidR="00E46DBD" w:rsidRPr="00053304" w:rsidRDefault="00E46DBD" w:rsidP="00053304">
      <w:pPr>
        <w:pStyle w:val="Textonotapie"/>
        <w:tabs>
          <w:tab w:val="left" w:pos="709"/>
        </w:tabs>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lang w:val="es-ES"/>
        </w:rPr>
        <w:t xml:space="preserve"> </w:t>
      </w:r>
      <w:r w:rsidR="00795815" w:rsidRPr="00053304">
        <w:rPr>
          <w:rFonts w:ascii="Verdana" w:hAnsi="Verdana"/>
          <w:szCs w:val="16"/>
          <w:lang w:val="es-ES"/>
        </w:rPr>
        <w:t xml:space="preserve"> </w:t>
      </w:r>
      <w:r w:rsidR="00795815" w:rsidRPr="00053304">
        <w:rPr>
          <w:rFonts w:ascii="Verdana" w:hAnsi="Verdana"/>
          <w:szCs w:val="16"/>
          <w:lang w:val="es-ES"/>
        </w:rPr>
        <w:tab/>
      </w:r>
      <w:r w:rsidRPr="00053304">
        <w:rPr>
          <w:rFonts w:ascii="Verdana" w:hAnsi="Verdana"/>
          <w:i/>
          <w:iCs/>
          <w:szCs w:val="16"/>
          <w:lang w:val="es-ES"/>
        </w:rPr>
        <w:t>Cfr</w:t>
      </w:r>
      <w:r w:rsidRPr="00053304">
        <w:rPr>
          <w:rFonts w:ascii="Verdana" w:hAnsi="Verdana"/>
          <w:szCs w:val="16"/>
          <w:lang w:val="es-ES"/>
        </w:rPr>
        <w:t xml:space="preserve">. </w:t>
      </w:r>
      <w:r w:rsidRPr="00053304">
        <w:rPr>
          <w:rFonts w:ascii="Verdana" w:hAnsi="Verdana"/>
          <w:szCs w:val="16"/>
          <w:lang w:val="es-US"/>
        </w:rPr>
        <w:t xml:space="preserve">Escrito de Daniel García Ortiz y Reyes Alpízar Ortiz. Amparo Indirecto. 14 de mayo de 2012 (expediente de prueba, folios 2059 a 2100). </w:t>
      </w:r>
    </w:p>
  </w:footnote>
  <w:footnote w:id="144">
    <w:p w14:paraId="78F680C3" w14:textId="51816B90" w:rsidR="00E46DBD" w:rsidRPr="00053304" w:rsidRDefault="00E46DBD"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Pr="00053304">
        <w:rPr>
          <w:rFonts w:ascii="Verdana" w:hAnsi="Verdana"/>
          <w:szCs w:val="16"/>
          <w:lang w:val="es-US"/>
        </w:rPr>
        <w:t xml:space="preserve">. Juzgado Octavo de Distrito en el Estado de México. Sentencia de Juicio de Amparo No. 597/2012-E. Naucalpan de Juárez, México. 23 de agosto de 2012 (expediente de prueba, folios 2101 a 2134). </w:t>
      </w:r>
    </w:p>
  </w:footnote>
  <w:footnote w:id="145">
    <w:p w14:paraId="3DF893C4" w14:textId="623CB9C0" w:rsidR="007038CF" w:rsidRPr="00053304" w:rsidRDefault="007038C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3BF92891" w:rsidRPr="00053304">
        <w:rPr>
          <w:rFonts w:ascii="Verdana" w:hAnsi="Verdana"/>
          <w:szCs w:val="16"/>
          <w:lang w:val="es-US"/>
        </w:rPr>
        <w:t xml:space="preserve">. </w:t>
      </w:r>
      <w:r w:rsidR="2A6C35C3" w:rsidRPr="00053304">
        <w:rPr>
          <w:rFonts w:ascii="Verdana" w:hAnsi="Verdana"/>
          <w:szCs w:val="16"/>
          <w:lang w:val="es-US"/>
        </w:rPr>
        <w:t>Acuerdo. Ministerio Público adscrito al departamento de averiguaciones previas de Tlalnepantla, 29 de marzo de 2000 (expediente de prueba, folios 699 a 700)</w:t>
      </w:r>
      <w:r w:rsidR="00F45AA5">
        <w:rPr>
          <w:rFonts w:ascii="Verdana" w:hAnsi="Verdana"/>
          <w:szCs w:val="16"/>
          <w:lang w:val="es-US"/>
        </w:rPr>
        <w:t>.</w:t>
      </w:r>
    </w:p>
  </w:footnote>
  <w:footnote w:id="146">
    <w:p w14:paraId="04498DEA" w14:textId="45B55BAB" w:rsidR="007038CF" w:rsidRPr="00053304" w:rsidRDefault="007038C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2A6C35C3" w:rsidRPr="00053304">
        <w:rPr>
          <w:rFonts w:ascii="Verdana" w:hAnsi="Verdana"/>
          <w:szCs w:val="16"/>
          <w:lang w:val="es-US"/>
        </w:rPr>
        <w:t xml:space="preserve"> Retención de Isaías García Godínez. Ministerio Público adscrito al departamento de averiguaciones previas de Tlalnepantla, 29 de marzo de 2002 (expediente de prueba, folios 701-703).</w:t>
      </w:r>
    </w:p>
  </w:footnote>
  <w:footnote w:id="147">
    <w:p w14:paraId="14D5F6F8" w14:textId="321F9DC4" w:rsidR="007038CF" w:rsidRPr="00053304" w:rsidRDefault="007038CF"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2A6C35C3" w:rsidRPr="00053304">
        <w:rPr>
          <w:rFonts w:ascii="Verdana" w:hAnsi="Verdana"/>
          <w:szCs w:val="16"/>
          <w:lang w:val="es-US"/>
        </w:rPr>
        <w:t>. Orden de Arraigo. Juzgado Segundo Penal de Primera Instancia, Tlalnepantla, Estado de México, Oficio 679, 29 de marzo de 2002 (expediente de prueba, 704-706).</w:t>
      </w:r>
    </w:p>
  </w:footnote>
  <w:footnote w:id="148">
    <w:p w14:paraId="6F703AF8" w14:textId="01F431B6" w:rsidR="007038CF" w:rsidRPr="00053304" w:rsidRDefault="007038CF"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lang w:val="es-ES"/>
        </w:rPr>
        <w:t xml:space="preserve">Cfr. </w:t>
      </w:r>
      <w:r w:rsidRPr="00053304">
        <w:rPr>
          <w:rFonts w:ascii="Verdana" w:hAnsi="Verdana"/>
          <w:szCs w:val="16"/>
          <w:lang w:val="es-US"/>
        </w:rPr>
        <w:t>Auto. Orden de Aprehensión. Juez Quinto Penal de primera instancia del Distrito Judicial Tlalnepantla, Estado de México, 8 de abril de 2002, “Orden de Aprehensión Daniel García” (expediente de prueba folios 10 a 378)</w:t>
      </w:r>
      <w:r w:rsidR="00BA6A18" w:rsidRPr="00053304">
        <w:rPr>
          <w:rFonts w:ascii="Verdana" w:hAnsi="Verdana"/>
          <w:szCs w:val="16"/>
          <w:lang w:val="es-US"/>
        </w:rPr>
        <w:t>, y</w:t>
      </w:r>
      <w:r w:rsidRPr="00053304">
        <w:rPr>
          <w:rFonts w:ascii="Verdana" w:hAnsi="Verdana"/>
          <w:szCs w:val="16"/>
          <w:lang w:val="es-US"/>
        </w:rPr>
        <w:t xml:space="preserve"> Gobierno del Estado de México. Procuraduría General de Justicia. Causa Penal 88/2002. Asunto: Se interpone recurso de apelación. Tlalnepantla, 15 de abril de 2002 (expediente de prueba, folios 708 a 709).</w:t>
      </w:r>
    </w:p>
  </w:footnote>
  <w:footnote w:id="149">
    <w:p w14:paraId="53FB6F40" w14:textId="0AE5F7E7" w:rsidR="00D73463" w:rsidRPr="00053304" w:rsidRDefault="00D73463" w:rsidP="00053304">
      <w:pPr>
        <w:autoSpaceDE w:val="0"/>
        <w:autoSpaceDN w:val="0"/>
        <w:adjustRightInd w:val="0"/>
        <w:spacing w:before="120" w:after="120"/>
        <w:jc w:val="both"/>
        <w:rPr>
          <w:rFonts w:ascii="Verdana" w:eastAsiaTheme="minorEastAsia" w:hAnsi="Verdana" w:cs="Cambria"/>
          <w:sz w:val="16"/>
          <w:szCs w:val="16"/>
          <w:lang w:eastAsia="en-US"/>
        </w:rPr>
      </w:pPr>
      <w:r w:rsidRPr="00053304">
        <w:rPr>
          <w:rStyle w:val="Refdenotaalpie"/>
          <w:rFonts w:ascii="Verdana" w:hAnsi="Verdana"/>
          <w:sz w:val="16"/>
          <w:szCs w:val="16"/>
        </w:rPr>
        <w:footnoteRef/>
      </w:r>
      <w:r w:rsidRPr="00053304">
        <w:rPr>
          <w:rFonts w:ascii="Verdana" w:hAnsi="Verdana"/>
          <w:sz w:val="16"/>
          <w:szCs w:val="16"/>
        </w:rPr>
        <w:tab/>
      </w:r>
      <w:r w:rsidRPr="00053304">
        <w:rPr>
          <w:rFonts w:ascii="Verdana" w:hAnsi="Verdana"/>
          <w:i/>
          <w:iCs/>
          <w:sz w:val="16"/>
          <w:szCs w:val="16"/>
          <w:lang w:eastAsia="en-US"/>
        </w:rPr>
        <w:t>Cfr</w:t>
      </w:r>
      <w:r w:rsidR="3BF92891" w:rsidRPr="00053304">
        <w:rPr>
          <w:rFonts w:ascii="Verdana" w:hAnsi="Verdana"/>
          <w:sz w:val="16"/>
          <w:szCs w:val="16"/>
          <w:lang w:eastAsia="en-US"/>
        </w:rPr>
        <w:t>.</w:t>
      </w:r>
      <w:r w:rsidR="00795815" w:rsidRPr="00053304">
        <w:rPr>
          <w:rFonts w:ascii="Verdana" w:hAnsi="Verdana"/>
          <w:sz w:val="16"/>
          <w:szCs w:val="16"/>
          <w:lang w:eastAsia="en-US"/>
        </w:rPr>
        <w:t xml:space="preserve"> </w:t>
      </w:r>
      <w:r w:rsidR="2A6C35C3" w:rsidRPr="00053304">
        <w:rPr>
          <w:rFonts w:ascii="Verdana" w:eastAsiaTheme="minorEastAsia" w:hAnsi="Verdana" w:cs="Cambria"/>
          <w:sz w:val="16"/>
          <w:szCs w:val="16"/>
          <w:lang w:eastAsia="en-US"/>
        </w:rPr>
        <w:t>Expediente CODHEM/NJ/5088/2002-3, Comisión de Derechos Humanos del Estado de México, Tercera Visitaduría General (expediente de prueba, folios 850 a 911).</w:t>
      </w:r>
    </w:p>
  </w:footnote>
  <w:footnote w:id="150">
    <w:p w14:paraId="092EC3C8" w14:textId="0C086BD4" w:rsidR="00630B6F" w:rsidRPr="00053304" w:rsidRDefault="00630B6F"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CR"/>
        </w:rPr>
        <w:t>Cfr</w:t>
      </w:r>
      <w:r w:rsidR="3BF92891" w:rsidRPr="00053304">
        <w:rPr>
          <w:rFonts w:ascii="Verdana" w:hAnsi="Verdana"/>
          <w:szCs w:val="16"/>
          <w:lang w:val="es-CR"/>
        </w:rPr>
        <w:t xml:space="preserve">. Comisión de Derechos Humanos del Estado de México, </w:t>
      </w:r>
      <w:r w:rsidR="2A6C35C3" w:rsidRPr="00053304">
        <w:rPr>
          <w:rFonts w:ascii="Verdana" w:hAnsi="Verdana"/>
          <w:szCs w:val="16"/>
          <w:lang w:val="es-CR"/>
        </w:rPr>
        <w:t xml:space="preserve">Oficio: 400C130000/294/2010, Toluca de Lerdo, México, septiembre 20 de 2010 Oficio CODHEM 20.09. 2010 (expediente de prueba, folios 2141 a 2159). </w:t>
      </w:r>
    </w:p>
  </w:footnote>
  <w:footnote w:id="151">
    <w:p w14:paraId="42EA1AFD" w14:textId="7A46B969" w:rsidR="00052CFA" w:rsidRPr="00053304" w:rsidRDefault="00052CFA"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2A6C35C3" w:rsidRPr="00053304">
        <w:rPr>
          <w:rFonts w:ascii="Verdana" w:hAnsi="Verdana"/>
          <w:szCs w:val="16"/>
          <w:lang w:val="es-US"/>
        </w:rPr>
        <w:t>. Transcripción de denuncia ante presidente de la República por Reyes Alpízar Ortiz, respuesta y remisión</w:t>
      </w:r>
      <w:r w:rsidR="001C5F21" w:rsidRPr="00053304">
        <w:rPr>
          <w:rFonts w:ascii="Verdana" w:hAnsi="Verdana"/>
          <w:szCs w:val="16"/>
          <w:lang w:val="es-US"/>
        </w:rPr>
        <w:t xml:space="preserve"> </w:t>
      </w:r>
      <w:r w:rsidR="2A6C35C3" w:rsidRPr="00053304">
        <w:rPr>
          <w:rFonts w:ascii="Verdana" w:hAnsi="Verdana"/>
          <w:szCs w:val="16"/>
          <w:lang w:val="es-US"/>
        </w:rPr>
        <w:t>(expediente de prueba, folios 2189).</w:t>
      </w:r>
    </w:p>
  </w:footnote>
  <w:footnote w:id="152">
    <w:p w14:paraId="4578A3EC" w14:textId="39641208" w:rsidR="00B41644" w:rsidRPr="00053304" w:rsidRDefault="00B41644"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3BF92891" w:rsidRPr="00053304">
        <w:rPr>
          <w:rFonts w:ascii="Verdana" w:hAnsi="Verdana"/>
          <w:szCs w:val="16"/>
          <w:lang w:val="es-US"/>
        </w:rPr>
        <w:t xml:space="preserve">. </w:t>
      </w:r>
      <w:r w:rsidR="2A6C35C3" w:rsidRPr="00053304">
        <w:rPr>
          <w:rFonts w:ascii="Verdana" w:hAnsi="Verdana"/>
          <w:szCs w:val="16"/>
          <w:lang w:val="es-US"/>
        </w:rPr>
        <w:t>Comisión Nacional de Derechos Humanos México. Expediente: OIC/ARIN/51/08, Oficio: OIC/ARIN/627/08, 11 de noviembre de 2008 (expediente de prueba, folios 2183 a 2184).</w:t>
      </w:r>
    </w:p>
  </w:footnote>
  <w:footnote w:id="153">
    <w:p w14:paraId="403560B6" w14:textId="32F95254" w:rsidR="00B41644" w:rsidRPr="00053304" w:rsidRDefault="00B41644"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Pr="00053304">
        <w:rPr>
          <w:rFonts w:ascii="Verdana" w:hAnsi="Verdana"/>
          <w:szCs w:val="16"/>
          <w:lang w:val="es-US"/>
        </w:rPr>
        <w:t xml:space="preserve">. Consejo de Derechos Humanos, Opinión 66/201 </w:t>
      </w:r>
      <w:r w:rsidR="3BF92891" w:rsidRPr="00053304">
        <w:rPr>
          <w:rFonts w:ascii="Verdana" w:hAnsi="Verdana"/>
          <w:szCs w:val="16"/>
          <w:lang w:val="es-US"/>
        </w:rPr>
        <w:t>relativa a Daniel García Rodríguez y Reyes Alpízar Ortiz (México)</w:t>
      </w:r>
      <w:r w:rsidR="2A6C35C3" w:rsidRPr="00053304">
        <w:rPr>
          <w:rFonts w:ascii="Verdana" w:hAnsi="Verdana"/>
          <w:szCs w:val="16"/>
          <w:lang w:val="es-MX"/>
        </w:rPr>
        <w:t xml:space="preserve"> (expediente de pruebas, folios 20145 a 20155). </w:t>
      </w:r>
    </w:p>
  </w:footnote>
  <w:footnote w:id="154">
    <w:p w14:paraId="78470CD7" w14:textId="6803BAAD" w:rsidR="008A0444" w:rsidRPr="00053304" w:rsidRDefault="008A0444"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ES"/>
        </w:rPr>
        <w:t>Cfr</w:t>
      </w:r>
      <w:r w:rsidR="2A6C35C3" w:rsidRPr="00053304">
        <w:rPr>
          <w:rFonts w:ascii="Verdana" w:hAnsi="Verdana"/>
          <w:szCs w:val="16"/>
          <w:lang w:val="es-ES"/>
        </w:rPr>
        <w:t>. Poder Judicial del Estado de México. Juzgado Penal del Distrito Judicial de Tlalnepantla, Sentencia definitiva de 12 de mayo de 2022, Tlalnepantla de Baz, Estado de Méxic</w:t>
      </w:r>
      <w:r w:rsidR="001C5F21" w:rsidRPr="00053304">
        <w:rPr>
          <w:rFonts w:ascii="Verdana" w:hAnsi="Verdana"/>
          <w:szCs w:val="16"/>
          <w:lang w:val="es-ES"/>
        </w:rPr>
        <w:t>o</w:t>
      </w:r>
      <w:r w:rsidR="2A6C35C3" w:rsidRPr="00053304">
        <w:rPr>
          <w:rFonts w:ascii="Verdana" w:hAnsi="Verdana"/>
          <w:szCs w:val="16"/>
          <w:lang w:val="es-ES"/>
        </w:rPr>
        <w:t xml:space="preserve"> (expediente de prueba, folios 70437).</w:t>
      </w:r>
    </w:p>
  </w:footnote>
  <w:footnote w:id="155">
    <w:p w14:paraId="58C48D1D" w14:textId="4D81D113" w:rsidR="008A0444" w:rsidRPr="00053304" w:rsidRDefault="008A0444"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ES"/>
        </w:rPr>
        <w:t>Cfr</w:t>
      </w:r>
      <w:r w:rsidR="2A6C35C3" w:rsidRPr="00053304">
        <w:rPr>
          <w:rFonts w:ascii="Verdana" w:hAnsi="Verdana"/>
          <w:szCs w:val="16"/>
          <w:lang w:val="es-ES"/>
        </w:rPr>
        <w:t xml:space="preserve">. Véase página 90 de la Contestación y expediente de prueba (expediente de prueba, folios 23555 a 42505). </w:t>
      </w:r>
    </w:p>
  </w:footnote>
  <w:footnote w:id="156">
    <w:p w14:paraId="076678DD" w14:textId="38428E71" w:rsidR="008A0444" w:rsidRPr="00053304" w:rsidRDefault="008A0444"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rPr>
        <w:t>Cfr</w:t>
      </w:r>
      <w:r w:rsidR="2A6C35C3" w:rsidRPr="00053304">
        <w:rPr>
          <w:rFonts w:ascii="Verdana" w:hAnsi="Verdana"/>
          <w:szCs w:val="16"/>
        </w:rPr>
        <w:t>. Acta de 30 de marzo de 2018 notificando el no ejercicio de la acción penal en la averiguación previa TLA/MR/III/19/3/2006</w:t>
      </w:r>
      <w:r w:rsidR="00BA6A18" w:rsidRPr="00053304">
        <w:rPr>
          <w:rFonts w:ascii="Verdana" w:hAnsi="Verdana"/>
          <w:szCs w:val="16"/>
        </w:rPr>
        <w:t xml:space="preserve"> </w:t>
      </w:r>
      <w:r w:rsidR="2A6C35C3" w:rsidRPr="00053304">
        <w:rPr>
          <w:rFonts w:ascii="Verdana" w:hAnsi="Verdana"/>
          <w:szCs w:val="16"/>
        </w:rPr>
        <w:t xml:space="preserve">(expediente de prueba, folio 2139). </w:t>
      </w:r>
    </w:p>
  </w:footnote>
  <w:footnote w:id="157">
    <w:p w14:paraId="01377C46" w14:textId="1E360BA1" w:rsidR="008A0444" w:rsidRPr="00053304" w:rsidRDefault="008A0444" w:rsidP="00053304">
      <w:pPr>
        <w:autoSpaceDE w:val="0"/>
        <w:autoSpaceDN w:val="0"/>
        <w:adjustRightInd w:val="0"/>
        <w:spacing w:before="120" w:after="120"/>
        <w:jc w:val="both"/>
        <w:rPr>
          <w:rFonts w:ascii="Verdana" w:eastAsiaTheme="minorEastAsia" w:hAnsi="Verdana" w:cs="Cambria"/>
          <w:sz w:val="16"/>
          <w:szCs w:val="16"/>
          <w:lang w:eastAsia="en-US"/>
        </w:rPr>
      </w:pPr>
      <w:r w:rsidRPr="00053304">
        <w:rPr>
          <w:rStyle w:val="Refdenotaalpie"/>
          <w:rFonts w:ascii="Verdana" w:hAnsi="Verdana"/>
          <w:sz w:val="16"/>
          <w:szCs w:val="16"/>
        </w:rPr>
        <w:footnoteRef/>
      </w:r>
      <w:r w:rsidRPr="00053304">
        <w:rPr>
          <w:rFonts w:ascii="Verdana" w:hAnsi="Verdana"/>
          <w:sz w:val="16"/>
          <w:szCs w:val="16"/>
        </w:rPr>
        <w:tab/>
      </w:r>
      <w:r w:rsidR="3BF92891" w:rsidRPr="00053304">
        <w:rPr>
          <w:rFonts w:ascii="Verdana" w:eastAsiaTheme="minorEastAsia" w:hAnsi="Verdana" w:cs="Cambria"/>
          <w:i/>
          <w:iCs/>
          <w:sz w:val="16"/>
          <w:szCs w:val="16"/>
          <w:lang w:eastAsia="en-US"/>
        </w:rPr>
        <w:t xml:space="preserve">Cfr. </w:t>
      </w:r>
      <w:r w:rsidR="2A6C35C3" w:rsidRPr="00053304">
        <w:rPr>
          <w:rFonts w:ascii="Verdana" w:eastAsiaTheme="minorEastAsia" w:hAnsi="Verdana" w:cs="Cambria"/>
          <w:sz w:val="16"/>
          <w:szCs w:val="16"/>
          <w:lang w:eastAsia="en-US"/>
        </w:rPr>
        <w:t>Acuse de recibo del escrito de denuncia de actos de tortura recibido en la Procuraduría General de la República el 29 de noviembre de 2006 (expediente de prueba, folios 1496 a 1501).</w:t>
      </w:r>
    </w:p>
  </w:footnote>
  <w:footnote w:id="158">
    <w:p w14:paraId="48A72F91" w14:textId="434C9593" w:rsidR="008A0444" w:rsidRPr="00053304" w:rsidRDefault="008A0444"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ab/>
      </w:r>
      <w:r w:rsidRPr="00053304">
        <w:rPr>
          <w:rFonts w:ascii="Verdana" w:hAnsi="Verdana"/>
          <w:i/>
          <w:iCs/>
          <w:szCs w:val="16"/>
          <w:lang w:val="es-US"/>
        </w:rPr>
        <w:t>Cfr</w:t>
      </w:r>
      <w:r w:rsidR="3BF92891" w:rsidRPr="00053304">
        <w:rPr>
          <w:rFonts w:ascii="Verdana" w:hAnsi="Verdana"/>
          <w:szCs w:val="16"/>
          <w:lang w:val="es-US"/>
        </w:rPr>
        <w:t xml:space="preserve">. </w:t>
      </w:r>
      <w:r w:rsidR="2A6C35C3" w:rsidRPr="00053304">
        <w:rPr>
          <w:rFonts w:ascii="Verdana" w:hAnsi="Verdana"/>
          <w:szCs w:val="16"/>
          <w:lang w:val="es-US"/>
        </w:rPr>
        <w:t>Oficio número 001/07 DAQIDH de 2 de enero de 2007 por el que se notifica a Reyes Alpízar la remisión de su denuncia por actos de tortura a la PGJEM (expediente de prueba, folios 2136 a 2137).</w:t>
      </w:r>
    </w:p>
  </w:footnote>
  <w:footnote w:id="159">
    <w:p w14:paraId="50D8B8F9" w14:textId="56E9DB65" w:rsidR="008A0444" w:rsidRPr="00053304" w:rsidRDefault="008A0444" w:rsidP="00053304">
      <w:pPr>
        <w:pStyle w:val="Textonotapie"/>
        <w:jc w:val="both"/>
        <w:rPr>
          <w:rFonts w:ascii="Verdana" w:hAnsi="Verdana"/>
          <w:szCs w:val="16"/>
          <w:lang w:val="es-US"/>
        </w:rPr>
      </w:pPr>
      <w:r w:rsidRPr="00053304">
        <w:rPr>
          <w:rStyle w:val="Refdenotaalpie"/>
          <w:rFonts w:ascii="Verdana" w:hAnsi="Verdana"/>
          <w:szCs w:val="16"/>
        </w:rPr>
        <w:footnoteRef/>
      </w:r>
      <w:r w:rsidRPr="00053304">
        <w:rPr>
          <w:rFonts w:ascii="Verdana" w:hAnsi="Verdana"/>
          <w:szCs w:val="16"/>
        </w:rPr>
        <w:tab/>
      </w:r>
      <w:r w:rsidR="3BF92891" w:rsidRPr="00053304">
        <w:rPr>
          <w:rFonts w:ascii="Verdana" w:hAnsi="Verdana"/>
          <w:i/>
          <w:iCs/>
          <w:szCs w:val="16"/>
          <w:lang w:val="es-US"/>
        </w:rPr>
        <w:t>Cfr</w:t>
      </w:r>
      <w:r w:rsidR="6E159DF8" w:rsidRPr="00053304">
        <w:rPr>
          <w:rFonts w:ascii="Verdana" w:hAnsi="Verdana"/>
          <w:szCs w:val="16"/>
          <w:lang w:val="es-US"/>
        </w:rPr>
        <w:t xml:space="preserve">. </w:t>
      </w:r>
      <w:r w:rsidR="2A6C35C3" w:rsidRPr="00053304">
        <w:rPr>
          <w:rFonts w:ascii="Verdana" w:hAnsi="Verdana"/>
          <w:szCs w:val="16"/>
          <w:lang w:val="es-US"/>
        </w:rPr>
        <w:t>Acta de 30 de marzo de 2018 notificando el no ejercicio de la acción penal en la averiguación previa TLA/MR/III/19/3/2006, identificada con el número de oficio 21317000 33 2018 (expediente de prueba, folio 2139).</w:t>
      </w:r>
    </w:p>
  </w:footnote>
  <w:footnote w:id="160">
    <w:p w14:paraId="544051F3" w14:textId="53A74B8B" w:rsidR="00A3785F" w:rsidRPr="00053304" w:rsidRDefault="00A3785F"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Artículo 7 de la Convención Americana.</w:t>
      </w:r>
    </w:p>
  </w:footnote>
  <w:footnote w:id="161">
    <w:p w14:paraId="16B4DA2E" w14:textId="5B6B3F08" w:rsidR="004B49B5" w:rsidRPr="00053304" w:rsidRDefault="004B49B5"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Artículo 8.2 de la Convención Americana.</w:t>
      </w:r>
    </w:p>
  </w:footnote>
  <w:footnote w:id="162">
    <w:p w14:paraId="15AAF250" w14:textId="71E6ED21" w:rsidR="00AB7C91" w:rsidRPr="00053304" w:rsidRDefault="00AB7C91"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Artículo 1.1 de la Convención Americana.</w:t>
      </w:r>
    </w:p>
  </w:footnote>
  <w:footnote w:id="163">
    <w:p w14:paraId="37CFFCA4" w14:textId="366220ED" w:rsidR="00E2173F" w:rsidRPr="00053304" w:rsidRDefault="00E2173F"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Artículo 2 de la Convención Americana.</w:t>
      </w:r>
    </w:p>
  </w:footnote>
  <w:footnote w:id="164">
    <w:p w14:paraId="513910B9" w14:textId="1B15CDF0" w:rsidR="00911F70" w:rsidRPr="00053304" w:rsidRDefault="00911F70" w:rsidP="00053304">
      <w:pPr>
        <w:pStyle w:val="Textonotapie"/>
        <w:jc w:val="both"/>
        <w:rPr>
          <w:rFonts w:ascii="Verdana" w:hAnsi="Verdana"/>
          <w:szCs w:val="16"/>
          <w:lang w:val="es-CR"/>
        </w:rPr>
      </w:pPr>
      <w:r w:rsidRPr="00053304">
        <w:rPr>
          <w:rStyle w:val="Refdenotaalpie"/>
          <w:rFonts w:ascii="Verdana" w:eastAsia="Batang" w:hAnsi="Verdana"/>
          <w:spacing w:val="-4"/>
          <w:szCs w:val="16"/>
        </w:rPr>
        <w:footnoteRef/>
      </w:r>
      <w:r w:rsidRPr="00053304">
        <w:rPr>
          <w:rFonts w:ascii="Verdana" w:hAnsi="Verdana"/>
          <w:szCs w:val="16"/>
        </w:rPr>
        <w:tab/>
      </w:r>
      <w:r w:rsidR="40DDB40B" w:rsidRPr="00053304">
        <w:rPr>
          <w:rFonts w:ascii="Verdana" w:hAnsi="Verdana"/>
          <w:i/>
          <w:iCs/>
          <w:szCs w:val="16"/>
          <w:lang w:val="es-PR"/>
        </w:rPr>
        <w:t>Cfr. Caso Chaparro Álvarez y Lapo Íñiguez Vs. Ecuador</w:t>
      </w:r>
      <w:r w:rsidR="3BF92891" w:rsidRPr="00053304">
        <w:rPr>
          <w:rFonts w:ascii="Verdana" w:hAnsi="Verdana"/>
          <w:i/>
          <w:iCs/>
          <w:szCs w:val="16"/>
          <w:lang w:val="es-PR"/>
        </w:rPr>
        <w:t>.</w:t>
      </w:r>
      <w:r w:rsidR="40DDB40B" w:rsidRPr="00053304">
        <w:rPr>
          <w:rFonts w:ascii="Verdana" w:hAnsi="Verdana"/>
          <w:szCs w:val="16"/>
          <w:lang w:val="es-CR"/>
        </w:rPr>
        <w:t xml:space="preserve"> </w:t>
      </w:r>
      <w:r w:rsidR="3BF92891" w:rsidRPr="00053304">
        <w:rPr>
          <w:rFonts w:ascii="Verdana" w:hAnsi="Verdana"/>
          <w:i/>
          <w:iCs/>
          <w:szCs w:val="16"/>
          <w:lang w:val="es-CR"/>
        </w:rPr>
        <w:t>Excepciones preliminares, fondo, reparaciones y costas</w:t>
      </w:r>
      <w:r w:rsidR="3BF92891" w:rsidRPr="00053304">
        <w:rPr>
          <w:rFonts w:ascii="Verdana" w:hAnsi="Verdana"/>
          <w:szCs w:val="16"/>
          <w:lang w:val="es-CR"/>
        </w:rPr>
        <w:t>. Sentencia de 21 de noviembre de 2007, Serie C No. 170</w:t>
      </w:r>
      <w:r w:rsidR="40DDB40B" w:rsidRPr="00053304">
        <w:rPr>
          <w:rFonts w:ascii="Verdana" w:hAnsi="Verdana"/>
          <w:szCs w:val="16"/>
          <w:lang w:val="es-CR"/>
        </w:rPr>
        <w:t xml:space="preserve">, </w:t>
      </w:r>
      <w:r w:rsidR="40DDB40B" w:rsidRPr="00053304">
        <w:rPr>
          <w:rFonts w:ascii="Verdana" w:hAnsi="Verdana"/>
          <w:szCs w:val="16"/>
          <w:lang w:val="es-PE"/>
        </w:rPr>
        <w:t xml:space="preserve">párr. 57; </w:t>
      </w:r>
      <w:r w:rsidR="40DDB40B" w:rsidRPr="00053304">
        <w:rPr>
          <w:rFonts w:ascii="Verdana" w:hAnsi="Verdana"/>
          <w:i/>
          <w:iCs/>
          <w:szCs w:val="16"/>
          <w:lang w:val="es-PE"/>
        </w:rPr>
        <w:t xml:space="preserve">Caso </w:t>
      </w:r>
      <w:r w:rsidR="40DDB40B" w:rsidRPr="00053304">
        <w:rPr>
          <w:rFonts w:ascii="Verdana" w:hAnsi="Verdana"/>
          <w:i/>
          <w:iCs/>
          <w:szCs w:val="16"/>
          <w:lang w:val="es-CR" w:eastAsia="en-GB"/>
        </w:rPr>
        <w:t>Carranza Alarcón Vs. Ecuador</w:t>
      </w:r>
      <w:r w:rsidR="3BF92891" w:rsidRPr="00053304">
        <w:rPr>
          <w:rFonts w:ascii="Verdana" w:hAnsi="Verdana"/>
          <w:i/>
          <w:iCs/>
          <w:szCs w:val="16"/>
          <w:lang w:val="es-CR" w:eastAsia="en-GB"/>
        </w:rPr>
        <w:t>.</w:t>
      </w:r>
      <w:r w:rsidR="40DDB40B" w:rsidRPr="00053304">
        <w:rPr>
          <w:rFonts w:ascii="Verdana" w:hAnsi="Verdana"/>
          <w:szCs w:val="16"/>
          <w:lang w:val="es-CR" w:eastAsia="en-GB"/>
        </w:rPr>
        <w:t xml:space="preserve"> </w:t>
      </w:r>
      <w:r w:rsidR="3BF92891" w:rsidRPr="00053304">
        <w:rPr>
          <w:rFonts w:ascii="Verdana" w:hAnsi="Verdana"/>
          <w:i/>
          <w:iCs/>
          <w:szCs w:val="16"/>
          <w:lang w:val="es-CR" w:eastAsia="en-GB"/>
        </w:rPr>
        <w:t xml:space="preserve">Excepciones preliminares, Fondo, Reparaciones y Costas. </w:t>
      </w:r>
      <w:r w:rsidR="3BF92891" w:rsidRPr="00053304">
        <w:rPr>
          <w:rFonts w:ascii="Verdana" w:hAnsi="Verdana"/>
          <w:szCs w:val="16"/>
          <w:lang w:val="es-CR" w:eastAsia="en-GB"/>
        </w:rPr>
        <w:t>Sentencia de 3 de febrero de 2020. Serie C No.</w:t>
      </w:r>
      <w:r w:rsidR="3BF92891" w:rsidRPr="00053304">
        <w:rPr>
          <w:rFonts w:ascii="Verdana" w:hAnsi="Verdana"/>
          <w:i/>
          <w:iCs/>
          <w:szCs w:val="16"/>
          <w:lang w:val="es-CR" w:eastAsia="en-GB"/>
        </w:rPr>
        <w:t xml:space="preserve"> 399,</w:t>
      </w:r>
      <w:r w:rsidR="40DDB40B" w:rsidRPr="00053304">
        <w:rPr>
          <w:rFonts w:ascii="Verdana" w:hAnsi="Verdana"/>
          <w:szCs w:val="16"/>
          <w:lang w:val="es-CR" w:eastAsia="en-GB"/>
        </w:rPr>
        <w:t xml:space="preserve"> párr. 61,</w:t>
      </w:r>
      <w:r w:rsidR="40DDB40B" w:rsidRPr="00053304">
        <w:rPr>
          <w:rFonts w:ascii="Verdana" w:eastAsia="Verdana" w:hAnsi="Verdana" w:cs="Verdana"/>
          <w:szCs w:val="16"/>
          <w:lang w:val="es-CR" w:eastAsia="en-GB"/>
        </w:rPr>
        <w:t xml:space="preserve"> y </w:t>
      </w:r>
      <w:r w:rsidR="00BA6A18" w:rsidRPr="00053304">
        <w:rPr>
          <w:rFonts w:ascii="Verdana" w:eastAsia="Verdana" w:hAnsi="Verdana" w:cs="Verdana"/>
          <w:i/>
          <w:iCs/>
          <w:szCs w:val="16"/>
          <w:lang w:val="es-CR"/>
        </w:rPr>
        <w:t>Caso Cortez Espinoza Vs. Ecuador. Excepciones Preliminares, Fondo, Reparaciones y Costas</w:t>
      </w:r>
      <w:r w:rsidR="00BA6A18" w:rsidRPr="00053304">
        <w:rPr>
          <w:rFonts w:ascii="Verdana" w:eastAsia="Verdana" w:hAnsi="Verdana" w:cs="Verdana"/>
          <w:szCs w:val="16"/>
          <w:lang w:val="es-CR"/>
        </w:rPr>
        <w:t>. Sentencia de 18 de octubre de 2022. Serie C No. 468</w:t>
      </w:r>
      <w:r w:rsidR="3BF92891" w:rsidRPr="00053304">
        <w:rPr>
          <w:rFonts w:ascii="Verdana" w:eastAsia="Verdana" w:hAnsi="Verdana" w:cs="Verdana"/>
          <w:szCs w:val="16"/>
          <w:lang w:val="es-CR"/>
        </w:rPr>
        <w:t xml:space="preserve">, párr. </w:t>
      </w:r>
      <w:r w:rsidR="00BA6A18" w:rsidRPr="00053304">
        <w:rPr>
          <w:rFonts w:ascii="Verdana" w:eastAsia="Verdana" w:hAnsi="Verdana" w:cs="Verdana"/>
          <w:szCs w:val="16"/>
          <w:lang w:val="es-CR"/>
        </w:rPr>
        <w:t>121</w:t>
      </w:r>
      <w:r w:rsidR="40DDB40B" w:rsidRPr="00053304">
        <w:rPr>
          <w:rFonts w:ascii="Verdana" w:hAnsi="Verdana"/>
          <w:szCs w:val="16"/>
          <w:lang w:val="es-CR" w:eastAsia="en-GB"/>
        </w:rPr>
        <w:t xml:space="preserve">. </w:t>
      </w:r>
    </w:p>
  </w:footnote>
  <w:footnote w:id="165">
    <w:p w14:paraId="15435CE8" w14:textId="0FB9C861" w:rsidR="00911F70" w:rsidRPr="00053304" w:rsidRDefault="00911F70" w:rsidP="00053304">
      <w:pPr>
        <w:pStyle w:val="Textonotapie"/>
        <w:jc w:val="both"/>
        <w:rPr>
          <w:rFonts w:ascii="Verdana" w:hAnsi="Verdana"/>
          <w:szCs w:val="16"/>
          <w:lang w:val="es-CR"/>
        </w:rPr>
      </w:pPr>
      <w:r w:rsidRPr="00053304">
        <w:rPr>
          <w:rStyle w:val="Refdenotaalpie"/>
          <w:rFonts w:ascii="Verdana" w:eastAsia="Batang" w:hAnsi="Verdana"/>
          <w:szCs w:val="16"/>
        </w:rPr>
        <w:footnoteRef/>
      </w:r>
      <w:r w:rsidR="40DDB40B" w:rsidRPr="00053304">
        <w:rPr>
          <w:rFonts w:ascii="Verdana" w:hAnsi="Verdana"/>
          <w:szCs w:val="16"/>
        </w:rPr>
        <w:t xml:space="preserve">  </w:t>
      </w:r>
      <w:r w:rsidRPr="00053304">
        <w:rPr>
          <w:rFonts w:ascii="Verdana" w:hAnsi="Verdana"/>
          <w:szCs w:val="16"/>
        </w:rPr>
        <w:tab/>
      </w:r>
      <w:r w:rsidR="40DDB40B" w:rsidRPr="00053304">
        <w:rPr>
          <w:rFonts w:ascii="Verdana" w:hAnsi="Verdana"/>
          <w:i/>
          <w:iCs/>
          <w:szCs w:val="16"/>
          <w:lang w:val="es-CR" w:eastAsia="en-GB"/>
        </w:rPr>
        <w:t>Cfr. Caso Argüelles y otros Vs. Argentina. Excepciones Preliminares, Fondo, Reparaciones y Costas</w:t>
      </w:r>
      <w:r w:rsidR="40DDB40B" w:rsidRPr="00053304">
        <w:rPr>
          <w:rFonts w:ascii="Verdana" w:hAnsi="Verdana"/>
          <w:szCs w:val="16"/>
          <w:lang w:val="es-CR" w:eastAsia="en-GB"/>
        </w:rPr>
        <w:t xml:space="preserve">. Sentencia de 20 de noviembre de 2014. </w:t>
      </w:r>
      <w:r w:rsidR="40DDB40B" w:rsidRPr="00053304">
        <w:rPr>
          <w:rFonts w:ascii="Verdana" w:hAnsi="Verdana"/>
          <w:szCs w:val="16"/>
        </w:rPr>
        <w:t>Serie C No.</w:t>
      </w:r>
      <w:r w:rsidR="3BF92891" w:rsidRPr="00053304">
        <w:rPr>
          <w:rFonts w:ascii="Verdana" w:hAnsi="Verdana"/>
          <w:szCs w:val="16"/>
        </w:rPr>
        <w:t xml:space="preserve"> </w:t>
      </w:r>
      <w:r w:rsidR="40DDB40B" w:rsidRPr="00053304">
        <w:rPr>
          <w:rFonts w:ascii="Verdana" w:hAnsi="Verdana"/>
          <w:szCs w:val="16"/>
        </w:rPr>
        <w:t xml:space="preserve">288, párr. 116; </w:t>
      </w:r>
      <w:r w:rsidR="40DDB40B" w:rsidRPr="00053304">
        <w:rPr>
          <w:rFonts w:ascii="Verdana" w:hAnsi="Verdana"/>
          <w:i/>
          <w:iCs/>
          <w:szCs w:val="16"/>
        </w:rPr>
        <w:t>Caso Mujeres Víctimas de Tortura Sexual en Atenco Vs. México. Excepción Preliminar, Fondo, Reparaciones y Costas.</w:t>
      </w:r>
      <w:r w:rsidR="40DDB40B" w:rsidRPr="00053304">
        <w:rPr>
          <w:rFonts w:ascii="Verdana" w:hAnsi="Verdana"/>
          <w:szCs w:val="16"/>
        </w:rPr>
        <w:t xml:space="preserve"> Sentencia de 28 de noviembre de 2018. </w:t>
      </w:r>
      <w:r w:rsidR="40DDB40B" w:rsidRPr="00053304">
        <w:rPr>
          <w:rFonts w:ascii="Verdana" w:hAnsi="Verdana"/>
          <w:szCs w:val="16"/>
          <w:lang w:val="es-CR"/>
        </w:rPr>
        <w:t xml:space="preserve">Serie C No. 371, párr. 230, </w:t>
      </w:r>
      <w:r w:rsidR="00BA6A18" w:rsidRPr="00053304">
        <w:rPr>
          <w:rFonts w:ascii="Verdana" w:eastAsia="Verdana" w:hAnsi="Verdana" w:cs="Verdana"/>
          <w:szCs w:val="16"/>
          <w:lang w:val="es-CR" w:eastAsia="en-GB"/>
        </w:rPr>
        <w:t xml:space="preserve">y </w:t>
      </w:r>
      <w:r w:rsidR="00BA6A18" w:rsidRPr="00053304">
        <w:rPr>
          <w:rFonts w:ascii="Verdana" w:eastAsia="Verdana" w:hAnsi="Verdana" w:cs="Verdana"/>
          <w:i/>
          <w:iCs/>
          <w:szCs w:val="16"/>
          <w:lang w:val="es-CR"/>
        </w:rPr>
        <w:t>Caso Cortez Espinoza Vs. Ecuador, supra</w:t>
      </w:r>
      <w:r w:rsidR="00BA6A18" w:rsidRPr="00053304">
        <w:rPr>
          <w:rFonts w:ascii="Verdana" w:eastAsia="Verdana" w:hAnsi="Verdana" w:cs="Verdana"/>
          <w:szCs w:val="16"/>
          <w:lang w:val="es-CR"/>
        </w:rPr>
        <w:t>, párr. 121</w:t>
      </w:r>
      <w:r w:rsidR="40DDB40B" w:rsidRPr="00053304">
        <w:rPr>
          <w:rFonts w:ascii="Verdana" w:hAnsi="Verdana"/>
          <w:szCs w:val="16"/>
          <w:lang w:val="es-CR"/>
        </w:rPr>
        <w:t>.</w:t>
      </w:r>
    </w:p>
  </w:footnote>
  <w:footnote w:id="166">
    <w:p w14:paraId="62757AFF" w14:textId="22B0DAEC" w:rsidR="00A847CF" w:rsidRPr="00053304" w:rsidRDefault="00A847CF" w:rsidP="00053304">
      <w:pPr>
        <w:pStyle w:val="Textonotapie"/>
        <w:tabs>
          <w:tab w:val="left" w:pos="709"/>
        </w:tabs>
        <w:jc w:val="both"/>
        <w:rPr>
          <w:rFonts w:ascii="Verdana" w:hAnsi="Verdana"/>
          <w:i/>
          <w:iCs/>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w:t>
      </w:r>
      <w:r w:rsidRPr="00053304">
        <w:rPr>
          <w:rFonts w:ascii="Verdana" w:hAnsi="Verdana"/>
          <w:szCs w:val="16"/>
        </w:rPr>
        <w:t>Gobierno del Estado de México. Procuraduría General de Justicia. Grupo de Operaciones Especiales. Expediente ATI/II/3672/01. Asunto: Puesta a Disposición de Persona. Tlalnepantla de Báz, 25 de octubre de 2002 (expediente de prueba, folio 827).</w:t>
      </w:r>
    </w:p>
  </w:footnote>
  <w:footnote w:id="167">
    <w:p w14:paraId="3AEBAE80" w14:textId="288C7D4C" w:rsidR="00C3591F" w:rsidRPr="00053304" w:rsidRDefault="00C3591F" w:rsidP="00053304">
      <w:pPr>
        <w:pStyle w:val="Textonotapie"/>
        <w:tabs>
          <w:tab w:val="left" w:pos="709"/>
        </w:tabs>
        <w:jc w:val="both"/>
        <w:rPr>
          <w:rFonts w:ascii="Verdana" w:hAnsi="Verdana"/>
          <w:szCs w:val="16"/>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rPr>
        <w:tab/>
      </w:r>
      <w:r w:rsidR="40DDB40B" w:rsidRPr="00053304">
        <w:rPr>
          <w:rFonts w:ascii="Verdana" w:hAnsi="Verdana"/>
          <w:i/>
          <w:iCs/>
          <w:szCs w:val="16"/>
        </w:rPr>
        <w:t>Cfr. Caso Cabrera García y Montiel Flores Vs. México</w:t>
      </w:r>
      <w:r w:rsidR="40DDB40B" w:rsidRPr="00053304">
        <w:rPr>
          <w:rFonts w:ascii="Verdana" w:hAnsi="Verdana"/>
          <w:szCs w:val="16"/>
        </w:rPr>
        <w:t>.</w:t>
      </w:r>
      <w:r w:rsidR="40DDB40B" w:rsidRPr="00053304">
        <w:rPr>
          <w:rFonts w:ascii="Verdana" w:hAnsi="Verdana"/>
          <w:i/>
          <w:iCs/>
          <w:szCs w:val="16"/>
        </w:rPr>
        <w:t xml:space="preserve"> Excepción Preliminar, Fondo, Reparaciones y Costas.</w:t>
      </w:r>
      <w:r w:rsidR="40DDB40B" w:rsidRPr="00053304">
        <w:rPr>
          <w:rFonts w:ascii="Verdana" w:hAnsi="Verdana"/>
          <w:szCs w:val="16"/>
        </w:rPr>
        <w:t xml:space="preserve"> Sentencia de 26 de noviembre de 2010. Serie C No. 220, párr. 106; </w:t>
      </w:r>
      <w:r w:rsidR="40DDB40B" w:rsidRPr="00053304">
        <w:rPr>
          <w:rFonts w:ascii="Verdana" w:hAnsi="Verdana"/>
          <w:i/>
          <w:iCs/>
          <w:szCs w:val="16"/>
        </w:rPr>
        <w:t xml:space="preserve">Caso Mujeres Víctimas de Tortura Sexual en Atenco Vs. México, </w:t>
      </w:r>
      <w:r w:rsidR="3BF92891" w:rsidRPr="00053304">
        <w:rPr>
          <w:rFonts w:ascii="Verdana" w:hAnsi="Verdana"/>
          <w:i/>
          <w:iCs/>
          <w:szCs w:val="16"/>
        </w:rPr>
        <w:t>supra</w:t>
      </w:r>
      <w:r w:rsidR="40DDB40B" w:rsidRPr="00053304">
        <w:rPr>
          <w:rFonts w:ascii="Verdana" w:hAnsi="Verdana"/>
          <w:szCs w:val="16"/>
        </w:rPr>
        <w:t xml:space="preserve">, párr. 246, y </w:t>
      </w:r>
      <w:r w:rsidR="3BF92891" w:rsidRPr="00053304">
        <w:rPr>
          <w:rFonts w:ascii="Verdana" w:eastAsia="Verdana" w:hAnsi="Verdana" w:cs="Verdana"/>
          <w:i/>
          <w:iCs/>
          <w:szCs w:val="16"/>
        </w:rPr>
        <w:t>Caso Aroca Palma y otros Vs. Ecuador. Excepción Preliminar, Fondo, Reparaciones y Costas.</w:t>
      </w:r>
      <w:r w:rsidR="3BF92891" w:rsidRPr="00053304">
        <w:rPr>
          <w:rFonts w:ascii="Verdana" w:eastAsia="Verdana" w:hAnsi="Verdana" w:cs="Verdana"/>
          <w:szCs w:val="16"/>
        </w:rPr>
        <w:t xml:space="preserve"> Sentencia de 8 de noviembre de 2022. Serie C No. 471, párr. 81</w:t>
      </w:r>
      <w:r w:rsidR="40DDB40B" w:rsidRPr="00053304">
        <w:rPr>
          <w:rFonts w:ascii="Verdana" w:hAnsi="Verdana"/>
          <w:szCs w:val="16"/>
        </w:rPr>
        <w:t>.</w:t>
      </w:r>
    </w:p>
  </w:footnote>
  <w:footnote w:id="168">
    <w:p w14:paraId="7E924095" w14:textId="324B3956" w:rsidR="00C3591F" w:rsidRPr="00053304" w:rsidRDefault="00C3591F" w:rsidP="00053304">
      <w:pPr>
        <w:pStyle w:val="Textonotapie"/>
        <w:tabs>
          <w:tab w:val="left" w:pos="709"/>
        </w:tabs>
        <w:jc w:val="both"/>
        <w:rPr>
          <w:rFonts w:ascii="Verdana" w:hAnsi="Verdana"/>
          <w:szCs w:val="16"/>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rPr>
        <w:tab/>
      </w:r>
      <w:r w:rsidR="40DDB40B" w:rsidRPr="00053304">
        <w:rPr>
          <w:rFonts w:ascii="Verdana" w:hAnsi="Verdana"/>
          <w:i/>
          <w:iCs/>
          <w:szCs w:val="16"/>
        </w:rPr>
        <w:t xml:space="preserve">Cfr. Caso Juan Humberto Sánchez Vs. Honduras. Excepción Preliminar, Fondo, Reparaciones y Costas. </w:t>
      </w:r>
      <w:r w:rsidR="40DDB40B" w:rsidRPr="00053304">
        <w:rPr>
          <w:rFonts w:ascii="Verdana" w:hAnsi="Verdana"/>
          <w:szCs w:val="16"/>
        </w:rPr>
        <w:t xml:space="preserve">Sentencia de 7 de junio de 2003. Serie C No. 99, párr. 82, </w:t>
      </w:r>
      <w:r w:rsidR="00D617B2" w:rsidRPr="00053304">
        <w:rPr>
          <w:rFonts w:ascii="Verdana" w:hAnsi="Verdana"/>
          <w:szCs w:val="16"/>
        </w:rPr>
        <w:t xml:space="preserve">y </w:t>
      </w:r>
      <w:r w:rsidR="00D617B2" w:rsidRPr="00053304">
        <w:rPr>
          <w:rFonts w:ascii="Verdana" w:eastAsia="Verdana" w:hAnsi="Verdana" w:cs="Verdana"/>
          <w:i/>
          <w:iCs/>
          <w:szCs w:val="16"/>
        </w:rPr>
        <w:t>Caso Dial y otro Vs. Trinidad y Tobago. Fondo y Reparaciones.</w:t>
      </w:r>
      <w:r w:rsidR="00D617B2" w:rsidRPr="00053304">
        <w:rPr>
          <w:rFonts w:ascii="Verdana" w:eastAsia="Verdana" w:hAnsi="Verdana" w:cs="Verdana"/>
          <w:szCs w:val="16"/>
        </w:rPr>
        <w:t xml:space="preserve"> Sentencia de 21 de noviembre de 2022. Serie C No. 476, nota. 70</w:t>
      </w:r>
      <w:r w:rsidR="40DDB40B" w:rsidRPr="00053304">
        <w:rPr>
          <w:rFonts w:ascii="Verdana" w:hAnsi="Verdana"/>
          <w:szCs w:val="16"/>
        </w:rPr>
        <w:t xml:space="preserve">.  </w:t>
      </w:r>
    </w:p>
  </w:footnote>
  <w:footnote w:id="169">
    <w:p w14:paraId="41046E5F" w14:textId="584B59CA" w:rsidR="00004DE6" w:rsidRPr="00053304" w:rsidRDefault="00004DE6" w:rsidP="00053304">
      <w:pPr>
        <w:pStyle w:val="Textonotapie"/>
        <w:tabs>
          <w:tab w:val="left" w:pos="709"/>
        </w:tabs>
        <w:jc w:val="both"/>
        <w:rPr>
          <w:rFonts w:ascii="Verdana" w:hAnsi="Verdana"/>
          <w:szCs w:val="16"/>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rPr>
        <w:tab/>
      </w:r>
      <w:r w:rsidR="40DDB40B" w:rsidRPr="00053304">
        <w:rPr>
          <w:rFonts w:ascii="Verdana" w:hAnsi="Verdana"/>
          <w:i/>
          <w:iCs/>
          <w:szCs w:val="16"/>
        </w:rPr>
        <w:t xml:space="preserve">Cfr. </w:t>
      </w:r>
      <w:r w:rsidR="3BF92891" w:rsidRPr="00053304">
        <w:rPr>
          <w:rFonts w:ascii="Verdana" w:eastAsia="Verdana" w:hAnsi="Verdana" w:cs="Verdana"/>
          <w:i/>
          <w:iCs/>
          <w:szCs w:val="16"/>
        </w:rPr>
        <w:t>Caso Chaparro Álvarez y Lapo Íñiguez Vs. Ecuador. Excepciones Preliminares, Fondo, Reparaciones y Costas.</w:t>
      </w:r>
      <w:r w:rsidR="3BF92891" w:rsidRPr="00053304">
        <w:rPr>
          <w:rFonts w:ascii="Verdana" w:eastAsia="Verdana" w:hAnsi="Verdana" w:cs="Verdana"/>
          <w:szCs w:val="16"/>
        </w:rPr>
        <w:t xml:space="preserve"> Sentencia de 21 de noviembre de 2007. Serie C No. 170, párr. 71</w:t>
      </w:r>
      <w:r w:rsidR="00D617B2" w:rsidRPr="00053304">
        <w:rPr>
          <w:rFonts w:ascii="Verdana" w:eastAsia="Verdana" w:hAnsi="Verdana" w:cs="Verdana"/>
          <w:szCs w:val="16"/>
        </w:rPr>
        <w:t>,</w:t>
      </w:r>
      <w:r w:rsidR="3BF92891" w:rsidRPr="00053304">
        <w:rPr>
          <w:rFonts w:ascii="Verdana" w:hAnsi="Verdana"/>
          <w:szCs w:val="16"/>
        </w:rPr>
        <w:t xml:space="preserve"> y </w:t>
      </w:r>
      <w:r w:rsidR="3BF92891" w:rsidRPr="00053304">
        <w:rPr>
          <w:rFonts w:ascii="Verdana" w:eastAsia="Verdana" w:hAnsi="Verdana" w:cs="Verdana"/>
          <w:i/>
          <w:iCs/>
          <w:szCs w:val="16"/>
        </w:rPr>
        <w:t>Caso Dial y otro Vs. Trinidad y Tobago. Fondo y Reparaciones</w:t>
      </w:r>
      <w:r w:rsidR="00D617B2" w:rsidRPr="00053304">
        <w:rPr>
          <w:rFonts w:ascii="Verdana" w:eastAsia="Verdana" w:hAnsi="Verdana" w:cs="Verdana"/>
          <w:i/>
          <w:iCs/>
          <w:szCs w:val="16"/>
        </w:rPr>
        <w:t>, supra</w:t>
      </w:r>
      <w:r w:rsidR="3BF92891" w:rsidRPr="00053304">
        <w:rPr>
          <w:rFonts w:ascii="Verdana" w:eastAsia="Verdana" w:hAnsi="Verdana" w:cs="Verdana"/>
          <w:szCs w:val="16"/>
        </w:rPr>
        <w:t>, párr. 52</w:t>
      </w:r>
      <w:r w:rsidR="3BF92891" w:rsidRPr="00053304">
        <w:rPr>
          <w:rFonts w:ascii="Verdana" w:hAnsi="Verdana"/>
          <w:szCs w:val="16"/>
        </w:rPr>
        <w:t xml:space="preserve">.  </w:t>
      </w:r>
    </w:p>
  </w:footnote>
  <w:footnote w:id="170">
    <w:p w14:paraId="1289C3B3" w14:textId="3B87FCC2" w:rsidR="001556D8" w:rsidRPr="00053304" w:rsidRDefault="001556D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 xml:space="preserve">Declaración </w:t>
      </w:r>
      <w:r w:rsidR="00953615" w:rsidRPr="00053304">
        <w:rPr>
          <w:rFonts w:ascii="Verdana" w:hAnsi="Verdana"/>
          <w:szCs w:val="16"/>
          <w:lang w:val="es-ES"/>
        </w:rPr>
        <w:t>ante fedat</w:t>
      </w:r>
      <w:r w:rsidR="00795815" w:rsidRPr="00053304">
        <w:rPr>
          <w:rFonts w:ascii="Verdana" w:hAnsi="Verdana"/>
          <w:szCs w:val="16"/>
          <w:lang w:val="es-ES"/>
        </w:rPr>
        <w:t>a</w:t>
      </w:r>
      <w:r w:rsidR="00953615" w:rsidRPr="00053304">
        <w:rPr>
          <w:rFonts w:ascii="Verdana" w:hAnsi="Verdana"/>
          <w:szCs w:val="16"/>
          <w:lang w:val="es-ES"/>
        </w:rPr>
        <w:t>ri</w:t>
      </w:r>
      <w:r w:rsidR="00795815" w:rsidRPr="00053304">
        <w:rPr>
          <w:rFonts w:ascii="Verdana" w:hAnsi="Verdana"/>
          <w:szCs w:val="16"/>
          <w:lang w:val="es-ES"/>
        </w:rPr>
        <w:t>o</w:t>
      </w:r>
      <w:r w:rsidR="00953615" w:rsidRPr="00053304">
        <w:rPr>
          <w:rFonts w:ascii="Verdana" w:hAnsi="Verdana"/>
          <w:szCs w:val="16"/>
          <w:lang w:val="es-ES"/>
        </w:rPr>
        <w:t xml:space="preserve"> público de </w:t>
      </w:r>
      <w:r w:rsidRPr="00053304">
        <w:rPr>
          <w:rFonts w:ascii="Verdana" w:hAnsi="Verdana"/>
          <w:szCs w:val="16"/>
          <w:lang w:val="es-ES"/>
        </w:rPr>
        <w:t xml:space="preserve">Reyes Alpízar </w:t>
      </w:r>
      <w:r w:rsidR="00D24E60" w:rsidRPr="00053304">
        <w:rPr>
          <w:rFonts w:ascii="Verdana" w:hAnsi="Verdana"/>
          <w:szCs w:val="16"/>
          <w:lang w:val="es-ES"/>
        </w:rPr>
        <w:t>Ortiz</w:t>
      </w:r>
      <w:r w:rsidRPr="00053304">
        <w:rPr>
          <w:rFonts w:ascii="Verdana" w:hAnsi="Verdana"/>
          <w:szCs w:val="16"/>
          <w:lang w:val="es-ES"/>
        </w:rPr>
        <w:t xml:space="preserve"> (</w:t>
      </w:r>
      <w:r w:rsidR="007762A9" w:rsidRPr="00053304">
        <w:rPr>
          <w:rFonts w:ascii="Verdana" w:hAnsi="Verdana"/>
          <w:szCs w:val="16"/>
          <w:lang w:val="es-ES"/>
        </w:rPr>
        <w:t>expediente</w:t>
      </w:r>
      <w:r w:rsidRPr="00053304">
        <w:rPr>
          <w:rFonts w:ascii="Verdana" w:hAnsi="Verdana"/>
          <w:szCs w:val="16"/>
          <w:lang w:val="es-ES"/>
        </w:rPr>
        <w:t xml:space="preserve"> de prueba, folio</w:t>
      </w:r>
      <w:r w:rsidR="00953615" w:rsidRPr="00053304">
        <w:rPr>
          <w:rFonts w:ascii="Verdana" w:hAnsi="Verdana"/>
          <w:szCs w:val="16"/>
          <w:lang w:val="es-ES"/>
        </w:rPr>
        <w:t>s</w:t>
      </w:r>
      <w:r w:rsidRPr="00053304">
        <w:rPr>
          <w:rFonts w:ascii="Verdana" w:hAnsi="Verdana"/>
          <w:szCs w:val="16"/>
          <w:lang w:val="es-ES"/>
        </w:rPr>
        <w:t xml:space="preserve"> 993</w:t>
      </w:r>
      <w:r w:rsidR="00953615" w:rsidRPr="00053304">
        <w:rPr>
          <w:rFonts w:ascii="Verdana" w:hAnsi="Verdana"/>
          <w:szCs w:val="16"/>
          <w:lang w:val="es-ES"/>
        </w:rPr>
        <w:t xml:space="preserve"> y siguientes</w:t>
      </w:r>
      <w:r w:rsidRPr="00053304">
        <w:rPr>
          <w:rFonts w:ascii="Verdana" w:hAnsi="Verdana"/>
          <w:szCs w:val="16"/>
          <w:lang w:val="es-ES"/>
        </w:rPr>
        <w:t>).</w:t>
      </w:r>
    </w:p>
  </w:footnote>
  <w:footnote w:id="171">
    <w:p w14:paraId="3BCF19BD" w14:textId="77777777" w:rsidR="00A847CF" w:rsidRPr="00053304" w:rsidRDefault="00A847CF" w:rsidP="00053304">
      <w:pPr>
        <w:pStyle w:val="Textonotapie"/>
        <w:tabs>
          <w:tab w:val="left" w:pos="709"/>
        </w:tabs>
        <w:jc w:val="both"/>
        <w:rPr>
          <w:rFonts w:ascii="Verdana" w:hAnsi="Verdana"/>
          <w:i/>
          <w:iCs/>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w:t>
      </w:r>
      <w:r w:rsidRPr="00053304">
        <w:rPr>
          <w:rFonts w:ascii="Verdana" w:hAnsi="Verdana"/>
          <w:szCs w:val="16"/>
        </w:rPr>
        <w:t>Gobierno del Estado de México. Procuraduría General de Justicia. Grupo de Operaciones Especiales. Expediente ATI/II/3672/01. Asunto: Puesta a Disposición de Persona. Tlalnepantla de Báz, 25 de octubre de 2002 (expediente de prueba, folio 827).</w:t>
      </w:r>
    </w:p>
  </w:footnote>
  <w:footnote w:id="172">
    <w:p w14:paraId="65B7EA2D" w14:textId="590FCE64" w:rsidR="007A0F81" w:rsidRPr="00053304" w:rsidRDefault="007A0F81" w:rsidP="00053304">
      <w:pPr>
        <w:pStyle w:val="Textonotapie"/>
        <w:jc w:val="both"/>
        <w:rPr>
          <w:rFonts w:ascii="Verdana" w:hAnsi="Verdana"/>
          <w:szCs w:val="16"/>
          <w:lang w:val="es-ES"/>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lang w:val="es-ES"/>
        </w:rPr>
        <w:tab/>
      </w:r>
      <w:r w:rsidR="40DDB40B" w:rsidRPr="00053304">
        <w:rPr>
          <w:rFonts w:ascii="Verdana" w:hAnsi="Verdana"/>
          <w:i/>
          <w:iCs/>
          <w:szCs w:val="16"/>
          <w:lang w:val="es-ES"/>
        </w:rPr>
        <w:t>Cfr. Caso Chaparro Álvarez y Lapo Iñiguez Vs. Ecuador. Excepciones preliminares, fondo, reparaciones y costas</w:t>
      </w:r>
      <w:r w:rsidR="40DDB40B" w:rsidRPr="00053304">
        <w:rPr>
          <w:rFonts w:ascii="Verdana" w:hAnsi="Verdana"/>
          <w:szCs w:val="16"/>
          <w:lang w:val="es-ES"/>
        </w:rPr>
        <w:t xml:space="preserve"> </w:t>
      </w:r>
      <w:r w:rsidR="40DDB40B" w:rsidRPr="00053304">
        <w:rPr>
          <w:rFonts w:ascii="Verdana" w:hAnsi="Verdana"/>
          <w:i/>
          <w:iCs/>
          <w:szCs w:val="16"/>
          <w:lang w:val="es-ES"/>
        </w:rPr>
        <w:t>supra</w:t>
      </w:r>
      <w:r w:rsidR="40DDB40B" w:rsidRPr="00053304">
        <w:rPr>
          <w:rFonts w:ascii="Verdana" w:hAnsi="Verdana"/>
          <w:szCs w:val="16"/>
          <w:lang w:val="es-ES"/>
        </w:rPr>
        <w:t xml:space="preserve">, párr. 85, y </w:t>
      </w:r>
      <w:r w:rsidR="40DDB40B" w:rsidRPr="00053304">
        <w:rPr>
          <w:rFonts w:ascii="Verdana" w:hAnsi="Verdana"/>
          <w:i/>
          <w:iCs/>
          <w:szCs w:val="16"/>
          <w:lang w:val="es-ES"/>
        </w:rPr>
        <w:t>Caso Villarroel Merino y otros Vs. Ecuador.</w:t>
      </w:r>
      <w:r w:rsidR="40DDB40B" w:rsidRPr="00053304">
        <w:rPr>
          <w:rFonts w:ascii="Verdana" w:hAnsi="Verdana"/>
          <w:szCs w:val="16"/>
          <w:lang w:val="es-ES"/>
        </w:rPr>
        <w:t xml:space="preserve"> </w:t>
      </w:r>
      <w:r w:rsidR="40DDB40B" w:rsidRPr="00053304">
        <w:rPr>
          <w:rFonts w:ascii="Verdana" w:hAnsi="Verdana"/>
          <w:i/>
          <w:iCs/>
          <w:szCs w:val="16"/>
          <w:lang w:val="es-ES"/>
        </w:rPr>
        <w:t>Excepciones preliminares, fondo, reparaciones y costas.</w:t>
      </w:r>
      <w:r w:rsidR="40DDB40B" w:rsidRPr="00053304">
        <w:rPr>
          <w:rFonts w:ascii="Verdana" w:hAnsi="Verdana"/>
          <w:szCs w:val="16"/>
          <w:lang w:val="es-ES"/>
        </w:rPr>
        <w:t xml:space="preserve"> Sentencia de 24 de agosto de 2021. Serie C No. 430, párr. 105.</w:t>
      </w:r>
    </w:p>
  </w:footnote>
  <w:footnote w:id="173">
    <w:p w14:paraId="136599F1" w14:textId="4E6DAE90" w:rsidR="00C2154A" w:rsidRPr="00602907" w:rsidRDefault="00C2154A" w:rsidP="00053304">
      <w:pPr>
        <w:pStyle w:val="Textonotapie"/>
        <w:jc w:val="both"/>
        <w:rPr>
          <w:rFonts w:ascii="Verdana" w:hAnsi="Verdana"/>
          <w:szCs w:val="16"/>
          <w:lang w:val="es-CR"/>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lang w:val="es-ES"/>
        </w:rPr>
        <w:tab/>
      </w:r>
      <w:r w:rsidR="40DDB40B" w:rsidRPr="00053304">
        <w:rPr>
          <w:rFonts w:ascii="Verdana" w:hAnsi="Verdana"/>
          <w:i/>
          <w:iCs/>
          <w:szCs w:val="16"/>
          <w:lang w:val="es-ES"/>
        </w:rPr>
        <w:t>Cfr. Caso Chaparro Álvarez y Lapo Iñiguez Vs. Ecuador</w:t>
      </w:r>
      <w:r w:rsidR="40DDB40B" w:rsidRPr="00053304">
        <w:rPr>
          <w:rFonts w:ascii="Verdana" w:hAnsi="Verdana"/>
          <w:szCs w:val="16"/>
          <w:lang w:val="es-ES"/>
        </w:rPr>
        <w:t xml:space="preserve">, </w:t>
      </w:r>
      <w:r w:rsidR="3BF92891" w:rsidRPr="00053304">
        <w:rPr>
          <w:rFonts w:ascii="Verdana" w:hAnsi="Verdana"/>
          <w:i/>
          <w:iCs/>
          <w:szCs w:val="16"/>
          <w:lang w:val="es-ES"/>
        </w:rPr>
        <w:t xml:space="preserve">Excepciones Preliminares, Fondo, Reparaciones y Costas, supra, </w:t>
      </w:r>
      <w:r w:rsidR="40DDB40B" w:rsidRPr="00053304">
        <w:rPr>
          <w:rFonts w:ascii="Verdana" w:hAnsi="Verdana"/>
          <w:szCs w:val="16"/>
          <w:lang w:val="es-ES"/>
        </w:rPr>
        <w:t xml:space="preserve">párr. 81, y </w:t>
      </w:r>
      <w:r w:rsidR="3BF92891" w:rsidRPr="00053304">
        <w:rPr>
          <w:rFonts w:ascii="Verdana" w:hAnsi="Verdana"/>
          <w:i/>
          <w:iCs/>
          <w:szCs w:val="16"/>
          <w:lang w:val="es-ES"/>
        </w:rPr>
        <w:t>C</w:t>
      </w:r>
      <w:r w:rsidR="40DDB40B" w:rsidRPr="00053304">
        <w:rPr>
          <w:rFonts w:ascii="Verdana" w:hAnsi="Verdana"/>
          <w:i/>
          <w:iCs/>
          <w:szCs w:val="16"/>
          <w:lang w:val="es-ES"/>
        </w:rPr>
        <w:t>aso</w:t>
      </w:r>
      <w:r w:rsidR="40DDB40B" w:rsidRPr="00053304">
        <w:rPr>
          <w:rFonts w:ascii="Verdana" w:hAnsi="Verdana"/>
          <w:szCs w:val="16"/>
          <w:lang w:val="es-ES"/>
        </w:rPr>
        <w:t xml:space="preserve"> </w:t>
      </w:r>
      <w:r w:rsidR="40DDB40B" w:rsidRPr="00053304">
        <w:rPr>
          <w:rFonts w:ascii="Verdana" w:hAnsi="Verdana"/>
          <w:i/>
          <w:iCs/>
          <w:szCs w:val="16"/>
          <w:lang w:val="es-ES"/>
        </w:rPr>
        <w:t xml:space="preserve">Pollo Rivera Vs. </w:t>
      </w:r>
      <w:r w:rsidR="40DDB40B" w:rsidRPr="00602907">
        <w:rPr>
          <w:rFonts w:ascii="Verdana" w:hAnsi="Verdana"/>
          <w:i/>
          <w:iCs/>
          <w:szCs w:val="16"/>
          <w:lang w:val="es-CR"/>
        </w:rPr>
        <w:t xml:space="preserve">Perú. </w:t>
      </w:r>
      <w:r w:rsidR="3BF92891" w:rsidRPr="00053304">
        <w:rPr>
          <w:rFonts w:ascii="Verdana" w:eastAsia="Verdana" w:hAnsi="Verdana" w:cs="Verdana"/>
          <w:i/>
          <w:iCs/>
          <w:szCs w:val="16"/>
          <w:lang w:val="es-CR"/>
        </w:rPr>
        <w:t>Fondo, Reparaciones y Costas.</w:t>
      </w:r>
      <w:r w:rsidR="3BF92891" w:rsidRPr="00053304">
        <w:rPr>
          <w:rFonts w:ascii="Verdana" w:eastAsia="Verdana" w:hAnsi="Verdana" w:cs="Verdana"/>
          <w:szCs w:val="16"/>
          <w:lang w:val="es-CR"/>
        </w:rPr>
        <w:t xml:space="preserve"> Sentencia de 21 de octubre de 2016. Serie C No. 319</w:t>
      </w:r>
      <w:r w:rsidR="40DDB40B" w:rsidRPr="00053304">
        <w:rPr>
          <w:rFonts w:ascii="Verdana" w:hAnsi="Verdana"/>
          <w:szCs w:val="16"/>
          <w:lang w:val="es-CR"/>
        </w:rPr>
        <w:t xml:space="preserve">, párr. </w:t>
      </w:r>
      <w:r w:rsidR="40DDB40B" w:rsidRPr="00602907">
        <w:rPr>
          <w:rFonts w:ascii="Verdana" w:hAnsi="Verdana"/>
          <w:szCs w:val="16"/>
          <w:lang w:val="es-CR"/>
        </w:rPr>
        <w:t>103.</w:t>
      </w:r>
    </w:p>
  </w:footnote>
  <w:footnote w:id="174">
    <w:p w14:paraId="3043C177" w14:textId="005649D3" w:rsidR="00574250" w:rsidRPr="00053304" w:rsidRDefault="00574250" w:rsidP="00053304">
      <w:pPr>
        <w:tabs>
          <w:tab w:val="left" w:pos="720"/>
        </w:tabs>
        <w:autoSpaceDE w:val="0"/>
        <w:autoSpaceDN w:val="0"/>
        <w:adjustRightInd w:val="0"/>
        <w:spacing w:before="120" w:after="120"/>
        <w:jc w:val="both"/>
        <w:rPr>
          <w:rFonts w:ascii="Verdana" w:hAnsi="Verdana" w:cs="Verdana"/>
          <w:i/>
          <w:iCs/>
          <w:spacing w:val="-4"/>
          <w:sz w:val="16"/>
          <w:szCs w:val="16"/>
          <w:lang w:val="es-CO"/>
        </w:rPr>
      </w:pPr>
      <w:r w:rsidRPr="00053304">
        <w:rPr>
          <w:rStyle w:val="Refdenotaalpie"/>
          <w:rFonts w:ascii="Verdana" w:hAnsi="Verdana"/>
          <w:spacing w:val="-4"/>
          <w:sz w:val="16"/>
          <w:szCs w:val="16"/>
        </w:rPr>
        <w:footnoteRef/>
      </w:r>
      <w:r w:rsidR="40DDB40B" w:rsidRPr="00602907">
        <w:rPr>
          <w:rFonts w:ascii="Verdana" w:hAnsi="Verdana"/>
          <w:spacing w:val="-4"/>
          <w:sz w:val="16"/>
          <w:szCs w:val="16"/>
        </w:rPr>
        <w:t xml:space="preserve"> </w:t>
      </w:r>
      <w:r w:rsidRPr="00602907">
        <w:rPr>
          <w:rFonts w:ascii="Verdana" w:hAnsi="Verdana"/>
          <w:spacing w:val="-4"/>
          <w:sz w:val="16"/>
          <w:szCs w:val="16"/>
        </w:rPr>
        <w:tab/>
      </w:r>
      <w:r w:rsidR="40DDB40B" w:rsidRPr="00602907">
        <w:rPr>
          <w:rFonts w:ascii="Verdana" w:hAnsi="Verdana"/>
          <w:i/>
          <w:iCs/>
          <w:spacing w:val="-4"/>
          <w:sz w:val="16"/>
          <w:szCs w:val="16"/>
        </w:rPr>
        <w:t xml:space="preserve">Cfr. Caso Gangaram Panday Vs. </w:t>
      </w:r>
      <w:r w:rsidR="40DDB40B" w:rsidRPr="00053304">
        <w:rPr>
          <w:rFonts w:ascii="Verdana" w:hAnsi="Verdana"/>
          <w:i/>
          <w:iCs/>
          <w:spacing w:val="-4"/>
          <w:sz w:val="16"/>
          <w:szCs w:val="16"/>
        </w:rPr>
        <w:t xml:space="preserve">Surinam. </w:t>
      </w:r>
      <w:r w:rsidR="3BF92891" w:rsidRPr="00053304">
        <w:rPr>
          <w:rFonts w:ascii="Verdana" w:hAnsi="Verdana"/>
          <w:i/>
          <w:iCs/>
          <w:sz w:val="16"/>
          <w:szCs w:val="16"/>
        </w:rPr>
        <w:t>Excepciones Preliminares</w:t>
      </w:r>
      <w:r w:rsidR="40DDB40B" w:rsidRPr="00053304">
        <w:rPr>
          <w:rFonts w:ascii="Verdana" w:hAnsi="Verdana"/>
          <w:spacing w:val="-4"/>
          <w:sz w:val="16"/>
          <w:szCs w:val="16"/>
        </w:rPr>
        <w:t xml:space="preserve">. </w:t>
      </w:r>
      <w:r w:rsidR="40DDB40B" w:rsidRPr="00053304">
        <w:rPr>
          <w:rFonts w:ascii="Verdana" w:hAnsi="Verdana"/>
          <w:spacing w:val="-4"/>
          <w:sz w:val="16"/>
          <w:szCs w:val="16"/>
          <w:lang w:val="es-CO"/>
        </w:rPr>
        <w:t xml:space="preserve">Sentencia de 4 de diciembre de 1991. </w:t>
      </w:r>
      <w:r w:rsidR="40DDB40B" w:rsidRPr="00053304">
        <w:rPr>
          <w:rFonts w:ascii="Verdana" w:hAnsi="Verdana"/>
          <w:spacing w:val="-4"/>
          <w:sz w:val="16"/>
          <w:szCs w:val="16"/>
        </w:rPr>
        <w:t xml:space="preserve">Serie C No. 12, párr. 50; </w:t>
      </w:r>
      <w:r w:rsidR="40DDB40B" w:rsidRPr="00053304">
        <w:rPr>
          <w:rFonts w:ascii="Verdana" w:hAnsi="Verdana"/>
          <w:i/>
          <w:iCs/>
          <w:spacing w:val="-4"/>
          <w:sz w:val="16"/>
          <w:szCs w:val="16"/>
        </w:rPr>
        <w:t xml:space="preserve">Caso Granier y otros (Radio Caracas Televisión) Vs. Venezuela. </w:t>
      </w:r>
      <w:r w:rsidR="3BF92891" w:rsidRPr="00053304">
        <w:rPr>
          <w:rFonts w:ascii="Verdana" w:eastAsia="Verdana" w:hAnsi="Verdana" w:cs="Verdana"/>
          <w:i/>
          <w:iCs/>
          <w:sz w:val="16"/>
          <w:szCs w:val="16"/>
        </w:rPr>
        <w:t>Excepciones Preliminares, Fondo, Reparaciones y Costas.</w:t>
      </w:r>
      <w:r w:rsidR="3BF92891" w:rsidRPr="00053304">
        <w:rPr>
          <w:rFonts w:ascii="Verdana" w:eastAsia="Verdana" w:hAnsi="Verdana" w:cs="Verdana"/>
          <w:sz w:val="16"/>
          <w:szCs w:val="16"/>
        </w:rPr>
        <w:t xml:space="preserve"> Sentencia de 22 de junio de 2015. Serie C No. 293</w:t>
      </w:r>
      <w:r w:rsidR="40DDB40B" w:rsidRPr="00053304">
        <w:rPr>
          <w:rFonts w:ascii="Verdana" w:hAnsi="Verdana"/>
          <w:i/>
          <w:iCs/>
          <w:spacing w:val="-4"/>
          <w:sz w:val="16"/>
          <w:szCs w:val="16"/>
        </w:rPr>
        <w:t xml:space="preserve">, </w:t>
      </w:r>
      <w:r w:rsidR="40DDB40B" w:rsidRPr="00053304">
        <w:rPr>
          <w:rFonts w:ascii="Verdana" w:hAnsi="Verdana"/>
          <w:spacing w:val="-4"/>
          <w:sz w:val="16"/>
          <w:szCs w:val="16"/>
        </w:rPr>
        <w:t>párr. 389, y</w:t>
      </w:r>
      <w:r w:rsidR="40DDB40B" w:rsidRPr="00053304">
        <w:rPr>
          <w:rFonts w:ascii="Verdana" w:eastAsia="Verdana" w:hAnsi="Verdana" w:cs="Verdana"/>
          <w:i/>
          <w:iCs/>
          <w:spacing w:val="-4"/>
          <w:sz w:val="16"/>
          <w:szCs w:val="16"/>
        </w:rPr>
        <w:t xml:space="preserve"> </w:t>
      </w:r>
      <w:r w:rsidR="3BF92891" w:rsidRPr="00053304">
        <w:rPr>
          <w:rFonts w:ascii="Verdana" w:eastAsia="Verdana" w:hAnsi="Verdana" w:cs="Verdana"/>
          <w:i/>
          <w:iCs/>
          <w:sz w:val="16"/>
          <w:szCs w:val="16"/>
        </w:rPr>
        <w:t>Caso Dial y otro Vs. Trinidad y Tobago, supra,</w:t>
      </w:r>
      <w:r w:rsidR="3BF92891" w:rsidRPr="00053304">
        <w:rPr>
          <w:rFonts w:ascii="Verdana" w:eastAsia="Verdana" w:hAnsi="Verdana" w:cs="Verdana"/>
          <w:sz w:val="16"/>
          <w:szCs w:val="16"/>
        </w:rPr>
        <w:t xml:space="preserve"> párr. 49</w:t>
      </w:r>
      <w:r w:rsidR="40DDB40B" w:rsidRPr="00053304">
        <w:rPr>
          <w:rFonts w:ascii="Verdana" w:hAnsi="Verdana"/>
          <w:spacing w:val="-4"/>
          <w:sz w:val="16"/>
          <w:szCs w:val="16"/>
        </w:rPr>
        <w:t>.</w:t>
      </w:r>
    </w:p>
  </w:footnote>
  <w:footnote w:id="175">
    <w:p w14:paraId="3261CC25" w14:textId="5929301B" w:rsidR="00574250" w:rsidRPr="00053304" w:rsidRDefault="00574250" w:rsidP="00053304">
      <w:pPr>
        <w:tabs>
          <w:tab w:val="left" w:pos="567"/>
        </w:tabs>
        <w:spacing w:before="120" w:after="120"/>
        <w:ind w:right="1"/>
        <w:jc w:val="both"/>
        <w:rPr>
          <w:rFonts w:ascii="Verdana" w:hAnsi="Verdana"/>
          <w:spacing w:val="-4"/>
          <w:sz w:val="16"/>
          <w:szCs w:val="16"/>
        </w:rPr>
      </w:pPr>
      <w:r w:rsidRPr="00053304">
        <w:rPr>
          <w:rStyle w:val="Refdenotaalpie"/>
          <w:rFonts w:ascii="Verdana" w:hAnsi="Verdana"/>
          <w:spacing w:val="-4"/>
          <w:sz w:val="16"/>
          <w:szCs w:val="16"/>
        </w:rPr>
        <w:footnoteRef/>
      </w:r>
      <w:r w:rsidR="40DDB40B" w:rsidRPr="00053304">
        <w:rPr>
          <w:rFonts w:ascii="Verdana" w:hAnsi="Verdana"/>
          <w:spacing w:val="-4"/>
          <w:sz w:val="16"/>
          <w:szCs w:val="16"/>
        </w:rPr>
        <w:t xml:space="preserve"> </w:t>
      </w:r>
      <w:r w:rsidRPr="00053304">
        <w:rPr>
          <w:rFonts w:ascii="Verdana" w:hAnsi="Verdana"/>
          <w:spacing w:val="-4"/>
          <w:sz w:val="16"/>
          <w:szCs w:val="16"/>
        </w:rPr>
        <w:tab/>
      </w:r>
      <w:r w:rsidR="00795815" w:rsidRPr="00053304">
        <w:rPr>
          <w:rFonts w:ascii="Verdana" w:hAnsi="Verdana"/>
          <w:spacing w:val="-4"/>
          <w:sz w:val="16"/>
          <w:szCs w:val="16"/>
        </w:rPr>
        <w:tab/>
      </w:r>
      <w:r w:rsidR="40DDB40B" w:rsidRPr="00053304">
        <w:rPr>
          <w:rFonts w:ascii="Verdana" w:hAnsi="Verdana"/>
          <w:i/>
          <w:iCs/>
          <w:spacing w:val="-4"/>
          <w:sz w:val="16"/>
          <w:szCs w:val="16"/>
          <w:lang w:val="es-ES"/>
        </w:rPr>
        <w:t xml:space="preserve">Cfr. </w:t>
      </w:r>
      <w:r w:rsidR="40DDB40B" w:rsidRPr="00053304">
        <w:rPr>
          <w:rFonts w:ascii="Verdana" w:hAnsi="Verdana"/>
          <w:i/>
          <w:iCs/>
          <w:spacing w:val="-4"/>
          <w:sz w:val="16"/>
          <w:szCs w:val="16"/>
        </w:rPr>
        <w:t xml:space="preserve">Caso Castillo Petruzzi y otros Vs. </w:t>
      </w:r>
      <w:r w:rsidR="40DDB40B" w:rsidRPr="00053304">
        <w:rPr>
          <w:rStyle w:val="Textoennegrita"/>
          <w:rFonts w:ascii="Verdana" w:eastAsiaTheme="majorEastAsia" w:hAnsi="Verdana"/>
          <w:b w:val="0"/>
          <w:bCs w:val="0"/>
          <w:i/>
          <w:iCs/>
          <w:spacing w:val="-4"/>
          <w:sz w:val="16"/>
          <w:szCs w:val="16"/>
        </w:rPr>
        <w:t>Perú. Fondo, Reparaciones y Costas.</w:t>
      </w:r>
      <w:r w:rsidR="40DDB40B" w:rsidRPr="00053304">
        <w:rPr>
          <w:rStyle w:val="Textoennegrita"/>
          <w:rFonts w:ascii="Verdana" w:eastAsiaTheme="majorEastAsia" w:hAnsi="Verdana"/>
          <w:b w:val="0"/>
          <w:bCs w:val="0"/>
          <w:spacing w:val="-4"/>
          <w:sz w:val="16"/>
          <w:szCs w:val="16"/>
        </w:rPr>
        <w:t xml:space="preserve"> Sentencia de 30 de mayo de 1999. Serie C No. 52,</w:t>
      </w:r>
      <w:r w:rsidR="40DDB40B" w:rsidRPr="00053304">
        <w:rPr>
          <w:rFonts w:ascii="Verdana" w:hAnsi="Verdana"/>
          <w:i/>
          <w:iCs/>
          <w:spacing w:val="-4"/>
          <w:sz w:val="16"/>
          <w:szCs w:val="16"/>
        </w:rPr>
        <w:t xml:space="preserve"> </w:t>
      </w:r>
      <w:r w:rsidR="40DDB40B" w:rsidRPr="00053304">
        <w:rPr>
          <w:rFonts w:ascii="Verdana" w:hAnsi="Verdana"/>
          <w:spacing w:val="-4"/>
          <w:sz w:val="16"/>
          <w:szCs w:val="16"/>
        </w:rPr>
        <w:t xml:space="preserve">párr. 207, </w:t>
      </w:r>
      <w:r w:rsidR="40DDB40B" w:rsidRPr="00053304">
        <w:rPr>
          <w:rStyle w:val="Textoennegrita"/>
          <w:rFonts w:ascii="Verdana" w:eastAsiaTheme="majorEastAsia" w:hAnsi="Verdana"/>
          <w:b w:val="0"/>
          <w:bCs w:val="0"/>
          <w:spacing w:val="-4"/>
          <w:sz w:val="16"/>
          <w:szCs w:val="16"/>
        </w:rPr>
        <w:t>y</w:t>
      </w:r>
      <w:r w:rsidR="008A4C59" w:rsidRPr="00053304">
        <w:rPr>
          <w:rFonts w:ascii="Verdana" w:hAnsi="Verdana"/>
          <w:sz w:val="16"/>
          <w:szCs w:val="16"/>
        </w:rPr>
        <w:t xml:space="preserve"> </w:t>
      </w:r>
      <w:r w:rsidR="008A4C59" w:rsidRPr="00053304">
        <w:rPr>
          <w:rFonts w:ascii="Verdana" w:hAnsi="Verdana"/>
          <w:i/>
          <w:iCs/>
          <w:spacing w:val="-4"/>
          <w:sz w:val="16"/>
          <w:szCs w:val="16"/>
        </w:rPr>
        <w:t>Caso Tzompaxtle Tecpile y otros Vs. México, supra</w:t>
      </w:r>
      <w:r w:rsidR="008A4C59" w:rsidRPr="00053304">
        <w:rPr>
          <w:rFonts w:ascii="Verdana" w:hAnsi="Verdana"/>
          <w:spacing w:val="-4"/>
          <w:sz w:val="16"/>
          <w:szCs w:val="16"/>
        </w:rPr>
        <w:t>, párr. 116</w:t>
      </w:r>
      <w:r w:rsidR="40DDB40B" w:rsidRPr="00053304">
        <w:rPr>
          <w:rFonts w:ascii="Verdana" w:hAnsi="Verdana"/>
          <w:spacing w:val="-4"/>
          <w:sz w:val="16"/>
          <w:szCs w:val="16"/>
        </w:rPr>
        <w:t xml:space="preserve">. </w:t>
      </w:r>
    </w:p>
  </w:footnote>
  <w:footnote w:id="176">
    <w:p w14:paraId="6CE18014" w14:textId="60051D99" w:rsidR="00574250" w:rsidRPr="00053304" w:rsidRDefault="00574250" w:rsidP="00053304">
      <w:pPr>
        <w:pStyle w:val="Textonotapie"/>
        <w:ind w:right="1"/>
        <w:jc w:val="both"/>
        <w:rPr>
          <w:rFonts w:ascii="Verdana" w:hAnsi="Verdana"/>
          <w:spacing w:val="-4"/>
          <w:szCs w:val="16"/>
        </w:rPr>
      </w:pPr>
      <w:r w:rsidRPr="00053304">
        <w:rPr>
          <w:rStyle w:val="Refdenotaalpie"/>
          <w:rFonts w:ascii="Verdana" w:hAnsi="Verdana"/>
          <w:spacing w:val="-4"/>
          <w:szCs w:val="16"/>
        </w:rPr>
        <w:footnoteRef/>
      </w:r>
      <w:r w:rsidR="40DDB40B" w:rsidRPr="00053304">
        <w:rPr>
          <w:rFonts w:ascii="Verdana" w:hAnsi="Verdana"/>
          <w:spacing w:val="-4"/>
          <w:szCs w:val="16"/>
        </w:rPr>
        <w:t xml:space="preserve"> </w:t>
      </w:r>
      <w:r w:rsidRPr="00053304">
        <w:rPr>
          <w:rFonts w:ascii="Verdana" w:hAnsi="Verdana"/>
          <w:spacing w:val="-4"/>
          <w:szCs w:val="16"/>
        </w:rPr>
        <w:tab/>
      </w:r>
      <w:r w:rsidR="40DDB40B" w:rsidRPr="00053304">
        <w:rPr>
          <w:rFonts w:ascii="Verdana" w:hAnsi="Verdana"/>
          <w:i/>
          <w:iCs/>
          <w:spacing w:val="-4"/>
          <w:szCs w:val="16"/>
        </w:rPr>
        <w:t>Cfr.</w:t>
      </w:r>
      <w:r w:rsidR="40DDB40B" w:rsidRPr="00053304">
        <w:rPr>
          <w:rFonts w:ascii="Verdana" w:hAnsi="Verdana"/>
          <w:spacing w:val="-4"/>
          <w:szCs w:val="16"/>
        </w:rPr>
        <w:t xml:space="preserve"> </w:t>
      </w:r>
      <w:r w:rsidR="40DDB40B" w:rsidRPr="00053304">
        <w:rPr>
          <w:rFonts w:ascii="Verdana" w:hAnsi="Verdana"/>
          <w:i/>
          <w:iCs/>
          <w:spacing w:val="-4"/>
          <w:szCs w:val="16"/>
          <w:lang w:val="es-MX"/>
        </w:rPr>
        <w:t xml:space="preserve">Hilaire, Constantine y Benjamin y otros Vs. Trinidad y Tobago. Fondo, Reparaciones y Costas. </w:t>
      </w:r>
      <w:r w:rsidR="40DDB40B" w:rsidRPr="00053304">
        <w:rPr>
          <w:rFonts w:ascii="Verdana" w:hAnsi="Verdana"/>
          <w:spacing w:val="-4"/>
          <w:szCs w:val="16"/>
          <w:lang w:val="es-MX"/>
        </w:rPr>
        <w:t>Sentencia de 21 de junio de 2002. Serie C No. 94,</w:t>
      </w:r>
      <w:r w:rsidR="40DDB40B" w:rsidRPr="00053304">
        <w:rPr>
          <w:rFonts w:ascii="Verdana" w:hAnsi="Verdana"/>
          <w:i/>
          <w:iCs/>
          <w:spacing w:val="-4"/>
          <w:szCs w:val="16"/>
          <w:lang w:val="es-MX"/>
        </w:rPr>
        <w:t xml:space="preserve"> </w:t>
      </w:r>
      <w:r w:rsidR="40DDB40B" w:rsidRPr="00053304">
        <w:rPr>
          <w:rFonts w:ascii="Verdana" w:hAnsi="Verdana"/>
          <w:spacing w:val="-4"/>
          <w:szCs w:val="16"/>
        </w:rPr>
        <w:t xml:space="preserve">párr. 113, y </w:t>
      </w:r>
      <w:r w:rsidR="008A4C59" w:rsidRPr="00053304">
        <w:rPr>
          <w:rFonts w:ascii="Verdana" w:hAnsi="Verdana"/>
          <w:szCs w:val="16"/>
        </w:rPr>
        <w:t xml:space="preserve"> </w:t>
      </w:r>
      <w:r w:rsidR="008A4C59" w:rsidRPr="00053304">
        <w:rPr>
          <w:rFonts w:ascii="Verdana" w:hAnsi="Verdana"/>
          <w:i/>
          <w:iCs/>
          <w:spacing w:val="-4"/>
          <w:szCs w:val="16"/>
        </w:rPr>
        <w:t>Caso Tzompaxtle Tecpile y otros Vs. México</w:t>
      </w:r>
      <w:r w:rsidR="40DDB40B" w:rsidRPr="00053304">
        <w:rPr>
          <w:rFonts w:ascii="Verdana" w:hAnsi="Verdana"/>
          <w:i/>
          <w:iCs/>
          <w:spacing w:val="-4"/>
          <w:szCs w:val="16"/>
        </w:rPr>
        <w:t>, supra</w:t>
      </w:r>
      <w:r w:rsidR="40DDB40B" w:rsidRPr="00053304">
        <w:rPr>
          <w:rFonts w:ascii="Verdana" w:hAnsi="Verdana"/>
          <w:spacing w:val="-4"/>
          <w:szCs w:val="16"/>
        </w:rPr>
        <w:t xml:space="preserve">, párr. </w:t>
      </w:r>
      <w:r w:rsidR="008A4C59" w:rsidRPr="00053304">
        <w:rPr>
          <w:rFonts w:ascii="Verdana" w:hAnsi="Verdana"/>
          <w:spacing w:val="-4"/>
          <w:szCs w:val="16"/>
        </w:rPr>
        <w:t>116</w:t>
      </w:r>
      <w:r w:rsidR="40DDB40B" w:rsidRPr="00053304">
        <w:rPr>
          <w:rFonts w:ascii="Verdana" w:hAnsi="Verdana"/>
          <w:spacing w:val="-4"/>
          <w:szCs w:val="16"/>
        </w:rPr>
        <w:t xml:space="preserve">. </w:t>
      </w:r>
    </w:p>
  </w:footnote>
  <w:footnote w:id="177">
    <w:p w14:paraId="21FB7AE6" w14:textId="4F1D98B3" w:rsidR="00574250" w:rsidRPr="00053304" w:rsidRDefault="00574250" w:rsidP="00053304">
      <w:pPr>
        <w:pStyle w:val="Textonotapie"/>
        <w:ind w:right="1"/>
        <w:jc w:val="both"/>
        <w:rPr>
          <w:rFonts w:ascii="Verdana" w:hAnsi="Verdana"/>
          <w:spacing w:val="-4"/>
          <w:szCs w:val="16"/>
        </w:rPr>
      </w:pPr>
      <w:r w:rsidRPr="00053304">
        <w:rPr>
          <w:rStyle w:val="Refdenotaalpie"/>
          <w:rFonts w:ascii="Verdana" w:hAnsi="Verdana"/>
          <w:spacing w:val="-4"/>
          <w:szCs w:val="16"/>
        </w:rPr>
        <w:footnoteRef/>
      </w:r>
      <w:r w:rsidR="40DDB40B" w:rsidRPr="00053304">
        <w:rPr>
          <w:rFonts w:ascii="Verdana" w:hAnsi="Verdana"/>
          <w:spacing w:val="-4"/>
          <w:szCs w:val="16"/>
        </w:rPr>
        <w:t xml:space="preserve"> </w:t>
      </w:r>
      <w:r w:rsidRPr="00053304">
        <w:rPr>
          <w:rFonts w:ascii="Verdana" w:hAnsi="Verdana"/>
          <w:spacing w:val="-4"/>
          <w:szCs w:val="16"/>
        </w:rPr>
        <w:tab/>
      </w:r>
      <w:r w:rsidR="40DDB40B" w:rsidRPr="00053304">
        <w:rPr>
          <w:rFonts w:ascii="Verdana" w:hAnsi="Verdana"/>
          <w:i/>
          <w:iCs/>
          <w:spacing w:val="-4"/>
          <w:szCs w:val="16"/>
        </w:rPr>
        <w:t>Cfr.</w:t>
      </w:r>
      <w:r w:rsidR="40DDB40B" w:rsidRPr="00053304">
        <w:rPr>
          <w:rFonts w:ascii="Verdana" w:hAnsi="Verdana"/>
          <w:spacing w:val="-4"/>
          <w:szCs w:val="16"/>
        </w:rPr>
        <w:t xml:space="preserve"> </w:t>
      </w:r>
      <w:r w:rsidR="40DDB40B" w:rsidRPr="00053304">
        <w:rPr>
          <w:rFonts w:ascii="Verdana" w:hAnsi="Verdana"/>
          <w:i/>
          <w:iCs/>
          <w:spacing w:val="-4"/>
          <w:szCs w:val="16"/>
          <w:lang w:val="es-MX"/>
        </w:rPr>
        <w:t>Caso Castillo Petruzzi y otros Vs. Perú. Fondo, Reparaciones y Costas, supra</w:t>
      </w:r>
      <w:r w:rsidR="40DDB40B" w:rsidRPr="00053304">
        <w:rPr>
          <w:rFonts w:ascii="Verdana" w:hAnsi="Verdana"/>
          <w:spacing w:val="-4"/>
          <w:szCs w:val="16"/>
        </w:rPr>
        <w:t>, párr. 207</w:t>
      </w:r>
      <w:r w:rsidR="40DDB40B" w:rsidRPr="00053304">
        <w:rPr>
          <w:rFonts w:ascii="Verdana" w:hAnsi="Verdana"/>
          <w:spacing w:val="-4"/>
          <w:szCs w:val="16"/>
          <w:lang w:val="es-MX"/>
        </w:rPr>
        <w:t xml:space="preserve">, </w:t>
      </w:r>
      <w:r w:rsidR="008A4C59" w:rsidRPr="00053304">
        <w:rPr>
          <w:rFonts w:ascii="Verdana" w:hAnsi="Verdana"/>
          <w:spacing w:val="-4"/>
          <w:szCs w:val="16"/>
        </w:rPr>
        <w:t xml:space="preserve">y </w:t>
      </w:r>
      <w:r w:rsidR="008A4C59" w:rsidRPr="00053304">
        <w:rPr>
          <w:rFonts w:ascii="Verdana" w:hAnsi="Verdana"/>
          <w:szCs w:val="16"/>
        </w:rPr>
        <w:t xml:space="preserve"> </w:t>
      </w:r>
      <w:r w:rsidR="008A4C59" w:rsidRPr="00053304">
        <w:rPr>
          <w:rFonts w:ascii="Verdana" w:hAnsi="Verdana"/>
          <w:i/>
          <w:iCs/>
          <w:spacing w:val="-4"/>
          <w:szCs w:val="16"/>
        </w:rPr>
        <w:t>Caso Tzompaxtle Tecpile y otros Vs. México, supra</w:t>
      </w:r>
      <w:r w:rsidR="008A4C59" w:rsidRPr="00053304">
        <w:rPr>
          <w:rFonts w:ascii="Verdana" w:hAnsi="Verdana"/>
          <w:spacing w:val="-4"/>
          <w:szCs w:val="16"/>
        </w:rPr>
        <w:t xml:space="preserve">, párr. 116. </w:t>
      </w:r>
    </w:p>
  </w:footnote>
  <w:footnote w:id="178">
    <w:p w14:paraId="47A6984E" w14:textId="0B104E29" w:rsidR="00574250" w:rsidRPr="00053304" w:rsidRDefault="00574250" w:rsidP="00053304">
      <w:pPr>
        <w:pStyle w:val="Textonotapie"/>
        <w:ind w:right="1"/>
        <w:jc w:val="both"/>
        <w:rPr>
          <w:rFonts w:ascii="Verdana" w:hAnsi="Verdana"/>
          <w:spacing w:val="-4"/>
          <w:szCs w:val="16"/>
        </w:rPr>
      </w:pPr>
      <w:r w:rsidRPr="00053304">
        <w:rPr>
          <w:rStyle w:val="Refdenotaalpie"/>
          <w:rFonts w:ascii="Verdana" w:hAnsi="Verdana"/>
          <w:spacing w:val="-4"/>
          <w:szCs w:val="16"/>
          <w:lang w:val="en-US"/>
        </w:rPr>
        <w:footnoteRef/>
      </w:r>
      <w:r w:rsidR="40DDB40B" w:rsidRPr="00053304">
        <w:rPr>
          <w:rStyle w:val="Refdenotaalpie"/>
          <w:rFonts w:ascii="Verdana" w:hAnsi="Verdana"/>
          <w:spacing w:val="-4"/>
          <w:szCs w:val="16"/>
        </w:rPr>
        <w:t xml:space="preserve"> </w:t>
      </w:r>
      <w:r w:rsidRPr="00053304">
        <w:rPr>
          <w:rFonts w:ascii="Verdana" w:hAnsi="Verdana"/>
          <w:spacing w:val="-4"/>
          <w:szCs w:val="16"/>
        </w:rPr>
        <w:tab/>
      </w:r>
      <w:r w:rsidR="40DDB40B" w:rsidRPr="00053304">
        <w:rPr>
          <w:rFonts w:ascii="Verdana" w:hAnsi="Verdana"/>
          <w:i/>
          <w:iCs/>
          <w:spacing w:val="-4"/>
          <w:szCs w:val="16"/>
        </w:rPr>
        <w:t xml:space="preserve">Cfr. Caso “La Última Tentación de Cristo” (Olmedo Bustos y otros) Vs. Chile. </w:t>
      </w:r>
      <w:r w:rsidR="40DDB40B" w:rsidRPr="00053304">
        <w:rPr>
          <w:rFonts w:ascii="Verdana" w:hAnsi="Verdana"/>
          <w:i/>
          <w:iCs/>
          <w:szCs w:val="16"/>
        </w:rPr>
        <w:t xml:space="preserve">Fondo, Reparaciones y Costas. </w:t>
      </w:r>
      <w:r w:rsidR="40DDB40B" w:rsidRPr="00053304">
        <w:rPr>
          <w:rFonts w:ascii="Verdana" w:hAnsi="Verdana"/>
          <w:szCs w:val="16"/>
        </w:rPr>
        <w:t>Sentencia de 5 de febrero de 2001. Serie C No. 73,</w:t>
      </w:r>
      <w:r w:rsidR="40DDB40B" w:rsidRPr="00053304">
        <w:rPr>
          <w:rFonts w:ascii="Verdana" w:hAnsi="Verdana"/>
          <w:spacing w:val="-4"/>
          <w:szCs w:val="16"/>
        </w:rPr>
        <w:t xml:space="preserve"> párr. 87</w:t>
      </w:r>
      <w:r w:rsidR="008A4C59" w:rsidRPr="00053304">
        <w:rPr>
          <w:rFonts w:ascii="Verdana" w:hAnsi="Verdana"/>
          <w:spacing w:val="-4"/>
          <w:szCs w:val="16"/>
        </w:rPr>
        <w:t>,</w:t>
      </w:r>
      <w:r w:rsidR="40DDB40B" w:rsidRPr="00053304">
        <w:rPr>
          <w:rFonts w:ascii="Verdana" w:hAnsi="Verdana"/>
          <w:spacing w:val="-4"/>
          <w:szCs w:val="16"/>
        </w:rPr>
        <w:t xml:space="preserve"> </w:t>
      </w:r>
      <w:r w:rsidR="008A4C59" w:rsidRPr="00053304">
        <w:rPr>
          <w:rFonts w:ascii="Verdana" w:hAnsi="Verdana"/>
          <w:spacing w:val="-4"/>
          <w:szCs w:val="16"/>
        </w:rPr>
        <w:t xml:space="preserve">y </w:t>
      </w:r>
      <w:r w:rsidR="008A4C59" w:rsidRPr="00053304">
        <w:rPr>
          <w:rFonts w:ascii="Verdana" w:hAnsi="Verdana"/>
          <w:szCs w:val="16"/>
        </w:rPr>
        <w:t xml:space="preserve"> </w:t>
      </w:r>
      <w:r w:rsidR="008A4C59" w:rsidRPr="00053304">
        <w:rPr>
          <w:rFonts w:ascii="Verdana" w:hAnsi="Verdana"/>
          <w:i/>
          <w:iCs/>
          <w:spacing w:val="-4"/>
          <w:szCs w:val="16"/>
        </w:rPr>
        <w:t>Caso Tzompaxtle Tecpile y otros Vs. México, supra</w:t>
      </w:r>
      <w:r w:rsidR="008A4C59" w:rsidRPr="00053304">
        <w:rPr>
          <w:rFonts w:ascii="Verdana" w:hAnsi="Verdana"/>
          <w:spacing w:val="-4"/>
          <w:szCs w:val="16"/>
        </w:rPr>
        <w:t>, párr. 117.</w:t>
      </w:r>
    </w:p>
  </w:footnote>
  <w:footnote w:id="179">
    <w:p w14:paraId="5D2DBE81" w14:textId="7AD0CB95" w:rsidR="00574250" w:rsidRPr="00053304" w:rsidRDefault="00574250"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cs="Calibri"/>
          <w:i/>
          <w:iCs/>
          <w:szCs w:val="16"/>
        </w:rPr>
        <w:t>Caso Castillo Petruzzi y otros vs. Perú, supra, párr. 207,</w:t>
      </w:r>
      <w:r w:rsidR="008A4C59" w:rsidRPr="00053304">
        <w:rPr>
          <w:rFonts w:ascii="Verdana" w:hAnsi="Verdana"/>
          <w:spacing w:val="-4"/>
          <w:szCs w:val="16"/>
        </w:rPr>
        <w:t xml:space="preserve"> y </w:t>
      </w:r>
      <w:r w:rsidR="008A4C59" w:rsidRPr="00053304">
        <w:rPr>
          <w:rFonts w:ascii="Verdana" w:hAnsi="Verdana"/>
          <w:szCs w:val="16"/>
        </w:rPr>
        <w:t xml:space="preserve"> </w:t>
      </w:r>
      <w:r w:rsidR="008A4C59" w:rsidRPr="00053304">
        <w:rPr>
          <w:rFonts w:ascii="Verdana" w:hAnsi="Verdana"/>
          <w:i/>
          <w:iCs/>
          <w:spacing w:val="-4"/>
          <w:szCs w:val="16"/>
        </w:rPr>
        <w:t>Caso Tzompaxtle Tecpile y otros Vs. México, supra</w:t>
      </w:r>
      <w:r w:rsidR="008A4C59" w:rsidRPr="00053304">
        <w:rPr>
          <w:rFonts w:ascii="Verdana" w:hAnsi="Verdana"/>
          <w:spacing w:val="-4"/>
          <w:szCs w:val="16"/>
        </w:rPr>
        <w:t>, párr. 117.</w:t>
      </w:r>
    </w:p>
  </w:footnote>
  <w:footnote w:id="180">
    <w:p w14:paraId="66166115" w14:textId="4301336D" w:rsidR="005D44C1" w:rsidRPr="00053304" w:rsidRDefault="005D44C1" w:rsidP="00053304">
      <w:pPr>
        <w:pStyle w:val="Textonotapie"/>
        <w:jc w:val="both"/>
        <w:rPr>
          <w:rFonts w:ascii="Verdana" w:hAnsi="Verdana"/>
          <w:szCs w:val="16"/>
          <w:lang w:val="es-ES"/>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lang w:val="es-ES"/>
        </w:rPr>
        <w:tab/>
      </w:r>
      <w:r w:rsidR="40DDB40B" w:rsidRPr="00053304">
        <w:rPr>
          <w:rFonts w:ascii="Verdana" w:hAnsi="Verdana"/>
          <w:i/>
          <w:iCs/>
          <w:szCs w:val="16"/>
          <w:lang w:val="es-ES"/>
        </w:rPr>
        <w:t xml:space="preserve">Cfr. Caso Tzompaxtle Tecpile y otro Vs. México, supra, </w:t>
      </w:r>
      <w:r w:rsidR="40DDB40B" w:rsidRPr="00053304">
        <w:rPr>
          <w:rFonts w:ascii="Verdana" w:hAnsi="Verdana"/>
          <w:szCs w:val="16"/>
          <w:lang w:val="es-ES"/>
        </w:rPr>
        <w:t xml:space="preserve">párrs. 156 y 157. </w:t>
      </w:r>
    </w:p>
  </w:footnote>
  <w:footnote w:id="181">
    <w:p w14:paraId="13BCEA17" w14:textId="53E36812" w:rsidR="00817812" w:rsidRPr="00053304" w:rsidRDefault="00817812"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00ED733D" w:rsidRPr="00053304">
        <w:rPr>
          <w:rFonts w:ascii="Verdana" w:hAnsi="Verdana"/>
          <w:szCs w:val="16"/>
        </w:rPr>
        <w:t>El</w:t>
      </w:r>
      <w:r w:rsidRPr="00053304">
        <w:rPr>
          <w:rFonts w:ascii="Verdana" w:hAnsi="Verdana"/>
          <w:szCs w:val="16"/>
        </w:rPr>
        <w:t xml:space="preserve"> Estado indicó durante la audiencia pública del presente caso: “Es que básicamente ya está instaurado, la figura del arraigo ha dejado en todos los Estados, de existir, la codificación procesal no contempla esa figura, me refiero a los Estados, ningún Estado impone una medida cautelar sin que exista una contradicción entre las partes, tiene que estar la defensa, tiene que estar el Ministerio Público, y sustentar las medidas cautelares, ya hay un catálogo robusto de medidas cautelares, entonces el juez es quien determina el arraigo propiamente, en los Estados no puede ser y es excepcional para la delincuencia organizada. Entonces, en este momento ya no podría haber un arraigo para el señor Daniel y para el señor Reyes”.</w:t>
      </w:r>
    </w:p>
  </w:footnote>
  <w:footnote w:id="182">
    <w:p w14:paraId="1DA0DD74" w14:textId="46194B0D" w:rsidR="003E77F3" w:rsidRPr="00053304" w:rsidRDefault="003E77F3" w:rsidP="00053304">
      <w:pPr>
        <w:pStyle w:val="Textonotapie"/>
        <w:jc w:val="both"/>
        <w:rPr>
          <w:rFonts w:ascii="Verdana" w:hAnsi="Verdana"/>
          <w:szCs w:val="16"/>
          <w:lang w:val="es-ES"/>
        </w:rPr>
      </w:pPr>
      <w:r w:rsidRPr="00053304">
        <w:rPr>
          <w:rStyle w:val="Refdenotaalpie"/>
          <w:rFonts w:ascii="Verdana" w:hAnsi="Verdana"/>
          <w:szCs w:val="16"/>
        </w:rPr>
        <w:footnoteRef/>
      </w:r>
      <w:r w:rsidR="40DDB40B" w:rsidRPr="00053304">
        <w:rPr>
          <w:rFonts w:ascii="Verdana" w:hAnsi="Verdana"/>
          <w:szCs w:val="16"/>
        </w:rPr>
        <w:t xml:space="preserve"> </w:t>
      </w:r>
      <w:r w:rsidRPr="00053304">
        <w:rPr>
          <w:rFonts w:ascii="Verdana" w:hAnsi="Verdana"/>
          <w:szCs w:val="16"/>
          <w:lang w:val="es-ES"/>
        </w:rPr>
        <w:tab/>
      </w:r>
      <w:r w:rsidR="40DDB40B" w:rsidRPr="00053304">
        <w:rPr>
          <w:rFonts w:ascii="Verdana" w:hAnsi="Verdana"/>
          <w:szCs w:val="16"/>
          <w:lang w:val="es-ES"/>
        </w:rPr>
        <w:t xml:space="preserve">En el caso </w:t>
      </w:r>
      <w:r w:rsidR="40DDB40B" w:rsidRPr="00053304">
        <w:rPr>
          <w:rFonts w:ascii="Verdana" w:hAnsi="Verdana"/>
          <w:i/>
          <w:iCs/>
          <w:szCs w:val="16"/>
          <w:lang w:val="es-ES"/>
        </w:rPr>
        <w:t xml:space="preserve">Tzompaxtle Tecpile y otro Vs. México </w:t>
      </w:r>
      <w:r w:rsidR="40DDB40B" w:rsidRPr="00053304">
        <w:rPr>
          <w:rFonts w:ascii="Verdana" w:hAnsi="Verdana"/>
          <w:szCs w:val="16"/>
          <w:lang w:val="es-ES"/>
        </w:rPr>
        <w:t xml:space="preserve">la Corte pudo comprobar que el arraigo sigue vigente en el artículo 12 de la Ley de Federal contra la Delincuencia Organizada. </w:t>
      </w:r>
      <w:r w:rsidR="40DDB40B" w:rsidRPr="00053304">
        <w:rPr>
          <w:rFonts w:ascii="Verdana" w:hAnsi="Verdana"/>
          <w:i/>
          <w:iCs/>
          <w:szCs w:val="16"/>
          <w:lang w:val="es-ES"/>
        </w:rPr>
        <w:t>Cfr. Caso Tzompaxtle Tecpile y otro Vs. México</w:t>
      </w:r>
      <w:r w:rsidR="40DDB40B" w:rsidRPr="00053304">
        <w:rPr>
          <w:rFonts w:ascii="Verdana" w:hAnsi="Verdana"/>
          <w:szCs w:val="16"/>
          <w:lang w:val="es-ES"/>
        </w:rPr>
        <w:t xml:space="preserve">, </w:t>
      </w:r>
      <w:r w:rsidR="40DDB40B" w:rsidRPr="00053304">
        <w:rPr>
          <w:rFonts w:ascii="Verdana" w:hAnsi="Verdana"/>
          <w:i/>
          <w:iCs/>
          <w:szCs w:val="16"/>
          <w:lang w:val="es-ES"/>
        </w:rPr>
        <w:t xml:space="preserve">supra, </w:t>
      </w:r>
      <w:r w:rsidR="40DDB40B" w:rsidRPr="00053304">
        <w:rPr>
          <w:rFonts w:ascii="Verdana" w:hAnsi="Verdana"/>
          <w:szCs w:val="16"/>
          <w:lang w:val="es-ES"/>
        </w:rPr>
        <w:t xml:space="preserve">párrs. 40 y 41. </w:t>
      </w:r>
    </w:p>
  </w:footnote>
  <w:footnote w:id="183">
    <w:p w14:paraId="0DDD9705" w14:textId="0EF08E60" w:rsidR="00817812" w:rsidRPr="00053304" w:rsidRDefault="00817812"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00ED733D" w:rsidRPr="00053304">
        <w:rPr>
          <w:rFonts w:ascii="Verdana" w:hAnsi="Verdana"/>
          <w:szCs w:val="16"/>
        </w:rPr>
        <w:t>El</w:t>
      </w:r>
      <w:r w:rsidRPr="00053304">
        <w:rPr>
          <w:rFonts w:ascii="Verdana" w:hAnsi="Verdana"/>
          <w:szCs w:val="16"/>
        </w:rPr>
        <w:t xml:space="preserve"> Estado indicó durante la audiencia pública del presente caso: “podemos observar que la ley de manera paulatina se ha venido reformando, permeando, los derechos fundamentales, como lo es la libertad, en ese sentido también se hace patente que una vez y como han transcurrido los años existen ya normas que nos permiten en el caso específico, en el código nacional que ya se unificó la manera en cómo debe ser impuesta una medida cautelar, que si privilegia el principio de contradicción”.</w:t>
      </w:r>
    </w:p>
  </w:footnote>
  <w:footnote w:id="184">
    <w:p w14:paraId="30323CE4" w14:textId="7BAD6B02" w:rsidR="00C1165C" w:rsidRPr="00053304" w:rsidRDefault="00C1165C"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Pr="00053304">
        <w:rPr>
          <w:rFonts w:ascii="Verdana" w:hAnsi="Verdana"/>
          <w:i/>
          <w:iCs/>
          <w:szCs w:val="16"/>
          <w:lang w:val="es-ES"/>
        </w:rPr>
        <w:t xml:space="preserve">Cfr. </w:t>
      </w:r>
      <w:r w:rsidRPr="00053304">
        <w:rPr>
          <w:rFonts w:ascii="Verdana" w:hAnsi="Verdana"/>
          <w:szCs w:val="16"/>
          <w:lang w:val="es-ES"/>
        </w:rPr>
        <w:t xml:space="preserve">Respuesta a preguntas por parte de la representación del Estado durante la Audiencia </w:t>
      </w:r>
      <w:r w:rsidR="00290BAE" w:rsidRPr="00053304">
        <w:rPr>
          <w:rFonts w:ascii="Verdana" w:hAnsi="Verdana"/>
          <w:szCs w:val="16"/>
          <w:lang w:val="es-ES"/>
        </w:rPr>
        <w:t>pública del</w:t>
      </w:r>
      <w:r w:rsidR="008E45C1" w:rsidRPr="00053304">
        <w:rPr>
          <w:rFonts w:ascii="Verdana" w:hAnsi="Verdana"/>
          <w:szCs w:val="16"/>
          <w:lang w:val="es-ES"/>
        </w:rPr>
        <w:t xml:space="preserve"> </w:t>
      </w:r>
      <w:r w:rsidR="00290BAE" w:rsidRPr="00053304">
        <w:rPr>
          <w:rFonts w:ascii="Verdana" w:hAnsi="Verdana"/>
          <w:szCs w:val="16"/>
          <w:lang w:val="es-ES"/>
        </w:rPr>
        <w:t>presente</w:t>
      </w:r>
      <w:r w:rsidRPr="00053304">
        <w:rPr>
          <w:rFonts w:ascii="Verdana" w:hAnsi="Verdana"/>
          <w:szCs w:val="16"/>
          <w:lang w:val="es-ES"/>
        </w:rPr>
        <w:t xml:space="preserve"> caso. </w:t>
      </w:r>
    </w:p>
  </w:footnote>
  <w:footnote w:id="185">
    <w:p w14:paraId="5E06E2F0" w14:textId="6EBC99CD" w:rsidR="00872A22" w:rsidRPr="00053304" w:rsidRDefault="00872A22" w:rsidP="00053304">
      <w:pPr>
        <w:pStyle w:val="Textonotapie"/>
        <w:jc w:val="both"/>
        <w:rPr>
          <w:rFonts w:ascii="Verdana" w:hAnsi="Verdana"/>
          <w:szCs w:val="16"/>
          <w:lang w:val="pt-BR"/>
        </w:rPr>
      </w:pPr>
      <w:r w:rsidRPr="00053304">
        <w:rPr>
          <w:rStyle w:val="Refdenotaalpie"/>
          <w:rFonts w:ascii="Verdana" w:hAnsi="Verdana"/>
          <w:szCs w:val="16"/>
        </w:rPr>
        <w:footnoteRef/>
      </w:r>
      <w:r w:rsidR="40DDB40B" w:rsidRPr="00602907">
        <w:rPr>
          <w:rFonts w:ascii="Verdana" w:hAnsi="Verdana"/>
          <w:szCs w:val="16"/>
          <w:lang w:val="pt-BR"/>
        </w:rPr>
        <w:t xml:space="preserve"> </w:t>
      </w:r>
      <w:r w:rsidRPr="00602907">
        <w:rPr>
          <w:rFonts w:ascii="Verdana" w:hAnsi="Verdana"/>
          <w:szCs w:val="16"/>
          <w:lang w:val="pt-BR"/>
        </w:rPr>
        <w:tab/>
      </w:r>
      <w:r w:rsidR="40DDB40B" w:rsidRPr="00602907">
        <w:rPr>
          <w:rFonts w:ascii="Verdana" w:hAnsi="Verdana"/>
          <w:i/>
          <w:iCs/>
          <w:szCs w:val="16"/>
          <w:lang w:val="pt-BR"/>
        </w:rPr>
        <w:t xml:space="preserve">Cfr. </w:t>
      </w:r>
      <w:r w:rsidR="00C13E68" w:rsidRPr="00602907">
        <w:rPr>
          <w:rFonts w:ascii="Verdana" w:hAnsi="Verdana"/>
          <w:i/>
          <w:iCs/>
          <w:szCs w:val="16"/>
          <w:lang w:val="pt-BR"/>
        </w:rPr>
        <w:t xml:space="preserve">Caso </w:t>
      </w:r>
      <w:r w:rsidR="40DDB40B" w:rsidRPr="00602907">
        <w:rPr>
          <w:rFonts w:ascii="Verdana" w:hAnsi="Verdana"/>
          <w:i/>
          <w:iCs/>
          <w:szCs w:val="16"/>
          <w:lang w:val="pt-BR"/>
        </w:rPr>
        <w:t xml:space="preserve">Tzompaxtle Tecpile Vs. México, supra, </w:t>
      </w:r>
      <w:r w:rsidR="40DDB40B" w:rsidRPr="00602907">
        <w:rPr>
          <w:rFonts w:ascii="Verdana" w:hAnsi="Verdana"/>
          <w:szCs w:val="16"/>
          <w:lang w:val="pt-BR"/>
        </w:rPr>
        <w:t>párr. 95</w:t>
      </w:r>
      <w:r w:rsidR="40DDB40B" w:rsidRPr="00602907">
        <w:rPr>
          <w:rFonts w:ascii="Verdana" w:hAnsi="Verdana"/>
          <w:i/>
          <w:iCs/>
          <w:szCs w:val="16"/>
          <w:lang w:val="pt-BR"/>
        </w:rPr>
        <w:t xml:space="preserve">. </w:t>
      </w:r>
    </w:p>
  </w:footnote>
  <w:footnote w:id="186">
    <w:p w14:paraId="5B21A096" w14:textId="42A6CF47" w:rsidR="00872A22" w:rsidRPr="00053304" w:rsidRDefault="00872A22"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lang w:val="pt-BR"/>
        </w:rPr>
        <w:t xml:space="preserve"> </w:t>
      </w:r>
      <w:r w:rsidRPr="00053304">
        <w:rPr>
          <w:rFonts w:ascii="Verdana" w:hAnsi="Verdana"/>
          <w:szCs w:val="16"/>
          <w:lang w:val="pt-BR"/>
        </w:rPr>
        <w:tab/>
      </w:r>
      <w:r w:rsidR="7CDFE7CF" w:rsidRPr="00053304">
        <w:rPr>
          <w:rFonts w:ascii="Verdana" w:hAnsi="Verdana"/>
          <w:i/>
          <w:iCs/>
          <w:szCs w:val="16"/>
          <w:lang w:val="pt-BR"/>
        </w:rPr>
        <w:t xml:space="preserve">Cfr. Caso Gangaram Panday Vs. </w:t>
      </w:r>
      <w:r w:rsidR="7CDFE7CF" w:rsidRPr="00602907">
        <w:rPr>
          <w:rFonts w:ascii="Verdana" w:hAnsi="Verdana"/>
          <w:i/>
          <w:iCs/>
          <w:szCs w:val="16"/>
          <w:lang w:val="es-CR"/>
        </w:rPr>
        <w:t xml:space="preserve">Surinam. </w:t>
      </w:r>
      <w:r w:rsidR="7CDFE7CF" w:rsidRPr="00053304">
        <w:rPr>
          <w:rFonts w:ascii="Verdana" w:hAnsi="Verdana"/>
          <w:i/>
          <w:iCs/>
          <w:szCs w:val="16"/>
        </w:rPr>
        <w:t>Fondo, Reparaciones y Costas.</w:t>
      </w:r>
      <w:r w:rsidR="7CDFE7CF" w:rsidRPr="00053304">
        <w:rPr>
          <w:rFonts w:ascii="Verdana" w:hAnsi="Verdana"/>
          <w:szCs w:val="16"/>
        </w:rPr>
        <w:t xml:space="preserve"> Sentencia de 21 de enero de 1994. Serie C No. 16, párr. 47</w:t>
      </w:r>
      <w:r w:rsidR="3BF92891" w:rsidRPr="00053304">
        <w:rPr>
          <w:rFonts w:ascii="Verdana" w:hAnsi="Verdana"/>
          <w:szCs w:val="16"/>
        </w:rPr>
        <w:t>;</w:t>
      </w:r>
      <w:r w:rsidR="7CDFE7CF" w:rsidRPr="00053304">
        <w:rPr>
          <w:rFonts w:ascii="Verdana" w:hAnsi="Verdana"/>
          <w:szCs w:val="16"/>
        </w:rPr>
        <w:t xml:space="preserve"> </w:t>
      </w:r>
      <w:r w:rsidR="7CDFE7CF" w:rsidRPr="00053304">
        <w:rPr>
          <w:rFonts w:ascii="Verdana" w:hAnsi="Verdana"/>
          <w:i/>
          <w:iCs/>
          <w:szCs w:val="16"/>
        </w:rPr>
        <w:t>Caso Amrhein y otros Vs. Costa Rica</w:t>
      </w:r>
      <w:r w:rsidR="3BF92891" w:rsidRPr="00053304">
        <w:rPr>
          <w:rFonts w:ascii="Verdana" w:hAnsi="Verdana"/>
          <w:i/>
          <w:iCs/>
          <w:szCs w:val="16"/>
        </w:rPr>
        <w:t>.</w:t>
      </w:r>
      <w:r w:rsidR="7CDFE7CF" w:rsidRPr="00053304">
        <w:rPr>
          <w:rFonts w:ascii="Verdana" w:hAnsi="Verdana"/>
          <w:szCs w:val="16"/>
        </w:rPr>
        <w:t xml:space="preserve"> </w:t>
      </w:r>
      <w:r w:rsidR="3BF92891" w:rsidRPr="00053304">
        <w:rPr>
          <w:rFonts w:ascii="Verdana" w:hAnsi="Verdana"/>
          <w:i/>
          <w:iCs/>
          <w:szCs w:val="16"/>
        </w:rPr>
        <w:t>Excepciones Preliminares, Fondo, Reparaciones y Costas.</w:t>
      </w:r>
      <w:r w:rsidR="3BF92891" w:rsidRPr="00053304">
        <w:rPr>
          <w:rFonts w:ascii="Verdana" w:hAnsi="Verdana"/>
          <w:szCs w:val="16"/>
        </w:rPr>
        <w:t xml:space="preserve"> Sentencia de 25 de abril de 2018. Serie C No. 354, </w:t>
      </w:r>
      <w:r w:rsidR="7CDFE7CF" w:rsidRPr="00053304">
        <w:rPr>
          <w:rFonts w:ascii="Verdana" w:hAnsi="Verdana"/>
          <w:szCs w:val="16"/>
        </w:rPr>
        <w:t xml:space="preserve">párr. 355; </w:t>
      </w:r>
      <w:r w:rsidR="7CDFE7CF" w:rsidRPr="00053304">
        <w:rPr>
          <w:rFonts w:ascii="Verdana" w:hAnsi="Verdana"/>
          <w:i/>
          <w:iCs/>
          <w:szCs w:val="16"/>
        </w:rPr>
        <w:t>Caso Romero Feris Vs. Argentina. Fondo, Reparaciones y Costas</w:t>
      </w:r>
      <w:r w:rsidR="7CDFE7CF" w:rsidRPr="00053304">
        <w:rPr>
          <w:rFonts w:ascii="Verdana" w:hAnsi="Verdana"/>
          <w:szCs w:val="16"/>
        </w:rPr>
        <w:t>. Sentencia de 15 de octubre de 2019. Serie C No. 391, párr. 91</w:t>
      </w:r>
      <w:r w:rsidR="006F10C6" w:rsidRPr="00053304">
        <w:rPr>
          <w:rFonts w:ascii="Verdana" w:hAnsi="Verdana"/>
          <w:szCs w:val="16"/>
        </w:rPr>
        <w:t>;</w:t>
      </w:r>
      <w:r w:rsidR="7CDFE7CF" w:rsidRPr="00053304">
        <w:rPr>
          <w:rFonts w:ascii="Verdana" w:hAnsi="Verdana"/>
          <w:szCs w:val="16"/>
        </w:rPr>
        <w:t xml:space="preserve"> </w:t>
      </w:r>
      <w:r w:rsidR="3BF92891" w:rsidRPr="00053304">
        <w:rPr>
          <w:rFonts w:ascii="Verdana" w:hAnsi="Verdana"/>
          <w:i/>
          <w:iCs/>
          <w:szCs w:val="16"/>
        </w:rPr>
        <w:t xml:space="preserve">Caso </w:t>
      </w:r>
      <w:r w:rsidR="7CDFE7CF" w:rsidRPr="00053304">
        <w:rPr>
          <w:rFonts w:ascii="Verdana" w:hAnsi="Verdana"/>
          <w:i/>
          <w:iCs/>
          <w:szCs w:val="16"/>
        </w:rPr>
        <w:t>Tzompaxtle</w:t>
      </w:r>
      <w:r w:rsidR="3BF92891" w:rsidRPr="00053304">
        <w:rPr>
          <w:rFonts w:ascii="Verdana" w:hAnsi="Verdana"/>
          <w:i/>
          <w:iCs/>
          <w:szCs w:val="16"/>
        </w:rPr>
        <w:t xml:space="preserve"> Tecpile y otros Vs, México, supra</w:t>
      </w:r>
      <w:r w:rsidR="7CDFE7CF" w:rsidRPr="00053304">
        <w:rPr>
          <w:rFonts w:ascii="Verdana" w:hAnsi="Verdana"/>
          <w:szCs w:val="16"/>
        </w:rPr>
        <w:t xml:space="preserve">, párr. 96, y </w:t>
      </w:r>
      <w:r w:rsidR="3BF92891" w:rsidRPr="00053304">
        <w:rPr>
          <w:rFonts w:ascii="Verdana" w:eastAsia="Verdana" w:hAnsi="Verdana" w:cs="Verdana"/>
          <w:i/>
          <w:iCs/>
          <w:szCs w:val="16"/>
        </w:rPr>
        <w:t>Caso Villarroel Merino y otros Vs. Ecuador. Excepciones preliminares, Fondo, Reparaciones y Costas.</w:t>
      </w:r>
      <w:r w:rsidR="3BF92891" w:rsidRPr="00053304">
        <w:rPr>
          <w:rFonts w:ascii="Verdana" w:eastAsia="Verdana" w:hAnsi="Verdana" w:cs="Verdana"/>
          <w:szCs w:val="16"/>
        </w:rPr>
        <w:t xml:space="preserve"> Sentencia de 24 de agosto de 2021. Serie C No. 430, párr. 86</w:t>
      </w:r>
      <w:r w:rsidR="7CDFE7CF" w:rsidRPr="00053304">
        <w:rPr>
          <w:rFonts w:ascii="Verdana" w:hAnsi="Verdana"/>
          <w:szCs w:val="16"/>
        </w:rPr>
        <w:t>.</w:t>
      </w:r>
    </w:p>
  </w:footnote>
  <w:footnote w:id="187">
    <w:p w14:paraId="341A7F6C" w14:textId="7F87FABB" w:rsidR="00872A22" w:rsidRPr="00053304" w:rsidRDefault="00872A22"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 Caso Chaparro Álvarez y Lapo Íñiguez Vs. Ecuador</w:t>
      </w:r>
      <w:r w:rsidR="7CDFE7CF" w:rsidRPr="00053304">
        <w:rPr>
          <w:rFonts w:ascii="Verdana" w:hAnsi="Verdana"/>
          <w:szCs w:val="16"/>
        </w:rPr>
        <w:t xml:space="preserve">, </w:t>
      </w:r>
      <w:r w:rsidR="3BF92891" w:rsidRPr="00053304">
        <w:rPr>
          <w:rFonts w:ascii="Verdana" w:hAnsi="Verdana"/>
          <w:i/>
          <w:iCs/>
          <w:szCs w:val="16"/>
        </w:rPr>
        <w:t>Excepciones</w:t>
      </w:r>
      <w:r w:rsidR="3BF92891" w:rsidRPr="00053304">
        <w:rPr>
          <w:rFonts w:ascii="Verdana" w:hAnsi="Verdana"/>
          <w:szCs w:val="16"/>
        </w:rPr>
        <w:t xml:space="preserve"> </w:t>
      </w:r>
      <w:r w:rsidR="3BF92891" w:rsidRPr="00053304">
        <w:rPr>
          <w:rFonts w:ascii="Verdana" w:hAnsi="Verdana"/>
          <w:i/>
          <w:iCs/>
          <w:szCs w:val="16"/>
        </w:rPr>
        <w:t>Preliminares</w:t>
      </w:r>
      <w:r w:rsidR="3BF92891" w:rsidRPr="00053304">
        <w:rPr>
          <w:rFonts w:ascii="Verdana" w:hAnsi="Verdana"/>
          <w:szCs w:val="16"/>
        </w:rPr>
        <w:t xml:space="preserve">, </w:t>
      </w:r>
      <w:r w:rsidR="3BF92891" w:rsidRPr="00053304">
        <w:rPr>
          <w:rFonts w:ascii="Verdana" w:hAnsi="Verdana"/>
          <w:i/>
          <w:iCs/>
          <w:szCs w:val="16"/>
        </w:rPr>
        <w:t>Fondo, Reparaciones y Costas, supra,</w:t>
      </w:r>
      <w:r w:rsidR="3BF92891" w:rsidRPr="00053304">
        <w:rPr>
          <w:rFonts w:ascii="Verdana" w:hAnsi="Verdana"/>
          <w:szCs w:val="16"/>
        </w:rPr>
        <w:t xml:space="preserve"> </w:t>
      </w:r>
      <w:r w:rsidR="7CDFE7CF" w:rsidRPr="00053304">
        <w:rPr>
          <w:rFonts w:ascii="Verdana" w:hAnsi="Verdana"/>
          <w:szCs w:val="16"/>
        </w:rPr>
        <w:t>párr. 92</w:t>
      </w:r>
      <w:r w:rsidR="00953615" w:rsidRPr="00053304">
        <w:rPr>
          <w:rFonts w:ascii="Verdana" w:hAnsi="Verdana"/>
          <w:szCs w:val="16"/>
        </w:rPr>
        <w:t xml:space="preserve">; </w:t>
      </w:r>
      <w:r w:rsidR="7CDFE7CF" w:rsidRPr="00053304">
        <w:rPr>
          <w:rFonts w:ascii="Verdana" w:hAnsi="Verdana"/>
          <w:i/>
          <w:iCs/>
          <w:szCs w:val="16"/>
        </w:rPr>
        <w:t>Caso Amrhein y otros Vs. Costa Rica</w:t>
      </w:r>
      <w:r w:rsidR="7CDFE7CF" w:rsidRPr="00053304">
        <w:rPr>
          <w:rFonts w:ascii="Verdana" w:hAnsi="Verdana"/>
          <w:szCs w:val="16"/>
        </w:rPr>
        <w:t xml:space="preserve">, </w:t>
      </w:r>
      <w:r w:rsidR="3BF92891" w:rsidRPr="00053304">
        <w:rPr>
          <w:rFonts w:ascii="Verdana" w:hAnsi="Verdana"/>
          <w:i/>
          <w:iCs/>
          <w:szCs w:val="16"/>
        </w:rPr>
        <w:t xml:space="preserve">supra, </w:t>
      </w:r>
      <w:r w:rsidR="7CDFE7CF" w:rsidRPr="00053304">
        <w:rPr>
          <w:rFonts w:ascii="Verdana" w:hAnsi="Verdana"/>
          <w:szCs w:val="16"/>
        </w:rPr>
        <w:t xml:space="preserve">párr. 355, y </w:t>
      </w:r>
      <w:r w:rsidR="7CDFE7CF" w:rsidRPr="00053304">
        <w:rPr>
          <w:rFonts w:ascii="Verdana" w:hAnsi="Verdana"/>
          <w:i/>
          <w:iCs/>
          <w:szCs w:val="16"/>
        </w:rPr>
        <w:t>Caso Romero Feris Vs. Argentina</w:t>
      </w:r>
      <w:r w:rsidR="3BF92891" w:rsidRPr="00053304">
        <w:rPr>
          <w:rFonts w:ascii="Verdana" w:hAnsi="Verdana"/>
          <w:i/>
          <w:iCs/>
          <w:szCs w:val="16"/>
        </w:rPr>
        <w:t>, supra</w:t>
      </w:r>
      <w:r w:rsidR="7CDFE7CF" w:rsidRPr="00053304">
        <w:rPr>
          <w:rFonts w:ascii="Verdana" w:hAnsi="Verdana"/>
          <w:szCs w:val="16"/>
        </w:rPr>
        <w:t xml:space="preserve">, párr. 91, y </w:t>
      </w:r>
      <w:r w:rsidR="3BF92891" w:rsidRPr="00053304">
        <w:rPr>
          <w:rFonts w:ascii="Verdana" w:hAnsi="Verdana"/>
          <w:i/>
          <w:iCs/>
          <w:szCs w:val="16"/>
        </w:rPr>
        <w:t>Caso</w:t>
      </w:r>
      <w:r w:rsidR="3BF92891" w:rsidRPr="00053304">
        <w:rPr>
          <w:rFonts w:ascii="Verdana" w:hAnsi="Verdana"/>
          <w:szCs w:val="16"/>
        </w:rPr>
        <w:t xml:space="preserve"> </w:t>
      </w:r>
      <w:r w:rsidR="7CDFE7CF" w:rsidRPr="00053304">
        <w:rPr>
          <w:rFonts w:ascii="Verdana" w:hAnsi="Verdana"/>
          <w:i/>
          <w:iCs/>
          <w:szCs w:val="16"/>
        </w:rPr>
        <w:t>Tzompaxtle</w:t>
      </w:r>
      <w:r w:rsidR="7CDFE7CF" w:rsidRPr="00053304">
        <w:rPr>
          <w:rFonts w:ascii="Verdana" w:hAnsi="Verdana"/>
          <w:szCs w:val="16"/>
        </w:rPr>
        <w:t xml:space="preserve">, </w:t>
      </w:r>
      <w:r w:rsidR="3BF92891" w:rsidRPr="00053304">
        <w:rPr>
          <w:rFonts w:ascii="Verdana" w:hAnsi="Verdana"/>
          <w:i/>
          <w:iCs/>
          <w:szCs w:val="16"/>
        </w:rPr>
        <w:t>Tecpile y otros Vs, México, supra</w:t>
      </w:r>
      <w:r w:rsidR="3BF92891" w:rsidRPr="00053304">
        <w:rPr>
          <w:rFonts w:ascii="Verdana" w:hAnsi="Verdana"/>
          <w:szCs w:val="16"/>
        </w:rPr>
        <w:t xml:space="preserve">, </w:t>
      </w:r>
      <w:r w:rsidR="7CDFE7CF" w:rsidRPr="00053304">
        <w:rPr>
          <w:rFonts w:ascii="Verdana" w:hAnsi="Verdana"/>
          <w:szCs w:val="16"/>
        </w:rPr>
        <w:t xml:space="preserve">párr. 96. </w:t>
      </w:r>
    </w:p>
  </w:footnote>
  <w:footnote w:id="188">
    <w:p w14:paraId="77971F68" w14:textId="4A36C2CE" w:rsidR="00872A22" w:rsidRPr="00053304" w:rsidRDefault="00872A22" w:rsidP="00053304">
      <w:pPr>
        <w:pStyle w:val="Textonotapie"/>
        <w:jc w:val="both"/>
        <w:rPr>
          <w:rFonts w:ascii="Verdana" w:hAnsi="Verdana"/>
          <w:szCs w:val="16"/>
          <w:lang w:val="es-CR"/>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szCs w:val="16"/>
        </w:rPr>
        <w:t>Cfr. Caso Servellón García y otros Vs. Honduras. Excepción Preliminar, Fondo, Reparaciones y Costas.</w:t>
      </w:r>
      <w:r w:rsidR="7CDFE7CF" w:rsidRPr="00053304">
        <w:rPr>
          <w:rFonts w:ascii="Verdana" w:hAnsi="Verdana"/>
          <w:i/>
          <w:iCs/>
          <w:szCs w:val="16"/>
        </w:rPr>
        <w:t xml:space="preserve"> Sentencia de 21 de septiembre de 2006. Serie C No. 152, párr. 89;</w:t>
      </w:r>
      <w:r w:rsidR="7CDFE7CF" w:rsidRPr="00053304">
        <w:rPr>
          <w:rFonts w:ascii="Verdana" w:hAnsi="Verdana"/>
          <w:szCs w:val="16"/>
        </w:rPr>
        <w:t xml:space="preserve"> </w:t>
      </w:r>
      <w:r w:rsidR="7CDFE7CF" w:rsidRPr="00053304">
        <w:rPr>
          <w:rFonts w:ascii="Verdana" w:hAnsi="Verdana"/>
          <w:i/>
          <w:iCs/>
          <w:szCs w:val="16"/>
        </w:rPr>
        <w:t xml:space="preserve">Caso Mujeres Víctimas de Tortura Sexual en Atenco Vs. </w:t>
      </w:r>
      <w:r w:rsidR="00037B35" w:rsidRPr="00053304">
        <w:rPr>
          <w:rFonts w:ascii="Verdana" w:hAnsi="Verdana"/>
          <w:i/>
          <w:iCs/>
          <w:szCs w:val="16"/>
        </w:rPr>
        <w:t>México,</w:t>
      </w:r>
      <w:r w:rsidR="7CDFE7CF" w:rsidRPr="00053304">
        <w:rPr>
          <w:rFonts w:ascii="Verdana" w:hAnsi="Verdana"/>
          <w:szCs w:val="16"/>
          <w:lang w:val="es-CR"/>
        </w:rPr>
        <w:t xml:space="preserve"> </w:t>
      </w:r>
      <w:r w:rsidR="7CDFE7CF" w:rsidRPr="00053304">
        <w:rPr>
          <w:rFonts w:ascii="Verdana" w:hAnsi="Verdana"/>
          <w:i/>
          <w:iCs/>
          <w:szCs w:val="16"/>
          <w:lang w:val="es-CR"/>
        </w:rPr>
        <w:t>supra</w:t>
      </w:r>
      <w:r w:rsidR="7CDFE7CF" w:rsidRPr="00053304">
        <w:rPr>
          <w:rFonts w:ascii="Verdana" w:hAnsi="Verdana"/>
          <w:szCs w:val="16"/>
          <w:lang w:val="es-CR"/>
        </w:rPr>
        <w:t xml:space="preserve">, párr. 251; </w:t>
      </w:r>
      <w:r w:rsidR="7CDFE7CF" w:rsidRPr="00053304">
        <w:rPr>
          <w:rFonts w:ascii="Verdana" w:hAnsi="Verdana"/>
          <w:i/>
          <w:iCs/>
          <w:szCs w:val="16"/>
        </w:rPr>
        <w:t>Caso Romero Feris Vs. Argentina., supra,</w:t>
      </w:r>
      <w:r w:rsidR="7CDFE7CF" w:rsidRPr="00053304">
        <w:rPr>
          <w:rFonts w:ascii="Verdana" w:hAnsi="Verdana"/>
          <w:szCs w:val="16"/>
        </w:rPr>
        <w:t xml:space="preserve"> párr. </w:t>
      </w:r>
      <w:r w:rsidR="7CDFE7CF" w:rsidRPr="00053304">
        <w:rPr>
          <w:rFonts w:ascii="Verdana" w:hAnsi="Verdana"/>
          <w:szCs w:val="16"/>
          <w:lang w:val="es-CR"/>
        </w:rPr>
        <w:t xml:space="preserve">92, y Caso </w:t>
      </w:r>
      <w:r w:rsidR="7CDFE7CF" w:rsidRPr="00053304">
        <w:rPr>
          <w:rFonts w:ascii="Verdana" w:hAnsi="Verdana"/>
          <w:i/>
          <w:iCs/>
          <w:szCs w:val="16"/>
        </w:rPr>
        <w:t>Tzompaxtle Tecpile y otros Vs, México, supra</w:t>
      </w:r>
      <w:r w:rsidR="7CDFE7CF" w:rsidRPr="00053304">
        <w:rPr>
          <w:rFonts w:ascii="Verdana" w:hAnsi="Verdana"/>
          <w:szCs w:val="16"/>
        </w:rPr>
        <w:t>, párr. 97.</w:t>
      </w:r>
    </w:p>
  </w:footnote>
  <w:footnote w:id="189">
    <w:p w14:paraId="7B9CDC6D" w14:textId="533B1C23" w:rsidR="00872A22" w:rsidRPr="00053304" w:rsidRDefault="00872A22" w:rsidP="00053304">
      <w:pPr>
        <w:pStyle w:val="Textonotapie"/>
        <w:jc w:val="both"/>
        <w:rPr>
          <w:rFonts w:ascii="Verdana" w:hAnsi="Verdana"/>
          <w:szCs w:val="16"/>
        </w:rPr>
      </w:pPr>
      <w:r w:rsidRPr="00053304">
        <w:rPr>
          <w:rStyle w:val="Refdenotaalpie"/>
          <w:rFonts w:ascii="Verdana" w:hAnsi="Verdana"/>
          <w:szCs w:val="16"/>
        </w:rPr>
        <w:footnoteRef/>
      </w:r>
      <w:r w:rsidR="7CDFE7CF" w:rsidRPr="00602907">
        <w:rPr>
          <w:rFonts w:ascii="Verdana" w:hAnsi="Verdana"/>
          <w:szCs w:val="16"/>
          <w:lang w:val="es-CR"/>
        </w:rPr>
        <w:t xml:space="preserve"> </w:t>
      </w:r>
      <w:r w:rsidRPr="00602907">
        <w:rPr>
          <w:rFonts w:ascii="Verdana" w:hAnsi="Verdana"/>
          <w:szCs w:val="16"/>
          <w:lang w:val="es-CR"/>
        </w:rPr>
        <w:tab/>
      </w:r>
      <w:r w:rsidR="7CDFE7CF" w:rsidRPr="00602907">
        <w:rPr>
          <w:rFonts w:ascii="Verdana" w:hAnsi="Verdana"/>
          <w:i/>
          <w:iCs/>
          <w:szCs w:val="16"/>
          <w:lang w:val="es-CR"/>
        </w:rPr>
        <w:t xml:space="preserve">Cfr. Caso Palamara Iribarne Vs. </w:t>
      </w:r>
      <w:r w:rsidR="7CDFE7CF" w:rsidRPr="00053304">
        <w:rPr>
          <w:rFonts w:ascii="Verdana" w:hAnsi="Verdana"/>
          <w:i/>
          <w:iCs/>
          <w:szCs w:val="16"/>
        </w:rPr>
        <w:t>Chile. Fondo, Reparaciones y Costas</w:t>
      </w:r>
      <w:r w:rsidR="7CDFE7CF" w:rsidRPr="00053304">
        <w:rPr>
          <w:rFonts w:ascii="Verdana" w:hAnsi="Verdana"/>
          <w:szCs w:val="16"/>
        </w:rPr>
        <w:t xml:space="preserve">. Sentencia de 22 de noviembre de 2005. Serie C No. 135, párr. 197; </w:t>
      </w:r>
      <w:r w:rsidR="7CDFE7CF" w:rsidRPr="00053304">
        <w:rPr>
          <w:rFonts w:ascii="Verdana" w:hAnsi="Verdana"/>
          <w:i/>
          <w:iCs/>
          <w:szCs w:val="16"/>
        </w:rPr>
        <w:t xml:space="preserve">Caso Mujeres Víctimas de Tortura Sexual en Atenco Vs. México, supra, </w:t>
      </w:r>
      <w:r w:rsidR="7CDFE7CF" w:rsidRPr="00053304">
        <w:rPr>
          <w:rFonts w:ascii="Verdana" w:hAnsi="Verdana"/>
          <w:szCs w:val="16"/>
        </w:rPr>
        <w:t xml:space="preserve">párr. 251; </w:t>
      </w:r>
      <w:r w:rsidR="7CDFE7CF" w:rsidRPr="00053304">
        <w:rPr>
          <w:rFonts w:ascii="Verdana" w:hAnsi="Verdana"/>
          <w:i/>
          <w:iCs/>
          <w:szCs w:val="16"/>
        </w:rPr>
        <w:t xml:space="preserve">Caso Romero Feris Vs. Argentina, supra, </w:t>
      </w:r>
      <w:r w:rsidR="7CDFE7CF" w:rsidRPr="00053304">
        <w:rPr>
          <w:rFonts w:ascii="Verdana" w:hAnsi="Verdana"/>
          <w:szCs w:val="16"/>
        </w:rPr>
        <w:t xml:space="preserve">párr. 92, y </w:t>
      </w:r>
      <w:r w:rsidR="7CDFE7CF" w:rsidRPr="00053304">
        <w:rPr>
          <w:rFonts w:ascii="Verdana" w:hAnsi="Verdana"/>
          <w:i/>
          <w:iCs/>
          <w:szCs w:val="16"/>
        </w:rPr>
        <w:t xml:space="preserve">Caso Tzompaxtle Tecpile Vs. México, supra, </w:t>
      </w:r>
      <w:r w:rsidR="7CDFE7CF" w:rsidRPr="00053304">
        <w:rPr>
          <w:rFonts w:ascii="Verdana" w:hAnsi="Verdana"/>
          <w:szCs w:val="16"/>
        </w:rPr>
        <w:t>párr. 96.</w:t>
      </w:r>
    </w:p>
  </w:footnote>
  <w:footnote w:id="190">
    <w:p w14:paraId="4BC14758" w14:textId="1B005748" w:rsidR="00872A22" w:rsidRPr="00053304" w:rsidRDefault="00872A22"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Caso García Asto y Ramírez Rojas Vs. Perú. Excepción Preliminar, Fondo, Reparaciones y Costas. </w:t>
      </w:r>
      <w:r w:rsidR="7CDFE7CF" w:rsidRPr="00053304">
        <w:rPr>
          <w:rFonts w:ascii="Verdana" w:hAnsi="Verdana"/>
          <w:szCs w:val="16"/>
        </w:rPr>
        <w:t>Sentencia de 25 de noviembre de 2005. Serie C No. 137, párr. 128;</w:t>
      </w:r>
      <w:r w:rsidR="00795815" w:rsidRPr="00053304">
        <w:rPr>
          <w:rFonts w:ascii="Verdana" w:hAnsi="Verdana"/>
          <w:szCs w:val="16"/>
        </w:rPr>
        <w:t xml:space="preserve"> </w:t>
      </w:r>
      <w:r w:rsidR="7CDFE7CF" w:rsidRPr="00053304">
        <w:rPr>
          <w:rFonts w:ascii="Verdana" w:hAnsi="Verdana"/>
          <w:i/>
          <w:iCs/>
          <w:szCs w:val="16"/>
        </w:rPr>
        <w:t xml:space="preserve">Caso Romero Feris Vs. Argentina, supra, </w:t>
      </w:r>
      <w:r w:rsidR="7CDFE7CF" w:rsidRPr="00053304">
        <w:rPr>
          <w:rFonts w:ascii="Verdana" w:hAnsi="Verdana"/>
          <w:szCs w:val="16"/>
        </w:rPr>
        <w:t>párr. 92, y</w:t>
      </w:r>
      <w:r w:rsidR="7CDFE7CF" w:rsidRPr="00053304">
        <w:rPr>
          <w:rFonts w:ascii="Verdana" w:hAnsi="Verdana"/>
          <w:i/>
          <w:iCs/>
          <w:szCs w:val="16"/>
        </w:rPr>
        <w:t xml:space="preserve"> Caso Tzompaxtle Tecpile Vs. México, supra</w:t>
      </w:r>
      <w:r w:rsidR="7CDFE7CF" w:rsidRPr="00053304">
        <w:rPr>
          <w:rFonts w:ascii="Verdana" w:hAnsi="Verdana"/>
          <w:szCs w:val="16"/>
        </w:rPr>
        <w:t>, párr. 96.</w:t>
      </w:r>
    </w:p>
  </w:footnote>
  <w:footnote w:id="191">
    <w:p w14:paraId="120B15AF" w14:textId="16FB959B" w:rsidR="00D054B0" w:rsidRPr="00053304" w:rsidRDefault="00D054B0"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 Caso López Álvarez Vs. Honduras. Fondo, Reparaciones y Costas</w:t>
      </w:r>
      <w:r w:rsidR="7CDFE7CF" w:rsidRPr="00053304">
        <w:rPr>
          <w:rFonts w:ascii="Verdana" w:hAnsi="Verdana"/>
          <w:szCs w:val="16"/>
        </w:rPr>
        <w:t xml:space="preserve">. Sentencia de 1 de febrero de 2006. Serie C No. 141, párr. 69, </w:t>
      </w:r>
      <w:r w:rsidR="006F10C6" w:rsidRPr="00053304">
        <w:rPr>
          <w:rFonts w:ascii="Verdana" w:hAnsi="Verdana"/>
          <w:szCs w:val="16"/>
        </w:rPr>
        <w:t xml:space="preserve">y </w:t>
      </w:r>
      <w:r w:rsidR="006F10C6" w:rsidRPr="00053304">
        <w:rPr>
          <w:rFonts w:ascii="Verdana" w:hAnsi="Verdana"/>
          <w:i/>
          <w:iCs/>
          <w:szCs w:val="16"/>
        </w:rPr>
        <w:t>Caso</w:t>
      </w:r>
      <w:r w:rsidR="006F10C6" w:rsidRPr="00053304">
        <w:rPr>
          <w:rFonts w:ascii="Verdana" w:hAnsi="Verdana"/>
          <w:szCs w:val="16"/>
        </w:rPr>
        <w:t xml:space="preserve"> </w:t>
      </w:r>
      <w:r w:rsidR="006F10C6" w:rsidRPr="00053304">
        <w:rPr>
          <w:rFonts w:ascii="Verdana" w:hAnsi="Verdana"/>
          <w:i/>
          <w:iCs/>
          <w:szCs w:val="16"/>
        </w:rPr>
        <w:t>Tzompaxtle</w:t>
      </w:r>
      <w:r w:rsidR="006F10C6" w:rsidRPr="00053304">
        <w:rPr>
          <w:rFonts w:ascii="Verdana" w:hAnsi="Verdana"/>
          <w:szCs w:val="16"/>
        </w:rPr>
        <w:t xml:space="preserve">, </w:t>
      </w:r>
      <w:r w:rsidR="006F10C6" w:rsidRPr="00053304">
        <w:rPr>
          <w:rFonts w:ascii="Verdana" w:hAnsi="Verdana"/>
          <w:i/>
          <w:iCs/>
          <w:szCs w:val="16"/>
        </w:rPr>
        <w:t>Tecpile y otros Vs, México, supra</w:t>
      </w:r>
      <w:r w:rsidR="006F10C6" w:rsidRPr="00053304">
        <w:rPr>
          <w:rFonts w:ascii="Verdana" w:hAnsi="Verdana"/>
          <w:szCs w:val="16"/>
        </w:rPr>
        <w:t>, párr. 104.</w:t>
      </w:r>
    </w:p>
  </w:footnote>
  <w:footnote w:id="192">
    <w:p w14:paraId="4E4B9D69" w14:textId="3B529988" w:rsidR="00D054B0" w:rsidRPr="00053304" w:rsidRDefault="00D054B0"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 Caso Tibi Vs. Ecuador, Excepciones Preliminares, Fondo, Reparaciones y Costas.</w:t>
      </w:r>
      <w:r w:rsidR="7CDFE7CF" w:rsidRPr="00053304">
        <w:rPr>
          <w:rFonts w:ascii="Verdana" w:hAnsi="Verdana"/>
          <w:szCs w:val="16"/>
        </w:rPr>
        <w:t xml:space="preserve"> Sentencia de 7 de septiembre de 2004. Serie C No. 114, párr. 106; </w:t>
      </w:r>
      <w:r w:rsidR="7CDFE7CF" w:rsidRPr="00053304">
        <w:rPr>
          <w:rFonts w:ascii="Verdana" w:hAnsi="Verdana"/>
          <w:i/>
          <w:iCs/>
          <w:szCs w:val="16"/>
        </w:rPr>
        <w:t xml:space="preserve">Caso Romero Feris Vs. Argentina., supra, </w:t>
      </w:r>
      <w:r w:rsidR="7CDFE7CF" w:rsidRPr="00053304">
        <w:rPr>
          <w:rFonts w:ascii="Verdana" w:hAnsi="Verdana"/>
          <w:szCs w:val="16"/>
        </w:rPr>
        <w:t xml:space="preserve">párr. 97, y </w:t>
      </w:r>
      <w:r w:rsidR="7CDFE7CF" w:rsidRPr="00053304">
        <w:rPr>
          <w:rFonts w:ascii="Verdana" w:hAnsi="Verdana"/>
          <w:i/>
          <w:iCs/>
          <w:szCs w:val="16"/>
        </w:rPr>
        <w:t>Caso Tzompaxtle Tecpile Vs. México, supra</w:t>
      </w:r>
      <w:r w:rsidR="7CDFE7CF" w:rsidRPr="00053304">
        <w:rPr>
          <w:rFonts w:ascii="Verdana" w:hAnsi="Verdana"/>
          <w:szCs w:val="16"/>
        </w:rPr>
        <w:t>, párr. 104.</w:t>
      </w:r>
    </w:p>
  </w:footnote>
  <w:footnote w:id="193">
    <w:p w14:paraId="45E29FE2" w14:textId="41ADBB52" w:rsidR="00D054B0" w:rsidRPr="00053304" w:rsidRDefault="00D054B0" w:rsidP="00053304">
      <w:pPr>
        <w:pStyle w:val="Textonotapie"/>
        <w:jc w:val="both"/>
        <w:rPr>
          <w:rFonts w:ascii="Verdana" w:hAnsi="Verdana"/>
          <w:szCs w:val="16"/>
          <w:lang w:val="es-CR"/>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w:t>
      </w:r>
      <w:r w:rsidR="7CDFE7CF" w:rsidRPr="00053304">
        <w:rPr>
          <w:rFonts w:ascii="Verdana" w:hAnsi="Verdana"/>
          <w:szCs w:val="16"/>
        </w:rPr>
        <w:t xml:space="preserve">. </w:t>
      </w:r>
      <w:r w:rsidR="7CDFE7CF" w:rsidRPr="00053304">
        <w:rPr>
          <w:rFonts w:ascii="Verdana" w:hAnsi="Verdana"/>
          <w:i/>
          <w:iCs/>
          <w:szCs w:val="16"/>
        </w:rPr>
        <w:t xml:space="preserve">Caso Chaparro Álvarez y Lapo Íñiguez Vs. </w:t>
      </w:r>
      <w:r w:rsidR="7CDFE7CF" w:rsidRPr="00053304">
        <w:rPr>
          <w:rFonts w:ascii="Verdana" w:hAnsi="Verdana"/>
          <w:i/>
          <w:iCs/>
          <w:szCs w:val="16"/>
          <w:lang w:val="es-CR"/>
        </w:rPr>
        <w:t>Ecuador</w:t>
      </w:r>
      <w:r w:rsidR="7CDFE7CF" w:rsidRPr="00053304">
        <w:rPr>
          <w:rFonts w:ascii="Verdana" w:hAnsi="Verdana"/>
          <w:szCs w:val="16"/>
          <w:lang w:val="es-CR"/>
        </w:rPr>
        <w:t xml:space="preserve">, </w:t>
      </w:r>
      <w:r w:rsidR="7CDFE7CF" w:rsidRPr="00053304">
        <w:rPr>
          <w:rFonts w:ascii="Verdana" w:hAnsi="Verdana"/>
          <w:i/>
          <w:iCs/>
          <w:szCs w:val="16"/>
          <w:lang w:val="es-CR"/>
        </w:rPr>
        <w:t xml:space="preserve">Excepciones Preliminares, Fondo, Reparaciones y Costas, supra, </w:t>
      </w:r>
      <w:r w:rsidR="7CDFE7CF" w:rsidRPr="00053304">
        <w:rPr>
          <w:rFonts w:ascii="Verdana" w:hAnsi="Verdana"/>
          <w:szCs w:val="16"/>
          <w:lang w:val="es-CR"/>
        </w:rPr>
        <w:t xml:space="preserve">párr. 103; </w:t>
      </w:r>
      <w:r w:rsidR="7CDFE7CF" w:rsidRPr="00053304">
        <w:rPr>
          <w:rFonts w:ascii="Verdana" w:hAnsi="Verdana"/>
          <w:i/>
          <w:iCs/>
          <w:szCs w:val="16"/>
        </w:rPr>
        <w:t xml:space="preserve">Caso Romero Feris Vs. Argentina. Fondo, Reparaciones y Costas, supra, </w:t>
      </w:r>
      <w:r w:rsidR="7CDFE7CF" w:rsidRPr="00053304">
        <w:rPr>
          <w:rFonts w:ascii="Verdana" w:hAnsi="Verdana"/>
          <w:szCs w:val="16"/>
        </w:rPr>
        <w:t xml:space="preserve">párr. </w:t>
      </w:r>
      <w:r w:rsidR="7CDFE7CF" w:rsidRPr="00053304">
        <w:rPr>
          <w:rFonts w:ascii="Verdana" w:hAnsi="Verdana"/>
          <w:szCs w:val="16"/>
          <w:lang w:val="es-CR"/>
        </w:rPr>
        <w:t>97, y</w:t>
      </w:r>
      <w:r w:rsidR="7CDFE7CF" w:rsidRPr="00053304">
        <w:rPr>
          <w:rFonts w:ascii="Verdana" w:hAnsi="Verdana"/>
          <w:i/>
          <w:iCs/>
          <w:szCs w:val="16"/>
        </w:rPr>
        <w:t xml:space="preserve"> Caso Tzompaxtle Tecpile Vs. México, supra</w:t>
      </w:r>
      <w:r w:rsidR="7CDFE7CF" w:rsidRPr="00053304">
        <w:rPr>
          <w:rFonts w:ascii="Verdana" w:hAnsi="Verdana"/>
          <w:szCs w:val="16"/>
        </w:rPr>
        <w:t>, párr. 104.</w:t>
      </w:r>
    </w:p>
  </w:footnote>
  <w:footnote w:id="194">
    <w:p w14:paraId="221C79AB" w14:textId="30A64A27" w:rsidR="00D054B0" w:rsidRPr="00053304" w:rsidRDefault="00D054B0"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lang w:val="es-CR"/>
        </w:rPr>
        <w:t xml:space="preserve"> </w:t>
      </w:r>
      <w:r w:rsidRPr="00053304">
        <w:rPr>
          <w:rFonts w:ascii="Verdana" w:hAnsi="Verdana"/>
          <w:szCs w:val="16"/>
          <w:lang w:val="es-CR"/>
        </w:rPr>
        <w:tab/>
      </w:r>
      <w:r w:rsidR="7CDFE7CF" w:rsidRPr="00053304">
        <w:rPr>
          <w:rFonts w:ascii="Verdana" w:hAnsi="Verdana"/>
          <w:i/>
          <w:iCs/>
          <w:szCs w:val="16"/>
          <w:lang w:val="es-CR"/>
        </w:rPr>
        <w:t xml:space="preserve">Cfr. Caso López Álvarez Vs. </w:t>
      </w:r>
      <w:r w:rsidR="7CDFE7CF" w:rsidRPr="00053304">
        <w:rPr>
          <w:rFonts w:ascii="Verdana" w:hAnsi="Verdana"/>
          <w:i/>
          <w:iCs/>
          <w:szCs w:val="16"/>
        </w:rPr>
        <w:t xml:space="preserve">Honduras, supra, </w:t>
      </w:r>
      <w:r w:rsidR="7CDFE7CF" w:rsidRPr="00053304">
        <w:rPr>
          <w:rFonts w:ascii="Verdana" w:hAnsi="Verdana"/>
          <w:szCs w:val="16"/>
        </w:rPr>
        <w:t xml:space="preserve">párr. </w:t>
      </w:r>
      <w:r w:rsidR="7CDFE7CF" w:rsidRPr="00602907">
        <w:rPr>
          <w:rFonts w:ascii="Verdana" w:hAnsi="Verdana"/>
          <w:szCs w:val="16"/>
          <w:lang w:val="es-CR"/>
        </w:rPr>
        <w:t xml:space="preserve">67; </w:t>
      </w:r>
      <w:r w:rsidR="7CDFE7CF" w:rsidRPr="00602907">
        <w:rPr>
          <w:rFonts w:ascii="Verdana" w:hAnsi="Verdana"/>
          <w:i/>
          <w:iCs/>
          <w:szCs w:val="16"/>
          <w:lang w:val="es-CR"/>
        </w:rPr>
        <w:t xml:space="preserve">Caso Barreto Leiva Vs. Venezuela. </w:t>
      </w:r>
      <w:r w:rsidR="7CDFE7CF" w:rsidRPr="00053304">
        <w:rPr>
          <w:rFonts w:ascii="Verdana" w:hAnsi="Verdana"/>
          <w:i/>
          <w:iCs/>
          <w:szCs w:val="16"/>
        </w:rPr>
        <w:t>Fondo, Reparaciones y Costas</w:t>
      </w:r>
      <w:r w:rsidR="7CDFE7CF" w:rsidRPr="00053304">
        <w:rPr>
          <w:rFonts w:ascii="Verdana" w:hAnsi="Verdana"/>
          <w:szCs w:val="16"/>
        </w:rPr>
        <w:t xml:space="preserve">. Sentencia de 17 de noviembre de 2009. Serie C No. 206, párr. 121; </w:t>
      </w:r>
      <w:r w:rsidR="7CDFE7CF" w:rsidRPr="00053304">
        <w:rPr>
          <w:rFonts w:ascii="Verdana" w:hAnsi="Verdana"/>
          <w:i/>
          <w:iCs/>
          <w:szCs w:val="16"/>
        </w:rPr>
        <w:t>Caso Romero Feris Vs. Argentina, supra</w:t>
      </w:r>
      <w:r w:rsidR="7CDFE7CF" w:rsidRPr="00053304">
        <w:rPr>
          <w:rFonts w:ascii="Verdana" w:hAnsi="Verdana"/>
          <w:szCs w:val="16"/>
        </w:rPr>
        <w:t xml:space="preserve">, párr. 97, y </w:t>
      </w:r>
      <w:r w:rsidR="7CDFE7CF" w:rsidRPr="00053304">
        <w:rPr>
          <w:rFonts w:ascii="Verdana" w:hAnsi="Verdana"/>
          <w:i/>
          <w:iCs/>
          <w:szCs w:val="16"/>
        </w:rPr>
        <w:t>Caso Tzompaxtle Tecpile Vs. México, supra</w:t>
      </w:r>
      <w:r w:rsidR="7CDFE7CF" w:rsidRPr="00053304">
        <w:rPr>
          <w:rFonts w:ascii="Verdana" w:hAnsi="Verdana"/>
          <w:szCs w:val="16"/>
        </w:rPr>
        <w:t>, párr. 104.</w:t>
      </w:r>
    </w:p>
  </w:footnote>
  <w:footnote w:id="195">
    <w:p w14:paraId="3974636C" w14:textId="5D8ADE9A" w:rsidR="00D054B0" w:rsidRPr="00053304" w:rsidRDefault="00D054B0" w:rsidP="00053304">
      <w:pPr>
        <w:pStyle w:val="Textonotapie"/>
        <w:jc w:val="both"/>
        <w:rPr>
          <w:rFonts w:ascii="Verdana" w:hAnsi="Verdana"/>
          <w:szCs w:val="16"/>
          <w:lang w:val="es-CR"/>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Caso Chaparro Álvarez y Lapo Íñiguez Vs. Ecuador, </w:t>
      </w:r>
      <w:r w:rsidR="3BF92891" w:rsidRPr="00053304">
        <w:rPr>
          <w:rFonts w:ascii="Verdana" w:hAnsi="Verdana"/>
          <w:i/>
          <w:iCs/>
          <w:szCs w:val="16"/>
        </w:rPr>
        <w:t xml:space="preserve">Excepciones Preliminares, Fondo, Reparaciones y Costas, supra, </w:t>
      </w:r>
      <w:r w:rsidR="7CDFE7CF" w:rsidRPr="00053304">
        <w:rPr>
          <w:rFonts w:ascii="Verdana" w:hAnsi="Verdana"/>
          <w:szCs w:val="16"/>
        </w:rPr>
        <w:t>párr. 9</w:t>
      </w:r>
      <w:r w:rsidR="3BF92891" w:rsidRPr="00053304">
        <w:rPr>
          <w:rFonts w:ascii="Verdana" w:hAnsi="Verdana"/>
          <w:szCs w:val="16"/>
        </w:rPr>
        <w:t>3;</w:t>
      </w:r>
      <w:r w:rsidR="7CDFE7CF" w:rsidRPr="00053304">
        <w:rPr>
          <w:rFonts w:ascii="Verdana" w:hAnsi="Verdana"/>
          <w:szCs w:val="16"/>
        </w:rPr>
        <w:t xml:space="preserve">  </w:t>
      </w:r>
      <w:r w:rsidR="7CDFE7CF" w:rsidRPr="00053304">
        <w:rPr>
          <w:rFonts w:ascii="Verdana" w:hAnsi="Verdana"/>
          <w:i/>
          <w:iCs/>
          <w:szCs w:val="16"/>
        </w:rPr>
        <w:t xml:space="preserve">Caso Amrhein y otros Vs. </w:t>
      </w:r>
      <w:r w:rsidR="7CDFE7CF" w:rsidRPr="00053304">
        <w:rPr>
          <w:rFonts w:ascii="Verdana" w:hAnsi="Verdana"/>
          <w:i/>
          <w:iCs/>
          <w:szCs w:val="16"/>
          <w:lang w:val="es-CR"/>
        </w:rPr>
        <w:t xml:space="preserve">Costa Rica, </w:t>
      </w:r>
      <w:r w:rsidR="3BF92891" w:rsidRPr="00053304">
        <w:rPr>
          <w:rFonts w:ascii="Verdana" w:hAnsi="Verdana"/>
          <w:i/>
          <w:iCs/>
          <w:szCs w:val="16"/>
          <w:lang w:val="es-CR"/>
        </w:rPr>
        <w:t xml:space="preserve">supra, </w:t>
      </w:r>
      <w:r w:rsidR="7CDFE7CF" w:rsidRPr="00053304">
        <w:rPr>
          <w:rFonts w:ascii="Verdana" w:hAnsi="Verdana"/>
          <w:szCs w:val="16"/>
          <w:lang w:val="es-CR"/>
        </w:rPr>
        <w:t xml:space="preserve">párr. 356; </w:t>
      </w:r>
      <w:r w:rsidR="7CDFE7CF" w:rsidRPr="00053304">
        <w:rPr>
          <w:rFonts w:ascii="Verdana" w:hAnsi="Verdana"/>
          <w:i/>
          <w:iCs/>
          <w:szCs w:val="16"/>
        </w:rPr>
        <w:t>Caso Romero Feris Vs. Argentina</w:t>
      </w:r>
      <w:r w:rsidR="3BF92891" w:rsidRPr="00053304">
        <w:rPr>
          <w:rFonts w:ascii="Verdana" w:hAnsi="Verdana"/>
          <w:i/>
          <w:iCs/>
          <w:szCs w:val="16"/>
        </w:rPr>
        <w:t>, supra</w:t>
      </w:r>
      <w:r w:rsidR="7CDFE7CF" w:rsidRPr="00053304">
        <w:rPr>
          <w:rFonts w:ascii="Verdana" w:hAnsi="Verdana"/>
          <w:szCs w:val="16"/>
        </w:rPr>
        <w:t>, párr.</w:t>
      </w:r>
      <w:r w:rsidR="7CDFE7CF" w:rsidRPr="00053304">
        <w:rPr>
          <w:rFonts w:ascii="Verdana" w:hAnsi="Verdana"/>
          <w:szCs w:val="16"/>
          <w:lang w:val="es-CR"/>
        </w:rPr>
        <w:t xml:space="preserve"> 98, </w:t>
      </w:r>
      <w:r w:rsidR="006F10C6" w:rsidRPr="00053304">
        <w:rPr>
          <w:rFonts w:ascii="Verdana" w:hAnsi="Verdana"/>
          <w:szCs w:val="16"/>
          <w:lang w:val="es-CR"/>
        </w:rPr>
        <w:t>y</w:t>
      </w:r>
      <w:r w:rsidR="006F10C6" w:rsidRPr="00053304">
        <w:rPr>
          <w:rFonts w:ascii="Verdana" w:hAnsi="Verdana"/>
          <w:i/>
          <w:iCs/>
          <w:szCs w:val="16"/>
        </w:rPr>
        <w:t xml:space="preserve"> Caso Tzompaxtle Tecpile Vs. México, supra</w:t>
      </w:r>
      <w:r w:rsidR="006F10C6" w:rsidRPr="00053304">
        <w:rPr>
          <w:rFonts w:ascii="Verdana" w:hAnsi="Verdana"/>
          <w:szCs w:val="16"/>
        </w:rPr>
        <w:t>, párr. 105.</w:t>
      </w:r>
    </w:p>
  </w:footnote>
  <w:footnote w:id="196">
    <w:p w14:paraId="4116F8F5" w14:textId="3B255BA8" w:rsidR="00D054B0" w:rsidRPr="00053304" w:rsidRDefault="00D054B0"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lang w:val="es-CR"/>
        </w:rPr>
        <w:t xml:space="preserve"> </w:t>
      </w:r>
      <w:r w:rsidRPr="00053304">
        <w:rPr>
          <w:rFonts w:ascii="Verdana" w:hAnsi="Verdana"/>
          <w:szCs w:val="16"/>
          <w:lang w:val="es-CR"/>
        </w:rPr>
        <w:tab/>
      </w:r>
      <w:r w:rsidR="7CDFE7CF" w:rsidRPr="00053304">
        <w:rPr>
          <w:rFonts w:ascii="Verdana" w:hAnsi="Verdana"/>
          <w:i/>
          <w:iCs/>
          <w:szCs w:val="16"/>
          <w:lang w:val="es-CR"/>
        </w:rPr>
        <w:t>Cfr</w:t>
      </w:r>
      <w:r w:rsidR="7CDFE7CF" w:rsidRPr="00053304">
        <w:rPr>
          <w:rFonts w:ascii="Verdana" w:hAnsi="Verdana"/>
          <w:szCs w:val="16"/>
          <w:lang w:val="es-CR"/>
        </w:rPr>
        <w:t xml:space="preserve">. </w:t>
      </w:r>
      <w:r w:rsidR="7CDFE7CF" w:rsidRPr="00053304">
        <w:rPr>
          <w:rFonts w:ascii="Verdana" w:hAnsi="Verdana"/>
          <w:i/>
          <w:iCs/>
          <w:szCs w:val="16"/>
          <w:lang w:val="es-CR"/>
        </w:rPr>
        <w:t xml:space="preserve">Caso Suárez Rosero Vs. </w:t>
      </w:r>
      <w:r w:rsidR="7CDFE7CF" w:rsidRPr="00053304">
        <w:rPr>
          <w:rFonts w:ascii="Verdana" w:hAnsi="Verdana"/>
          <w:i/>
          <w:iCs/>
          <w:szCs w:val="16"/>
        </w:rPr>
        <w:t xml:space="preserve">Ecuador. Fondo. </w:t>
      </w:r>
      <w:r w:rsidR="7CDFE7CF" w:rsidRPr="00053304">
        <w:rPr>
          <w:rFonts w:ascii="Verdana" w:hAnsi="Verdana"/>
          <w:szCs w:val="16"/>
        </w:rPr>
        <w:t>Sentencia de 12 de noviembre de 1997. Serie C No. 35, párr. 77; y</w:t>
      </w:r>
      <w:r w:rsidR="7CDFE7CF" w:rsidRPr="00053304">
        <w:rPr>
          <w:rFonts w:ascii="Verdana" w:hAnsi="Verdana"/>
          <w:i/>
          <w:iCs/>
          <w:szCs w:val="16"/>
        </w:rPr>
        <w:t xml:space="preserve"> Caso Amrhein y otros Vs. </w:t>
      </w:r>
      <w:r w:rsidR="7CDFE7CF" w:rsidRPr="000E771D">
        <w:rPr>
          <w:rFonts w:ascii="Verdana" w:hAnsi="Verdana"/>
          <w:i/>
          <w:iCs/>
          <w:szCs w:val="16"/>
          <w:lang w:val="pt-BR"/>
        </w:rPr>
        <w:t>Costa Rica</w:t>
      </w:r>
      <w:r w:rsidR="7CDFE7CF" w:rsidRPr="000E771D">
        <w:rPr>
          <w:rFonts w:ascii="Verdana" w:hAnsi="Verdana"/>
          <w:szCs w:val="16"/>
          <w:lang w:val="pt-BR"/>
        </w:rPr>
        <w:t>,</w:t>
      </w:r>
      <w:r w:rsidR="7CDFE7CF" w:rsidRPr="000E771D">
        <w:rPr>
          <w:rFonts w:ascii="Verdana" w:hAnsi="Verdana"/>
          <w:i/>
          <w:iCs/>
          <w:szCs w:val="16"/>
          <w:lang w:val="pt-BR"/>
        </w:rPr>
        <w:t xml:space="preserve"> supra,</w:t>
      </w:r>
      <w:r w:rsidR="7CDFE7CF" w:rsidRPr="000E771D">
        <w:rPr>
          <w:rFonts w:ascii="Verdana" w:hAnsi="Verdana"/>
          <w:szCs w:val="16"/>
          <w:lang w:val="pt-BR"/>
        </w:rPr>
        <w:t xml:space="preserve"> párr. 357</w:t>
      </w:r>
      <w:r w:rsidR="001A0AD6" w:rsidRPr="000E771D">
        <w:rPr>
          <w:rFonts w:ascii="Verdana" w:hAnsi="Verdana"/>
          <w:szCs w:val="16"/>
          <w:lang w:val="pt-BR"/>
        </w:rPr>
        <w:t>;</w:t>
      </w:r>
      <w:r w:rsidR="7CDFE7CF" w:rsidRPr="000E771D">
        <w:rPr>
          <w:rFonts w:ascii="Verdana" w:hAnsi="Verdana"/>
          <w:szCs w:val="16"/>
          <w:lang w:val="pt-BR"/>
        </w:rPr>
        <w:t xml:space="preserve"> </w:t>
      </w:r>
      <w:r w:rsidR="7CDFE7CF" w:rsidRPr="000E771D">
        <w:rPr>
          <w:rFonts w:ascii="Verdana" w:hAnsi="Verdana"/>
          <w:i/>
          <w:iCs/>
          <w:szCs w:val="16"/>
          <w:lang w:val="pt-BR"/>
        </w:rPr>
        <w:t>Caso Romero Feris Vs. Argentina, supra</w:t>
      </w:r>
      <w:r w:rsidR="7CDFE7CF" w:rsidRPr="000E771D">
        <w:rPr>
          <w:rFonts w:ascii="Verdana" w:hAnsi="Verdana"/>
          <w:szCs w:val="16"/>
          <w:lang w:val="pt-BR"/>
        </w:rPr>
        <w:t xml:space="preserve">, párr. </w:t>
      </w:r>
      <w:r w:rsidR="7CDFE7CF" w:rsidRPr="00053304">
        <w:rPr>
          <w:rFonts w:ascii="Verdana" w:hAnsi="Verdana"/>
          <w:szCs w:val="16"/>
        </w:rPr>
        <w:t>99</w:t>
      </w:r>
      <w:r w:rsidR="001A0AD6" w:rsidRPr="00053304">
        <w:rPr>
          <w:rFonts w:ascii="Verdana" w:hAnsi="Verdana"/>
          <w:szCs w:val="16"/>
        </w:rPr>
        <w:t xml:space="preserve">, </w:t>
      </w:r>
      <w:r w:rsidR="001A0AD6" w:rsidRPr="00053304">
        <w:rPr>
          <w:rFonts w:ascii="Verdana" w:hAnsi="Verdana"/>
          <w:szCs w:val="16"/>
          <w:lang w:val="es-CR"/>
        </w:rPr>
        <w:t>y</w:t>
      </w:r>
      <w:r w:rsidR="001A0AD6" w:rsidRPr="00053304">
        <w:rPr>
          <w:rFonts w:ascii="Verdana" w:hAnsi="Verdana"/>
          <w:i/>
          <w:iCs/>
          <w:szCs w:val="16"/>
        </w:rPr>
        <w:t xml:space="preserve"> Caso Tzompaxtle Tecpile Vs. México, supra</w:t>
      </w:r>
      <w:r w:rsidR="001A0AD6" w:rsidRPr="00053304">
        <w:rPr>
          <w:rFonts w:ascii="Verdana" w:hAnsi="Verdana"/>
          <w:szCs w:val="16"/>
        </w:rPr>
        <w:t>, párr. 106.</w:t>
      </w:r>
    </w:p>
  </w:footnote>
  <w:footnote w:id="197">
    <w:p w14:paraId="295996DD" w14:textId="7E42EF2D" w:rsidR="00D054B0" w:rsidRPr="00053304" w:rsidRDefault="00D054B0" w:rsidP="00053304">
      <w:pPr>
        <w:pStyle w:val="Textonotapie"/>
        <w:jc w:val="both"/>
        <w:rPr>
          <w:rFonts w:ascii="Verdana" w:hAnsi="Verdana"/>
          <w:szCs w:val="16"/>
          <w:lang w:val="es-CR"/>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Caso Amrhein y otros Vs. </w:t>
      </w:r>
      <w:r w:rsidR="7CDFE7CF" w:rsidRPr="00053304">
        <w:rPr>
          <w:rFonts w:ascii="Verdana" w:hAnsi="Verdana"/>
          <w:i/>
          <w:iCs/>
          <w:szCs w:val="16"/>
          <w:lang w:val="pt-BR"/>
        </w:rPr>
        <w:t>Costa Rica,</w:t>
      </w:r>
      <w:r w:rsidR="3BF92891" w:rsidRPr="00053304">
        <w:rPr>
          <w:rFonts w:ascii="Verdana" w:hAnsi="Verdana"/>
          <w:i/>
          <w:iCs/>
          <w:szCs w:val="16"/>
          <w:lang w:val="pt-BR"/>
        </w:rPr>
        <w:t xml:space="preserve"> supra,</w:t>
      </w:r>
      <w:r w:rsidR="7CDFE7CF" w:rsidRPr="00053304">
        <w:rPr>
          <w:rFonts w:ascii="Verdana" w:hAnsi="Verdana"/>
          <w:szCs w:val="16"/>
          <w:lang w:val="pt-BR"/>
        </w:rPr>
        <w:t xml:space="preserve"> párr. 357;</w:t>
      </w:r>
      <w:r w:rsidR="7CDFE7CF" w:rsidRPr="00053304">
        <w:rPr>
          <w:rFonts w:ascii="Verdana" w:hAnsi="Verdana"/>
          <w:spacing w:val="-4"/>
          <w:szCs w:val="16"/>
          <w:lang w:val="pt-BR"/>
        </w:rPr>
        <w:t xml:space="preserve"> </w:t>
      </w:r>
      <w:r w:rsidR="7CDFE7CF" w:rsidRPr="00053304">
        <w:rPr>
          <w:rFonts w:ascii="Verdana" w:hAnsi="Verdana"/>
          <w:i/>
          <w:iCs/>
          <w:szCs w:val="16"/>
          <w:lang w:val="pt-BR"/>
        </w:rPr>
        <w:t xml:space="preserve">Caso Romero Feris Vs. </w:t>
      </w:r>
      <w:r w:rsidR="7CDFE7CF" w:rsidRPr="00053304">
        <w:rPr>
          <w:rFonts w:ascii="Verdana" w:hAnsi="Verdana"/>
          <w:i/>
          <w:iCs/>
          <w:szCs w:val="16"/>
        </w:rPr>
        <w:t>Argentina</w:t>
      </w:r>
      <w:r w:rsidR="3BF92891" w:rsidRPr="00053304">
        <w:rPr>
          <w:rFonts w:ascii="Verdana" w:hAnsi="Verdana"/>
          <w:i/>
          <w:iCs/>
          <w:szCs w:val="16"/>
        </w:rPr>
        <w:t>, supra</w:t>
      </w:r>
      <w:r w:rsidR="7CDFE7CF" w:rsidRPr="00053304">
        <w:rPr>
          <w:rFonts w:ascii="Verdana" w:hAnsi="Verdana"/>
          <w:szCs w:val="16"/>
        </w:rPr>
        <w:t xml:space="preserve">, párr. </w:t>
      </w:r>
      <w:r w:rsidR="7CDFE7CF" w:rsidRPr="00053304">
        <w:rPr>
          <w:rFonts w:ascii="Verdana" w:hAnsi="Verdana"/>
          <w:spacing w:val="-4"/>
          <w:szCs w:val="16"/>
          <w:lang w:val="es-CR"/>
        </w:rPr>
        <w:t>99</w:t>
      </w:r>
      <w:r w:rsidR="0024255F" w:rsidRPr="00053304">
        <w:rPr>
          <w:rFonts w:ascii="Verdana" w:hAnsi="Verdana"/>
          <w:szCs w:val="16"/>
        </w:rPr>
        <w:t xml:space="preserve">, </w:t>
      </w:r>
      <w:r w:rsidR="0024255F" w:rsidRPr="00053304">
        <w:rPr>
          <w:rFonts w:ascii="Verdana" w:hAnsi="Verdana"/>
          <w:szCs w:val="16"/>
          <w:lang w:val="es-CR"/>
        </w:rPr>
        <w:t>y</w:t>
      </w:r>
      <w:r w:rsidR="0024255F" w:rsidRPr="00053304">
        <w:rPr>
          <w:rFonts w:ascii="Verdana" w:hAnsi="Verdana"/>
          <w:i/>
          <w:iCs/>
          <w:szCs w:val="16"/>
        </w:rPr>
        <w:t xml:space="preserve"> Caso Tzompaxtle Tecpile Vs. México, supra</w:t>
      </w:r>
      <w:r w:rsidR="0024255F" w:rsidRPr="00053304">
        <w:rPr>
          <w:rFonts w:ascii="Verdana" w:hAnsi="Verdana"/>
          <w:szCs w:val="16"/>
        </w:rPr>
        <w:t>, párr. 106.</w:t>
      </w:r>
    </w:p>
  </w:footnote>
  <w:footnote w:id="198">
    <w:p w14:paraId="7ABE0ECD" w14:textId="76C8F44E" w:rsidR="00DA52BA" w:rsidRPr="00053304" w:rsidRDefault="00DA52BA" w:rsidP="00053304">
      <w:pPr>
        <w:pStyle w:val="Textonotapie"/>
        <w:jc w:val="both"/>
        <w:rPr>
          <w:rFonts w:ascii="Verdana" w:hAnsi="Verdana"/>
          <w:szCs w:val="16"/>
          <w:lang w:val="es-CR"/>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w:t>
      </w:r>
      <w:r w:rsidR="00231AB1" w:rsidRPr="00053304">
        <w:rPr>
          <w:rFonts w:ascii="Verdana" w:hAnsi="Verdana"/>
          <w:szCs w:val="16"/>
        </w:rPr>
        <w:t xml:space="preserve">Naciones Unida, </w:t>
      </w:r>
      <w:r w:rsidR="7CDFE7CF" w:rsidRPr="00053304">
        <w:rPr>
          <w:rFonts w:ascii="Verdana" w:hAnsi="Verdana"/>
          <w:szCs w:val="16"/>
        </w:rPr>
        <w:t>Comité de Derechos Humanos, Observación General No. 35, Libertad y seguridad personales, CCPR/C/GC/35 (2014), párr. 38</w:t>
      </w:r>
      <w:r w:rsidR="7CDFE7CF" w:rsidRPr="00053304">
        <w:rPr>
          <w:rFonts w:ascii="Verdana" w:hAnsi="Verdana"/>
          <w:spacing w:val="-4"/>
          <w:szCs w:val="16"/>
          <w:lang w:val="es-CR"/>
        </w:rPr>
        <w:t>.</w:t>
      </w:r>
    </w:p>
  </w:footnote>
  <w:footnote w:id="199">
    <w:p w14:paraId="775904C4" w14:textId="7CBC0992" w:rsidR="00D054B0" w:rsidRPr="00053304" w:rsidRDefault="00D054B0" w:rsidP="00053304">
      <w:pPr>
        <w:pStyle w:val="Textonotapie"/>
        <w:jc w:val="both"/>
        <w:rPr>
          <w:rFonts w:ascii="Verdana" w:hAnsi="Verdana"/>
          <w:szCs w:val="16"/>
          <w:lang w:val="es-CR"/>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 Caso Chaparro Álvarez y Lapo Íñiguez Vs. Ecuador</w:t>
      </w:r>
      <w:r w:rsidR="7CDFE7CF" w:rsidRPr="00053304">
        <w:rPr>
          <w:rFonts w:ascii="Verdana" w:hAnsi="Verdana"/>
          <w:szCs w:val="16"/>
        </w:rPr>
        <w:t xml:space="preserve">, </w:t>
      </w:r>
      <w:r w:rsidR="7CDFE7CF" w:rsidRPr="00053304">
        <w:rPr>
          <w:rFonts w:ascii="Verdana" w:hAnsi="Verdana"/>
          <w:i/>
          <w:iCs/>
          <w:szCs w:val="16"/>
        </w:rPr>
        <w:t xml:space="preserve">Excepciones Preliminares, Fondo, Reparaciones y Cosras, supra, </w:t>
      </w:r>
      <w:r w:rsidR="7CDFE7CF" w:rsidRPr="00053304">
        <w:rPr>
          <w:rFonts w:ascii="Verdana" w:hAnsi="Verdana"/>
          <w:szCs w:val="16"/>
        </w:rPr>
        <w:t xml:space="preserve">párr. </w:t>
      </w:r>
      <w:r w:rsidR="00037B35" w:rsidRPr="00053304">
        <w:rPr>
          <w:rFonts w:ascii="Verdana" w:hAnsi="Verdana"/>
          <w:szCs w:val="16"/>
        </w:rPr>
        <w:t>93; Caso</w:t>
      </w:r>
      <w:r w:rsidR="7CDFE7CF" w:rsidRPr="00053304">
        <w:rPr>
          <w:rFonts w:ascii="Verdana" w:hAnsi="Verdana"/>
          <w:i/>
          <w:iCs/>
          <w:szCs w:val="16"/>
        </w:rPr>
        <w:t xml:space="preserve"> Amrhein y otros Vs. </w:t>
      </w:r>
      <w:r w:rsidR="7CDFE7CF" w:rsidRPr="00053304">
        <w:rPr>
          <w:rFonts w:ascii="Verdana" w:hAnsi="Verdana"/>
          <w:i/>
          <w:iCs/>
          <w:szCs w:val="16"/>
          <w:lang w:val="es-CR"/>
        </w:rPr>
        <w:t xml:space="preserve">Costa Rica, supra, </w:t>
      </w:r>
      <w:r w:rsidR="7CDFE7CF" w:rsidRPr="00053304">
        <w:rPr>
          <w:rFonts w:ascii="Verdana" w:hAnsi="Verdana"/>
          <w:szCs w:val="16"/>
          <w:lang w:val="es-CR"/>
        </w:rPr>
        <w:t xml:space="preserve">párr. 356, </w:t>
      </w:r>
      <w:r w:rsidR="0024255F" w:rsidRPr="00053304">
        <w:rPr>
          <w:rFonts w:ascii="Verdana" w:hAnsi="Verdana"/>
          <w:szCs w:val="16"/>
        </w:rPr>
        <w:t>y</w:t>
      </w:r>
      <w:r w:rsidR="0024255F" w:rsidRPr="00053304">
        <w:rPr>
          <w:rFonts w:ascii="Verdana" w:eastAsia="Verdana" w:hAnsi="Verdana" w:cs="Verdana"/>
          <w:szCs w:val="16"/>
        </w:rPr>
        <w:t xml:space="preserve"> </w:t>
      </w:r>
      <w:r w:rsidR="0024255F" w:rsidRPr="00053304">
        <w:rPr>
          <w:rFonts w:ascii="Verdana" w:eastAsia="Verdana" w:hAnsi="Verdana" w:cs="Verdana"/>
          <w:i/>
          <w:iCs/>
          <w:szCs w:val="16"/>
        </w:rPr>
        <w:t xml:space="preserve">Caso Tzompaxtle Tecpile y otros Vs. México, supra, </w:t>
      </w:r>
      <w:r w:rsidR="0024255F" w:rsidRPr="00053304">
        <w:rPr>
          <w:rFonts w:ascii="Verdana" w:eastAsia="Verdana" w:hAnsi="Verdana" w:cs="Verdana"/>
          <w:szCs w:val="16"/>
        </w:rPr>
        <w:t>párr. 110</w:t>
      </w:r>
      <w:r w:rsidR="7CDFE7CF" w:rsidRPr="00053304">
        <w:rPr>
          <w:rFonts w:ascii="Verdana" w:hAnsi="Verdana"/>
          <w:szCs w:val="16"/>
        </w:rPr>
        <w:t>.</w:t>
      </w:r>
    </w:p>
  </w:footnote>
  <w:footnote w:id="200">
    <w:p w14:paraId="54630A59" w14:textId="3ADBFA16" w:rsidR="00D054B0" w:rsidRPr="00053304" w:rsidRDefault="00D054B0" w:rsidP="00053304">
      <w:pPr>
        <w:pStyle w:val="Textonotapie"/>
        <w:jc w:val="both"/>
        <w:rPr>
          <w:rFonts w:ascii="Verdana" w:hAnsi="Verdana"/>
          <w:szCs w:val="16"/>
        </w:rPr>
      </w:pPr>
      <w:r w:rsidRPr="00053304">
        <w:rPr>
          <w:rStyle w:val="Refdenotaalpie"/>
          <w:rFonts w:ascii="Verdana" w:hAnsi="Verdana"/>
          <w:szCs w:val="16"/>
        </w:rPr>
        <w:footnoteRef/>
      </w:r>
      <w:r w:rsidR="7CDFE7CF" w:rsidRPr="00602907">
        <w:rPr>
          <w:rFonts w:ascii="Verdana" w:hAnsi="Verdana"/>
          <w:szCs w:val="16"/>
          <w:lang w:val="es-CR"/>
        </w:rPr>
        <w:t xml:space="preserve"> </w:t>
      </w:r>
      <w:r w:rsidRPr="00602907">
        <w:rPr>
          <w:rFonts w:ascii="Verdana" w:hAnsi="Verdana"/>
          <w:szCs w:val="16"/>
          <w:lang w:val="es-CR"/>
        </w:rPr>
        <w:tab/>
      </w:r>
      <w:r w:rsidR="7CDFE7CF" w:rsidRPr="00602907">
        <w:rPr>
          <w:rFonts w:ascii="Verdana" w:hAnsi="Verdana"/>
          <w:i/>
          <w:iCs/>
          <w:szCs w:val="16"/>
          <w:lang w:val="es-CR"/>
        </w:rPr>
        <w:t>Cfr</w:t>
      </w:r>
      <w:r w:rsidR="7CDFE7CF" w:rsidRPr="00602907">
        <w:rPr>
          <w:rFonts w:ascii="Verdana" w:hAnsi="Verdana"/>
          <w:szCs w:val="16"/>
          <w:lang w:val="es-CR"/>
        </w:rPr>
        <w:t xml:space="preserve">. </w:t>
      </w:r>
      <w:r w:rsidR="7CDFE7CF" w:rsidRPr="00602907">
        <w:rPr>
          <w:rFonts w:ascii="Verdana" w:hAnsi="Verdana"/>
          <w:i/>
          <w:iCs/>
          <w:szCs w:val="16"/>
          <w:lang w:val="es-CR"/>
        </w:rPr>
        <w:t xml:space="preserve">Caso Romero Feris Vs. </w:t>
      </w:r>
      <w:r w:rsidR="7CDFE7CF" w:rsidRPr="00053304">
        <w:rPr>
          <w:rFonts w:ascii="Verdana" w:hAnsi="Verdana"/>
          <w:i/>
          <w:iCs/>
          <w:szCs w:val="16"/>
        </w:rPr>
        <w:t>Argentina</w:t>
      </w:r>
      <w:r w:rsidR="3BF92891" w:rsidRPr="00053304">
        <w:rPr>
          <w:rFonts w:ascii="Verdana" w:hAnsi="Verdana"/>
          <w:i/>
          <w:iCs/>
          <w:szCs w:val="16"/>
        </w:rPr>
        <w:t>, supra</w:t>
      </w:r>
      <w:r w:rsidR="7CDFE7CF" w:rsidRPr="00053304">
        <w:rPr>
          <w:rFonts w:ascii="Verdana" w:hAnsi="Verdana"/>
          <w:szCs w:val="16"/>
        </w:rPr>
        <w:t>, párr. 107, y</w:t>
      </w:r>
      <w:r w:rsidR="7CDFE7CF" w:rsidRPr="00053304">
        <w:rPr>
          <w:rFonts w:ascii="Verdana" w:eastAsia="Verdana" w:hAnsi="Verdana" w:cs="Verdana"/>
          <w:szCs w:val="16"/>
        </w:rPr>
        <w:t xml:space="preserve"> </w:t>
      </w:r>
      <w:r w:rsidR="3BF92891" w:rsidRPr="00053304">
        <w:rPr>
          <w:rFonts w:ascii="Verdana" w:eastAsia="Verdana" w:hAnsi="Verdana" w:cs="Verdana"/>
          <w:i/>
          <w:iCs/>
          <w:szCs w:val="16"/>
        </w:rPr>
        <w:t xml:space="preserve">Caso Tzompaxtle Tecpile y otros Vs. México, supra, </w:t>
      </w:r>
      <w:r w:rsidR="3BF92891" w:rsidRPr="00053304">
        <w:rPr>
          <w:rFonts w:ascii="Verdana" w:eastAsia="Verdana" w:hAnsi="Verdana" w:cs="Verdana"/>
          <w:szCs w:val="16"/>
        </w:rPr>
        <w:t>párr. 111</w:t>
      </w:r>
      <w:r w:rsidR="7CDFE7CF" w:rsidRPr="00053304">
        <w:rPr>
          <w:rFonts w:ascii="Verdana" w:hAnsi="Verdana"/>
          <w:szCs w:val="16"/>
        </w:rPr>
        <w:t xml:space="preserve">. </w:t>
      </w:r>
    </w:p>
  </w:footnote>
  <w:footnote w:id="201">
    <w:p w14:paraId="7690DE02" w14:textId="77B7F03B" w:rsidR="00D054B0" w:rsidRPr="00053304" w:rsidRDefault="00D054B0"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szCs w:val="16"/>
        </w:rPr>
        <w:t xml:space="preserve">Naciones Unidas, Asamblea General, Reglas mínimas de las Naciones Unidas sobre las medidas no privativas de la libertad (Reglas de Tokio), Resolución 45/110, 14 de diciembre de 1990, reglas 6.1 y 6.2, y </w:t>
      </w:r>
      <w:r w:rsidR="7CDFE7CF" w:rsidRPr="00053304">
        <w:rPr>
          <w:rFonts w:ascii="Verdana" w:hAnsi="Verdana"/>
          <w:i/>
          <w:iCs/>
          <w:szCs w:val="16"/>
        </w:rPr>
        <w:t>Caso Romero Feris Vs. Argentina, supra</w:t>
      </w:r>
      <w:r w:rsidR="7CDFE7CF" w:rsidRPr="00053304">
        <w:rPr>
          <w:rFonts w:ascii="Verdana" w:hAnsi="Verdana"/>
          <w:szCs w:val="16"/>
        </w:rPr>
        <w:t>, párr. 108.</w:t>
      </w:r>
      <w:r w:rsidR="00815EC5" w:rsidRPr="00053304">
        <w:rPr>
          <w:rFonts w:ascii="Verdana" w:hAnsi="Verdana"/>
          <w:szCs w:val="16"/>
        </w:rPr>
        <w:t xml:space="preserve"> Asimismo, </w:t>
      </w:r>
      <w:r w:rsidR="00815EC5" w:rsidRPr="00053304">
        <w:rPr>
          <w:rFonts w:ascii="Verdana" w:eastAsia="Verdana" w:hAnsi="Verdana" w:cs="Verdana"/>
          <w:i/>
          <w:iCs/>
          <w:szCs w:val="16"/>
        </w:rPr>
        <w:t xml:space="preserve">Caso Tzompaxtle Tecpile y otros Vs. México, supra, </w:t>
      </w:r>
      <w:r w:rsidR="00815EC5" w:rsidRPr="00053304">
        <w:rPr>
          <w:rFonts w:ascii="Verdana" w:eastAsia="Verdana" w:hAnsi="Verdana" w:cs="Verdana"/>
          <w:szCs w:val="16"/>
        </w:rPr>
        <w:t>párr. 110.</w:t>
      </w:r>
    </w:p>
  </w:footnote>
  <w:footnote w:id="202">
    <w:p w14:paraId="7C6C89F8" w14:textId="0C09E4FF" w:rsidR="00AC361E" w:rsidRPr="00053304" w:rsidRDefault="00AC361E"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w:t>
      </w:r>
      <w:r w:rsidR="7CDFE7CF" w:rsidRPr="00053304">
        <w:rPr>
          <w:rFonts w:ascii="Verdana" w:hAnsi="Verdana"/>
          <w:szCs w:val="16"/>
        </w:rPr>
        <w:t xml:space="preserve">TEDH. </w:t>
      </w:r>
      <w:r w:rsidR="7CDFE7CF" w:rsidRPr="00053304">
        <w:rPr>
          <w:rFonts w:ascii="Verdana" w:hAnsi="Verdana"/>
          <w:i/>
          <w:iCs/>
          <w:szCs w:val="16"/>
        </w:rPr>
        <w:t>Caso Selahattin Demirtas Vs. Turquía,</w:t>
      </w:r>
      <w:r w:rsidR="7CDFE7CF" w:rsidRPr="00053304">
        <w:rPr>
          <w:rFonts w:ascii="Verdana" w:hAnsi="Verdana"/>
          <w:szCs w:val="16"/>
        </w:rPr>
        <w:t xml:space="preserve"> Sentencia de 22 de diciembre de 2020, aplicación No. 14305/17, párr. 347.</w:t>
      </w:r>
    </w:p>
  </w:footnote>
  <w:footnote w:id="203">
    <w:p w14:paraId="2EA1DF39" w14:textId="46138D0A" w:rsidR="00D054B0" w:rsidRPr="00053304" w:rsidRDefault="00D054B0"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w:t>
      </w:r>
      <w:r w:rsidR="7CDFE7CF" w:rsidRPr="00053304">
        <w:rPr>
          <w:rFonts w:ascii="Verdana" w:hAnsi="Verdana"/>
          <w:szCs w:val="16"/>
        </w:rPr>
        <w:t>.</w:t>
      </w:r>
      <w:r w:rsidR="7CDFE7CF" w:rsidRPr="00053304">
        <w:rPr>
          <w:rFonts w:ascii="Verdana" w:hAnsi="Verdana" w:cs="Calibri"/>
          <w:szCs w:val="16"/>
        </w:rPr>
        <w:t xml:space="preserve"> </w:t>
      </w:r>
      <w:r w:rsidR="7CDFE7CF" w:rsidRPr="00053304">
        <w:rPr>
          <w:rFonts w:ascii="Verdana" w:hAnsi="Verdana"/>
          <w:i/>
          <w:iCs/>
          <w:szCs w:val="16"/>
        </w:rPr>
        <w:t xml:space="preserve">Caso Bayarri Vs. Argentina. Excepción Preliminar, Fondo, Reparaciones y Costas. </w:t>
      </w:r>
      <w:r w:rsidR="7CDFE7CF" w:rsidRPr="00053304">
        <w:rPr>
          <w:rFonts w:ascii="Verdana" w:hAnsi="Verdana"/>
          <w:szCs w:val="16"/>
        </w:rPr>
        <w:t>Sentencia de 30 de octubre de 2008. Serie C No. 187</w:t>
      </w:r>
      <w:r w:rsidR="7CDFE7CF" w:rsidRPr="00053304">
        <w:rPr>
          <w:rFonts w:ascii="Verdana" w:hAnsi="Verdana" w:cs="Calibri"/>
          <w:szCs w:val="16"/>
        </w:rPr>
        <w:t xml:space="preserve"> párr. </w:t>
      </w:r>
      <w:r w:rsidR="7CDFE7CF" w:rsidRPr="00053304">
        <w:rPr>
          <w:rFonts w:ascii="Verdana" w:hAnsi="Verdana" w:cs="Calibri"/>
          <w:szCs w:val="16"/>
          <w:lang w:val="es-CR"/>
        </w:rPr>
        <w:t>70;</w:t>
      </w:r>
      <w:r w:rsidR="00815EC5" w:rsidRPr="00053304">
        <w:rPr>
          <w:rFonts w:ascii="Verdana" w:hAnsi="Verdana" w:cs="Calibri"/>
          <w:szCs w:val="16"/>
          <w:lang w:val="es-CR"/>
        </w:rPr>
        <w:t xml:space="preserve"> </w:t>
      </w:r>
      <w:r w:rsidR="7CDFE7CF" w:rsidRPr="00053304">
        <w:rPr>
          <w:rFonts w:ascii="Verdana" w:hAnsi="Verdana"/>
          <w:i/>
          <w:iCs/>
          <w:szCs w:val="16"/>
        </w:rPr>
        <w:t>Caso Romero Feris Vs. Argentina, supra</w:t>
      </w:r>
      <w:r w:rsidR="7CDFE7CF" w:rsidRPr="00053304">
        <w:rPr>
          <w:rFonts w:ascii="Verdana" w:hAnsi="Verdana"/>
          <w:szCs w:val="16"/>
        </w:rPr>
        <w:t>, párr. 109</w:t>
      </w:r>
      <w:r w:rsidR="00815EC5" w:rsidRPr="00053304">
        <w:rPr>
          <w:rFonts w:ascii="Verdana" w:hAnsi="Verdana"/>
          <w:szCs w:val="16"/>
        </w:rPr>
        <w:t>, y</w:t>
      </w:r>
      <w:r w:rsidR="00815EC5" w:rsidRPr="00053304">
        <w:rPr>
          <w:rFonts w:ascii="Verdana" w:eastAsia="Verdana" w:hAnsi="Verdana" w:cs="Verdana"/>
          <w:szCs w:val="16"/>
        </w:rPr>
        <w:t xml:space="preserve"> </w:t>
      </w:r>
      <w:r w:rsidR="00815EC5" w:rsidRPr="00053304">
        <w:rPr>
          <w:rFonts w:ascii="Verdana" w:eastAsia="Verdana" w:hAnsi="Verdana" w:cs="Verdana"/>
          <w:i/>
          <w:iCs/>
          <w:szCs w:val="16"/>
        </w:rPr>
        <w:t xml:space="preserve">Caso Tzompaxtle Tecpile y otros Vs. México, supra, </w:t>
      </w:r>
      <w:r w:rsidR="00815EC5" w:rsidRPr="00053304">
        <w:rPr>
          <w:rFonts w:ascii="Verdana" w:eastAsia="Verdana" w:hAnsi="Verdana" w:cs="Verdana"/>
          <w:szCs w:val="16"/>
        </w:rPr>
        <w:t>párr. 112.</w:t>
      </w:r>
    </w:p>
  </w:footnote>
  <w:footnote w:id="204">
    <w:p w14:paraId="08F94A01" w14:textId="6D6A1B30" w:rsidR="008230A0" w:rsidRPr="00053304" w:rsidRDefault="008230A0" w:rsidP="00053304">
      <w:pPr>
        <w:spacing w:before="120" w:after="120"/>
        <w:jc w:val="both"/>
        <w:rPr>
          <w:rFonts w:ascii="Verdana" w:hAnsi="Verdana" w:cs="Calibri"/>
          <w:sz w:val="16"/>
          <w:szCs w:val="16"/>
        </w:rPr>
      </w:pPr>
      <w:r w:rsidRPr="00053304">
        <w:rPr>
          <w:rStyle w:val="Refdenotaalpie"/>
          <w:rFonts w:ascii="Verdana" w:hAnsi="Verdana" w:cs="Calibri"/>
          <w:sz w:val="16"/>
          <w:szCs w:val="16"/>
        </w:rPr>
        <w:footnoteRef/>
      </w:r>
      <w:r w:rsidR="7CDFE7CF" w:rsidRPr="00053304">
        <w:rPr>
          <w:rFonts w:ascii="Verdana" w:hAnsi="Verdana" w:cs="Calibri"/>
          <w:sz w:val="16"/>
          <w:szCs w:val="16"/>
        </w:rPr>
        <w:t xml:space="preserve"> </w:t>
      </w:r>
      <w:r w:rsidRPr="00053304">
        <w:rPr>
          <w:rFonts w:ascii="Verdana" w:hAnsi="Verdana" w:cs="Calibri"/>
          <w:sz w:val="16"/>
          <w:szCs w:val="16"/>
        </w:rPr>
        <w:tab/>
      </w:r>
      <w:r w:rsidR="7CDFE7CF" w:rsidRPr="00053304">
        <w:rPr>
          <w:rFonts w:ascii="Verdana" w:hAnsi="Verdana"/>
          <w:i/>
          <w:iCs/>
          <w:sz w:val="16"/>
          <w:szCs w:val="16"/>
        </w:rPr>
        <w:t>Cfr</w:t>
      </w:r>
      <w:r w:rsidR="7CDFE7CF" w:rsidRPr="00053304">
        <w:rPr>
          <w:rFonts w:ascii="Verdana" w:hAnsi="Verdana"/>
          <w:sz w:val="16"/>
          <w:szCs w:val="16"/>
        </w:rPr>
        <w:t xml:space="preserve">. </w:t>
      </w:r>
      <w:r w:rsidR="7CDFE7CF" w:rsidRPr="00053304">
        <w:rPr>
          <w:rFonts w:ascii="Verdana" w:hAnsi="Verdana"/>
          <w:i/>
          <w:iCs/>
          <w:sz w:val="16"/>
          <w:szCs w:val="16"/>
        </w:rPr>
        <w:t>Caso Argüelles y otros Vs. Argentina</w:t>
      </w:r>
      <w:r w:rsidR="3BF92891" w:rsidRPr="00053304">
        <w:rPr>
          <w:rFonts w:ascii="Verdana" w:hAnsi="Verdana"/>
          <w:i/>
          <w:iCs/>
          <w:sz w:val="16"/>
          <w:szCs w:val="16"/>
        </w:rPr>
        <w:t>. Excepciones Preliminares, Fondo, Reparaciones y Costas.</w:t>
      </w:r>
      <w:r w:rsidR="3BF92891" w:rsidRPr="00053304">
        <w:rPr>
          <w:rFonts w:ascii="Verdana" w:hAnsi="Verdana"/>
          <w:sz w:val="16"/>
          <w:szCs w:val="16"/>
        </w:rPr>
        <w:t xml:space="preserve"> Sentencia de 20 de noviembre de 2014. Serie C No. 288</w:t>
      </w:r>
      <w:r w:rsidR="7CDFE7CF" w:rsidRPr="00053304">
        <w:rPr>
          <w:rFonts w:ascii="Verdana" w:hAnsi="Verdana"/>
          <w:i/>
          <w:iCs/>
          <w:sz w:val="16"/>
          <w:szCs w:val="16"/>
        </w:rPr>
        <w:t xml:space="preserve"> </w:t>
      </w:r>
      <w:r w:rsidR="7CDFE7CF" w:rsidRPr="00053304">
        <w:rPr>
          <w:rFonts w:ascii="Verdana" w:hAnsi="Verdana"/>
          <w:sz w:val="16"/>
          <w:szCs w:val="16"/>
        </w:rPr>
        <w:t xml:space="preserve">párr. 120; </w:t>
      </w:r>
      <w:r w:rsidR="7CDFE7CF" w:rsidRPr="00053304">
        <w:rPr>
          <w:rFonts w:ascii="Verdana" w:hAnsi="Verdana"/>
          <w:i/>
          <w:iCs/>
          <w:sz w:val="16"/>
          <w:szCs w:val="16"/>
        </w:rPr>
        <w:t xml:space="preserve">Caso Mujeres Víctimas de Tortura Sexual en Atenco Vs. México, </w:t>
      </w:r>
      <w:r w:rsidR="3BF92891" w:rsidRPr="00053304">
        <w:rPr>
          <w:rFonts w:ascii="Verdana" w:hAnsi="Verdana"/>
          <w:i/>
          <w:iCs/>
          <w:sz w:val="16"/>
          <w:szCs w:val="16"/>
        </w:rPr>
        <w:t xml:space="preserve">supra, </w:t>
      </w:r>
      <w:r w:rsidR="7CDFE7CF" w:rsidRPr="00053304">
        <w:rPr>
          <w:rFonts w:ascii="Verdana" w:hAnsi="Verdana"/>
          <w:sz w:val="16"/>
          <w:szCs w:val="16"/>
        </w:rPr>
        <w:t xml:space="preserve">párr. 251, </w:t>
      </w:r>
      <w:r w:rsidR="3BF92891" w:rsidRPr="00053304">
        <w:rPr>
          <w:rFonts w:ascii="Verdana" w:eastAsia="Verdana" w:hAnsi="Verdana" w:cs="Verdana"/>
          <w:i/>
          <w:iCs/>
          <w:sz w:val="16"/>
          <w:szCs w:val="16"/>
        </w:rPr>
        <w:t>Caso Jenkins Vs. Argentina. Excepciones Preliminares, Fondo, Reparaciones y Costas.</w:t>
      </w:r>
      <w:r w:rsidR="3BF92891" w:rsidRPr="00053304">
        <w:rPr>
          <w:rFonts w:ascii="Verdana" w:eastAsia="Verdana" w:hAnsi="Verdana" w:cs="Verdana"/>
          <w:sz w:val="16"/>
          <w:szCs w:val="16"/>
        </w:rPr>
        <w:t xml:space="preserve"> Sentencia de 26 de noviembre de 2019. Serie C No. 397, párr. 71</w:t>
      </w:r>
      <w:r w:rsidR="003717DD" w:rsidRPr="00053304">
        <w:rPr>
          <w:rFonts w:ascii="Verdana" w:eastAsia="Verdana" w:hAnsi="Verdana" w:cs="Verdana"/>
          <w:sz w:val="16"/>
          <w:szCs w:val="16"/>
        </w:rPr>
        <w:t xml:space="preserve">, </w:t>
      </w:r>
      <w:r w:rsidR="003717DD" w:rsidRPr="00053304">
        <w:rPr>
          <w:rFonts w:ascii="Verdana" w:hAnsi="Verdana"/>
          <w:sz w:val="16"/>
          <w:szCs w:val="16"/>
        </w:rPr>
        <w:t>y</w:t>
      </w:r>
      <w:r w:rsidR="003717DD" w:rsidRPr="00053304">
        <w:rPr>
          <w:rFonts w:ascii="Verdana" w:eastAsia="Verdana" w:hAnsi="Verdana" w:cs="Verdana"/>
          <w:sz w:val="16"/>
          <w:szCs w:val="16"/>
        </w:rPr>
        <w:t xml:space="preserve"> </w:t>
      </w:r>
      <w:r w:rsidR="003717DD" w:rsidRPr="00053304">
        <w:rPr>
          <w:rFonts w:ascii="Verdana" w:eastAsia="Verdana" w:hAnsi="Verdana" w:cs="Verdana"/>
          <w:i/>
          <w:iCs/>
          <w:sz w:val="16"/>
          <w:szCs w:val="16"/>
        </w:rPr>
        <w:t xml:space="preserve">Caso Tzompaxtle Tecpile y otros Vs. México, supra, </w:t>
      </w:r>
      <w:r w:rsidR="003717DD" w:rsidRPr="00053304">
        <w:rPr>
          <w:rFonts w:ascii="Verdana" w:eastAsia="Verdana" w:hAnsi="Verdana" w:cs="Verdana"/>
          <w:sz w:val="16"/>
          <w:szCs w:val="16"/>
        </w:rPr>
        <w:t>párr. 113.</w:t>
      </w:r>
      <w:r w:rsidRPr="00053304">
        <w:rPr>
          <w:rFonts w:ascii="Verdana" w:hAnsi="Verdana" w:cs="Calibri"/>
          <w:sz w:val="16"/>
          <w:szCs w:val="16"/>
        </w:rPr>
        <w:tab/>
      </w:r>
    </w:p>
  </w:footnote>
  <w:footnote w:id="205">
    <w:p w14:paraId="1A01C077" w14:textId="1AA1E897" w:rsidR="00D326ED" w:rsidRPr="00053304" w:rsidRDefault="00D326ED"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 lo anterior corresponde recordar que José Ramón Cossío Díaz, quien declaró como perito en el presente caso, indicó que “las figuras de arraigo y la prisión preventiva oficiosa previstas en la Constitución mexicana no son compatibles con los estándares interamericanos sobre libertad personal, tutela judicial, garantías judiciales y presunción de inocencia. Ambas figuras constitucionales carecen de idoneidad para cumplir con el fin que se busca alcanzar y son desproporcionadas al restringir de manera desmedida el derecho a la libertad con respecto a las ventajas que con ellas podrían llegar a obtenerse”. El perito agregó que “a partir de la entrada en vigor de las reformas al artículo 19 de la Constitución que establecen el carácter oficioso o automático de la prisión preventiva, en función del delito por el que se formule imputación y se vincule a proceso, se eliminó el carácter excepcional de la prisión preventiva”.</w:t>
      </w:r>
      <w:r w:rsidRPr="00053304">
        <w:rPr>
          <w:rFonts w:ascii="Verdana" w:hAnsi="Verdana"/>
          <w:snapToGrid w:val="0"/>
          <w:spacing w:val="-2"/>
          <w:szCs w:val="16"/>
          <w:lang w:eastAsia="es-ES"/>
        </w:rPr>
        <w:t xml:space="preserve"> </w:t>
      </w:r>
      <w:r w:rsidRPr="00053304">
        <w:rPr>
          <w:rFonts w:ascii="Verdana" w:hAnsi="Verdana"/>
          <w:iCs/>
          <w:szCs w:val="16"/>
        </w:rPr>
        <w:t xml:space="preserve">Del mismo modo, Rogelio Arturo Bárcena Zubieta, perito ofrecido por el Estado, declaró durante la audiencia pública que “la prisión preventiva oficiosa, no solo es contraria a los estándares interamericanos, sino que incluso […] es contraria a la propia </w:t>
      </w:r>
      <w:r w:rsidR="00283D88" w:rsidRPr="00053304">
        <w:rPr>
          <w:rFonts w:ascii="Verdana" w:hAnsi="Verdana"/>
          <w:iCs/>
          <w:szCs w:val="16"/>
        </w:rPr>
        <w:t>C</w:t>
      </w:r>
      <w:r w:rsidRPr="00053304">
        <w:rPr>
          <w:rFonts w:ascii="Verdana" w:hAnsi="Verdana"/>
          <w:iCs/>
          <w:szCs w:val="16"/>
        </w:rPr>
        <w:t xml:space="preserve">onstitución, porque es cierto que la constitución dice que se ordenará, los jueces deben ordenar oficiosamente la prisión en ciertos delitos, pero se les olvida leer que arriba de esa frase la </w:t>
      </w:r>
      <w:r w:rsidR="00283D88" w:rsidRPr="00053304">
        <w:rPr>
          <w:rFonts w:ascii="Verdana" w:hAnsi="Verdana"/>
          <w:iCs/>
          <w:szCs w:val="16"/>
        </w:rPr>
        <w:t>C</w:t>
      </w:r>
      <w:r w:rsidRPr="00053304">
        <w:rPr>
          <w:rFonts w:ascii="Verdana" w:hAnsi="Verdana"/>
          <w:iCs/>
          <w:szCs w:val="16"/>
        </w:rPr>
        <w:t xml:space="preserve">onstitución también establece que las medidas cautelares tienen que cumplir con objetivos de cautela, […], claramente hay un problema […], de tensión o de violación directa de lo que establecen los estándares internacionales, incluso ya hasta con la división de poderes, porque si uno interpreta como se ha interpretado en la práctica, la prisión preventiva oficiosa, lo que implica es que los jueces, […], no pueden ejercer la jurisdicción, porque el legislador ya les dijo que lo que tienen que hacer […]”. </w:t>
      </w:r>
      <w:r w:rsidRPr="00053304">
        <w:rPr>
          <w:rFonts w:ascii="Verdana" w:hAnsi="Verdana"/>
          <w:szCs w:val="16"/>
        </w:rPr>
        <w:t xml:space="preserve">Versión escrita de la </w:t>
      </w:r>
      <w:r w:rsidRPr="00053304">
        <w:rPr>
          <w:rFonts w:ascii="Verdana" w:hAnsi="Verdana"/>
          <w:iCs/>
          <w:szCs w:val="16"/>
        </w:rPr>
        <w:t>Declaración pericial de José Ramón Cossío Díaz durante la audiencia pública del presente caso (expediente de fondo, folio 1252)</w:t>
      </w:r>
      <w:r w:rsidR="00231AB1" w:rsidRPr="00053304">
        <w:rPr>
          <w:rFonts w:ascii="Verdana" w:hAnsi="Verdana"/>
          <w:iCs/>
          <w:szCs w:val="16"/>
        </w:rPr>
        <w:t>;</w:t>
      </w:r>
      <w:r w:rsidRPr="00053304">
        <w:rPr>
          <w:rFonts w:ascii="Verdana" w:hAnsi="Verdana"/>
          <w:iCs/>
          <w:szCs w:val="16"/>
        </w:rPr>
        <w:t xml:space="preserve"> Declaración pericial de José Ramón Cossío Díaz durante la audiencia pública del presente caso, y Declaración pericial de Rogelio Arturo Bárcena Zubieta durante la audiencia pública del presente caso.</w:t>
      </w:r>
    </w:p>
  </w:footnote>
  <w:footnote w:id="206">
    <w:p w14:paraId="3EB77715" w14:textId="0A43638D" w:rsidR="00497B71" w:rsidRPr="00053304" w:rsidRDefault="00497B71" w:rsidP="00053304">
      <w:pPr>
        <w:autoSpaceDE w:val="0"/>
        <w:autoSpaceDN w:val="0"/>
        <w:spacing w:before="120" w:after="120"/>
        <w:jc w:val="both"/>
        <w:rPr>
          <w:rFonts w:ascii="Verdana" w:hAnsi="Verdana"/>
          <w:sz w:val="16"/>
          <w:szCs w:val="16"/>
        </w:rPr>
      </w:pPr>
      <w:r w:rsidRPr="00053304">
        <w:rPr>
          <w:rStyle w:val="Refdenotaalpie"/>
          <w:rFonts w:ascii="Verdana" w:eastAsia="Batang" w:hAnsi="Verdana"/>
          <w:sz w:val="16"/>
          <w:szCs w:val="16"/>
        </w:rPr>
        <w:footnoteRef/>
      </w:r>
      <w:r w:rsidRPr="00053304">
        <w:rPr>
          <w:rFonts w:ascii="Verdana" w:hAnsi="Verdana"/>
          <w:sz w:val="16"/>
          <w:szCs w:val="16"/>
        </w:rPr>
        <w:tab/>
      </w:r>
      <w:r w:rsidR="7CDFE7CF" w:rsidRPr="00053304">
        <w:rPr>
          <w:rFonts w:ascii="Verdana" w:hAnsi="Verdana"/>
          <w:i/>
          <w:iCs/>
          <w:sz w:val="16"/>
          <w:szCs w:val="16"/>
        </w:rPr>
        <w:t xml:space="preserve">Cfr. </w:t>
      </w:r>
      <w:r w:rsidR="7CDFE7CF" w:rsidRPr="00053304">
        <w:rPr>
          <w:rStyle w:val="Textoennegrita"/>
          <w:rFonts w:ascii="Verdana" w:hAnsi="Verdana"/>
          <w:b w:val="0"/>
          <w:bCs w:val="0"/>
          <w:i/>
          <w:iCs/>
          <w:sz w:val="16"/>
          <w:szCs w:val="16"/>
        </w:rPr>
        <w:t>Condición jurídica y derechos de los migrantes indocumentados</w:t>
      </w:r>
      <w:r w:rsidR="7CDFE7CF" w:rsidRPr="00053304">
        <w:rPr>
          <w:rStyle w:val="Textoennegrita"/>
          <w:rFonts w:ascii="Verdana" w:hAnsi="Verdana"/>
          <w:b w:val="0"/>
          <w:bCs w:val="0"/>
          <w:sz w:val="16"/>
          <w:szCs w:val="16"/>
        </w:rPr>
        <w:t>. Opinión Consultiva OC-18/03 de 17 de septiembre de 2003. Serie A No. 18</w:t>
      </w:r>
      <w:r w:rsidR="7CDFE7CF" w:rsidRPr="00053304">
        <w:rPr>
          <w:rStyle w:val="apple-style-span"/>
          <w:rFonts w:ascii="Verdana" w:hAnsi="Verdana"/>
          <w:sz w:val="16"/>
          <w:szCs w:val="16"/>
        </w:rPr>
        <w:t xml:space="preserve">, </w:t>
      </w:r>
      <w:r w:rsidR="7CDFE7CF" w:rsidRPr="00053304">
        <w:rPr>
          <w:rFonts w:ascii="Verdana" w:hAnsi="Verdana"/>
          <w:sz w:val="16"/>
          <w:szCs w:val="16"/>
        </w:rPr>
        <w:t xml:space="preserve">párr. 103, </w:t>
      </w:r>
      <w:r w:rsidR="7CDFE7CF" w:rsidRPr="00053304">
        <w:rPr>
          <w:rFonts w:ascii="Verdana" w:hAnsi="Verdana"/>
          <w:i/>
          <w:iCs/>
          <w:sz w:val="16"/>
          <w:szCs w:val="16"/>
        </w:rPr>
        <w:t xml:space="preserve">Caso Ramírez Escobar y otros Vs. Guatemala. Fondo, Reparaciones y Costas. </w:t>
      </w:r>
      <w:r w:rsidR="3BF92891" w:rsidRPr="00053304">
        <w:rPr>
          <w:rFonts w:ascii="Verdana" w:hAnsi="Verdana"/>
          <w:sz w:val="16"/>
          <w:szCs w:val="16"/>
        </w:rPr>
        <w:t>Sentencia de 9 de marzo de 2018. Serie C No. 351, párr. 270</w:t>
      </w:r>
      <w:r w:rsidR="003717DD" w:rsidRPr="00053304">
        <w:rPr>
          <w:rFonts w:ascii="Verdana" w:hAnsi="Verdana"/>
          <w:sz w:val="16"/>
          <w:szCs w:val="16"/>
        </w:rPr>
        <w:t xml:space="preserve">. </w:t>
      </w:r>
    </w:p>
  </w:footnote>
  <w:footnote w:id="207">
    <w:p w14:paraId="1F603E97" w14:textId="2725EC7F" w:rsidR="00497B71" w:rsidRPr="00053304" w:rsidRDefault="00497B71" w:rsidP="00053304">
      <w:pPr>
        <w:pStyle w:val="Textonotapie"/>
        <w:jc w:val="both"/>
        <w:rPr>
          <w:rFonts w:ascii="Verdana" w:hAnsi="Verdana"/>
          <w:szCs w:val="16"/>
        </w:rPr>
      </w:pPr>
      <w:r w:rsidRPr="00053304">
        <w:rPr>
          <w:rStyle w:val="Refdenotaalpie"/>
          <w:rFonts w:ascii="Verdana" w:eastAsia="Batang"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i/>
          <w:iCs/>
          <w:szCs w:val="16"/>
        </w:rPr>
        <w:t xml:space="preserve">Caso Apitz Barbera y otros (“Corte Primera de lo Contencioso Administrativo”) Vs. Venezuela. Excepción Preliminar, Fondo, Reparaciones y Costas. </w:t>
      </w:r>
      <w:r w:rsidRPr="00053304">
        <w:rPr>
          <w:rFonts w:ascii="Verdana" w:hAnsi="Verdana"/>
          <w:szCs w:val="16"/>
        </w:rPr>
        <w:t xml:space="preserve">Sentencia de 5 de agosto de 2008. Serie C No. 182, párr. 209; </w:t>
      </w:r>
      <w:r w:rsidRPr="00053304">
        <w:rPr>
          <w:rFonts w:ascii="Verdana" w:hAnsi="Verdana"/>
          <w:i/>
          <w:iCs/>
          <w:szCs w:val="16"/>
        </w:rPr>
        <w:t>Caso Ramírez Escobar y otros Vs. Guatemala, supra</w:t>
      </w:r>
      <w:r w:rsidRPr="00053304">
        <w:rPr>
          <w:rFonts w:ascii="Verdana" w:hAnsi="Verdana"/>
          <w:szCs w:val="16"/>
        </w:rPr>
        <w:t>, párr. 272, y</w:t>
      </w:r>
      <w:r w:rsidRPr="00053304">
        <w:rPr>
          <w:rFonts w:ascii="Verdana" w:eastAsia="Verdana" w:hAnsi="Verdana" w:cs="Verdana"/>
          <w:i/>
          <w:iCs/>
          <w:szCs w:val="16"/>
        </w:rPr>
        <w:t xml:space="preserve"> </w:t>
      </w:r>
      <w:r w:rsidR="3BF92891" w:rsidRPr="00053304">
        <w:rPr>
          <w:rFonts w:ascii="Verdana" w:eastAsia="Verdana" w:hAnsi="Verdana" w:cs="Verdana"/>
          <w:i/>
          <w:iCs/>
          <w:szCs w:val="16"/>
        </w:rPr>
        <w:t xml:space="preserve">Caso Montesinos Mejía Vs. Ecuador, supra, </w:t>
      </w:r>
      <w:r w:rsidR="3BF92891" w:rsidRPr="00053304">
        <w:rPr>
          <w:rFonts w:ascii="Verdana" w:eastAsia="Verdana" w:hAnsi="Verdana" w:cs="Verdana"/>
          <w:szCs w:val="16"/>
        </w:rPr>
        <w:t>párr. 115</w:t>
      </w:r>
      <w:r w:rsidRPr="00053304">
        <w:rPr>
          <w:rFonts w:ascii="Verdana" w:hAnsi="Verdana"/>
          <w:szCs w:val="16"/>
        </w:rPr>
        <w:t>.</w:t>
      </w:r>
    </w:p>
  </w:footnote>
  <w:footnote w:id="208">
    <w:p w14:paraId="4A4DF827" w14:textId="7D1EC04E" w:rsidR="00497B71" w:rsidRPr="00053304" w:rsidRDefault="00497B71" w:rsidP="00053304">
      <w:pPr>
        <w:pStyle w:val="Textonotapie"/>
        <w:jc w:val="both"/>
        <w:rPr>
          <w:rFonts w:ascii="Verdana" w:hAnsi="Verdana" w:cs="Vrinda"/>
          <w:spacing w:val="-4"/>
          <w:szCs w:val="16"/>
        </w:rPr>
      </w:pPr>
      <w:r w:rsidRPr="00053304">
        <w:rPr>
          <w:rStyle w:val="Refdenotaalpie"/>
          <w:rFonts w:ascii="Verdana" w:eastAsia="Batang" w:hAnsi="Verdana" w:cs="Vrinda"/>
          <w:spacing w:val="-4"/>
          <w:szCs w:val="16"/>
        </w:rPr>
        <w:footnoteRef/>
      </w:r>
      <w:r w:rsidRPr="00053304">
        <w:rPr>
          <w:rFonts w:ascii="Verdana" w:hAnsi="Verdana" w:cs="Vrinda"/>
          <w:spacing w:val="-4"/>
          <w:szCs w:val="16"/>
          <w:lang w:val="es-UY"/>
        </w:rPr>
        <w:t xml:space="preserve"> </w:t>
      </w:r>
      <w:r w:rsidRPr="00053304">
        <w:rPr>
          <w:rFonts w:ascii="Verdana" w:hAnsi="Verdana" w:cs="Vrinda"/>
          <w:spacing w:val="-4"/>
          <w:szCs w:val="16"/>
          <w:lang w:val="es-UY"/>
        </w:rPr>
        <w:tab/>
      </w:r>
      <w:r w:rsidRPr="00053304">
        <w:rPr>
          <w:rFonts w:ascii="Verdana" w:hAnsi="Verdana" w:cs="Vrinda"/>
          <w:i/>
          <w:spacing w:val="-4"/>
          <w:szCs w:val="16"/>
        </w:rPr>
        <w:t xml:space="preserve">Cfr. </w:t>
      </w:r>
      <w:r w:rsidRPr="00053304">
        <w:rPr>
          <w:rFonts w:ascii="Verdana" w:hAnsi="Verdana"/>
          <w:i/>
          <w:szCs w:val="16"/>
        </w:rPr>
        <w:t xml:space="preserve">Condición Jurídica y Derechos Humanos del Niño. </w:t>
      </w:r>
      <w:r w:rsidRPr="00053304">
        <w:rPr>
          <w:rFonts w:ascii="Verdana" w:hAnsi="Verdana"/>
          <w:szCs w:val="16"/>
        </w:rPr>
        <w:t>Opinión Consultiva OC-17/02 del 28 de agosto de 2002. Serie A No. 17</w:t>
      </w:r>
      <w:r w:rsidRPr="00053304">
        <w:rPr>
          <w:rFonts w:ascii="Verdana" w:hAnsi="Verdana"/>
          <w:i/>
          <w:szCs w:val="16"/>
        </w:rPr>
        <w:t xml:space="preserve">, </w:t>
      </w:r>
      <w:r w:rsidRPr="00053304">
        <w:rPr>
          <w:rFonts w:ascii="Verdana" w:hAnsi="Verdana"/>
          <w:szCs w:val="16"/>
        </w:rPr>
        <w:t>párr</w:t>
      </w:r>
      <w:r w:rsidRPr="00053304">
        <w:rPr>
          <w:rFonts w:ascii="Verdana" w:hAnsi="Verdana"/>
          <w:i/>
          <w:szCs w:val="16"/>
        </w:rPr>
        <w:t xml:space="preserve">. </w:t>
      </w:r>
      <w:r w:rsidRPr="00053304">
        <w:rPr>
          <w:rFonts w:ascii="Verdana" w:hAnsi="Verdana" w:cs="Vrinda"/>
          <w:spacing w:val="-4"/>
          <w:szCs w:val="16"/>
        </w:rPr>
        <w:t xml:space="preserve">46, </w:t>
      </w:r>
      <w:r w:rsidRPr="00053304">
        <w:rPr>
          <w:rFonts w:ascii="Verdana" w:hAnsi="Verdana"/>
          <w:i/>
          <w:szCs w:val="16"/>
        </w:rPr>
        <w:t xml:space="preserve">Caso Flor Freire Vs. Ecuador. Excepción Preliminar, Fondo, Reparaciones y Costas. </w:t>
      </w:r>
      <w:r w:rsidRPr="00053304">
        <w:rPr>
          <w:rFonts w:ascii="Verdana" w:hAnsi="Verdana"/>
          <w:szCs w:val="16"/>
        </w:rPr>
        <w:t>Sentencia de 31 de agosto de 2016. Serie C No. 315</w:t>
      </w:r>
      <w:r w:rsidRPr="00053304">
        <w:rPr>
          <w:rFonts w:ascii="Verdana" w:hAnsi="Verdana"/>
          <w:i/>
          <w:szCs w:val="16"/>
        </w:rPr>
        <w:t xml:space="preserve">, </w:t>
      </w:r>
      <w:r w:rsidRPr="00053304">
        <w:rPr>
          <w:rFonts w:ascii="Verdana" w:hAnsi="Verdana"/>
          <w:szCs w:val="16"/>
        </w:rPr>
        <w:t>párr</w:t>
      </w:r>
      <w:r w:rsidRPr="00053304">
        <w:rPr>
          <w:rFonts w:ascii="Verdana" w:hAnsi="Verdana"/>
          <w:i/>
          <w:szCs w:val="16"/>
        </w:rPr>
        <w:t xml:space="preserve">. </w:t>
      </w:r>
      <w:r w:rsidRPr="00053304">
        <w:rPr>
          <w:rFonts w:ascii="Verdana" w:hAnsi="Verdana" w:cs="Vrinda"/>
          <w:spacing w:val="-4"/>
          <w:szCs w:val="16"/>
        </w:rPr>
        <w:t>125</w:t>
      </w:r>
      <w:r w:rsidR="003717DD" w:rsidRPr="00053304">
        <w:rPr>
          <w:rFonts w:ascii="Verdana" w:hAnsi="Verdana" w:cs="Vrinda"/>
          <w:spacing w:val="-4"/>
          <w:szCs w:val="16"/>
        </w:rPr>
        <w:t xml:space="preserve">, y </w:t>
      </w:r>
      <w:r w:rsidR="003717DD" w:rsidRPr="00053304">
        <w:rPr>
          <w:rFonts w:ascii="Verdana" w:hAnsi="Verdana" w:cs="Vrinda"/>
          <w:i/>
          <w:iCs/>
          <w:spacing w:val="-4"/>
          <w:szCs w:val="16"/>
        </w:rPr>
        <w:t>Caso Guevara Díaz Vs. Costa Rica. Fondo, Reparaciones y Costas</w:t>
      </w:r>
      <w:r w:rsidR="003717DD" w:rsidRPr="00053304">
        <w:rPr>
          <w:rFonts w:ascii="Verdana" w:hAnsi="Verdana" w:cs="Vrinda"/>
          <w:spacing w:val="-4"/>
          <w:szCs w:val="16"/>
        </w:rPr>
        <w:t>. Sentencia de 22 de junio de 2022. Serie C No. 453, párr. 49.</w:t>
      </w:r>
    </w:p>
  </w:footnote>
  <w:footnote w:id="209">
    <w:p w14:paraId="2C35CD15" w14:textId="493FD336" w:rsidR="00497B71" w:rsidRPr="00053304" w:rsidRDefault="00497B71" w:rsidP="00053304">
      <w:pPr>
        <w:pStyle w:val="Textonotapie"/>
        <w:jc w:val="both"/>
        <w:rPr>
          <w:rFonts w:ascii="Verdana" w:hAnsi="Verdana" w:cs="Vrinda"/>
          <w:spacing w:val="-4"/>
          <w:szCs w:val="16"/>
        </w:rPr>
      </w:pPr>
      <w:r w:rsidRPr="00053304">
        <w:rPr>
          <w:rStyle w:val="Refdenotaalpie"/>
          <w:rFonts w:ascii="Verdana" w:eastAsia="Batang" w:hAnsi="Verdana" w:cs="Vrinda"/>
          <w:spacing w:val="-4"/>
          <w:szCs w:val="16"/>
        </w:rPr>
        <w:footnoteRef/>
      </w:r>
      <w:r w:rsidR="7CDFE7CF" w:rsidRPr="00053304">
        <w:rPr>
          <w:rFonts w:ascii="Verdana" w:hAnsi="Verdana" w:cs="Vrinda"/>
          <w:spacing w:val="-4"/>
          <w:szCs w:val="16"/>
        </w:rPr>
        <w:t xml:space="preserve"> </w:t>
      </w:r>
      <w:r w:rsidRPr="00053304">
        <w:rPr>
          <w:rFonts w:ascii="Verdana" w:hAnsi="Verdana" w:cs="Vrinda"/>
          <w:spacing w:val="-4"/>
          <w:szCs w:val="16"/>
        </w:rPr>
        <w:tab/>
      </w:r>
      <w:r w:rsidR="7CDFE7CF" w:rsidRPr="00053304">
        <w:rPr>
          <w:rFonts w:ascii="Verdana" w:hAnsi="Verdana" w:cs="Vrinda"/>
          <w:i/>
          <w:iCs/>
          <w:spacing w:val="-4"/>
          <w:szCs w:val="16"/>
        </w:rPr>
        <w:t xml:space="preserve">Cfr. </w:t>
      </w:r>
      <w:r w:rsidR="7CDFE7CF" w:rsidRPr="00053304">
        <w:rPr>
          <w:rStyle w:val="Textoennegrita"/>
          <w:rFonts w:ascii="Verdana" w:hAnsi="Verdana" w:cs="Vrinda"/>
          <w:b w:val="0"/>
          <w:bCs w:val="0"/>
          <w:i/>
          <w:iCs/>
          <w:spacing w:val="-4"/>
          <w:szCs w:val="16"/>
          <w:lang w:val="es-GT"/>
        </w:rPr>
        <w:t xml:space="preserve">Caso Norín Catrimán (Dirigentes, Miembros y Activista del Pueblo Indígena Mapuche) y otros Vs. Chile. Fondo, Reparaciones y Costas. </w:t>
      </w:r>
      <w:r w:rsidR="7CDFE7CF" w:rsidRPr="00053304">
        <w:rPr>
          <w:rStyle w:val="Textoennegrita"/>
          <w:rFonts w:ascii="Verdana" w:hAnsi="Verdana" w:cs="Vrinda"/>
          <w:b w:val="0"/>
          <w:bCs w:val="0"/>
          <w:spacing w:val="-4"/>
          <w:szCs w:val="16"/>
          <w:lang w:val="es-GT"/>
        </w:rPr>
        <w:t>Sentencia de 29 de mayo de 2014. Serie C No. 279</w:t>
      </w:r>
      <w:r w:rsidR="7CDFE7CF" w:rsidRPr="00053304">
        <w:rPr>
          <w:rStyle w:val="Textoennegrita"/>
          <w:rFonts w:ascii="Verdana" w:hAnsi="Verdana" w:cs="Vrinda"/>
          <w:b w:val="0"/>
          <w:bCs w:val="0"/>
          <w:i/>
          <w:iCs/>
          <w:spacing w:val="-4"/>
          <w:szCs w:val="16"/>
          <w:lang w:val="es-GT"/>
        </w:rPr>
        <w:t>,</w:t>
      </w:r>
      <w:r w:rsidR="7CDFE7CF" w:rsidRPr="00053304">
        <w:rPr>
          <w:rFonts w:ascii="Verdana" w:hAnsi="Verdana" w:cs="Vrinda"/>
          <w:i/>
          <w:iCs/>
          <w:spacing w:val="-4"/>
          <w:szCs w:val="16"/>
        </w:rPr>
        <w:t xml:space="preserve"> </w:t>
      </w:r>
      <w:r w:rsidR="7CDFE7CF" w:rsidRPr="00053304">
        <w:rPr>
          <w:rFonts w:ascii="Verdana" w:hAnsi="Verdana" w:cs="Vrinda"/>
          <w:spacing w:val="-4"/>
          <w:szCs w:val="16"/>
        </w:rPr>
        <w:t xml:space="preserve">párr. 200; </w:t>
      </w:r>
      <w:r w:rsidR="7CDFE7CF" w:rsidRPr="00053304">
        <w:rPr>
          <w:rFonts w:ascii="Verdana" w:hAnsi="Verdana"/>
          <w:i/>
          <w:iCs/>
          <w:szCs w:val="16"/>
        </w:rPr>
        <w:t xml:space="preserve">Caso Flor Freire Vs. Ecuador, supra, </w:t>
      </w:r>
      <w:r w:rsidR="7CDFE7CF" w:rsidRPr="00053304">
        <w:rPr>
          <w:rFonts w:ascii="Verdana" w:hAnsi="Verdana"/>
          <w:szCs w:val="16"/>
        </w:rPr>
        <w:t>párr</w:t>
      </w:r>
      <w:r w:rsidR="7CDFE7CF" w:rsidRPr="00053304">
        <w:rPr>
          <w:rFonts w:ascii="Verdana" w:hAnsi="Verdana"/>
          <w:i/>
          <w:iCs/>
          <w:szCs w:val="16"/>
        </w:rPr>
        <w:t xml:space="preserve">. </w:t>
      </w:r>
      <w:r w:rsidR="7CDFE7CF" w:rsidRPr="00053304">
        <w:rPr>
          <w:rFonts w:ascii="Verdana" w:hAnsi="Verdana" w:cs="Vrinda"/>
          <w:spacing w:val="-4"/>
          <w:szCs w:val="16"/>
        </w:rPr>
        <w:t>125</w:t>
      </w:r>
      <w:r w:rsidR="003717DD" w:rsidRPr="00053304">
        <w:rPr>
          <w:rFonts w:ascii="Verdana" w:hAnsi="Verdana" w:cs="Vrinda"/>
          <w:spacing w:val="-4"/>
          <w:szCs w:val="16"/>
        </w:rPr>
        <w:t xml:space="preserve">, y </w:t>
      </w:r>
      <w:r w:rsidR="003717DD" w:rsidRPr="00053304">
        <w:rPr>
          <w:rFonts w:ascii="Verdana" w:hAnsi="Verdana" w:cs="Vrinda"/>
          <w:i/>
          <w:iCs/>
          <w:spacing w:val="-4"/>
          <w:szCs w:val="16"/>
        </w:rPr>
        <w:t>Caso Guevara Díaz Vs. Costa Rica, supra</w:t>
      </w:r>
      <w:r w:rsidR="003717DD" w:rsidRPr="00053304">
        <w:rPr>
          <w:rFonts w:ascii="Verdana" w:hAnsi="Verdana" w:cs="Vrinda"/>
          <w:spacing w:val="-4"/>
          <w:szCs w:val="16"/>
        </w:rPr>
        <w:t>, párr. 49</w:t>
      </w:r>
    </w:p>
  </w:footnote>
  <w:footnote w:id="210">
    <w:p w14:paraId="76409D2C" w14:textId="6FAC5A0A" w:rsidR="009E5118" w:rsidRPr="00053304" w:rsidRDefault="009E511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Pr="00053304">
        <w:rPr>
          <w:rFonts w:ascii="Verdana" w:hAnsi="Verdana"/>
          <w:szCs w:val="16"/>
        </w:rPr>
        <w:t xml:space="preserve">Véase la versión escrita de la </w:t>
      </w:r>
      <w:r w:rsidRPr="00053304">
        <w:rPr>
          <w:rFonts w:ascii="Verdana" w:hAnsi="Verdana"/>
          <w:iCs/>
          <w:szCs w:val="16"/>
        </w:rPr>
        <w:t xml:space="preserve">Declaración pericial de Rogelio Arturo Bárcena Zubieta durante la audiencia pública del presente caso (expediente de fondo, folio 1238). El declarante recordó que la “reforma constitucional en materia de derechos humanos de 10 de junio de 2011 obligó a todos los operadores jurídicos y específicamente la SCJN a replantear la posición jerárquica de los derechos humanos de fuente internacional en México. En ese contexto, la contradicción de tesis 293/2011 representa un fallo </w:t>
      </w:r>
      <w:r w:rsidR="006B53AC" w:rsidRPr="00053304">
        <w:rPr>
          <w:rFonts w:ascii="Verdana" w:hAnsi="Verdana"/>
          <w:iCs/>
          <w:szCs w:val="16"/>
        </w:rPr>
        <w:t>trascendental</w:t>
      </w:r>
      <w:r w:rsidRPr="00053304">
        <w:rPr>
          <w:rFonts w:ascii="Verdana" w:hAnsi="Verdana"/>
          <w:iCs/>
          <w:szCs w:val="16"/>
        </w:rPr>
        <w:t xml:space="preserve"> y </w:t>
      </w:r>
      <w:r w:rsidR="006B53AC" w:rsidRPr="00053304">
        <w:rPr>
          <w:rFonts w:ascii="Verdana" w:hAnsi="Verdana"/>
          <w:iCs/>
          <w:szCs w:val="16"/>
        </w:rPr>
        <w:t>parteaguas</w:t>
      </w:r>
      <w:r w:rsidRPr="00053304">
        <w:rPr>
          <w:rFonts w:ascii="Verdana" w:hAnsi="Verdana"/>
          <w:iCs/>
          <w:szCs w:val="16"/>
        </w:rPr>
        <w:t xml:space="preserve"> en la materia, pues constituye la primera sentencia del Pleno de la SCJN en la que, de manera obligatoria para todas las juezas y jueces del país, se estableció que (i) a partir de la referida reforma las normas de derechos humanos de fuente internacional forman parte del parámetro de regularidad constitucional en México, por lo que ya no se relacionan con las normas constitucionales en términos jerárquicos, sino a partir del principio </w:t>
      </w:r>
      <w:r w:rsidRPr="00053304">
        <w:rPr>
          <w:rFonts w:ascii="Verdana" w:hAnsi="Verdana"/>
          <w:i/>
          <w:szCs w:val="16"/>
        </w:rPr>
        <w:t>pro persona</w:t>
      </w:r>
      <w:r w:rsidRPr="00053304">
        <w:rPr>
          <w:rFonts w:ascii="Verdana" w:hAnsi="Verdana"/>
          <w:iCs/>
          <w:szCs w:val="16"/>
        </w:rPr>
        <w:t xml:space="preserve"> y (ii) la jurisprudencia de la Corte IDH es vinculante para todas las juezas y jueces del país, siempre que sea más favorable para las personas”.</w:t>
      </w:r>
    </w:p>
  </w:footnote>
  <w:footnote w:id="211">
    <w:p w14:paraId="51A4864B" w14:textId="21710B0A" w:rsidR="00D4091D" w:rsidRPr="00053304" w:rsidRDefault="00D4091D"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Pr="00053304">
        <w:rPr>
          <w:rFonts w:ascii="Verdana" w:hAnsi="Verdana"/>
          <w:szCs w:val="16"/>
        </w:rPr>
        <w:t xml:space="preserve">Versión escrita de la </w:t>
      </w:r>
      <w:r w:rsidRPr="00053304">
        <w:rPr>
          <w:rFonts w:ascii="Verdana" w:hAnsi="Verdana"/>
          <w:iCs/>
          <w:szCs w:val="16"/>
        </w:rPr>
        <w:t>Declaración pericial de José Ramón Cossío Díaz durante la audiencia pública del presente caso (expediente de fondo, folio 1268)</w:t>
      </w:r>
      <w:r w:rsidR="009E5118" w:rsidRPr="00053304">
        <w:rPr>
          <w:rFonts w:ascii="Verdana" w:hAnsi="Verdana"/>
          <w:iCs/>
          <w:szCs w:val="16"/>
        </w:rPr>
        <w:t>.</w:t>
      </w:r>
    </w:p>
  </w:footnote>
  <w:footnote w:id="212">
    <w:p w14:paraId="6835DEC6" w14:textId="170C9F35" w:rsidR="00181C63" w:rsidRPr="00053304" w:rsidRDefault="00181C63"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Pr="00053304">
        <w:rPr>
          <w:rFonts w:ascii="Verdana" w:hAnsi="Verdana"/>
          <w:szCs w:val="16"/>
        </w:rPr>
        <w:t xml:space="preserve">Versión escrita de la </w:t>
      </w:r>
      <w:r w:rsidRPr="00053304">
        <w:rPr>
          <w:rFonts w:ascii="Verdana" w:hAnsi="Verdana"/>
          <w:iCs/>
          <w:szCs w:val="16"/>
        </w:rPr>
        <w:t>Declaración pericial de José Ramón Cossío Díaz durante la audiencia pública del presente caso (expediente de fondo, folio 1269)</w:t>
      </w:r>
      <w:r w:rsidR="009E5118" w:rsidRPr="00053304">
        <w:rPr>
          <w:rFonts w:ascii="Verdana" w:hAnsi="Verdana"/>
          <w:iCs/>
          <w:szCs w:val="16"/>
        </w:rPr>
        <w:t>.</w:t>
      </w:r>
    </w:p>
  </w:footnote>
  <w:footnote w:id="213">
    <w:p w14:paraId="154A8E83" w14:textId="6168F4F8" w:rsidR="009E5118" w:rsidRPr="00053304" w:rsidRDefault="009E511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 xml:space="preserve">Otras interpretación de la contradicción de tesis 293/2011, como la del perito Bárcena, entienden que aunque es verdad que una mayoría de Ministras y Ministros decidió incorporar en la sentencia en torno a las "restricciones constitucionales expresas", “es cuestionable que se trate de un criterio verdaderamente vinculante o que constituya </w:t>
      </w:r>
      <w:r w:rsidRPr="00053304">
        <w:rPr>
          <w:rFonts w:ascii="Verdana" w:hAnsi="Verdana"/>
          <w:i/>
          <w:iCs/>
          <w:szCs w:val="16"/>
          <w:lang w:val="es-ES"/>
        </w:rPr>
        <w:t>ratio</w:t>
      </w:r>
      <w:r w:rsidRPr="00053304">
        <w:rPr>
          <w:rFonts w:ascii="Verdana" w:hAnsi="Verdana"/>
          <w:szCs w:val="16"/>
          <w:lang w:val="es-ES"/>
        </w:rPr>
        <w:t xml:space="preserve"> decidendi pues, como se mostró, (i) dicho tema no figuraba en los puntos de contradicción, pues ni los tribunales contendientes, ni la SCJN al fijar la litis, se pronunciaron o siquiera se refirieron a él, y (ii) la sentencia no dotó de contenido la expresión "restricción constitucional expresa", ni se clarificaron sus eventuales condiciones de aplicación frente a los derechos humanos de fuente convencional. Es por ello que, como se dijo, tales consideraciones podrían entenderse en realidad como obiter dicta, es decir, un criterio no vinculante u obligatorio para las y los operadores jurídicos del país”. El perito agregó que “con posterioridad a la resolución de dicho precedente, la SCJN ha utilizado como parámetro de control constitucional las normas de </w:t>
      </w:r>
      <w:r w:rsidR="007F76A5" w:rsidRPr="00053304">
        <w:rPr>
          <w:rFonts w:ascii="Verdana" w:hAnsi="Verdana"/>
          <w:szCs w:val="16"/>
          <w:lang w:val="es-ES"/>
        </w:rPr>
        <w:t xml:space="preserve">derechos humanos contenidos en tratados internacionales </w:t>
      </w:r>
      <w:r w:rsidRPr="00053304">
        <w:rPr>
          <w:rFonts w:ascii="Verdana" w:hAnsi="Verdana"/>
          <w:szCs w:val="16"/>
          <w:lang w:val="es-ES"/>
        </w:rPr>
        <w:t>incluso o pesar de su posible</w:t>
      </w:r>
      <w:r w:rsidR="007F76A5" w:rsidRPr="00053304">
        <w:rPr>
          <w:rFonts w:ascii="Verdana" w:hAnsi="Verdana"/>
          <w:szCs w:val="16"/>
          <w:lang w:val="es-ES"/>
        </w:rPr>
        <w:t xml:space="preserve"> tensión</w:t>
      </w:r>
      <w:r w:rsidRPr="00053304">
        <w:rPr>
          <w:rFonts w:ascii="Verdana" w:hAnsi="Verdana"/>
          <w:szCs w:val="16"/>
          <w:lang w:val="es-ES"/>
        </w:rPr>
        <w:t xml:space="preserve"> o contradicción con la Constitución”</w:t>
      </w:r>
      <w:r w:rsidR="007F76A5" w:rsidRPr="00053304">
        <w:rPr>
          <w:rFonts w:ascii="Verdana" w:hAnsi="Verdana"/>
          <w:szCs w:val="16"/>
          <w:lang w:val="es-ES"/>
        </w:rPr>
        <w:t xml:space="preserve">. </w:t>
      </w:r>
      <w:r w:rsidR="007F76A5" w:rsidRPr="00053304">
        <w:rPr>
          <w:rFonts w:ascii="Verdana" w:hAnsi="Verdana"/>
          <w:szCs w:val="16"/>
        </w:rPr>
        <w:t xml:space="preserve">Versión escrita de la </w:t>
      </w:r>
      <w:r w:rsidR="007F76A5" w:rsidRPr="00053304">
        <w:rPr>
          <w:rFonts w:ascii="Verdana" w:hAnsi="Verdana"/>
          <w:iCs/>
          <w:szCs w:val="16"/>
        </w:rPr>
        <w:t>Declaración pericial de Rogelio Arturo Bárcena Zubieta durante la audiencia pública del presente caso (expediente de fondo, folios 1239 y 1940).</w:t>
      </w:r>
    </w:p>
  </w:footnote>
  <w:footnote w:id="214">
    <w:p w14:paraId="3DE78674" w14:textId="74FC6912" w:rsidR="00D4091D" w:rsidRPr="00053304" w:rsidRDefault="00D4091D" w:rsidP="00053304">
      <w:pPr>
        <w:pStyle w:val="Textonotapie"/>
        <w:jc w:val="both"/>
        <w:rPr>
          <w:rFonts w:ascii="Verdana" w:hAnsi="Verdana"/>
          <w:szCs w:val="16"/>
          <w:lang w:val="es-ES"/>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 Caso Almonacid Arellano y otros Vs. Chile. Excepciones Preliminares, Fondo, Reparaciones y Costas</w:t>
      </w:r>
      <w:r w:rsidR="7CDFE7CF" w:rsidRPr="00053304">
        <w:rPr>
          <w:rFonts w:ascii="Verdana" w:hAnsi="Verdana"/>
          <w:szCs w:val="16"/>
        </w:rPr>
        <w:t xml:space="preserve">. Sentencia de 26 de septiembre de 2006. Serie C No. 154, párr. 124, y </w:t>
      </w:r>
      <w:r w:rsidR="003717DD" w:rsidRPr="00053304">
        <w:rPr>
          <w:rFonts w:ascii="Verdana" w:hAnsi="Verdana"/>
          <w:i/>
          <w:iCs/>
          <w:szCs w:val="16"/>
        </w:rPr>
        <w:t xml:space="preserve">Caso Tzompaxtle </w:t>
      </w:r>
      <w:r w:rsidR="00083E3B" w:rsidRPr="00053304">
        <w:rPr>
          <w:rFonts w:ascii="Verdana" w:hAnsi="Verdana"/>
          <w:i/>
          <w:iCs/>
          <w:szCs w:val="16"/>
        </w:rPr>
        <w:t>T</w:t>
      </w:r>
      <w:r w:rsidR="003717DD" w:rsidRPr="00053304">
        <w:rPr>
          <w:rFonts w:ascii="Verdana" w:hAnsi="Verdana"/>
          <w:i/>
          <w:iCs/>
          <w:szCs w:val="16"/>
        </w:rPr>
        <w:t>ecpile y otros Vs. México, supra</w:t>
      </w:r>
      <w:r w:rsidR="7CDFE7CF" w:rsidRPr="00053304">
        <w:rPr>
          <w:rFonts w:ascii="Verdana" w:hAnsi="Verdana"/>
          <w:szCs w:val="16"/>
        </w:rPr>
        <w:t xml:space="preserve">, párr. </w:t>
      </w:r>
      <w:r w:rsidR="003717DD" w:rsidRPr="00053304">
        <w:rPr>
          <w:rFonts w:ascii="Verdana" w:hAnsi="Verdana"/>
          <w:szCs w:val="16"/>
        </w:rPr>
        <w:t>219</w:t>
      </w:r>
      <w:r w:rsidR="7CDFE7CF" w:rsidRPr="00053304">
        <w:rPr>
          <w:rFonts w:ascii="Verdana" w:hAnsi="Verdana"/>
          <w:szCs w:val="16"/>
        </w:rPr>
        <w:t>.</w:t>
      </w:r>
    </w:p>
  </w:footnote>
  <w:footnote w:id="215">
    <w:p w14:paraId="78DF736D" w14:textId="2F225FFE" w:rsidR="00506447" w:rsidRPr="00053304" w:rsidRDefault="00506447"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w:t>
      </w:r>
      <w:r w:rsidR="7CDFE7CF" w:rsidRPr="00053304">
        <w:rPr>
          <w:rFonts w:ascii="Verdana" w:hAnsi="Verdana"/>
          <w:szCs w:val="16"/>
        </w:rPr>
        <w:t xml:space="preserve">. </w:t>
      </w:r>
      <w:r w:rsidR="7CDFE7CF" w:rsidRPr="00053304">
        <w:rPr>
          <w:rFonts w:ascii="Verdana" w:hAnsi="Verdana"/>
          <w:i/>
          <w:iCs/>
          <w:szCs w:val="16"/>
        </w:rPr>
        <w:t>Caso Bayarri Vs. Argentina, supra,</w:t>
      </w:r>
      <w:r w:rsidR="7CDFE7CF" w:rsidRPr="00053304">
        <w:rPr>
          <w:rFonts w:ascii="Verdana" w:hAnsi="Verdana"/>
          <w:szCs w:val="16"/>
        </w:rPr>
        <w:t xml:space="preserve"> párr. 74, </w:t>
      </w:r>
      <w:r w:rsidR="003717DD" w:rsidRPr="00053304">
        <w:rPr>
          <w:rFonts w:ascii="Verdana" w:hAnsi="Verdana"/>
          <w:szCs w:val="16"/>
        </w:rPr>
        <w:t xml:space="preserve">y </w:t>
      </w:r>
      <w:r w:rsidR="003717DD" w:rsidRPr="00053304">
        <w:rPr>
          <w:rFonts w:ascii="Verdana" w:hAnsi="Verdana"/>
          <w:i/>
          <w:iCs/>
          <w:szCs w:val="16"/>
        </w:rPr>
        <w:t xml:space="preserve">Caso Tzompaxtle </w:t>
      </w:r>
      <w:r w:rsidR="00083E3B" w:rsidRPr="00053304">
        <w:rPr>
          <w:rFonts w:ascii="Verdana" w:hAnsi="Verdana"/>
          <w:i/>
          <w:iCs/>
          <w:szCs w:val="16"/>
        </w:rPr>
        <w:t>T</w:t>
      </w:r>
      <w:r w:rsidR="003717DD" w:rsidRPr="00053304">
        <w:rPr>
          <w:rFonts w:ascii="Verdana" w:hAnsi="Verdana"/>
          <w:i/>
          <w:iCs/>
          <w:szCs w:val="16"/>
        </w:rPr>
        <w:t>ecpile y otros Vs. México, supra</w:t>
      </w:r>
      <w:r w:rsidR="003717DD" w:rsidRPr="00053304">
        <w:rPr>
          <w:rFonts w:ascii="Verdana" w:hAnsi="Verdana"/>
          <w:szCs w:val="16"/>
        </w:rPr>
        <w:t>, párr. 114</w:t>
      </w:r>
      <w:r w:rsidR="7CDFE7CF" w:rsidRPr="00053304">
        <w:rPr>
          <w:rFonts w:ascii="Verdana" w:hAnsi="Verdana"/>
          <w:szCs w:val="16"/>
        </w:rPr>
        <w:t xml:space="preserve">. </w:t>
      </w:r>
    </w:p>
  </w:footnote>
  <w:footnote w:id="216">
    <w:p w14:paraId="2F5C07AC" w14:textId="79913CAD" w:rsidR="00506447" w:rsidRPr="00053304" w:rsidRDefault="00506447"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w:t>
      </w:r>
      <w:r w:rsidR="7CDFE7CF" w:rsidRPr="00053304">
        <w:rPr>
          <w:rFonts w:ascii="Verdana" w:hAnsi="Verdana"/>
          <w:szCs w:val="16"/>
        </w:rPr>
        <w:t xml:space="preserve">. </w:t>
      </w:r>
      <w:r w:rsidR="7CDFE7CF" w:rsidRPr="00053304">
        <w:rPr>
          <w:rFonts w:ascii="Verdana" w:hAnsi="Verdana" w:cs="Calibri"/>
          <w:i/>
          <w:iCs/>
          <w:szCs w:val="16"/>
        </w:rPr>
        <w:t xml:space="preserve">Caso Argüelles y otros Vs. Argentina, </w:t>
      </w:r>
      <w:r w:rsidR="3BF92891" w:rsidRPr="00053304">
        <w:rPr>
          <w:rFonts w:ascii="Verdana" w:hAnsi="Verdana" w:cs="Calibri"/>
          <w:i/>
          <w:iCs/>
          <w:szCs w:val="16"/>
        </w:rPr>
        <w:t xml:space="preserve">Excepciones Preliminares, Fondo, Reparaciones y Costas, supra, </w:t>
      </w:r>
      <w:r w:rsidR="7CDFE7CF" w:rsidRPr="00053304">
        <w:rPr>
          <w:rFonts w:ascii="Verdana" w:hAnsi="Verdana" w:cs="Calibri"/>
          <w:szCs w:val="16"/>
        </w:rPr>
        <w:t xml:space="preserve">párrs. 121 y 122, </w:t>
      </w:r>
      <w:r w:rsidR="00E20C4D" w:rsidRPr="00053304">
        <w:rPr>
          <w:rFonts w:ascii="Verdana" w:hAnsi="Verdana"/>
          <w:szCs w:val="16"/>
        </w:rPr>
        <w:t xml:space="preserve">y </w:t>
      </w:r>
      <w:r w:rsidR="00E20C4D" w:rsidRPr="00053304">
        <w:rPr>
          <w:rFonts w:ascii="Verdana" w:hAnsi="Verdana"/>
          <w:i/>
          <w:iCs/>
          <w:szCs w:val="16"/>
        </w:rPr>
        <w:t xml:space="preserve">Caso Tzompaxtle </w:t>
      </w:r>
      <w:r w:rsidR="00083E3B" w:rsidRPr="00053304">
        <w:rPr>
          <w:rFonts w:ascii="Verdana" w:hAnsi="Verdana"/>
          <w:i/>
          <w:iCs/>
          <w:szCs w:val="16"/>
        </w:rPr>
        <w:t>T</w:t>
      </w:r>
      <w:r w:rsidR="00E20C4D" w:rsidRPr="00053304">
        <w:rPr>
          <w:rFonts w:ascii="Verdana" w:hAnsi="Verdana"/>
          <w:i/>
          <w:iCs/>
          <w:szCs w:val="16"/>
        </w:rPr>
        <w:t>ecpile y otros Vs. México, supra</w:t>
      </w:r>
      <w:r w:rsidR="00E20C4D" w:rsidRPr="00053304">
        <w:rPr>
          <w:rFonts w:ascii="Verdana" w:hAnsi="Verdana"/>
          <w:szCs w:val="16"/>
        </w:rPr>
        <w:t>, párr. 114</w:t>
      </w:r>
      <w:r w:rsidR="7CDFE7CF" w:rsidRPr="00053304">
        <w:rPr>
          <w:rFonts w:ascii="Verdana" w:hAnsi="Verdana" w:cs="Calibri"/>
          <w:szCs w:val="16"/>
        </w:rPr>
        <w:t>.</w:t>
      </w:r>
    </w:p>
  </w:footnote>
  <w:footnote w:id="217">
    <w:p w14:paraId="124AB54A" w14:textId="22FF4519" w:rsidR="00E422A0" w:rsidRPr="00053304" w:rsidRDefault="00E422A0"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w:t>
      </w:r>
      <w:r w:rsidR="7CDFE7CF" w:rsidRPr="00053304">
        <w:rPr>
          <w:rFonts w:ascii="Verdana" w:hAnsi="Verdana"/>
          <w:szCs w:val="16"/>
        </w:rPr>
        <w:t xml:space="preserve">. </w:t>
      </w:r>
      <w:r w:rsidR="7CDFE7CF" w:rsidRPr="00053304">
        <w:rPr>
          <w:rFonts w:ascii="Verdana" w:hAnsi="Verdana" w:cs="Calibri"/>
          <w:szCs w:val="16"/>
        </w:rPr>
        <w:t xml:space="preserve">Comité de Derechos Humanos, Observación General No. 35. Libertad y seguridad personales, U.N Doc. </w:t>
      </w:r>
      <w:r w:rsidR="7CDFE7CF" w:rsidRPr="00053304">
        <w:rPr>
          <w:rFonts w:ascii="Verdana" w:eastAsia="Verdana" w:hAnsi="Verdana" w:cs="Verdana"/>
          <w:szCs w:val="16"/>
        </w:rPr>
        <w:t xml:space="preserve">CCPR/C/GC/35 </w:t>
      </w:r>
      <w:r w:rsidR="7CDFE7CF" w:rsidRPr="00053304">
        <w:rPr>
          <w:rFonts w:ascii="Verdana" w:hAnsi="Verdana" w:cs="Calibri"/>
          <w:szCs w:val="16"/>
        </w:rPr>
        <w:t>(2014) Párr. 14.</w:t>
      </w:r>
    </w:p>
  </w:footnote>
  <w:footnote w:id="218">
    <w:p w14:paraId="6D78A376" w14:textId="470A8891" w:rsidR="00F562B8" w:rsidRPr="00053304" w:rsidRDefault="00F562B8"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Artículo 5 de la Convención Americana.</w:t>
      </w:r>
    </w:p>
  </w:footnote>
  <w:footnote w:id="219">
    <w:p w14:paraId="34D6F583" w14:textId="2BC7EE07" w:rsidR="00F562B8" w:rsidRPr="00053304" w:rsidRDefault="00F562B8"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Artículo 1.1 de la Convención Americana.</w:t>
      </w:r>
    </w:p>
  </w:footnote>
  <w:footnote w:id="220">
    <w:p w14:paraId="1DE1DE66" w14:textId="3CBD6925" w:rsidR="008F74D7" w:rsidRPr="00053304" w:rsidRDefault="008F74D7"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Los representantes agregaron que Daniel García Rodríguez ha referido que cuando se encontraba bajo el arraigo en un hotel, entraron policías del Estado de México para ordenarle que viera la televisión en un canal determinado, en el que se transmitieron en distintos momentos noticias relacionadas con la detención de su propio padre el señor Isaías García Godínez así como de su hermano Isaías García Rodríguez, y sus primos Martin Moreno Rodríguez, Elvia Moreno Rodríguez y Francisco Javier Sánchez García. Alegaron que la amenaza de detener paulatinamente a sus familiares, amenaza que fue cumplida, así  como el forzarlo a observar en la televisión las imágenes en las que se exhibía públicamente las detenciones, los nombres y los supuestos hechos delictivos que se les imputaban constituyen desde la valoración de esta representación una modalidad de tortura psicológica “extendida” dado que la impotencia de actuación, la frustración, el dolor y el sufrimiento psicológico que se le infirió a García Rodríguez no fue un hecho de consumación instantánea sino que esos efectos se “extendieron” por un tiempo indeterminado, de ahí que consideramos que ese tipo de tortura psicológica debería también ser reconocida por este Tribunal como una modalidad adicional de violación al artículo 5 de la Convención.</w:t>
      </w:r>
    </w:p>
  </w:footnote>
  <w:footnote w:id="221">
    <w:p w14:paraId="4DC2611C" w14:textId="4B5B0683" w:rsidR="004B6FF1" w:rsidRPr="00053304" w:rsidRDefault="004B6FF1"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 xml:space="preserve">Además, el Estado alegó que la investigación realizada cumplió con los estándares fijados por la propia Corte, garantizando el derecho de las presuntas víctimas a ofrecer pruebas y objetar las decisiones con las que no estaban de acuerdo. Indicó </w:t>
      </w:r>
      <w:r w:rsidR="000E182A" w:rsidRPr="00053304">
        <w:rPr>
          <w:rFonts w:ascii="Verdana" w:hAnsi="Verdana"/>
          <w:szCs w:val="16"/>
          <w:lang w:val="es-ES"/>
        </w:rPr>
        <w:t>asimismo</w:t>
      </w:r>
      <w:r w:rsidRPr="00053304">
        <w:rPr>
          <w:rFonts w:ascii="Verdana" w:hAnsi="Verdana"/>
          <w:szCs w:val="16"/>
          <w:lang w:val="es-ES"/>
        </w:rPr>
        <w:t xml:space="preserve"> que las presuntas víctimas no objetaron la determinación del no ejercicio de la acción penal del 3 de mayo de 2021, y tampoco la autorización del Fiscal Regional de Tlalnepantla del 18 de mayo de 2021, notificado debidamente a las presuntas víctimas por conducto de su asesor jurídico el 21 de mayo del 2021. Lo anterior, a pesar de que la representación de las presuntas víctimas contaba con los recursos de apelación a su alcance, por lo que se entiende que aceptaron y están de acuerdo con los resultados de la investigación</w:t>
      </w:r>
      <w:r w:rsidR="00083E3B" w:rsidRPr="00053304">
        <w:rPr>
          <w:rFonts w:ascii="Verdana" w:hAnsi="Verdana"/>
          <w:szCs w:val="16"/>
          <w:lang w:val="es-ES"/>
        </w:rPr>
        <w:t>.</w:t>
      </w:r>
    </w:p>
  </w:footnote>
  <w:footnote w:id="222">
    <w:p w14:paraId="521DBA61" w14:textId="3CCCD39C" w:rsidR="00850F4B" w:rsidRPr="00053304" w:rsidRDefault="00850F4B" w:rsidP="00053304">
      <w:pPr>
        <w:pStyle w:val="Textonotapie"/>
        <w:jc w:val="both"/>
        <w:rPr>
          <w:rFonts w:ascii="Verdana" w:hAnsi="Verdana"/>
          <w:szCs w:val="16"/>
          <w:lang w:val="es-ES"/>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lang w:val="es-ES"/>
        </w:rPr>
        <w:tab/>
      </w:r>
      <w:r w:rsidR="7CDFE7CF" w:rsidRPr="00053304">
        <w:rPr>
          <w:rFonts w:ascii="Verdana" w:hAnsi="Verdana"/>
          <w:i/>
          <w:iCs/>
          <w:szCs w:val="16"/>
          <w:lang w:val="es-ES"/>
        </w:rPr>
        <w:t>Cfr</w:t>
      </w:r>
      <w:r w:rsidR="7CDFE7CF" w:rsidRPr="00053304">
        <w:rPr>
          <w:rFonts w:ascii="Verdana" w:hAnsi="Verdana"/>
          <w:szCs w:val="16"/>
          <w:lang w:val="es-ES"/>
        </w:rPr>
        <w:t xml:space="preserve">. </w:t>
      </w:r>
      <w:r w:rsidR="7CDFE7CF" w:rsidRPr="00053304">
        <w:rPr>
          <w:rFonts w:ascii="Verdana" w:hAnsi="Verdana"/>
          <w:i/>
          <w:iCs/>
          <w:szCs w:val="16"/>
          <w:lang w:val="es-ES"/>
        </w:rPr>
        <w:t>Caso Tibi Vs. Ecuador</w:t>
      </w:r>
      <w:r w:rsidR="3BF92891" w:rsidRPr="00053304">
        <w:rPr>
          <w:rFonts w:ascii="Verdana" w:hAnsi="Verdana"/>
          <w:i/>
          <w:iCs/>
          <w:szCs w:val="16"/>
          <w:lang w:val="es-ES"/>
        </w:rPr>
        <w:t>, supra</w:t>
      </w:r>
      <w:r w:rsidR="7CDFE7CF" w:rsidRPr="00053304">
        <w:rPr>
          <w:rFonts w:ascii="Verdana" w:hAnsi="Verdana"/>
          <w:szCs w:val="16"/>
          <w:lang w:val="es-ES"/>
        </w:rPr>
        <w:t>, párr. 150</w:t>
      </w:r>
      <w:r w:rsidR="3BF92891" w:rsidRPr="00053304">
        <w:rPr>
          <w:rFonts w:ascii="Verdana" w:hAnsi="Verdana"/>
          <w:szCs w:val="16"/>
          <w:lang w:val="es-ES"/>
        </w:rPr>
        <w:t>;</w:t>
      </w:r>
      <w:r w:rsidR="7CDFE7CF" w:rsidRPr="00053304">
        <w:rPr>
          <w:rFonts w:ascii="Verdana" w:hAnsi="Verdana"/>
          <w:szCs w:val="16"/>
          <w:lang w:val="es-ES"/>
        </w:rPr>
        <w:t xml:space="preserve"> </w:t>
      </w:r>
      <w:r w:rsidR="7CDFE7CF" w:rsidRPr="00053304">
        <w:rPr>
          <w:rFonts w:ascii="Verdana" w:hAnsi="Verdana"/>
          <w:i/>
          <w:iCs/>
          <w:szCs w:val="16"/>
          <w:lang w:val="es-ES"/>
        </w:rPr>
        <w:t>Caso del Penal Miguel Castro Vs. Perú. Fondo, Reparaciones y Costas</w:t>
      </w:r>
      <w:r w:rsidR="7CDFE7CF" w:rsidRPr="00053304">
        <w:rPr>
          <w:rFonts w:ascii="Verdana" w:hAnsi="Verdana"/>
          <w:szCs w:val="16"/>
          <w:lang w:val="es-ES"/>
        </w:rPr>
        <w:t>. Sentencia de 25 de noviembre de 2006</w:t>
      </w:r>
      <w:r w:rsidR="3BF92891" w:rsidRPr="00053304">
        <w:rPr>
          <w:rFonts w:ascii="Verdana" w:hAnsi="Verdana"/>
          <w:szCs w:val="16"/>
          <w:lang w:val="es-ES"/>
        </w:rPr>
        <w:t>. Serie C No. 160,</w:t>
      </w:r>
      <w:r w:rsidR="7CDFE7CF" w:rsidRPr="00053304">
        <w:rPr>
          <w:rFonts w:ascii="Verdana" w:hAnsi="Verdana"/>
          <w:szCs w:val="16"/>
          <w:lang w:val="es-ES"/>
        </w:rPr>
        <w:t xml:space="preserve"> párr. 315: </w:t>
      </w:r>
      <w:r w:rsidR="3BF92891" w:rsidRPr="00053304">
        <w:rPr>
          <w:rFonts w:ascii="Verdana" w:hAnsi="Verdana"/>
          <w:i/>
          <w:iCs/>
          <w:szCs w:val="16"/>
          <w:lang w:val="es-ES"/>
        </w:rPr>
        <w:t xml:space="preserve">Caso </w:t>
      </w:r>
      <w:r w:rsidR="7CDFE7CF" w:rsidRPr="00053304">
        <w:rPr>
          <w:rFonts w:ascii="Verdana" w:hAnsi="Verdana"/>
          <w:i/>
          <w:iCs/>
          <w:szCs w:val="16"/>
          <w:lang w:val="es-ES"/>
        </w:rPr>
        <w:t>Hernández</w:t>
      </w:r>
      <w:r w:rsidR="3BF92891" w:rsidRPr="00053304">
        <w:rPr>
          <w:rFonts w:ascii="Verdana" w:hAnsi="Verdana"/>
          <w:i/>
          <w:iCs/>
          <w:szCs w:val="16"/>
          <w:lang w:val="es-ES"/>
        </w:rPr>
        <w:t xml:space="preserve"> Vs. Argentina. Excepción Preliminar, Fondo, Reparaciones y Costas</w:t>
      </w:r>
      <w:r w:rsidR="3BF92891" w:rsidRPr="00053304">
        <w:rPr>
          <w:rFonts w:ascii="Verdana" w:hAnsi="Verdana"/>
          <w:szCs w:val="16"/>
          <w:lang w:val="es-ES"/>
        </w:rPr>
        <w:t>. Sentencia de 22 de noviembre de 2019. Serie C No. 395, párr.</w:t>
      </w:r>
      <w:r w:rsidR="7CDFE7CF" w:rsidRPr="00053304">
        <w:rPr>
          <w:rFonts w:ascii="Verdana" w:hAnsi="Verdana"/>
          <w:szCs w:val="16"/>
          <w:lang w:val="es-ES"/>
        </w:rPr>
        <w:t xml:space="preserve"> 60, y </w:t>
      </w:r>
      <w:r w:rsidR="3BF92891" w:rsidRPr="00053304">
        <w:rPr>
          <w:rFonts w:ascii="Verdana" w:eastAsia="Verdana" w:hAnsi="Verdana" w:cs="Verdana"/>
          <w:i/>
          <w:iCs/>
          <w:szCs w:val="16"/>
          <w:lang w:val="es-ES"/>
        </w:rPr>
        <w:t xml:space="preserve">Caso Dial y otro Vs. Trinidad y Tobago, supra, </w:t>
      </w:r>
      <w:r w:rsidR="3BF92891" w:rsidRPr="00053304">
        <w:rPr>
          <w:rFonts w:ascii="Verdana" w:eastAsia="Verdana" w:hAnsi="Verdana" w:cs="Verdana"/>
          <w:szCs w:val="16"/>
          <w:lang w:val="es-ES"/>
        </w:rPr>
        <w:t>párr. 73</w:t>
      </w:r>
      <w:r w:rsidR="7CDFE7CF" w:rsidRPr="00053304">
        <w:rPr>
          <w:rFonts w:ascii="Verdana" w:eastAsia="Verdana" w:hAnsi="Verdana" w:cs="Verdana"/>
          <w:szCs w:val="16"/>
          <w:lang w:val="es-ES"/>
        </w:rPr>
        <w:t>.</w:t>
      </w:r>
    </w:p>
  </w:footnote>
  <w:footnote w:id="223">
    <w:p w14:paraId="703901CF" w14:textId="49A71658" w:rsidR="00B633F3" w:rsidRPr="00053304" w:rsidRDefault="00B633F3" w:rsidP="00053304">
      <w:pPr>
        <w:pStyle w:val="Textonotapie"/>
        <w:jc w:val="both"/>
        <w:rPr>
          <w:rFonts w:ascii="Verdana" w:hAnsi="Verdana"/>
          <w:szCs w:val="16"/>
          <w:lang w:val="es-ES"/>
        </w:rPr>
      </w:pPr>
      <w:r w:rsidRPr="00053304">
        <w:rPr>
          <w:rStyle w:val="Refdenotaalpie"/>
          <w:rFonts w:ascii="Verdana" w:hAnsi="Verdana"/>
          <w:szCs w:val="16"/>
        </w:rPr>
        <w:footnoteRef/>
      </w:r>
      <w:r w:rsidR="7CDFE7CF" w:rsidRPr="00602907">
        <w:rPr>
          <w:rFonts w:ascii="Verdana" w:hAnsi="Verdana"/>
          <w:szCs w:val="16"/>
          <w:lang w:val="es-CR"/>
        </w:rPr>
        <w:t xml:space="preserve"> </w:t>
      </w:r>
      <w:r w:rsidRPr="00602907">
        <w:rPr>
          <w:rFonts w:ascii="Verdana" w:hAnsi="Verdana"/>
          <w:szCs w:val="16"/>
          <w:lang w:val="es-CR"/>
        </w:rPr>
        <w:tab/>
      </w:r>
      <w:r w:rsidR="7CDFE7CF" w:rsidRPr="00602907">
        <w:rPr>
          <w:rFonts w:ascii="Verdana" w:hAnsi="Verdana"/>
          <w:i/>
          <w:iCs/>
          <w:szCs w:val="16"/>
          <w:lang w:val="es-CR"/>
        </w:rPr>
        <w:t xml:space="preserve">Cfr. </w:t>
      </w:r>
      <w:r w:rsidR="7CDFE7CF" w:rsidRPr="00602907">
        <w:rPr>
          <w:rFonts w:ascii="Verdana" w:hAnsi="Verdana"/>
          <w:szCs w:val="16"/>
          <w:lang w:val="es-CR"/>
        </w:rPr>
        <w:t xml:space="preserve">Caso Maritza Urrutia Vs. </w:t>
      </w:r>
      <w:r w:rsidR="7CDFE7CF" w:rsidRPr="00053304">
        <w:rPr>
          <w:rFonts w:ascii="Verdana" w:hAnsi="Verdana"/>
          <w:szCs w:val="16"/>
        </w:rPr>
        <w:t>Guatemala. Fondo, Reparaciones y Costas. Sentencia de 27 de noviembre de 2003. Serie C No. 103, párr. 92;</w:t>
      </w:r>
      <w:r w:rsidR="3BF92891" w:rsidRPr="00053304">
        <w:rPr>
          <w:rFonts w:ascii="Verdana" w:hAnsi="Verdana"/>
          <w:szCs w:val="16"/>
        </w:rPr>
        <w:t xml:space="preserve"> </w:t>
      </w:r>
      <w:r w:rsidR="3BF92891" w:rsidRPr="00053304">
        <w:rPr>
          <w:rFonts w:ascii="Verdana" w:hAnsi="Verdana"/>
          <w:i/>
          <w:iCs/>
          <w:szCs w:val="16"/>
        </w:rPr>
        <w:t xml:space="preserve">Caso Bedoya Vs. Colombia. Fondo, Reparaciones y Costas. </w:t>
      </w:r>
      <w:r w:rsidR="3BF92891" w:rsidRPr="00053304">
        <w:rPr>
          <w:rFonts w:ascii="Verdana" w:hAnsi="Verdana"/>
          <w:szCs w:val="16"/>
        </w:rPr>
        <w:t xml:space="preserve">Sentencia de 26 de agosto de 2021. Serie C No. 431, párr. 100, y </w:t>
      </w:r>
      <w:r w:rsidR="3BF92891" w:rsidRPr="00053304">
        <w:rPr>
          <w:rFonts w:ascii="Verdana" w:eastAsia="Verdana" w:hAnsi="Verdana" w:cs="Verdana"/>
          <w:i/>
          <w:iCs/>
          <w:szCs w:val="16"/>
          <w:lang w:val="es-ES"/>
        </w:rPr>
        <w:t xml:space="preserve">Caso Dial y otro Vs. Trinidad y Tobago, supra, </w:t>
      </w:r>
      <w:r w:rsidR="3BF92891" w:rsidRPr="00053304">
        <w:rPr>
          <w:rFonts w:ascii="Verdana" w:eastAsia="Verdana" w:hAnsi="Verdana" w:cs="Verdana"/>
          <w:szCs w:val="16"/>
          <w:lang w:val="es-ES"/>
        </w:rPr>
        <w:t>párr. 63</w:t>
      </w:r>
      <w:r w:rsidR="3BF92891" w:rsidRPr="00053304">
        <w:rPr>
          <w:rFonts w:ascii="Verdana" w:hAnsi="Verdana"/>
          <w:szCs w:val="16"/>
        </w:rPr>
        <w:t>.</w:t>
      </w:r>
    </w:p>
  </w:footnote>
  <w:footnote w:id="224">
    <w:p w14:paraId="14C37455" w14:textId="6D0323BC" w:rsidR="004B6FF1" w:rsidRPr="00053304" w:rsidRDefault="004B6FF1" w:rsidP="00053304">
      <w:pPr>
        <w:pStyle w:val="Textonotapie"/>
        <w:jc w:val="both"/>
        <w:rPr>
          <w:rFonts w:ascii="Verdana" w:hAnsi="Verdana"/>
          <w:szCs w:val="16"/>
          <w:lang w:val="es-ES"/>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Caso Bueno Alves Vs. Argentina. Fondo, Reparaciones y Costas. </w:t>
      </w:r>
      <w:r w:rsidR="7CDFE7CF" w:rsidRPr="00053304">
        <w:rPr>
          <w:rFonts w:ascii="Verdana" w:hAnsi="Verdana"/>
          <w:szCs w:val="16"/>
        </w:rPr>
        <w:t xml:space="preserve">Sentencia de 11 de mayo de 2007. Serie C No. 164, párr. 79, y </w:t>
      </w:r>
      <w:r w:rsidR="7CDFE7CF" w:rsidRPr="00053304">
        <w:rPr>
          <w:rFonts w:ascii="Verdana" w:hAnsi="Verdana"/>
          <w:i/>
          <w:iCs/>
          <w:szCs w:val="16"/>
        </w:rPr>
        <w:t>Caso Bedoya Vs. Colombia</w:t>
      </w:r>
      <w:r w:rsidR="7CDFE7CF" w:rsidRPr="00053304">
        <w:rPr>
          <w:rFonts w:ascii="Verdana" w:hAnsi="Verdana"/>
          <w:szCs w:val="16"/>
        </w:rPr>
        <w:t>,</w:t>
      </w:r>
      <w:r w:rsidR="7CDFE7CF" w:rsidRPr="00053304">
        <w:rPr>
          <w:rFonts w:ascii="Verdana" w:hAnsi="Verdana"/>
          <w:i/>
          <w:iCs/>
          <w:szCs w:val="16"/>
        </w:rPr>
        <w:t xml:space="preserve"> supra, </w:t>
      </w:r>
      <w:r w:rsidR="7CDFE7CF" w:rsidRPr="00053304">
        <w:rPr>
          <w:rFonts w:ascii="Verdana" w:hAnsi="Verdana"/>
          <w:szCs w:val="16"/>
        </w:rPr>
        <w:t>párr. 101.</w:t>
      </w:r>
    </w:p>
  </w:footnote>
  <w:footnote w:id="225">
    <w:p w14:paraId="15476AF5" w14:textId="2CDB7FDB" w:rsidR="00510399" w:rsidRPr="00053304" w:rsidRDefault="00510399" w:rsidP="00053304">
      <w:pPr>
        <w:pStyle w:val="Textonotapie"/>
        <w:jc w:val="both"/>
        <w:rPr>
          <w:rFonts w:ascii="Verdana" w:eastAsia="Verdana" w:hAnsi="Verdana" w:cs="Verdana"/>
          <w:i/>
          <w:iCs/>
          <w:szCs w:val="16"/>
          <w:lang w:val="es-CR"/>
        </w:rPr>
      </w:pPr>
      <w:r w:rsidRPr="00053304">
        <w:rPr>
          <w:rStyle w:val="Refdenotaalpie"/>
          <w:rFonts w:ascii="Verdana" w:eastAsia="MS Mincho" w:hAnsi="Verdana"/>
          <w:szCs w:val="16"/>
          <w:lang w:val="es-CR"/>
        </w:rPr>
        <w:footnoteRef/>
      </w:r>
      <w:r w:rsidR="7CDFE7CF" w:rsidRPr="00053304">
        <w:rPr>
          <w:rFonts w:ascii="Verdana" w:hAnsi="Verdana"/>
          <w:szCs w:val="16"/>
          <w:lang w:val="es-CR"/>
        </w:rPr>
        <w:t xml:space="preserve"> </w:t>
      </w:r>
      <w:r w:rsidRPr="00053304">
        <w:rPr>
          <w:rFonts w:ascii="Verdana" w:hAnsi="Verdana"/>
          <w:szCs w:val="16"/>
          <w:lang w:val="es-CR"/>
        </w:rPr>
        <w:tab/>
      </w:r>
      <w:r w:rsidR="7CDFE7CF" w:rsidRPr="00053304">
        <w:rPr>
          <w:rFonts w:ascii="Verdana" w:hAnsi="Verdana"/>
          <w:i/>
          <w:iCs/>
          <w:szCs w:val="16"/>
          <w:lang w:val="es-CR"/>
        </w:rPr>
        <w:t xml:space="preserve">Cfr. </w:t>
      </w:r>
      <w:r w:rsidR="7CDFE7CF" w:rsidRPr="00053304">
        <w:rPr>
          <w:rFonts w:ascii="Verdana" w:hAnsi="Verdana" w:cs="Courier New"/>
          <w:i/>
          <w:iCs/>
          <w:szCs w:val="16"/>
          <w:lang w:val="es-CR"/>
        </w:rPr>
        <w:t>Caso Velásquez Rodríguez Vs. Honduras. Excepciones Preliminares</w:t>
      </w:r>
      <w:r w:rsidR="7CDFE7CF" w:rsidRPr="00053304">
        <w:rPr>
          <w:rFonts w:ascii="Verdana" w:hAnsi="Verdana" w:cs="Courier New"/>
          <w:szCs w:val="16"/>
          <w:lang w:val="es-CR"/>
        </w:rPr>
        <w:t>,</w:t>
      </w:r>
      <w:r w:rsidR="7CDFE7CF" w:rsidRPr="00053304">
        <w:rPr>
          <w:rFonts w:ascii="Verdana" w:hAnsi="Verdana" w:cs="Courier New"/>
          <w:i/>
          <w:iCs/>
          <w:szCs w:val="16"/>
          <w:lang w:val="es-CR"/>
        </w:rPr>
        <w:t xml:space="preserve"> supra</w:t>
      </w:r>
      <w:r w:rsidR="7CDFE7CF" w:rsidRPr="00053304">
        <w:rPr>
          <w:rFonts w:ascii="Verdana" w:hAnsi="Verdana"/>
          <w:szCs w:val="16"/>
          <w:lang w:val="es-CR"/>
        </w:rPr>
        <w:t xml:space="preserve">, párr. 91; </w:t>
      </w:r>
      <w:r w:rsidR="7CDFE7CF" w:rsidRPr="00053304">
        <w:rPr>
          <w:rFonts w:ascii="Verdana" w:hAnsi="Verdana"/>
          <w:i/>
          <w:iCs/>
          <w:szCs w:val="16"/>
          <w:lang w:val="es-CR"/>
        </w:rPr>
        <w:t>Caso Digna Ochoa y familiares Vs. México</w:t>
      </w:r>
      <w:r w:rsidR="3BF92891" w:rsidRPr="00053304">
        <w:rPr>
          <w:rFonts w:ascii="Verdana" w:hAnsi="Verdana"/>
          <w:i/>
          <w:iCs/>
          <w:szCs w:val="16"/>
          <w:lang w:val="es-CR"/>
        </w:rPr>
        <w:t>. Excepciones preliminares, fondo, reparaciones y costas</w:t>
      </w:r>
      <w:r w:rsidR="3BF92891" w:rsidRPr="00053304">
        <w:rPr>
          <w:rFonts w:ascii="Verdana" w:hAnsi="Verdana"/>
          <w:szCs w:val="16"/>
          <w:lang w:val="es-CR"/>
        </w:rPr>
        <w:t>. Sentencia de 25 de noviembre de 2021. Serie C No. 447</w:t>
      </w:r>
      <w:r w:rsidR="7CDFE7CF" w:rsidRPr="00053304">
        <w:rPr>
          <w:rFonts w:ascii="Verdana" w:hAnsi="Verdana"/>
          <w:szCs w:val="16"/>
          <w:lang w:val="es-CR"/>
        </w:rPr>
        <w:t>, párr. 98, y</w:t>
      </w:r>
      <w:r w:rsidR="7CDFE7CF" w:rsidRPr="00053304">
        <w:rPr>
          <w:rFonts w:ascii="Verdana" w:hAnsi="Verdana"/>
          <w:i/>
          <w:iCs/>
          <w:szCs w:val="16"/>
          <w:lang w:val="es-CR"/>
        </w:rPr>
        <w:t xml:space="preserve"> </w:t>
      </w:r>
      <w:r w:rsidR="3BF92891" w:rsidRPr="00053304">
        <w:rPr>
          <w:rFonts w:ascii="Verdana" w:eastAsia="Verdana" w:hAnsi="Verdana" w:cs="Verdana"/>
          <w:i/>
          <w:iCs/>
          <w:szCs w:val="16"/>
          <w:lang w:val="es-CR"/>
        </w:rPr>
        <w:t>Caso Aroca Palma y otros Vs. Ecuador, supra,</w:t>
      </w:r>
      <w:r w:rsidR="3BF92891" w:rsidRPr="00053304">
        <w:rPr>
          <w:rFonts w:ascii="Verdana" w:eastAsia="Verdana" w:hAnsi="Verdana" w:cs="Verdana"/>
          <w:szCs w:val="16"/>
          <w:lang w:val="es-CR"/>
        </w:rPr>
        <w:t xml:space="preserve"> párr. 103</w:t>
      </w:r>
      <w:r w:rsidR="7CDFE7CF" w:rsidRPr="00053304">
        <w:rPr>
          <w:rFonts w:ascii="Verdana" w:eastAsia="Verdana" w:hAnsi="Verdana" w:cs="Verdana"/>
          <w:szCs w:val="16"/>
          <w:lang w:val="es-CR"/>
        </w:rPr>
        <w:t>.</w:t>
      </w:r>
    </w:p>
  </w:footnote>
  <w:footnote w:id="226">
    <w:p w14:paraId="6FDEFC70" w14:textId="46A80251" w:rsidR="00510399" w:rsidRPr="00053304" w:rsidRDefault="00510399" w:rsidP="00053304">
      <w:pPr>
        <w:snapToGrid w:val="0"/>
        <w:spacing w:before="120" w:after="120"/>
        <w:jc w:val="both"/>
        <w:rPr>
          <w:rFonts w:ascii="Verdana" w:hAnsi="Verdana"/>
          <w:sz w:val="16"/>
          <w:szCs w:val="16"/>
        </w:rPr>
      </w:pPr>
      <w:r w:rsidRPr="00053304">
        <w:rPr>
          <w:rFonts w:ascii="Verdana" w:hAnsi="Verdana"/>
          <w:sz w:val="16"/>
          <w:szCs w:val="16"/>
          <w:vertAlign w:val="superscript"/>
        </w:rPr>
        <w:footnoteRef/>
      </w:r>
      <w:r w:rsidRPr="00053304">
        <w:rPr>
          <w:rFonts w:ascii="Verdana" w:hAnsi="Verdana"/>
          <w:sz w:val="16"/>
          <w:szCs w:val="16"/>
        </w:rPr>
        <w:t xml:space="preserve"> </w:t>
      </w:r>
      <w:r w:rsidRPr="00053304">
        <w:rPr>
          <w:rFonts w:ascii="Verdana" w:hAnsi="Verdana"/>
          <w:sz w:val="16"/>
          <w:szCs w:val="16"/>
        </w:rPr>
        <w:tab/>
      </w:r>
      <w:r w:rsidRPr="00053304">
        <w:rPr>
          <w:rFonts w:ascii="Verdana" w:hAnsi="Verdana"/>
          <w:i/>
          <w:sz w:val="16"/>
          <w:szCs w:val="16"/>
        </w:rPr>
        <w:t>Cfr</w:t>
      </w:r>
      <w:r w:rsidRPr="00053304">
        <w:rPr>
          <w:rFonts w:ascii="Verdana" w:hAnsi="Verdana"/>
          <w:sz w:val="16"/>
          <w:szCs w:val="16"/>
        </w:rPr>
        <w:t xml:space="preserve">. </w:t>
      </w:r>
      <w:r w:rsidRPr="00053304">
        <w:rPr>
          <w:rFonts w:ascii="Verdana" w:hAnsi="Verdana"/>
          <w:i/>
          <w:iCs/>
          <w:sz w:val="16"/>
          <w:szCs w:val="16"/>
        </w:rPr>
        <w:t xml:space="preserve">Caso Bulacio Vs. Argentina. Fondo, Reparaciones y Costas. </w:t>
      </w:r>
      <w:r w:rsidRPr="00053304">
        <w:rPr>
          <w:rFonts w:ascii="Verdana" w:hAnsi="Verdana"/>
          <w:iCs/>
          <w:sz w:val="16"/>
          <w:szCs w:val="16"/>
        </w:rPr>
        <w:t>Sentencia de 18 de septiembre de 2003. Serie C No. 100,</w:t>
      </w:r>
      <w:r w:rsidRPr="00053304">
        <w:rPr>
          <w:rFonts w:ascii="Verdana" w:hAnsi="Verdana"/>
          <w:i/>
          <w:iCs/>
          <w:sz w:val="16"/>
          <w:szCs w:val="16"/>
        </w:rPr>
        <w:t xml:space="preserve"> </w:t>
      </w:r>
      <w:r w:rsidRPr="00053304">
        <w:rPr>
          <w:rFonts w:ascii="Verdana" w:hAnsi="Verdana"/>
          <w:sz w:val="16"/>
          <w:szCs w:val="16"/>
        </w:rPr>
        <w:t xml:space="preserve">párr. 114, </w:t>
      </w:r>
      <w:r w:rsidRPr="00053304">
        <w:rPr>
          <w:rFonts w:ascii="Verdana" w:hAnsi="Verdana"/>
          <w:i/>
          <w:iCs/>
          <w:sz w:val="16"/>
          <w:szCs w:val="16"/>
        </w:rPr>
        <w:t>Caso Empleados de la Fábrica de Fuegos en Santo Antônio de Jesus y sus familiares Vs. Brasil. Excepciones Preliminares, Fondo, Reparaciones y Costas.</w:t>
      </w:r>
      <w:r w:rsidRPr="00053304">
        <w:rPr>
          <w:rFonts w:ascii="Verdana" w:hAnsi="Verdana"/>
          <w:iCs/>
          <w:sz w:val="16"/>
          <w:szCs w:val="16"/>
        </w:rPr>
        <w:t xml:space="preserve"> Sentencia de 15 de julio de 2020. Serie C No. 407, </w:t>
      </w:r>
      <w:r w:rsidRPr="00053304">
        <w:rPr>
          <w:rFonts w:ascii="Verdana" w:hAnsi="Verdana"/>
          <w:sz w:val="16"/>
          <w:szCs w:val="16"/>
        </w:rPr>
        <w:t>párr. 217</w:t>
      </w:r>
      <w:r w:rsidR="00305B48" w:rsidRPr="00053304">
        <w:rPr>
          <w:rFonts w:ascii="Verdana" w:hAnsi="Verdana"/>
          <w:sz w:val="16"/>
          <w:szCs w:val="16"/>
        </w:rPr>
        <w:t xml:space="preserve">, y </w:t>
      </w:r>
      <w:r w:rsidR="00305B48" w:rsidRPr="00053304">
        <w:rPr>
          <w:rFonts w:ascii="Verdana" w:hAnsi="Verdana"/>
          <w:i/>
          <w:iCs/>
          <w:sz w:val="16"/>
          <w:szCs w:val="16"/>
        </w:rPr>
        <w:t>Caso Sales Pimenta Vs. Brasil. Excepciones Preliminares, Fondo, Reparaciones y Costas</w:t>
      </w:r>
      <w:r w:rsidR="00305B48" w:rsidRPr="00053304">
        <w:rPr>
          <w:rFonts w:ascii="Verdana" w:hAnsi="Verdana"/>
          <w:sz w:val="16"/>
          <w:szCs w:val="16"/>
        </w:rPr>
        <w:t>. Sentencia de 30 de junio de 2022. Serie C No. 454, párr. 83.</w:t>
      </w:r>
    </w:p>
  </w:footnote>
  <w:footnote w:id="227">
    <w:p w14:paraId="588740CF" w14:textId="420735E2" w:rsidR="00510399" w:rsidRPr="00053304" w:rsidRDefault="00510399" w:rsidP="00053304">
      <w:pPr>
        <w:pStyle w:val="Textonotapie"/>
        <w:snapToGrid w:val="0"/>
        <w:jc w:val="both"/>
        <w:rPr>
          <w:rFonts w:ascii="Verdana" w:hAnsi="Verdana" w:cs="Tahoma"/>
          <w:szCs w:val="16"/>
          <w:shd w:val="clear" w:color="auto" w:fill="FFFFFF"/>
          <w:lang w:val="es-CR"/>
        </w:rPr>
      </w:pPr>
      <w:r w:rsidRPr="00053304">
        <w:rPr>
          <w:rStyle w:val="Refdenotaalpie"/>
          <w:rFonts w:ascii="Verdana" w:eastAsia="Batang" w:hAnsi="Verdana"/>
          <w:szCs w:val="16"/>
          <w:lang w:val="es-CR"/>
        </w:rPr>
        <w:footnoteRef/>
      </w:r>
      <w:r w:rsidR="7CDFE7CF" w:rsidRPr="00053304">
        <w:rPr>
          <w:rFonts w:ascii="Verdana" w:hAnsi="Verdana"/>
          <w:szCs w:val="16"/>
          <w:lang w:val="es-CR"/>
        </w:rPr>
        <w:t xml:space="preserve"> </w:t>
      </w:r>
      <w:r w:rsidRPr="00053304">
        <w:rPr>
          <w:rFonts w:ascii="Verdana" w:hAnsi="Verdana"/>
          <w:szCs w:val="16"/>
          <w:lang w:val="es-CR"/>
        </w:rPr>
        <w:tab/>
      </w:r>
      <w:r w:rsidR="7CDFE7CF" w:rsidRPr="00053304">
        <w:rPr>
          <w:rFonts w:ascii="Verdana" w:hAnsi="Verdana" w:cs="Tahoma"/>
          <w:i/>
          <w:iCs/>
          <w:szCs w:val="16"/>
          <w:lang w:val="es-CR"/>
        </w:rPr>
        <w:t xml:space="preserve">Cfr. Caso Cantos Vs. Argentina. Fondo, Reparaciones y Costas. </w:t>
      </w:r>
      <w:r w:rsidR="7CDFE7CF" w:rsidRPr="00053304">
        <w:rPr>
          <w:rFonts w:ascii="Verdana" w:hAnsi="Verdana" w:cs="Tahoma"/>
          <w:szCs w:val="16"/>
          <w:lang w:val="es-CR"/>
        </w:rPr>
        <w:t>Sentencia de 28 de noviembre de 2002. Serie C No. 97, párr. 57</w:t>
      </w:r>
      <w:r w:rsidR="00305B48" w:rsidRPr="00053304">
        <w:rPr>
          <w:rFonts w:ascii="Verdana" w:hAnsi="Verdana" w:cs="Tahoma"/>
          <w:szCs w:val="16"/>
          <w:lang w:val="es-CR"/>
        </w:rPr>
        <w:t xml:space="preserve">; </w:t>
      </w:r>
      <w:r w:rsidR="7CDFE7CF" w:rsidRPr="00053304">
        <w:rPr>
          <w:rFonts w:ascii="Verdana" w:hAnsi="Verdana"/>
          <w:i/>
          <w:iCs/>
          <w:szCs w:val="16"/>
          <w:lang w:val="es-CR"/>
        </w:rPr>
        <w:t xml:space="preserve">Caso Empleados de la Fábrica de Fuegos en Santo Antônio de Jesus y sus familiares Vs. Brasil. </w:t>
      </w:r>
      <w:r w:rsidR="7CDFE7CF" w:rsidRPr="00053304">
        <w:rPr>
          <w:rFonts w:ascii="Verdana" w:hAnsi="Verdana"/>
          <w:i/>
          <w:iCs/>
          <w:szCs w:val="16"/>
        </w:rPr>
        <w:t>Excepciones Preliminares, Fondo, Reparaciones y Costas,</w:t>
      </w:r>
      <w:r w:rsidR="7CDFE7CF" w:rsidRPr="00053304">
        <w:rPr>
          <w:rFonts w:ascii="Verdana" w:hAnsi="Verdana"/>
          <w:i/>
          <w:iCs/>
          <w:szCs w:val="16"/>
          <w:lang w:val="es-CR"/>
        </w:rPr>
        <w:t xml:space="preserve"> supra</w:t>
      </w:r>
      <w:r w:rsidR="7CDFE7CF" w:rsidRPr="00053304">
        <w:rPr>
          <w:rFonts w:ascii="Verdana" w:hAnsi="Verdana"/>
          <w:szCs w:val="16"/>
          <w:lang w:val="es-CR"/>
        </w:rPr>
        <w:t>, párr. 218</w:t>
      </w:r>
      <w:r w:rsidR="00305B48" w:rsidRPr="00053304">
        <w:rPr>
          <w:rFonts w:ascii="Verdana" w:hAnsi="Verdana"/>
          <w:szCs w:val="16"/>
          <w:lang w:val="es-CR"/>
        </w:rPr>
        <w:t xml:space="preserve">, y </w:t>
      </w:r>
      <w:r w:rsidR="00305B48" w:rsidRPr="00053304">
        <w:rPr>
          <w:rFonts w:ascii="Verdana" w:hAnsi="Verdana"/>
          <w:i/>
          <w:iCs/>
          <w:szCs w:val="16"/>
        </w:rPr>
        <w:t>Caso Sales Pimenta Vs. Brasil, supra</w:t>
      </w:r>
      <w:r w:rsidR="00305B48" w:rsidRPr="00053304">
        <w:rPr>
          <w:rFonts w:ascii="Verdana" w:hAnsi="Verdana"/>
          <w:szCs w:val="16"/>
        </w:rPr>
        <w:t>, párr. 83</w:t>
      </w:r>
      <w:r w:rsidR="7CDFE7CF" w:rsidRPr="00053304">
        <w:rPr>
          <w:rFonts w:ascii="Verdana" w:hAnsi="Verdana"/>
          <w:szCs w:val="16"/>
          <w:lang w:val="es-CR"/>
        </w:rPr>
        <w:t>.</w:t>
      </w:r>
    </w:p>
  </w:footnote>
  <w:footnote w:id="228">
    <w:p w14:paraId="06ADF9D6" w14:textId="7E52D67D" w:rsidR="0031731F" w:rsidRPr="00053304" w:rsidRDefault="0031731F" w:rsidP="00053304">
      <w:pPr>
        <w:pStyle w:val="NormalWeb"/>
        <w:spacing w:before="120" w:beforeAutospacing="0" w:after="120" w:afterAutospacing="0" w:line="240" w:lineRule="auto"/>
        <w:jc w:val="both"/>
        <w:rPr>
          <w:rFonts w:ascii="Verdana" w:hAnsi="Verdana"/>
          <w:lang w:val="es-ES"/>
        </w:rPr>
      </w:pPr>
      <w:r w:rsidRPr="00053304">
        <w:rPr>
          <w:rStyle w:val="Refdenotaalpie"/>
          <w:rFonts w:ascii="Verdana" w:hAnsi="Verdana"/>
          <w:szCs w:val="16"/>
          <w:lang w:val="es-ES"/>
        </w:rPr>
        <w:footnoteRef/>
      </w:r>
      <w:r w:rsidR="7CDFE7CF" w:rsidRPr="00053304">
        <w:rPr>
          <w:rFonts w:ascii="Verdana" w:hAnsi="Verdana"/>
          <w:lang w:val="es-ES"/>
        </w:rPr>
        <w:t xml:space="preserve"> </w:t>
      </w:r>
      <w:r w:rsidRPr="00053304">
        <w:rPr>
          <w:rFonts w:ascii="Verdana" w:hAnsi="Verdana"/>
          <w:lang w:val="es-ES_tradnl"/>
        </w:rPr>
        <w:tab/>
      </w:r>
      <w:r w:rsidR="7CDFE7CF" w:rsidRPr="00053304">
        <w:rPr>
          <w:rFonts w:ascii="Verdana" w:hAnsi="Verdana"/>
          <w:i/>
          <w:iCs/>
          <w:lang w:val="es-ES"/>
        </w:rPr>
        <w:t>Cfr.</w:t>
      </w:r>
      <w:r w:rsidR="7CDFE7CF" w:rsidRPr="00053304">
        <w:rPr>
          <w:rFonts w:ascii="Verdana" w:hAnsi="Verdana"/>
          <w:lang w:val="es-ES"/>
        </w:rPr>
        <w:t xml:space="preserve"> </w:t>
      </w:r>
      <w:r w:rsidR="7CDFE7CF" w:rsidRPr="00053304">
        <w:rPr>
          <w:rFonts w:ascii="Verdana" w:hAnsi="Verdana"/>
          <w:i/>
          <w:iCs/>
          <w:lang w:val="es-ES"/>
        </w:rPr>
        <w:t>Caso Neira Alegría y otros Vs. Perú́. Fondo</w:t>
      </w:r>
      <w:r w:rsidR="7CDFE7CF" w:rsidRPr="00053304">
        <w:rPr>
          <w:rFonts w:ascii="Verdana" w:hAnsi="Verdana"/>
          <w:lang w:val="es-ES"/>
        </w:rPr>
        <w:t>. Sentencia de 19 de enero de 1995. Serie C No. 20, párr. 60</w:t>
      </w:r>
      <w:r w:rsidR="002E1C95" w:rsidRPr="00053304">
        <w:rPr>
          <w:rFonts w:ascii="Verdana" w:hAnsi="Verdana"/>
          <w:lang w:val="es-ES"/>
        </w:rPr>
        <w:t>;</w:t>
      </w:r>
      <w:r w:rsidR="7CDFE7CF" w:rsidRPr="00053304">
        <w:rPr>
          <w:rFonts w:ascii="Verdana" w:hAnsi="Verdana"/>
          <w:lang w:val="es-ES"/>
        </w:rPr>
        <w:t xml:space="preserve"> </w:t>
      </w:r>
      <w:r w:rsidR="7CDFE7CF" w:rsidRPr="00053304">
        <w:rPr>
          <w:rFonts w:ascii="Verdana" w:hAnsi="Verdana" w:cs="Verdana"/>
          <w:i/>
          <w:iCs/>
          <w:lang w:val="es-ES" w:eastAsia="ja-JP"/>
        </w:rPr>
        <w:t>Caso Pacheco Teruel y otros Vs. Honduras. Fondo, Reparaciones y Costas.</w:t>
      </w:r>
      <w:r w:rsidR="7CDFE7CF" w:rsidRPr="00053304">
        <w:rPr>
          <w:rFonts w:ascii="Verdana" w:hAnsi="Verdana" w:cs="Verdana"/>
          <w:lang w:val="es-ES" w:eastAsia="ja-JP"/>
        </w:rPr>
        <w:t xml:space="preserve"> Sentencia de 27 de abril de 2012 Serie C No. 241, párr. 63</w:t>
      </w:r>
      <w:r w:rsidR="002E1C95" w:rsidRPr="00053304">
        <w:rPr>
          <w:rFonts w:ascii="Verdana" w:hAnsi="Verdana" w:cs="Verdana"/>
          <w:lang w:val="es-ES" w:eastAsia="ja-JP"/>
        </w:rPr>
        <w:t xml:space="preserve">, y </w:t>
      </w:r>
      <w:r w:rsidR="002E1C95" w:rsidRPr="00053304">
        <w:rPr>
          <w:rFonts w:ascii="Verdana" w:hAnsi="Verdana" w:cs="Verdana"/>
          <w:i/>
          <w:iCs/>
          <w:lang w:val="es-ES" w:eastAsia="ja-JP"/>
        </w:rPr>
        <w:t>Caso Aroca Palma y otros Vs. Ecuador</w:t>
      </w:r>
      <w:r w:rsidR="002E1C95" w:rsidRPr="00053304">
        <w:rPr>
          <w:rFonts w:ascii="Verdana" w:hAnsi="Verdana" w:cs="Verdana"/>
          <w:lang w:val="es-ES" w:eastAsia="ja-JP"/>
        </w:rPr>
        <w:t xml:space="preserve">, </w:t>
      </w:r>
      <w:r w:rsidR="002E1C95" w:rsidRPr="00053304">
        <w:rPr>
          <w:rFonts w:ascii="Verdana" w:hAnsi="Verdana" w:cs="Verdana"/>
          <w:i/>
          <w:iCs/>
          <w:lang w:val="es-ES" w:eastAsia="ja-JP"/>
        </w:rPr>
        <w:t>supra</w:t>
      </w:r>
      <w:r w:rsidR="002E1C95" w:rsidRPr="00053304">
        <w:rPr>
          <w:rFonts w:ascii="Verdana" w:hAnsi="Verdana" w:cs="Verdana"/>
          <w:lang w:val="es-ES" w:eastAsia="ja-JP"/>
        </w:rPr>
        <w:t>, párr. 88</w:t>
      </w:r>
      <w:r w:rsidR="00A93DE4" w:rsidRPr="00053304">
        <w:rPr>
          <w:rFonts w:ascii="Verdana" w:hAnsi="Verdana" w:cs="Verdana"/>
          <w:lang w:val="es-ES" w:eastAsia="ja-JP"/>
        </w:rPr>
        <w:t>.</w:t>
      </w:r>
    </w:p>
  </w:footnote>
  <w:footnote w:id="229">
    <w:p w14:paraId="1666039F" w14:textId="75A0CE91" w:rsidR="0031731F" w:rsidRPr="00053304" w:rsidRDefault="0031731F" w:rsidP="00053304">
      <w:pPr>
        <w:pStyle w:val="NormalWeb"/>
        <w:spacing w:before="120" w:beforeAutospacing="0" w:after="120" w:afterAutospacing="0" w:line="240" w:lineRule="auto"/>
        <w:jc w:val="both"/>
        <w:rPr>
          <w:rFonts w:ascii="Verdana" w:hAnsi="Verdana" w:cs="Verdana"/>
          <w:lang w:val="es-ES" w:eastAsia="ja-JP"/>
        </w:rPr>
      </w:pPr>
      <w:r w:rsidRPr="00053304">
        <w:rPr>
          <w:rStyle w:val="Refdenotaalpie"/>
          <w:rFonts w:ascii="Verdana" w:hAnsi="Verdana"/>
          <w:szCs w:val="16"/>
          <w:lang w:val="es-ES"/>
        </w:rPr>
        <w:footnoteRef/>
      </w:r>
      <w:r w:rsidR="7CDFE7CF" w:rsidRPr="00053304">
        <w:rPr>
          <w:rFonts w:ascii="Verdana" w:hAnsi="Verdana"/>
          <w:lang w:val="es-ES"/>
        </w:rPr>
        <w:t xml:space="preserve"> </w:t>
      </w:r>
      <w:r w:rsidRPr="00053304">
        <w:rPr>
          <w:rFonts w:ascii="Verdana" w:hAnsi="Verdana"/>
          <w:lang w:val="es-ES_tradnl"/>
        </w:rPr>
        <w:tab/>
      </w:r>
      <w:r w:rsidR="7CDFE7CF" w:rsidRPr="00053304">
        <w:rPr>
          <w:rFonts w:ascii="Verdana" w:hAnsi="Verdana"/>
          <w:i/>
          <w:iCs/>
          <w:lang w:val="es-ES"/>
        </w:rPr>
        <w:t xml:space="preserve">Caso de la Masacre de Pueblo Bello Vs. Colombia. Fondo, Reparaciones y Costas. </w:t>
      </w:r>
      <w:r w:rsidR="7CDFE7CF" w:rsidRPr="00053304">
        <w:rPr>
          <w:rFonts w:ascii="Verdana" w:hAnsi="Verdana"/>
          <w:lang w:val="es-ES"/>
        </w:rPr>
        <w:t>Sentencia de 31 de enero de 2006. Serie C No. 140, párr. 111</w:t>
      </w:r>
      <w:r w:rsidR="00305B48" w:rsidRPr="00053304">
        <w:rPr>
          <w:rFonts w:ascii="Verdana" w:hAnsi="Verdana"/>
          <w:lang w:val="es-ES"/>
        </w:rPr>
        <w:t>;</w:t>
      </w:r>
      <w:r w:rsidR="7CDFE7CF" w:rsidRPr="00053304">
        <w:rPr>
          <w:rFonts w:ascii="Verdana" w:hAnsi="Verdana"/>
          <w:lang w:val="es-ES"/>
        </w:rPr>
        <w:t xml:space="preserve"> </w:t>
      </w:r>
      <w:r w:rsidR="7CDFE7CF" w:rsidRPr="00053304">
        <w:rPr>
          <w:rFonts w:ascii="Verdana" w:hAnsi="Verdana" w:cs="Verdana"/>
          <w:i/>
          <w:iCs/>
          <w:lang w:val="es-ES" w:eastAsia="ja-JP"/>
        </w:rPr>
        <w:t xml:space="preserve">Caso Díaz Peña Vs. Venezuela. Excepción Preliminar, Fondo, Reparaciones y Costas. </w:t>
      </w:r>
      <w:r w:rsidR="7CDFE7CF" w:rsidRPr="00053304">
        <w:rPr>
          <w:rFonts w:ascii="Verdana" w:hAnsi="Verdana" w:cs="Verdana"/>
          <w:lang w:val="es-ES" w:eastAsia="ja-JP"/>
        </w:rPr>
        <w:t>Sentencia de 26 de junio de 2012. Serie C No. 244, párr. 137</w:t>
      </w:r>
      <w:r w:rsidR="00305B48" w:rsidRPr="00053304">
        <w:rPr>
          <w:rFonts w:ascii="Verdana" w:hAnsi="Verdana" w:cs="Verdana"/>
          <w:lang w:val="es-ES" w:eastAsia="ja-JP"/>
        </w:rPr>
        <w:t xml:space="preserve">, y </w:t>
      </w:r>
      <w:r w:rsidR="00305B48" w:rsidRPr="00053304">
        <w:rPr>
          <w:rFonts w:ascii="Verdana" w:hAnsi="Verdana" w:cs="Vrinda"/>
          <w:i/>
          <w:iCs/>
          <w:spacing w:val="-4"/>
          <w:lang w:val="es-CR"/>
        </w:rPr>
        <w:t>Caso Guevara Díaz Vs. Costa Rica, supra</w:t>
      </w:r>
      <w:r w:rsidR="00305B48" w:rsidRPr="00053304">
        <w:rPr>
          <w:rFonts w:ascii="Verdana" w:hAnsi="Verdana" w:cs="Vrinda"/>
          <w:spacing w:val="-4"/>
          <w:lang w:val="es-CR"/>
        </w:rPr>
        <w:t>, párr. 53.</w:t>
      </w:r>
      <w:r w:rsidR="7CDFE7CF" w:rsidRPr="00053304">
        <w:rPr>
          <w:rFonts w:ascii="Verdana" w:hAnsi="Verdana" w:cs="Verdana"/>
          <w:lang w:val="es-ES" w:eastAsia="ja-JP"/>
        </w:rPr>
        <w:t xml:space="preserve"> </w:t>
      </w:r>
    </w:p>
  </w:footnote>
  <w:footnote w:id="230">
    <w:p w14:paraId="08A2C597" w14:textId="3E7C7F7E" w:rsidR="0031731F" w:rsidRPr="00053304" w:rsidRDefault="0031731F" w:rsidP="00053304">
      <w:pPr>
        <w:pStyle w:val="Textonotapie"/>
        <w:jc w:val="both"/>
        <w:rPr>
          <w:rFonts w:ascii="Verdana" w:hAnsi="Verdana" w:cs="Verdana"/>
          <w:szCs w:val="16"/>
          <w:lang w:val="es-ES"/>
        </w:rPr>
      </w:pPr>
      <w:r w:rsidRPr="00053304">
        <w:rPr>
          <w:rStyle w:val="Refdenotaalpie"/>
          <w:rFonts w:ascii="Verdana" w:hAnsi="Verdana"/>
          <w:szCs w:val="16"/>
        </w:rPr>
        <w:footnoteRef/>
      </w:r>
      <w:r w:rsidR="00D8B191" w:rsidRPr="00053304">
        <w:rPr>
          <w:rFonts w:ascii="Verdana" w:hAnsi="Verdana"/>
          <w:szCs w:val="16"/>
          <w:lang w:val="es-ES"/>
        </w:rPr>
        <w:t xml:space="preserve"> </w:t>
      </w:r>
      <w:r w:rsidRPr="00053304">
        <w:rPr>
          <w:rFonts w:ascii="Verdana" w:hAnsi="Verdana"/>
          <w:szCs w:val="16"/>
          <w:lang w:val="es-ES"/>
        </w:rPr>
        <w:tab/>
      </w:r>
      <w:r w:rsidR="00D8B191" w:rsidRPr="00053304">
        <w:rPr>
          <w:rFonts w:ascii="Verdana" w:hAnsi="Verdana"/>
          <w:i/>
          <w:iCs/>
          <w:szCs w:val="16"/>
          <w:lang w:val="es-ES"/>
        </w:rPr>
        <w:t>Cfr. Caso Neira Alegría y otros Vs. Perú. Fondo, supra,</w:t>
      </w:r>
      <w:r w:rsidR="00D8B191" w:rsidRPr="00053304">
        <w:rPr>
          <w:rFonts w:ascii="Verdana" w:hAnsi="Verdana"/>
          <w:szCs w:val="16"/>
          <w:lang w:val="es-ES"/>
        </w:rPr>
        <w:t xml:space="preserve"> párr. 60; </w:t>
      </w:r>
      <w:r w:rsidR="00D8B191" w:rsidRPr="00053304">
        <w:rPr>
          <w:rFonts w:ascii="Verdana" w:eastAsiaTheme="minorEastAsia" w:hAnsi="Verdana" w:cs="Verdana"/>
          <w:i/>
          <w:iCs/>
          <w:szCs w:val="16"/>
          <w:lang w:val="es-ES" w:eastAsia="ja-JP"/>
        </w:rPr>
        <w:t>Caso Vélez Loor Vs. Panamá. Excepciones Preliminares, Fondo, Reparaciones y Costas</w:t>
      </w:r>
      <w:r w:rsidR="00D8B191" w:rsidRPr="00053304">
        <w:rPr>
          <w:rFonts w:ascii="Verdana" w:eastAsiaTheme="minorEastAsia" w:hAnsi="Verdana" w:cs="Verdana"/>
          <w:szCs w:val="16"/>
          <w:lang w:val="es-ES" w:eastAsia="ja-JP"/>
        </w:rPr>
        <w:t xml:space="preserve">. Sentencia de 23 de noviembre de 2010 Serie C No. 218, </w:t>
      </w:r>
      <w:r w:rsidR="00D8B191" w:rsidRPr="00053304">
        <w:rPr>
          <w:rFonts w:ascii="Verdana" w:hAnsi="Verdana" w:cs="Verdana"/>
          <w:szCs w:val="16"/>
          <w:lang w:val="es-ES"/>
        </w:rPr>
        <w:t>párr. 198</w:t>
      </w:r>
      <w:r w:rsidR="00305B48" w:rsidRPr="00053304">
        <w:rPr>
          <w:rFonts w:ascii="Verdana" w:hAnsi="Verdana" w:cs="Verdana"/>
          <w:szCs w:val="16"/>
          <w:lang w:val="es-ES"/>
        </w:rPr>
        <w:t xml:space="preserve">; </w:t>
      </w:r>
      <w:r w:rsidR="00D8B191" w:rsidRPr="00053304">
        <w:rPr>
          <w:rFonts w:ascii="Verdana" w:eastAsia="Verdana" w:hAnsi="Verdana" w:cs="Verdana"/>
          <w:i/>
          <w:iCs/>
          <w:szCs w:val="16"/>
          <w:lang w:val="es-ES"/>
        </w:rPr>
        <w:t>Caso López y otros Vs. Argentina. Excepciones Preliminares, Fondo, Reparaciones y Costas.</w:t>
      </w:r>
      <w:r w:rsidR="00D8B191" w:rsidRPr="00053304">
        <w:rPr>
          <w:rFonts w:ascii="Verdana" w:eastAsia="Verdana" w:hAnsi="Verdana" w:cs="Verdana"/>
          <w:szCs w:val="16"/>
          <w:lang w:val="es-ES"/>
        </w:rPr>
        <w:t xml:space="preserve"> Sentencia de 25 de noviembre de 2019. Serie C No. 396, párr. 23</w:t>
      </w:r>
      <w:r w:rsidR="00305B48" w:rsidRPr="00053304">
        <w:rPr>
          <w:rFonts w:ascii="Verdana" w:hAnsi="Verdana" w:cs="Verdana"/>
          <w:szCs w:val="16"/>
          <w:lang w:val="es-ES"/>
        </w:rPr>
        <w:t xml:space="preserve">, y </w:t>
      </w:r>
      <w:r w:rsidR="00305B48" w:rsidRPr="00053304">
        <w:rPr>
          <w:rFonts w:ascii="Verdana" w:hAnsi="Verdana" w:cs="Verdana"/>
          <w:i/>
          <w:iCs/>
          <w:szCs w:val="16"/>
          <w:lang w:val="es-ES"/>
        </w:rPr>
        <w:t>Caso Guachalá Chimbo y otros Vs. Ecuador. Fondo, Reparaciones y Costas</w:t>
      </w:r>
      <w:r w:rsidR="00305B48" w:rsidRPr="00053304">
        <w:rPr>
          <w:rFonts w:ascii="Verdana" w:hAnsi="Verdana" w:cs="Verdana"/>
          <w:szCs w:val="16"/>
          <w:lang w:val="es-ES"/>
        </w:rPr>
        <w:t>. Sentencia de 26 de marzo de 2021. Serie C No. 423, párr. 90.</w:t>
      </w:r>
    </w:p>
  </w:footnote>
  <w:footnote w:id="231">
    <w:p w14:paraId="092BF8B6" w14:textId="303BB9C7" w:rsidR="002E1C95" w:rsidRPr="00053304" w:rsidRDefault="002E1C95" w:rsidP="00053304">
      <w:pPr>
        <w:pStyle w:val="Textonotapie"/>
        <w:jc w:val="both"/>
        <w:rPr>
          <w:rFonts w:ascii="Verdana" w:hAnsi="Verdana" w:cs="Verdana"/>
          <w:szCs w:val="16"/>
          <w:lang w:val="es-ES"/>
        </w:rPr>
      </w:pPr>
      <w:r w:rsidRPr="00053304">
        <w:rPr>
          <w:rStyle w:val="Refdenotaalpie"/>
          <w:rFonts w:ascii="Verdana" w:hAnsi="Verdana"/>
          <w:szCs w:val="16"/>
        </w:rPr>
        <w:footnoteRef/>
      </w:r>
      <w:r w:rsidRPr="00053304">
        <w:rPr>
          <w:rFonts w:ascii="Verdana" w:hAnsi="Verdana"/>
          <w:szCs w:val="16"/>
          <w:lang w:val="es-ES"/>
        </w:rPr>
        <w:t xml:space="preserve"> </w:t>
      </w:r>
      <w:r w:rsidRPr="00053304">
        <w:rPr>
          <w:rFonts w:ascii="Verdana" w:hAnsi="Verdana"/>
          <w:szCs w:val="16"/>
          <w:lang w:val="es-ES"/>
        </w:rPr>
        <w:tab/>
      </w:r>
      <w:r w:rsidRPr="00053304">
        <w:rPr>
          <w:rFonts w:ascii="Verdana" w:hAnsi="Verdana"/>
          <w:i/>
          <w:iCs/>
          <w:szCs w:val="16"/>
          <w:lang w:val="es-ES"/>
        </w:rPr>
        <w:t>Cfr. Caso Isaza Uribe Vs. Colombi. Fondo, supra,</w:t>
      </w:r>
      <w:r w:rsidRPr="00053304">
        <w:rPr>
          <w:rFonts w:ascii="Verdana" w:hAnsi="Verdana"/>
          <w:szCs w:val="16"/>
          <w:lang w:val="es-ES"/>
        </w:rPr>
        <w:t xml:space="preserve"> párr. 88</w:t>
      </w:r>
      <w:r w:rsidR="00F714A8" w:rsidRPr="00053304">
        <w:rPr>
          <w:rFonts w:ascii="Verdana" w:hAnsi="Verdana" w:cs="Verdana"/>
          <w:szCs w:val="16"/>
          <w:lang w:val="es-ES"/>
        </w:rPr>
        <w:t xml:space="preserve">; y </w:t>
      </w:r>
      <w:r w:rsidR="00F714A8" w:rsidRPr="00053304">
        <w:rPr>
          <w:rFonts w:ascii="Verdana" w:hAnsi="Verdana"/>
          <w:i/>
          <w:spacing w:val="-12"/>
          <w:szCs w:val="16"/>
        </w:rPr>
        <w:t xml:space="preserve">Caso Juan Humberto Sánchez Vs. Honduras. Excepción Preliminar, Fondo, Reparaciones y Costas. </w:t>
      </w:r>
      <w:r w:rsidR="00F714A8" w:rsidRPr="00053304">
        <w:rPr>
          <w:rFonts w:ascii="Verdana" w:hAnsi="Verdana"/>
          <w:spacing w:val="-12"/>
          <w:szCs w:val="16"/>
        </w:rPr>
        <w:t xml:space="preserve">Sentencia de 7 de junio de 2003. Serie C No. 99, párrs. 100 y 111, y </w:t>
      </w:r>
      <w:r w:rsidR="00F714A8" w:rsidRPr="00053304">
        <w:rPr>
          <w:rFonts w:ascii="Verdana" w:hAnsi="Verdana"/>
          <w:i/>
          <w:spacing w:val="-12"/>
          <w:szCs w:val="16"/>
        </w:rPr>
        <w:t>Caso Mendoza y otros Vs. Argentina. Excepciones Preliminares, Fondo y Reparaciones.</w:t>
      </w:r>
      <w:r w:rsidR="00F714A8" w:rsidRPr="00053304">
        <w:rPr>
          <w:rFonts w:ascii="Verdana" w:hAnsi="Verdana"/>
          <w:spacing w:val="-12"/>
          <w:szCs w:val="16"/>
        </w:rPr>
        <w:t xml:space="preserve"> Sentencia de 14 de mayo de 2013 Serie C No. 260, párr. 203</w:t>
      </w:r>
      <w:r w:rsidR="00A93DE4" w:rsidRPr="00053304">
        <w:rPr>
          <w:rFonts w:ascii="Verdana" w:hAnsi="Verdana"/>
          <w:spacing w:val="-12"/>
          <w:szCs w:val="16"/>
        </w:rPr>
        <w:t>.</w:t>
      </w:r>
    </w:p>
  </w:footnote>
  <w:footnote w:id="232">
    <w:p w14:paraId="0418C14D" w14:textId="56B671E1" w:rsidR="00FC16F3" w:rsidRPr="00053304" w:rsidRDefault="00FC16F3"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Pr="00053304">
        <w:rPr>
          <w:rFonts w:ascii="Verdana" w:hAnsi="Verdana" w:cs="Verdana"/>
          <w:szCs w:val="16"/>
          <w:lang w:val="es-ES_tradnl" w:eastAsia="ja-JP"/>
        </w:rPr>
        <w:t xml:space="preserve">Declaración </w:t>
      </w:r>
      <w:r w:rsidR="001C5F21" w:rsidRPr="00053304">
        <w:rPr>
          <w:rFonts w:ascii="Verdana" w:hAnsi="Verdana" w:cs="Verdana"/>
          <w:szCs w:val="16"/>
          <w:lang w:val="es-ES_tradnl" w:eastAsia="ja-JP"/>
        </w:rPr>
        <w:t xml:space="preserve">ante fedatario público de </w:t>
      </w:r>
      <w:r w:rsidR="00A93DE4" w:rsidRPr="00053304">
        <w:rPr>
          <w:rFonts w:ascii="Verdana" w:hAnsi="Verdana" w:cs="Verdana"/>
          <w:szCs w:val="16"/>
          <w:lang w:val="es-ES_tradnl" w:eastAsia="ja-JP"/>
        </w:rPr>
        <w:t xml:space="preserve">Reyes Alpízar Ortiz </w:t>
      </w:r>
      <w:r w:rsidRPr="00053304">
        <w:rPr>
          <w:rFonts w:ascii="Verdana" w:hAnsi="Verdana" w:cs="Verdana"/>
          <w:szCs w:val="16"/>
          <w:lang w:val="es-ES_tradnl" w:eastAsia="ja-JP"/>
        </w:rPr>
        <w:t xml:space="preserve">(expediente de </w:t>
      </w:r>
      <w:r w:rsidR="001C5F21" w:rsidRPr="00053304">
        <w:rPr>
          <w:rFonts w:ascii="Verdana" w:hAnsi="Verdana" w:cs="Verdana"/>
          <w:szCs w:val="16"/>
          <w:lang w:val="es-ES_tradnl" w:eastAsia="ja-JP"/>
        </w:rPr>
        <w:t>fondo</w:t>
      </w:r>
      <w:r w:rsidRPr="00053304">
        <w:rPr>
          <w:rFonts w:ascii="Verdana" w:hAnsi="Verdana" w:cs="Verdana"/>
          <w:szCs w:val="16"/>
          <w:lang w:val="es-ES_tradnl" w:eastAsia="ja-JP"/>
        </w:rPr>
        <w:t xml:space="preserve">, folios </w:t>
      </w:r>
      <w:r w:rsidR="001C5F21" w:rsidRPr="00053304">
        <w:rPr>
          <w:rFonts w:ascii="Verdana" w:hAnsi="Verdana" w:cs="Verdana"/>
          <w:szCs w:val="16"/>
          <w:lang w:val="es-ES_tradnl" w:eastAsia="ja-JP"/>
        </w:rPr>
        <w:t>993 y siguientes</w:t>
      </w:r>
      <w:r w:rsidRPr="00053304">
        <w:rPr>
          <w:rFonts w:ascii="Verdana" w:hAnsi="Verdana" w:cs="Verdana"/>
          <w:szCs w:val="16"/>
          <w:lang w:val="es-ES_tradnl" w:eastAsia="ja-JP"/>
        </w:rPr>
        <w:t>)</w:t>
      </w:r>
      <w:r w:rsidR="00A93DE4" w:rsidRPr="00053304">
        <w:rPr>
          <w:rFonts w:ascii="Verdana" w:hAnsi="Verdana" w:cs="Verdana"/>
          <w:szCs w:val="16"/>
          <w:lang w:val="es-ES_tradnl" w:eastAsia="ja-JP"/>
        </w:rPr>
        <w:t>.</w:t>
      </w:r>
    </w:p>
  </w:footnote>
  <w:footnote w:id="233">
    <w:p w14:paraId="7D5D31E8" w14:textId="71A7F343" w:rsidR="00E955AD" w:rsidRPr="00053304" w:rsidRDefault="00E955AD" w:rsidP="00053304">
      <w:pPr>
        <w:pStyle w:val="Textonotapie"/>
        <w:jc w:val="both"/>
        <w:rPr>
          <w:rFonts w:ascii="Verdana" w:hAnsi="Verdana"/>
          <w:szCs w:val="16"/>
          <w:lang w:val="es-ES"/>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lang w:val="es-ES"/>
        </w:rPr>
        <w:tab/>
      </w:r>
      <w:r w:rsidR="7CDFE7CF" w:rsidRPr="00053304">
        <w:rPr>
          <w:rFonts w:ascii="Verdana" w:hAnsi="Verdana"/>
          <w:i/>
          <w:iCs/>
          <w:szCs w:val="16"/>
          <w:lang w:val="es-ES"/>
        </w:rPr>
        <w:t>Cfr</w:t>
      </w:r>
      <w:r w:rsidR="7CDFE7CF" w:rsidRPr="00053304">
        <w:rPr>
          <w:rFonts w:ascii="Verdana" w:hAnsi="Verdana"/>
          <w:szCs w:val="16"/>
          <w:lang w:val="es-ES"/>
        </w:rPr>
        <w:t>. Naciones Unidas, Observaciones finales del Comité de Derechos Humanos (7 de abril de 2010), U.N Doc. CCPR/C/MEX/CO/5, párr. 15.</w:t>
      </w:r>
    </w:p>
  </w:footnote>
  <w:footnote w:id="234">
    <w:p w14:paraId="7B508006" w14:textId="055EB985" w:rsidR="00E955AD" w:rsidRPr="00053304" w:rsidRDefault="00E955AD" w:rsidP="00053304">
      <w:pPr>
        <w:pStyle w:val="Textonotapie"/>
        <w:jc w:val="both"/>
        <w:rPr>
          <w:rFonts w:ascii="Verdana" w:hAnsi="Verdana"/>
          <w:szCs w:val="16"/>
          <w:lang w:val="es-ES"/>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lang w:val="es-ES"/>
        </w:rPr>
        <w:tab/>
      </w:r>
      <w:r w:rsidR="7CDFE7CF" w:rsidRPr="00053304">
        <w:rPr>
          <w:rFonts w:ascii="Verdana" w:hAnsi="Verdana"/>
          <w:i/>
          <w:iCs/>
          <w:szCs w:val="16"/>
        </w:rPr>
        <w:t xml:space="preserve">Cfr. </w:t>
      </w:r>
      <w:r w:rsidR="7CDFE7CF" w:rsidRPr="00053304">
        <w:rPr>
          <w:rFonts w:ascii="Verdana" w:hAnsi="Verdana"/>
          <w:szCs w:val="16"/>
        </w:rPr>
        <w:t>Naciones Unidas, Informe sobre la visita a México del Subcomité para la Prevención de la Tortura y Otros Tratos o Penas Crueles, Inhumanos o Degradantes (31 de mayo de 2010), U.N Doc. CAT/OP/MEX/1, párrs. 142, 217 y 238</w:t>
      </w:r>
      <w:r w:rsidR="7CDFE7CF" w:rsidRPr="00053304">
        <w:rPr>
          <w:rFonts w:ascii="Verdana" w:hAnsi="Verdana"/>
          <w:szCs w:val="16"/>
          <w:lang w:val="es-ES"/>
        </w:rPr>
        <w:t>.</w:t>
      </w:r>
    </w:p>
  </w:footnote>
  <w:footnote w:id="235">
    <w:p w14:paraId="070A6FA5" w14:textId="53147B94" w:rsidR="005A0477" w:rsidRPr="00053304" w:rsidRDefault="005A0477"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w:t>
      </w:r>
      <w:r w:rsidR="7CDFE7CF" w:rsidRPr="00053304">
        <w:rPr>
          <w:rFonts w:ascii="Verdana" w:hAnsi="Verdana"/>
          <w:szCs w:val="16"/>
        </w:rPr>
        <w:t xml:space="preserve"> </w:t>
      </w:r>
      <w:r w:rsidR="7CDFE7CF" w:rsidRPr="00053304">
        <w:rPr>
          <w:rFonts w:ascii="Verdana" w:hAnsi="Verdana"/>
          <w:i/>
          <w:iCs/>
          <w:szCs w:val="16"/>
        </w:rPr>
        <w:t xml:space="preserve">Caso Gutiérrez Soler Vs. Colombia. Excepciones Preliminares, Fondo, Reparaciones y Costas. </w:t>
      </w:r>
      <w:r w:rsidR="7CDFE7CF" w:rsidRPr="00053304">
        <w:rPr>
          <w:rFonts w:ascii="Verdana" w:hAnsi="Verdana"/>
          <w:szCs w:val="16"/>
        </w:rPr>
        <w:t xml:space="preserve">Sentencia de 12 de septiembre de 2005. Serie C No. 132, párr. 54; </w:t>
      </w:r>
      <w:r w:rsidR="7CDFE7CF" w:rsidRPr="00053304">
        <w:rPr>
          <w:rFonts w:ascii="Verdana" w:hAnsi="Verdana"/>
          <w:i/>
          <w:iCs/>
          <w:szCs w:val="16"/>
          <w:lang w:val="es-CR"/>
        </w:rPr>
        <w:t xml:space="preserve">Caso Ximenes Lopes Vs. </w:t>
      </w:r>
      <w:r w:rsidR="7CDFE7CF" w:rsidRPr="00602907">
        <w:rPr>
          <w:rFonts w:ascii="Verdana" w:hAnsi="Verdana"/>
          <w:i/>
          <w:iCs/>
          <w:szCs w:val="16"/>
          <w:lang w:val="es-CR"/>
        </w:rPr>
        <w:t xml:space="preserve">Brasil. </w:t>
      </w:r>
      <w:r w:rsidR="7CDFE7CF" w:rsidRPr="00053304">
        <w:rPr>
          <w:rFonts w:ascii="Verdana" w:hAnsi="Verdana"/>
          <w:i/>
          <w:iCs/>
          <w:szCs w:val="16"/>
          <w:lang w:val="es-CR"/>
        </w:rPr>
        <w:t>Fondo, Reparaciones y Costas.</w:t>
      </w:r>
      <w:r w:rsidR="7CDFE7CF" w:rsidRPr="00053304">
        <w:rPr>
          <w:rFonts w:ascii="Verdana" w:hAnsi="Verdana"/>
          <w:szCs w:val="16"/>
          <w:lang w:val="es-CR"/>
        </w:rPr>
        <w:t xml:space="preserve"> Sentencia de 4 de julio de 2006. Serie C No. 149</w:t>
      </w:r>
      <w:r w:rsidR="7CDFE7CF" w:rsidRPr="00053304">
        <w:rPr>
          <w:rFonts w:ascii="Verdana" w:hAnsi="Verdana" w:cs="Arial"/>
          <w:szCs w:val="16"/>
          <w:lang w:val="es-CR"/>
        </w:rPr>
        <w:t>,</w:t>
      </w:r>
      <w:r w:rsidR="7CDFE7CF" w:rsidRPr="00053304">
        <w:rPr>
          <w:rFonts w:ascii="Verdana" w:hAnsi="Verdana"/>
          <w:szCs w:val="16"/>
          <w:lang w:val="es-CR"/>
        </w:rPr>
        <w:t xml:space="preserve"> párr. </w:t>
      </w:r>
      <w:r w:rsidR="7CDFE7CF" w:rsidRPr="00053304">
        <w:rPr>
          <w:rFonts w:ascii="Verdana" w:hAnsi="Verdana"/>
          <w:szCs w:val="16"/>
        </w:rPr>
        <w:t xml:space="preserve">147; </w:t>
      </w:r>
      <w:r w:rsidR="7CDFE7CF" w:rsidRPr="00053304">
        <w:rPr>
          <w:rFonts w:ascii="Verdana" w:hAnsi="Verdana"/>
          <w:i/>
          <w:iCs/>
          <w:szCs w:val="16"/>
        </w:rPr>
        <w:t>Caso Montesinos Mejía Vs. Ecuador. Excepciones Preliminares, Fondo, Reparaciones y Costas</w:t>
      </w:r>
      <w:r w:rsidR="7CDFE7CF" w:rsidRPr="00053304">
        <w:rPr>
          <w:rFonts w:ascii="Verdana" w:hAnsi="Verdana"/>
          <w:szCs w:val="16"/>
        </w:rPr>
        <w:t>. Sentencia de 27 de enero de 2020. Serie C No. 398</w:t>
      </w:r>
      <w:r w:rsidR="7CDFE7CF" w:rsidRPr="00053304">
        <w:rPr>
          <w:rFonts w:ascii="Verdana" w:hAnsi="Verdana" w:cs="Arial"/>
          <w:szCs w:val="16"/>
        </w:rPr>
        <w:t>,</w:t>
      </w:r>
      <w:r w:rsidR="7CDFE7CF" w:rsidRPr="00053304">
        <w:rPr>
          <w:rFonts w:ascii="Verdana" w:hAnsi="Verdana"/>
          <w:i/>
          <w:iCs/>
          <w:szCs w:val="16"/>
        </w:rPr>
        <w:t xml:space="preserve"> </w:t>
      </w:r>
      <w:r w:rsidR="7CDFE7CF" w:rsidRPr="00053304">
        <w:rPr>
          <w:rFonts w:ascii="Verdana" w:hAnsi="Verdana"/>
          <w:szCs w:val="16"/>
        </w:rPr>
        <w:t>párr. 151;</w:t>
      </w:r>
      <w:r w:rsidR="7CDFE7CF" w:rsidRPr="00053304">
        <w:rPr>
          <w:rFonts w:ascii="Verdana" w:hAnsi="Verdana"/>
          <w:i/>
          <w:iCs/>
          <w:szCs w:val="16"/>
        </w:rPr>
        <w:t xml:space="preserve"> Caso Olivares Muñoz y otros Vs. Venezuela. Fondo, Reparaciones y Costas. </w:t>
      </w:r>
      <w:r w:rsidR="7CDFE7CF" w:rsidRPr="00053304">
        <w:rPr>
          <w:rFonts w:ascii="Verdana" w:hAnsi="Verdana"/>
          <w:szCs w:val="16"/>
          <w:lang w:val="es-CR"/>
        </w:rPr>
        <w:t xml:space="preserve">Sentencia de 10 de noviembre de 2020. Serie C No. 415, párr. </w:t>
      </w:r>
      <w:r w:rsidR="7CDFE7CF" w:rsidRPr="00602907">
        <w:rPr>
          <w:rFonts w:ascii="Verdana" w:hAnsi="Verdana"/>
          <w:szCs w:val="16"/>
          <w:lang w:val="es-CR"/>
        </w:rPr>
        <w:t>134</w:t>
      </w:r>
      <w:r w:rsidR="7CDFE7CF" w:rsidRPr="00053304">
        <w:rPr>
          <w:rFonts w:ascii="Verdana" w:hAnsi="Verdana"/>
          <w:szCs w:val="16"/>
        </w:rPr>
        <w:t xml:space="preserve">, y </w:t>
      </w:r>
      <w:r w:rsidR="7CDFE7CF" w:rsidRPr="00053304">
        <w:rPr>
          <w:rFonts w:ascii="Verdana" w:hAnsi="Verdana"/>
          <w:i/>
          <w:iCs/>
          <w:szCs w:val="16"/>
        </w:rPr>
        <w:t>Caso</w:t>
      </w:r>
      <w:r w:rsidR="00F714A8" w:rsidRPr="00053304">
        <w:rPr>
          <w:rFonts w:ascii="Verdana" w:hAnsi="Verdana"/>
          <w:i/>
          <w:iCs/>
          <w:szCs w:val="16"/>
        </w:rPr>
        <w:t xml:space="preserve"> </w:t>
      </w:r>
      <w:r w:rsidR="7CDFE7CF" w:rsidRPr="00053304">
        <w:rPr>
          <w:rFonts w:ascii="Verdana" w:hAnsi="Verdana"/>
          <w:i/>
          <w:iCs/>
          <w:szCs w:val="16"/>
        </w:rPr>
        <w:t>Valencia Campo Vs. Bolivia. Excepción preliminar, Fondo, Reparaciones y Costas</w:t>
      </w:r>
      <w:r w:rsidR="7CDFE7CF" w:rsidRPr="00053304">
        <w:rPr>
          <w:rFonts w:ascii="Verdana" w:hAnsi="Verdana"/>
          <w:szCs w:val="16"/>
        </w:rPr>
        <w:t>. Sentencia de 18 de octubre de 2022. Serie C No. 469, párr. 266.</w:t>
      </w:r>
    </w:p>
  </w:footnote>
  <w:footnote w:id="236">
    <w:p w14:paraId="3669C776" w14:textId="0B4247E8" w:rsidR="005A0477" w:rsidRPr="00053304" w:rsidRDefault="005A0477" w:rsidP="00053304">
      <w:pPr>
        <w:pStyle w:val="Textonotapie"/>
        <w:widowControl w:val="0"/>
        <w:jc w:val="both"/>
        <w:rPr>
          <w:rFonts w:ascii="Verdana" w:hAnsi="Verdana"/>
          <w:i/>
          <w:iCs/>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 Caso Gutiérrez Soler Vs. Colombia, supra</w:t>
      </w:r>
      <w:r w:rsidR="7CDFE7CF" w:rsidRPr="00053304">
        <w:rPr>
          <w:rFonts w:ascii="Verdana" w:hAnsi="Verdana"/>
          <w:szCs w:val="16"/>
        </w:rPr>
        <w:t xml:space="preserve">, párr. 54, </w:t>
      </w:r>
      <w:r w:rsidR="7CDFE7CF" w:rsidRPr="00053304">
        <w:rPr>
          <w:rFonts w:ascii="Verdana" w:hAnsi="Verdana"/>
          <w:i/>
          <w:iCs/>
          <w:szCs w:val="16"/>
        </w:rPr>
        <w:t>Caso Olivares Muñoz y otros Vs. Venezuela</w:t>
      </w:r>
      <w:r w:rsidR="7CDFE7CF" w:rsidRPr="00053304">
        <w:rPr>
          <w:rFonts w:ascii="Verdana" w:hAnsi="Verdana"/>
          <w:szCs w:val="16"/>
        </w:rPr>
        <w:t xml:space="preserve">, párr. 134; </w:t>
      </w:r>
      <w:r w:rsidR="7CDFE7CF" w:rsidRPr="00053304">
        <w:rPr>
          <w:rFonts w:ascii="Verdana" w:hAnsi="Verdana"/>
          <w:i/>
          <w:iCs/>
          <w:szCs w:val="16"/>
        </w:rPr>
        <w:t>Caso Azul Rojas Marín y otra Vs. Perú</w:t>
      </w:r>
      <w:r w:rsidR="7CDFE7CF" w:rsidRPr="00053304">
        <w:rPr>
          <w:rFonts w:ascii="Verdana" w:hAnsi="Verdana" w:cs="Arial"/>
          <w:szCs w:val="16"/>
        </w:rPr>
        <w:t xml:space="preserve">, </w:t>
      </w:r>
      <w:r w:rsidR="7CDFE7CF" w:rsidRPr="00053304">
        <w:rPr>
          <w:rFonts w:ascii="Verdana" w:hAnsi="Verdana" w:cs="Arial"/>
          <w:i/>
          <w:iCs/>
          <w:szCs w:val="16"/>
        </w:rPr>
        <w:t>supra</w:t>
      </w:r>
      <w:r w:rsidR="7CDFE7CF" w:rsidRPr="00053304">
        <w:rPr>
          <w:rFonts w:ascii="Verdana" w:hAnsi="Verdana" w:cs="Arial"/>
          <w:szCs w:val="16"/>
        </w:rPr>
        <w:t>,</w:t>
      </w:r>
      <w:r w:rsidR="7CDFE7CF" w:rsidRPr="00053304">
        <w:rPr>
          <w:rFonts w:ascii="Verdana" w:hAnsi="Verdana"/>
          <w:szCs w:val="16"/>
        </w:rPr>
        <w:t xml:space="preserve"> párr. 174, y </w:t>
      </w:r>
      <w:r w:rsidR="7CDFE7CF" w:rsidRPr="00053304">
        <w:rPr>
          <w:rFonts w:ascii="Verdana" w:hAnsi="Verdana"/>
          <w:i/>
          <w:iCs/>
          <w:szCs w:val="16"/>
        </w:rPr>
        <w:t>Caso Valencia Campo Vs. Bolivia</w:t>
      </w:r>
      <w:r w:rsidR="7CDFE7CF" w:rsidRPr="00053304">
        <w:rPr>
          <w:rFonts w:ascii="Verdana" w:hAnsi="Verdana"/>
          <w:szCs w:val="16"/>
        </w:rPr>
        <w:t>,</w:t>
      </w:r>
      <w:r w:rsidR="7CDFE7CF" w:rsidRPr="00053304">
        <w:rPr>
          <w:rFonts w:ascii="Verdana" w:hAnsi="Verdana"/>
          <w:i/>
          <w:iCs/>
          <w:szCs w:val="16"/>
        </w:rPr>
        <w:t xml:space="preserve"> supra, </w:t>
      </w:r>
      <w:r w:rsidR="7CDFE7CF" w:rsidRPr="00053304">
        <w:rPr>
          <w:rFonts w:ascii="Verdana" w:hAnsi="Verdana"/>
          <w:szCs w:val="16"/>
        </w:rPr>
        <w:t>párr. 266.</w:t>
      </w:r>
    </w:p>
  </w:footnote>
  <w:footnote w:id="237">
    <w:p w14:paraId="4DCEEEA1" w14:textId="2ABFA4EC" w:rsidR="00F562B8" w:rsidRPr="00053304" w:rsidRDefault="00F562B8"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Artículo 8 de la Convención Americana.</w:t>
      </w:r>
    </w:p>
  </w:footnote>
  <w:footnote w:id="238">
    <w:p w14:paraId="22C82F39" w14:textId="77777777" w:rsidR="00F562B8" w:rsidRPr="00053304" w:rsidRDefault="00F562B8"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Artículo 1.1 de la Convención Americana.</w:t>
      </w:r>
    </w:p>
  </w:footnote>
  <w:footnote w:id="239">
    <w:p w14:paraId="76F3F790" w14:textId="6265ED1F" w:rsidR="00DE0C26" w:rsidRPr="00053304" w:rsidRDefault="00DE0C26"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Sostuvieron que lo mismo ocurre con la declaración de Raúl Loyola Malagón, quien declaró haber sido forzado a declarar falsamente y las declaraciones objetadas de Francisco Javier Pereira Solache y Francisco Pérez Mendoza, quienes no han comparecido en el proceso penal a ratificar sus declaraciones, pese a haber sido citados en múltiples oportunidades</w:t>
      </w:r>
    </w:p>
  </w:footnote>
  <w:footnote w:id="240">
    <w:p w14:paraId="4740D48D" w14:textId="2A0FF7EC" w:rsidR="008D0941" w:rsidRPr="00053304" w:rsidRDefault="008D0941"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Agregó que las notas periodísticas referidas abarcan una multitud de eventos relacionados con el asesinato de la regidora, y con los procedimientos y diligencias realizadas en seguimiento a éste, es decir, que las notas obedecían a la labor de informar sobre el caso, y no estaban encaminadas a generar una determinada imagen sobre Daniel García Rodríguez ni Reyes Alpízar Ortiz. Agregó que se trata de un caso de interés público al involucrar el asesinato de una funcionaria pública, por lo que no debe resultar sorprendente que la prensa nacional haya buscado dar una cobertura amplia a los hechos. La cobertura otorgada al caso no puede considerarse como responsabilidad del Estado mexicano por el simple hecho de que fue realizada por entidades separadas de éste, que no actuaban bajo su dirección, control, apoyo, ni en su representación.</w:t>
      </w:r>
    </w:p>
  </w:footnote>
  <w:footnote w:id="241">
    <w:p w14:paraId="50D3C459" w14:textId="3421BF14" w:rsidR="008D0941" w:rsidRPr="00053304" w:rsidRDefault="008D0941"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En cuanto al informe de gobierno del entonces gobernador del Estado de México, insistió que el mismo no se presume la culpabilidad de los detenidos ni se les hace objeto de algún calificativo más allá de su condición como procesados. En ese sentido, la cita no puede ser utilizada para confirmar la existencia de una campaña mediática con otro sentido que el de informar sobre un caso de notorio interés para la comunidad.</w:t>
      </w:r>
    </w:p>
  </w:footnote>
  <w:footnote w:id="242">
    <w:p w14:paraId="6FEB8FDE" w14:textId="448429CA" w:rsidR="00A90525" w:rsidRPr="00053304" w:rsidRDefault="00A90525"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w:t>
      </w:r>
      <w:r w:rsidR="7CDFE7CF" w:rsidRPr="00053304">
        <w:rPr>
          <w:rFonts w:ascii="Verdana" w:eastAsia="Cambria" w:hAnsi="Verdana" w:cs="Cambria"/>
          <w:i/>
          <w:iCs/>
          <w:szCs w:val="16"/>
          <w:lang w:val="es-ES"/>
        </w:rPr>
        <w:t xml:space="preserve">Caso Herrera Espinoza y otros Vs. Ecuador. Excepciones Preliminares, Fondo, Reparaciones y Costas. </w:t>
      </w:r>
      <w:r w:rsidR="7CDFE7CF" w:rsidRPr="00053304">
        <w:rPr>
          <w:rFonts w:ascii="Verdana" w:eastAsia="Cambria" w:hAnsi="Verdana" w:cs="Cambria"/>
          <w:szCs w:val="16"/>
          <w:lang w:val="es-ES"/>
        </w:rPr>
        <w:t>Sentencia de 1 de septiembre de 2016. Serie C No. 316, párr. 193</w:t>
      </w:r>
      <w:r w:rsidR="00F714A8" w:rsidRPr="00053304">
        <w:rPr>
          <w:rFonts w:ascii="Verdana" w:hAnsi="Verdana"/>
          <w:szCs w:val="16"/>
        </w:rPr>
        <w:t xml:space="preserve">, y </w:t>
      </w:r>
      <w:r w:rsidR="00F714A8" w:rsidRPr="00053304">
        <w:rPr>
          <w:rFonts w:ascii="Verdana" w:hAnsi="Verdana"/>
          <w:i/>
          <w:iCs/>
          <w:szCs w:val="16"/>
        </w:rPr>
        <w:t>Caso Montesinos Mejía Vs. Ecuador</w:t>
      </w:r>
      <w:r w:rsidR="00F714A8" w:rsidRPr="00053304">
        <w:rPr>
          <w:rFonts w:ascii="Verdana" w:hAnsi="Verdana"/>
          <w:szCs w:val="16"/>
        </w:rPr>
        <w:t xml:space="preserve">, </w:t>
      </w:r>
      <w:r w:rsidR="00F714A8" w:rsidRPr="00053304">
        <w:rPr>
          <w:rFonts w:ascii="Verdana" w:hAnsi="Verdana"/>
          <w:i/>
          <w:iCs/>
          <w:szCs w:val="16"/>
        </w:rPr>
        <w:t>supra</w:t>
      </w:r>
      <w:r w:rsidR="00F714A8" w:rsidRPr="00053304">
        <w:rPr>
          <w:rFonts w:ascii="Verdana" w:hAnsi="Verdana"/>
          <w:szCs w:val="16"/>
        </w:rPr>
        <w:t>, párr. 197.</w:t>
      </w:r>
    </w:p>
  </w:footnote>
  <w:footnote w:id="243">
    <w:p w14:paraId="66BA47BD" w14:textId="1D43F709" w:rsidR="00A90525" w:rsidRPr="00053304" w:rsidRDefault="00A90525" w:rsidP="00053304">
      <w:pPr>
        <w:pStyle w:val="Textonotapie"/>
        <w:jc w:val="both"/>
        <w:rPr>
          <w:rFonts w:ascii="Verdana" w:hAnsi="Verdana"/>
          <w:szCs w:val="16"/>
        </w:rPr>
      </w:pPr>
      <w:r w:rsidRPr="00053304">
        <w:rPr>
          <w:rStyle w:val="Refdenotaalpie"/>
          <w:rFonts w:ascii="Verdana" w:hAnsi="Verdana"/>
          <w:szCs w:val="16"/>
        </w:rPr>
        <w:footnoteRef/>
      </w:r>
      <w:r w:rsidR="00D8B191" w:rsidRPr="00053304">
        <w:rPr>
          <w:rFonts w:ascii="Verdana" w:hAnsi="Verdana"/>
          <w:szCs w:val="16"/>
        </w:rPr>
        <w:t xml:space="preserve"> </w:t>
      </w:r>
      <w:r w:rsidRPr="00053304">
        <w:rPr>
          <w:rFonts w:ascii="Verdana" w:hAnsi="Verdana"/>
          <w:szCs w:val="16"/>
        </w:rPr>
        <w:tab/>
      </w:r>
      <w:r w:rsidR="00D8B191" w:rsidRPr="00053304">
        <w:rPr>
          <w:rFonts w:ascii="Verdana" w:hAnsi="Verdana"/>
          <w:i/>
          <w:iCs/>
          <w:szCs w:val="16"/>
        </w:rPr>
        <w:t xml:space="preserve">Cfr. Caso </w:t>
      </w:r>
      <w:r w:rsidR="00D8B191" w:rsidRPr="00053304">
        <w:rPr>
          <w:rFonts w:ascii="Verdana" w:eastAsia="Cambria" w:hAnsi="Verdana" w:cs="Cambria"/>
          <w:i/>
          <w:iCs/>
          <w:szCs w:val="16"/>
          <w:lang w:val="es-ES"/>
        </w:rPr>
        <w:t xml:space="preserve">Montesinos Mejía Vs. Ecuador, supra, </w:t>
      </w:r>
      <w:r w:rsidR="00D8B191" w:rsidRPr="00053304">
        <w:rPr>
          <w:rFonts w:ascii="Verdana" w:eastAsia="Cambria" w:hAnsi="Verdana" w:cs="Cambria"/>
          <w:szCs w:val="16"/>
          <w:lang w:val="es-ES"/>
        </w:rPr>
        <w:t>párr. 199</w:t>
      </w:r>
      <w:r w:rsidR="00F714A8" w:rsidRPr="00053304">
        <w:rPr>
          <w:rFonts w:ascii="Verdana" w:hAnsi="Verdana"/>
          <w:szCs w:val="16"/>
        </w:rPr>
        <w:t xml:space="preserve">, </w:t>
      </w:r>
      <w:r w:rsidR="00F714A8" w:rsidRPr="00053304">
        <w:rPr>
          <w:rFonts w:ascii="Verdana" w:hAnsi="Verdana"/>
          <w:i/>
          <w:iCs/>
          <w:szCs w:val="16"/>
        </w:rPr>
        <w:t>Caso Grijalva Bueno Vs. Ecuador. Excepción Preliminar, Fondo, Reparaciones y Costas</w:t>
      </w:r>
      <w:r w:rsidR="00F714A8" w:rsidRPr="00053304">
        <w:rPr>
          <w:rFonts w:ascii="Verdana" w:hAnsi="Verdana"/>
          <w:szCs w:val="16"/>
        </w:rPr>
        <w:t xml:space="preserve">. Sentencia de 3 de junio de 2021. Serie C No. 426, párr. 124, y </w:t>
      </w:r>
      <w:r w:rsidR="00F714A8" w:rsidRPr="00053304">
        <w:rPr>
          <w:rFonts w:ascii="Verdana" w:hAnsi="Verdana"/>
          <w:i/>
          <w:szCs w:val="16"/>
        </w:rPr>
        <w:t>Caso Cabrera García y Montiel Flores Vs. México. Excepción Preliminar, Fondo, Reparaciones y Costas</w:t>
      </w:r>
      <w:r w:rsidR="00F714A8" w:rsidRPr="00053304">
        <w:rPr>
          <w:rFonts w:ascii="Verdana" w:hAnsi="Verdana"/>
          <w:szCs w:val="16"/>
        </w:rPr>
        <w:t>. Sentencia de 26 de noviembre de 2010. Serie C No. 220, párr. 167.</w:t>
      </w:r>
    </w:p>
  </w:footnote>
  <w:footnote w:id="244">
    <w:p w14:paraId="2CF835B7" w14:textId="6E51B506" w:rsidR="00C5476B" w:rsidRPr="00053304" w:rsidRDefault="00C5476B"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Caso Bayarri vs. Argentina, supra, </w:t>
      </w:r>
      <w:r w:rsidR="7CDFE7CF" w:rsidRPr="00053304">
        <w:rPr>
          <w:rFonts w:ascii="Verdana" w:hAnsi="Verdana"/>
          <w:szCs w:val="16"/>
        </w:rPr>
        <w:t>párr. 108</w:t>
      </w:r>
      <w:r w:rsidR="00F714A8" w:rsidRPr="00053304">
        <w:rPr>
          <w:rFonts w:ascii="Verdana" w:hAnsi="Verdana"/>
          <w:szCs w:val="16"/>
          <w:lang w:val="es-ES_tradnl"/>
        </w:rPr>
        <w:t xml:space="preserve">; </w:t>
      </w:r>
      <w:r w:rsidR="7CDFE7CF" w:rsidRPr="00053304">
        <w:rPr>
          <w:rFonts w:ascii="Verdana" w:eastAsia="Cambria" w:hAnsi="Verdana" w:cs="Cambria"/>
          <w:i/>
          <w:iCs/>
          <w:szCs w:val="16"/>
          <w:lang w:val="es-ES"/>
        </w:rPr>
        <w:t>Caso Herrera Espinoza y otros Vs. Ecuador, supra,</w:t>
      </w:r>
      <w:r w:rsidR="7CDFE7CF" w:rsidRPr="00053304">
        <w:rPr>
          <w:rFonts w:ascii="Verdana" w:eastAsia="Cambria" w:hAnsi="Verdana" w:cs="Cambria"/>
          <w:szCs w:val="16"/>
          <w:lang w:val="es-ES"/>
        </w:rPr>
        <w:t xml:space="preserve"> párr. 224</w:t>
      </w:r>
      <w:r w:rsidR="00F714A8" w:rsidRPr="00053304">
        <w:rPr>
          <w:rFonts w:ascii="Verdana" w:hAnsi="Verdana"/>
          <w:szCs w:val="16"/>
        </w:rPr>
        <w:t xml:space="preserve">, y </w:t>
      </w:r>
      <w:r w:rsidR="00F714A8" w:rsidRPr="00053304">
        <w:rPr>
          <w:rFonts w:ascii="Verdana" w:hAnsi="Verdana"/>
          <w:i/>
          <w:iCs/>
          <w:szCs w:val="16"/>
        </w:rPr>
        <w:t xml:space="preserve">Caso </w:t>
      </w:r>
      <w:r w:rsidR="00F714A8" w:rsidRPr="00053304">
        <w:rPr>
          <w:rFonts w:ascii="Verdana" w:eastAsia="Cambria" w:hAnsi="Verdana" w:cs="Cambria"/>
          <w:i/>
          <w:iCs/>
          <w:szCs w:val="16"/>
          <w:lang w:val="es-ES"/>
        </w:rPr>
        <w:t xml:space="preserve">Montesinos Mejía Vs. Ecuador, supra, </w:t>
      </w:r>
      <w:r w:rsidR="00F714A8" w:rsidRPr="00053304">
        <w:rPr>
          <w:rFonts w:ascii="Verdana" w:eastAsia="Cambria" w:hAnsi="Verdana" w:cs="Cambria"/>
          <w:szCs w:val="16"/>
          <w:lang w:val="es-ES"/>
        </w:rPr>
        <w:t>párr. 197.</w:t>
      </w:r>
    </w:p>
  </w:footnote>
  <w:footnote w:id="245">
    <w:p w14:paraId="4E721FA7" w14:textId="76ACD690" w:rsidR="00BC7EB3" w:rsidRPr="00053304" w:rsidRDefault="00BC7EB3"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i/>
          <w:iCs/>
          <w:szCs w:val="16"/>
        </w:rPr>
        <w:t xml:space="preserve"> </w:t>
      </w:r>
      <w:r w:rsidRPr="00053304">
        <w:rPr>
          <w:rFonts w:ascii="Verdana" w:hAnsi="Verdana"/>
          <w:i/>
          <w:iCs/>
          <w:szCs w:val="16"/>
        </w:rPr>
        <w:tab/>
        <w:t>Cfr</w:t>
      </w:r>
      <w:r w:rsidRPr="00053304">
        <w:rPr>
          <w:rFonts w:ascii="Verdana" w:hAnsi="Verdana"/>
          <w:szCs w:val="16"/>
        </w:rPr>
        <w:t>. Segunda Sala Colegiada Penal de Tlalnepantla, Tribunal Superior de Justicia del Estado de México. Fallo Juicio de Amparo Indirecto 1192/2005-E. Tlalnepantla de Baz, Estado de México, 23 de mayo de 2007 (expediente de prueba, folios 710 a 825)</w:t>
      </w:r>
      <w:r w:rsidR="00A34964" w:rsidRPr="00053304">
        <w:rPr>
          <w:rFonts w:ascii="Verdana" w:hAnsi="Verdana"/>
          <w:szCs w:val="16"/>
        </w:rPr>
        <w:t>.</w:t>
      </w:r>
    </w:p>
  </w:footnote>
  <w:footnote w:id="246">
    <w:p w14:paraId="3B533FAB" w14:textId="5A230235" w:rsidR="00710C55" w:rsidRPr="00053304" w:rsidRDefault="00710C55"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00A34964" w:rsidRPr="00053304">
        <w:rPr>
          <w:rFonts w:ascii="Verdana" w:hAnsi="Verdana"/>
          <w:szCs w:val="16"/>
        </w:rPr>
        <w:t xml:space="preserve">En esa decisión, el Juzgado Penal recordó la sentencia de la Suprema Corte de Justicia de la Nación mediante la cual se determinó la inconstitucionalidad de la figura del arraigo prevista en el Código de Procedimientos Penales de Chihuahua así como por distintas entidades internacionales que se pronunciaron con la figura del arraigo pre-procesal en México. </w:t>
      </w:r>
      <w:r w:rsidR="00A34964" w:rsidRPr="00053304">
        <w:rPr>
          <w:rFonts w:ascii="Verdana" w:hAnsi="Verdana"/>
          <w:i/>
          <w:iCs/>
          <w:szCs w:val="16"/>
        </w:rPr>
        <w:t xml:space="preserve">Cfr. </w:t>
      </w:r>
      <w:r w:rsidR="00A34964" w:rsidRPr="00053304">
        <w:rPr>
          <w:rFonts w:ascii="Verdana" w:hAnsi="Verdana"/>
          <w:szCs w:val="16"/>
        </w:rPr>
        <w:t>Juzgado Penal del Distrito Judicial de Tlalnepantla</w:t>
      </w:r>
      <w:r w:rsidR="00A34964" w:rsidRPr="00053304">
        <w:rPr>
          <w:rFonts w:ascii="Verdana" w:eastAsia="Cambria" w:hAnsi="Verdana" w:cs="Cambria"/>
          <w:szCs w:val="16"/>
          <w:lang w:val="es-ES_tradnl"/>
        </w:rPr>
        <w:t>. Sentencia de 12 de mayo de 2022 (expediente de prueba, folio 70448)</w:t>
      </w:r>
      <w:r w:rsidR="00A34964" w:rsidRPr="00053304">
        <w:rPr>
          <w:rFonts w:ascii="Verdana" w:hAnsi="Verdana"/>
          <w:szCs w:val="16"/>
        </w:rPr>
        <w:t>. Por otra parte, consta que, en esa decisión, se realizó un análisis de los alegatos de tortura que padecieron, confrontando todos los peritajes que fueron producidos en relación con ese punto. Como resultado de ese cruce de información, el Juez no dio por acreditada la hipótesis de los hechos de tortura, aunque como se mencionó, las declaraciones que se obtuvieron bajo coacción fueron excluidas por otros motivos diferentes no relacionados directamente con los aquellos previstos en el artículo 8.3 de la Convención Americana.</w:t>
      </w:r>
      <w:r w:rsidR="00A34964" w:rsidRPr="00053304">
        <w:rPr>
          <w:rFonts w:ascii="Verdana" w:hAnsi="Verdana"/>
          <w:i/>
          <w:iCs/>
          <w:szCs w:val="16"/>
        </w:rPr>
        <w:t xml:space="preserve"> Cfr. </w:t>
      </w:r>
      <w:r w:rsidR="00A34964" w:rsidRPr="00053304">
        <w:rPr>
          <w:rFonts w:ascii="Verdana" w:hAnsi="Verdana"/>
          <w:szCs w:val="16"/>
        </w:rPr>
        <w:t>Juzgado Penal del Distrito Judicial de Tlalnepantla</w:t>
      </w:r>
      <w:r w:rsidR="00A34964" w:rsidRPr="00053304">
        <w:rPr>
          <w:rFonts w:ascii="Verdana" w:eastAsia="Cambria" w:hAnsi="Verdana" w:cs="Cambria"/>
          <w:szCs w:val="16"/>
          <w:lang w:val="es-ES_tradnl"/>
        </w:rPr>
        <w:t>. Sentencia de 12 de mayo de 2022 (expediente de prueba, folio 70367 y siguientes)</w:t>
      </w:r>
      <w:r w:rsidR="005A4AE3" w:rsidRPr="00053304">
        <w:rPr>
          <w:rFonts w:ascii="Verdana" w:eastAsia="Cambria" w:hAnsi="Verdana" w:cs="Cambria"/>
          <w:szCs w:val="16"/>
          <w:lang w:val="es-ES_tradnl"/>
        </w:rPr>
        <w:t>.</w:t>
      </w:r>
      <w:r w:rsidR="00A34964" w:rsidRPr="00053304">
        <w:rPr>
          <w:rFonts w:ascii="Verdana" w:hAnsi="Verdana"/>
          <w:szCs w:val="16"/>
        </w:rPr>
        <w:t xml:space="preserve"> </w:t>
      </w:r>
    </w:p>
  </w:footnote>
  <w:footnote w:id="247">
    <w:p w14:paraId="0B947772" w14:textId="2EEAEA27" w:rsidR="00F81FED" w:rsidRPr="00053304" w:rsidRDefault="00F81FED"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Excepciones al agotamiento de los recursos internos (Arts. 46.1, 46.2.a y 46.2.b, Convención Americana sobre Derechos Humanos). </w:t>
      </w:r>
      <w:r w:rsidR="7CDFE7CF" w:rsidRPr="00053304">
        <w:rPr>
          <w:rFonts w:ascii="Verdana" w:hAnsi="Verdana"/>
          <w:szCs w:val="16"/>
        </w:rPr>
        <w:t>Opinión Consultiva OC-11/90 de 10 de agosto de 1990. Serie A No. 11, párr. 25, y</w:t>
      </w:r>
      <w:r w:rsidR="7CDFE7CF" w:rsidRPr="00053304">
        <w:rPr>
          <w:rFonts w:ascii="Verdana" w:hAnsi="Verdana"/>
          <w:szCs w:val="16"/>
          <w:lang w:val="es-ES_tradnl"/>
        </w:rPr>
        <w:t xml:space="preserve"> </w:t>
      </w:r>
      <w:r w:rsidR="7CDFE7CF" w:rsidRPr="00053304">
        <w:rPr>
          <w:rFonts w:ascii="Verdana" w:eastAsia="Cambria" w:hAnsi="Verdana" w:cs="Cambria"/>
          <w:i/>
          <w:iCs/>
          <w:szCs w:val="16"/>
          <w:lang w:val="es-ES"/>
        </w:rPr>
        <w:t>Caso López y otros Vs. Argentina. Excepciones Preliminares, Fondo, Reparaciones y Costas.</w:t>
      </w:r>
      <w:r w:rsidR="7CDFE7CF" w:rsidRPr="00053304">
        <w:rPr>
          <w:rFonts w:ascii="Verdana" w:eastAsia="Cambria" w:hAnsi="Verdana" w:cs="Cambria"/>
          <w:szCs w:val="16"/>
          <w:lang w:val="es-ES"/>
        </w:rPr>
        <w:t xml:space="preserve"> Sentencia de 25 de noviembre de 2019. Serie C No. 396, párr. 202</w:t>
      </w:r>
      <w:r w:rsidR="7CDFE7CF" w:rsidRPr="00053304">
        <w:rPr>
          <w:rFonts w:ascii="Verdana" w:hAnsi="Verdana"/>
          <w:szCs w:val="16"/>
        </w:rPr>
        <w:t>.</w:t>
      </w:r>
    </w:p>
  </w:footnote>
  <w:footnote w:id="248">
    <w:p w14:paraId="55F8EAA4" w14:textId="4ED1A4A8" w:rsidR="00F81FED" w:rsidRPr="00053304" w:rsidRDefault="00F81FED" w:rsidP="00053304">
      <w:pPr>
        <w:pStyle w:val="Textonotapie"/>
        <w:jc w:val="both"/>
        <w:rPr>
          <w:rFonts w:ascii="Verdana" w:hAnsi="Verdana"/>
          <w:szCs w:val="16"/>
        </w:rPr>
      </w:pPr>
      <w:r w:rsidRPr="00053304">
        <w:rPr>
          <w:rStyle w:val="Refdenotaalpie"/>
          <w:rFonts w:ascii="Verdana" w:hAnsi="Verdana"/>
          <w:szCs w:val="16"/>
        </w:rPr>
        <w:footnoteRef/>
      </w:r>
      <w:r w:rsidR="00D8B191" w:rsidRPr="00602907">
        <w:rPr>
          <w:rFonts w:ascii="Verdana" w:hAnsi="Verdana"/>
          <w:szCs w:val="16"/>
          <w:lang w:val="es-ES"/>
        </w:rPr>
        <w:t xml:space="preserve"> </w:t>
      </w:r>
      <w:r w:rsidRPr="00602907">
        <w:rPr>
          <w:rFonts w:ascii="Verdana" w:hAnsi="Verdana"/>
          <w:szCs w:val="16"/>
          <w:lang w:val="es-ES"/>
        </w:rPr>
        <w:tab/>
      </w:r>
      <w:r w:rsidR="00D8B191" w:rsidRPr="00602907">
        <w:rPr>
          <w:rFonts w:ascii="Verdana" w:hAnsi="Verdana"/>
          <w:i/>
          <w:iCs/>
          <w:szCs w:val="16"/>
          <w:lang w:val="es-ES"/>
        </w:rPr>
        <w:t>Cfr. Caso Barreto Leiva vs. Venezuela, supra,</w:t>
      </w:r>
      <w:r w:rsidR="00D8B191" w:rsidRPr="00602907">
        <w:rPr>
          <w:rFonts w:ascii="Verdana" w:hAnsi="Verdana"/>
          <w:szCs w:val="16"/>
          <w:lang w:val="es-ES"/>
        </w:rPr>
        <w:t xml:space="preserve"> párr. </w:t>
      </w:r>
      <w:r w:rsidR="00D8B191" w:rsidRPr="00053304">
        <w:rPr>
          <w:rFonts w:ascii="Verdana" w:hAnsi="Verdana"/>
          <w:szCs w:val="16"/>
        </w:rPr>
        <w:t>62</w:t>
      </w:r>
      <w:r w:rsidR="00872DCE" w:rsidRPr="00053304">
        <w:rPr>
          <w:rFonts w:ascii="Verdana" w:hAnsi="Verdana"/>
          <w:szCs w:val="16"/>
          <w:lang w:val="es-ES"/>
        </w:rPr>
        <w:t>;</w:t>
      </w:r>
      <w:r w:rsidR="00872DCE" w:rsidRPr="00053304">
        <w:rPr>
          <w:rFonts w:ascii="Verdana" w:hAnsi="Verdana"/>
          <w:szCs w:val="16"/>
        </w:rPr>
        <w:t xml:space="preserve"> </w:t>
      </w:r>
      <w:r w:rsidR="00D8B191" w:rsidRPr="00053304">
        <w:rPr>
          <w:rFonts w:ascii="Verdana" w:eastAsia="Cambria" w:hAnsi="Verdana" w:cs="Cambria"/>
          <w:i/>
          <w:iCs/>
          <w:szCs w:val="16"/>
          <w:lang w:val="es-ES"/>
        </w:rPr>
        <w:t>Caso Rosadio Villavicencio vs. Perú. Excepciones Preliminares, Fondo, Reparaciones y Costas</w:t>
      </w:r>
      <w:r w:rsidR="00D8B191" w:rsidRPr="00053304">
        <w:rPr>
          <w:rFonts w:ascii="Verdana" w:eastAsia="Cambria" w:hAnsi="Verdana" w:cs="Cambria"/>
          <w:szCs w:val="16"/>
          <w:lang w:val="es-ES"/>
        </w:rPr>
        <w:t>. Sentencia de 14 de octubre de 2019. Serie C No. 388,</w:t>
      </w:r>
      <w:r w:rsidR="00D8B191" w:rsidRPr="00053304">
        <w:rPr>
          <w:rFonts w:ascii="Verdana" w:eastAsia="Cambria" w:hAnsi="Verdana" w:cs="Cambria"/>
          <w:i/>
          <w:iCs/>
          <w:szCs w:val="16"/>
          <w:lang w:val="es-ES"/>
        </w:rPr>
        <w:t xml:space="preserve"> </w:t>
      </w:r>
      <w:r w:rsidR="00D8B191" w:rsidRPr="00053304">
        <w:rPr>
          <w:rFonts w:ascii="Verdana" w:eastAsia="Cambria" w:hAnsi="Verdana" w:cs="Cambria"/>
          <w:szCs w:val="16"/>
          <w:lang w:val="es-ES"/>
        </w:rPr>
        <w:t>párr. 143</w:t>
      </w:r>
      <w:r w:rsidR="00872DCE" w:rsidRPr="00053304">
        <w:rPr>
          <w:rFonts w:ascii="Verdana" w:hAnsi="Verdana"/>
          <w:szCs w:val="16"/>
        </w:rPr>
        <w:t xml:space="preserve">, y </w:t>
      </w:r>
      <w:r w:rsidR="00872DCE" w:rsidRPr="00053304">
        <w:rPr>
          <w:rFonts w:ascii="Verdana" w:hAnsi="Verdana"/>
          <w:i/>
          <w:iCs/>
          <w:szCs w:val="16"/>
        </w:rPr>
        <w:t>Caso Dial y otro Vs. Trinidad y Tobago</w:t>
      </w:r>
      <w:r w:rsidR="00872DCE" w:rsidRPr="00053304">
        <w:rPr>
          <w:rFonts w:ascii="Verdana" w:hAnsi="Verdana"/>
          <w:szCs w:val="16"/>
        </w:rPr>
        <w:t xml:space="preserve">, </w:t>
      </w:r>
      <w:r w:rsidR="00872DCE" w:rsidRPr="00053304">
        <w:rPr>
          <w:rFonts w:ascii="Verdana" w:hAnsi="Verdana"/>
          <w:i/>
          <w:iCs/>
          <w:szCs w:val="16"/>
        </w:rPr>
        <w:t>supra</w:t>
      </w:r>
      <w:r w:rsidR="00872DCE" w:rsidRPr="00053304">
        <w:rPr>
          <w:rFonts w:ascii="Verdana" w:hAnsi="Verdana"/>
          <w:szCs w:val="16"/>
        </w:rPr>
        <w:t>, párr. 59.</w:t>
      </w:r>
    </w:p>
  </w:footnote>
  <w:footnote w:id="249">
    <w:p w14:paraId="3BEB49DC" w14:textId="5C00A1A4" w:rsidR="00F81FED" w:rsidRPr="00053304" w:rsidRDefault="00F81FED"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 Cabrera García y Montiel Flores Vs. México</w:t>
      </w:r>
      <w:r w:rsidR="7CDFE7CF" w:rsidRPr="00053304">
        <w:rPr>
          <w:rFonts w:ascii="Verdana" w:hAnsi="Verdana"/>
          <w:szCs w:val="16"/>
        </w:rPr>
        <w:t>, supra, párr. 155</w:t>
      </w:r>
      <w:r w:rsidR="004245CE" w:rsidRPr="00053304">
        <w:rPr>
          <w:rFonts w:ascii="Verdana" w:hAnsi="Verdana"/>
          <w:szCs w:val="16"/>
        </w:rPr>
        <w:t xml:space="preserve">; </w:t>
      </w:r>
      <w:r w:rsidR="7CDFE7CF" w:rsidRPr="00053304">
        <w:rPr>
          <w:rFonts w:ascii="Verdana" w:hAnsi="Verdana"/>
          <w:i/>
          <w:iCs/>
          <w:szCs w:val="16"/>
          <w:lang w:val="es-ES_tradnl"/>
        </w:rPr>
        <w:t xml:space="preserve">Caso </w:t>
      </w:r>
      <w:r w:rsidR="7CDFE7CF" w:rsidRPr="00053304">
        <w:rPr>
          <w:rFonts w:ascii="Verdana" w:eastAsia="Cambria" w:hAnsi="Verdana" w:cs="Cambria"/>
          <w:i/>
          <w:iCs/>
          <w:szCs w:val="16"/>
          <w:lang w:val="es-ES"/>
        </w:rPr>
        <w:t xml:space="preserve">Ruano Torres y otros vs. El salvador. Fondo, Reparaciones y Costas. </w:t>
      </w:r>
      <w:r w:rsidR="7CDFE7CF" w:rsidRPr="00053304">
        <w:rPr>
          <w:rFonts w:ascii="Verdana" w:eastAsia="Cambria" w:hAnsi="Verdana" w:cs="Cambria"/>
          <w:szCs w:val="16"/>
          <w:lang w:val="es-ES"/>
        </w:rPr>
        <w:t xml:space="preserve">Sentencia de 5 de octubre de 2015. </w:t>
      </w:r>
      <w:r w:rsidR="00872DCE" w:rsidRPr="00053304">
        <w:rPr>
          <w:rFonts w:ascii="Verdana" w:eastAsia="Cambria" w:hAnsi="Verdana" w:cs="Cambria"/>
          <w:szCs w:val="16"/>
          <w:lang w:val="es-ES"/>
        </w:rPr>
        <w:t>Serie</w:t>
      </w:r>
      <w:r w:rsidR="7CDFE7CF" w:rsidRPr="00053304">
        <w:rPr>
          <w:rFonts w:ascii="Verdana" w:eastAsia="Cambria" w:hAnsi="Verdana" w:cs="Cambria"/>
          <w:szCs w:val="16"/>
          <w:lang w:val="es-ES"/>
        </w:rPr>
        <w:t xml:space="preserve"> C No. 303, párr. 157</w:t>
      </w:r>
      <w:r w:rsidR="004245CE" w:rsidRPr="00053304">
        <w:rPr>
          <w:rFonts w:ascii="Verdana" w:hAnsi="Verdana"/>
          <w:szCs w:val="16"/>
        </w:rPr>
        <w:t xml:space="preserve">, y </w:t>
      </w:r>
      <w:r w:rsidR="004245CE" w:rsidRPr="00053304">
        <w:rPr>
          <w:rFonts w:ascii="Verdana" w:hAnsi="Verdana"/>
          <w:i/>
          <w:iCs/>
          <w:szCs w:val="16"/>
        </w:rPr>
        <w:t>Caso Manuela y otros Vs. El Salvador. Excepciones preliminares, Fondo, Reparaciones y Costas</w:t>
      </w:r>
      <w:r w:rsidR="004245CE" w:rsidRPr="00053304">
        <w:rPr>
          <w:rFonts w:ascii="Verdana" w:hAnsi="Verdana"/>
          <w:szCs w:val="16"/>
        </w:rPr>
        <w:t>. Sentencia de 2 de noviembre de 2021. Serie C No. 441, párr. 122.</w:t>
      </w:r>
    </w:p>
  </w:footnote>
  <w:footnote w:id="250">
    <w:p w14:paraId="427DAA45" w14:textId="5DD4B459" w:rsidR="00F81FED" w:rsidRPr="00053304" w:rsidRDefault="00F81FED"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Caso Castillo Petruzzi y otros Vs. Perú. Fondo, Reparaciones y Costas, supra, </w:t>
      </w:r>
      <w:r w:rsidR="7CDFE7CF" w:rsidRPr="00053304">
        <w:rPr>
          <w:rFonts w:ascii="Verdana" w:hAnsi="Verdana"/>
          <w:szCs w:val="16"/>
        </w:rPr>
        <w:t>párr. 154,</w:t>
      </w:r>
      <w:r w:rsidR="7CDFE7CF" w:rsidRPr="00053304">
        <w:rPr>
          <w:rFonts w:ascii="Verdana" w:hAnsi="Verdana"/>
          <w:i/>
          <w:iCs/>
          <w:szCs w:val="16"/>
        </w:rPr>
        <w:t xml:space="preserve"> y Caso Grijalva Bueno Vs. Ecuador. Excepción preliminar, Fondo, Reparaciones y Costas.</w:t>
      </w:r>
      <w:r w:rsidR="7CDFE7CF" w:rsidRPr="00053304">
        <w:rPr>
          <w:rFonts w:ascii="Verdana" w:hAnsi="Verdana"/>
          <w:szCs w:val="16"/>
        </w:rPr>
        <w:t xml:space="preserve"> Sentencia de 3 de junio de 2021. Serie C No. 426, párr. 107.</w:t>
      </w:r>
    </w:p>
  </w:footnote>
  <w:footnote w:id="251">
    <w:p w14:paraId="631838C9" w14:textId="6505C18C" w:rsidR="00AA67CF" w:rsidRPr="00053304" w:rsidRDefault="00AA67CF"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w:t>
      </w:r>
      <w:r w:rsidRPr="00053304">
        <w:rPr>
          <w:rFonts w:ascii="Verdana" w:hAnsi="Verdana"/>
          <w:szCs w:val="16"/>
        </w:rPr>
        <w:t>Declaración de Daniel García Rodríguez durante la audiencia Pública del presente caso.</w:t>
      </w:r>
    </w:p>
  </w:footnote>
  <w:footnote w:id="252">
    <w:p w14:paraId="545C94C7" w14:textId="707591B0" w:rsidR="006E023C" w:rsidRPr="00053304" w:rsidRDefault="006E023C"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lang w:val="pt-BR"/>
        </w:rPr>
        <w:t xml:space="preserve"> </w:t>
      </w:r>
      <w:r w:rsidRPr="00053304">
        <w:rPr>
          <w:rFonts w:ascii="Verdana" w:hAnsi="Verdana"/>
          <w:szCs w:val="16"/>
          <w:lang w:val="pt-BR"/>
        </w:rPr>
        <w:tab/>
      </w:r>
      <w:r w:rsidR="7CDFE7CF" w:rsidRPr="00053304">
        <w:rPr>
          <w:rFonts w:ascii="Verdana" w:hAnsi="Verdana"/>
          <w:i/>
          <w:iCs/>
          <w:szCs w:val="16"/>
          <w:lang w:val="pt-BR"/>
        </w:rPr>
        <w:t xml:space="preserve">Cfr. Caso Barreto Leiva Vs. </w:t>
      </w:r>
      <w:r w:rsidR="7CDFE7CF" w:rsidRPr="00053304">
        <w:rPr>
          <w:rFonts w:ascii="Verdana" w:hAnsi="Verdana"/>
          <w:i/>
          <w:iCs/>
          <w:szCs w:val="16"/>
        </w:rPr>
        <w:t>Venezuela, supra,</w:t>
      </w:r>
      <w:r w:rsidR="7CDFE7CF" w:rsidRPr="00053304">
        <w:rPr>
          <w:rFonts w:ascii="Verdana" w:hAnsi="Verdana"/>
          <w:szCs w:val="16"/>
        </w:rPr>
        <w:t xml:space="preserve"> párr. 29</w:t>
      </w:r>
      <w:r w:rsidR="004245CE" w:rsidRPr="00053304">
        <w:rPr>
          <w:rFonts w:ascii="Verdana" w:hAnsi="Verdana"/>
          <w:szCs w:val="16"/>
        </w:rPr>
        <w:t xml:space="preserve">, y </w:t>
      </w:r>
      <w:r w:rsidR="004245CE" w:rsidRPr="00053304">
        <w:rPr>
          <w:rFonts w:ascii="Verdana" w:hAnsi="Verdana"/>
          <w:i/>
          <w:iCs/>
          <w:szCs w:val="16"/>
        </w:rPr>
        <w:t>Caso Cortez Espinoza Vs. Ecuador</w:t>
      </w:r>
      <w:r w:rsidR="004245CE" w:rsidRPr="00053304">
        <w:rPr>
          <w:rFonts w:ascii="Verdana" w:hAnsi="Verdana"/>
          <w:szCs w:val="16"/>
        </w:rPr>
        <w:t>, supra, párr. 95.</w:t>
      </w:r>
    </w:p>
  </w:footnote>
  <w:footnote w:id="253">
    <w:p w14:paraId="1931ACAA" w14:textId="77777777" w:rsidR="00B20E70" w:rsidRPr="00053304" w:rsidRDefault="00B20E70"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w:t>
      </w:r>
      <w:r w:rsidRPr="00053304">
        <w:rPr>
          <w:rFonts w:ascii="Verdana" w:hAnsi="Verdana"/>
          <w:szCs w:val="16"/>
        </w:rPr>
        <w:t>Declaración de Daniel García Rodríguez durante la audiencia Pública del presente caso.</w:t>
      </w:r>
    </w:p>
  </w:footnote>
  <w:footnote w:id="254">
    <w:p w14:paraId="4CE984CA" w14:textId="545255A9" w:rsidR="00357209" w:rsidRPr="00053304" w:rsidRDefault="00357209"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w:t>
      </w:r>
      <w:r w:rsidRPr="00053304">
        <w:rPr>
          <w:rFonts w:ascii="Verdana" w:hAnsi="Verdana"/>
          <w:szCs w:val="16"/>
        </w:rPr>
        <w:t xml:space="preserve">Escrito de Reyes </w:t>
      </w:r>
      <w:r w:rsidR="007F4A7E" w:rsidRPr="00053304">
        <w:rPr>
          <w:rFonts w:ascii="Verdana" w:hAnsi="Verdana"/>
          <w:szCs w:val="16"/>
        </w:rPr>
        <w:t>Alpízar</w:t>
      </w:r>
      <w:r w:rsidRPr="00053304">
        <w:rPr>
          <w:rFonts w:ascii="Verdana" w:hAnsi="Verdana"/>
          <w:szCs w:val="16"/>
        </w:rPr>
        <w:t xml:space="preserve"> Ortiz Solicita Vista al Agente del Ministerio Público ante el Juzgado Quinto Penal de Primera Instancia. Causa 88/2002. Con timbre de recepción de 22 de septiembre de 2010 (expediente de prueba, folios 1550 y siguientes).</w:t>
      </w:r>
    </w:p>
  </w:footnote>
  <w:footnote w:id="255">
    <w:p w14:paraId="06D9ACF6" w14:textId="1624850A" w:rsidR="00C169E4" w:rsidRPr="00053304" w:rsidRDefault="00C169E4"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Véase por ejemplo: Escrito de Reyes Alpízar Ortiz Solicita Vista al Agente del Ministerio Público ante el Juzgado Quinto Penal de Primera Instancia. Causa 88/2002. Con timbre de recepción de 22 de septiembre de 2010 (expediente de prueba, folios 1150 y siguientes), Escrito de Reyes Alpízar Ortiz. Causa penal 88/02. 18 de febrero de 2008 (expediente de prueba, folios 1682 y siguientes), Escrito de Reyes Alpízar Ortiz. 31 de marzo de 2008 (expediente de prueba, folios 1700 y siguientes), Escrito de Daniel García Ortiz y Reyes Alpízar Ortiz. Causa penal 88/02. 9 de octubre de 2008 (expediente de prueba, folios 1740 y siguientes), Audiencia de Desahogo de Pruebas y Junta de Peritos. Tlalnepantla, Estado de México, 17 de febrero de 2010 (expediente de prueba, folios 1889 y siguientes), Escrito de Reyes Alpízar Ortiz Incidente No Especificado ante el Juzgado Quinto Penal de Primera Instancia. Causa 88/2002. Con timbre de recepción de 22 de septiembre de 2010 (expediente de prueba, folios 1917 y siguientes), Audiencia de Desahogo de Pruebas. Tlalnepantla, Estado de México, 7 de mayo de 2012 (expediente de prueba, folios 2046 y siguientes), entre otros.</w:t>
      </w:r>
    </w:p>
  </w:footnote>
  <w:footnote w:id="256">
    <w:p w14:paraId="2253390F" w14:textId="3FE58A44" w:rsidR="00C15460" w:rsidRPr="00053304" w:rsidRDefault="00C15460"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lang w:val="es-CR"/>
        </w:rPr>
        <w:t xml:space="preserve"> </w:t>
      </w:r>
      <w:r w:rsidRPr="00053304">
        <w:rPr>
          <w:rFonts w:ascii="Verdana" w:hAnsi="Verdana"/>
          <w:szCs w:val="16"/>
          <w:lang w:val="es-CR"/>
        </w:rPr>
        <w:tab/>
      </w:r>
      <w:r w:rsidR="7CDFE7CF" w:rsidRPr="00053304">
        <w:rPr>
          <w:rFonts w:ascii="Verdana" w:hAnsi="Verdana"/>
          <w:i/>
          <w:iCs/>
          <w:szCs w:val="16"/>
          <w:lang w:val="es-CR"/>
        </w:rPr>
        <w:t>Cfr. Caso Ruano Torres y otros Vs. El Salvador, supra,</w:t>
      </w:r>
      <w:r w:rsidR="7CDFE7CF" w:rsidRPr="00053304">
        <w:rPr>
          <w:rFonts w:ascii="Verdana" w:hAnsi="Verdana"/>
          <w:szCs w:val="16"/>
        </w:rPr>
        <w:t xml:space="preserve"> párr. 164.</w:t>
      </w:r>
    </w:p>
  </w:footnote>
  <w:footnote w:id="257">
    <w:p w14:paraId="2F22E7C2" w14:textId="638B781C" w:rsidR="0081209C" w:rsidRPr="00053304" w:rsidRDefault="0081209C" w:rsidP="00053304">
      <w:pPr>
        <w:pStyle w:val="Textonotapie"/>
        <w:jc w:val="both"/>
        <w:rPr>
          <w:rFonts w:ascii="Verdana" w:hAnsi="Verdana"/>
          <w:szCs w:val="16"/>
          <w:lang w:val="pt-BR"/>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 xml:space="preserve">Cfr. </w:t>
      </w:r>
      <w:r w:rsidR="7CDFE7CF" w:rsidRPr="00053304">
        <w:rPr>
          <w:rFonts w:ascii="Verdana" w:eastAsia="Cambria" w:hAnsi="Verdana" w:cs="Cambria"/>
          <w:i/>
          <w:iCs/>
          <w:szCs w:val="16"/>
          <w:lang w:val="es-ES"/>
        </w:rPr>
        <w:t>Caso Pollo Rivera y otros Vs. Perú, supra,</w:t>
      </w:r>
      <w:r w:rsidR="7CDFE7CF" w:rsidRPr="00053304">
        <w:rPr>
          <w:rFonts w:ascii="Verdana" w:eastAsia="Cambria" w:hAnsi="Verdana" w:cs="Cambria"/>
          <w:szCs w:val="16"/>
          <w:lang w:val="es-ES"/>
        </w:rPr>
        <w:t xml:space="preserve"> párr. 177, y </w:t>
      </w:r>
      <w:r w:rsidR="7CDFE7CF" w:rsidRPr="00053304">
        <w:rPr>
          <w:rFonts w:ascii="Verdana" w:eastAsia="Cambria" w:hAnsi="Verdana" w:cs="Cambria"/>
          <w:i/>
          <w:iCs/>
          <w:szCs w:val="16"/>
          <w:lang w:val="es-ES"/>
        </w:rPr>
        <w:t xml:space="preserve">Caso Acosta y otros Vs. </w:t>
      </w:r>
      <w:r w:rsidR="7CDFE7CF" w:rsidRPr="00602907">
        <w:rPr>
          <w:rFonts w:ascii="Verdana" w:eastAsia="Cambria" w:hAnsi="Verdana" w:cs="Cambria"/>
          <w:i/>
          <w:iCs/>
          <w:szCs w:val="16"/>
          <w:lang w:val="es-CR"/>
        </w:rPr>
        <w:t xml:space="preserve">Nicaragua. </w:t>
      </w:r>
      <w:r w:rsidR="7CDFE7CF" w:rsidRPr="00053304">
        <w:rPr>
          <w:rFonts w:ascii="Verdana" w:eastAsia="Cambria" w:hAnsi="Verdana" w:cs="Cambria"/>
          <w:i/>
          <w:iCs/>
          <w:szCs w:val="16"/>
          <w:lang w:val="es-CR"/>
        </w:rPr>
        <w:t>Excepciones preliminares, Fondo, Reparaciones y Costas</w:t>
      </w:r>
      <w:r w:rsidR="7CDFE7CF" w:rsidRPr="00053304">
        <w:rPr>
          <w:rFonts w:ascii="Verdana" w:eastAsia="Cambria" w:hAnsi="Verdana" w:cs="Cambria"/>
          <w:szCs w:val="16"/>
          <w:lang w:val="es-CR"/>
        </w:rPr>
        <w:t xml:space="preserve">. Sentencia de 25 de marzo de 2017. </w:t>
      </w:r>
      <w:r w:rsidR="7CDFE7CF" w:rsidRPr="00053304">
        <w:rPr>
          <w:rFonts w:ascii="Verdana" w:eastAsia="Cambria" w:hAnsi="Verdana" w:cs="Cambria"/>
          <w:szCs w:val="16"/>
          <w:lang w:val="pt-BR"/>
        </w:rPr>
        <w:t>Serie C No. 334, párr. 190</w:t>
      </w:r>
      <w:r w:rsidR="7CDFE7CF" w:rsidRPr="00053304">
        <w:rPr>
          <w:rFonts w:ascii="Verdana" w:hAnsi="Verdana"/>
          <w:szCs w:val="16"/>
          <w:lang w:val="pt-BR"/>
        </w:rPr>
        <w:t>.</w:t>
      </w:r>
    </w:p>
  </w:footnote>
  <w:footnote w:id="258">
    <w:p w14:paraId="3EC51D1C" w14:textId="77777777" w:rsidR="00094D4E" w:rsidRPr="00053304" w:rsidRDefault="00094D4E" w:rsidP="00053304">
      <w:pPr>
        <w:pStyle w:val="Textonotapie"/>
        <w:jc w:val="both"/>
        <w:rPr>
          <w:rFonts w:ascii="Verdana" w:hAnsi="Verdana"/>
          <w:szCs w:val="16"/>
          <w:lang w:val="pt-BR"/>
        </w:rPr>
      </w:pPr>
      <w:r w:rsidRPr="00053304">
        <w:rPr>
          <w:rStyle w:val="Refdenotaalpie"/>
          <w:rFonts w:ascii="Verdana" w:hAnsi="Verdana"/>
          <w:szCs w:val="16"/>
        </w:rPr>
        <w:footnoteRef/>
      </w:r>
      <w:r w:rsidRPr="00053304">
        <w:rPr>
          <w:rFonts w:ascii="Verdana" w:hAnsi="Verdana"/>
          <w:szCs w:val="16"/>
          <w:lang w:val="pt-BR"/>
        </w:rPr>
        <w:t xml:space="preserve"> </w:t>
      </w:r>
      <w:r w:rsidRPr="00053304">
        <w:rPr>
          <w:rFonts w:ascii="Verdana" w:hAnsi="Verdana"/>
          <w:szCs w:val="16"/>
          <w:lang w:val="pt-BR"/>
        </w:rPr>
        <w:tab/>
      </w:r>
      <w:r w:rsidRPr="00053304">
        <w:rPr>
          <w:rFonts w:ascii="Verdana" w:hAnsi="Verdana"/>
          <w:i/>
          <w:szCs w:val="16"/>
          <w:lang w:val="pt-BR"/>
        </w:rPr>
        <w:t>Cfr. Caso Palamara Iribarne Vs. Chile, supra</w:t>
      </w:r>
      <w:r w:rsidRPr="00053304">
        <w:rPr>
          <w:rFonts w:ascii="Verdana" w:hAnsi="Verdana"/>
          <w:szCs w:val="16"/>
          <w:lang w:val="pt-BR"/>
        </w:rPr>
        <w:t xml:space="preserve">, párr. 166. </w:t>
      </w:r>
    </w:p>
  </w:footnote>
  <w:footnote w:id="259">
    <w:p w14:paraId="2AFA95E9" w14:textId="634B8A0B" w:rsidR="00094D4E" w:rsidRPr="00053304" w:rsidRDefault="00094D4E" w:rsidP="00053304">
      <w:pPr>
        <w:pStyle w:val="Textonotapie"/>
        <w:jc w:val="both"/>
        <w:rPr>
          <w:rFonts w:ascii="Verdana" w:hAnsi="Verdana"/>
          <w:szCs w:val="16"/>
          <w:lang w:val="es-CR"/>
        </w:rPr>
      </w:pPr>
      <w:r w:rsidRPr="00053304">
        <w:rPr>
          <w:rStyle w:val="Refdenotaalpie"/>
          <w:rFonts w:ascii="Verdana" w:hAnsi="Verdana"/>
          <w:szCs w:val="16"/>
        </w:rPr>
        <w:footnoteRef/>
      </w:r>
      <w:r w:rsidR="7CDFE7CF" w:rsidRPr="00053304">
        <w:rPr>
          <w:rFonts w:ascii="Verdana" w:hAnsi="Verdana"/>
          <w:szCs w:val="16"/>
          <w:lang w:val="pt-BR"/>
        </w:rPr>
        <w:t xml:space="preserve"> </w:t>
      </w:r>
      <w:r w:rsidRPr="00053304">
        <w:rPr>
          <w:rFonts w:ascii="Verdana" w:hAnsi="Verdana"/>
          <w:szCs w:val="16"/>
          <w:lang w:val="pt-BR"/>
        </w:rPr>
        <w:tab/>
      </w:r>
      <w:r w:rsidR="7CDFE7CF" w:rsidRPr="00053304">
        <w:rPr>
          <w:rFonts w:ascii="Verdana" w:hAnsi="Verdana"/>
          <w:i/>
          <w:iCs/>
          <w:szCs w:val="16"/>
          <w:lang w:val="pt-BR"/>
        </w:rPr>
        <w:t xml:space="preserve">Cfr. Caso Palamara Iribarne Vs. </w:t>
      </w:r>
      <w:r w:rsidR="7CDFE7CF" w:rsidRPr="00053304">
        <w:rPr>
          <w:rFonts w:ascii="Verdana" w:hAnsi="Verdana"/>
          <w:i/>
          <w:iCs/>
          <w:szCs w:val="16"/>
          <w:lang w:val="es-CR"/>
        </w:rPr>
        <w:t>Chile, supra</w:t>
      </w:r>
      <w:r w:rsidR="7CDFE7CF" w:rsidRPr="00053304">
        <w:rPr>
          <w:rFonts w:ascii="Verdana" w:hAnsi="Verdana"/>
          <w:szCs w:val="16"/>
          <w:lang w:val="es-CR"/>
        </w:rPr>
        <w:t>, párr. 168</w:t>
      </w:r>
      <w:r w:rsidR="004245CE" w:rsidRPr="00053304">
        <w:rPr>
          <w:rFonts w:ascii="Verdana" w:hAnsi="Verdana"/>
          <w:szCs w:val="16"/>
          <w:lang w:val="es-CR"/>
        </w:rPr>
        <w:t xml:space="preserve">; </w:t>
      </w:r>
      <w:r w:rsidR="7CDFE7CF" w:rsidRPr="00053304">
        <w:rPr>
          <w:rFonts w:ascii="Verdana" w:hAnsi="Verdana"/>
          <w:i/>
          <w:iCs/>
          <w:szCs w:val="16"/>
          <w:lang w:val="es-CR"/>
        </w:rPr>
        <w:t>Caso J. Vs. Perú. Excepción Preliminar, Fondo, Reparaciones y Costas, supra</w:t>
      </w:r>
      <w:r w:rsidR="7CDFE7CF" w:rsidRPr="00053304">
        <w:rPr>
          <w:rFonts w:ascii="Verdana" w:hAnsi="Verdana"/>
          <w:szCs w:val="16"/>
          <w:lang w:val="es-CR"/>
        </w:rPr>
        <w:t>, párr. 217</w:t>
      </w:r>
      <w:r w:rsidR="004245CE" w:rsidRPr="00053304">
        <w:rPr>
          <w:rFonts w:ascii="Verdana" w:hAnsi="Verdana"/>
          <w:szCs w:val="16"/>
          <w:lang w:val="es-CR"/>
        </w:rPr>
        <w:t xml:space="preserve">, y </w:t>
      </w:r>
      <w:r w:rsidR="004245CE" w:rsidRPr="00053304">
        <w:rPr>
          <w:rFonts w:ascii="Verdana" w:hAnsi="Verdana"/>
          <w:i/>
          <w:iCs/>
          <w:szCs w:val="16"/>
          <w:lang w:val="es-CR"/>
        </w:rPr>
        <w:t>Caso Girón y otro Vs. Guatemala. Excepción Preliminar, Fondo, Reparaciones y Costas</w:t>
      </w:r>
      <w:r w:rsidR="004245CE" w:rsidRPr="00053304">
        <w:rPr>
          <w:rFonts w:ascii="Verdana" w:hAnsi="Verdana"/>
          <w:szCs w:val="16"/>
          <w:lang w:val="es-CR"/>
        </w:rPr>
        <w:t>. Sentencia de 15 de octubre de 2019. Serie C No. 390, párr. 120.</w:t>
      </w:r>
    </w:p>
  </w:footnote>
  <w:footnote w:id="260">
    <w:p w14:paraId="3237F39B" w14:textId="7AA3D47C" w:rsidR="0022276B" w:rsidRPr="00053304" w:rsidRDefault="0022276B"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“Boletines de prensa emitidos por la </w:t>
      </w:r>
      <w:r w:rsidRPr="00053304">
        <w:rPr>
          <w:rFonts w:ascii="Verdana" w:hAnsi="Verdana"/>
          <w:szCs w:val="16"/>
          <w:lang w:val="es-ES"/>
        </w:rPr>
        <w:t>PGJEM”, anexo 2 al Informe de Fondo (expediente de prueba, folios 379 a 457).</w:t>
      </w:r>
    </w:p>
  </w:footnote>
  <w:footnote w:id="261">
    <w:p w14:paraId="1E3C6A1A" w14:textId="4B285620" w:rsidR="0022276B" w:rsidRPr="00053304" w:rsidRDefault="0022276B"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“Extractos de noticias incluidos en prensa escrita de circulación nacional, citando como Fuente de información la PGJEM</w:t>
      </w:r>
      <w:r w:rsidRPr="00053304">
        <w:rPr>
          <w:rFonts w:ascii="Verdana" w:hAnsi="Verdana"/>
          <w:szCs w:val="16"/>
          <w:lang w:val="es-ES"/>
        </w:rPr>
        <w:t>”</w:t>
      </w:r>
      <w:r w:rsidR="004245CE" w:rsidRPr="00053304">
        <w:rPr>
          <w:rFonts w:ascii="Verdana" w:hAnsi="Verdana"/>
          <w:szCs w:val="16"/>
          <w:lang w:val="es-ES"/>
        </w:rPr>
        <w:t xml:space="preserve"> </w:t>
      </w:r>
      <w:r w:rsidRPr="00053304">
        <w:rPr>
          <w:rFonts w:ascii="Verdana" w:hAnsi="Verdana"/>
          <w:szCs w:val="16"/>
          <w:lang w:val="es-ES"/>
        </w:rPr>
        <w:t xml:space="preserve"> (expediente de prueba, folios 458 a 581).</w:t>
      </w:r>
    </w:p>
  </w:footnote>
  <w:footnote w:id="262">
    <w:p w14:paraId="02B75F5F" w14:textId="53111396" w:rsidR="002973F5" w:rsidRPr="00053304" w:rsidRDefault="002973F5" w:rsidP="00053304">
      <w:pPr>
        <w:pStyle w:val="Textonotapie"/>
        <w:jc w:val="both"/>
        <w:rPr>
          <w:rFonts w:ascii="Verdana" w:hAnsi="Verdana"/>
          <w:szCs w:val="16"/>
          <w:lang w:val="es-CR"/>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“Boletines de prensa respecto a de detención de Reyes </w:t>
      </w:r>
      <w:r w:rsidR="007F4A7E" w:rsidRPr="00053304">
        <w:rPr>
          <w:rFonts w:ascii="Verdana" w:hAnsi="Verdana"/>
          <w:szCs w:val="16"/>
        </w:rPr>
        <w:t>Alpízar</w:t>
      </w:r>
      <w:r w:rsidRPr="00053304">
        <w:rPr>
          <w:rFonts w:ascii="Verdana" w:hAnsi="Verdana"/>
          <w:szCs w:val="16"/>
        </w:rPr>
        <w:t xml:space="preserve"> Ortiz</w:t>
      </w:r>
      <w:r w:rsidRPr="00053304">
        <w:rPr>
          <w:rFonts w:ascii="Verdana" w:hAnsi="Verdana"/>
          <w:szCs w:val="16"/>
          <w:lang w:val="es-ES"/>
        </w:rPr>
        <w:t>”</w:t>
      </w:r>
      <w:r w:rsidR="004245CE" w:rsidRPr="00053304">
        <w:rPr>
          <w:rFonts w:ascii="Verdana" w:hAnsi="Verdana"/>
          <w:szCs w:val="16"/>
          <w:lang w:val="es-ES"/>
        </w:rPr>
        <w:t xml:space="preserve"> </w:t>
      </w:r>
      <w:r w:rsidRPr="00053304">
        <w:rPr>
          <w:rFonts w:ascii="Verdana" w:hAnsi="Verdana"/>
          <w:szCs w:val="16"/>
          <w:lang w:val="es-ES"/>
        </w:rPr>
        <w:t xml:space="preserve">(expediente de prueba, folios 21905 a 21909) y </w:t>
      </w:r>
      <w:r w:rsidRPr="00053304">
        <w:rPr>
          <w:rFonts w:ascii="Verdana" w:hAnsi="Verdana"/>
          <w:szCs w:val="16"/>
        </w:rPr>
        <w:t>“</w:t>
      </w:r>
      <w:r w:rsidR="00B07D5F" w:rsidRPr="00053304">
        <w:rPr>
          <w:rFonts w:ascii="Verdana" w:hAnsi="Verdana"/>
          <w:szCs w:val="16"/>
        </w:rPr>
        <w:t xml:space="preserve">Exhibición de prensa como asesino de Reyes </w:t>
      </w:r>
      <w:r w:rsidR="007F4A7E" w:rsidRPr="00053304">
        <w:rPr>
          <w:rFonts w:ascii="Verdana" w:hAnsi="Verdana"/>
          <w:szCs w:val="16"/>
        </w:rPr>
        <w:t>Alpízar</w:t>
      </w:r>
      <w:r w:rsidR="00B07D5F" w:rsidRPr="00053304">
        <w:rPr>
          <w:rFonts w:ascii="Verdana" w:hAnsi="Verdana"/>
          <w:szCs w:val="16"/>
        </w:rPr>
        <w:t xml:space="preserve"> Ortiz</w:t>
      </w:r>
      <w:r w:rsidRPr="00053304">
        <w:rPr>
          <w:rFonts w:ascii="Verdana" w:hAnsi="Verdana"/>
          <w:szCs w:val="16"/>
          <w:lang w:val="es-ES"/>
        </w:rPr>
        <w:t>”</w:t>
      </w:r>
      <w:r w:rsidR="004245CE" w:rsidRPr="00053304">
        <w:rPr>
          <w:rFonts w:ascii="Verdana" w:hAnsi="Verdana"/>
          <w:szCs w:val="16"/>
          <w:lang w:val="es-ES"/>
        </w:rPr>
        <w:t xml:space="preserve"> </w:t>
      </w:r>
      <w:r w:rsidRPr="00053304">
        <w:rPr>
          <w:rFonts w:ascii="Verdana" w:hAnsi="Verdana"/>
          <w:szCs w:val="16"/>
          <w:lang w:val="es-ES"/>
        </w:rPr>
        <w:t>(expediente de prueba, folios 219</w:t>
      </w:r>
      <w:r w:rsidR="00B07D5F" w:rsidRPr="00053304">
        <w:rPr>
          <w:rFonts w:ascii="Verdana" w:hAnsi="Verdana"/>
          <w:szCs w:val="16"/>
          <w:lang w:val="es-ES"/>
        </w:rPr>
        <w:t>10</w:t>
      </w:r>
      <w:r w:rsidRPr="00053304">
        <w:rPr>
          <w:rFonts w:ascii="Verdana" w:hAnsi="Verdana"/>
          <w:szCs w:val="16"/>
          <w:lang w:val="es-ES"/>
        </w:rPr>
        <w:t xml:space="preserve"> a 219</w:t>
      </w:r>
      <w:r w:rsidR="00B07D5F" w:rsidRPr="00053304">
        <w:rPr>
          <w:rFonts w:ascii="Verdana" w:hAnsi="Verdana"/>
          <w:szCs w:val="16"/>
          <w:lang w:val="es-ES"/>
        </w:rPr>
        <w:t>11</w:t>
      </w:r>
      <w:r w:rsidRPr="00053304">
        <w:rPr>
          <w:rFonts w:ascii="Verdana" w:hAnsi="Verdana"/>
          <w:szCs w:val="16"/>
          <w:lang w:val="es-ES"/>
        </w:rPr>
        <w:t>)</w:t>
      </w:r>
      <w:r w:rsidR="00B07D5F" w:rsidRPr="00053304">
        <w:rPr>
          <w:rFonts w:ascii="Verdana" w:hAnsi="Verdana"/>
          <w:szCs w:val="16"/>
          <w:lang w:val="es-ES"/>
        </w:rPr>
        <w:t>.</w:t>
      </w:r>
    </w:p>
  </w:footnote>
  <w:footnote w:id="263">
    <w:p w14:paraId="7797B4A5" w14:textId="759543A8" w:rsidR="005F6ECF" w:rsidRPr="00053304" w:rsidRDefault="005F6ECF" w:rsidP="00053304">
      <w:pPr>
        <w:pStyle w:val="Textonotapie"/>
        <w:jc w:val="both"/>
        <w:rPr>
          <w:rFonts w:ascii="Verdana" w:hAnsi="Verdana"/>
          <w:szCs w:val="16"/>
        </w:rPr>
      </w:pPr>
      <w:r w:rsidRPr="00053304">
        <w:rPr>
          <w:rStyle w:val="Refdenotaalpie"/>
          <w:rFonts w:ascii="Verdana" w:hAnsi="Verdana"/>
          <w:szCs w:val="16"/>
        </w:rPr>
        <w:footnoteRef/>
      </w:r>
      <w:r w:rsidR="7CDFE7CF" w:rsidRPr="00053304">
        <w:rPr>
          <w:rFonts w:ascii="Verdana" w:hAnsi="Verdana"/>
          <w:szCs w:val="16"/>
        </w:rPr>
        <w:t xml:space="preserve"> </w:t>
      </w:r>
      <w:r w:rsidRPr="00053304">
        <w:rPr>
          <w:rFonts w:ascii="Verdana" w:hAnsi="Verdana"/>
          <w:szCs w:val="16"/>
        </w:rPr>
        <w:tab/>
      </w:r>
      <w:r w:rsidR="7CDFE7CF" w:rsidRPr="00053304">
        <w:rPr>
          <w:rFonts w:ascii="Verdana" w:hAnsi="Verdana"/>
          <w:i/>
          <w:iCs/>
          <w:szCs w:val="16"/>
        </w:rPr>
        <w:t>Cfr. Caso Suárez Rosero Vs. Ecuador. Fondo</w:t>
      </w:r>
      <w:r w:rsidR="7CDFE7CF" w:rsidRPr="00053304">
        <w:rPr>
          <w:rFonts w:ascii="Verdana" w:hAnsi="Verdana"/>
          <w:szCs w:val="16"/>
        </w:rPr>
        <w:t>. Sentencia de 12 de noviembre de 1997. Serie C No. 35, párr. 71;</w:t>
      </w:r>
      <w:r w:rsidR="7CDFE7CF" w:rsidRPr="00053304">
        <w:rPr>
          <w:rFonts w:ascii="Verdana" w:hAnsi="Verdana"/>
          <w:i/>
          <w:iCs/>
          <w:szCs w:val="16"/>
        </w:rPr>
        <w:t>Caso Olivares Muñoz y otros Vs. Venezuela, supra,</w:t>
      </w:r>
      <w:r w:rsidR="7CDFE7CF" w:rsidRPr="00053304">
        <w:rPr>
          <w:rFonts w:ascii="Verdana" w:hAnsi="Verdana"/>
          <w:szCs w:val="16"/>
        </w:rPr>
        <w:t xml:space="preserve"> párr. 123; </w:t>
      </w:r>
      <w:r w:rsidR="5B6A28B2" w:rsidRPr="00053304">
        <w:rPr>
          <w:rFonts w:ascii="Verdana" w:hAnsi="Verdana"/>
          <w:i/>
          <w:iCs/>
          <w:szCs w:val="16"/>
        </w:rPr>
        <w:t xml:space="preserve">Caso Digna Ochoa y familiares Vs. México, supra, </w:t>
      </w:r>
      <w:r w:rsidR="5B6A28B2" w:rsidRPr="00053304">
        <w:rPr>
          <w:rFonts w:ascii="Verdana" w:hAnsi="Verdana"/>
          <w:szCs w:val="16"/>
        </w:rPr>
        <w:t xml:space="preserve">párr. 131, y </w:t>
      </w:r>
      <w:r w:rsidR="5B6A28B2" w:rsidRPr="00053304">
        <w:rPr>
          <w:rFonts w:ascii="Verdana" w:hAnsi="Verdana"/>
          <w:i/>
          <w:iCs/>
          <w:szCs w:val="16"/>
        </w:rPr>
        <w:t>Caso Angulo Losada Vs. Bolivia. Excepciones Preliminares, Fondo y Reparaciones.</w:t>
      </w:r>
      <w:r w:rsidR="5B6A28B2" w:rsidRPr="00053304">
        <w:rPr>
          <w:rFonts w:ascii="Verdana" w:hAnsi="Verdana"/>
          <w:szCs w:val="16"/>
        </w:rPr>
        <w:t xml:space="preserve"> Sentencia de 18 de noviembre de 2022. Serie C No. 475, párr. 126</w:t>
      </w:r>
      <w:r w:rsidR="7CDFE7CF" w:rsidRPr="00053304">
        <w:rPr>
          <w:rFonts w:ascii="Verdana" w:hAnsi="Verdana"/>
          <w:szCs w:val="16"/>
        </w:rPr>
        <w:t>.</w:t>
      </w:r>
    </w:p>
  </w:footnote>
  <w:footnote w:id="264">
    <w:p w14:paraId="642D6E52" w14:textId="1A6F4F6E" w:rsidR="00AF6453" w:rsidRPr="00053304" w:rsidRDefault="00AF6453" w:rsidP="00053304">
      <w:pPr>
        <w:pStyle w:val="Textonotapie"/>
        <w:jc w:val="both"/>
        <w:rPr>
          <w:rFonts w:ascii="Verdana" w:hAnsi="Verdana"/>
          <w:i/>
          <w:iCs/>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Genie Lacayo Vs. Nicaragua. Fondo, Reparaciones y Costas</w:t>
      </w:r>
      <w:r w:rsidRPr="00053304">
        <w:rPr>
          <w:rFonts w:ascii="Verdana" w:hAnsi="Verdana"/>
          <w:szCs w:val="16"/>
        </w:rPr>
        <w:t xml:space="preserve">. Sentencia de 29 de enero de 1997. Serie C No. 30, párr. 77; </w:t>
      </w:r>
      <w:r w:rsidRPr="00053304">
        <w:rPr>
          <w:rFonts w:ascii="Verdana" w:hAnsi="Verdana"/>
          <w:i/>
          <w:iCs/>
          <w:szCs w:val="16"/>
        </w:rPr>
        <w:t>Caso Villamizar Durán y otros Vs. Colombia. Excepción Preliminar, Fondo Reparaciones y Costas.</w:t>
      </w:r>
      <w:r w:rsidRPr="00053304">
        <w:rPr>
          <w:rFonts w:ascii="Verdana" w:hAnsi="Verdana"/>
          <w:szCs w:val="16"/>
        </w:rPr>
        <w:t xml:space="preserve"> Sentencia de 20 de noviembre de 2018. Serie C No. 364, párr. 166, y </w:t>
      </w:r>
      <w:r w:rsidRPr="00053304">
        <w:rPr>
          <w:rFonts w:ascii="Verdana" w:hAnsi="Verdana"/>
          <w:i/>
          <w:iCs/>
          <w:szCs w:val="16"/>
        </w:rPr>
        <w:t xml:space="preserve">Caso Angulo Losada Vs. Bolivia, supra, </w:t>
      </w:r>
      <w:r w:rsidRPr="00053304">
        <w:rPr>
          <w:rFonts w:ascii="Verdana" w:hAnsi="Verdana"/>
          <w:szCs w:val="16"/>
        </w:rPr>
        <w:t xml:space="preserve">párr. 126. </w:t>
      </w:r>
    </w:p>
  </w:footnote>
  <w:footnote w:id="265">
    <w:p w14:paraId="3DEE32E1" w14:textId="11DC3B1F" w:rsidR="00AF6453" w:rsidRPr="00053304" w:rsidRDefault="00AF6453" w:rsidP="00053304">
      <w:pPr>
        <w:pStyle w:val="Textonotapie"/>
        <w:jc w:val="both"/>
        <w:rPr>
          <w:rFonts w:ascii="Verdana" w:eastAsia="Verdana-Italic" w:hAnsi="Verdana" w:cs="Verdana-Italic"/>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Acosta Calderón Vs. Ecuador.</w:t>
      </w:r>
      <w:r w:rsidRPr="00053304">
        <w:rPr>
          <w:rFonts w:ascii="Verdana" w:hAnsi="Verdana"/>
          <w:szCs w:val="16"/>
        </w:rPr>
        <w:t xml:space="preserve"> </w:t>
      </w:r>
      <w:r w:rsidRPr="00053304">
        <w:rPr>
          <w:rFonts w:ascii="Verdana" w:hAnsi="Verdana"/>
          <w:i/>
          <w:iCs/>
          <w:szCs w:val="16"/>
        </w:rPr>
        <w:t>Fondo, Reparaciones y Costas.</w:t>
      </w:r>
      <w:r w:rsidRPr="00053304">
        <w:rPr>
          <w:rFonts w:ascii="Verdana" w:hAnsi="Verdana"/>
          <w:szCs w:val="16"/>
        </w:rPr>
        <w:t xml:space="preserve"> Sentencia de 24 de junio de 2005. Serie C No. 129, párr. 106; </w:t>
      </w:r>
      <w:r w:rsidRPr="00053304">
        <w:rPr>
          <w:rFonts w:ascii="Verdana" w:hAnsi="Verdana"/>
          <w:i/>
          <w:iCs/>
          <w:szCs w:val="16"/>
        </w:rPr>
        <w:t xml:space="preserve">Caso Villamizar Durán y otros Vs. Colombia, supra, </w:t>
      </w:r>
      <w:r w:rsidRPr="00053304">
        <w:rPr>
          <w:rFonts w:ascii="Verdana" w:hAnsi="Verdana"/>
          <w:szCs w:val="16"/>
        </w:rPr>
        <w:t xml:space="preserve">párr. 166, </w:t>
      </w:r>
      <w:r w:rsidRPr="00053304">
        <w:rPr>
          <w:rFonts w:ascii="Verdana" w:hAnsi="Verdana"/>
          <w:i/>
          <w:iCs/>
          <w:szCs w:val="16"/>
        </w:rPr>
        <w:t>y</w:t>
      </w:r>
      <w:r w:rsidRPr="00053304">
        <w:rPr>
          <w:rFonts w:ascii="Verdana" w:eastAsia="Verdana-Italic" w:hAnsi="Verdana" w:cs="Verdana-Italic"/>
          <w:i/>
          <w:iCs/>
          <w:szCs w:val="16"/>
        </w:rPr>
        <w:t xml:space="preserve"> </w:t>
      </w:r>
      <w:r w:rsidR="5B6A28B2" w:rsidRPr="00053304">
        <w:rPr>
          <w:rFonts w:ascii="Verdana" w:eastAsia="Verdana-Italic" w:hAnsi="Verdana" w:cs="Verdana-Italic"/>
          <w:i/>
          <w:iCs/>
          <w:szCs w:val="16"/>
        </w:rPr>
        <w:t>Caso Federación Nacional de Trabajadores Marítimos y Portuarios (FEMAPOR) Vs. Perú. Excepciones Preliminares, Fondo y Reparaciones</w:t>
      </w:r>
      <w:r w:rsidR="5B6A28B2" w:rsidRPr="00053304">
        <w:rPr>
          <w:rFonts w:ascii="Verdana" w:eastAsia="Verdana-Italic" w:hAnsi="Verdana" w:cs="Verdana-Italic"/>
          <w:szCs w:val="16"/>
        </w:rPr>
        <w:t xml:space="preserve">. </w:t>
      </w:r>
      <w:r w:rsidR="5B6A28B2" w:rsidRPr="00053304">
        <w:rPr>
          <w:rFonts w:ascii="Verdana" w:eastAsia="Verdana" w:hAnsi="Verdana" w:cs="Verdana"/>
          <w:szCs w:val="16"/>
        </w:rPr>
        <w:t>Sentencia de 1 de febrero de 2022. Serie C No. 448, párr. 91.</w:t>
      </w:r>
    </w:p>
  </w:footnote>
  <w:footnote w:id="266">
    <w:p w14:paraId="7622BB93" w14:textId="1A4541B5" w:rsidR="00AF6453" w:rsidRPr="00053304" w:rsidRDefault="00AF6453"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Furlan y familiares Vs. Argentina. Excepciones Preliminares, Fondo, Reparaciones y Costas</w:t>
      </w:r>
      <w:r w:rsidRPr="00053304">
        <w:rPr>
          <w:rFonts w:ascii="Verdana" w:hAnsi="Verdana"/>
          <w:szCs w:val="16"/>
        </w:rPr>
        <w:t xml:space="preserve">. Sentencia de 31 de agosto de 2012. Serie C No. 246, párr. 156; </w:t>
      </w:r>
      <w:r w:rsidRPr="00053304">
        <w:rPr>
          <w:rFonts w:ascii="Verdana" w:hAnsi="Verdana"/>
          <w:i/>
          <w:iCs/>
          <w:szCs w:val="16"/>
        </w:rPr>
        <w:t>Caso Carvajal Carvajal y otros Vs. Colombia. Fondo, Reparaciones y Costas.</w:t>
      </w:r>
      <w:r w:rsidRPr="00053304">
        <w:rPr>
          <w:rFonts w:ascii="Verdana" w:hAnsi="Verdana"/>
          <w:szCs w:val="16"/>
        </w:rPr>
        <w:t xml:space="preserve"> Sentencia de 13 de marzo de 2018. Serie c No. 352, párr. 107, y </w:t>
      </w:r>
      <w:r w:rsidRPr="00053304">
        <w:rPr>
          <w:rFonts w:ascii="Verdana" w:hAnsi="Verdana"/>
          <w:i/>
          <w:iCs/>
          <w:szCs w:val="16"/>
        </w:rPr>
        <w:t>Caso Amrhein y otros Vs. Costa Rica</w:t>
      </w:r>
      <w:r w:rsidRPr="00053304">
        <w:rPr>
          <w:rFonts w:ascii="Verdana" w:hAnsi="Verdana"/>
          <w:szCs w:val="16"/>
        </w:rPr>
        <w:t xml:space="preserve">, supra, párr. 424. Del mismo modo, véase </w:t>
      </w:r>
      <w:r w:rsidRPr="00053304">
        <w:rPr>
          <w:rFonts w:ascii="Verdana" w:hAnsi="Verdana"/>
          <w:i/>
          <w:iCs/>
          <w:szCs w:val="16"/>
        </w:rPr>
        <w:t>Caso Baldeón García Vs. Perú. Fondo, Reparaciones y Costas</w:t>
      </w:r>
      <w:r w:rsidRPr="00053304">
        <w:rPr>
          <w:rFonts w:ascii="Verdana" w:hAnsi="Verdana"/>
          <w:szCs w:val="16"/>
        </w:rPr>
        <w:t>. Sentencia de 6 de abril de 2006. Serie C No. 147, párr. 152</w:t>
      </w:r>
      <w:r w:rsidR="00F13442" w:rsidRPr="00053304">
        <w:rPr>
          <w:rFonts w:ascii="Verdana" w:hAnsi="Verdana"/>
          <w:szCs w:val="16"/>
        </w:rPr>
        <w:t xml:space="preserve">; </w:t>
      </w:r>
      <w:r w:rsidR="00F13442" w:rsidRPr="00053304">
        <w:rPr>
          <w:rFonts w:ascii="Verdana" w:hAnsi="Verdana"/>
          <w:i/>
          <w:iCs/>
          <w:szCs w:val="16"/>
        </w:rPr>
        <w:t>Caso Integrantes y Militantes de la Unión Patriótica Vs. Colombia</w:t>
      </w:r>
      <w:r w:rsidR="00F13442" w:rsidRPr="00053304">
        <w:rPr>
          <w:rFonts w:ascii="Verdana" w:hAnsi="Verdana"/>
          <w:szCs w:val="16"/>
        </w:rPr>
        <w:t xml:space="preserve">, </w:t>
      </w:r>
      <w:r w:rsidR="00F13442" w:rsidRPr="00053304">
        <w:rPr>
          <w:rFonts w:ascii="Verdana" w:hAnsi="Verdana"/>
          <w:i/>
          <w:iCs/>
          <w:szCs w:val="16"/>
        </w:rPr>
        <w:t>supra</w:t>
      </w:r>
      <w:r w:rsidR="00F13442" w:rsidRPr="00053304">
        <w:rPr>
          <w:rFonts w:ascii="Verdana" w:hAnsi="Verdana"/>
          <w:szCs w:val="16"/>
        </w:rPr>
        <w:t xml:space="preserve">, párr. 473, </w:t>
      </w:r>
      <w:r w:rsidRPr="00053304">
        <w:rPr>
          <w:rFonts w:ascii="Verdana" w:hAnsi="Verdana"/>
          <w:szCs w:val="16"/>
        </w:rPr>
        <w:t xml:space="preserve">y </w:t>
      </w:r>
      <w:r w:rsidRPr="00053304">
        <w:rPr>
          <w:rFonts w:ascii="Verdana" w:hAnsi="Verdana"/>
          <w:i/>
          <w:iCs/>
          <w:szCs w:val="16"/>
        </w:rPr>
        <w:t>Caso Vargas Areco Vs. Paraguay. Fondo, Reparaciones y Costas</w:t>
      </w:r>
      <w:r w:rsidRPr="00053304">
        <w:rPr>
          <w:rFonts w:ascii="Verdana" w:hAnsi="Verdana"/>
          <w:szCs w:val="16"/>
        </w:rPr>
        <w:t xml:space="preserve">. Sentencia de 26 de septiembre de 2006. Serie C No. 155, párr. 103, y </w:t>
      </w:r>
      <w:r w:rsidRPr="00053304">
        <w:rPr>
          <w:rFonts w:ascii="Verdana" w:hAnsi="Verdana"/>
          <w:i/>
          <w:iCs/>
          <w:szCs w:val="16"/>
        </w:rPr>
        <w:t xml:space="preserve">Caso Villamizar Durán y otros Vs. Colombia, supra, </w:t>
      </w:r>
      <w:r w:rsidRPr="00053304">
        <w:rPr>
          <w:rFonts w:ascii="Verdana" w:hAnsi="Verdana"/>
          <w:szCs w:val="16"/>
        </w:rPr>
        <w:t>párr. 166.</w:t>
      </w:r>
    </w:p>
  </w:footnote>
  <w:footnote w:id="267">
    <w:p w14:paraId="2D82EE70" w14:textId="6DF6897A" w:rsidR="00AF6453" w:rsidRPr="00053304" w:rsidRDefault="00AF6453" w:rsidP="00053304">
      <w:pPr>
        <w:pStyle w:val="Textonotapie"/>
        <w:tabs>
          <w:tab w:val="left" w:pos="426"/>
        </w:tabs>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szCs w:val="16"/>
        </w:rPr>
        <w:tab/>
      </w:r>
      <w:r w:rsidRPr="00053304">
        <w:rPr>
          <w:rFonts w:ascii="Verdana" w:hAnsi="Verdana"/>
          <w:i/>
          <w:iCs/>
          <w:szCs w:val="16"/>
        </w:rPr>
        <w:t>Mutatis mutandis,</w:t>
      </w:r>
      <w:r w:rsidRPr="00053304">
        <w:rPr>
          <w:rFonts w:ascii="Verdana" w:hAnsi="Verdana"/>
          <w:szCs w:val="16"/>
        </w:rPr>
        <w:t xml:space="preserve"> </w:t>
      </w:r>
      <w:r w:rsidRPr="00053304">
        <w:rPr>
          <w:rFonts w:ascii="Verdana" w:hAnsi="Verdana"/>
          <w:i/>
          <w:iCs/>
          <w:szCs w:val="16"/>
        </w:rPr>
        <w:t>Cfr. Caso Heliodoro Portugal Vs. Panamá</w:t>
      </w:r>
      <w:r w:rsidRPr="00053304">
        <w:rPr>
          <w:rFonts w:ascii="Verdana" w:hAnsi="Verdana"/>
          <w:szCs w:val="16"/>
        </w:rPr>
        <w:t xml:space="preserve">. </w:t>
      </w:r>
      <w:r w:rsidRPr="00053304">
        <w:rPr>
          <w:rFonts w:ascii="Verdana" w:hAnsi="Verdana"/>
          <w:i/>
          <w:iCs/>
          <w:szCs w:val="16"/>
        </w:rPr>
        <w:t>Excepciones Preliminares, Fondo, Reparaciones y Costas.</w:t>
      </w:r>
      <w:r w:rsidRPr="00053304">
        <w:rPr>
          <w:rFonts w:ascii="Verdana" w:hAnsi="Verdana"/>
          <w:szCs w:val="16"/>
        </w:rPr>
        <w:t xml:space="preserve"> Sentencia de 12 de agosto de 2008. Serie C No. 186, párr. 150, y </w:t>
      </w:r>
      <w:r w:rsidRPr="00053304">
        <w:rPr>
          <w:rFonts w:ascii="Verdana" w:hAnsi="Verdana"/>
          <w:i/>
          <w:iCs/>
          <w:szCs w:val="16"/>
        </w:rPr>
        <w:t>Caso Villamizar Durán y otros Vs. Colombia</w:t>
      </w:r>
      <w:r w:rsidRPr="00053304">
        <w:rPr>
          <w:rFonts w:ascii="Verdana" w:hAnsi="Verdana"/>
          <w:szCs w:val="16"/>
        </w:rPr>
        <w:t xml:space="preserve">, </w:t>
      </w:r>
      <w:r w:rsidRPr="00053304">
        <w:rPr>
          <w:rFonts w:ascii="Verdana" w:hAnsi="Verdana"/>
          <w:i/>
          <w:iCs/>
          <w:szCs w:val="16"/>
        </w:rPr>
        <w:t>supra,</w:t>
      </w:r>
      <w:r w:rsidRPr="00053304">
        <w:rPr>
          <w:rFonts w:ascii="Verdana" w:hAnsi="Verdana"/>
          <w:szCs w:val="16"/>
        </w:rPr>
        <w:t xml:space="preserve"> párr. 166.</w:t>
      </w:r>
    </w:p>
  </w:footnote>
  <w:footnote w:id="268">
    <w:p w14:paraId="1302183B" w14:textId="65B0A33B" w:rsidR="00AF6453" w:rsidRPr="00053304" w:rsidRDefault="00AF6453"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Salvador Chiriboga Vs. Ecuador. Excepción Preliminar y Fondo</w:t>
      </w:r>
      <w:r w:rsidRPr="00053304">
        <w:rPr>
          <w:rFonts w:ascii="Verdana" w:hAnsi="Verdana"/>
          <w:szCs w:val="16"/>
        </w:rPr>
        <w:t xml:space="preserve">. Sentencia de 6 de mayo de 2008. Serie C No. 179, párr. 83, y </w:t>
      </w:r>
      <w:r w:rsidRPr="00053304">
        <w:rPr>
          <w:rFonts w:ascii="Verdana" w:hAnsi="Verdana"/>
          <w:i/>
          <w:iCs/>
          <w:szCs w:val="16"/>
        </w:rPr>
        <w:t xml:space="preserve">Caso Villamizar Durán y otros Vs. Colombia, supra, </w:t>
      </w:r>
      <w:r w:rsidRPr="00053304">
        <w:rPr>
          <w:rFonts w:ascii="Verdana" w:hAnsi="Verdana"/>
          <w:szCs w:val="16"/>
        </w:rPr>
        <w:t>párr. 166.</w:t>
      </w:r>
    </w:p>
  </w:footnote>
  <w:footnote w:id="269">
    <w:p w14:paraId="5268453B" w14:textId="2AE49F6E" w:rsidR="00AF6453" w:rsidRPr="00053304" w:rsidRDefault="00AF6453"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Furlan y familiares Vs. Argentina</w:t>
      </w:r>
      <w:r w:rsidRPr="00053304">
        <w:rPr>
          <w:rFonts w:ascii="Verdana" w:hAnsi="Verdana"/>
          <w:szCs w:val="16"/>
        </w:rPr>
        <w:t>, párr. 156</w:t>
      </w:r>
      <w:r w:rsidR="00F13442" w:rsidRPr="00053304">
        <w:rPr>
          <w:rFonts w:ascii="Verdana" w:hAnsi="Verdana"/>
          <w:szCs w:val="16"/>
        </w:rPr>
        <w:t>;</w:t>
      </w:r>
      <w:r w:rsidRPr="00053304">
        <w:rPr>
          <w:rFonts w:ascii="Verdana" w:hAnsi="Verdana"/>
          <w:szCs w:val="16"/>
        </w:rPr>
        <w:t xml:space="preserve"> </w:t>
      </w:r>
      <w:r w:rsidRPr="00053304">
        <w:rPr>
          <w:rFonts w:ascii="Verdana" w:hAnsi="Verdana"/>
          <w:i/>
          <w:iCs/>
          <w:szCs w:val="16"/>
        </w:rPr>
        <w:t xml:space="preserve">Caso Villamizar Durán y otros Vs. Colombia, supra, </w:t>
      </w:r>
      <w:r w:rsidRPr="00053304">
        <w:rPr>
          <w:rFonts w:ascii="Verdana" w:hAnsi="Verdana"/>
          <w:szCs w:val="16"/>
        </w:rPr>
        <w:t>párr. 166</w:t>
      </w:r>
      <w:r w:rsidR="00F13442" w:rsidRPr="00053304">
        <w:rPr>
          <w:rFonts w:ascii="Verdana" w:hAnsi="Verdana"/>
          <w:szCs w:val="16"/>
        </w:rPr>
        <w:t xml:space="preserve">, y </w:t>
      </w:r>
      <w:r w:rsidR="00F13442" w:rsidRPr="00053304">
        <w:rPr>
          <w:rFonts w:ascii="Verdana" w:hAnsi="Verdana"/>
          <w:i/>
          <w:iCs/>
          <w:szCs w:val="16"/>
        </w:rPr>
        <w:t>Caso Integrantes y Militantes de la Unión Patriótica Vs. Colombia</w:t>
      </w:r>
      <w:r w:rsidR="00F13442" w:rsidRPr="00053304">
        <w:rPr>
          <w:rFonts w:ascii="Verdana" w:hAnsi="Verdana"/>
          <w:szCs w:val="16"/>
        </w:rPr>
        <w:t xml:space="preserve">, </w:t>
      </w:r>
      <w:r w:rsidR="00F13442" w:rsidRPr="00053304">
        <w:rPr>
          <w:rFonts w:ascii="Verdana" w:hAnsi="Verdana"/>
          <w:i/>
          <w:iCs/>
          <w:szCs w:val="16"/>
        </w:rPr>
        <w:t>supra</w:t>
      </w:r>
      <w:r w:rsidR="00F13442" w:rsidRPr="00053304">
        <w:rPr>
          <w:rFonts w:ascii="Verdana" w:hAnsi="Verdana"/>
          <w:szCs w:val="16"/>
        </w:rPr>
        <w:t>, párr. 473.</w:t>
      </w:r>
    </w:p>
  </w:footnote>
  <w:footnote w:id="270">
    <w:p w14:paraId="0BB3777C" w14:textId="03ACB96F" w:rsidR="00AF6453" w:rsidRPr="00053304" w:rsidRDefault="00AF6453"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i/>
          <w:iCs/>
          <w:szCs w:val="16"/>
        </w:rPr>
        <w:t>Caso Fornerón e hija Vs. Argentina. Fondo, Reparaciones y Costas.</w:t>
      </w:r>
      <w:r w:rsidRPr="00053304">
        <w:rPr>
          <w:rFonts w:ascii="Verdana" w:hAnsi="Verdana"/>
          <w:szCs w:val="16"/>
        </w:rPr>
        <w:t xml:space="preserve"> Sentencia de 27 de abril de 2012. Serie C No. 242, párr. 69; </w:t>
      </w:r>
      <w:r w:rsidRPr="00053304">
        <w:rPr>
          <w:rFonts w:ascii="Verdana" w:hAnsi="Verdana"/>
          <w:i/>
          <w:iCs/>
          <w:szCs w:val="16"/>
        </w:rPr>
        <w:t xml:space="preserve">Caso Villamizar Durán y otros Vs. Colombia, supra, </w:t>
      </w:r>
      <w:r w:rsidRPr="00053304">
        <w:rPr>
          <w:rFonts w:ascii="Verdana" w:hAnsi="Verdana"/>
          <w:szCs w:val="16"/>
        </w:rPr>
        <w:t>párr. 166,</w:t>
      </w:r>
      <w:r w:rsidR="00F13442" w:rsidRPr="00053304">
        <w:rPr>
          <w:rFonts w:ascii="Verdana" w:hAnsi="Verdana"/>
          <w:szCs w:val="16"/>
        </w:rPr>
        <w:t xml:space="preserve"> </w:t>
      </w:r>
      <w:r w:rsidRPr="00053304">
        <w:rPr>
          <w:rFonts w:ascii="Verdana" w:hAnsi="Verdana"/>
          <w:i/>
          <w:iCs/>
          <w:szCs w:val="16"/>
        </w:rPr>
        <w:t xml:space="preserve">Caso Díaz Loreto y otros Vs. Venezuela. Excepciones preliminares, </w:t>
      </w:r>
      <w:r w:rsidR="5B6A28B2" w:rsidRPr="00053304">
        <w:rPr>
          <w:rFonts w:ascii="Verdana" w:hAnsi="Verdana"/>
          <w:i/>
          <w:iCs/>
          <w:szCs w:val="16"/>
        </w:rPr>
        <w:t>Fondo, Reparaciones y Costas</w:t>
      </w:r>
      <w:r w:rsidRPr="00053304">
        <w:rPr>
          <w:rFonts w:ascii="Verdana" w:hAnsi="Verdana"/>
          <w:szCs w:val="16"/>
        </w:rPr>
        <w:t>. Sentencia de 19 de noviembre de 2019. Serie C No. 392, párr. 117</w:t>
      </w:r>
      <w:r w:rsidR="00F13442" w:rsidRPr="00053304">
        <w:rPr>
          <w:rFonts w:ascii="Verdana" w:hAnsi="Verdana"/>
          <w:szCs w:val="16"/>
        </w:rPr>
        <w:t xml:space="preserve">, y </w:t>
      </w:r>
      <w:r w:rsidR="00F13442" w:rsidRPr="00053304">
        <w:rPr>
          <w:rFonts w:ascii="Verdana" w:hAnsi="Verdana"/>
          <w:i/>
          <w:iCs/>
          <w:szCs w:val="16"/>
        </w:rPr>
        <w:t>Caso Integrantes y Militantes de la Unión Patriótica Vs. Colombia</w:t>
      </w:r>
      <w:r w:rsidR="00F13442" w:rsidRPr="00053304">
        <w:rPr>
          <w:rFonts w:ascii="Verdana" w:hAnsi="Verdana"/>
          <w:szCs w:val="16"/>
        </w:rPr>
        <w:t xml:space="preserve">, </w:t>
      </w:r>
      <w:r w:rsidR="00F13442" w:rsidRPr="00053304">
        <w:rPr>
          <w:rFonts w:ascii="Verdana" w:hAnsi="Verdana"/>
          <w:i/>
          <w:iCs/>
          <w:szCs w:val="16"/>
        </w:rPr>
        <w:t>supra</w:t>
      </w:r>
      <w:r w:rsidR="00F13442" w:rsidRPr="00053304">
        <w:rPr>
          <w:rFonts w:ascii="Verdana" w:hAnsi="Verdana"/>
          <w:szCs w:val="16"/>
        </w:rPr>
        <w:t>, párr. 474.</w:t>
      </w:r>
    </w:p>
  </w:footnote>
  <w:footnote w:id="271">
    <w:p w14:paraId="7E42C8CA" w14:textId="3B9B638E" w:rsidR="00AF6453" w:rsidRPr="00053304" w:rsidRDefault="00AF6453" w:rsidP="00053304">
      <w:pPr>
        <w:pStyle w:val="Textonotapie"/>
        <w:jc w:val="both"/>
        <w:rPr>
          <w:rFonts w:ascii="Verdana" w:hAnsi="Verdana"/>
          <w:szCs w:val="16"/>
          <w:lang w:val="es-PE"/>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Myrna Mack Chang Vs. Guatemala. Fondo, Reparaciones y Costas</w:t>
      </w:r>
      <w:r w:rsidRPr="00053304">
        <w:rPr>
          <w:rFonts w:ascii="Verdana" w:hAnsi="Verdana"/>
          <w:szCs w:val="16"/>
        </w:rPr>
        <w:t>. Sentencia de 25 de noviembre de 2003. Serie C No. 101, párr. 211</w:t>
      </w:r>
      <w:r w:rsidR="00F13442" w:rsidRPr="00053304">
        <w:rPr>
          <w:rFonts w:ascii="Verdana" w:hAnsi="Verdana"/>
          <w:szCs w:val="16"/>
        </w:rPr>
        <w:t xml:space="preserve">; </w:t>
      </w:r>
      <w:r w:rsidRPr="00053304">
        <w:rPr>
          <w:rFonts w:ascii="Verdana" w:hAnsi="Verdana"/>
          <w:i/>
          <w:iCs/>
          <w:szCs w:val="16"/>
        </w:rPr>
        <w:t xml:space="preserve">Caso Villamizar Durán y otros Vs. Colombia, supra, </w:t>
      </w:r>
      <w:r w:rsidRPr="00053304">
        <w:rPr>
          <w:rFonts w:ascii="Verdana" w:hAnsi="Verdana"/>
          <w:szCs w:val="16"/>
        </w:rPr>
        <w:t>párr. 166</w:t>
      </w:r>
      <w:r w:rsidR="00F13442" w:rsidRPr="00053304">
        <w:rPr>
          <w:rFonts w:ascii="Verdana" w:hAnsi="Verdana"/>
          <w:szCs w:val="16"/>
        </w:rPr>
        <w:t xml:space="preserve">, y </w:t>
      </w:r>
      <w:r w:rsidR="00F13442" w:rsidRPr="00053304">
        <w:rPr>
          <w:rFonts w:ascii="Verdana" w:hAnsi="Verdana"/>
          <w:i/>
          <w:iCs/>
          <w:szCs w:val="16"/>
        </w:rPr>
        <w:t>Caso Integrantes y Militantes de la Unión Patriótica Vs. Colombia</w:t>
      </w:r>
      <w:r w:rsidR="00F13442" w:rsidRPr="00053304">
        <w:rPr>
          <w:rFonts w:ascii="Verdana" w:hAnsi="Verdana"/>
          <w:szCs w:val="16"/>
        </w:rPr>
        <w:t xml:space="preserve">, </w:t>
      </w:r>
      <w:r w:rsidR="00F13442" w:rsidRPr="00053304">
        <w:rPr>
          <w:rFonts w:ascii="Verdana" w:hAnsi="Verdana"/>
          <w:i/>
          <w:iCs/>
          <w:szCs w:val="16"/>
        </w:rPr>
        <w:t>supra</w:t>
      </w:r>
      <w:r w:rsidR="00F13442" w:rsidRPr="00053304">
        <w:rPr>
          <w:rFonts w:ascii="Verdana" w:hAnsi="Verdana"/>
          <w:szCs w:val="16"/>
        </w:rPr>
        <w:t>, párr. 475.</w:t>
      </w:r>
    </w:p>
  </w:footnote>
  <w:footnote w:id="272">
    <w:p w14:paraId="0FB28F6E" w14:textId="663C64E7" w:rsidR="00AF6453" w:rsidRPr="00053304" w:rsidRDefault="00AF6453" w:rsidP="00053304">
      <w:pPr>
        <w:pStyle w:val="Textonotapie"/>
        <w:jc w:val="both"/>
        <w:rPr>
          <w:rFonts w:ascii="Verdana" w:hAnsi="Verdana"/>
          <w:szCs w:val="16"/>
        </w:rPr>
      </w:pPr>
      <w:r w:rsidRPr="00053304">
        <w:rPr>
          <w:rStyle w:val="Refdenotaalpie"/>
          <w:rFonts w:ascii="Verdana" w:eastAsia="Batang"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Valle Jaramillo y otros Vs. Colombia</w:t>
      </w:r>
      <w:r w:rsidRPr="00053304">
        <w:rPr>
          <w:rFonts w:ascii="Verdana" w:eastAsia="Verdana" w:hAnsi="Verdana" w:cs="Verdana"/>
          <w:i/>
          <w:iCs/>
          <w:szCs w:val="16"/>
        </w:rPr>
        <w:t xml:space="preserve">. </w:t>
      </w:r>
      <w:r w:rsidR="5B6A28B2" w:rsidRPr="00053304">
        <w:rPr>
          <w:rFonts w:ascii="Verdana" w:eastAsia="Verdana" w:hAnsi="Verdana" w:cs="Verdana"/>
          <w:i/>
          <w:iCs/>
          <w:szCs w:val="16"/>
        </w:rPr>
        <w:t xml:space="preserve">Fondo, Reparaciones y Costas. </w:t>
      </w:r>
      <w:r w:rsidR="5B6A28B2" w:rsidRPr="00053304">
        <w:rPr>
          <w:rFonts w:ascii="Verdana" w:eastAsia="Verdana" w:hAnsi="Verdana" w:cs="Verdana"/>
          <w:szCs w:val="16"/>
        </w:rPr>
        <w:t>Sentencia de 27 de noviembre de 2008. Serie C No. 192.</w:t>
      </w:r>
      <w:r w:rsidRPr="00053304">
        <w:rPr>
          <w:rFonts w:ascii="Verdana" w:hAnsi="Verdana"/>
          <w:szCs w:val="16"/>
        </w:rPr>
        <w:t xml:space="preserve">, párr. 155; </w:t>
      </w:r>
      <w:r w:rsidRPr="00053304">
        <w:rPr>
          <w:rFonts w:ascii="Verdana" w:hAnsi="Verdana"/>
          <w:i/>
          <w:iCs/>
          <w:szCs w:val="16"/>
        </w:rPr>
        <w:t xml:space="preserve">Caso Furlan y familiares Vs. Argentina, supra, </w:t>
      </w:r>
      <w:r w:rsidRPr="00053304">
        <w:rPr>
          <w:rFonts w:ascii="Verdana" w:hAnsi="Verdana"/>
          <w:szCs w:val="16"/>
        </w:rPr>
        <w:t xml:space="preserve">párr. 202, y </w:t>
      </w:r>
      <w:r w:rsidRPr="00053304">
        <w:rPr>
          <w:rFonts w:ascii="Verdana" w:hAnsi="Verdana"/>
          <w:i/>
          <w:iCs/>
          <w:szCs w:val="16"/>
        </w:rPr>
        <w:t xml:space="preserve">Caso Villamizar Durán y otros Vs. Colombia, supra, </w:t>
      </w:r>
      <w:r w:rsidRPr="00053304">
        <w:rPr>
          <w:rFonts w:ascii="Verdana" w:hAnsi="Verdana"/>
          <w:szCs w:val="16"/>
        </w:rPr>
        <w:t>párr. 166.</w:t>
      </w:r>
    </w:p>
  </w:footnote>
  <w:footnote w:id="273">
    <w:p w14:paraId="77BC844A" w14:textId="51295375" w:rsidR="004370FB" w:rsidRPr="00053304" w:rsidRDefault="004370FB" w:rsidP="00053304">
      <w:pPr>
        <w:pStyle w:val="Textonotapie"/>
        <w:jc w:val="both"/>
        <w:rPr>
          <w:rFonts w:ascii="Verdana" w:hAnsi="Verdana"/>
          <w:szCs w:val="16"/>
        </w:rPr>
      </w:pPr>
      <w:r w:rsidRPr="00053304">
        <w:rPr>
          <w:rStyle w:val="Refdenotaalpie"/>
          <w:rFonts w:ascii="Verdana" w:eastAsia="Batang"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Mémoli Vs. Argentina. Excepciones Preliminares, Fondo, Reparaciones y Costas</w:t>
      </w:r>
      <w:r w:rsidRPr="00053304">
        <w:rPr>
          <w:rFonts w:ascii="Verdana" w:hAnsi="Verdana"/>
          <w:szCs w:val="16"/>
        </w:rPr>
        <w:t>. Sentencia de 22 de agosto de 2013. Serie C No. 265, párr. 174</w:t>
      </w:r>
      <w:r w:rsidR="00F13442" w:rsidRPr="00053304">
        <w:rPr>
          <w:rFonts w:ascii="Verdana" w:hAnsi="Verdana"/>
          <w:szCs w:val="16"/>
        </w:rPr>
        <w:t xml:space="preserve">, y </w:t>
      </w:r>
      <w:r w:rsidR="00F13442" w:rsidRPr="00053304">
        <w:rPr>
          <w:rFonts w:ascii="Verdana" w:hAnsi="Verdana"/>
          <w:i/>
          <w:iCs/>
          <w:szCs w:val="16"/>
        </w:rPr>
        <w:t>Caso Jenkins Vs. Argentina</w:t>
      </w:r>
      <w:r w:rsidR="00F13442" w:rsidRPr="00053304">
        <w:rPr>
          <w:rFonts w:ascii="Verdana" w:hAnsi="Verdana"/>
          <w:szCs w:val="16"/>
        </w:rPr>
        <w:t xml:space="preserve">, </w:t>
      </w:r>
      <w:r w:rsidR="00F13442" w:rsidRPr="00053304">
        <w:rPr>
          <w:rFonts w:ascii="Verdana" w:hAnsi="Verdana"/>
          <w:i/>
          <w:iCs/>
          <w:szCs w:val="16"/>
        </w:rPr>
        <w:t>supra</w:t>
      </w:r>
      <w:r w:rsidR="00F13442" w:rsidRPr="00053304">
        <w:rPr>
          <w:rFonts w:ascii="Verdana" w:hAnsi="Verdana"/>
          <w:szCs w:val="16"/>
        </w:rPr>
        <w:t>, párr. 117</w:t>
      </w:r>
      <w:r w:rsidR="000549FB" w:rsidRPr="00053304">
        <w:rPr>
          <w:rFonts w:ascii="Verdana" w:hAnsi="Verdana"/>
          <w:szCs w:val="16"/>
        </w:rPr>
        <w:t>.</w:t>
      </w:r>
    </w:p>
  </w:footnote>
  <w:footnote w:id="274">
    <w:p w14:paraId="2E735B63" w14:textId="751C24B8" w:rsidR="005A7208" w:rsidRPr="00053304" w:rsidRDefault="005A7208"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t>Aplicación del artículo 63.1 de la Convención Americana.</w:t>
      </w:r>
    </w:p>
  </w:footnote>
  <w:footnote w:id="275">
    <w:p w14:paraId="054164AD" w14:textId="397393E9"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Velásquez Rodríguez Vs. Honduras. Reparaciones y Costas.</w:t>
      </w:r>
      <w:r w:rsidRPr="00053304">
        <w:rPr>
          <w:rFonts w:ascii="Verdana" w:hAnsi="Verdana"/>
          <w:szCs w:val="16"/>
        </w:rPr>
        <w:t xml:space="preserve"> Sentencia de 21 de julio de 1989. Serie C No. 7, párrs. 24 y 25, y </w:t>
      </w:r>
      <w:r w:rsidR="00322F55" w:rsidRPr="00053304">
        <w:rPr>
          <w:rFonts w:ascii="Verdana" w:hAnsi="Verdana" w:cs="Arial"/>
          <w:i/>
          <w:iCs/>
          <w:szCs w:val="16"/>
        </w:rPr>
        <w:t>Caso Bis</w:t>
      </w:r>
      <w:r w:rsidR="00F35D47" w:rsidRPr="00053304">
        <w:rPr>
          <w:rFonts w:ascii="Verdana" w:hAnsi="Verdana" w:cs="Arial"/>
          <w:i/>
          <w:iCs/>
          <w:szCs w:val="16"/>
        </w:rPr>
        <w:t>so</w:t>
      </w:r>
      <w:r w:rsidR="00322F55" w:rsidRPr="00053304">
        <w:rPr>
          <w:rFonts w:ascii="Verdana" w:hAnsi="Verdana" w:cs="Arial"/>
          <w:i/>
          <w:iCs/>
          <w:szCs w:val="16"/>
        </w:rPr>
        <w:t>on y otro Vs. Trinidad y Tobago</w:t>
      </w:r>
      <w:r w:rsidR="00322F55" w:rsidRPr="00053304">
        <w:rPr>
          <w:rFonts w:ascii="Verdana" w:hAnsi="Verdana" w:cs="Arial"/>
          <w:szCs w:val="16"/>
        </w:rPr>
        <w:t>, párr. 53.</w:t>
      </w:r>
    </w:p>
  </w:footnote>
  <w:footnote w:id="276">
    <w:p w14:paraId="38BFED5B" w14:textId="77B13B5E"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Velásquez Rodríguez Vs. Honduras. Reparaciones y Costas, supra</w:t>
      </w:r>
      <w:r w:rsidRPr="00053304">
        <w:rPr>
          <w:rFonts w:ascii="Verdana" w:hAnsi="Verdana"/>
          <w:szCs w:val="16"/>
        </w:rPr>
        <w:t xml:space="preserve">, párr. 24, y </w:t>
      </w:r>
      <w:r w:rsidR="3BF92891" w:rsidRPr="00053304">
        <w:rPr>
          <w:rFonts w:ascii="Verdana" w:hAnsi="Verdana"/>
          <w:i/>
          <w:iCs/>
          <w:szCs w:val="16"/>
        </w:rPr>
        <w:t>Caso Bisso</w:t>
      </w:r>
      <w:r w:rsidR="00F35D47" w:rsidRPr="00053304">
        <w:rPr>
          <w:rFonts w:ascii="Verdana" w:hAnsi="Verdana"/>
          <w:i/>
          <w:iCs/>
          <w:szCs w:val="16"/>
        </w:rPr>
        <w:t>o</w:t>
      </w:r>
      <w:r w:rsidR="3BF92891" w:rsidRPr="00053304">
        <w:rPr>
          <w:rFonts w:ascii="Verdana" w:hAnsi="Verdana"/>
          <w:i/>
          <w:iCs/>
          <w:szCs w:val="16"/>
        </w:rPr>
        <w:t>n y otro Vs. Trinidad y Tobago, supra,</w:t>
      </w:r>
      <w:r w:rsidR="3BF92891" w:rsidRPr="00053304">
        <w:rPr>
          <w:rFonts w:ascii="Verdana" w:hAnsi="Verdana"/>
          <w:szCs w:val="16"/>
        </w:rPr>
        <w:t xml:space="preserve"> párr. 54</w:t>
      </w:r>
      <w:r w:rsidR="00322F55" w:rsidRPr="00053304">
        <w:rPr>
          <w:rFonts w:ascii="Verdana" w:hAnsi="Verdana" w:cs="Arial"/>
          <w:szCs w:val="16"/>
        </w:rPr>
        <w:t>.</w:t>
      </w:r>
    </w:p>
  </w:footnote>
  <w:footnote w:id="277">
    <w:p w14:paraId="360191DA" w14:textId="2695C2B6"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de la Masacre de Las Dos Erres Vs. Guatemala. Excepción Preliminar, Fondo, Reparaciones y Costas.</w:t>
      </w:r>
      <w:r w:rsidRPr="00053304">
        <w:rPr>
          <w:rFonts w:ascii="Verdana" w:hAnsi="Verdana"/>
          <w:szCs w:val="16"/>
        </w:rPr>
        <w:t xml:space="preserve"> Sentencia de 24 de noviembre de 2009. Serie C No. 211, párr. 226, </w:t>
      </w:r>
      <w:r w:rsidR="00322F55" w:rsidRPr="00053304">
        <w:rPr>
          <w:rFonts w:ascii="Verdana" w:hAnsi="Verdana"/>
          <w:szCs w:val="16"/>
        </w:rPr>
        <w:t xml:space="preserve">y </w:t>
      </w:r>
      <w:r w:rsidR="00322F55" w:rsidRPr="00053304">
        <w:rPr>
          <w:rFonts w:ascii="Verdana" w:hAnsi="Verdana" w:cs="Arial"/>
          <w:i/>
          <w:iCs/>
          <w:szCs w:val="16"/>
        </w:rPr>
        <w:t>Caso Dial y otro Vs. Trinidad y Toba</w:t>
      </w:r>
      <w:r w:rsidR="00F35D47" w:rsidRPr="00053304">
        <w:rPr>
          <w:rFonts w:ascii="Verdana" w:hAnsi="Verdana" w:cs="Arial"/>
          <w:i/>
          <w:iCs/>
          <w:szCs w:val="16"/>
        </w:rPr>
        <w:t>g</w:t>
      </w:r>
      <w:r w:rsidR="00322F55" w:rsidRPr="00053304">
        <w:rPr>
          <w:rFonts w:ascii="Verdana" w:hAnsi="Verdana" w:cs="Arial"/>
          <w:i/>
          <w:iCs/>
          <w:szCs w:val="16"/>
        </w:rPr>
        <w:t>o</w:t>
      </w:r>
      <w:r w:rsidR="00F35D47" w:rsidRPr="00053304">
        <w:rPr>
          <w:rFonts w:ascii="Verdana" w:hAnsi="Verdana" w:cs="Arial"/>
          <w:i/>
          <w:iCs/>
          <w:szCs w:val="16"/>
        </w:rPr>
        <w:t>, supra</w:t>
      </w:r>
      <w:r w:rsidR="00322F55" w:rsidRPr="00053304">
        <w:rPr>
          <w:rFonts w:ascii="Verdana" w:hAnsi="Verdana" w:cs="Arial"/>
          <w:szCs w:val="16"/>
        </w:rPr>
        <w:t>, párr. 81</w:t>
      </w:r>
      <w:r w:rsidRPr="00053304">
        <w:rPr>
          <w:rFonts w:ascii="Verdana" w:hAnsi="Verdana"/>
          <w:szCs w:val="16"/>
        </w:rPr>
        <w:t>.</w:t>
      </w:r>
    </w:p>
  </w:footnote>
  <w:footnote w:id="278">
    <w:p w14:paraId="75453135" w14:textId="06CF41F3"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Caso Ticona Estrada y otros Vs. Bolivia. Fondo, Reparaciones y Costas. </w:t>
      </w:r>
      <w:r w:rsidRPr="00053304">
        <w:rPr>
          <w:rFonts w:ascii="Verdana" w:hAnsi="Verdana"/>
          <w:szCs w:val="16"/>
        </w:rPr>
        <w:t>Sentencia de 27 de noviembre</w:t>
      </w:r>
      <w:r w:rsidRPr="00053304">
        <w:rPr>
          <w:rFonts w:ascii="Verdana" w:hAnsi="Verdana"/>
          <w:spacing w:val="1"/>
          <w:szCs w:val="16"/>
        </w:rPr>
        <w:t xml:space="preserve"> </w:t>
      </w:r>
      <w:r w:rsidRPr="00053304">
        <w:rPr>
          <w:rFonts w:ascii="Verdana" w:hAnsi="Verdana"/>
          <w:szCs w:val="16"/>
        </w:rPr>
        <w:t>de</w:t>
      </w:r>
      <w:r w:rsidRPr="00053304">
        <w:rPr>
          <w:rFonts w:ascii="Verdana" w:hAnsi="Verdana"/>
          <w:spacing w:val="-2"/>
          <w:szCs w:val="16"/>
        </w:rPr>
        <w:t xml:space="preserve"> </w:t>
      </w:r>
      <w:r w:rsidRPr="00053304">
        <w:rPr>
          <w:rFonts w:ascii="Verdana" w:hAnsi="Verdana"/>
          <w:szCs w:val="16"/>
        </w:rPr>
        <w:t>2008. Serie</w:t>
      </w:r>
      <w:r w:rsidRPr="00053304">
        <w:rPr>
          <w:rFonts w:ascii="Verdana" w:hAnsi="Verdana"/>
          <w:spacing w:val="-2"/>
          <w:szCs w:val="16"/>
        </w:rPr>
        <w:t xml:space="preserve"> </w:t>
      </w:r>
      <w:r w:rsidRPr="00053304">
        <w:rPr>
          <w:rFonts w:ascii="Verdana" w:hAnsi="Verdana"/>
          <w:szCs w:val="16"/>
        </w:rPr>
        <w:t>C</w:t>
      </w:r>
      <w:r w:rsidRPr="00053304">
        <w:rPr>
          <w:rFonts w:ascii="Verdana" w:hAnsi="Verdana"/>
          <w:spacing w:val="-2"/>
          <w:szCs w:val="16"/>
        </w:rPr>
        <w:t xml:space="preserve"> </w:t>
      </w:r>
      <w:r w:rsidRPr="00053304">
        <w:rPr>
          <w:rFonts w:ascii="Verdana" w:hAnsi="Verdana"/>
          <w:szCs w:val="16"/>
        </w:rPr>
        <w:t>No. 191, párr. 110,</w:t>
      </w:r>
      <w:r w:rsidRPr="00053304">
        <w:rPr>
          <w:rFonts w:ascii="Verdana" w:hAnsi="Verdana"/>
          <w:spacing w:val="-4"/>
          <w:szCs w:val="16"/>
        </w:rPr>
        <w:t xml:space="preserve"> </w:t>
      </w:r>
      <w:r w:rsidR="00322F55" w:rsidRPr="00053304">
        <w:rPr>
          <w:rFonts w:ascii="Verdana" w:hAnsi="Verdana"/>
          <w:szCs w:val="16"/>
        </w:rPr>
        <w:t xml:space="preserve">y </w:t>
      </w:r>
      <w:r w:rsidR="00322F55" w:rsidRPr="00053304">
        <w:rPr>
          <w:rFonts w:ascii="Verdana" w:hAnsi="Verdana" w:cs="Arial"/>
          <w:i/>
          <w:iCs/>
          <w:szCs w:val="16"/>
        </w:rPr>
        <w:t>Caso Dial y otro Vs. Trinidad y Tobago,</w:t>
      </w:r>
      <w:r w:rsidR="00322F55" w:rsidRPr="00053304">
        <w:rPr>
          <w:rFonts w:ascii="Verdana" w:hAnsi="Verdana" w:cs="Arial"/>
          <w:szCs w:val="16"/>
        </w:rPr>
        <w:t xml:space="preserve"> </w:t>
      </w:r>
      <w:r w:rsidR="00322F55" w:rsidRPr="00053304">
        <w:rPr>
          <w:rFonts w:ascii="Verdana" w:hAnsi="Verdana" w:cs="Arial"/>
          <w:i/>
          <w:iCs/>
          <w:szCs w:val="16"/>
        </w:rPr>
        <w:t>supra</w:t>
      </w:r>
      <w:r w:rsidR="00322F55" w:rsidRPr="00053304">
        <w:rPr>
          <w:rFonts w:ascii="Verdana" w:hAnsi="Verdana" w:cs="Arial"/>
          <w:szCs w:val="16"/>
        </w:rPr>
        <w:t>, párr. 152.</w:t>
      </w:r>
    </w:p>
  </w:footnote>
  <w:footnote w:id="279">
    <w:p w14:paraId="7A7DB65C" w14:textId="18C0B02E"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Caso Velásquez Rodríguez Vs. Honduras. Reparaciones y Costas, supra, </w:t>
      </w:r>
      <w:r w:rsidRPr="00053304">
        <w:rPr>
          <w:rFonts w:ascii="Verdana" w:hAnsi="Verdana"/>
          <w:szCs w:val="16"/>
        </w:rPr>
        <w:t xml:space="preserve">párrs. 25 y 26, </w:t>
      </w:r>
      <w:r w:rsidRPr="00053304">
        <w:rPr>
          <w:rFonts w:ascii="Verdana" w:hAnsi="Verdana"/>
          <w:i/>
          <w:iCs/>
          <w:szCs w:val="16"/>
        </w:rPr>
        <w:t>Caso Leguizamón Zaván y otros Vs. Paraguay.</w:t>
      </w:r>
      <w:r w:rsidRPr="00053304">
        <w:rPr>
          <w:rFonts w:ascii="Verdana" w:eastAsia="Verdana-Italic" w:hAnsi="Verdana" w:cs="Verdana-Italic"/>
          <w:i/>
          <w:iCs/>
          <w:szCs w:val="16"/>
        </w:rPr>
        <w:t xml:space="preserve"> </w:t>
      </w:r>
      <w:r w:rsidR="3BF92891" w:rsidRPr="00053304">
        <w:rPr>
          <w:rFonts w:ascii="Verdana" w:eastAsia="Verdana-Italic" w:hAnsi="Verdana" w:cs="Verdana-Italic"/>
          <w:i/>
          <w:iCs/>
          <w:szCs w:val="16"/>
        </w:rPr>
        <w:t>Fondo, Reparaciones y Costas.</w:t>
      </w:r>
      <w:r w:rsidR="3BF92891" w:rsidRPr="00053304">
        <w:rPr>
          <w:rFonts w:ascii="Verdana" w:eastAsia="Verdana Bold" w:hAnsi="Verdana" w:cs="Verdana Bold"/>
          <w:szCs w:val="16"/>
        </w:rPr>
        <w:t xml:space="preserve"> Sentencia de 15 de noviembre de 2020. Serie c no. 473, párr. 92</w:t>
      </w:r>
      <w:r w:rsidR="00F35D47" w:rsidRPr="00053304">
        <w:rPr>
          <w:rFonts w:ascii="Verdana" w:eastAsia="Verdana Bold" w:hAnsi="Verdana" w:cs="Verdana Bold"/>
          <w:szCs w:val="16"/>
        </w:rPr>
        <w:t xml:space="preserve">, y </w:t>
      </w:r>
      <w:r w:rsidR="00F35D47" w:rsidRPr="00053304">
        <w:rPr>
          <w:rFonts w:ascii="Verdana" w:eastAsia="Verdana Bold" w:hAnsi="Verdana" w:cs="Verdana Bold"/>
          <w:i/>
          <w:iCs/>
          <w:szCs w:val="16"/>
        </w:rPr>
        <w:t>Caso Baraona Bray Vs. Chile. Excepciones Preliminares, Fondo, Reparaciones y Costas</w:t>
      </w:r>
      <w:r w:rsidR="00F35D47" w:rsidRPr="00053304">
        <w:rPr>
          <w:rFonts w:ascii="Verdana" w:eastAsia="Verdana Bold" w:hAnsi="Verdana" w:cs="Verdana Bold"/>
          <w:szCs w:val="16"/>
        </w:rPr>
        <w:t>. Sentencia de 24 de noviembre de 2022. Serie C No. 481, párr. 157.</w:t>
      </w:r>
    </w:p>
  </w:footnote>
  <w:footnote w:id="280">
    <w:p w14:paraId="5C029217" w14:textId="116E6B08" w:rsidR="00706AF4" w:rsidRPr="00053304" w:rsidRDefault="00706AF4" w:rsidP="00053304">
      <w:pPr>
        <w:pStyle w:val="Textonotapie"/>
        <w:jc w:val="both"/>
        <w:rPr>
          <w:rFonts w:ascii="Verdana" w:hAnsi="Verdana"/>
          <w:szCs w:val="16"/>
          <w:lang w:val="es-ES"/>
        </w:rPr>
      </w:pPr>
      <w:r w:rsidRPr="00053304">
        <w:rPr>
          <w:rStyle w:val="Refdenotaalpie"/>
          <w:rFonts w:ascii="Verdana" w:hAnsi="Verdana"/>
          <w:szCs w:val="16"/>
          <w:lang w:val="es-ES"/>
        </w:rPr>
        <w:footnoteRef/>
      </w:r>
      <w:r w:rsidRPr="00053304">
        <w:rPr>
          <w:rFonts w:ascii="Verdana" w:hAnsi="Verdana"/>
          <w:szCs w:val="16"/>
          <w:lang w:val="es-ES"/>
        </w:rPr>
        <w:t xml:space="preserve"> </w:t>
      </w:r>
      <w:r w:rsidRPr="00053304">
        <w:rPr>
          <w:rFonts w:ascii="Verdana" w:hAnsi="Verdana"/>
          <w:szCs w:val="16"/>
          <w:lang w:val="es-ES_tradnl"/>
        </w:rPr>
        <w:tab/>
      </w:r>
      <w:r w:rsidRPr="00053304">
        <w:rPr>
          <w:rFonts w:ascii="Verdana" w:hAnsi="Verdana"/>
          <w:i/>
          <w:iCs/>
          <w:szCs w:val="16"/>
          <w:lang w:val="es-ES"/>
        </w:rPr>
        <w:t>Cfr</w:t>
      </w:r>
      <w:r w:rsidRPr="00053304">
        <w:rPr>
          <w:rFonts w:ascii="Verdana" w:hAnsi="Verdana"/>
          <w:szCs w:val="16"/>
          <w:lang w:val="es-ES"/>
        </w:rPr>
        <w:t xml:space="preserve">. </w:t>
      </w:r>
      <w:r w:rsidR="3BF92891" w:rsidRPr="00053304">
        <w:rPr>
          <w:rFonts w:ascii="Verdana" w:eastAsia="Verdana" w:hAnsi="Verdana" w:cs="Verdana"/>
          <w:i/>
          <w:iCs/>
          <w:szCs w:val="16"/>
          <w:lang w:val="es-ES"/>
        </w:rPr>
        <w:t xml:space="preserve">Caso Castillo Petruzzi y otros Vs. Perú. Fondo, Reparaciones y Costas, supra, </w:t>
      </w:r>
      <w:r w:rsidR="3BF92891" w:rsidRPr="00053304">
        <w:rPr>
          <w:rFonts w:ascii="Verdana" w:eastAsia="Verdana" w:hAnsi="Verdana" w:cs="Verdana"/>
          <w:szCs w:val="16"/>
          <w:lang w:val="es-ES"/>
        </w:rPr>
        <w:t xml:space="preserve">párr. 207; </w:t>
      </w:r>
      <w:r w:rsidRPr="00053304">
        <w:rPr>
          <w:rFonts w:ascii="Verdana" w:hAnsi="Verdana"/>
          <w:i/>
          <w:iCs/>
          <w:szCs w:val="16"/>
          <w:lang w:val="es-ES"/>
        </w:rPr>
        <w:t>Caso Durand y Ugarte</w:t>
      </w:r>
      <w:r w:rsidRPr="00053304">
        <w:rPr>
          <w:rFonts w:ascii="Verdana" w:hAnsi="Verdana"/>
          <w:szCs w:val="16"/>
          <w:lang w:val="es-ES"/>
        </w:rPr>
        <w:t xml:space="preserve">. Sentencia de 16 de agosto de 2000. Serie C. No. 68, párr. </w:t>
      </w:r>
      <w:r w:rsidRPr="00053304">
        <w:rPr>
          <w:rFonts w:ascii="Verdana" w:hAnsi="Verdana"/>
          <w:szCs w:val="16"/>
          <w:lang w:val="es-CR"/>
        </w:rPr>
        <w:t xml:space="preserve">137;  </w:t>
      </w:r>
      <w:r w:rsidR="3BF92891" w:rsidRPr="00053304">
        <w:rPr>
          <w:rFonts w:ascii="Verdana" w:eastAsia="Verdana" w:hAnsi="Verdana" w:cs="Verdana"/>
          <w:i/>
          <w:iCs/>
          <w:szCs w:val="16"/>
          <w:lang w:val="es-CR"/>
        </w:rPr>
        <w:t>Caso “Instituto de Reeducación del Menor” Vs. Paraguay. Excepciones Preliminares, Fondo, Reparaciones y Costas.</w:t>
      </w:r>
      <w:r w:rsidR="3BF92891" w:rsidRPr="00053304">
        <w:rPr>
          <w:rFonts w:ascii="Verdana" w:eastAsia="Verdana" w:hAnsi="Verdana" w:cs="Verdana"/>
          <w:szCs w:val="16"/>
          <w:lang w:val="es-CR"/>
        </w:rPr>
        <w:t xml:space="preserve"> Sentencia de 2 de septiembre de 2004. Serie C No. 112, párr. 206</w:t>
      </w:r>
      <w:r w:rsidR="00F35D47" w:rsidRPr="00053304">
        <w:rPr>
          <w:rFonts w:ascii="Verdana" w:hAnsi="Verdana"/>
          <w:szCs w:val="16"/>
          <w:lang w:val="es-CR"/>
        </w:rPr>
        <w:t xml:space="preserve">; </w:t>
      </w:r>
      <w:r w:rsidR="3BF92891" w:rsidRPr="00053304">
        <w:rPr>
          <w:rFonts w:ascii="Verdana" w:eastAsia="Verdana" w:hAnsi="Verdana" w:cs="Verdana"/>
          <w:i/>
          <w:iCs/>
          <w:szCs w:val="16"/>
          <w:lang w:val="es-CR"/>
        </w:rPr>
        <w:t xml:space="preserve">Caso “La Última Tentación de Cristo” (Olmedo Bustos y otros) Vs. Chile, supra, </w:t>
      </w:r>
      <w:r w:rsidR="3BF92891" w:rsidRPr="00053304">
        <w:rPr>
          <w:rFonts w:ascii="Verdana" w:eastAsia="Verdana" w:hAnsi="Verdana" w:cs="Verdana"/>
          <w:szCs w:val="16"/>
          <w:lang w:val="es-CR"/>
        </w:rPr>
        <w:t xml:space="preserve">párr. </w:t>
      </w:r>
      <w:r w:rsidR="3BF92891" w:rsidRPr="00053304">
        <w:rPr>
          <w:rFonts w:ascii="Verdana" w:hAnsi="Verdana"/>
          <w:szCs w:val="16"/>
          <w:lang w:val="es-CR"/>
        </w:rPr>
        <w:t>85</w:t>
      </w:r>
      <w:r w:rsidR="00F35D47" w:rsidRPr="00053304">
        <w:rPr>
          <w:rFonts w:ascii="Verdana" w:hAnsi="Verdana"/>
          <w:szCs w:val="16"/>
          <w:lang w:val="es-CR"/>
        </w:rPr>
        <w:t xml:space="preserve">, y </w:t>
      </w:r>
      <w:r w:rsidR="00F35D47" w:rsidRPr="00053304">
        <w:rPr>
          <w:rFonts w:ascii="Verdana" w:hAnsi="Verdana"/>
          <w:i/>
          <w:iCs/>
          <w:szCs w:val="16"/>
          <w:lang w:val="es-CR"/>
        </w:rPr>
        <w:t>Caso Tzompaxtle Tecpile y otros Vs. México</w:t>
      </w:r>
      <w:r w:rsidR="00F35D47" w:rsidRPr="00053304">
        <w:rPr>
          <w:rFonts w:ascii="Verdana" w:hAnsi="Verdana"/>
          <w:szCs w:val="16"/>
          <w:lang w:val="es-CR"/>
        </w:rPr>
        <w:t xml:space="preserve">, </w:t>
      </w:r>
      <w:r w:rsidR="00F35D47" w:rsidRPr="00053304">
        <w:rPr>
          <w:rFonts w:ascii="Verdana" w:hAnsi="Verdana"/>
          <w:i/>
          <w:iCs/>
          <w:szCs w:val="16"/>
          <w:lang w:val="es-CR"/>
        </w:rPr>
        <w:t>supra</w:t>
      </w:r>
      <w:r w:rsidR="00F35D47" w:rsidRPr="00053304">
        <w:rPr>
          <w:rFonts w:ascii="Verdana" w:hAnsi="Verdana"/>
          <w:szCs w:val="16"/>
          <w:lang w:val="es-CR"/>
        </w:rPr>
        <w:t>, párr. 215.</w:t>
      </w:r>
    </w:p>
  </w:footnote>
  <w:footnote w:id="281">
    <w:p w14:paraId="69AB5D29" w14:textId="0861D943" w:rsidR="00706AF4" w:rsidRPr="00053304" w:rsidRDefault="00706AF4" w:rsidP="00053304">
      <w:pPr>
        <w:pStyle w:val="Textonotapie"/>
        <w:jc w:val="both"/>
        <w:rPr>
          <w:rFonts w:ascii="Verdana" w:hAnsi="Verdana"/>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w:t>
      </w:r>
      <w:r w:rsidRPr="00053304">
        <w:rPr>
          <w:rFonts w:ascii="Verdana" w:hAnsi="Verdana"/>
          <w:szCs w:val="16"/>
        </w:rPr>
        <w:t xml:space="preserve">. </w:t>
      </w:r>
      <w:r w:rsidRPr="00053304">
        <w:rPr>
          <w:rFonts w:ascii="Verdana" w:hAnsi="Verdana"/>
          <w:i/>
          <w:iCs/>
          <w:szCs w:val="16"/>
        </w:rPr>
        <w:t>Caso Extrabajadores Organismo Judicial Vs. Guatemala.</w:t>
      </w:r>
      <w:r w:rsidRPr="00053304">
        <w:rPr>
          <w:rFonts w:ascii="Verdana" w:eastAsia="Verdana" w:hAnsi="Verdana" w:cs="Verdana"/>
          <w:i/>
          <w:iCs/>
          <w:szCs w:val="16"/>
        </w:rPr>
        <w:t xml:space="preserve"> </w:t>
      </w:r>
      <w:r w:rsidR="3BF92891" w:rsidRPr="00053304">
        <w:rPr>
          <w:rFonts w:ascii="Verdana" w:eastAsia="Verdana" w:hAnsi="Verdana" w:cs="Verdana"/>
          <w:i/>
          <w:iCs/>
          <w:szCs w:val="16"/>
        </w:rPr>
        <w:t xml:space="preserve">Excepciones Preliminares, Fondo y Reparaciones. </w:t>
      </w:r>
      <w:r w:rsidR="3BF92891" w:rsidRPr="00053304">
        <w:rPr>
          <w:rFonts w:ascii="Verdana" w:eastAsia="Verdana" w:hAnsi="Verdana" w:cs="Verdana"/>
          <w:szCs w:val="16"/>
        </w:rPr>
        <w:t>Sentencia de 17 de noviembre de 2021. Serie C No. 445</w:t>
      </w:r>
      <w:r w:rsidRPr="00053304">
        <w:rPr>
          <w:rFonts w:ascii="Verdana" w:hAnsi="Verdana"/>
          <w:szCs w:val="16"/>
        </w:rPr>
        <w:t>, párr.144</w:t>
      </w:r>
      <w:r w:rsidR="00F35D47" w:rsidRPr="00053304">
        <w:rPr>
          <w:rFonts w:ascii="Verdana" w:hAnsi="Verdana"/>
          <w:szCs w:val="16"/>
        </w:rPr>
        <w:t xml:space="preserve">; y </w:t>
      </w:r>
      <w:r w:rsidR="00F35D47" w:rsidRPr="00053304">
        <w:rPr>
          <w:rFonts w:ascii="Verdana" w:hAnsi="Verdana"/>
          <w:i/>
          <w:iCs/>
          <w:szCs w:val="16"/>
        </w:rPr>
        <w:t>Caso de los “Niños de la Calle” (Villagrán Morales y otros) Vs. Guatemala. Reparaciones y Costas</w:t>
      </w:r>
      <w:r w:rsidR="00F35D47" w:rsidRPr="00053304">
        <w:rPr>
          <w:rFonts w:ascii="Verdana" w:hAnsi="Verdana"/>
          <w:szCs w:val="16"/>
        </w:rPr>
        <w:t xml:space="preserve">. Sentencia de 26 de mayo de 2001. Serie C No. 77, párr. 98, </w:t>
      </w:r>
      <w:r w:rsidR="00F35D47" w:rsidRPr="00053304">
        <w:rPr>
          <w:rFonts w:ascii="Verdana" w:hAnsi="Verdana"/>
          <w:szCs w:val="16"/>
          <w:lang w:val="es-CR"/>
        </w:rPr>
        <w:t xml:space="preserve">y </w:t>
      </w:r>
      <w:r w:rsidR="00F35D47" w:rsidRPr="00053304">
        <w:rPr>
          <w:rFonts w:ascii="Verdana" w:hAnsi="Verdana"/>
          <w:i/>
          <w:iCs/>
          <w:szCs w:val="16"/>
          <w:lang w:val="es-CR"/>
        </w:rPr>
        <w:t>Caso Tzompaxtle Tecpile y otros Vs. México</w:t>
      </w:r>
      <w:r w:rsidR="00F35D47" w:rsidRPr="00053304">
        <w:rPr>
          <w:rFonts w:ascii="Verdana" w:hAnsi="Verdana"/>
          <w:szCs w:val="16"/>
          <w:lang w:val="es-CR"/>
        </w:rPr>
        <w:t xml:space="preserve">, </w:t>
      </w:r>
      <w:r w:rsidR="00F35D47" w:rsidRPr="00053304">
        <w:rPr>
          <w:rFonts w:ascii="Verdana" w:hAnsi="Verdana"/>
          <w:i/>
          <w:iCs/>
          <w:szCs w:val="16"/>
          <w:lang w:val="es-CR"/>
        </w:rPr>
        <w:t>supra</w:t>
      </w:r>
      <w:r w:rsidR="00F35D47" w:rsidRPr="00053304">
        <w:rPr>
          <w:rFonts w:ascii="Verdana" w:hAnsi="Verdana"/>
          <w:szCs w:val="16"/>
          <w:lang w:val="es-CR"/>
        </w:rPr>
        <w:t>, párr. 217.</w:t>
      </w:r>
    </w:p>
  </w:footnote>
  <w:footnote w:id="282">
    <w:p w14:paraId="431341EA" w14:textId="21FE1468" w:rsidR="00F04487" w:rsidRPr="00053304" w:rsidRDefault="00F04487"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szCs w:val="16"/>
        </w:rPr>
        <w:t>Cfr. Caso Cantoral Benavides Vs. Perú. Reparaciones y Costas</w:t>
      </w:r>
      <w:r w:rsidRPr="00053304">
        <w:rPr>
          <w:rFonts w:ascii="Verdana" w:hAnsi="Verdana"/>
          <w:szCs w:val="16"/>
        </w:rPr>
        <w:t>. Sentencia de 3 de diciembre de 2001. Serie C</w:t>
      </w:r>
      <w:r w:rsidRPr="00053304">
        <w:rPr>
          <w:rFonts w:ascii="Verdana" w:hAnsi="Verdana"/>
          <w:spacing w:val="1"/>
          <w:szCs w:val="16"/>
        </w:rPr>
        <w:t xml:space="preserve"> </w:t>
      </w:r>
      <w:r w:rsidRPr="00053304">
        <w:rPr>
          <w:rFonts w:ascii="Verdana" w:hAnsi="Verdana"/>
          <w:szCs w:val="16"/>
        </w:rPr>
        <w:t>No.</w:t>
      </w:r>
      <w:r w:rsidRPr="00053304">
        <w:rPr>
          <w:rFonts w:ascii="Verdana" w:hAnsi="Verdana"/>
          <w:spacing w:val="-4"/>
          <w:szCs w:val="16"/>
        </w:rPr>
        <w:t xml:space="preserve"> </w:t>
      </w:r>
      <w:r w:rsidRPr="00053304">
        <w:rPr>
          <w:rFonts w:ascii="Verdana" w:hAnsi="Verdana"/>
          <w:szCs w:val="16"/>
        </w:rPr>
        <w:t>88</w:t>
      </w:r>
      <w:r w:rsidRPr="00053304">
        <w:rPr>
          <w:rFonts w:ascii="Verdana" w:hAnsi="Verdana"/>
          <w:i/>
          <w:szCs w:val="16"/>
        </w:rPr>
        <w:t>,</w:t>
      </w:r>
      <w:r w:rsidRPr="00053304">
        <w:rPr>
          <w:rFonts w:ascii="Verdana" w:hAnsi="Verdana"/>
          <w:i/>
          <w:spacing w:val="-3"/>
          <w:szCs w:val="16"/>
        </w:rPr>
        <w:t xml:space="preserve"> </w:t>
      </w:r>
      <w:r w:rsidRPr="00053304">
        <w:rPr>
          <w:rFonts w:ascii="Verdana" w:hAnsi="Verdana"/>
          <w:szCs w:val="16"/>
        </w:rPr>
        <w:t>párr.</w:t>
      </w:r>
      <w:r w:rsidRPr="00053304">
        <w:rPr>
          <w:rFonts w:ascii="Verdana" w:hAnsi="Verdana"/>
          <w:spacing w:val="-3"/>
          <w:szCs w:val="16"/>
        </w:rPr>
        <w:t xml:space="preserve"> </w:t>
      </w:r>
      <w:r w:rsidRPr="00053304">
        <w:rPr>
          <w:rFonts w:ascii="Verdana" w:hAnsi="Verdana"/>
          <w:szCs w:val="16"/>
        </w:rPr>
        <w:t xml:space="preserve">79, y </w:t>
      </w:r>
      <w:r w:rsidR="005F1416" w:rsidRPr="00053304">
        <w:rPr>
          <w:rFonts w:ascii="Verdana" w:eastAsia="Verdana Bold" w:hAnsi="Verdana" w:cs="Verdana Bold"/>
          <w:i/>
          <w:iCs/>
          <w:szCs w:val="16"/>
        </w:rPr>
        <w:t>Caso Baraona Bray Vs. Chile,</w:t>
      </w:r>
      <w:r w:rsidRPr="00053304">
        <w:rPr>
          <w:rFonts w:ascii="Verdana" w:hAnsi="Verdana" w:cs="Arial"/>
          <w:szCs w:val="16"/>
        </w:rPr>
        <w:t xml:space="preserve"> </w:t>
      </w:r>
      <w:r w:rsidRPr="00053304">
        <w:rPr>
          <w:rFonts w:ascii="Verdana" w:hAnsi="Verdana" w:cs="Arial"/>
          <w:i/>
          <w:iCs/>
          <w:szCs w:val="16"/>
        </w:rPr>
        <w:t>supra</w:t>
      </w:r>
      <w:r w:rsidRPr="00053304">
        <w:rPr>
          <w:rFonts w:ascii="Verdana" w:hAnsi="Verdana" w:cs="Arial"/>
          <w:szCs w:val="16"/>
        </w:rPr>
        <w:t>, párr</w:t>
      </w:r>
      <w:r w:rsidR="001D5310" w:rsidRPr="00053304">
        <w:rPr>
          <w:rFonts w:ascii="Verdana" w:hAnsi="Verdana" w:cs="Arial"/>
          <w:szCs w:val="16"/>
        </w:rPr>
        <w:t>. 169</w:t>
      </w:r>
      <w:r w:rsidRPr="00053304">
        <w:rPr>
          <w:rFonts w:ascii="Verdana" w:hAnsi="Verdana"/>
          <w:szCs w:val="16"/>
        </w:rPr>
        <w:t>.</w:t>
      </w:r>
    </w:p>
  </w:footnote>
  <w:footnote w:id="283">
    <w:p w14:paraId="34C0DC56" w14:textId="3D972299" w:rsidR="008F34C2" w:rsidRPr="00053304" w:rsidRDefault="008F34C2" w:rsidP="00053304">
      <w:pPr>
        <w:pStyle w:val="Textonotapie"/>
        <w:jc w:val="both"/>
        <w:rPr>
          <w:rFonts w:ascii="Verdana" w:hAnsi="Verdana"/>
          <w:szCs w:val="16"/>
          <w:lang w:val="es-MX"/>
        </w:rPr>
      </w:pPr>
      <w:r w:rsidRPr="00053304">
        <w:rPr>
          <w:rStyle w:val="Refdenotaalpie"/>
          <w:rFonts w:ascii="Verdana" w:eastAsia="MS Mincho"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Caso de la Masacre de Las Dos Erres Vs. Guatemala, supra, </w:t>
      </w:r>
      <w:r w:rsidRPr="00053304">
        <w:rPr>
          <w:rFonts w:ascii="Verdana" w:hAnsi="Verdana"/>
          <w:szCs w:val="16"/>
        </w:rPr>
        <w:t xml:space="preserve">párr. 270; </w:t>
      </w:r>
      <w:r w:rsidRPr="00053304">
        <w:rPr>
          <w:rFonts w:ascii="Verdana" w:hAnsi="Verdana"/>
          <w:i/>
          <w:iCs/>
          <w:szCs w:val="16"/>
        </w:rPr>
        <w:t xml:space="preserve">Caso Poblete Vilches y otros Vs. Chile. Fondo, Reparaciones y Costas. </w:t>
      </w:r>
      <w:r w:rsidRPr="00053304">
        <w:rPr>
          <w:rFonts w:ascii="Verdana" w:hAnsi="Verdana"/>
          <w:szCs w:val="16"/>
        </w:rPr>
        <w:t xml:space="preserve">Sentencia de 8 de marzo de 2018. Serie C No. 349, párr. 231, y </w:t>
      </w:r>
      <w:r w:rsidRPr="00053304">
        <w:rPr>
          <w:rFonts w:ascii="Verdana" w:hAnsi="Verdana"/>
          <w:i/>
          <w:iCs/>
          <w:szCs w:val="16"/>
          <w:lang w:val="es-MX"/>
        </w:rPr>
        <w:t>Caso Garzón Guzmán y otros Vs. Ecuador.</w:t>
      </w:r>
      <w:r w:rsidRPr="00053304">
        <w:rPr>
          <w:rFonts w:ascii="Verdana" w:eastAsia="Verdana" w:hAnsi="Verdana" w:cs="Verdana"/>
          <w:i/>
          <w:iCs/>
          <w:szCs w:val="16"/>
          <w:lang w:val="es-MX"/>
        </w:rPr>
        <w:t xml:space="preserve"> </w:t>
      </w:r>
      <w:r w:rsidR="3BF92891" w:rsidRPr="00053304">
        <w:rPr>
          <w:rFonts w:ascii="Verdana" w:eastAsia="Verdana" w:hAnsi="Verdana" w:cs="Verdana"/>
          <w:i/>
          <w:iCs/>
          <w:szCs w:val="16"/>
          <w:lang w:val="es-MX"/>
        </w:rPr>
        <w:t>Fondo, Reparaciones y Costas.</w:t>
      </w:r>
      <w:r w:rsidR="3BF92891" w:rsidRPr="00053304">
        <w:rPr>
          <w:rFonts w:ascii="Verdana" w:eastAsia="Verdana" w:hAnsi="Verdana" w:cs="Verdana"/>
          <w:szCs w:val="16"/>
          <w:lang w:val="es-MX"/>
        </w:rPr>
        <w:t xml:space="preserve"> Sentencia de 1 de septiembre de 2021. Serie C No. 434</w:t>
      </w:r>
      <w:r w:rsidRPr="00053304">
        <w:rPr>
          <w:rFonts w:ascii="Verdana" w:hAnsi="Verdana"/>
          <w:szCs w:val="16"/>
        </w:rPr>
        <w:t>, párr. 114.</w:t>
      </w:r>
    </w:p>
  </w:footnote>
  <w:footnote w:id="284">
    <w:p w14:paraId="65D1B1FF" w14:textId="576544C2" w:rsidR="008F34C2" w:rsidRPr="00053304" w:rsidRDefault="008F34C2" w:rsidP="00053304">
      <w:pPr>
        <w:pStyle w:val="Textonotapie"/>
        <w:jc w:val="both"/>
        <w:rPr>
          <w:rFonts w:ascii="Verdana" w:hAnsi="Verdana"/>
          <w:i/>
          <w:iCs/>
          <w:szCs w:val="16"/>
          <w:lang w:val="es-MX"/>
        </w:rPr>
      </w:pPr>
      <w:r w:rsidRPr="00053304">
        <w:rPr>
          <w:rStyle w:val="Refdenotaalpie"/>
          <w:rFonts w:ascii="Verdana" w:eastAsia="MS Mincho" w:hAnsi="Verdana"/>
          <w:szCs w:val="16"/>
        </w:rPr>
        <w:footnoteRef/>
      </w:r>
      <w:r w:rsidRPr="00053304">
        <w:rPr>
          <w:rFonts w:ascii="Verdana" w:hAnsi="Verdana"/>
          <w:szCs w:val="16"/>
        </w:rPr>
        <w:t xml:space="preserve"> </w:t>
      </w:r>
      <w:r w:rsidRPr="00053304">
        <w:rPr>
          <w:rFonts w:ascii="Verdana" w:hAnsi="Verdana"/>
          <w:szCs w:val="16"/>
          <w:lang w:val="es-MX"/>
        </w:rPr>
        <w:t xml:space="preserve"> </w:t>
      </w:r>
      <w:r w:rsidRPr="00053304">
        <w:rPr>
          <w:rFonts w:ascii="Verdana" w:hAnsi="Verdana"/>
          <w:szCs w:val="16"/>
          <w:lang w:val="es-MX"/>
        </w:rPr>
        <w:tab/>
      </w:r>
      <w:r w:rsidRPr="00053304">
        <w:rPr>
          <w:rFonts w:ascii="Verdana" w:hAnsi="Verdana"/>
          <w:i/>
          <w:iCs/>
          <w:szCs w:val="16"/>
          <w:lang w:val="es-MX"/>
        </w:rPr>
        <w:t xml:space="preserve">Cfr. </w:t>
      </w:r>
      <w:r w:rsidRPr="00053304">
        <w:rPr>
          <w:rFonts w:ascii="Verdana" w:hAnsi="Verdana" w:cs="Arial"/>
          <w:i/>
          <w:iCs/>
          <w:szCs w:val="16"/>
        </w:rPr>
        <w:t>Caso Rosendo Cantú y otra Vs. México.</w:t>
      </w:r>
      <w:r w:rsidRPr="00053304">
        <w:rPr>
          <w:rFonts w:ascii="Verdana" w:eastAsia="Verdana" w:hAnsi="Verdana" w:cs="Verdana"/>
          <w:i/>
          <w:iCs/>
          <w:szCs w:val="16"/>
        </w:rPr>
        <w:t xml:space="preserve"> </w:t>
      </w:r>
      <w:r w:rsidR="3BF92891" w:rsidRPr="00053304">
        <w:rPr>
          <w:rFonts w:ascii="Verdana" w:eastAsia="Verdana" w:hAnsi="Verdana" w:cs="Verdana"/>
          <w:i/>
          <w:iCs/>
          <w:szCs w:val="16"/>
        </w:rPr>
        <w:t>Excepción Preliminar, Fondo, Reparaciones y Costas.</w:t>
      </w:r>
      <w:r w:rsidR="3BF92891" w:rsidRPr="00053304">
        <w:rPr>
          <w:rFonts w:ascii="Verdana" w:eastAsia="Verdana" w:hAnsi="Verdana" w:cs="Verdana"/>
          <w:szCs w:val="16"/>
        </w:rPr>
        <w:t xml:space="preserve"> Sentencia de 31 de agosto de 2010. Serie C No. 216</w:t>
      </w:r>
      <w:r w:rsidRPr="00053304">
        <w:rPr>
          <w:rFonts w:ascii="Verdana" w:hAnsi="Verdana"/>
          <w:szCs w:val="16"/>
          <w:lang w:val="es-MX"/>
        </w:rPr>
        <w:t>,</w:t>
      </w:r>
      <w:r w:rsidRPr="00053304">
        <w:rPr>
          <w:rFonts w:ascii="Verdana" w:hAnsi="Verdana"/>
          <w:i/>
          <w:iCs/>
          <w:szCs w:val="16"/>
          <w:lang w:val="es-MX"/>
        </w:rPr>
        <w:t xml:space="preserve"> </w:t>
      </w:r>
      <w:r w:rsidRPr="00053304">
        <w:rPr>
          <w:rFonts w:ascii="Verdana" w:hAnsi="Verdana"/>
          <w:szCs w:val="16"/>
          <w:lang w:val="es-MX"/>
        </w:rPr>
        <w:t xml:space="preserve">párr. 253, y </w:t>
      </w:r>
      <w:r w:rsidRPr="00053304">
        <w:rPr>
          <w:rFonts w:ascii="Verdana" w:hAnsi="Verdana"/>
          <w:i/>
          <w:iCs/>
          <w:szCs w:val="16"/>
          <w:lang w:val="es-MX"/>
        </w:rPr>
        <w:t>Caso Garzón Guzmán y otros Vs. Ecuador</w:t>
      </w:r>
      <w:r w:rsidRPr="00053304">
        <w:rPr>
          <w:rFonts w:ascii="Verdana" w:hAnsi="Verdana" w:cs="Arial"/>
          <w:i/>
          <w:iCs/>
          <w:szCs w:val="16"/>
        </w:rPr>
        <w:t>, supra,</w:t>
      </w:r>
      <w:r w:rsidRPr="00053304">
        <w:rPr>
          <w:rFonts w:ascii="Verdana" w:hAnsi="Verdana" w:cs="Arial"/>
          <w:szCs w:val="16"/>
        </w:rPr>
        <w:t xml:space="preserve"> párr. 114.</w:t>
      </w:r>
    </w:p>
    <w:p w14:paraId="38A66CE9" w14:textId="77777777" w:rsidR="008F34C2" w:rsidRPr="00053304" w:rsidRDefault="008F34C2" w:rsidP="00053304">
      <w:pPr>
        <w:pStyle w:val="Textonotapie"/>
        <w:jc w:val="both"/>
        <w:rPr>
          <w:rFonts w:ascii="Verdana" w:hAnsi="Verdana"/>
          <w:szCs w:val="16"/>
          <w:lang w:val="es-MX"/>
        </w:rPr>
      </w:pPr>
    </w:p>
  </w:footnote>
  <w:footnote w:id="285">
    <w:p w14:paraId="61EFA07C" w14:textId="13CF88C2" w:rsidR="00D60C98" w:rsidRPr="00053304" w:rsidRDefault="00D60C9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00EF5E12" w:rsidRPr="00053304">
        <w:rPr>
          <w:rFonts w:ascii="Verdana" w:hAnsi="Verdana"/>
          <w:szCs w:val="16"/>
          <w:lang w:val="es-ES"/>
        </w:rPr>
        <w:t>Indicaron que ese monto era en razón de su actividad comercial en la crianza y engorda de ganado mayor y de su panadería, ha dejado de percibir durante ese tiempo que permaneció en la prisión. Presentaron estados de cuenta, autos, declaraciones, nota: se anexan constancias de comprobantes que sirven de referencias para la proyección económica Referentes Económicos de Daniel García en 2002 (expediente de prueba, folios 23226 y siguientes).</w:t>
      </w:r>
    </w:p>
  </w:footnote>
  <w:footnote w:id="286">
    <w:p w14:paraId="1514602E" w14:textId="6A171E1F" w:rsidR="00EF5E12" w:rsidRPr="00053304" w:rsidRDefault="00EF5E12"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 xml:space="preserve">Indicaron que ese monto era </w:t>
      </w:r>
      <w:r w:rsidR="00E726F9" w:rsidRPr="00053304">
        <w:rPr>
          <w:rFonts w:ascii="Verdana" w:hAnsi="Verdana"/>
          <w:szCs w:val="16"/>
          <w:lang w:val="es-ES"/>
        </w:rPr>
        <w:t>debido a</w:t>
      </w:r>
      <w:r w:rsidRPr="00053304">
        <w:rPr>
          <w:rFonts w:ascii="Verdana" w:hAnsi="Verdana"/>
          <w:szCs w:val="16"/>
          <w:lang w:val="es-ES"/>
        </w:rPr>
        <w:t xml:space="preserve"> su actividad como representante sindical, donde obtenía la cantidad de 700 pesos diarios, ha dejado de percibir durante ese tiempo que permaneció en la prisión.</w:t>
      </w:r>
    </w:p>
  </w:footnote>
  <w:footnote w:id="287">
    <w:p w14:paraId="5B9C6D88" w14:textId="26FE1A25" w:rsidR="008731C2" w:rsidRPr="00053304" w:rsidRDefault="008731C2"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Indicaron que las afectaciones a la familia de Daniel García, se vieron en la necesidad de vender parte de sus bienes para poder cubrir los gastos que implicaba el proceso judicial, y hacer esfuerzos económicos para poder cubrir los gastos de bienes básicos para mantener a los hijos de Daniel y subsistir dentro del penal.</w:t>
      </w:r>
    </w:p>
  </w:footnote>
  <w:footnote w:id="288">
    <w:p w14:paraId="299B1DB8" w14:textId="20B741E6" w:rsidR="00455A78" w:rsidRPr="00053304" w:rsidRDefault="00455A7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008F475D" w:rsidRPr="00053304">
        <w:rPr>
          <w:rFonts w:ascii="Verdana" w:hAnsi="Verdana"/>
          <w:szCs w:val="16"/>
          <w:lang w:val="es-ES"/>
        </w:rPr>
        <w:t>Sostuvieron que lo anterior es que en razón de que a partir de la ilegal privación de la libertad de la cual fueron objeto las presuntas víctimas, se generaron incumplimientos en obligaciones fiscales que finalmente no pudieron ser cubiertos durante todo el tiempo que ilegalmente se encontraron privados preventivamente de su libertad. De modo que tales incumplimientos (con sus accesorios, recargos y actualizaciones) obedecen al efecto perjudicial que generó la privación de la libertad, pues se les coartó la posibilidad de poder continuar con sus vidas percibiendo los efectos patrimoniales que su actividad económica les permita tener para poder cumplir con dichas obligaciones.</w:t>
      </w:r>
    </w:p>
  </w:footnote>
  <w:footnote w:id="289">
    <w:p w14:paraId="133B8D31" w14:textId="51B48722"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szCs w:val="16"/>
        </w:rPr>
        <w:t>Cfr.</w:t>
      </w:r>
      <w:r w:rsidRPr="00053304">
        <w:rPr>
          <w:rFonts w:ascii="Verdana" w:hAnsi="Verdana"/>
          <w:i/>
          <w:spacing w:val="8"/>
          <w:szCs w:val="16"/>
        </w:rPr>
        <w:t xml:space="preserve"> </w:t>
      </w:r>
      <w:r w:rsidRPr="00053304">
        <w:rPr>
          <w:rFonts w:ascii="Verdana" w:hAnsi="Verdana"/>
          <w:i/>
          <w:szCs w:val="16"/>
        </w:rPr>
        <w:t>Caso</w:t>
      </w:r>
      <w:r w:rsidRPr="00053304">
        <w:rPr>
          <w:rFonts w:ascii="Verdana" w:hAnsi="Verdana"/>
          <w:i/>
          <w:spacing w:val="10"/>
          <w:szCs w:val="16"/>
        </w:rPr>
        <w:t xml:space="preserve"> </w:t>
      </w:r>
      <w:r w:rsidRPr="00053304">
        <w:rPr>
          <w:rFonts w:ascii="Verdana" w:hAnsi="Verdana"/>
          <w:i/>
          <w:szCs w:val="16"/>
        </w:rPr>
        <w:t>Bámaca</w:t>
      </w:r>
      <w:r w:rsidRPr="00053304">
        <w:rPr>
          <w:rFonts w:ascii="Verdana" w:hAnsi="Verdana"/>
          <w:i/>
          <w:spacing w:val="6"/>
          <w:szCs w:val="16"/>
        </w:rPr>
        <w:t xml:space="preserve"> </w:t>
      </w:r>
      <w:r w:rsidRPr="00053304">
        <w:rPr>
          <w:rFonts w:ascii="Verdana" w:hAnsi="Verdana"/>
          <w:i/>
          <w:szCs w:val="16"/>
        </w:rPr>
        <w:t>Velásquez</w:t>
      </w:r>
      <w:r w:rsidRPr="00053304">
        <w:rPr>
          <w:rFonts w:ascii="Verdana" w:hAnsi="Verdana"/>
          <w:i/>
          <w:spacing w:val="8"/>
          <w:szCs w:val="16"/>
        </w:rPr>
        <w:t xml:space="preserve"> </w:t>
      </w:r>
      <w:r w:rsidRPr="00053304">
        <w:rPr>
          <w:rFonts w:ascii="Verdana" w:hAnsi="Verdana"/>
          <w:i/>
          <w:szCs w:val="16"/>
        </w:rPr>
        <w:t>Vs.</w:t>
      </w:r>
      <w:r w:rsidRPr="00053304">
        <w:rPr>
          <w:rFonts w:ascii="Verdana" w:hAnsi="Verdana"/>
          <w:i/>
          <w:spacing w:val="9"/>
          <w:szCs w:val="16"/>
        </w:rPr>
        <w:t xml:space="preserve"> </w:t>
      </w:r>
      <w:r w:rsidRPr="00053304">
        <w:rPr>
          <w:rFonts w:ascii="Verdana" w:hAnsi="Verdana"/>
          <w:i/>
          <w:szCs w:val="16"/>
        </w:rPr>
        <w:t>Guatemala.</w:t>
      </w:r>
      <w:r w:rsidRPr="00053304">
        <w:rPr>
          <w:rFonts w:ascii="Verdana" w:hAnsi="Verdana"/>
          <w:i/>
          <w:spacing w:val="8"/>
          <w:szCs w:val="16"/>
        </w:rPr>
        <w:t xml:space="preserve"> </w:t>
      </w:r>
      <w:r w:rsidRPr="00053304">
        <w:rPr>
          <w:rFonts w:ascii="Verdana" w:hAnsi="Verdana"/>
          <w:i/>
          <w:szCs w:val="16"/>
        </w:rPr>
        <w:t>Reparaciones</w:t>
      </w:r>
      <w:r w:rsidRPr="00053304">
        <w:rPr>
          <w:rFonts w:ascii="Verdana" w:hAnsi="Verdana"/>
          <w:i/>
          <w:spacing w:val="8"/>
          <w:szCs w:val="16"/>
        </w:rPr>
        <w:t xml:space="preserve"> </w:t>
      </w:r>
      <w:r w:rsidRPr="00053304">
        <w:rPr>
          <w:rFonts w:ascii="Verdana" w:hAnsi="Verdana"/>
          <w:i/>
          <w:szCs w:val="16"/>
        </w:rPr>
        <w:t>y</w:t>
      </w:r>
      <w:r w:rsidRPr="00053304">
        <w:rPr>
          <w:rFonts w:ascii="Verdana" w:hAnsi="Verdana"/>
          <w:i/>
          <w:spacing w:val="10"/>
          <w:szCs w:val="16"/>
        </w:rPr>
        <w:t xml:space="preserve"> </w:t>
      </w:r>
      <w:r w:rsidRPr="00053304">
        <w:rPr>
          <w:rFonts w:ascii="Verdana" w:hAnsi="Verdana"/>
          <w:i/>
          <w:szCs w:val="16"/>
        </w:rPr>
        <w:t>Costas</w:t>
      </w:r>
      <w:r w:rsidRPr="00053304">
        <w:rPr>
          <w:rFonts w:ascii="Verdana" w:hAnsi="Verdana"/>
          <w:szCs w:val="16"/>
        </w:rPr>
        <w:t>.</w:t>
      </w:r>
      <w:r w:rsidRPr="00053304">
        <w:rPr>
          <w:rFonts w:ascii="Verdana" w:hAnsi="Verdana"/>
          <w:spacing w:val="8"/>
          <w:szCs w:val="16"/>
        </w:rPr>
        <w:t xml:space="preserve"> </w:t>
      </w:r>
      <w:r w:rsidRPr="00053304">
        <w:rPr>
          <w:rFonts w:ascii="Verdana" w:hAnsi="Verdana"/>
          <w:szCs w:val="16"/>
        </w:rPr>
        <w:t>Sentencia</w:t>
      </w:r>
      <w:r w:rsidRPr="00053304">
        <w:rPr>
          <w:rFonts w:ascii="Verdana" w:hAnsi="Verdana"/>
          <w:spacing w:val="9"/>
          <w:szCs w:val="16"/>
        </w:rPr>
        <w:t xml:space="preserve"> </w:t>
      </w:r>
      <w:r w:rsidRPr="00053304">
        <w:rPr>
          <w:rFonts w:ascii="Verdana" w:hAnsi="Verdana"/>
          <w:szCs w:val="16"/>
        </w:rPr>
        <w:t>de</w:t>
      </w:r>
      <w:r w:rsidRPr="00053304">
        <w:rPr>
          <w:rFonts w:ascii="Verdana" w:hAnsi="Verdana"/>
          <w:spacing w:val="10"/>
          <w:szCs w:val="16"/>
        </w:rPr>
        <w:t xml:space="preserve"> </w:t>
      </w:r>
      <w:r w:rsidRPr="00053304">
        <w:rPr>
          <w:rFonts w:ascii="Verdana" w:hAnsi="Verdana"/>
          <w:szCs w:val="16"/>
        </w:rPr>
        <w:t>22</w:t>
      </w:r>
      <w:r w:rsidRPr="00053304">
        <w:rPr>
          <w:rFonts w:ascii="Verdana" w:hAnsi="Verdana"/>
          <w:spacing w:val="8"/>
          <w:szCs w:val="16"/>
        </w:rPr>
        <w:t xml:space="preserve"> </w:t>
      </w:r>
      <w:r w:rsidRPr="00053304">
        <w:rPr>
          <w:rFonts w:ascii="Verdana" w:hAnsi="Verdana"/>
          <w:szCs w:val="16"/>
        </w:rPr>
        <w:t>de</w:t>
      </w:r>
      <w:r w:rsidRPr="00053304">
        <w:rPr>
          <w:rFonts w:ascii="Verdana" w:hAnsi="Verdana"/>
          <w:spacing w:val="8"/>
          <w:szCs w:val="16"/>
        </w:rPr>
        <w:t xml:space="preserve"> </w:t>
      </w:r>
      <w:r w:rsidRPr="00053304">
        <w:rPr>
          <w:rFonts w:ascii="Verdana" w:hAnsi="Verdana"/>
          <w:szCs w:val="16"/>
        </w:rPr>
        <w:t>febrero</w:t>
      </w:r>
      <w:r w:rsidRPr="00053304">
        <w:rPr>
          <w:rFonts w:ascii="Verdana" w:hAnsi="Verdana"/>
          <w:spacing w:val="8"/>
          <w:szCs w:val="16"/>
        </w:rPr>
        <w:t xml:space="preserve"> </w:t>
      </w:r>
      <w:r w:rsidRPr="00053304">
        <w:rPr>
          <w:rFonts w:ascii="Verdana" w:hAnsi="Verdana"/>
          <w:szCs w:val="16"/>
        </w:rPr>
        <w:t>de</w:t>
      </w:r>
      <w:r w:rsidRPr="00053304">
        <w:rPr>
          <w:rFonts w:ascii="Verdana" w:hAnsi="Verdana"/>
          <w:spacing w:val="7"/>
          <w:szCs w:val="16"/>
        </w:rPr>
        <w:t xml:space="preserve"> </w:t>
      </w:r>
      <w:r w:rsidRPr="00053304">
        <w:rPr>
          <w:rFonts w:ascii="Verdana" w:hAnsi="Verdana"/>
          <w:szCs w:val="16"/>
        </w:rPr>
        <w:t>2002.</w:t>
      </w:r>
      <w:r w:rsidRPr="00053304">
        <w:rPr>
          <w:rFonts w:ascii="Verdana" w:hAnsi="Verdana"/>
          <w:spacing w:val="-53"/>
          <w:szCs w:val="16"/>
        </w:rPr>
        <w:t xml:space="preserve"> </w:t>
      </w:r>
      <w:r w:rsidRPr="00053304">
        <w:rPr>
          <w:rFonts w:ascii="Verdana" w:hAnsi="Verdana"/>
          <w:szCs w:val="16"/>
        </w:rPr>
        <w:t>Serie</w:t>
      </w:r>
      <w:r w:rsidRPr="00053304">
        <w:rPr>
          <w:rFonts w:ascii="Verdana" w:hAnsi="Verdana"/>
          <w:spacing w:val="-2"/>
          <w:szCs w:val="16"/>
        </w:rPr>
        <w:t xml:space="preserve"> </w:t>
      </w:r>
      <w:r w:rsidRPr="00053304">
        <w:rPr>
          <w:rFonts w:ascii="Verdana" w:hAnsi="Verdana"/>
          <w:szCs w:val="16"/>
        </w:rPr>
        <w:t>C</w:t>
      </w:r>
      <w:r w:rsidRPr="00053304">
        <w:rPr>
          <w:rFonts w:ascii="Verdana" w:hAnsi="Verdana"/>
          <w:spacing w:val="-1"/>
          <w:szCs w:val="16"/>
        </w:rPr>
        <w:t xml:space="preserve"> </w:t>
      </w:r>
      <w:r w:rsidRPr="00053304">
        <w:rPr>
          <w:rFonts w:ascii="Verdana" w:hAnsi="Verdana"/>
          <w:szCs w:val="16"/>
        </w:rPr>
        <w:t>No.</w:t>
      </w:r>
      <w:r w:rsidRPr="00053304">
        <w:rPr>
          <w:rFonts w:ascii="Verdana" w:hAnsi="Verdana"/>
          <w:spacing w:val="-3"/>
          <w:szCs w:val="16"/>
        </w:rPr>
        <w:t xml:space="preserve"> </w:t>
      </w:r>
      <w:r w:rsidRPr="00053304">
        <w:rPr>
          <w:rFonts w:ascii="Verdana" w:hAnsi="Verdana"/>
          <w:szCs w:val="16"/>
        </w:rPr>
        <w:t>91,</w:t>
      </w:r>
      <w:r w:rsidRPr="00053304">
        <w:rPr>
          <w:rFonts w:ascii="Verdana" w:hAnsi="Verdana"/>
          <w:spacing w:val="-3"/>
          <w:szCs w:val="16"/>
        </w:rPr>
        <w:t xml:space="preserve"> </w:t>
      </w:r>
      <w:r w:rsidRPr="00053304">
        <w:rPr>
          <w:rFonts w:ascii="Verdana" w:hAnsi="Verdana"/>
          <w:szCs w:val="16"/>
        </w:rPr>
        <w:t>párr.</w:t>
      </w:r>
      <w:r w:rsidRPr="00053304">
        <w:rPr>
          <w:rFonts w:ascii="Verdana" w:hAnsi="Verdana"/>
          <w:spacing w:val="-3"/>
          <w:szCs w:val="16"/>
        </w:rPr>
        <w:t xml:space="preserve"> </w:t>
      </w:r>
      <w:r w:rsidRPr="00053304">
        <w:rPr>
          <w:rFonts w:ascii="Verdana" w:hAnsi="Verdana"/>
          <w:szCs w:val="16"/>
        </w:rPr>
        <w:t>43,</w:t>
      </w:r>
      <w:r w:rsidRPr="00053304">
        <w:rPr>
          <w:rFonts w:ascii="Verdana" w:hAnsi="Verdana"/>
          <w:spacing w:val="-3"/>
          <w:szCs w:val="16"/>
        </w:rPr>
        <w:t xml:space="preserve"> </w:t>
      </w:r>
      <w:r w:rsidR="004E792D" w:rsidRPr="00053304">
        <w:rPr>
          <w:rFonts w:ascii="Verdana" w:hAnsi="Verdana"/>
          <w:szCs w:val="16"/>
        </w:rPr>
        <w:t xml:space="preserve">y </w:t>
      </w:r>
      <w:r w:rsidR="004E792D" w:rsidRPr="00053304">
        <w:rPr>
          <w:rFonts w:ascii="Verdana" w:hAnsi="Verdana" w:cs="Arial"/>
          <w:i/>
          <w:szCs w:val="16"/>
        </w:rPr>
        <w:t>Caso Digna Ochoa y familiares Vs. México</w:t>
      </w:r>
      <w:r w:rsidR="004E792D" w:rsidRPr="00053304">
        <w:rPr>
          <w:rFonts w:ascii="Verdana" w:hAnsi="Verdana" w:cs="Arial"/>
          <w:szCs w:val="16"/>
        </w:rPr>
        <w:t xml:space="preserve">, </w:t>
      </w:r>
      <w:r w:rsidR="004E792D" w:rsidRPr="00053304">
        <w:rPr>
          <w:rFonts w:ascii="Verdana" w:hAnsi="Verdana" w:cs="Arial"/>
          <w:i/>
          <w:iCs/>
          <w:szCs w:val="16"/>
        </w:rPr>
        <w:t>supra</w:t>
      </w:r>
      <w:r w:rsidR="004E792D" w:rsidRPr="00053304">
        <w:rPr>
          <w:rFonts w:ascii="Verdana" w:hAnsi="Verdana" w:cs="Arial"/>
          <w:szCs w:val="16"/>
        </w:rPr>
        <w:t>, párr. 181</w:t>
      </w:r>
      <w:r w:rsidRPr="00053304">
        <w:rPr>
          <w:rFonts w:ascii="Verdana" w:hAnsi="Verdana"/>
          <w:szCs w:val="16"/>
        </w:rPr>
        <w:t>.</w:t>
      </w:r>
    </w:p>
  </w:footnote>
  <w:footnote w:id="290">
    <w:p w14:paraId="783EFD99" w14:textId="0CE3F3A7" w:rsidR="00685139" w:rsidRPr="00053304" w:rsidRDefault="00685139"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r>
      <w:r w:rsidRPr="00053304">
        <w:rPr>
          <w:rFonts w:ascii="Verdana" w:hAnsi="Verdana"/>
          <w:i/>
          <w:iCs/>
          <w:szCs w:val="16"/>
          <w:lang w:val="es-ES"/>
        </w:rPr>
        <w:t>Cfr</w:t>
      </w:r>
      <w:r w:rsidRPr="00053304">
        <w:rPr>
          <w:rFonts w:ascii="Verdana" w:hAnsi="Verdana"/>
          <w:szCs w:val="16"/>
          <w:lang w:val="es-ES"/>
        </w:rPr>
        <w:t xml:space="preserve">. </w:t>
      </w:r>
      <w:r w:rsidRPr="00053304">
        <w:rPr>
          <w:rFonts w:ascii="Verdana" w:hAnsi="Verdana"/>
          <w:i/>
          <w:iCs/>
          <w:szCs w:val="16"/>
        </w:rPr>
        <w:t xml:space="preserve">Caso de los “Niños de la Calle” (Villagrán Morales y otros) Vs. Guatemala. Reparaciones y Costas. </w:t>
      </w:r>
      <w:r w:rsidR="3BF92891" w:rsidRPr="00053304">
        <w:rPr>
          <w:rFonts w:ascii="Verdana" w:eastAsia="Open Sans" w:hAnsi="Verdana" w:cs="Open Sans"/>
          <w:szCs w:val="16"/>
        </w:rPr>
        <w:t>Sentencia de 25 de mayo de 2001. Serie C No. 76</w:t>
      </w:r>
      <w:r w:rsidRPr="00053304">
        <w:rPr>
          <w:rFonts w:ascii="Verdana" w:hAnsi="Verdana"/>
          <w:szCs w:val="16"/>
        </w:rPr>
        <w:t>,</w:t>
      </w:r>
      <w:r w:rsidRPr="00053304">
        <w:rPr>
          <w:rFonts w:ascii="Verdana" w:hAnsi="Verdana"/>
          <w:spacing w:val="1"/>
          <w:szCs w:val="16"/>
        </w:rPr>
        <w:t xml:space="preserve"> </w:t>
      </w:r>
      <w:r w:rsidRPr="00053304">
        <w:rPr>
          <w:rFonts w:ascii="Verdana" w:hAnsi="Verdana"/>
          <w:szCs w:val="16"/>
        </w:rPr>
        <w:t>párr.</w:t>
      </w:r>
      <w:r w:rsidRPr="00053304">
        <w:rPr>
          <w:rFonts w:ascii="Verdana" w:hAnsi="Verdana"/>
          <w:spacing w:val="-1"/>
          <w:szCs w:val="16"/>
        </w:rPr>
        <w:t xml:space="preserve"> </w:t>
      </w:r>
      <w:r w:rsidRPr="00053304">
        <w:rPr>
          <w:rFonts w:ascii="Verdana" w:hAnsi="Verdana"/>
          <w:szCs w:val="16"/>
        </w:rPr>
        <w:t>84</w:t>
      </w:r>
      <w:r w:rsidR="00A460DE" w:rsidRPr="00053304">
        <w:rPr>
          <w:rFonts w:ascii="Verdana" w:hAnsi="Verdana"/>
          <w:szCs w:val="16"/>
        </w:rPr>
        <w:t>;</w:t>
      </w:r>
      <w:r w:rsidRPr="00053304">
        <w:rPr>
          <w:rFonts w:ascii="Verdana" w:hAnsi="Verdana"/>
          <w:spacing w:val="-1"/>
          <w:szCs w:val="16"/>
        </w:rPr>
        <w:t xml:space="preserve"> </w:t>
      </w:r>
      <w:r w:rsidRPr="00053304">
        <w:rPr>
          <w:rFonts w:ascii="Verdana" w:hAnsi="Verdana" w:cstheme="minorBidi"/>
          <w:i/>
          <w:iCs/>
          <w:szCs w:val="16"/>
        </w:rPr>
        <w:t>Caso Cuya Lavy y otros Vs. Perú.</w:t>
      </w:r>
      <w:r w:rsidRPr="00053304">
        <w:rPr>
          <w:rFonts w:ascii="Verdana" w:hAnsi="Verdana" w:cstheme="minorBidi"/>
          <w:szCs w:val="16"/>
        </w:rPr>
        <w:t xml:space="preserve"> </w:t>
      </w:r>
      <w:r w:rsidR="3BF92891" w:rsidRPr="00053304">
        <w:rPr>
          <w:rFonts w:ascii="Verdana" w:eastAsia="Open Sans" w:hAnsi="Verdana" w:cs="Open Sans"/>
          <w:szCs w:val="16"/>
        </w:rPr>
        <w:t>Excepciones preliminares, Fondo, Reparaciones y Costas. Sentencia de 28 de septiembre de 2021. Serie C No. 438</w:t>
      </w:r>
      <w:r w:rsidRPr="00053304">
        <w:rPr>
          <w:rFonts w:ascii="Verdana" w:hAnsi="Verdana" w:cstheme="minorBidi"/>
          <w:szCs w:val="16"/>
        </w:rPr>
        <w:t>,</w:t>
      </w:r>
      <w:r w:rsidRPr="00053304">
        <w:rPr>
          <w:rFonts w:ascii="Verdana" w:hAnsi="Verdana" w:cstheme="minorBidi"/>
          <w:i/>
          <w:iCs/>
          <w:szCs w:val="16"/>
        </w:rPr>
        <w:t xml:space="preserve"> supra</w:t>
      </w:r>
      <w:r w:rsidRPr="00053304">
        <w:rPr>
          <w:rFonts w:ascii="Verdana" w:hAnsi="Verdana" w:cstheme="minorBidi"/>
          <w:szCs w:val="16"/>
        </w:rPr>
        <w:t>, párr.</w:t>
      </w:r>
      <w:r w:rsidRPr="00053304">
        <w:rPr>
          <w:rFonts w:ascii="Verdana" w:hAnsi="Verdana"/>
          <w:szCs w:val="16"/>
        </w:rPr>
        <w:t xml:space="preserve"> 223</w:t>
      </w:r>
      <w:r w:rsidR="00A460DE" w:rsidRPr="00053304">
        <w:rPr>
          <w:rFonts w:ascii="Verdana" w:hAnsi="Verdana"/>
          <w:szCs w:val="16"/>
        </w:rPr>
        <w:t xml:space="preserve">, y </w:t>
      </w:r>
      <w:r w:rsidR="00A460DE" w:rsidRPr="00053304">
        <w:rPr>
          <w:rFonts w:ascii="Verdana" w:hAnsi="Verdana"/>
          <w:i/>
          <w:iCs/>
          <w:szCs w:val="16"/>
        </w:rPr>
        <w:t>Caso Dial y otro Vs. Trinidad y Tobago</w:t>
      </w:r>
      <w:r w:rsidR="00A460DE" w:rsidRPr="00053304">
        <w:rPr>
          <w:rFonts w:ascii="Verdana" w:hAnsi="Verdana"/>
          <w:szCs w:val="16"/>
        </w:rPr>
        <w:t xml:space="preserve">, </w:t>
      </w:r>
      <w:r w:rsidR="00A460DE" w:rsidRPr="00053304">
        <w:rPr>
          <w:rFonts w:ascii="Verdana" w:hAnsi="Verdana"/>
          <w:i/>
          <w:iCs/>
          <w:szCs w:val="16"/>
        </w:rPr>
        <w:t>supra</w:t>
      </w:r>
      <w:r w:rsidR="00A460DE" w:rsidRPr="00053304">
        <w:rPr>
          <w:rFonts w:ascii="Verdana" w:hAnsi="Verdana"/>
          <w:szCs w:val="16"/>
        </w:rPr>
        <w:t>, párr. 99.</w:t>
      </w:r>
    </w:p>
  </w:footnote>
  <w:footnote w:id="291">
    <w:p w14:paraId="5A9716F9" w14:textId="2B61AD8D" w:rsidR="00A91AD4" w:rsidRPr="00053304" w:rsidRDefault="00A91AD4"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lang w:val="es-ES"/>
        </w:rPr>
        <w:tab/>
        <w:t xml:space="preserve">En particular </w:t>
      </w:r>
      <w:r w:rsidRPr="00053304">
        <w:rPr>
          <w:rFonts w:ascii="Verdana" w:hAnsi="Verdana"/>
          <w:szCs w:val="16"/>
        </w:rPr>
        <w:t>solicitaron</w:t>
      </w:r>
      <w:r w:rsidRPr="00053304">
        <w:rPr>
          <w:rFonts w:ascii="Verdana" w:hAnsi="Verdana"/>
          <w:szCs w:val="16"/>
          <w:lang w:val="es-ES"/>
        </w:rPr>
        <w:t xml:space="preserve"> que se paguen las sumas de “35,000 dólares en beneficio de la Asociación Civil Pena sin Culpa y 35,000 dólares por el pago de costas para el equipo de abogados que han participado en la sustentación del presente asunto”. Además, requirieron el pago de 25,000 dólares por concepto de gastos en favor de Daniel García y de Reyes Alpízar respectivamente por la participación de sus familiares al litigio del caso. Del mismo modo, en sus alegatos actualizaron esas sumas agregando los casos de litigio que han tenido desde que presentaron el escrito de solicitudes y argumentos, los cuales deben ser pagados a la organización Pena Sin Culpa. Esa suma adicional asciende a 112.212 pesos mexicanos [Nota: 5610 dólares]</w:t>
      </w:r>
      <w:r w:rsidR="000549FB" w:rsidRPr="00053304">
        <w:rPr>
          <w:rFonts w:ascii="Verdana" w:hAnsi="Verdana"/>
          <w:szCs w:val="16"/>
          <w:lang w:val="es-ES"/>
        </w:rPr>
        <w:t>.</w:t>
      </w:r>
    </w:p>
  </w:footnote>
  <w:footnote w:id="292">
    <w:p w14:paraId="0DDDB26A" w14:textId="78C318A9" w:rsidR="00D766C2" w:rsidRPr="00053304" w:rsidRDefault="00D766C2" w:rsidP="00053304">
      <w:pPr>
        <w:pStyle w:val="Textonotapie"/>
        <w:jc w:val="both"/>
        <w:rPr>
          <w:rFonts w:ascii="Verdana" w:hAnsi="Verdana"/>
          <w:iCs/>
          <w:szCs w:val="16"/>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Cs/>
          <w:szCs w:val="16"/>
        </w:rPr>
        <w:t>Por otra parte el Estado observó que os representantes solicita que estos gastos y costas sean reintegrados directamente a la Organización Pena sin Culpa, pero destacó “que conforme a la práctica de esa Corte IDH, los eventuales pagos derivados de la participación de la representación en la audiencia pública, deben ser realizados al Fondo de Asistencia Legal de Víctimas de la Corte IDH”. Al respecto, corresponde recordar que en el presente caso la Corte no ordenó la asistencia del Fondo, por lo que resultaría imposible que el pago de esos gastos sea computado a cuenta del mismo.</w:t>
      </w:r>
    </w:p>
  </w:footnote>
  <w:footnote w:id="293">
    <w:p w14:paraId="6EA4550F" w14:textId="744A62B3"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Garrido y Baigorria Vs. Argentina. Reparaciones y Costas.</w:t>
      </w:r>
      <w:r w:rsidRPr="00053304">
        <w:rPr>
          <w:rFonts w:ascii="Verdana" w:hAnsi="Verdana"/>
          <w:szCs w:val="16"/>
        </w:rPr>
        <w:t xml:space="preserve"> Sentencia de 27 de agosto de 1998. Serie C No. 39, párrs. 82, y </w:t>
      </w:r>
      <w:r w:rsidR="00A460DE" w:rsidRPr="00053304">
        <w:rPr>
          <w:rFonts w:ascii="Verdana" w:hAnsi="Verdana"/>
          <w:i/>
          <w:iCs/>
          <w:szCs w:val="16"/>
          <w:lang w:val="es-CR"/>
        </w:rPr>
        <w:t>Caso Baraona Bray Vs. Chile,</w:t>
      </w:r>
      <w:r w:rsidR="009525FB" w:rsidRPr="00053304">
        <w:rPr>
          <w:rFonts w:ascii="Verdana" w:hAnsi="Verdana"/>
          <w:i/>
          <w:iCs/>
          <w:szCs w:val="16"/>
          <w:lang w:val="es-ES"/>
        </w:rPr>
        <w:t xml:space="preserve"> supra</w:t>
      </w:r>
      <w:r w:rsidR="009525FB" w:rsidRPr="00053304">
        <w:rPr>
          <w:rFonts w:ascii="Verdana" w:hAnsi="Verdana"/>
          <w:szCs w:val="16"/>
          <w:lang w:val="es-ES"/>
        </w:rPr>
        <w:t>,</w:t>
      </w:r>
      <w:r w:rsidR="009525FB" w:rsidRPr="00053304">
        <w:rPr>
          <w:rFonts w:ascii="Verdana" w:hAnsi="Verdana"/>
          <w:i/>
          <w:iCs/>
          <w:szCs w:val="16"/>
          <w:lang w:val="es-ES"/>
        </w:rPr>
        <w:t xml:space="preserve"> </w:t>
      </w:r>
      <w:r w:rsidR="009525FB" w:rsidRPr="00053304">
        <w:rPr>
          <w:rFonts w:ascii="Verdana" w:hAnsi="Verdana"/>
          <w:szCs w:val="16"/>
          <w:lang w:val="es-ES"/>
        </w:rPr>
        <w:t>párr.</w:t>
      </w:r>
      <w:r w:rsidR="009525FB" w:rsidRPr="00053304">
        <w:rPr>
          <w:rFonts w:ascii="Verdana" w:hAnsi="Verdana"/>
          <w:szCs w:val="16"/>
          <w:lang w:val="es-CR"/>
        </w:rPr>
        <w:t xml:space="preserve"> </w:t>
      </w:r>
      <w:r w:rsidR="00A460DE" w:rsidRPr="00053304">
        <w:rPr>
          <w:rFonts w:ascii="Verdana" w:hAnsi="Verdana"/>
          <w:szCs w:val="16"/>
          <w:lang w:val="es-ES"/>
        </w:rPr>
        <w:t>187</w:t>
      </w:r>
      <w:r w:rsidRPr="00053304">
        <w:rPr>
          <w:rFonts w:ascii="Verdana" w:hAnsi="Verdana"/>
          <w:szCs w:val="16"/>
        </w:rPr>
        <w:t>.</w:t>
      </w:r>
    </w:p>
  </w:footnote>
  <w:footnote w:id="294">
    <w:p w14:paraId="31600C7F" w14:textId="29DF3B3B"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 xml:space="preserve">Cfr. Caso Garrido y Baigorria Vs. Argentina. Reparaciones y Costas, supra, </w:t>
      </w:r>
      <w:r w:rsidRPr="00053304">
        <w:rPr>
          <w:rFonts w:ascii="Verdana" w:hAnsi="Verdana"/>
          <w:szCs w:val="16"/>
        </w:rPr>
        <w:t xml:space="preserve">párr. 79, </w:t>
      </w:r>
      <w:r w:rsidR="00A460DE" w:rsidRPr="00053304">
        <w:rPr>
          <w:rFonts w:ascii="Verdana" w:hAnsi="Verdana"/>
          <w:szCs w:val="16"/>
        </w:rPr>
        <w:t xml:space="preserve">y </w:t>
      </w:r>
      <w:r w:rsidR="00A460DE" w:rsidRPr="00053304">
        <w:rPr>
          <w:rFonts w:ascii="Verdana" w:hAnsi="Verdana"/>
          <w:i/>
          <w:iCs/>
          <w:szCs w:val="16"/>
          <w:lang w:val="es-CR"/>
        </w:rPr>
        <w:t>Caso Baraona Bray Vs. Chile,</w:t>
      </w:r>
      <w:r w:rsidR="00A460DE" w:rsidRPr="00053304">
        <w:rPr>
          <w:rFonts w:ascii="Verdana" w:hAnsi="Verdana"/>
          <w:i/>
          <w:iCs/>
          <w:szCs w:val="16"/>
          <w:lang w:val="es-ES"/>
        </w:rPr>
        <w:t xml:space="preserve"> supra</w:t>
      </w:r>
      <w:r w:rsidR="00A460DE" w:rsidRPr="00053304">
        <w:rPr>
          <w:rFonts w:ascii="Verdana" w:hAnsi="Verdana"/>
          <w:szCs w:val="16"/>
          <w:lang w:val="es-ES"/>
        </w:rPr>
        <w:t>,</w:t>
      </w:r>
      <w:r w:rsidR="00A460DE" w:rsidRPr="00053304">
        <w:rPr>
          <w:rFonts w:ascii="Verdana" w:hAnsi="Verdana"/>
          <w:i/>
          <w:iCs/>
          <w:szCs w:val="16"/>
          <w:lang w:val="es-ES"/>
        </w:rPr>
        <w:t xml:space="preserve"> </w:t>
      </w:r>
      <w:r w:rsidR="00A460DE" w:rsidRPr="00053304">
        <w:rPr>
          <w:rFonts w:ascii="Verdana" w:hAnsi="Verdana"/>
          <w:szCs w:val="16"/>
          <w:lang w:val="es-ES"/>
        </w:rPr>
        <w:t>párr.</w:t>
      </w:r>
      <w:r w:rsidR="00A460DE" w:rsidRPr="00053304">
        <w:rPr>
          <w:rFonts w:ascii="Verdana" w:hAnsi="Verdana"/>
          <w:szCs w:val="16"/>
          <w:lang w:val="es-CR"/>
        </w:rPr>
        <w:t xml:space="preserve"> </w:t>
      </w:r>
      <w:r w:rsidR="00A460DE" w:rsidRPr="00053304">
        <w:rPr>
          <w:rFonts w:ascii="Verdana" w:hAnsi="Verdana"/>
          <w:szCs w:val="16"/>
          <w:lang w:val="es-ES"/>
        </w:rPr>
        <w:t>188</w:t>
      </w:r>
      <w:r w:rsidRPr="00053304">
        <w:rPr>
          <w:rFonts w:ascii="Verdana" w:hAnsi="Verdana"/>
          <w:szCs w:val="16"/>
        </w:rPr>
        <w:t>.</w:t>
      </w:r>
    </w:p>
  </w:footnote>
  <w:footnote w:id="295">
    <w:p w14:paraId="4CCC3B47" w14:textId="5D2179F7"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iCs/>
          <w:szCs w:val="16"/>
        </w:rPr>
        <w:t>Cfr. Caso Chaparro Álvarez y Lapo Íñiguez Vs. Ecuador. Excepciones Preliminares, Fondo, Reparaciones y Costas</w:t>
      </w:r>
      <w:r w:rsidRPr="00053304">
        <w:rPr>
          <w:rFonts w:ascii="Verdana" w:hAnsi="Verdana" w:cs="Arial"/>
          <w:szCs w:val="16"/>
        </w:rPr>
        <w:t xml:space="preserve">, </w:t>
      </w:r>
      <w:r w:rsidRPr="00053304">
        <w:rPr>
          <w:rFonts w:ascii="Verdana" w:hAnsi="Verdana"/>
          <w:szCs w:val="16"/>
        </w:rPr>
        <w:t xml:space="preserve">párr. 277, y </w:t>
      </w:r>
      <w:r w:rsidR="009525FB" w:rsidRPr="00053304">
        <w:rPr>
          <w:rFonts w:ascii="Verdana" w:hAnsi="Verdana"/>
          <w:i/>
          <w:iCs/>
          <w:szCs w:val="16"/>
          <w:lang w:val="es-CR"/>
        </w:rPr>
        <w:t>C</w:t>
      </w:r>
      <w:r w:rsidR="009525FB" w:rsidRPr="00053304">
        <w:rPr>
          <w:rFonts w:ascii="Verdana" w:hAnsi="Verdana"/>
          <w:i/>
          <w:iCs/>
          <w:szCs w:val="16"/>
          <w:lang w:val="es-ES"/>
        </w:rPr>
        <w:t>aso Manuela y otros Vs. El Salvador</w:t>
      </w:r>
      <w:r w:rsidR="009525FB" w:rsidRPr="00053304">
        <w:rPr>
          <w:rFonts w:ascii="Verdana" w:hAnsi="Verdana"/>
          <w:szCs w:val="16"/>
          <w:lang w:val="es-ES"/>
        </w:rPr>
        <w:t>,</w:t>
      </w:r>
      <w:r w:rsidR="009525FB" w:rsidRPr="00053304">
        <w:rPr>
          <w:rFonts w:ascii="Verdana" w:hAnsi="Verdana"/>
          <w:i/>
          <w:iCs/>
          <w:szCs w:val="16"/>
          <w:lang w:val="es-ES"/>
        </w:rPr>
        <w:t xml:space="preserve"> supra</w:t>
      </w:r>
      <w:r w:rsidR="009525FB" w:rsidRPr="00053304">
        <w:rPr>
          <w:rFonts w:ascii="Verdana" w:hAnsi="Verdana"/>
          <w:szCs w:val="16"/>
          <w:lang w:val="es-ES"/>
        </w:rPr>
        <w:t>,</w:t>
      </w:r>
      <w:r w:rsidR="009525FB" w:rsidRPr="00053304">
        <w:rPr>
          <w:rFonts w:ascii="Verdana" w:hAnsi="Verdana"/>
          <w:i/>
          <w:iCs/>
          <w:szCs w:val="16"/>
          <w:lang w:val="es-ES"/>
        </w:rPr>
        <w:t xml:space="preserve"> </w:t>
      </w:r>
      <w:r w:rsidR="009525FB" w:rsidRPr="00053304">
        <w:rPr>
          <w:rFonts w:ascii="Verdana" w:hAnsi="Verdana"/>
          <w:szCs w:val="16"/>
          <w:lang w:val="es-ES"/>
        </w:rPr>
        <w:t>párr.</w:t>
      </w:r>
      <w:r w:rsidR="009525FB" w:rsidRPr="00053304">
        <w:rPr>
          <w:rFonts w:ascii="Verdana" w:hAnsi="Verdana"/>
          <w:szCs w:val="16"/>
          <w:lang w:val="es-CR"/>
        </w:rPr>
        <w:t xml:space="preserve"> </w:t>
      </w:r>
      <w:r w:rsidR="009525FB" w:rsidRPr="00053304">
        <w:rPr>
          <w:rFonts w:ascii="Verdana" w:hAnsi="Verdana"/>
          <w:szCs w:val="16"/>
          <w:lang w:val="es-ES"/>
        </w:rPr>
        <w:t>318</w:t>
      </w:r>
      <w:r w:rsidRPr="00053304">
        <w:rPr>
          <w:rFonts w:ascii="Verdana" w:hAnsi="Verdana"/>
          <w:szCs w:val="16"/>
        </w:rPr>
        <w:t>.</w:t>
      </w:r>
    </w:p>
  </w:footnote>
  <w:footnote w:id="296">
    <w:p w14:paraId="520AF626" w14:textId="56EAAF00" w:rsidR="005A7208" w:rsidRPr="00053304" w:rsidRDefault="005A7208" w:rsidP="00053304">
      <w:pPr>
        <w:pStyle w:val="Textonotapie"/>
        <w:jc w:val="both"/>
        <w:rPr>
          <w:rFonts w:ascii="Verdana" w:hAnsi="Verdana"/>
          <w:szCs w:val="16"/>
          <w:lang w:val="es-ES"/>
        </w:rPr>
      </w:pPr>
      <w:r w:rsidRPr="00053304">
        <w:rPr>
          <w:rStyle w:val="Refdenotaalpie"/>
          <w:rFonts w:ascii="Verdana" w:hAnsi="Verdana"/>
          <w:szCs w:val="16"/>
        </w:rPr>
        <w:footnoteRef/>
      </w:r>
      <w:r w:rsidRPr="00053304">
        <w:rPr>
          <w:rFonts w:ascii="Verdana" w:hAnsi="Verdana"/>
          <w:szCs w:val="16"/>
        </w:rPr>
        <w:t xml:space="preserve"> </w:t>
      </w:r>
      <w:r w:rsidRPr="00053304">
        <w:rPr>
          <w:rFonts w:ascii="Verdana" w:hAnsi="Verdana"/>
          <w:szCs w:val="16"/>
        </w:rPr>
        <w:tab/>
      </w:r>
      <w:r w:rsidRPr="00053304">
        <w:rPr>
          <w:rFonts w:ascii="Verdana" w:hAnsi="Verdana"/>
          <w:i/>
          <w:szCs w:val="16"/>
        </w:rPr>
        <w:t xml:space="preserve">Cfr. Caso Ibsen Cárdenas e Ibsen Peña Vs. Bolivia. Fondo, Reparaciones y Costas. </w:t>
      </w:r>
      <w:r w:rsidRPr="00053304">
        <w:rPr>
          <w:rFonts w:ascii="Verdana" w:hAnsi="Verdana"/>
          <w:szCs w:val="16"/>
        </w:rPr>
        <w:t xml:space="preserve">Sentencia de 1 de septiembre de 2010. Serie C No. 217, párr. 29, y </w:t>
      </w:r>
      <w:r w:rsidR="004759E0" w:rsidRPr="00053304">
        <w:rPr>
          <w:rFonts w:ascii="Verdana" w:hAnsi="Verdana" w:cs="Arial"/>
          <w:i/>
          <w:szCs w:val="16"/>
        </w:rPr>
        <w:t>Caso Digna Ochoa y familiares Vs. México</w:t>
      </w:r>
      <w:r w:rsidR="004759E0" w:rsidRPr="00053304">
        <w:rPr>
          <w:rFonts w:ascii="Verdana" w:hAnsi="Verdana" w:cs="Arial"/>
          <w:szCs w:val="16"/>
        </w:rPr>
        <w:t xml:space="preserve">, </w:t>
      </w:r>
      <w:r w:rsidR="004759E0" w:rsidRPr="00053304">
        <w:rPr>
          <w:rFonts w:ascii="Verdana" w:hAnsi="Verdana" w:cs="Arial"/>
          <w:i/>
          <w:iCs/>
          <w:szCs w:val="16"/>
        </w:rPr>
        <w:t>supra</w:t>
      </w:r>
      <w:r w:rsidR="004759E0" w:rsidRPr="00053304">
        <w:rPr>
          <w:rFonts w:ascii="Verdana" w:hAnsi="Verdana" w:cs="Arial"/>
          <w:szCs w:val="16"/>
        </w:rPr>
        <w:t>, párr. 193</w:t>
      </w:r>
      <w:r w:rsidRPr="00053304">
        <w:rPr>
          <w:rFonts w:ascii="Verdana" w:hAnsi="Verdana"/>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616B6" w14:textId="394864F7" w:rsidR="005A7208" w:rsidRDefault="00036BEE">
    <w:pPr>
      <w:pStyle w:val="Encabezado"/>
    </w:pPr>
    <w:r>
      <w:rPr>
        <w:noProof/>
      </w:rPr>
      <w:pict w14:anchorId="07585F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131741" o:spid="_x0000_s1026" type="#_x0000_t136" alt="" style="position:absolute;margin-left:0;margin-top:0;width:594pt;height:99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13107f"/>
          <v:textpath style="font-family:&quot;Verdana&quot;;font-size:1pt;font-weight:bold"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88C4" w14:textId="0EE18999" w:rsidR="005A7208" w:rsidRPr="00AD7B42" w:rsidRDefault="005A7208" w:rsidP="00391B3B">
    <w:pPr>
      <w:pStyle w:val="Encabezado"/>
      <w:jc w:val="right"/>
      <w:rPr>
        <w:rFonts w:ascii="Verdana" w:hAnsi="Verdana"/>
        <w:i/>
        <w:iCs/>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3C941" w14:textId="0B8FFF88" w:rsidR="005A7208" w:rsidRPr="00142661" w:rsidRDefault="00036BEE" w:rsidP="00142661">
    <w:pPr>
      <w:pStyle w:val="Encabezado"/>
      <w:jc w:val="right"/>
      <w:rPr>
        <w:i/>
        <w:sz w:val="16"/>
        <w:szCs w:val="16"/>
      </w:rPr>
    </w:pPr>
    <w:r>
      <w:rPr>
        <w:noProof/>
      </w:rPr>
      <w:pict w14:anchorId="68FCE7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131740" o:spid="_x0000_s1025" type="#_x0000_t136" alt="" style="position:absolute;left:0;text-align:left;margin-left:0;margin-top:0;width:594pt;height:99pt;rotation:315;z-index:-251658238;mso-wrap-edited:f;mso-width-percent:0;mso-height-percent:0;mso-position-horizontal:center;mso-position-horizontal-relative:margin;mso-position-vertical:center;mso-position-vertical-relative:margin;mso-width-percent:0;mso-height-percent:0" o:allowincell="f" fillcolor="black [3213]" stroked="f">
          <v:fill opacity="13107f"/>
          <v:textpath style="font-family:&quot;Verdana&quot;;font-size:1pt;font-weight:bold" string="BORRADOR"/>
          <w10:wrap anchorx="margin" anchory="margin"/>
        </v:shape>
      </w:pict>
    </w:r>
    <w:r w:rsidR="005A7208" w:rsidRPr="00142661">
      <w:rPr>
        <w:i/>
        <w:sz w:val="16"/>
        <w:szCs w:val="16"/>
      </w:rPr>
      <w:t xml:space="preserve">Caso </w:t>
    </w:r>
    <w:r w:rsidR="005A7208">
      <w:rPr>
        <w:i/>
        <w:sz w:val="16"/>
        <w:szCs w:val="16"/>
      </w:rPr>
      <w:t>Pavez Pavez</w:t>
    </w:r>
    <w:r w:rsidR="005A7208" w:rsidRPr="00142661">
      <w:rPr>
        <w:i/>
        <w:sz w:val="16"/>
        <w:szCs w:val="16"/>
      </w:rPr>
      <w:t xml:space="preserve"> Vs. </w:t>
    </w:r>
    <w:r w:rsidR="005A7208">
      <w:rPr>
        <w:i/>
        <w:sz w:val="16"/>
        <w:szCs w:val="16"/>
      </w:rPr>
      <w:t>Chile</w:t>
    </w:r>
    <w:r w:rsidR="005A7208" w:rsidRPr="00142661">
      <w:rPr>
        <w:i/>
        <w:sz w:val="16"/>
        <w:szCs w:val="16"/>
      </w:rPr>
      <w:t xml:space="preserve"> – Proy.Sent_01_Envio</w:t>
    </w:r>
    <w:r w:rsidR="005A7208">
      <w:rPr>
        <w:i/>
        <w:sz w:val="16"/>
        <w:szCs w:val="16"/>
      </w:rPr>
      <w:t>DirJur</w:t>
    </w:r>
  </w:p>
  <w:p w14:paraId="505C760E" w14:textId="77777777" w:rsidR="005A7208" w:rsidRPr="000C5EDD" w:rsidRDefault="005A7208" w:rsidP="00142661">
    <w:pPr>
      <w:pStyle w:val="Encabezado"/>
      <w:jc w:val="right"/>
      <w:rPr>
        <w:i/>
        <w:sz w:val="16"/>
        <w:szCs w:val="16"/>
        <w:lang w:val="pt-BR"/>
      </w:rPr>
    </w:pPr>
    <w:r w:rsidRPr="000C5EDD">
      <w:rPr>
        <w:i/>
        <w:sz w:val="16"/>
        <w:szCs w:val="16"/>
        <w:lang w:val="pt-BR"/>
      </w:rPr>
      <w:t>CONFIDENCIAL</w:t>
    </w:r>
  </w:p>
  <w:p w14:paraId="0FED06FE" w14:textId="1CF87DC0" w:rsidR="005A7208" w:rsidRPr="000C5EDD" w:rsidRDefault="005A7208" w:rsidP="00142661">
    <w:pPr>
      <w:pStyle w:val="Encabezado"/>
      <w:jc w:val="right"/>
      <w:rPr>
        <w:i/>
        <w:sz w:val="16"/>
        <w:szCs w:val="16"/>
        <w:lang w:val="pt-BR"/>
      </w:rPr>
    </w:pPr>
    <w:r w:rsidRPr="000C5EDD">
      <w:rPr>
        <w:i/>
        <w:sz w:val="16"/>
        <w:szCs w:val="16"/>
        <w:lang w:val="pt-BR"/>
      </w:rPr>
      <w:t>Juez Relator: Eduardo Ferrer Mac-Gregor Poisot</w:t>
    </w:r>
  </w:p>
  <w:p w14:paraId="0DC26A37" w14:textId="1B503BBD" w:rsidR="005A7208" w:rsidRPr="004F6877" w:rsidRDefault="005A7208" w:rsidP="00142661">
    <w:pPr>
      <w:pStyle w:val="Encabezado"/>
      <w:jc w:val="right"/>
      <w:rPr>
        <w:i/>
        <w:sz w:val="16"/>
        <w:szCs w:val="16"/>
      </w:rPr>
    </w:pPr>
    <w:r w:rsidRPr="00142661">
      <w:rPr>
        <w:i/>
        <w:sz w:val="16"/>
        <w:szCs w:val="16"/>
      </w:rPr>
      <w:t xml:space="preserve">Equipo a cargo: </w:t>
    </w:r>
    <w:r>
      <w:rPr>
        <w:i/>
        <w:sz w:val="16"/>
        <w:szCs w:val="16"/>
      </w:rPr>
      <w:t>Jorge Errandonea</w:t>
    </w:r>
    <w:r w:rsidRPr="00142661">
      <w:rPr>
        <w:i/>
        <w:sz w:val="16"/>
        <w:szCs w:val="16"/>
      </w:rPr>
      <w:t xml:space="preserve">, abogado y </w:t>
    </w:r>
    <w:r>
      <w:rPr>
        <w:i/>
        <w:sz w:val="16"/>
        <w:szCs w:val="16"/>
      </w:rPr>
      <w:t>Cristhian Molina</w:t>
    </w:r>
    <w:r w:rsidRPr="00142661">
      <w:rPr>
        <w:i/>
        <w:sz w:val="16"/>
        <w:szCs w:val="16"/>
      </w:rPr>
      <w:t>, asistente</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CBA372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A125C"/>
    <w:multiLevelType w:val="hybridMultilevel"/>
    <w:tmpl w:val="E85C9C10"/>
    <w:lvl w:ilvl="0" w:tplc="FFFFFFFF">
      <w:start w:val="1"/>
      <w:numFmt w:val="lowerLetter"/>
      <w:lvlText w:val="%1)"/>
      <w:lvlJc w:val="left"/>
      <w:pPr>
        <w:ind w:left="1069" w:hanging="360"/>
      </w:pPr>
      <w:rPr>
        <w:rFonts w:hint="default"/>
        <w:b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23F6B66"/>
    <w:multiLevelType w:val="hybridMultilevel"/>
    <w:tmpl w:val="01567B82"/>
    <w:lvl w:ilvl="0" w:tplc="4E2A0C4C">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9A2ACDCA">
      <w:start w:val="1"/>
      <w:numFmt w:val="decimal"/>
      <w:lvlText w:val="%4."/>
      <w:lvlJc w:val="left"/>
      <w:pPr>
        <w:ind w:left="2880" w:hanging="360"/>
      </w:pPr>
      <w:rPr>
        <w:b w:val="0"/>
        <w:bCs/>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 w15:restartNumberingAfterBreak="0">
    <w:nsid w:val="04D22146"/>
    <w:multiLevelType w:val="hybridMultilevel"/>
    <w:tmpl w:val="6FCEB8F6"/>
    <w:lvl w:ilvl="0" w:tplc="50B0D8EE">
      <w:start w:val="1"/>
      <w:numFmt w:val="decimal"/>
      <w:lvlText w:val="%1."/>
      <w:lvlJc w:val="left"/>
      <w:pPr>
        <w:ind w:left="720" w:hanging="360"/>
      </w:pPr>
    </w:lvl>
    <w:lvl w:ilvl="1" w:tplc="B65C56A0">
      <w:start w:val="1"/>
      <w:numFmt w:val="decimal"/>
      <w:lvlText w:val="%2."/>
      <w:lvlJc w:val="left"/>
      <w:pPr>
        <w:ind w:left="720" w:hanging="360"/>
      </w:pPr>
    </w:lvl>
    <w:lvl w:ilvl="2" w:tplc="96CA64EE">
      <w:start w:val="1"/>
      <w:numFmt w:val="decimal"/>
      <w:lvlText w:val="%3."/>
      <w:lvlJc w:val="left"/>
      <w:pPr>
        <w:ind w:left="720" w:hanging="360"/>
      </w:pPr>
    </w:lvl>
    <w:lvl w:ilvl="3" w:tplc="57526518">
      <w:start w:val="1"/>
      <w:numFmt w:val="decimal"/>
      <w:lvlText w:val="%4."/>
      <w:lvlJc w:val="left"/>
      <w:pPr>
        <w:ind w:left="720" w:hanging="360"/>
      </w:pPr>
    </w:lvl>
    <w:lvl w:ilvl="4" w:tplc="E890728A">
      <w:start w:val="1"/>
      <w:numFmt w:val="decimal"/>
      <w:lvlText w:val="%5."/>
      <w:lvlJc w:val="left"/>
      <w:pPr>
        <w:ind w:left="720" w:hanging="360"/>
      </w:pPr>
    </w:lvl>
    <w:lvl w:ilvl="5" w:tplc="A6EE8C44">
      <w:start w:val="1"/>
      <w:numFmt w:val="decimal"/>
      <w:lvlText w:val="%6."/>
      <w:lvlJc w:val="left"/>
      <w:pPr>
        <w:ind w:left="720" w:hanging="360"/>
      </w:pPr>
    </w:lvl>
    <w:lvl w:ilvl="6" w:tplc="91D4D7DA">
      <w:start w:val="1"/>
      <w:numFmt w:val="decimal"/>
      <w:lvlText w:val="%7."/>
      <w:lvlJc w:val="left"/>
      <w:pPr>
        <w:ind w:left="720" w:hanging="360"/>
      </w:pPr>
    </w:lvl>
    <w:lvl w:ilvl="7" w:tplc="76C27EEC">
      <w:start w:val="1"/>
      <w:numFmt w:val="decimal"/>
      <w:lvlText w:val="%8."/>
      <w:lvlJc w:val="left"/>
      <w:pPr>
        <w:ind w:left="720" w:hanging="360"/>
      </w:pPr>
    </w:lvl>
    <w:lvl w:ilvl="8" w:tplc="9ED02806">
      <w:start w:val="1"/>
      <w:numFmt w:val="decimal"/>
      <w:lvlText w:val="%9."/>
      <w:lvlJc w:val="left"/>
      <w:pPr>
        <w:ind w:left="720" w:hanging="360"/>
      </w:pPr>
    </w:lvl>
  </w:abstractNum>
  <w:abstractNum w:abstractNumId="4"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6258FF"/>
    <w:multiLevelType w:val="hybridMultilevel"/>
    <w:tmpl w:val="C9101B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DF4E3A"/>
    <w:multiLevelType w:val="hybridMultilevel"/>
    <w:tmpl w:val="1F56A28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27E3035"/>
    <w:multiLevelType w:val="hybridMultilevel"/>
    <w:tmpl w:val="E85C9C10"/>
    <w:lvl w:ilvl="0" w:tplc="FFFFFFFF">
      <w:start w:val="1"/>
      <w:numFmt w:val="lowerLetter"/>
      <w:lvlText w:val="%1)"/>
      <w:lvlJc w:val="left"/>
      <w:pPr>
        <w:ind w:left="1069" w:hanging="360"/>
      </w:pPr>
      <w:rPr>
        <w:rFonts w:hint="default"/>
        <w:b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9" w15:restartNumberingAfterBreak="0">
    <w:nsid w:val="14401E9D"/>
    <w:multiLevelType w:val="hybridMultilevel"/>
    <w:tmpl w:val="22DA785A"/>
    <w:lvl w:ilvl="0" w:tplc="B5029F82">
      <w:start w:val="161"/>
      <w:numFmt w:val="decimal"/>
      <w:lvlText w:val="%1."/>
      <w:lvlJc w:val="left"/>
      <w:pPr>
        <w:ind w:left="140" w:hanging="708"/>
      </w:pPr>
      <w:rPr>
        <w:rFonts w:ascii="Verdana" w:eastAsia="Verdana" w:hAnsi="Verdana" w:cs="Verdana" w:hint="default"/>
        <w:b w:val="0"/>
        <w:bCs w:val="0"/>
        <w:i w:val="0"/>
        <w:iCs w:val="0"/>
        <w:w w:val="99"/>
        <w:sz w:val="20"/>
        <w:szCs w:val="20"/>
      </w:rPr>
    </w:lvl>
    <w:lvl w:ilvl="1" w:tplc="DF460552">
      <w:numFmt w:val="bullet"/>
      <w:lvlText w:val="•"/>
      <w:lvlJc w:val="left"/>
      <w:pPr>
        <w:ind w:left="860" w:hanging="708"/>
      </w:pPr>
      <w:rPr>
        <w:rFonts w:hint="default"/>
      </w:rPr>
    </w:lvl>
    <w:lvl w:ilvl="2" w:tplc="5F826D9E">
      <w:numFmt w:val="bullet"/>
      <w:lvlText w:val="•"/>
      <w:lvlJc w:val="left"/>
      <w:pPr>
        <w:ind w:left="1944" w:hanging="708"/>
      </w:pPr>
      <w:rPr>
        <w:rFonts w:hint="default"/>
      </w:rPr>
    </w:lvl>
    <w:lvl w:ilvl="3" w:tplc="C834EE1C">
      <w:numFmt w:val="bullet"/>
      <w:lvlText w:val="•"/>
      <w:lvlJc w:val="left"/>
      <w:pPr>
        <w:ind w:left="3028" w:hanging="708"/>
      </w:pPr>
      <w:rPr>
        <w:rFonts w:hint="default"/>
      </w:rPr>
    </w:lvl>
    <w:lvl w:ilvl="4" w:tplc="544AFD46">
      <w:numFmt w:val="bullet"/>
      <w:lvlText w:val="•"/>
      <w:lvlJc w:val="left"/>
      <w:pPr>
        <w:ind w:left="4113" w:hanging="708"/>
      </w:pPr>
      <w:rPr>
        <w:rFonts w:hint="default"/>
      </w:rPr>
    </w:lvl>
    <w:lvl w:ilvl="5" w:tplc="2AFA27C4">
      <w:numFmt w:val="bullet"/>
      <w:lvlText w:val="•"/>
      <w:lvlJc w:val="left"/>
      <w:pPr>
        <w:ind w:left="5197" w:hanging="708"/>
      </w:pPr>
      <w:rPr>
        <w:rFonts w:hint="default"/>
      </w:rPr>
    </w:lvl>
    <w:lvl w:ilvl="6" w:tplc="045C85EE">
      <w:numFmt w:val="bullet"/>
      <w:lvlText w:val="•"/>
      <w:lvlJc w:val="left"/>
      <w:pPr>
        <w:ind w:left="6282" w:hanging="708"/>
      </w:pPr>
      <w:rPr>
        <w:rFonts w:hint="default"/>
      </w:rPr>
    </w:lvl>
    <w:lvl w:ilvl="7" w:tplc="8BF84960">
      <w:numFmt w:val="bullet"/>
      <w:lvlText w:val="•"/>
      <w:lvlJc w:val="left"/>
      <w:pPr>
        <w:ind w:left="7366" w:hanging="708"/>
      </w:pPr>
      <w:rPr>
        <w:rFonts w:hint="default"/>
      </w:rPr>
    </w:lvl>
    <w:lvl w:ilvl="8" w:tplc="687E0AC6">
      <w:numFmt w:val="bullet"/>
      <w:lvlText w:val="•"/>
      <w:lvlJc w:val="left"/>
      <w:pPr>
        <w:ind w:left="8451" w:hanging="708"/>
      </w:pPr>
      <w:rPr>
        <w:rFonts w:hint="default"/>
      </w:rPr>
    </w:lvl>
  </w:abstractNum>
  <w:abstractNum w:abstractNumId="10" w15:restartNumberingAfterBreak="0">
    <w:nsid w:val="21074265"/>
    <w:multiLevelType w:val="hybridMultilevel"/>
    <w:tmpl w:val="E82EC1DE"/>
    <w:lvl w:ilvl="0" w:tplc="F24620B8">
      <w:start w:val="1"/>
      <w:numFmt w:val="upperLetter"/>
      <w:lvlText w:val="%1)"/>
      <w:lvlJc w:val="left"/>
      <w:pPr>
        <w:ind w:left="1350" w:hanging="360"/>
      </w:pPr>
      <w:rPr>
        <w:b/>
        <w:i/>
      </w:rPr>
    </w:lvl>
    <w:lvl w:ilvl="1" w:tplc="D974E35A">
      <w:start w:val="1"/>
      <w:numFmt w:val="decimal"/>
      <w:lvlText w:val="%2."/>
      <w:lvlJc w:val="left"/>
      <w:pPr>
        <w:tabs>
          <w:tab w:val="num" w:pos="1440"/>
        </w:tabs>
        <w:ind w:left="1440" w:hanging="360"/>
      </w:pPr>
      <w:rPr>
        <w:rFonts w:ascii="Verdana" w:hAnsi="Verdana" w:hint="default"/>
        <w:b w:val="0"/>
        <w:sz w:val="20"/>
        <w:szCs w:val="20"/>
      </w:r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11" w15:restartNumberingAfterBreak="0">
    <w:nsid w:val="270F18B4"/>
    <w:multiLevelType w:val="hybridMultilevel"/>
    <w:tmpl w:val="6E60F4A8"/>
    <w:lvl w:ilvl="0" w:tplc="6F72C00E">
      <w:start w:val="1"/>
      <w:numFmt w:val="lowerLetter"/>
      <w:lvlText w:val="%1)"/>
      <w:lvlJc w:val="left"/>
      <w:pPr>
        <w:ind w:left="1069" w:hanging="360"/>
      </w:pPr>
      <w:rPr>
        <w:rFonts w:hint="default"/>
        <w:b w:val="0"/>
        <w:i/>
        <w:i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29BC45D0"/>
    <w:multiLevelType w:val="hybridMultilevel"/>
    <w:tmpl w:val="30102F92"/>
    <w:lvl w:ilvl="0" w:tplc="FFFFFFFF">
      <w:start w:val="1"/>
      <w:numFmt w:val="decimal"/>
      <w:lvlText w:val="%1."/>
      <w:lvlJc w:val="left"/>
      <w:pPr>
        <w:ind w:left="1495" w:hanging="360"/>
      </w:pPr>
      <w:rPr>
        <w:rFonts w:ascii="Verdana" w:eastAsia="Batang" w:hAnsi="Verdana" w:cs="Times"/>
        <w:b w:val="0"/>
        <w:i w:val="0"/>
        <w:color w:val="auto"/>
        <w:sz w:val="20"/>
        <w:szCs w:val="20"/>
        <w:lang w:val="es-ES_tradnl"/>
      </w:rPr>
    </w:lvl>
    <w:lvl w:ilvl="1" w:tplc="FFFFFFFF">
      <w:start w:val="1"/>
      <w:numFmt w:val="decimal"/>
      <w:lvlText w:val="%2)"/>
      <w:lvlJc w:val="left"/>
      <w:pPr>
        <w:ind w:left="1637" w:hanging="360"/>
      </w:pPr>
      <w:rPr>
        <w:rFonts w:hint="default"/>
      </w:rPr>
    </w:lvl>
    <w:lvl w:ilvl="2" w:tplc="FFFFFFFF">
      <w:start w:val="1"/>
      <w:numFmt w:val="lowerRoman"/>
      <w:lvlText w:val="%3."/>
      <w:lvlJc w:val="right"/>
      <w:pPr>
        <w:ind w:left="2547" w:hanging="360"/>
      </w:pPr>
      <w:rPr>
        <w:rFonts w:hint="default"/>
      </w:rPr>
    </w:lvl>
    <w:lvl w:ilvl="3" w:tplc="FFFFFFFF">
      <w:start w:val="1"/>
      <w:numFmt w:val="lowerLetter"/>
      <w:lvlText w:val="%4)"/>
      <w:lvlJc w:val="left"/>
      <w:pPr>
        <w:ind w:left="3087" w:hanging="360"/>
      </w:pPr>
      <w:rPr>
        <w:rFonts w:hint="default"/>
      </w:rPr>
    </w:lvl>
    <w:lvl w:ilvl="4" w:tplc="FFFFFFFF">
      <w:start w:val="7"/>
      <w:numFmt w:val="decimal"/>
      <w:lvlText w:val="%5"/>
      <w:lvlJc w:val="left"/>
      <w:pPr>
        <w:ind w:left="3807" w:hanging="360"/>
      </w:pPr>
      <w:rPr>
        <w:rFonts w:hint="default"/>
        <w:i/>
      </w:r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318F7B00"/>
    <w:multiLevelType w:val="hybridMultilevel"/>
    <w:tmpl w:val="B8344C70"/>
    <w:lvl w:ilvl="0" w:tplc="E4A06BCE">
      <w:start w:val="17"/>
      <w:numFmt w:val="decimal"/>
      <w:lvlText w:val="%1."/>
      <w:lvlJc w:val="left"/>
      <w:pPr>
        <w:ind w:left="360" w:hanging="360"/>
      </w:pPr>
      <w:rPr>
        <w:rFonts w:ascii="Verdana" w:eastAsia="Calibri" w:hAnsi="Verdana"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913DDC"/>
    <w:multiLevelType w:val="hybridMultilevel"/>
    <w:tmpl w:val="6E60F4A8"/>
    <w:lvl w:ilvl="0" w:tplc="FFFFFFFF">
      <w:start w:val="1"/>
      <w:numFmt w:val="lowerLetter"/>
      <w:lvlText w:val="%1)"/>
      <w:lvlJc w:val="left"/>
      <w:pPr>
        <w:ind w:left="1069" w:hanging="360"/>
      </w:pPr>
      <w:rPr>
        <w:rFonts w:hint="default"/>
        <w:b w:val="0"/>
        <w:i/>
        <w:i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5" w15:restartNumberingAfterBreak="0">
    <w:nsid w:val="35EC5C34"/>
    <w:multiLevelType w:val="hybridMultilevel"/>
    <w:tmpl w:val="8AA2E410"/>
    <w:lvl w:ilvl="0" w:tplc="ABF8E334">
      <w:start w:val="1"/>
      <w:numFmt w:val="decimal"/>
      <w:lvlText w:val="%1."/>
      <w:lvlJc w:val="left"/>
      <w:pPr>
        <w:ind w:left="644" w:hanging="360"/>
      </w:pPr>
      <w:rPr>
        <w:rFonts w:ascii="Verdana" w:hAnsi="Verdana" w:hint="default"/>
        <w:b w:val="0"/>
        <w:i w:val="0"/>
        <w:color w:val="auto"/>
      </w:rPr>
    </w:lvl>
    <w:lvl w:ilvl="1" w:tplc="C23AC0AA">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140A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5E048D"/>
    <w:multiLevelType w:val="hybridMultilevel"/>
    <w:tmpl w:val="1E142FCE"/>
    <w:lvl w:ilvl="0" w:tplc="3A04FE80">
      <w:start w:val="1"/>
      <w:numFmt w:val="upperLetter"/>
      <w:lvlText w:val="%1."/>
      <w:lvlJc w:val="left"/>
      <w:pPr>
        <w:ind w:left="720" w:hanging="360"/>
      </w:pPr>
      <w:rPr>
        <w:rFonts w:ascii="Verdana" w:hAnsi="Verdana" w:hint="default"/>
        <w:b/>
        <w:i/>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36E95859"/>
    <w:multiLevelType w:val="hybridMultilevel"/>
    <w:tmpl w:val="C9101B66"/>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F876695"/>
    <w:multiLevelType w:val="hybridMultilevel"/>
    <w:tmpl w:val="46DA7608"/>
    <w:lvl w:ilvl="0" w:tplc="80A01668">
      <w:start w:val="1"/>
      <w:numFmt w:val="upperLetter"/>
      <w:lvlText w:val="%1."/>
      <w:lvlJc w:val="left"/>
      <w:pPr>
        <w:ind w:left="720" w:hanging="360"/>
      </w:pPr>
      <w:rPr>
        <w:rFonts w:ascii="Verdana" w:hAnsi="Verdana" w:hint="default"/>
        <w:b w:val="0"/>
        <w:bCs/>
        <w:i/>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7B63D4"/>
    <w:multiLevelType w:val="hybridMultilevel"/>
    <w:tmpl w:val="1570D0E6"/>
    <w:lvl w:ilvl="0" w:tplc="A126D95C">
      <w:start w:val="1"/>
      <w:numFmt w:val="decimal"/>
      <w:lvlText w:val="%1."/>
      <w:lvlJc w:val="left"/>
      <w:pPr>
        <w:ind w:left="179" w:hanging="567"/>
      </w:pPr>
      <w:rPr>
        <w:rFonts w:ascii="Verdana" w:eastAsia="Verdana" w:hAnsi="Verdana" w:cs="Verdana" w:hint="default"/>
        <w:b w:val="0"/>
        <w:bCs w:val="0"/>
        <w:i w:val="0"/>
        <w:iCs w:val="0"/>
        <w:w w:val="99"/>
        <w:sz w:val="20"/>
        <w:szCs w:val="20"/>
      </w:rPr>
    </w:lvl>
    <w:lvl w:ilvl="1" w:tplc="5FF84622">
      <w:start w:val="1"/>
      <w:numFmt w:val="lowerLetter"/>
      <w:lvlText w:val="%2)"/>
      <w:lvlJc w:val="left"/>
      <w:pPr>
        <w:ind w:left="900" w:hanging="360"/>
      </w:pPr>
      <w:rPr>
        <w:rFonts w:ascii="Verdana" w:eastAsia="Verdana" w:hAnsi="Verdana" w:cs="Verdana" w:hint="default"/>
        <w:b w:val="0"/>
        <w:bCs w:val="0"/>
        <w:i w:val="0"/>
        <w:iCs w:val="0"/>
        <w:w w:val="99"/>
        <w:sz w:val="20"/>
        <w:szCs w:val="20"/>
      </w:rPr>
    </w:lvl>
    <w:lvl w:ilvl="2" w:tplc="1A3A7F6C">
      <w:numFmt w:val="bullet"/>
      <w:lvlText w:val="•"/>
      <w:lvlJc w:val="left"/>
      <w:pPr>
        <w:ind w:left="1962" w:hanging="360"/>
      </w:pPr>
      <w:rPr>
        <w:rFonts w:hint="default"/>
      </w:rPr>
    </w:lvl>
    <w:lvl w:ilvl="3" w:tplc="E8A6E298">
      <w:numFmt w:val="bullet"/>
      <w:lvlText w:val="•"/>
      <w:lvlJc w:val="left"/>
      <w:pPr>
        <w:ind w:left="3024" w:hanging="360"/>
      </w:pPr>
      <w:rPr>
        <w:rFonts w:hint="default"/>
      </w:rPr>
    </w:lvl>
    <w:lvl w:ilvl="4" w:tplc="5FBC16C2">
      <w:numFmt w:val="bullet"/>
      <w:lvlText w:val="•"/>
      <w:lvlJc w:val="left"/>
      <w:pPr>
        <w:ind w:left="4086" w:hanging="360"/>
      </w:pPr>
      <w:rPr>
        <w:rFonts w:hint="default"/>
      </w:rPr>
    </w:lvl>
    <w:lvl w:ilvl="5" w:tplc="59EC2938">
      <w:numFmt w:val="bullet"/>
      <w:lvlText w:val="•"/>
      <w:lvlJc w:val="left"/>
      <w:pPr>
        <w:ind w:left="5148" w:hanging="360"/>
      </w:pPr>
      <w:rPr>
        <w:rFonts w:hint="default"/>
      </w:rPr>
    </w:lvl>
    <w:lvl w:ilvl="6" w:tplc="B710981E">
      <w:numFmt w:val="bullet"/>
      <w:lvlText w:val="•"/>
      <w:lvlJc w:val="left"/>
      <w:pPr>
        <w:ind w:left="6211" w:hanging="360"/>
      </w:pPr>
      <w:rPr>
        <w:rFonts w:hint="default"/>
      </w:rPr>
    </w:lvl>
    <w:lvl w:ilvl="7" w:tplc="4AA4F810">
      <w:numFmt w:val="bullet"/>
      <w:lvlText w:val="•"/>
      <w:lvlJc w:val="left"/>
      <w:pPr>
        <w:ind w:left="7273" w:hanging="360"/>
      </w:pPr>
      <w:rPr>
        <w:rFonts w:hint="default"/>
      </w:rPr>
    </w:lvl>
    <w:lvl w:ilvl="8" w:tplc="39606552">
      <w:numFmt w:val="bullet"/>
      <w:lvlText w:val="•"/>
      <w:lvlJc w:val="left"/>
      <w:pPr>
        <w:ind w:left="8335" w:hanging="360"/>
      </w:pPr>
      <w:rPr>
        <w:rFonts w:hint="default"/>
      </w:rPr>
    </w:lvl>
  </w:abstractNum>
  <w:abstractNum w:abstractNumId="20" w15:restartNumberingAfterBreak="0">
    <w:nsid w:val="4AE31E6A"/>
    <w:multiLevelType w:val="hybridMultilevel"/>
    <w:tmpl w:val="EE1A1666"/>
    <w:lvl w:ilvl="0" w:tplc="950A123A">
      <w:start w:val="1"/>
      <w:numFmt w:val="upperLetter"/>
      <w:lvlText w:val="%1."/>
      <w:lvlJc w:val="left"/>
      <w:pPr>
        <w:ind w:left="1068" w:hanging="360"/>
      </w:pPr>
      <w:rPr>
        <w:rFonts w:ascii="Verdana" w:hAnsi="Verdana" w:hint="default"/>
        <w:b/>
        <w:i/>
        <w:color w:val="auto"/>
      </w:rPr>
    </w:lvl>
    <w:lvl w:ilvl="1" w:tplc="8A068718">
      <w:start w:val="1"/>
      <w:numFmt w:val="lowerLetter"/>
      <w:lvlText w:val="%2."/>
      <w:lvlJc w:val="left"/>
      <w:pPr>
        <w:ind w:left="1353" w:hanging="360"/>
      </w:pPr>
      <w:rPr>
        <w:rFonts w:hint="default"/>
        <w:i w:val="0"/>
      </w:r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1" w15:restartNumberingAfterBreak="0">
    <w:nsid w:val="4B816867"/>
    <w:multiLevelType w:val="hybridMultilevel"/>
    <w:tmpl w:val="6E60F4A8"/>
    <w:lvl w:ilvl="0" w:tplc="FFFFFFFF">
      <w:start w:val="1"/>
      <w:numFmt w:val="lowerLetter"/>
      <w:lvlText w:val="%1)"/>
      <w:lvlJc w:val="left"/>
      <w:pPr>
        <w:ind w:left="1069" w:hanging="360"/>
      </w:pPr>
      <w:rPr>
        <w:rFonts w:hint="default"/>
        <w:b w:val="0"/>
        <w:i/>
        <w:i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2" w15:restartNumberingAfterBreak="0">
    <w:nsid w:val="4CCD1B5F"/>
    <w:multiLevelType w:val="hybridMultilevel"/>
    <w:tmpl w:val="8B7223F6"/>
    <w:lvl w:ilvl="0" w:tplc="B3E6F204">
      <w:start w:val="1"/>
      <w:numFmt w:val="decimal"/>
      <w:lvlText w:val="%1."/>
      <w:lvlJc w:val="left"/>
      <w:pPr>
        <w:ind w:left="2628" w:hanging="360"/>
      </w:pPr>
      <w:rPr>
        <w:rFonts w:ascii="Verdana" w:eastAsia="Batang" w:hAnsi="Verdana" w:cs="Times"/>
        <w:b w:val="0"/>
        <w:i w:val="0"/>
        <w:color w:val="auto"/>
        <w:sz w:val="20"/>
        <w:szCs w:val="20"/>
        <w:lang w:val="es-ES_tradnl"/>
      </w:rPr>
    </w:lvl>
    <w:lvl w:ilvl="1" w:tplc="60BEF894">
      <w:start w:val="1"/>
      <w:numFmt w:val="decimal"/>
      <w:lvlText w:val="%2)"/>
      <w:lvlJc w:val="left"/>
      <w:pPr>
        <w:ind w:left="1637" w:hanging="360"/>
      </w:pPr>
      <w:rPr>
        <w:rFonts w:hint="default"/>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3" w15:restartNumberingAfterBreak="0">
    <w:nsid w:val="4DC94DA0"/>
    <w:multiLevelType w:val="hybridMultilevel"/>
    <w:tmpl w:val="E066369E"/>
    <w:lvl w:ilvl="0" w:tplc="9F6C78B6">
      <w:start w:val="1"/>
      <w:numFmt w:val="decimal"/>
      <w:lvlText w:val="%1."/>
      <w:lvlJc w:val="left"/>
      <w:pPr>
        <w:ind w:left="4052" w:hanging="360"/>
      </w:pPr>
      <w:rPr>
        <w:rFonts w:ascii="Verdana" w:hAnsi="Verdana" w:hint="default"/>
        <w:b w:val="0"/>
        <w:i w:val="0"/>
      </w:rPr>
    </w:lvl>
    <w:lvl w:ilvl="1" w:tplc="0C0A0019">
      <w:start w:val="1"/>
      <w:numFmt w:val="lowerLetter"/>
      <w:lvlText w:val="%2."/>
      <w:lvlJc w:val="left"/>
      <w:pPr>
        <w:ind w:left="5132" w:hanging="360"/>
      </w:pPr>
    </w:lvl>
    <w:lvl w:ilvl="2" w:tplc="0C0A001B" w:tentative="1">
      <w:start w:val="1"/>
      <w:numFmt w:val="lowerRoman"/>
      <w:lvlText w:val="%3."/>
      <w:lvlJc w:val="right"/>
      <w:pPr>
        <w:ind w:left="5852" w:hanging="180"/>
      </w:pPr>
    </w:lvl>
    <w:lvl w:ilvl="3" w:tplc="0C0A000F" w:tentative="1">
      <w:start w:val="1"/>
      <w:numFmt w:val="decimal"/>
      <w:lvlText w:val="%4."/>
      <w:lvlJc w:val="left"/>
      <w:pPr>
        <w:ind w:left="6572" w:hanging="360"/>
      </w:pPr>
    </w:lvl>
    <w:lvl w:ilvl="4" w:tplc="0C0A0019" w:tentative="1">
      <w:start w:val="1"/>
      <w:numFmt w:val="lowerLetter"/>
      <w:lvlText w:val="%5."/>
      <w:lvlJc w:val="left"/>
      <w:pPr>
        <w:ind w:left="7292" w:hanging="360"/>
      </w:pPr>
    </w:lvl>
    <w:lvl w:ilvl="5" w:tplc="0C0A001B" w:tentative="1">
      <w:start w:val="1"/>
      <w:numFmt w:val="lowerRoman"/>
      <w:lvlText w:val="%6."/>
      <w:lvlJc w:val="right"/>
      <w:pPr>
        <w:ind w:left="8012" w:hanging="180"/>
      </w:pPr>
    </w:lvl>
    <w:lvl w:ilvl="6" w:tplc="0C0A000F" w:tentative="1">
      <w:start w:val="1"/>
      <w:numFmt w:val="decimal"/>
      <w:lvlText w:val="%7."/>
      <w:lvlJc w:val="left"/>
      <w:pPr>
        <w:ind w:left="8732" w:hanging="360"/>
      </w:pPr>
    </w:lvl>
    <w:lvl w:ilvl="7" w:tplc="0C0A0019" w:tentative="1">
      <w:start w:val="1"/>
      <w:numFmt w:val="lowerLetter"/>
      <w:lvlText w:val="%8."/>
      <w:lvlJc w:val="left"/>
      <w:pPr>
        <w:ind w:left="9452" w:hanging="360"/>
      </w:pPr>
    </w:lvl>
    <w:lvl w:ilvl="8" w:tplc="0C0A001B" w:tentative="1">
      <w:start w:val="1"/>
      <w:numFmt w:val="lowerRoman"/>
      <w:lvlText w:val="%9."/>
      <w:lvlJc w:val="right"/>
      <w:pPr>
        <w:ind w:left="10172" w:hanging="180"/>
      </w:pPr>
    </w:lvl>
  </w:abstractNum>
  <w:abstractNum w:abstractNumId="24" w15:restartNumberingAfterBreak="0">
    <w:nsid w:val="4EE61120"/>
    <w:multiLevelType w:val="hybridMultilevel"/>
    <w:tmpl w:val="67F248C2"/>
    <w:lvl w:ilvl="0" w:tplc="8A3219A0">
      <w:start w:val="1"/>
      <w:numFmt w:val="decimal"/>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5" w15:restartNumberingAfterBreak="0">
    <w:nsid w:val="529A236B"/>
    <w:multiLevelType w:val="hybridMultilevel"/>
    <w:tmpl w:val="6E60F4A8"/>
    <w:lvl w:ilvl="0" w:tplc="FFFFFFFF">
      <w:start w:val="1"/>
      <w:numFmt w:val="lowerLetter"/>
      <w:lvlText w:val="%1)"/>
      <w:lvlJc w:val="left"/>
      <w:pPr>
        <w:ind w:left="1069" w:hanging="360"/>
      </w:pPr>
      <w:rPr>
        <w:rFonts w:hint="default"/>
        <w:b w:val="0"/>
        <w:i/>
        <w:i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5A245C34"/>
    <w:multiLevelType w:val="multilevel"/>
    <w:tmpl w:val="34D66164"/>
    <w:lvl w:ilvl="0">
      <w:start w:val="15"/>
      <w:numFmt w:val="decimal"/>
      <w:lvlText w:val="%1."/>
      <w:lvlJc w:val="left"/>
      <w:pPr>
        <w:ind w:left="120" w:hanging="567"/>
      </w:pPr>
      <w:rPr>
        <w:rFonts w:ascii="Verdana" w:eastAsia="Verdana" w:hAnsi="Verdana" w:cs="Verdana" w:hint="default"/>
        <w:b w:val="0"/>
        <w:w w:val="100"/>
        <w:sz w:val="20"/>
        <w:szCs w:val="20"/>
      </w:rPr>
    </w:lvl>
    <w:lvl w:ilvl="1">
      <w:start w:val="1"/>
      <w:numFmt w:val="upperLetter"/>
      <w:lvlText w:val="%2."/>
      <w:lvlJc w:val="left"/>
      <w:pPr>
        <w:ind w:left="839" w:hanging="361"/>
      </w:pPr>
      <w:rPr>
        <w:rFonts w:ascii="Verdana" w:eastAsia="Verdana" w:hAnsi="Verdana" w:cs="Verdana" w:hint="default"/>
        <w:b/>
        <w:bCs/>
        <w:spacing w:val="-2"/>
        <w:w w:val="100"/>
        <w:sz w:val="20"/>
        <w:szCs w:val="20"/>
      </w:rPr>
    </w:lvl>
    <w:lvl w:ilvl="2">
      <w:start w:val="1"/>
      <w:numFmt w:val="decimal"/>
      <w:lvlText w:val="%2.%3."/>
      <w:lvlJc w:val="left"/>
      <w:pPr>
        <w:ind w:left="839" w:hanging="662"/>
      </w:pPr>
      <w:rPr>
        <w:rFonts w:ascii="Verdana" w:eastAsia="Verdana" w:hAnsi="Verdana" w:cs="Verdana" w:hint="default"/>
        <w:b/>
        <w:bCs/>
        <w:i/>
        <w:spacing w:val="-2"/>
        <w:w w:val="99"/>
        <w:sz w:val="20"/>
        <w:szCs w:val="20"/>
      </w:rPr>
    </w:lvl>
    <w:lvl w:ilvl="3">
      <w:numFmt w:val="bullet"/>
      <w:lvlText w:val="•"/>
      <w:lvlJc w:val="left"/>
      <w:pPr>
        <w:ind w:left="2786" w:hanging="662"/>
      </w:pPr>
      <w:rPr>
        <w:rFonts w:hint="default"/>
      </w:rPr>
    </w:lvl>
    <w:lvl w:ilvl="4">
      <w:numFmt w:val="bullet"/>
      <w:lvlText w:val="•"/>
      <w:lvlJc w:val="left"/>
      <w:pPr>
        <w:ind w:left="3760" w:hanging="662"/>
      </w:pPr>
      <w:rPr>
        <w:rFonts w:hint="default"/>
      </w:rPr>
    </w:lvl>
    <w:lvl w:ilvl="5">
      <w:numFmt w:val="bullet"/>
      <w:lvlText w:val="•"/>
      <w:lvlJc w:val="left"/>
      <w:pPr>
        <w:ind w:left="4733" w:hanging="662"/>
      </w:pPr>
      <w:rPr>
        <w:rFonts w:hint="default"/>
      </w:rPr>
    </w:lvl>
    <w:lvl w:ilvl="6">
      <w:numFmt w:val="bullet"/>
      <w:lvlText w:val="•"/>
      <w:lvlJc w:val="left"/>
      <w:pPr>
        <w:ind w:left="5706" w:hanging="662"/>
      </w:pPr>
      <w:rPr>
        <w:rFonts w:hint="default"/>
      </w:rPr>
    </w:lvl>
    <w:lvl w:ilvl="7">
      <w:numFmt w:val="bullet"/>
      <w:lvlText w:val="•"/>
      <w:lvlJc w:val="left"/>
      <w:pPr>
        <w:ind w:left="6680" w:hanging="662"/>
      </w:pPr>
      <w:rPr>
        <w:rFonts w:hint="default"/>
      </w:rPr>
    </w:lvl>
    <w:lvl w:ilvl="8">
      <w:numFmt w:val="bullet"/>
      <w:lvlText w:val="•"/>
      <w:lvlJc w:val="left"/>
      <w:pPr>
        <w:ind w:left="7653" w:hanging="662"/>
      </w:pPr>
      <w:rPr>
        <w:rFonts w:hint="default"/>
      </w:rPr>
    </w:lvl>
  </w:abstractNum>
  <w:abstractNum w:abstractNumId="27" w15:restartNumberingAfterBreak="0">
    <w:nsid w:val="5DB54265"/>
    <w:multiLevelType w:val="hybridMultilevel"/>
    <w:tmpl w:val="1E142FCE"/>
    <w:lvl w:ilvl="0" w:tplc="FFFFFFFF">
      <w:start w:val="1"/>
      <w:numFmt w:val="upperLetter"/>
      <w:lvlText w:val="%1."/>
      <w:lvlJc w:val="left"/>
      <w:pPr>
        <w:ind w:left="720" w:hanging="360"/>
      </w:pPr>
      <w:rPr>
        <w:rFonts w:ascii="Verdana" w:hAnsi="Verdana" w:hint="default"/>
        <w:b/>
        <w:i/>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BF55E8C"/>
    <w:multiLevelType w:val="hybridMultilevel"/>
    <w:tmpl w:val="652817C6"/>
    <w:lvl w:ilvl="0" w:tplc="3A04FE80">
      <w:start w:val="1"/>
      <w:numFmt w:val="upperLetter"/>
      <w:lvlText w:val="%1."/>
      <w:lvlJc w:val="left"/>
      <w:pPr>
        <w:ind w:left="720" w:hanging="360"/>
      </w:pPr>
      <w:rPr>
        <w:rFonts w:ascii="Verdana" w:hAnsi="Verdana" w:hint="default"/>
        <w:b/>
        <w:i/>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6BFE34E8"/>
    <w:multiLevelType w:val="hybridMultilevel"/>
    <w:tmpl w:val="E312EF28"/>
    <w:lvl w:ilvl="0" w:tplc="865CDBC8">
      <w:start w:val="1"/>
      <w:numFmt w:val="lowerLetter"/>
      <w:lvlText w:val="%1)"/>
      <w:lvlJc w:val="left"/>
      <w:pPr>
        <w:ind w:left="1069" w:hanging="360"/>
      </w:pPr>
      <w:rPr>
        <w:rFonts w:hint="default"/>
        <w:b w:val="0"/>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30"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0885943"/>
    <w:multiLevelType w:val="hybridMultilevel"/>
    <w:tmpl w:val="46DA7608"/>
    <w:lvl w:ilvl="0" w:tplc="FFFFFFFF">
      <w:start w:val="1"/>
      <w:numFmt w:val="upperLetter"/>
      <w:lvlText w:val="%1."/>
      <w:lvlJc w:val="left"/>
      <w:pPr>
        <w:ind w:left="720" w:hanging="360"/>
      </w:pPr>
      <w:rPr>
        <w:rFonts w:ascii="Verdana" w:hAnsi="Verdana" w:hint="default"/>
        <w:b w:val="0"/>
        <w:bCs/>
        <w:i/>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914B93"/>
    <w:multiLevelType w:val="hybridMultilevel"/>
    <w:tmpl w:val="60AAEFBC"/>
    <w:lvl w:ilvl="0" w:tplc="9A1EE3C6">
      <w:start w:val="107"/>
      <w:numFmt w:val="decimal"/>
      <w:lvlText w:val="%1."/>
      <w:lvlJc w:val="left"/>
      <w:pPr>
        <w:ind w:left="795" w:hanging="360"/>
      </w:pPr>
      <w:rPr>
        <w:rFonts w:ascii="Verdana" w:hAnsi="Verdana" w:hint="default"/>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750C2010"/>
    <w:multiLevelType w:val="hybridMultilevel"/>
    <w:tmpl w:val="904C2406"/>
    <w:lvl w:ilvl="0" w:tplc="7FF2D5E8">
      <w:start w:val="1"/>
      <w:numFmt w:val="decimal"/>
      <w:lvlText w:val="%1."/>
      <w:lvlJc w:val="left"/>
      <w:pPr>
        <w:ind w:left="8298"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753A80"/>
    <w:multiLevelType w:val="hybridMultilevel"/>
    <w:tmpl w:val="1BD640DA"/>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A89E6920">
      <w:start w:val="2"/>
      <w:numFmt w:val="lowerLetter"/>
      <w:lvlText w:val="%6)"/>
      <w:lvlJc w:val="left"/>
      <w:pPr>
        <w:ind w:left="4358" w:hanging="360"/>
      </w:pPr>
      <w:rPr>
        <w:rFonts w:hint="default"/>
      </w:rPr>
    </w:lvl>
    <w:lvl w:ilvl="6" w:tplc="3CE21120">
      <w:start w:val="30"/>
      <w:numFmt w:val="upperRoman"/>
      <w:lvlText w:val="%7."/>
      <w:lvlJc w:val="left"/>
      <w:pPr>
        <w:ind w:left="5258" w:hanging="720"/>
      </w:pPr>
      <w:rPr>
        <w:rFonts w:hint="default"/>
      </w:rPr>
    </w:lvl>
    <w:lvl w:ilvl="7" w:tplc="70BC4DC6">
      <w:start w:val="1"/>
      <w:numFmt w:val="upperLetter"/>
      <w:lvlText w:val="%8)"/>
      <w:lvlJc w:val="left"/>
      <w:pPr>
        <w:ind w:left="5618" w:hanging="360"/>
      </w:pPr>
      <w:rPr>
        <w:rFonts w:hint="default"/>
      </w:rPr>
    </w:lvl>
    <w:lvl w:ilvl="8" w:tplc="2C0A001B" w:tentative="1">
      <w:start w:val="1"/>
      <w:numFmt w:val="lowerRoman"/>
      <w:lvlText w:val="%9."/>
      <w:lvlJc w:val="right"/>
      <w:pPr>
        <w:ind w:left="6338" w:hanging="180"/>
      </w:pPr>
    </w:lvl>
  </w:abstractNum>
  <w:abstractNum w:abstractNumId="35" w15:restartNumberingAfterBreak="0">
    <w:nsid w:val="778A4935"/>
    <w:multiLevelType w:val="hybridMultilevel"/>
    <w:tmpl w:val="1E142FCE"/>
    <w:lvl w:ilvl="0" w:tplc="3A04FE80">
      <w:start w:val="1"/>
      <w:numFmt w:val="upperLetter"/>
      <w:lvlText w:val="%1."/>
      <w:lvlJc w:val="left"/>
      <w:pPr>
        <w:ind w:left="720" w:hanging="360"/>
      </w:pPr>
      <w:rPr>
        <w:rFonts w:ascii="Verdana" w:hAnsi="Verdana" w:hint="default"/>
        <w:b/>
        <w:i/>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6" w15:restartNumberingAfterBreak="0">
    <w:nsid w:val="786F094D"/>
    <w:multiLevelType w:val="hybridMultilevel"/>
    <w:tmpl w:val="1E142FCE"/>
    <w:lvl w:ilvl="0" w:tplc="FFFFFFFF">
      <w:start w:val="1"/>
      <w:numFmt w:val="upperLetter"/>
      <w:lvlText w:val="%1."/>
      <w:lvlJc w:val="left"/>
      <w:pPr>
        <w:ind w:left="720" w:hanging="360"/>
      </w:pPr>
      <w:rPr>
        <w:rFonts w:ascii="Verdana" w:hAnsi="Verdana" w:hint="default"/>
        <w:b/>
        <w:i/>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9354707"/>
    <w:multiLevelType w:val="hybridMultilevel"/>
    <w:tmpl w:val="BDF00F96"/>
    <w:lvl w:ilvl="0" w:tplc="68F4B366">
      <w:start w:val="1"/>
      <w:numFmt w:val="decimal"/>
      <w:lvlText w:val="%1."/>
      <w:lvlJc w:val="left"/>
      <w:pPr>
        <w:ind w:left="825" w:hanging="825"/>
      </w:pPr>
      <w:rPr>
        <w:rFonts w:ascii="Verdana" w:eastAsia="Verdana" w:hAnsi="Verdana" w:cs="Verdana" w:hint="default"/>
        <w:b w:val="0"/>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8"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651913914">
    <w:abstractNumId w:val="34"/>
  </w:num>
  <w:num w:numId="2" w16cid:durableId="773549614">
    <w:abstractNumId w:val="22"/>
  </w:num>
  <w:num w:numId="3" w16cid:durableId="1925720598">
    <w:abstractNumId w:val="38"/>
  </w:num>
  <w:num w:numId="4" w16cid:durableId="389037054">
    <w:abstractNumId w:val="0"/>
  </w:num>
  <w:num w:numId="5" w16cid:durableId="949311960">
    <w:abstractNumId w:val="4"/>
  </w:num>
  <w:num w:numId="6" w16cid:durableId="1562906783">
    <w:abstractNumId w:val="8"/>
  </w:num>
  <w:num w:numId="7" w16cid:durableId="283969977">
    <w:abstractNumId w:val="30"/>
  </w:num>
  <w:num w:numId="8" w16cid:durableId="1113745340">
    <w:abstractNumId w:val="35"/>
  </w:num>
  <w:num w:numId="9" w16cid:durableId="801112855">
    <w:abstractNumId w:val="28"/>
  </w:num>
  <w:num w:numId="10" w16cid:durableId="382294821">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4231295">
    <w:abstractNumId w:val="16"/>
  </w:num>
  <w:num w:numId="12" w16cid:durableId="1560819224">
    <w:abstractNumId w:val="17"/>
  </w:num>
  <w:num w:numId="13" w16cid:durableId="668794937">
    <w:abstractNumId w:val="18"/>
  </w:num>
  <w:num w:numId="14" w16cid:durableId="1542591964">
    <w:abstractNumId w:val="29"/>
  </w:num>
  <w:num w:numId="15" w16cid:durableId="1917351728">
    <w:abstractNumId w:val="11"/>
  </w:num>
  <w:num w:numId="16" w16cid:durableId="2048681606">
    <w:abstractNumId w:val="36"/>
  </w:num>
  <w:num w:numId="17" w16cid:durableId="1600210735">
    <w:abstractNumId w:val="27"/>
  </w:num>
  <w:num w:numId="18" w16cid:durableId="358822583">
    <w:abstractNumId w:val="7"/>
  </w:num>
  <w:num w:numId="19" w16cid:durableId="47337089">
    <w:abstractNumId w:val="12"/>
  </w:num>
  <w:num w:numId="20" w16cid:durableId="383336713">
    <w:abstractNumId w:val="31"/>
  </w:num>
  <w:num w:numId="21" w16cid:durableId="1634284546">
    <w:abstractNumId w:val="19"/>
  </w:num>
  <w:num w:numId="22" w16cid:durableId="651955411">
    <w:abstractNumId w:val="26"/>
  </w:num>
  <w:num w:numId="23" w16cid:durableId="1606111522">
    <w:abstractNumId w:val="6"/>
  </w:num>
  <w:num w:numId="24" w16cid:durableId="1108280874">
    <w:abstractNumId w:val="24"/>
  </w:num>
  <w:num w:numId="25" w16cid:durableId="97263375">
    <w:abstractNumId w:val="20"/>
  </w:num>
  <w:num w:numId="26" w16cid:durableId="155268852">
    <w:abstractNumId w:val="1"/>
  </w:num>
  <w:num w:numId="27" w16cid:durableId="1820730283">
    <w:abstractNumId w:val="2"/>
  </w:num>
  <w:num w:numId="28" w16cid:durableId="1551377507">
    <w:abstractNumId w:val="14"/>
  </w:num>
  <w:num w:numId="29" w16cid:durableId="2112047410">
    <w:abstractNumId w:val="21"/>
  </w:num>
  <w:num w:numId="30" w16cid:durableId="2002467715">
    <w:abstractNumId w:val="5"/>
  </w:num>
  <w:num w:numId="31" w16cid:durableId="76484040">
    <w:abstractNumId w:val="32"/>
  </w:num>
  <w:num w:numId="32" w16cid:durableId="649137308">
    <w:abstractNumId w:val="9"/>
  </w:num>
  <w:num w:numId="33" w16cid:durableId="1649434024">
    <w:abstractNumId w:val="33"/>
  </w:num>
  <w:num w:numId="34" w16cid:durableId="173423106">
    <w:abstractNumId w:val="25"/>
  </w:num>
  <w:num w:numId="35" w16cid:durableId="846020457">
    <w:abstractNumId w:val="23"/>
  </w:num>
  <w:num w:numId="36" w16cid:durableId="486626886">
    <w:abstractNumId w:val="13"/>
  </w:num>
  <w:num w:numId="37" w16cid:durableId="1815216439">
    <w:abstractNumId w:val="37"/>
  </w:num>
  <w:num w:numId="38" w16cid:durableId="2026468973">
    <w:abstractNumId w:val="3"/>
  </w:num>
  <w:num w:numId="39" w16cid:durableId="1384795137">
    <w:abstractNumId w:val="15"/>
  </w:num>
  <w:num w:numId="40" w16cid:durableId="599262119">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s-GT"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pt-BR" w:vendorID="64" w:dllVersion="0" w:nlCheck="1" w:checkStyle="0"/>
  <w:activeWritingStyle w:appName="MSWord" w:lang="es-CO" w:vendorID="64" w:dllVersion="0" w:nlCheck="1" w:checkStyle="0"/>
  <w:activeWritingStyle w:appName="MSWord" w:lang="es-CR" w:vendorID="64" w:dllVersion="0" w:nlCheck="1" w:checkStyle="0"/>
  <w:activeWritingStyle w:appName="MSWord" w:lang="es-US" w:vendorID="64" w:dllVersion="0" w:nlCheck="1" w:checkStyle="0"/>
  <w:activeWritingStyle w:appName="MSWord" w:lang="es-MX" w:vendorID="64" w:dllVersion="0" w:nlCheck="1" w:checkStyle="0"/>
  <w:activeWritingStyle w:appName="MSWord" w:lang="es-PE" w:vendorID="64" w:dllVersion="0" w:nlCheck="1" w:checkStyle="0"/>
  <w:activeWritingStyle w:appName="MSWord" w:lang="es-PR" w:vendorID="64" w:dllVersion="0" w:nlCheck="1" w:checkStyle="0"/>
  <w:defaultTabStop w:val="709"/>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3BF"/>
    <w:rsid w:val="000004C8"/>
    <w:rsid w:val="00000C5B"/>
    <w:rsid w:val="00000CA3"/>
    <w:rsid w:val="0000150A"/>
    <w:rsid w:val="00001AF9"/>
    <w:rsid w:val="00001CAC"/>
    <w:rsid w:val="00001CEE"/>
    <w:rsid w:val="0000203B"/>
    <w:rsid w:val="000020B3"/>
    <w:rsid w:val="00002549"/>
    <w:rsid w:val="000029BF"/>
    <w:rsid w:val="00002A6C"/>
    <w:rsid w:val="00002B7F"/>
    <w:rsid w:val="00002D1A"/>
    <w:rsid w:val="00003400"/>
    <w:rsid w:val="00003416"/>
    <w:rsid w:val="000042BE"/>
    <w:rsid w:val="00004DE6"/>
    <w:rsid w:val="0000504F"/>
    <w:rsid w:val="00005409"/>
    <w:rsid w:val="00005558"/>
    <w:rsid w:val="000055C4"/>
    <w:rsid w:val="000055D9"/>
    <w:rsid w:val="0000572E"/>
    <w:rsid w:val="000058DC"/>
    <w:rsid w:val="00005BD2"/>
    <w:rsid w:val="00005E79"/>
    <w:rsid w:val="00005EA4"/>
    <w:rsid w:val="0000613A"/>
    <w:rsid w:val="00006467"/>
    <w:rsid w:val="000065F7"/>
    <w:rsid w:val="00006CFF"/>
    <w:rsid w:val="00006D17"/>
    <w:rsid w:val="00006E7D"/>
    <w:rsid w:val="000076C6"/>
    <w:rsid w:val="00007A09"/>
    <w:rsid w:val="00010070"/>
    <w:rsid w:val="00010945"/>
    <w:rsid w:val="00010B48"/>
    <w:rsid w:val="00011404"/>
    <w:rsid w:val="00011691"/>
    <w:rsid w:val="000119DA"/>
    <w:rsid w:val="00011B21"/>
    <w:rsid w:val="00012965"/>
    <w:rsid w:val="00013ACF"/>
    <w:rsid w:val="00014317"/>
    <w:rsid w:val="0001494F"/>
    <w:rsid w:val="00014A28"/>
    <w:rsid w:val="00014A31"/>
    <w:rsid w:val="00014C1A"/>
    <w:rsid w:val="00014E4C"/>
    <w:rsid w:val="00015025"/>
    <w:rsid w:val="00015301"/>
    <w:rsid w:val="00015551"/>
    <w:rsid w:val="00015AF3"/>
    <w:rsid w:val="00015DC0"/>
    <w:rsid w:val="00015F81"/>
    <w:rsid w:val="0001645C"/>
    <w:rsid w:val="000165F5"/>
    <w:rsid w:val="00016EAA"/>
    <w:rsid w:val="00016ED8"/>
    <w:rsid w:val="00016F3D"/>
    <w:rsid w:val="00016F7B"/>
    <w:rsid w:val="000174DC"/>
    <w:rsid w:val="000175CB"/>
    <w:rsid w:val="0001767E"/>
    <w:rsid w:val="00017706"/>
    <w:rsid w:val="000200CA"/>
    <w:rsid w:val="00020388"/>
    <w:rsid w:val="00020808"/>
    <w:rsid w:val="00020840"/>
    <w:rsid w:val="00020DCA"/>
    <w:rsid w:val="00021238"/>
    <w:rsid w:val="000214B1"/>
    <w:rsid w:val="00021A9D"/>
    <w:rsid w:val="00021DFA"/>
    <w:rsid w:val="00021F80"/>
    <w:rsid w:val="0002275F"/>
    <w:rsid w:val="00022957"/>
    <w:rsid w:val="00022A58"/>
    <w:rsid w:val="00022AEF"/>
    <w:rsid w:val="00022EA1"/>
    <w:rsid w:val="00022ED0"/>
    <w:rsid w:val="00022F63"/>
    <w:rsid w:val="0002335A"/>
    <w:rsid w:val="00023B88"/>
    <w:rsid w:val="00023DAD"/>
    <w:rsid w:val="00024184"/>
    <w:rsid w:val="0002422A"/>
    <w:rsid w:val="00024A60"/>
    <w:rsid w:val="00024C25"/>
    <w:rsid w:val="0002535F"/>
    <w:rsid w:val="000253C9"/>
    <w:rsid w:val="00025534"/>
    <w:rsid w:val="00025A60"/>
    <w:rsid w:val="00025AA4"/>
    <w:rsid w:val="00025ABA"/>
    <w:rsid w:val="00025DBA"/>
    <w:rsid w:val="00025E88"/>
    <w:rsid w:val="00025E94"/>
    <w:rsid w:val="00025F9B"/>
    <w:rsid w:val="000262FA"/>
    <w:rsid w:val="00026703"/>
    <w:rsid w:val="00026815"/>
    <w:rsid w:val="00026AD5"/>
    <w:rsid w:val="00027A6E"/>
    <w:rsid w:val="00027C44"/>
    <w:rsid w:val="0003029E"/>
    <w:rsid w:val="0003048A"/>
    <w:rsid w:val="00030707"/>
    <w:rsid w:val="00030D44"/>
    <w:rsid w:val="00030FC5"/>
    <w:rsid w:val="0003229B"/>
    <w:rsid w:val="00032367"/>
    <w:rsid w:val="00032585"/>
    <w:rsid w:val="00032A66"/>
    <w:rsid w:val="00032BBF"/>
    <w:rsid w:val="00032E12"/>
    <w:rsid w:val="000334D5"/>
    <w:rsid w:val="0003407D"/>
    <w:rsid w:val="00034284"/>
    <w:rsid w:val="00034536"/>
    <w:rsid w:val="000347DE"/>
    <w:rsid w:val="00035014"/>
    <w:rsid w:val="000354B8"/>
    <w:rsid w:val="00035845"/>
    <w:rsid w:val="00035937"/>
    <w:rsid w:val="00035A91"/>
    <w:rsid w:val="00035C05"/>
    <w:rsid w:val="00036161"/>
    <w:rsid w:val="00036BEE"/>
    <w:rsid w:val="00036CC4"/>
    <w:rsid w:val="00036DB9"/>
    <w:rsid w:val="00037198"/>
    <w:rsid w:val="0003773F"/>
    <w:rsid w:val="00037863"/>
    <w:rsid w:val="0003786A"/>
    <w:rsid w:val="00037A5B"/>
    <w:rsid w:val="00037B35"/>
    <w:rsid w:val="00037B85"/>
    <w:rsid w:val="00037C0D"/>
    <w:rsid w:val="00037EE5"/>
    <w:rsid w:val="0004037E"/>
    <w:rsid w:val="00040AF1"/>
    <w:rsid w:val="00040F46"/>
    <w:rsid w:val="00041153"/>
    <w:rsid w:val="00041228"/>
    <w:rsid w:val="0004135A"/>
    <w:rsid w:val="00041AD3"/>
    <w:rsid w:val="00042B75"/>
    <w:rsid w:val="00042FD0"/>
    <w:rsid w:val="000432AA"/>
    <w:rsid w:val="0004332F"/>
    <w:rsid w:val="0004333F"/>
    <w:rsid w:val="000435E0"/>
    <w:rsid w:val="00043C2C"/>
    <w:rsid w:val="00044145"/>
    <w:rsid w:val="000442E3"/>
    <w:rsid w:val="000446D2"/>
    <w:rsid w:val="0004473F"/>
    <w:rsid w:val="00044959"/>
    <w:rsid w:val="00044989"/>
    <w:rsid w:val="00044C32"/>
    <w:rsid w:val="000451EC"/>
    <w:rsid w:val="00045309"/>
    <w:rsid w:val="0004571C"/>
    <w:rsid w:val="00045CC8"/>
    <w:rsid w:val="000460A5"/>
    <w:rsid w:val="000461EC"/>
    <w:rsid w:val="0004634F"/>
    <w:rsid w:val="000465BB"/>
    <w:rsid w:val="00046C7E"/>
    <w:rsid w:val="00047561"/>
    <w:rsid w:val="00047DDC"/>
    <w:rsid w:val="00050216"/>
    <w:rsid w:val="000506A9"/>
    <w:rsid w:val="0005099A"/>
    <w:rsid w:val="00050F96"/>
    <w:rsid w:val="00051000"/>
    <w:rsid w:val="0005101B"/>
    <w:rsid w:val="00051498"/>
    <w:rsid w:val="00051875"/>
    <w:rsid w:val="00051EAD"/>
    <w:rsid w:val="0005278C"/>
    <w:rsid w:val="000528F3"/>
    <w:rsid w:val="00052927"/>
    <w:rsid w:val="00052CCA"/>
    <w:rsid w:val="00052CFA"/>
    <w:rsid w:val="00053304"/>
    <w:rsid w:val="0005367E"/>
    <w:rsid w:val="000538FF"/>
    <w:rsid w:val="00053C9B"/>
    <w:rsid w:val="00053D7B"/>
    <w:rsid w:val="00054029"/>
    <w:rsid w:val="00054110"/>
    <w:rsid w:val="0005430C"/>
    <w:rsid w:val="00054512"/>
    <w:rsid w:val="0005488A"/>
    <w:rsid w:val="000548D7"/>
    <w:rsid w:val="000549FB"/>
    <w:rsid w:val="00055116"/>
    <w:rsid w:val="000557DA"/>
    <w:rsid w:val="000559E2"/>
    <w:rsid w:val="00055FC4"/>
    <w:rsid w:val="000566F6"/>
    <w:rsid w:val="000569F0"/>
    <w:rsid w:val="00056B63"/>
    <w:rsid w:val="00056BAE"/>
    <w:rsid w:val="00057525"/>
    <w:rsid w:val="00057592"/>
    <w:rsid w:val="00057A46"/>
    <w:rsid w:val="00060121"/>
    <w:rsid w:val="00060529"/>
    <w:rsid w:val="000609F8"/>
    <w:rsid w:val="00061656"/>
    <w:rsid w:val="000616D3"/>
    <w:rsid w:val="0006277D"/>
    <w:rsid w:val="00062951"/>
    <w:rsid w:val="00062B79"/>
    <w:rsid w:val="00062D6C"/>
    <w:rsid w:val="000638FA"/>
    <w:rsid w:val="00063E30"/>
    <w:rsid w:val="00064038"/>
    <w:rsid w:val="000646E2"/>
    <w:rsid w:val="00064859"/>
    <w:rsid w:val="000654F1"/>
    <w:rsid w:val="000655BB"/>
    <w:rsid w:val="00065B84"/>
    <w:rsid w:val="0006604D"/>
    <w:rsid w:val="00066738"/>
    <w:rsid w:val="000669AD"/>
    <w:rsid w:val="00066CB5"/>
    <w:rsid w:val="00066D30"/>
    <w:rsid w:val="00067058"/>
    <w:rsid w:val="00067960"/>
    <w:rsid w:val="00067A0C"/>
    <w:rsid w:val="00067F0C"/>
    <w:rsid w:val="0007057F"/>
    <w:rsid w:val="000707C0"/>
    <w:rsid w:val="000707C9"/>
    <w:rsid w:val="00070CFE"/>
    <w:rsid w:val="00071054"/>
    <w:rsid w:val="000717F4"/>
    <w:rsid w:val="00071C64"/>
    <w:rsid w:val="00072009"/>
    <w:rsid w:val="00072094"/>
    <w:rsid w:val="00072218"/>
    <w:rsid w:val="000723FB"/>
    <w:rsid w:val="00072B6B"/>
    <w:rsid w:val="00072CC1"/>
    <w:rsid w:val="00072E63"/>
    <w:rsid w:val="00073120"/>
    <w:rsid w:val="00073C32"/>
    <w:rsid w:val="000743F8"/>
    <w:rsid w:val="00074414"/>
    <w:rsid w:val="00074616"/>
    <w:rsid w:val="0007465C"/>
    <w:rsid w:val="000746F6"/>
    <w:rsid w:val="0007484B"/>
    <w:rsid w:val="0007508D"/>
    <w:rsid w:val="00075271"/>
    <w:rsid w:val="00075C26"/>
    <w:rsid w:val="00075D8A"/>
    <w:rsid w:val="00076548"/>
    <w:rsid w:val="00076599"/>
    <w:rsid w:val="000766D7"/>
    <w:rsid w:val="00076871"/>
    <w:rsid w:val="00076D5E"/>
    <w:rsid w:val="00076F12"/>
    <w:rsid w:val="0007704F"/>
    <w:rsid w:val="00077059"/>
    <w:rsid w:val="0008098B"/>
    <w:rsid w:val="00081990"/>
    <w:rsid w:val="000819FF"/>
    <w:rsid w:val="000822C6"/>
    <w:rsid w:val="0008257F"/>
    <w:rsid w:val="000827DA"/>
    <w:rsid w:val="00082F0F"/>
    <w:rsid w:val="000835E1"/>
    <w:rsid w:val="00083779"/>
    <w:rsid w:val="00083800"/>
    <w:rsid w:val="00083829"/>
    <w:rsid w:val="00083E3B"/>
    <w:rsid w:val="00083F3D"/>
    <w:rsid w:val="00083F48"/>
    <w:rsid w:val="00084244"/>
    <w:rsid w:val="00084636"/>
    <w:rsid w:val="000849EC"/>
    <w:rsid w:val="000850B1"/>
    <w:rsid w:val="000851FD"/>
    <w:rsid w:val="000852DC"/>
    <w:rsid w:val="00085881"/>
    <w:rsid w:val="00085A03"/>
    <w:rsid w:val="00085C3D"/>
    <w:rsid w:val="00085C54"/>
    <w:rsid w:val="00085CA8"/>
    <w:rsid w:val="00085CC1"/>
    <w:rsid w:val="00085E71"/>
    <w:rsid w:val="00086215"/>
    <w:rsid w:val="00086C97"/>
    <w:rsid w:val="00086CBA"/>
    <w:rsid w:val="00086D33"/>
    <w:rsid w:val="00087266"/>
    <w:rsid w:val="0008746E"/>
    <w:rsid w:val="000875AB"/>
    <w:rsid w:val="000876E2"/>
    <w:rsid w:val="00087E06"/>
    <w:rsid w:val="000900E2"/>
    <w:rsid w:val="000900FE"/>
    <w:rsid w:val="0009075E"/>
    <w:rsid w:val="000908A2"/>
    <w:rsid w:val="00090968"/>
    <w:rsid w:val="00091007"/>
    <w:rsid w:val="000914DC"/>
    <w:rsid w:val="00091582"/>
    <w:rsid w:val="00092439"/>
    <w:rsid w:val="00092583"/>
    <w:rsid w:val="00092737"/>
    <w:rsid w:val="00092CDC"/>
    <w:rsid w:val="00092E37"/>
    <w:rsid w:val="000934F5"/>
    <w:rsid w:val="00093ED8"/>
    <w:rsid w:val="0009460D"/>
    <w:rsid w:val="00094BFA"/>
    <w:rsid w:val="00094D4E"/>
    <w:rsid w:val="00094EE7"/>
    <w:rsid w:val="00094FC0"/>
    <w:rsid w:val="00095470"/>
    <w:rsid w:val="000959CA"/>
    <w:rsid w:val="00095AA3"/>
    <w:rsid w:val="00095DAD"/>
    <w:rsid w:val="00095E06"/>
    <w:rsid w:val="0009633C"/>
    <w:rsid w:val="00096441"/>
    <w:rsid w:val="000968EE"/>
    <w:rsid w:val="00096C96"/>
    <w:rsid w:val="000A031C"/>
    <w:rsid w:val="000A0339"/>
    <w:rsid w:val="000A0424"/>
    <w:rsid w:val="000A05CF"/>
    <w:rsid w:val="000A05DB"/>
    <w:rsid w:val="000A0649"/>
    <w:rsid w:val="000A08E2"/>
    <w:rsid w:val="000A090C"/>
    <w:rsid w:val="000A0A3C"/>
    <w:rsid w:val="000A0D20"/>
    <w:rsid w:val="000A0F03"/>
    <w:rsid w:val="000A1063"/>
    <w:rsid w:val="000A1144"/>
    <w:rsid w:val="000A144D"/>
    <w:rsid w:val="000A15F7"/>
    <w:rsid w:val="000A237A"/>
    <w:rsid w:val="000A2C7D"/>
    <w:rsid w:val="000A2E6F"/>
    <w:rsid w:val="000A3025"/>
    <w:rsid w:val="000A33A8"/>
    <w:rsid w:val="000A371C"/>
    <w:rsid w:val="000A37A6"/>
    <w:rsid w:val="000A381B"/>
    <w:rsid w:val="000A3900"/>
    <w:rsid w:val="000A3CE0"/>
    <w:rsid w:val="000A40E3"/>
    <w:rsid w:val="000A447F"/>
    <w:rsid w:val="000A452B"/>
    <w:rsid w:val="000A4687"/>
    <w:rsid w:val="000A4E41"/>
    <w:rsid w:val="000A5171"/>
    <w:rsid w:val="000A5286"/>
    <w:rsid w:val="000A5A9C"/>
    <w:rsid w:val="000A5F63"/>
    <w:rsid w:val="000A62D7"/>
    <w:rsid w:val="000A65F1"/>
    <w:rsid w:val="000A6AE2"/>
    <w:rsid w:val="000A708F"/>
    <w:rsid w:val="000A70BC"/>
    <w:rsid w:val="000A728D"/>
    <w:rsid w:val="000A73B1"/>
    <w:rsid w:val="000A7881"/>
    <w:rsid w:val="000B02A0"/>
    <w:rsid w:val="000B0323"/>
    <w:rsid w:val="000B033D"/>
    <w:rsid w:val="000B04CF"/>
    <w:rsid w:val="000B0607"/>
    <w:rsid w:val="000B0918"/>
    <w:rsid w:val="000B0A49"/>
    <w:rsid w:val="000B163F"/>
    <w:rsid w:val="000B203D"/>
    <w:rsid w:val="000B232E"/>
    <w:rsid w:val="000B26D2"/>
    <w:rsid w:val="000B2836"/>
    <w:rsid w:val="000B294E"/>
    <w:rsid w:val="000B29C5"/>
    <w:rsid w:val="000B2B10"/>
    <w:rsid w:val="000B2ED9"/>
    <w:rsid w:val="000B2FB4"/>
    <w:rsid w:val="000B3131"/>
    <w:rsid w:val="000B32B8"/>
    <w:rsid w:val="000B3391"/>
    <w:rsid w:val="000B365D"/>
    <w:rsid w:val="000B3D54"/>
    <w:rsid w:val="000B3E3D"/>
    <w:rsid w:val="000B40A1"/>
    <w:rsid w:val="000B426C"/>
    <w:rsid w:val="000B45D3"/>
    <w:rsid w:val="000B486F"/>
    <w:rsid w:val="000B4908"/>
    <w:rsid w:val="000B5099"/>
    <w:rsid w:val="000B534A"/>
    <w:rsid w:val="000B53CC"/>
    <w:rsid w:val="000B5E84"/>
    <w:rsid w:val="000B5FEF"/>
    <w:rsid w:val="000B60DB"/>
    <w:rsid w:val="000B61D8"/>
    <w:rsid w:val="000B621A"/>
    <w:rsid w:val="000B6390"/>
    <w:rsid w:val="000B677A"/>
    <w:rsid w:val="000B68D1"/>
    <w:rsid w:val="000B6D6F"/>
    <w:rsid w:val="000B706B"/>
    <w:rsid w:val="000B7870"/>
    <w:rsid w:val="000B7D75"/>
    <w:rsid w:val="000B7E4F"/>
    <w:rsid w:val="000C077B"/>
    <w:rsid w:val="000C140A"/>
    <w:rsid w:val="000C150C"/>
    <w:rsid w:val="000C1530"/>
    <w:rsid w:val="000C18D7"/>
    <w:rsid w:val="000C1E8F"/>
    <w:rsid w:val="000C2134"/>
    <w:rsid w:val="000C2C04"/>
    <w:rsid w:val="000C2DA4"/>
    <w:rsid w:val="000C300B"/>
    <w:rsid w:val="000C3112"/>
    <w:rsid w:val="000C36C3"/>
    <w:rsid w:val="000C41D9"/>
    <w:rsid w:val="000C4365"/>
    <w:rsid w:val="000C450D"/>
    <w:rsid w:val="000C59E0"/>
    <w:rsid w:val="000C5C80"/>
    <w:rsid w:val="000C5CCB"/>
    <w:rsid w:val="000C5E2B"/>
    <w:rsid w:val="000C5EDD"/>
    <w:rsid w:val="000C6100"/>
    <w:rsid w:val="000C611D"/>
    <w:rsid w:val="000C6470"/>
    <w:rsid w:val="000C6BBA"/>
    <w:rsid w:val="000C6C74"/>
    <w:rsid w:val="000C706D"/>
    <w:rsid w:val="000C746D"/>
    <w:rsid w:val="000C759A"/>
    <w:rsid w:val="000C76AC"/>
    <w:rsid w:val="000C770E"/>
    <w:rsid w:val="000C77A3"/>
    <w:rsid w:val="000C78A6"/>
    <w:rsid w:val="000C7ED0"/>
    <w:rsid w:val="000D0377"/>
    <w:rsid w:val="000D0A32"/>
    <w:rsid w:val="000D0C64"/>
    <w:rsid w:val="000D0F45"/>
    <w:rsid w:val="000D0F74"/>
    <w:rsid w:val="000D1356"/>
    <w:rsid w:val="000D17B0"/>
    <w:rsid w:val="000D17E1"/>
    <w:rsid w:val="000D1FEA"/>
    <w:rsid w:val="000D2082"/>
    <w:rsid w:val="000D21B3"/>
    <w:rsid w:val="000D2519"/>
    <w:rsid w:val="000D2608"/>
    <w:rsid w:val="000D269A"/>
    <w:rsid w:val="000D26DE"/>
    <w:rsid w:val="000D27DA"/>
    <w:rsid w:val="000D32A0"/>
    <w:rsid w:val="000D3594"/>
    <w:rsid w:val="000D3CF9"/>
    <w:rsid w:val="000D3D06"/>
    <w:rsid w:val="000D3DC5"/>
    <w:rsid w:val="000D3F09"/>
    <w:rsid w:val="000D4429"/>
    <w:rsid w:val="000D44BA"/>
    <w:rsid w:val="000D464C"/>
    <w:rsid w:val="000D4699"/>
    <w:rsid w:val="000D499D"/>
    <w:rsid w:val="000D4BD1"/>
    <w:rsid w:val="000D564E"/>
    <w:rsid w:val="000D5A1F"/>
    <w:rsid w:val="000D5E4F"/>
    <w:rsid w:val="000D5EB7"/>
    <w:rsid w:val="000D61A7"/>
    <w:rsid w:val="000D6358"/>
    <w:rsid w:val="000D67D1"/>
    <w:rsid w:val="000D6BB7"/>
    <w:rsid w:val="000D6C71"/>
    <w:rsid w:val="000D7098"/>
    <w:rsid w:val="000D7253"/>
    <w:rsid w:val="000D72B8"/>
    <w:rsid w:val="000D7533"/>
    <w:rsid w:val="000D7AA2"/>
    <w:rsid w:val="000D7AE0"/>
    <w:rsid w:val="000D7C4D"/>
    <w:rsid w:val="000D7CA9"/>
    <w:rsid w:val="000E0085"/>
    <w:rsid w:val="000E074A"/>
    <w:rsid w:val="000E0768"/>
    <w:rsid w:val="000E080E"/>
    <w:rsid w:val="000E0A10"/>
    <w:rsid w:val="000E0D82"/>
    <w:rsid w:val="000E0E59"/>
    <w:rsid w:val="000E1091"/>
    <w:rsid w:val="000E1472"/>
    <w:rsid w:val="000E168E"/>
    <w:rsid w:val="000E182A"/>
    <w:rsid w:val="000E1979"/>
    <w:rsid w:val="000E1B19"/>
    <w:rsid w:val="000E1C44"/>
    <w:rsid w:val="000E1F35"/>
    <w:rsid w:val="000E225D"/>
    <w:rsid w:val="000E28CF"/>
    <w:rsid w:val="000E2969"/>
    <w:rsid w:val="000E2C86"/>
    <w:rsid w:val="000E2E3D"/>
    <w:rsid w:val="000E3117"/>
    <w:rsid w:val="000E3CA2"/>
    <w:rsid w:val="000E3F85"/>
    <w:rsid w:val="000E40F5"/>
    <w:rsid w:val="000E455E"/>
    <w:rsid w:val="000E4B1B"/>
    <w:rsid w:val="000E4BE3"/>
    <w:rsid w:val="000E4D71"/>
    <w:rsid w:val="000E5340"/>
    <w:rsid w:val="000E55ED"/>
    <w:rsid w:val="000E5BA2"/>
    <w:rsid w:val="000E5C3A"/>
    <w:rsid w:val="000E6359"/>
    <w:rsid w:val="000E64FB"/>
    <w:rsid w:val="000E76A0"/>
    <w:rsid w:val="000E771D"/>
    <w:rsid w:val="000E777B"/>
    <w:rsid w:val="000E7C11"/>
    <w:rsid w:val="000F01E2"/>
    <w:rsid w:val="000F0461"/>
    <w:rsid w:val="000F0622"/>
    <w:rsid w:val="000F0695"/>
    <w:rsid w:val="000F0785"/>
    <w:rsid w:val="000F0C6E"/>
    <w:rsid w:val="000F0CB8"/>
    <w:rsid w:val="000F12AC"/>
    <w:rsid w:val="000F148C"/>
    <w:rsid w:val="000F15B9"/>
    <w:rsid w:val="000F16AA"/>
    <w:rsid w:val="000F18DB"/>
    <w:rsid w:val="000F1B02"/>
    <w:rsid w:val="000F1F6A"/>
    <w:rsid w:val="000F2033"/>
    <w:rsid w:val="000F220A"/>
    <w:rsid w:val="000F2396"/>
    <w:rsid w:val="000F255C"/>
    <w:rsid w:val="000F28ED"/>
    <w:rsid w:val="000F2E21"/>
    <w:rsid w:val="000F30CA"/>
    <w:rsid w:val="000F3365"/>
    <w:rsid w:val="000F3909"/>
    <w:rsid w:val="000F3ADF"/>
    <w:rsid w:val="000F4103"/>
    <w:rsid w:val="000F4BE4"/>
    <w:rsid w:val="000F508F"/>
    <w:rsid w:val="000F5175"/>
    <w:rsid w:val="000F5849"/>
    <w:rsid w:val="000F5CC6"/>
    <w:rsid w:val="000F5E0B"/>
    <w:rsid w:val="000F5FC2"/>
    <w:rsid w:val="000F6030"/>
    <w:rsid w:val="000F61E3"/>
    <w:rsid w:val="000F6214"/>
    <w:rsid w:val="000F6554"/>
    <w:rsid w:val="000F698E"/>
    <w:rsid w:val="000F6CDD"/>
    <w:rsid w:val="000F6EDA"/>
    <w:rsid w:val="000F7873"/>
    <w:rsid w:val="000F79C5"/>
    <w:rsid w:val="000F7F8E"/>
    <w:rsid w:val="000F9345"/>
    <w:rsid w:val="00100947"/>
    <w:rsid w:val="00101134"/>
    <w:rsid w:val="001012B8"/>
    <w:rsid w:val="001014B6"/>
    <w:rsid w:val="001014CC"/>
    <w:rsid w:val="00101966"/>
    <w:rsid w:val="001019D6"/>
    <w:rsid w:val="00101CA3"/>
    <w:rsid w:val="00101D82"/>
    <w:rsid w:val="00101F63"/>
    <w:rsid w:val="00101FF8"/>
    <w:rsid w:val="00102034"/>
    <w:rsid w:val="001021B7"/>
    <w:rsid w:val="001021EC"/>
    <w:rsid w:val="001022A8"/>
    <w:rsid w:val="0010239D"/>
    <w:rsid w:val="00102673"/>
    <w:rsid w:val="00102750"/>
    <w:rsid w:val="0010278A"/>
    <w:rsid w:val="00102A4A"/>
    <w:rsid w:val="00102A96"/>
    <w:rsid w:val="00102BA2"/>
    <w:rsid w:val="00102BB1"/>
    <w:rsid w:val="001032C0"/>
    <w:rsid w:val="001036A8"/>
    <w:rsid w:val="001038C4"/>
    <w:rsid w:val="001041A4"/>
    <w:rsid w:val="001042E8"/>
    <w:rsid w:val="00104598"/>
    <w:rsid w:val="00104766"/>
    <w:rsid w:val="001047C4"/>
    <w:rsid w:val="00104A1B"/>
    <w:rsid w:val="00104C18"/>
    <w:rsid w:val="00104FFF"/>
    <w:rsid w:val="001060B1"/>
    <w:rsid w:val="0010657F"/>
    <w:rsid w:val="00106A95"/>
    <w:rsid w:val="00106AB8"/>
    <w:rsid w:val="00106BB1"/>
    <w:rsid w:val="00106C98"/>
    <w:rsid w:val="0010744C"/>
    <w:rsid w:val="001077FA"/>
    <w:rsid w:val="001078E8"/>
    <w:rsid w:val="001079BE"/>
    <w:rsid w:val="001103E1"/>
    <w:rsid w:val="001106A2"/>
    <w:rsid w:val="00110842"/>
    <w:rsid w:val="00110C66"/>
    <w:rsid w:val="00110D5F"/>
    <w:rsid w:val="00111CF6"/>
    <w:rsid w:val="0011203E"/>
    <w:rsid w:val="00112489"/>
    <w:rsid w:val="00112581"/>
    <w:rsid w:val="001126D7"/>
    <w:rsid w:val="001129EA"/>
    <w:rsid w:val="00112CF3"/>
    <w:rsid w:val="001138DF"/>
    <w:rsid w:val="001138EC"/>
    <w:rsid w:val="00113CF0"/>
    <w:rsid w:val="001142EB"/>
    <w:rsid w:val="001144ED"/>
    <w:rsid w:val="00114541"/>
    <w:rsid w:val="001147A1"/>
    <w:rsid w:val="00114A4C"/>
    <w:rsid w:val="00114AA9"/>
    <w:rsid w:val="00114B44"/>
    <w:rsid w:val="00114C59"/>
    <w:rsid w:val="00114EAE"/>
    <w:rsid w:val="0011503F"/>
    <w:rsid w:val="001160D7"/>
    <w:rsid w:val="0011614A"/>
    <w:rsid w:val="001167D4"/>
    <w:rsid w:val="0011682F"/>
    <w:rsid w:val="0011693E"/>
    <w:rsid w:val="00116BC1"/>
    <w:rsid w:val="00116D2B"/>
    <w:rsid w:val="001174E2"/>
    <w:rsid w:val="001175CE"/>
    <w:rsid w:val="00117BA9"/>
    <w:rsid w:val="00117E20"/>
    <w:rsid w:val="001206E8"/>
    <w:rsid w:val="00120B6A"/>
    <w:rsid w:val="00120C4E"/>
    <w:rsid w:val="001217F5"/>
    <w:rsid w:val="00121AA8"/>
    <w:rsid w:val="001222EC"/>
    <w:rsid w:val="00122677"/>
    <w:rsid w:val="00122A41"/>
    <w:rsid w:val="00122AD8"/>
    <w:rsid w:val="00122B1A"/>
    <w:rsid w:val="00122C44"/>
    <w:rsid w:val="00122F91"/>
    <w:rsid w:val="0012337A"/>
    <w:rsid w:val="00123AA2"/>
    <w:rsid w:val="00123D88"/>
    <w:rsid w:val="0012431B"/>
    <w:rsid w:val="00124619"/>
    <w:rsid w:val="001246F9"/>
    <w:rsid w:val="00124A5B"/>
    <w:rsid w:val="00124CE3"/>
    <w:rsid w:val="00125B43"/>
    <w:rsid w:val="00125D54"/>
    <w:rsid w:val="001261FC"/>
    <w:rsid w:val="00126804"/>
    <w:rsid w:val="0012790A"/>
    <w:rsid w:val="00127928"/>
    <w:rsid w:val="00127A88"/>
    <w:rsid w:val="00127BAC"/>
    <w:rsid w:val="00127EB1"/>
    <w:rsid w:val="00127EFC"/>
    <w:rsid w:val="00127FD6"/>
    <w:rsid w:val="0013035F"/>
    <w:rsid w:val="001303B4"/>
    <w:rsid w:val="00130417"/>
    <w:rsid w:val="0013043D"/>
    <w:rsid w:val="001305F6"/>
    <w:rsid w:val="001306EE"/>
    <w:rsid w:val="00130891"/>
    <w:rsid w:val="00130D14"/>
    <w:rsid w:val="00130D70"/>
    <w:rsid w:val="00131168"/>
    <w:rsid w:val="001315F8"/>
    <w:rsid w:val="001318BE"/>
    <w:rsid w:val="001320AC"/>
    <w:rsid w:val="0013237A"/>
    <w:rsid w:val="00133216"/>
    <w:rsid w:val="001336AB"/>
    <w:rsid w:val="0013371D"/>
    <w:rsid w:val="0013395A"/>
    <w:rsid w:val="00133997"/>
    <w:rsid w:val="00133A75"/>
    <w:rsid w:val="00133B9B"/>
    <w:rsid w:val="00133E80"/>
    <w:rsid w:val="00134164"/>
    <w:rsid w:val="0013453D"/>
    <w:rsid w:val="00134AC2"/>
    <w:rsid w:val="00134B3E"/>
    <w:rsid w:val="00134C41"/>
    <w:rsid w:val="0013527C"/>
    <w:rsid w:val="001354BC"/>
    <w:rsid w:val="001355AC"/>
    <w:rsid w:val="00135DEC"/>
    <w:rsid w:val="00135F70"/>
    <w:rsid w:val="00136181"/>
    <w:rsid w:val="00136196"/>
    <w:rsid w:val="0013655E"/>
    <w:rsid w:val="00137261"/>
    <w:rsid w:val="00137654"/>
    <w:rsid w:val="00137802"/>
    <w:rsid w:val="00137EC8"/>
    <w:rsid w:val="00140779"/>
    <w:rsid w:val="00141075"/>
    <w:rsid w:val="00141868"/>
    <w:rsid w:val="00141DB2"/>
    <w:rsid w:val="00141F18"/>
    <w:rsid w:val="0014247D"/>
    <w:rsid w:val="00142661"/>
    <w:rsid w:val="00142C72"/>
    <w:rsid w:val="00142D5B"/>
    <w:rsid w:val="00142E76"/>
    <w:rsid w:val="00143324"/>
    <w:rsid w:val="00143929"/>
    <w:rsid w:val="00143ECA"/>
    <w:rsid w:val="00143FD8"/>
    <w:rsid w:val="00144011"/>
    <w:rsid w:val="0014438A"/>
    <w:rsid w:val="0014491B"/>
    <w:rsid w:val="00144998"/>
    <w:rsid w:val="00144A3D"/>
    <w:rsid w:val="00144BE8"/>
    <w:rsid w:val="00144F26"/>
    <w:rsid w:val="00144F28"/>
    <w:rsid w:val="00144FCB"/>
    <w:rsid w:val="00145571"/>
    <w:rsid w:val="0014567B"/>
    <w:rsid w:val="0014574E"/>
    <w:rsid w:val="00146C91"/>
    <w:rsid w:val="00146E35"/>
    <w:rsid w:val="00147060"/>
    <w:rsid w:val="001471F8"/>
    <w:rsid w:val="00150150"/>
    <w:rsid w:val="001503A1"/>
    <w:rsid w:val="0015060E"/>
    <w:rsid w:val="00150712"/>
    <w:rsid w:val="001512FD"/>
    <w:rsid w:val="00151597"/>
    <w:rsid w:val="00151686"/>
    <w:rsid w:val="00151D9E"/>
    <w:rsid w:val="0015208B"/>
    <w:rsid w:val="00152313"/>
    <w:rsid w:val="001528DC"/>
    <w:rsid w:val="001531C7"/>
    <w:rsid w:val="00153266"/>
    <w:rsid w:val="0015348B"/>
    <w:rsid w:val="00153739"/>
    <w:rsid w:val="00153944"/>
    <w:rsid w:val="001539FC"/>
    <w:rsid w:val="00153A92"/>
    <w:rsid w:val="00153BDA"/>
    <w:rsid w:val="00153C12"/>
    <w:rsid w:val="00153C94"/>
    <w:rsid w:val="00153E57"/>
    <w:rsid w:val="00153F41"/>
    <w:rsid w:val="001545E6"/>
    <w:rsid w:val="001547AD"/>
    <w:rsid w:val="00155098"/>
    <w:rsid w:val="001556D8"/>
    <w:rsid w:val="00155888"/>
    <w:rsid w:val="00155C71"/>
    <w:rsid w:val="00155E1A"/>
    <w:rsid w:val="001563B4"/>
    <w:rsid w:val="00156993"/>
    <w:rsid w:val="001571A5"/>
    <w:rsid w:val="00157294"/>
    <w:rsid w:val="00157A1D"/>
    <w:rsid w:val="00157D14"/>
    <w:rsid w:val="00157E64"/>
    <w:rsid w:val="00157E65"/>
    <w:rsid w:val="00160563"/>
    <w:rsid w:val="00160575"/>
    <w:rsid w:val="0016141E"/>
    <w:rsid w:val="00161452"/>
    <w:rsid w:val="001614BF"/>
    <w:rsid w:val="00161F4F"/>
    <w:rsid w:val="00162182"/>
    <w:rsid w:val="00162ADA"/>
    <w:rsid w:val="001630FB"/>
    <w:rsid w:val="001631DB"/>
    <w:rsid w:val="00163254"/>
    <w:rsid w:val="00163573"/>
    <w:rsid w:val="0016357B"/>
    <w:rsid w:val="001638EA"/>
    <w:rsid w:val="00163F0E"/>
    <w:rsid w:val="00164302"/>
    <w:rsid w:val="0016433F"/>
    <w:rsid w:val="00164580"/>
    <w:rsid w:val="001646C0"/>
    <w:rsid w:val="0016480B"/>
    <w:rsid w:val="00165275"/>
    <w:rsid w:val="00165FA4"/>
    <w:rsid w:val="00166035"/>
    <w:rsid w:val="001663CE"/>
    <w:rsid w:val="001664A9"/>
    <w:rsid w:val="001664DC"/>
    <w:rsid w:val="0016654B"/>
    <w:rsid w:val="0016669F"/>
    <w:rsid w:val="00166874"/>
    <w:rsid w:val="00166B52"/>
    <w:rsid w:val="00166BB2"/>
    <w:rsid w:val="00166BD2"/>
    <w:rsid w:val="00166FD6"/>
    <w:rsid w:val="0016776B"/>
    <w:rsid w:val="001679DE"/>
    <w:rsid w:val="00167BCB"/>
    <w:rsid w:val="00167D05"/>
    <w:rsid w:val="00167D25"/>
    <w:rsid w:val="00167D8C"/>
    <w:rsid w:val="001701AD"/>
    <w:rsid w:val="001702CA"/>
    <w:rsid w:val="001705D2"/>
    <w:rsid w:val="00170947"/>
    <w:rsid w:val="00171189"/>
    <w:rsid w:val="001711FB"/>
    <w:rsid w:val="001713C0"/>
    <w:rsid w:val="001714D7"/>
    <w:rsid w:val="00171A6A"/>
    <w:rsid w:val="00171D28"/>
    <w:rsid w:val="0017218C"/>
    <w:rsid w:val="00172211"/>
    <w:rsid w:val="001729BD"/>
    <w:rsid w:val="00172ABB"/>
    <w:rsid w:val="00173702"/>
    <w:rsid w:val="00173B32"/>
    <w:rsid w:val="00173E5C"/>
    <w:rsid w:val="001742C6"/>
    <w:rsid w:val="00174406"/>
    <w:rsid w:val="001748BB"/>
    <w:rsid w:val="00174B87"/>
    <w:rsid w:val="0017500C"/>
    <w:rsid w:val="00175553"/>
    <w:rsid w:val="00176725"/>
    <w:rsid w:val="00176A43"/>
    <w:rsid w:val="00176F2E"/>
    <w:rsid w:val="00176F56"/>
    <w:rsid w:val="00177421"/>
    <w:rsid w:val="00177E3F"/>
    <w:rsid w:val="00177E58"/>
    <w:rsid w:val="00180003"/>
    <w:rsid w:val="00180119"/>
    <w:rsid w:val="00180A68"/>
    <w:rsid w:val="001811E7"/>
    <w:rsid w:val="001815DE"/>
    <w:rsid w:val="00181902"/>
    <w:rsid w:val="00181BA1"/>
    <w:rsid w:val="00181C63"/>
    <w:rsid w:val="00181DEB"/>
    <w:rsid w:val="00182773"/>
    <w:rsid w:val="0018292E"/>
    <w:rsid w:val="001829AB"/>
    <w:rsid w:val="00182EC6"/>
    <w:rsid w:val="001838FD"/>
    <w:rsid w:val="00183A24"/>
    <w:rsid w:val="00183F1C"/>
    <w:rsid w:val="00184997"/>
    <w:rsid w:val="00184DC3"/>
    <w:rsid w:val="00184DCD"/>
    <w:rsid w:val="00184EDA"/>
    <w:rsid w:val="00184EF0"/>
    <w:rsid w:val="00185438"/>
    <w:rsid w:val="00185538"/>
    <w:rsid w:val="0018598C"/>
    <w:rsid w:val="00185C92"/>
    <w:rsid w:val="00186556"/>
    <w:rsid w:val="001866BE"/>
    <w:rsid w:val="001867CB"/>
    <w:rsid w:val="00186A85"/>
    <w:rsid w:val="00186C06"/>
    <w:rsid w:val="00186C0B"/>
    <w:rsid w:val="00186D1C"/>
    <w:rsid w:val="00187095"/>
    <w:rsid w:val="00187623"/>
    <w:rsid w:val="00187663"/>
    <w:rsid w:val="00187704"/>
    <w:rsid w:val="0018791D"/>
    <w:rsid w:val="00187B57"/>
    <w:rsid w:val="00187E00"/>
    <w:rsid w:val="00187EC4"/>
    <w:rsid w:val="0019017D"/>
    <w:rsid w:val="00190386"/>
    <w:rsid w:val="001908EF"/>
    <w:rsid w:val="00190C0F"/>
    <w:rsid w:val="00190E96"/>
    <w:rsid w:val="0019142C"/>
    <w:rsid w:val="001915D5"/>
    <w:rsid w:val="00192495"/>
    <w:rsid w:val="001927C2"/>
    <w:rsid w:val="001929E8"/>
    <w:rsid w:val="00192FE7"/>
    <w:rsid w:val="00193242"/>
    <w:rsid w:val="0019345F"/>
    <w:rsid w:val="001934AA"/>
    <w:rsid w:val="00193C37"/>
    <w:rsid w:val="001942E5"/>
    <w:rsid w:val="00194AEF"/>
    <w:rsid w:val="00195342"/>
    <w:rsid w:val="00195585"/>
    <w:rsid w:val="00195A15"/>
    <w:rsid w:val="00195F00"/>
    <w:rsid w:val="00196013"/>
    <w:rsid w:val="001964D4"/>
    <w:rsid w:val="001967EC"/>
    <w:rsid w:val="00196A88"/>
    <w:rsid w:val="00196B69"/>
    <w:rsid w:val="001A0578"/>
    <w:rsid w:val="001A0797"/>
    <w:rsid w:val="001A0817"/>
    <w:rsid w:val="001A09F1"/>
    <w:rsid w:val="001A0AD6"/>
    <w:rsid w:val="001A0BA7"/>
    <w:rsid w:val="001A11C1"/>
    <w:rsid w:val="001A16B0"/>
    <w:rsid w:val="001A17DB"/>
    <w:rsid w:val="001A184F"/>
    <w:rsid w:val="001A1CB3"/>
    <w:rsid w:val="001A1E2E"/>
    <w:rsid w:val="001A2B24"/>
    <w:rsid w:val="001A3428"/>
    <w:rsid w:val="001A343B"/>
    <w:rsid w:val="001A3736"/>
    <w:rsid w:val="001A3790"/>
    <w:rsid w:val="001A383F"/>
    <w:rsid w:val="001A3DAB"/>
    <w:rsid w:val="001A3E56"/>
    <w:rsid w:val="001A3EEA"/>
    <w:rsid w:val="001A3F50"/>
    <w:rsid w:val="001A4646"/>
    <w:rsid w:val="001A495B"/>
    <w:rsid w:val="001A4E93"/>
    <w:rsid w:val="001A5084"/>
    <w:rsid w:val="001A51BC"/>
    <w:rsid w:val="001A57A4"/>
    <w:rsid w:val="001A5AF5"/>
    <w:rsid w:val="001A5CF5"/>
    <w:rsid w:val="001A5E21"/>
    <w:rsid w:val="001A674B"/>
    <w:rsid w:val="001A67D1"/>
    <w:rsid w:val="001A6A1E"/>
    <w:rsid w:val="001A6AB6"/>
    <w:rsid w:val="001A6E0E"/>
    <w:rsid w:val="001A7428"/>
    <w:rsid w:val="001A7495"/>
    <w:rsid w:val="001A76EB"/>
    <w:rsid w:val="001A7822"/>
    <w:rsid w:val="001A7B39"/>
    <w:rsid w:val="001A7D6F"/>
    <w:rsid w:val="001A7FBD"/>
    <w:rsid w:val="001B03C9"/>
    <w:rsid w:val="001B099F"/>
    <w:rsid w:val="001B0B0A"/>
    <w:rsid w:val="001B0BCD"/>
    <w:rsid w:val="001B1251"/>
    <w:rsid w:val="001B16E4"/>
    <w:rsid w:val="001B1795"/>
    <w:rsid w:val="001B1CB2"/>
    <w:rsid w:val="001B1E9B"/>
    <w:rsid w:val="001B2174"/>
    <w:rsid w:val="001B2589"/>
    <w:rsid w:val="001B26DA"/>
    <w:rsid w:val="001B2E6A"/>
    <w:rsid w:val="001B3AEB"/>
    <w:rsid w:val="001B3E02"/>
    <w:rsid w:val="001B41D9"/>
    <w:rsid w:val="001B447B"/>
    <w:rsid w:val="001B45CE"/>
    <w:rsid w:val="001B5055"/>
    <w:rsid w:val="001B5434"/>
    <w:rsid w:val="001B555D"/>
    <w:rsid w:val="001B563F"/>
    <w:rsid w:val="001B5740"/>
    <w:rsid w:val="001B57B1"/>
    <w:rsid w:val="001B589C"/>
    <w:rsid w:val="001B5D04"/>
    <w:rsid w:val="001B5F1D"/>
    <w:rsid w:val="001B5FF1"/>
    <w:rsid w:val="001B620A"/>
    <w:rsid w:val="001B6874"/>
    <w:rsid w:val="001B69B5"/>
    <w:rsid w:val="001B6AF2"/>
    <w:rsid w:val="001B7247"/>
    <w:rsid w:val="001B765E"/>
    <w:rsid w:val="001B7A43"/>
    <w:rsid w:val="001B7AFE"/>
    <w:rsid w:val="001C0407"/>
    <w:rsid w:val="001C0797"/>
    <w:rsid w:val="001C0C1D"/>
    <w:rsid w:val="001C1104"/>
    <w:rsid w:val="001C124C"/>
    <w:rsid w:val="001C12AD"/>
    <w:rsid w:val="001C1346"/>
    <w:rsid w:val="001C202B"/>
    <w:rsid w:val="001C23BC"/>
    <w:rsid w:val="001C246B"/>
    <w:rsid w:val="001C277E"/>
    <w:rsid w:val="001C27DE"/>
    <w:rsid w:val="001C27E1"/>
    <w:rsid w:val="001C2FD5"/>
    <w:rsid w:val="001C31B3"/>
    <w:rsid w:val="001C375F"/>
    <w:rsid w:val="001C3B62"/>
    <w:rsid w:val="001C4188"/>
    <w:rsid w:val="001C430B"/>
    <w:rsid w:val="001C4456"/>
    <w:rsid w:val="001C4470"/>
    <w:rsid w:val="001C44E8"/>
    <w:rsid w:val="001C45DC"/>
    <w:rsid w:val="001C47A6"/>
    <w:rsid w:val="001C48F0"/>
    <w:rsid w:val="001C4D65"/>
    <w:rsid w:val="001C59E8"/>
    <w:rsid w:val="001C5A7B"/>
    <w:rsid w:val="001C5C2C"/>
    <w:rsid w:val="001C5DBC"/>
    <w:rsid w:val="001C5F21"/>
    <w:rsid w:val="001C5FD8"/>
    <w:rsid w:val="001C60B8"/>
    <w:rsid w:val="001C6434"/>
    <w:rsid w:val="001C672D"/>
    <w:rsid w:val="001C7324"/>
    <w:rsid w:val="001C75AC"/>
    <w:rsid w:val="001C7635"/>
    <w:rsid w:val="001C7ADB"/>
    <w:rsid w:val="001C7E72"/>
    <w:rsid w:val="001D0028"/>
    <w:rsid w:val="001D01A9"/>
    <w:rsid w:val="001D02F5"/>
    <w:rsid w:val="001D046A"/>
    <w:rsid w:val="001D08E2"/>
    <w:rsid w:val="001D0A0A"/>
    <w:rsid w:val="001D0A6A"/>
    <w:rsid w:val="001D0D1C"/>
    <w:rsid w:val="001D1175"/>
    <w:rsid w:val="001D168D"/>
    <w:rsid w:val="001D1A4F"/>
    <w:rsid w:val="001D1A62"/>
    <w:rsid w:val="001D1CB3"/>
    <w:rsid w:val="001D1D59"/>
    <w:rsid w:val="001D1ED2"/>
    <w:rsid w:val="001D1FCC"/>
    <w:rsid w:val="001D26EA"/>
    <w:rsid w:val="001D2782"/>
    <w:rsid w:val="001D2CBF"/>
    <w:rsid w:val="001D2FD4"/>
    <w:rsid w:val="001D301E"/>
    <w:rsid w:val="001D3630"/>
    <w:rsid w:val="001D38CD"/>
    <w:rsid w:val="001D3C55"/>
    <w:rsid w:val="001D3D91"/>
    <w:rsid w:val="001D3FC9"/>
    <w:rsid w:val="001D4042"/>
    <w:rsid w:val="001D42D2"/>
    <w:rsid w:val="001D457A"/>
    <w:rsid w:val="001D4727"/>
    <w:rsid w:val="001D48D6"/>
    <w:rsid w:val="001D4A2F"/>
    <w:rsid w:val="001D4F93"/>
    <w:rsid w:val="001D5310"/>
    <w:rsid w:val="001D55FF"/>
    <w:rsid w:val="001D5608"/>
    <w:rsid w:val="001D5743"/>
    <w:rsid w:val="001D5795"/>
    <w:rsid w:val="001D57BA"/>
    <w:rsid w:val="001D5AD2"/>
    <w:rsid w:val="001D5B20"/>
    <w:rsid w:val="001D5CBF"/>
    <w:rsid w:val="001D5DA9"/>
    <w:rsid w:val="001D5DBF"/>
    <w:rsid w:val="001D5FDF"/>
    <w:rsid w:val="001D635F"/>
    <w:rsid w:val="001D6485"/>
    <w:rsid w:val="001D64A2"/>
    <w:rsid w:val="001D660D"/>
    <w:rsid w:val="001D69AE"/>
    <w:rsid w:val="001D6A5A"/>
    <w:rsid w:val="001D6BAA"/>
    <w:rsid w:val="001D6ED0"/>
    <w:rsid w:val="001D6F05"/>
    <w:rsid w:val="001D7215"/>
    <w:rsid w:val="001D76AC"/>
    <w:rsid w:val="001E0093"/>
    <w:rsid w:val="001E0114"/>
    <w:rsid w:val="001E02F0"/>
    <w:rsid w:val="001E0471"/>
    <w:rsid w:val="001E0667"/>
    <w:rsid w:val="001E1B63"/>
    <w:rsid w:val="001E2352"/>
    <w:rsid w:val="001E242E"/>
    <w:rsid w:val="001E2A83"/>
    <w:rsid w:val="001E333C"/>
    <w:rsid w:val="001E33F4"/>
    <w:rsid w:val="001E3977"/>
    <w:rsid w:val="001E3BFD"/>
    <w:rsid w:val="001E40D7"/>
    <w:rsid w:val="001E44D6"/>
    <w:rsid w:val="001E47BB"/>
    <w:rsid w:val="001E49D1"/>
    <w:rsid w:val="001E4CEC"/>
    <w:rsid w:val="001E4ED8"/>
    <w:rsid w:val="001E52CB"/>
    <w:rsid w:val="001E52D9"/>
    <w:rsid w:val="001E564A"/>
    <w:rsid w:val="001E5A10"/>
    <w:rsid w:val="001E5F2A"/>
    <w:rsid w:val="001E5F86"/>
    <w:rsid w:val="001E61E2"/>
    <w:rsid w:val="001E6AFD"/>
    <w:rsid w:val="001E6B31"/>
    <w:rsid w:val="001E7A2C"/>
    <w:rsid w:val="001E7DDA"/>
    <w:rsid w:val="001F0058"/>
    <w:rsid w:val="001F0396"/>
    <w:rsid w:val="001F03DE"/>
    <w:rsid w:val="001F03EE"/>
    <w:rsid w:val="001F05C9"/>
    <w:rsid w:val="001F0D9B"/>
    <w:rsid w:val="001F17F4"/>
    <w:rsid w:val="001F1E81"/>
    <w:rsid w:val="001F20B9"/>
    <w:rsid w:val="001F2252"/>
    <w:rsid w:val="001F278B"/>
    <w:rsid w:val="001F2A03"/>
    <w:rsid w:val="001F2CB5"/>
    <w:rsid w:val="001F2E1A"/>
    <w:rsid w:val="001F2F8B"/>
    <w:rsid w:val="001F33E0"/>
    <w:rsid w:val="001F3470"/>
    <w:rsid w:val="001F3543"/>
    <w:rsid w:val="001F3811"/>
    <w:rsid w:val="001F3822"/>
    <w:rsid w:val="001F3F30"/>
    <w:rsid w:val="001F3F38"/>
    <w:rsid w:val="001F3F82"/>
    <w:rsid w:val="001F510A"/>
    <w:rsid w:val="001F563E"/>
    <w:rsid w:val="001F5A61"/>
    <w:rsid w:val="001F60C5"/>
    <w:rsid w:val="001F6395"/>
    <w:rsid w:val="001F68EB"/>
    <w:rsid w:val="001F6B1C"/>
    <w:rsid w:val="001F6BFC"/>
    <w:rsid w:val="001F6CF8"/>
    <w:rsid w:val="001F72B3"/>
    <w:rsid w:val="001F746C"/>
    <w:rsid w:val="001F75EB"/>
    <w:rsid w:val="001F7992"/>
    <w:rsid w:val="002001DE"/>
    <w:rsid w:val="002006AA"/>
    <w:rsid w:val="00200F33"/>
    <w:rsid w:val="00201033"/>
    <w:rsid w:val="00201038"/>
    <w:rsid w:val="0020112A"/>
    <w:rsid w:val="00201533"/>
    <w:rsid w:val="002015E0"/>
    <w:rsid w:val="002022AE"/>
    <w:rsid w:val="0020231A"/>
    <w:rsid w:val="00202608"/>
    <w:rsid w:val="002026DA"/>
    <w:rsid w:val="002026DD"/>
    <w:rsid w:val="00202728"/>
    <w:rsid w:val="002029A0"/>
    <w:rsid w:val="002029D4"/>
    <w:rsid w:val="00202C52"/>
    <w:rsid w:val="00202D88"/>
    <w:rsid w:val="0020306E"/>
    <w:rsid w:val="002031B6"/>
    <w:rsid w:val="00203B72"/>
    <w:rsid w:val="002040C8"/>
    <w:rsid w:val="002041E9"/>
    <w:rsid w:val="00204257"/>
    <w:rsid w:val="00204629"/>
    <w:rsid w:val="00204975"/>
    <w:rsid w:val="00205184"/>
    <w:rsid w:val="002052ED"/>
    <w:rsid w:val="0020538D"/>
    <w:rsid w:val="002056FE"/>
    <w:rsid w:val="00205B2A"/>
    <w:rsid w:val="00205FA1"/>
    <w:rsid w:val="00206347"/>
    <w:rsid w:val="002065A6"/>
    <w:rsid w:val="00206883"/>
    <w:rsid w:val="00206B83"/>
    <w:rsid w:val="00206CEA"/>
    <w:rsid w:val="00206ED9"/>
    <w:rsid w:val="00206EDC"/>
    <w:rsid w:val="002073F8"/>
    <w:rsid w:val="002076D2"/>
    <w:rsid w:val="00207DF7"/>
    <w:rsid w:val="0021041C"/>
    <w:rsid w:val="00210421"/>
    <w:rsid w:val="00211063"/>
    <w:rsid w:val="00211098"/>
    <w:rsid w:val="0021129D"/>
    <w:rsid w:val="00211534"/>
    <w:rsid w:val="002124CA"/>
    <w:rsid w:val="00212A57"/>
    <w:rsid w:val="00213183"/>
    <w:rsid w:val="00213896"/>
    <w:rsid w:val="00213908"/>
    <w:rsid w:val="00213BB1"/>
    <w:rsid w:val="00213E33"/>
    <w:rsid w:val="00214331"/>
    <w:rsid w:val="002147AD"/>
    <w:rsid w:val="00214B32"/>
    <w:rsid w:val="00214B7C"/>
    <w:rsid w:val="00215137"/>
    <w:rsid w:val="0021535D"/>
    <w:rsid w:val="002153F2"/>
    <w:rsid w:val="0021548D"/>
    <w:rsid w:val="0021562A"/>
    <w:rsid w:val="002158CB"/>
    <w:rsid w:val="00215942"/>
    <w:rsid w:val="0021594D"/>
    <w:rsid w:val="00215A18"/>
    <w:rsid w:val="0021697B"/>
    <w:rsid w:val="002169B4"/>
    <w:rsid w:val="00216D85"/>
    <w:rsid w:val="002171D3"/>
    <w:rsid w:val="002172EA"/>
    <w:rsid w:val="0021731F"/>
    <w:rsid w:val="002175B1"/>
    <w:rsid w:val="0021773A"/>
    <w:rsid w:val="002177D7"/>
    <w:rsid w:val="002178AD"/>
    <w:rsid w:val="002179C2"/>
    <w:rsid w:val="00217A5B"/>
    <w:rsid w:val="00217B26"/>
    <w:rsid w:val="00217CA1"/>
    <w:rsid w:val="0022009B"/>
    <w:rsid w:val="0022039E"/>
    <w:rsid w:val="00220AD9"/>
    <w:rsid w:val="00220B04"/>
    <w:rsid w:val="00220C79"/>
    <w:rsid w:val="00220DA8"/>
    <w:rsid w:val="00220FBD"/>
    <w:rsid w:val="00221092"/>
    <w:rsid w:val="00221395"/>
    <w:rsid w:val="002213CC"/>
    <w:rsid w:val="00221F9E"/>
    <w:rsid w:val="002226C5"/>
    <w:rsid w:val="0022276B"/>
    <w:rsid w:val="002229F9"/>
    <w:rsid w:val="00222AC1"/>
    <w:rsid w:val="00222B2F"/>
    <w:rsid w:val="00222C0C"/>
    <w:rsid w:val="00222D07"/>
    <w:rsid w:val="002231B3"/>
    <w:rsid w:val="0022337F"/>
    <w:rsid w:val="002236C6"/>
    <w:rsid w:val="002236DE"/>
    <w:rsid w:val="0022384A"/>
    <w:rsid w:val="00223989"/>
    <w:rsid w:val="002239DB"/>
    <w:rsid w:val="00223B2B"/>
    <w:rsid w:val="0022444E"/>
    <w:rsid w:val="00224606"/>
    <w:rsid w:val="0022482D"/>
    <w:rsid w:val="0022484F"/>
    <w:rsid w:val="00224FA0"/>
    <w:rsid w:val="0022514F"/>
    <w:rsid w:val="002252EC"/>
    <w:rsid w:val="00225C46"/>
    <w:rsid w:val="0022634D"/>
    <w:rsid w:val="0022656C"/>
    <w:rsid w:val="002266F6"/>
    <w:rsid w:val="00226843"/>
    <w:rsid w:val="00226884"/>
    <w:rsid w:val="00226CAC"/>
    <w:rsid w:val="00226F76"/>
    <w:rsid w:val="002275B4"/>
    <w:rsid w:val="00227718"/>
    <w:rsid w:val="0022773E"/>
    <w:rsid w:val="00227D6B"/>
    <w:rsid w:val="00230011"/>
    <w:rsid w:val="00230E08"/>
    <w:rsid w:val="0023107E"/>
    <w:rsid w:val="002314B3"/>
    <w:rsid w:val="002317CB"/>
    <w:rsid w:val="00231842"/>
    <w:rsid w:val="00231870"/>
    <w:rsid w:val="00231AB1"/>
    <w:rsid w:val="00231F21"/>
    <w:rsid w:val="00232229"/>
    <w:rsid w:val="0023267B"/>
    <w:rsid w:val="00232BC3"/>
    <w:rsid w:val="00232F75"/>
    <w:rsid w:val="002334E2"/>
    <w:rsid w:val="00233800"/>
    <w:rsid w:val="0023388E"/>
    <w:rsid w:val="00233A69"/>
    <w:rsid w:val="00233AA1"/>
    <w:rsid w:val="00233C86"/>
    <w:rsid w:val="00233DE9"/>
    <w:rsid w:val="002349D4"/>
    <w:rsid w:val="00234A22"/>
    <w:rsid w:val="00234AD4"/>
    <w:rsid w:val="00234CA8"/>
    <w:rsid w:val="002351C0"/>
    <w:rsid w:val="0023522F"/>
    <w:rsid w:val="00235895"/>
    <w:rsid w:val="00235B51"/>
    <w:rsid w:val="00235F99"/>
    <w:rsid w:val="0023621E"/>
    <w:rsid w:val="00236602"/>
    <w:rsid w:val="0023691A"/>
    <w:rsid w:val="00236BD0"/>
    <w:rsid w:val="00236D16"/>
    <w:rsid w:val="00236EED"/>
    <w:rsid w:val="00236FA5"/>
    <w:rsid w:val="00237041"/>
    <w:rsid w:val="0023730C"/>
    <w:rsid w:val="002378CA"/>
    <w:rsid w:val="002379F2"/>
    <w:rsid w:val="002400C8"/>
    <w:rsid w:val="00240236"/>
    <w:rsid w:val="00240F26"/>
    <w:rsid w:val="00241072"/>
    <w:rsid w:val="002415CD"/>
    <w:rsid w:val="002416E0"/>
    <w:rsid w:val="002418B2"/>
    <w:rsid w:val="0024196E"/>
    <w:rsid w:val="002419BA"/>
    <w:rsid w:val="0024255F"/>
    <w:rsid w:val="00242C7C"/>
    <w:rsid w:val="00242E2A"/>
    <w:rsid w:val="00243764"/>
    <w:rsid w:val="00243F3D"/>
    <w:rsid w:val="00244101"/>
    <w:rsid w:val="002443DE"/>
    <w:rsid w:val="0024469B"/>
    <w:rsid w:val="002448D4"/>
    <w:rsid w:val="00244BF2"/>
    <w:rsid w:val="00244D34"/>
    <w:rsid w:val="002450A9"/>
    <w:rsid w:val="0024521F"/>
    <w:rsid w:val="00245417"/>
    <w:rsid w:val="00245ADE"/>
    <w:rsid w:val="00245BFC"/>
    <w:rsid w:val="00245DA9"/>
    <w:rsid w:val="00245ED6"/>
    <w:rsid w:val="00245FCD"/>
    <w:rsid w:val="002460F3"/>
    <w:rsid w:val="0024715B"/>
    <w:rsid w:val="00247763"/>
    <w:rsid w:val="002478D5"/>
    <w:rsid w:val="00247B8C"/>
    <w:rsid w:val="0025018D"/>
    <w:rsid w:val="002503FB"/>
    <w:rsid w:val="00250469"/>
    <w:rsid w:val="002504FD"/>
    <w:rsid w:val="00250639"/>
    <w:rsid w:val="0025076D"/>
    <w:rsid w:val="0025121B"/>
    <w:rsid w:val="0025138E"/>
    <w:rsid w:val="0025161B"/>
    <w:rsid w:val="00251BB8"/>
    <w:rsid w:val="002520BC"/>
    <w:rsid w:val="002521B5"/>
    <w:rsid w:val="002522C9"/>
    <w:rsid w:val="00252889"/>
    <w:rsid w:val="00252E5D"/>
    <w:rsid w:val="0025379B"/>
    <w:rsid w:val="002539B7"/>
    <w:rsid w:val="00253FA0"/>
    <w:rsid w:val="0025481A"/>
    <w:rsid w:val="0025489C"/>
    <w:rsid w:val="00254D25"/>
    <w:rsid w:val="00254D5B"/>
    <w:rsid w:val="00254DFD"/>
    <w:rsid w:val="00255340"/>
    <w:rsid w:val="00255612"/>
    <w:rsid w:val="00255683"/>
    <w:rsid w:val="0025585C"/>
    <w:rsid w:val="0025585D"/>
    <w:rsid w:val="00255865"/>
    <w:rsid w:val="00255B0E"/>
    <w:rsid w:val="00255BC5"/>
    <w:rsid w:val="00255BCB"/>
    <w:rsid w:val="0025642A"/>
    <w:rsid w:val="00256F5A"/>
    <w:rsid w:val="002570F2"/>
    <w:rsid w:val="002578AC"/>
    <w:rsid w:val="00257AC8"/>
    <w:rsid w:val="00260081"/>
    <w:rsid w:val="00260149"/>
    <w:rsid w:val="00260584"/>
    <w:rsid w:val="00260624"/>
    <w:rsid w:val="00260E6D"/>
    <w:rsid w:val="002618FF"/>
    <w:rsid w:val="00261B6F"/>
    <w:rsid w:val="00261CDD"/>
    <w:rsid w:val="00261E3D"/>
    <w:rsid w:val="00262148"/>
    <w:rsid w:val="002621CE"/>
    <w:rsid w:val="002624FD"/>
    <w:rsid w:val="00262575"/>
    <w:rsid w:val="002626FF"/>
    <w:rsid w:val="00262A14"/>
    <w:rsid w:val="00262BA1"/>
    <w:rsid w:val="00262EE4"/>
    <w:rsid w:val="002632BE"/>
    <w:rsid w:val="002632F6"/>
    <w:rsid w:val="00263343"/>
    <w:rsid w:val="002634C9"/>
    <w:rsid w:val="00263858"/>
    <w:rsid w:val="002638AB"/>
    <w:rsid w:val="00263F0A"/>
    <w:rsid w:val="00263FC9"/>
    <w:rsid w:val="0026426A"/>
    <w:rsid w:val="002645B0"/>
    <w:rsid w:val="0026460E"/>
    <w:rsid w:val="002649E1"/>
    <w:rsid w:val="00264ED1"/>
    <w:rsid w:val="00265547"/>
    <w:rsid w:val="00265594"/>
    <w:rsid w:val="00265764"/>
    <w:rsid w:val="00265783"/>
    <w:rsid w:val="002658E8"/>
    <w:rsid w:val="00265AEB"/>
    <w:rsid w:val="00266195"/>
    <w:rsid w:val="002666DF"/>
    <w:rsid w:val="002669F4"/>
    <w:rsid w:val="00266A6C"/>
    <w:rsid w:val="00266D2F"/>
    <w:rsid w:val="00266E7E"/>
    <w:rsid w:val="00266F4B"/>
    <w:rsid w:val="00267222"/>
    <w:rsid w:val="00267324"/>
    <w:rsid w:val="00267B76"/>
    <w:rsid w:val="0027025C"/>
    <w:rsid w:val="002702FB"/>
    <w:rsid w:val="002704B0"/>
    <w:rsid w:val="0027106F"/>
    <w:rsid w:val="002711BC"/>
    <w:rsid w:val="00271DF6"/>
    <w:rsid w:val="002721E5"/>
    <w:rsid w:val="00272654"/>
    <w:rsid w:val="00272D79"/>
    <w:rsid w:val="00272FA4"/>
    <w:rsid w:val="0027316F"/>
    <w:rsid w:val="00273207"/>
    <w:rsid w:val="00273437"/>
    <w:rsid w:val="00273BB9"/>
    <w:rsid w:val="00273ED1"/>
    <w:rsid w:val="00273FC1"/>
    <w:rsid w:val="00274A55"/>
    <w:rsid w:val="00274CB2"/>
    <w:rsid w:val="0027569C"/>
    <w:rsid w:val="00275AA9"/>
    <w:rsid w:val="00275F35"/>
    <w:rsid w:val="00276025"/>
    <w:rsid w:val="0027686A"/>
    <w:rsid w:val="00276D92"/>
    <w:rsid w:val="002777FE"/>
    <w:rsid w:val="0028006E"/>
    <w:rsid w:val="00280524"/>
    <w:rsid w:val="0028106C"/>
    <w:rsid w:val="00281731"/>
    <w:rsid w:val="0028251F"/>
    <w:rsid w:val="00282945"/>
    <w:rsid w:val="00282C5C"/>
    <w:rsid w:val="00282C8F"/>
    <w:rsid w:val="002836D5"/>
    <w:rsid w:val="00283930"/>
    <w:rsid w:val="00283AF9"/>
    <w:rsid w:val="00283D88"/>
    <w:rsid w:val="00283EEC"/>
    <w:rsid w:val="002851D6"/>
    <w:rsid w:val="002852AB"/>
    <w:rsid w:val="00285750"/>
    <w:rsid w:val="002859C3"/>
    <w:rsid w:val="002859F7"/>
    <w:rsid w:val="00285D52"/>
    <w:rsid w:val="00285D7C"/>
    <w:rsid w:val="0028638F"/>
    <w:rsid w:val="00286449"/>
    <w:rsid w:val="0028686F"/>
    <w:rsid w:val="00286C0C"/>
    <w:rsid w:val="00286DC5"/>
    <w:rsid w:val="002875DF"/>
    <w:rsid w:val="002876D1"/>
    <w:rsid w:val="00287A59"/>
    <w:rsid w:val="00287B55"/>
    <w:rsid w:val="00287CEF"/>
    <w:rsid w:val="00290061"/>
    <w:rsid w:val="002902BF"/>
    <w:rsid w:val="00290394"/>
    <w:rsid w:val="002903EB"/>
    <w:rsid w:val="00290814"/>
    <w:rsid w:val="0029096B"/>
    <w:rsid w:val="00290B06"/>
    <w:rsid w:val="00290B08"/>
    <w:rsid w:val="00290BAE"/>
    <w:rsid w:val="00290E65"/>
    <w:rsid w:val="00291205"/>
    <w:rsid w:val="0029127A"/>
    <w:rsid w:val="00291540"/>
    <w:rsid w:val="00291961"/>
    <w:rsid w:val="00291C46"/>
    <w:rsid w:val="00292463"/>
    <w:rsid w:val="00292D63"/>
    <w:rsid w:val="00293128"/>
    <w:rsid w:val="0029366E"/>
    <w:rsid w:val="002936D4"/>
    <w:rsid w:val="00293957"/>
    <w:rsid w:val="002939F8"/>
    <w:rsid w:val="00293B72"/>
    <w:rsid w:val="00293EC1"/>
    <w:rsid w:val="002942B0"/>
    <w:rsid w:val="002945FA"/>
    <w:rsid w:val="002949EA"/>
    <w:rsid w:val="00294C86"/>
    <w:rsid w:val="00294FCC"/>
    <w:rsid w:val="00295348"/>
    <w:rsid w:val="002959A4"/>
    <w:rsid w:val="00295EB2"/>
    <w:rsid w:val="00295FB2"/>
    <w:rsid w:val="002969C5"/>
    <w:rsid w:val="00296A1F"/>
    <w:rsid w:val="002971E2"/>
    <w:rsid w:val="0029722E"/>
    <w:rsid w:val="00297233"/>
    <w:rsid w:val="002973F5"/>
    <w:rsid w:val="002974BB"/>
    <w:rsid w:val="00297EAA"/>
    <w:rsid w:val="002A01B7"/>
    <w:rsid w:val="002A0236"/>
    <w:rsid w:val="002A05DD"/>
    <w:rsid w:val="002A06B2"/>
    <w:rsid w:val="002A0BE3"/>
    <w:rsid w:val="002A193D"/>
    <w:rsid w:val="002A1A9B"/>
    <w:rsid w:val="002A1DCA"/>
    <w:rsid w:val="002A1EA4"/>
    <w:rsid w:val="002A224A"/>
    <w:rsid w:val="002A26EC"/>
    <w:rsid w:val="002A31DA"/>
    <w:rsid w:val="002A37C4"/>
    <w:rsid w:val="002A3A9C"/>
    <w:rsid w:val="002A3B4A"/>
    <w:rsid w:val="002A3CD2"/>
    <w:rsid w:val="002A3DDA"/>
    <w:rsid w:val="002A4119"/>
    <w:rsid w:val="002A4269"/>
    <w:rsid w:val="002A43A1"/>
    <w:rsid w:val="002A470A"/>
    <w:rsid w:val="002A4BA6"/>
    <w:rsid w:val="002A4BCD"/>
    <w:rsid w:val="002A4CCB"/>
    <w:rsid w:val="002A4FEF"/>
    <w:rsid w:val="002A509F"/>
    <w:rsid w:val="002A52B6"/>
    <w:rsid w:val="002A548F"/>
    <w:rsid w:val="002A57E8"/>
    <w:rsid w:val="002A5A90"/>
    <w:rsid w:val="002A5C82"/>
    <w:rsid w:val="002A5EDA"/>
    <w:rsid w:val="002A68F8"/>
    <w:rsid w:val="002A6D64"/>
    <w:rsid w:val="002A72E4"/>
    <w:rsid w:val="002A73E7"/>
    <w:rsid w:val="002A77DE"/>
    <w:rsid w:val="002A78C2"/>
    <w:rsid w:val="002B0035"/>
    <w:rsid w:val="002B0172"/>
    <w:rsid w:val="002B0420"/>
    <w:rsid w:val="002B0DF3"/>
    <w:rsid w:val="002B12E8"/>
    <w:rsid w:val="002B130B"/>
    <w:rsid w:val="002B1448"/>
    <w:rsid w:val="002B1A80"/>
    <w:rsid w:val="002B1C06"/>
    <w:rsid w:val="002B2192"/>
    <w:rsid w:val="002B250E"/>
    <w:rsid w:val="002B275E"/>
    <w:rsid w:val="002B2C66"/>
    <w:rsid w:val="002B367B"/>
    <w:rsid w:val="002B3F02"/>
    <w:rsid w:val="002B40DB"/>
    <w:rsid w:val="002B4346"/>
    <w:rsid w:val="002B4BAC"/>
    <w:rsid w:val="002B4D5A"/>
    <w:rsid w:val="002B59EE"/>
    <w:rsid w:val="002B5C62"/>
    <w:rsid w:val="002B5F4D"/>
    <w:rsid w:val="002B6663"/>
    <w:rsid w:val="002B6AB0"/>
    <w:rsid w:val="002B70FC"/>
    <w:rsid w:val="002B7548"/>
    <w:rsid w:val="002B76E6"/>
    <w:rsid w:val="002B781F"/>
    <w:rsid w:val="002B7A0D"/>
    <w:rsid w:val="002C0165"/>
    <w:rsid w:val="002C04BB"/>
    <w:rsid w:val="002C0547"/>
    <w:rsid w:val="002C0C15"/>
    <w:rsid w:val="002C0DF3"/>
    <w:rsid w:val="002C131E"/>
    <w:rsid w:val="002C16EC"/>
    <w:rsid w:val="002C189F"/>
    <w:rsid w:val="002C18C5"/>
    <w:rsid w:val="002C1909"/>
    <w:rsid w:val="002C1A9B"/>
    <w:rsid w:val="002C2207"/>
    <w:rsid w:val="002C248A"/>
    <w:rsid w:val="002C249E"/>
    <w:rsid w:val="002C2BD1"/>
    <w:rsid w:val="002C359F"/>
    <w:rsid w:val="002C3901"/>
    <w:rsid w:val="002C3C7B"/>
    <w:rsid w:val="002C3D1D"/>
    <w:rsid w:val="002C3FFF"/>
    <w:rsid w:val="002C40FE"/>
    <w:rsid w:val="002C4351"/>
    <w:rsid w:val="002C43BF"/>
    <w:rsid w:val="002C44DF"/>
    <w:rsid w:val="002C452C"/>
    <w:rsid w:val="002C475B"/>
    <w:rsid w:val="002C4BD2"/>
    <w:rsid w:val="002C4D5C"/>
    <w:rsid w:val="002C4FB7"/>
    <w:rsid w:val="002C5314"/>
    <w:rsid w:val="002C55E4"/>
    <w:rsid w:val="002C55EC"/>
    <w:rsid w:val="002C589E"/>
    <w:rsid w:val="002C5EA6"/>
    <w:rsid w:val="002C6507"/>
    <w:rsid w:val="002C6508"/>
    <w:rsid w:val="002C6822"/>
    <w:rsid w:val="002C68FB"/>
    <w:rsid w:val="002C7037"/>
    <w:rsid w:val="002C72A7"/>
    <w:rsid w:val="002C7366"/>
    <w:rsid w:val="002C777F"/>
    <w:rsid w:val="002C78C3"/>
    <w:rsid w:val="002C79AB"/>
    <w:rsid w:val="002C7EF8"/>
    <w:rsid w:val="002C7F22"/>
    <w:rsid w:val="002D0341"/>
    <w:rsid w:val="002D0744"/>
    <w:rsid w:val="002D0C3F"/>
    <w:rsid w:val="002D1733"/>
    <w:rsid w:val="002D1FB8"/>
    <w:rsid w:val="002D1FCF"/>
    <w:rsid w:val="002D2274"/>
    <w:rsid w:val="002D26E4"/>
    <w:rsid w:val="002D28D5"/>
    <w:rsid w:val="002D2D39"/>
    <w:rsid w:val="002D2DC7"/>
    <w:rsid w:val="002D2E34"/>
    <w:rsid w:val="002D2FFD"/>
    <w:rsid w:val="002D3424"/>
    <w:rsid w:val="002D49C8"/>
    <w:rsid w:val="002D4BC5"/>
    <w:rsid w:val="002D4DCF"/>
    <w:rsid w:val="002D4E80"/>
    <w:rsid w:val="002D5450"/>
    <w:rsid w:val="002D5759"/>
    <w:rsid w:val="002D5AEB"/>
    <w:rsid w:val="002D61D9"/>
    <w:rsid w:val="002D637B"/>
    <w:rsid w:val="002D63C9"/>
    <w:rsid w:val="002D66B7"/>
    <w:rsid w:val="002D6AEE"/>
    <w:rsid w:val="002D6E2F"/>
    <w:rsid w:val="002D7687"/>
    <w:rsid w:val="002E024F"/>
    <w:rsid w:val="002E02CD"/>
    <w:rsid w:val="002E13EB"/>
    <w:rsid w:val="002E17B2"/>
    <w:rsid w:val="002E17F3"/>
    <w:rsid w:val="002E190A"/>
    <w:rsid w:val="002E1C95"/>
    <w:rsid w:val="002E2208"/>
    <w:rsid w:val="002E256A"/>
    <w:rsid w:val="002E2571"/>
    <w:rsid w:val="002E25E3"/>
    <w:rsid w:val="002E2F69"/>
    <w:rsid w:val="002E3371"/>
    <w:rsid w:val="002E3628"/>
    <w:rsid w:val="002E3740"/>
    <w:rsid w:val="002E3827"/>
    <w:rsid w:val="002E3C28"/>
    <w:rsid w:val="002E4149"/>
    <w:rsid w:val="002E41E9"/>
    <w:rsid w:val="002E57F1"/>
    <w:rsid w:val="002E58E5"/>
    <w:rsid w:val="002E58F9"/>
    <w:rsid w:val="002E5A46"/>
    <w:rsid w:val="002E5DDE"/>
    <w:rsid w:val="002E5E3D"/>
    <w:rsid w:val="002E6141"/>
    <w:rsid w:val="002E6E39"/>
    <w:rsid w:val="002E71FA"/>
    <w:rsid w:val="002E7320"/>
    <w:rsid w:val="002E7CA1"/>
    <w:rsid w:val="002F030F"/>
    <w:rsid w:val="002F07C5"/>
    <w:rsid w:val="002F0EF4"/>
    <w:rsid w:val="002F12B4"/>
    <w:rsid w:val="002F16BB"/>
    <w:rsid w:val="002F1782"/>
    <w:rsid w:val="002F17D8"/>
    <w:rsid w:val="002F181D"/>
    <w:rsid w:val="002F1891"/>
    <w:rsid w:val="002F19D8"/>
    <w:rsid w:val="002F1BAB"/>
    <w:rsid w:val="002F1DB5"/>
    <w:rsid w:val="002F2056"/>
    <w:rsid w:val="002F24C6"/>
    <w:rsid w:val="002F2A9F"/>
    <w:rsid w:val="002F3158"/>
    <w:rsid w:val="002F3353"/>
    <w:rsid w:val="002F335D"/>
    <w:rsid w:val="002F35F5"/>
    <w:rsid w:val="002F3A52"/>
    <w:rsid w:val="002F3DAA"/>
    <w:rsid w:val="002F4021"/>
    <w:rsid w:val="002F47C9"/>
    <w:rsid w:val="002F4887"/>
    <w:rsid w:val="002F4AED"/>
    <w:rsid w:val="002F4C50"/>
    <w:rsid w:val="002F4F23"/>
    <w:rsid w:val="002F508D"/>
    <w:rsid w:val="002F50F0"/>
    <w:rsid w:val="002F54A6"/>
    <w:rsid w:val="002F662C"/>
    <w:rsid w:val="002F68FF"/>
    <w:rsid w:val="002F6CC1"/>
    <w:rsid w:val="002F6EE9"/>
    <w:rsid w:val="002F6F21"/>
    <w:rsid w:val="002F7053"/>
    <w:rsid w:val="002F7463"/>
    <w:rsid w:val="002F75D4"/>
    <w:rsid w:val="002F76C1"/>
    <w:rsid w:val="002F78D5"/>
    <w:rsid w:val="002F7CA9"/>
    <w:rsid w:val="00300143"/>
    <w:rsid w:val="003002C3"/>
    <w:rsid w:val="003003C1"/>
    <w:rsid w:val="00300935"/>
    <w:rsid w:val="003009DD"/>
    <w:rsid w:val="0030117B"/>
    <w:rsid w:val="003018DE"/>
    <w:rsid w:val="00301FFD"/>
    <w:rsid w:val="00302533"/>
    <w:rsid w:val="003026B7"/>
    <w:rsid w:val="0030297A"/>
    <w:rsid w:val="00302BA1"/>
    <w:rsid w:val="00302E0E"/>
    <w:rsid w:val="00302E84"/>
    <w:rsid w:val="00303A2B"/>
    <w:rsid w:val="00303CAA"/>
    <w:rsid w:val="00303FDE"/>
    <w:rsid w:val="0030400D"/>
    <w:rsid w:val="003043B6"/>
    <w:rsid w:val="00304B38"/>
    <w:rsid w:val="003051F9"/>
    <w:rsid w:val="00305A38"/>
    <w:rsid w:val="00305B48"/>
    <w:rsid w:val="00305C91"/>
    <w:rsid w:val="003061BE"/>
    <w:rsid w:val="00306751"/>
    <w:rsid w:val="0030687E"/>
    <w:rsid w:val="00306F9D"/>
    <w:rsid w:val="00307251"/>
    <w:rsid w:val="00307675"/>
    <w:rsid w:val="0030781B"/>
    <w:rsid w:val="003079C3"/>
    <w:rsid w:val="00307A02"/>
    <w:rsid w:val="00307A77"/>
    <w:rsid w:val="00307B6A"/>
    <w:rsid w:val="00310B16"/>
    <w:rsid w:val="00311437"/>
    <w:rsid w:val="003114F4"/>
    <w:rsid w:val="00311800"/>
    <w:rsid w:val="003122EA"/>
    <w:rsid w:val="00312B61"/>
    <w:rsid w:val="0031385D"/>
    <w:rsid w:val="00313876"/>
    <w:rsid w:val="00314009"/>
    <w:rsid w:val="0031449B"/>
    <w:rsid w:val="003148C4"/>
    <w:rsid w:val="00314B39"/>
    <w:rsid w:val="00314F37"/>
    <w:rsid w:val="00314FF1"/>
    <w:rsid w:val="00315011"/>
    <w:rsid w:val="00315667"/>
    <w:rsid w:val="00315B40"/>
    <w:rsid w:val="00315D70"/>
    <w:rsid w:val="00315E3F"/>
    <w:rsid w:val="00316125"/>
    <w:rsid w:val="003166D5"/>
    <w:rsid w:val="00316789"/>
    <w:rsid w:val="0031685B"/>
    <w:rsid w:val="00316B61"/>
    <w:rsid w:val="00316FB6"/>
    <w:rsid w:val="00317021"/>
    <w:rsid w:val="00317095"/>
    <w:rsid w:val="0031731F"/>
    <w:rsid w:val="00317696"/>
    <w:rsid w:val="003178DD"/>
    <w:rsid w:val="0032022A"/>
    <w:rsid w:val="00321CB6"/>
    <w:rsid w:val="00322E57"/>
    <w:rsid w:val="00322E93"/>
    <w:rsid w:val="00322F55"/>
    <w:rsid w:val="003232C2"/>
    <w:rsid w:val="003235F9"/>
    <w:rsid w:val="00323AB5"/>
    <w:rsid w:val="0032421F"/>
    <w:rsid w:val="00324557"/>
    <w:rsid w:val="00324559"/>
    <w:rsid w:val="00324570"/>
    <w:rsid w:val="00324883"/>
    <w:rsid w:val="0032493B"/>
    <w:rsid w:val="00324DE7"/>
    <w:rsid w:val="00325063"/>
    <w:rsid w:val="00325165"/>
    <w:rsid w:val="003259C0"/>
    <w:rsid w:val="003259DC"/>
    <w:rsid w:val="00325BB8"/>
    <w:rsid w:val="00325C01"/>
    <w:rsid w:val="00325E3D"/>
    <w:rsid w:val="00326248"/>
    <w:rsid w:val="003264FD"/>
    <w:rsid w:val="003269CA"/>
    <w:rsid w:val="00326C2F"/>
    <w:rsid w:val="003277DB"/>
    <w:rsid w:val="003279F3"/>
    <w:rsid w:val="00327A97"/>
    <w:rsid w:val="003302E9"/>
    <w:rsid w:val="00330382"/>
    <w:rsid w:val="003304AA"/>
    <w:rsid w:val="003308F3"/>
    <w:rsid w:val="0033094D"/>
    <w:rsid w:val="003311E3"/>
    <w:rsid w:val="003312C0"/>
    <w:rsid w:val="003313FA"/>
    <w:rsid w:val="003316E7"/>
    <w:rsid w:val="00331AC0"/>
    <w:rsid w:val="00331B90"/>
    <w:rsid w:val="00331D8D"/>
    <w:rsid w:val="00332A17"/>
    <w:rsid w:val="00332DA4"/>
    <w:rsid w:val="00332E77"/>
    <w:rsid w:val="0033315E"/>
    <w:rsid w:val="00333369"/>
    <w:rsid w:val="003343E3"/>
    <w:rsid w:val="00334497"/>
    <w:rsid w:val="003344BA"/>
    <w:rsid w:val="00334851"/>
    <w:rsid w:val="00334B2B"/>
    <w:rsid w:val="00334CFD"/>
    <w:rsid w:val="00334DEC"/>
    <w:rsid w:val="00334E09"/>
    <w:rsid w:val="00335401"/>
    <w:rsid w:val="003356E6"/>
    <w:rsid w:val="00335761"/>
    <w:rsid w:val="00335923"/>
    <w:rsid w:val="0033592E"/>
    <w:rsid w:val="00335B99"/>
    <w:rsid w:val="00335BA6"/>
    <w:rsid w:val="00335E3E"/>
    <w:rsid w:val="00336067"/>
    <w:rsid w:val="0033657E"/>
    <w:rsid w:val="00336791"/>
    <w:rsid w:val="00336C77"/>
    <w:rsid w:val="00336E0E"/>
    <w:rsid w:val="00337010"/>
    <w:rsid w:val="00337078"/>
    <w:rsid w:val="00337975"/>
    <w:rsid w:val="003403EB"/>
    <w:rsid w:val="00340740"/>
    <w:rsid w:val="00340B95"/>
    <w:rsid w:val="00340BEA"/>
    <w:rsid w:val="003410F4"/>
    <w:rsid w:val="00341264"/>
    <w:rsid w:val="003415F6"/>
    <w:rsid w:val="00341BB0"/>
    <w:rsid w:val="00341CBA"/>
    <w:rsid w:val="00341D58"/>
    <w:rsid w:val="003423BE"/>
    <w:rsid w:val="003425D2"/>
    <w:rsid w:val="003427BB"/>
    <w:rsid w:val="003429AD"/>
    <w:rsid w:val="00342C65"/>
    <w:rsid w:val="0034340E"/>
    <w:rsid w:val="003434DD"/>
    <w:rsid w:val="003438A3"/>
    <w:rsid w:val="00343B30"/>
    <w:rsid w:val="00344004"/>
    <w:rsid w:val="00344530"/>
    <w:rsid w:val="0034463D"/>
    <w:rsid w:val="00344B03"/>
    <w:rsid w:val="00344CCC"/>
    <w:rsid w:val="00344D60"/>
    <w:rsid w:val="00344F32"/>
    <w:rsid w:val="00345132"/>
    <w:rsid w:val="0034532F"/>
    <w:rsid w:val="00345625"/>
    <w:rsid w:val="003457DA"/>
    <w:rsid w:val="00345A24"/>
    <w:rsid w:val="00345AAD"/>
    <w:rsid w:val="00345B0F"/>
    <w:rsid w:val="00345C40"/>
    <w:rsid w:val="003462C0"/>
    <w:rsid w:val="00346396"/>
    <w:rsid w:val="00346596"/>
    <w:rsid w:val="003468CF"/>
    <w:rsid w:val="003469ED"/>
    <w:rsid w:val="00346A45"/>
    <w:rsid w:val="00346E4E"/>
    <w:rsid w:val="00347278"/>
    <w:rsid w:val="00347350"/>
    <w:rsid w:val="0035053C"/>
    <w:rsid w:val="00350625"/>
    <w:rsid w:val="0035066F"/>
    <w:rsid w:val="003508E4"/>
    <w:rsid w:val="00350B6B"/>
    <w:rsid w:val="00350D1A"/>
    <w:rsid w:val="00350F25"/>
    <w:rsid w:val="00351033"/>
    <w:rsid w:val="00351298"/>
    <w:rsid w:val="003514CB"/>
    <w:rsid w:val="00351515"/>
    <w:rsid w:val="00351911"/>
    <w:rsid w:val="00351A7E"/>
    <w:rsid w:val="00351CA6"/>
    <w:rsid w:val="00351F4D"/>
    <w:rsid w:val="00351FD4"/>
    <w:rsid w:val="0035242D"/>
    <w:rsid w:val="00352906"/>
    <w:rsid w:val="00352908"/>
    <w:rsid w:val="00352DDF"/>
    <w:rsid w:val="00352E4C"/>
    <w:rsid w:val="00352FB8"/>
    <w:rsid w:val="00352FE7"/>
    <w:rsid w:val="00353168"/>
    <w:rsid w:val="0035327B"/>
    <w:rsid w:val="00353287"/>
    <w:rsid w:val="00353368"/>
    <w:rsid w:val="00353628"/>
    <w:rsid w:val="00353CD2"/>
    <w:rsid w:val="0035402D"/>
    <w:rsid w:val="003540B9"/>
    <w:rsid w:val="00354C50"/>
    <w:rsid w:val="00355008"/>
    <w:rsid w:val="00356151"/>
    <w:rsid w:val="00356312"/>
    <w:rsid w:val="0035660B"/>
    <w:rsid w:val="003566FD"/>
    <w:rsid w:val="0035690C"/>
    <w:rsid w:val="00357209"/>
    <w:rsid w:val="00357307"/>
    <w:rsid w:val="003575AF"/>
    <w:rsid w:val="003578F5"/>
    <w:rsid w:val="00357AB3"/>
    <w:rsid w:val="00357D5E"/>
    <w:rsid w:val="00357DC4"/>
    <w:rsid w:val="003604BF"/>
    <w:rsid w:val="00360534"/>
    <w:rsid w:val="003614DA"/>
    <w:rsid w:val="00361981"/>
    <w:rsid w:val="00361B49"/>
    <w:rsid w:val="00361B7B"/>
    <w:rsid w:val="0036201D"/>
    <w:rsid w:val="003621C1"/>
    <w:rsid w:val="00362215"/>
    <w:rsid w:val="00362275"/>
    <w:rsid w:val="00362525"/>
    <w:rsid w:val="00362D14"/>
    <w:rsid w:val="00363128"/>
    <w:rsid w:val="003632A4"/>
    <w:rsid w:val="00363D1E"/>
    <w:rsid w:val="0036406A"/>
    <w:rsid w:val="00364078"/>
    <w:rsid w:val="00364277"/>
    <w:rsid w:val="00364495"/>
    <w:rsid w:val="003645B4"/>
    <w:rsid w:val="00364677"/>
    <w:rsid w:val="00364730"/>
    <w:rsid w:val="00364DDB"/>
    <w:rsid w:val="00364F2A"/>
    <w:rsid w:val="00364F37"/>
    <w:rsid w:val="003650F4"/>
    <w:rsid w:val="00365131"/>
    <w:rsid w:val="00365770"/>
    <w:rsid w:val="003659DF"/>
    <w:rsid w:val="00365B84"/>
    <w:rsid w:val="00365E4B"/>
    <w:rsid w:val="00366AC7"/>
    <w:rsid w:val="003674FB"/>
    <w:rsid w:val="0036753C"/>
    <w:rsid w:val="003675DF"/>
    <w:rsid w:val="0036773B"/>
    <w:rsid w:val="00367D1A"/>
    <w:rsid w:val="00370169"/>
    <w:rsid w:val="0037036C"/>
    <w:rsid w:val="003703F7"/>
    <w:rsid w:val="003705A9"/>
    <w:rsid w:val="003705CC"/>
    <w:rsid w:val="003707EA"/>
    <w:rsid w:val="00371405"/>
    <w:rsid w:val="00371437"/>
    <w:rsid w:val="003717BF"/>
    <w:rsid w:val="003717DD"/>
    <w:rsid w:val="00372059"/>
    <w:rsid w:val="003721FE"/>
    <w:rsid w:val="003723D1"/>
    <w:rsid w:val="00372DED"/>
    <w:rsid w:val="003731FA"/>
    <w:rsid w:val="00373544"/>
    <w:rsid w:val="00373AA6"/>
    <w:rsid w:val="00373AE9"/>
    <w:rsid w:val="00374051"/>
    <w:rsid w:val="0037434F"/>
    <w:rsid w:val="0037441F"/>
    <w:rsid w:val="0037464C"/>
    <w:rsid w:val="00374BDB"/>
    <w:rsid w:val="00374C4A"/>
    <w:rsid w:val="003750F8"/>
    <w:rsid w:val="00375147"/>
    <w:rsid w:val="003753E8"/>
    <w:rsid w:val="00375A29"/>
    <w:rsid w:val="00375DA4"/>
    <w:rsid w:val="0037614C"/>
    <w:rsid w:val="003767E5"/>
    <w:rsid w:val="003769EB"/>
    <w:rsid w:val="00376EE1"/>
    <w:rsid w:val="0037775C"/>
    <w:rsid w:val="00380305"/>
    <w:rsid w:val="00380814"/>
    <w:rsid w:val="00380ABE"/>
    <w:rsid w:val="00381706"/>
    <w:rsid w:val="003817A9"/>
    <w:rsid w:val="00381AC0"/>
    <w:rsid w:val="00381E22"/>
    <w:rsid w:val="00381F22"/>
    <w:rsid w:val="00381F87"/>
    <w:rsid w:val="00381FFD"/>
    <w:rsid w:val="00382080"/>
    <w:rsid w:val="00382402"/>
    <w:rsid w:val="0038272B"/>
    <w:rsid w:val="00382DE0"/>
    <w:rsid w:val="00383028"/>
    <w:rsid w:val="00383073"/>
    <w:rsid w:val="003834B0"/>
    <w:rsid w:val="0038357E"/>
    <w:rsid w:val="0038358A"/>
    <w:rsid w:val="00383A79"/>
    <w:rsid w:val="00383DC8"/>
    <w:rsid w:val="00383FBE"/>
    <w:rsid w:val="00384BD7"/>
    <w:rsid w:val="00384D17"/>
    <w:rsid w:val="003853B8"/>
    <w:rsid w:val="00385E6A"/>
    <w:rsid w:val="00385E9E"/>
    <w:rsid w:val="00386733"/>
    <w:rsid w:val="00386808"/>
    <w:rsid w:val="00386891"/>
    <w:rsid w:val="00387553"/>
    <w:rsid w:val="003876A2"/>
    <w:rsid w:val="00390BB0"/>
    <w:rsid w:val="00390C4F"/>
    <w:rsid w:val="00391B3B"/>
    <w:rsid w:val="00392074"/>
    <w:rsid w:val="00392182"/>
    <w:rsid w:val="0039222B"/>
    <w:rsid w:val="0039250A"/>
    <w:rsid w:val="003927AA"/>
    <w:rsid w:val="0039288A"/>
    <w:rsid w:val="00392B92"/>
    <w:rsid w:val="00392BFE"/>
    <w:rsid w:val="0039309B"/>
    <w:rsid w:val="00393700"/>
    <w:rsid w:val="003939C3"/>
    <w:rsid w:val="0039497C"/>
    <w:rsid w:val="00394C62"/>
    <w:rsid w:val="00394C9E"/>
    <w:rsid w:val="00394F45"/>
    <w:rsid w:val="00395596"/>
    <w:rsid w:val="00395885"/>
    <w:rsid w:val="0039593C"/>
    <w:rsid w:val="00395979"/>
    <w:rsid w:val="00395B8A"/>
    <w:rsid w:val="00395CC2"/>
    <w:rsid w:val="0039616F"/>
    <w:rsid w:val="0039664D"/>
    <w:rsid w:val="00396D35"/>
    <w:rsid w:val="00396F2A"/>
    <w:rsid w:val="003970AB"/>
    <w:rsid w:val="003971C8"/>
    <w:rsid w:val="003A01B5"/>
    <w:rsid w:val="003A020A"/>
    <w:rsid w:val="003A07A4"/>
    <w:rsid w:val="003A07A8"/>
    <w:rsid w:val="003A07E3"/>
    <w:rsid w:val="003A0AE2"/>
    <w:rsid w:val="003A12F3"/>
    <w:rsid w:val="003A1BCA"/>
    <w:rsid w:val="003A1BDF"/>
    <w:rsid w:val="003A20CC"/>
    <w:rsid w:val="003A3069"/>
    <w:rsid w:val="003A31D3"/>
    <w:rsid w:val="003A379E"/>
    <w:rsid w:val="003A390E"/>
    <w:rsid w:val="003A39F7"/>
    <w:rsid w:val="003A3A42"/>
    <w:rsid w:val="003A3F1B"/>
    <w:rsid w:val="003A40F6"/>
    <w:rsid w:val="003A4215"/>
    <w:rsid w:val="003A4D0E"/>
    <w:rsid w:val="003A4D40"/>
    <w:rsid w:val="003A5163"/>
    <w:rsid w:val="003A5596"/>
    <w:rsid w:val="003A5704"/>
    <w:rsid w:val="003A5A26"/>
    <w:rsid w:val="003A5C4A"/>
    <w:rsid w:val="003A5F48"/>
    <w:rsid w:val="003A5F74"/>
    <w:rsid w:val="003A63E5"/>
    <w:rsid w:val="003A6B9A"/>
    <w:rsid w:val="003A7144"/>
    <w:rsid w:val="003A72C7"/>
    <w:rsid w:val="003A79F6"/>
    <w:rsid w:val="003B02CB"/>
    <w:rsid w:val="003B06C9"/>
    <w:rsid w:val="003B0793"/>
    <w:rsid w:val="003B0CC2"/>
    <w:rsid w:val="003B0F0C"/>
    <w:rsid w:val="003B0FA3"/>
    <w:rsid w:val="003B0FC0"/>
    <w:rsid w:val="003B1093"/>
    <w:rsid w:val="003B12A3"/>
    <w:rsid w:val="003B12CD"/>
    <w:rsid w:val="003B15FF"/>
    <w:rsid w:val="003B1A33"/>
    <w:rsid w:val="003B1B97"/>
    <w:rsid w:val="003B2727"/>
    <w:rsid w:val="003B287E"/>
    <w:rsid w:val="003B2FF4"/>
    <w:rsid w:val="003B3512"/>
    <w:rsid w:val="003B376F"/>
    <w:rsid w:val="003B3E96"/>
    <w:rsid w:val="003B4478"/>
    <w:rsid w:val="003B4488"/>
    <w:rsid w:val="003B462F"/>
    <w:rsid w:val="003B52E4"/>
    <w:rsid w:val="003B5C05"/>
    <w:rsid w:val="003B5E80"/>
    <w:rsid w:val="003B5F72"/>
    <w:rsid w:val="003B5F7D"/>
    <w:rsid w:val="003B668D"/>
    <w:rsid w:val="003B701D"/>
    <w:rsid w:val="003B7DDB"/>
    <w:rsid w:val="003B7F91"/>
    <w:rsid w:val="003C01A5"/>
    <w:rsid w:val="003C0DB4"/>
    <w:rsid w:val="003C0DF9"/>
    <w:rsid w:val="003C108D"/>
    <w:rsid w:val="003C165B"/>
    <w:rsid w:val="003C19CF"/>
    <w:rsid w:val="003C1A7B"/>
    <w:rsid w:val="003C21EA"/>
    <w:rsid w:val="003C2788"/>
    <w:rsid w:val="003C2EC6"/>
    <w:rsid w:val="003C30A5"/>
    <w:rsid w:val="003C3273"/>
    <w:rsid w:val="003C375C"/>
    <w:rsid w:val="003C3C56"/>
    <w:rsid w:val="003C4806"/>
    <w:rsid w:val="003C4813"/>
    <w:rsid w:val="003C487E"/>
    <w:rsid w:val="003C4913"/>
    <w:rsid w:val="003C5216"/>
    <w:rsid w:val="003C5339"/>
    <w:rsid w:val="003C5834"/>
    <w:rsid w:val="003C5F6A"/>
    <w:rsid w:val="003C614A"/>
    <w:rsid w:val="003C61A7"/>
    <w:rsid w:val="003C6652"/>
    <w:rsid w:val="003C677C"/>
    <w:rsid w:val="003C6BC9"/>
    <w:rsid w:val="003C7060"/>
    <w:rsid w:val="003C7E48"/>
    <w:rsid w:val="003C7EF0"/>
    <w:rsid w:val="003D00FA"/>
    <w:rsid w:val="003D02C0"/>
    <w:rsid w:val="003D039C"/>
    <w:rsid w:val="003D04D8"/>
    <w:rsid w:val="003D064A"/>
    <w:rsid w:val="003D06BC"/>
    <w:rsid w:val="003D081D"/>
    <w:rsid w:val="003D0928"/>
    <w:rsid w:val="003D1402"/>
    <w:rsid w:val="003D148D"/>
    <w:rsid w:val="003D17A9"/>
    <w:rsid w:val="003D1898"/>
    <w:rsid w:val="003D1B3F"/>
    <w:rsid w:val="003D238C"/>
    <w:rsid w:val="003D245A"/>
    <w:rsid w:val="003D2A7C"/>
    <w:rsid w:val="003D2E08"/>
    <w:rsid w:val="003D2FC1"/>
    <w:rsid w:val="003D452B"/>
    <w:rsid w:val="003D499A"/>
    <w:rsid w:val="003D49A8"/>
    <w:rsid w:val="003D4ACA"/>
    <w:rsid w:val="003D4F54"/>
    <w:rsid w:val="003D5558"/>
    <w:rsid w:val="003D5967"/>
    <w:rsid w:val="003D6B70"/>
    <w:rsid w:val="003D6E6A"/>
    <w:rsid w:val="003D7AA7"/>
    <w:rsid w:val="003E0246"/>
    <w:rsid w:val="003E043C"/>
    <w:rsid w:val="003E046D"/>
    <w:rsid w:val="003E0964"/>
    <w:rsid w:val="003E0A56"/>
    <w:rsid w:val="003E1168"/>
    <w:rsid w:val="003E1296"/>
    <w:rsid w:val="003E14EC"/>
    <w:rsid w:val="003E164A"/>
    <w:rsid w:val="003E19C9"/>
    <w:rsid w:val="003E2314"/>
    <w:rsid w:val="003E260B"/>
    <w:rsid w:val="003E26D1"/>
    <w:rsid w:val="003E2F95"/>
    <w:rsid w:val="003E36F6"/>
    <w:rsid w:val="003E40B7"/>
    <w:rsid w:val="003E40CC"/>
    <w:rsid w:val="003E41B2"/>
    <w:rsid w:val="003E4733"/>
    <w:rsid w:val="003E4C00"/>
    <w:rsid w:val="003E508F"/>
    <w:rsid w:val="003E59BA"/>
    <w:rsid w:val="003E5D90"/>
    <w:rsid w:val="003E5DF0"/>
    <w:rsid w:val="003E60F3"/>
    <w:rsid w:val="003E6273"/>
    <w:rsid w:val="003E6402"/>
    <w:rsid w:val="003E6431"/>
    <w:rsid w:val="003E6437"/>
    <w:rsid w:val="003E6473"/>
    <w:rsid w:val="003E64BB"/>
    <w:rsid w:val="003E658B"/>
    <w:rsid w:val="003E6669"/>
    <w:rsid w:val="003E67ED"/>
    <w:rsid w:val="003E6972"/>
    <w:rsid w:val="003E6C75"/>
    <w:rsid w:val="003E7179"/>
    <w:rsid w:val="003E71B0"/>
    <w:rsid w:val="003E77F3"/>
    <w:rsid w:val="003E7BBB"/>
    <w:rsid w:val="003E7D1D"/>
    <w:rsid w:val="003E7FCC"/>
    <w:rsid w:val="003F01F4"/>
    <w:rsid w:val="003F0598"/>
    <w:rsid w:val="003F08C1"/>
    <w:rsid w:val="003F0D33"/>
    <w:rsid w:val="003F1170"/>
    <w:rsid w:val="003F17C8"/>
    <w:rsid w:val="003F1A22"/>
    <w:rsid w:val="003F1ABF"/>
    <w:rsid w:val="003F1BD8"/>
    <w:rsid w:val="003F2179"/>
    <w:rsid w:val="003F2188"/>
    <w:rsid w:val="003F23F1"/>
    <w:rsid w:val="003F264C"/>
    <w:rsid w:val="003F2D1A"/>
    <w:rsid w:val="003F32F2"/>
    <w:rsid w:val="003F3380"/>
    <w:rsid w:val="003F35BE"/>
    <w:rsid w:val="003F483A"/>
    <w:rsid w:val="003F4929"/>
    <w:rsid w:val="003F4BE9"/>
    <w:rsid w:val="003F4BEA"/>
    <w:rsid w:val="003F4CC7"/>
    <w:rsid w:val="003F5009"/>
    <w:rsid w:val="003F5265"/>
    <w:rsid w:val="003F5283"/>
    <w:rsid w:val="003F5505"/>
    <w:rsid w:val="003F5628"/>
    <w:rsid w:val="003F5C12"/>
    <w:rsid w:val="003F5C64"/>
    <w:rsid w:val="003F6478"/>
    <w:rsid w:val="003F64D7"/>
    <w:rsid w:val="003F6B4E"/>
    <w:rsid w:val="003F726C"/>
    <w:rsid w:val="003F730B"/>
    <w:rsid w:val="003F73C2"/>
    <w:rsid w:val="003F7D85"/>
    <w:rsid w:val="004003A0"/>
    <w:rsid w:val="00400409"/>
    <w:rsid w:val="00400413"/>
    <w:rsid w:val="004005C0"/>
    <w:rsid w:val="004006A6"/>
    <w:rsid w:val="004008EC"/>
    <w:rsid w:val="00400E1F"/>
    <w:rsid w:val="00400E9D"/>
    <w:rsid w:val="00400EF0"/>
    <w:rsid w:val="0040127C"/>
    <w:rsid w:val="0040140A"/>
    <w:rsid w:val="0040183C"/>
    <w:rsid w:val="00401DAA"/>
    <w:rsid w:val="004020B6"/>
    <w:rsid w:val="004020C7"/>
    <w:rsid w:val="004021FB"/>
    <w:rsid w:val="00402213"/>
    <w:rsid w:val="00402FB4"/>
    <w:rsid w:val="00402FDC"/>
    <w:rsid w:val="0040358D"/>
    <w:rsid w:val="00403CFD"/>
    <w:rsid w:val="00403E34"/>
    <w:rsid w:val="00404B12"/>
    <w:rsid w:val="00404C23"/>
    <w:rsid w:val="00404E65"/>
    <w:rsid w:val="00405209"/>
    <w:rsid w:val="004058CF"/>
    <w:rsid w:val="00405F94"/>
    <w:rsid w:val="0040607E"/>
    <w:rsid w:val="00406393"/>
    <w:rsid w:val="0040685C"/>
    <w:rsid w:val="00406A26"/>
    <w:rsid w:val="00406C23"/>
    <w:rsid w:val="0040776A"/>
    <w:rsid w:val="00407B3C"/>
    <w:rsid w:val="00407B5B"/>
    <w:rsid w:val="0041034E"/>
    <w:rsid w:val="0041038F"/>
    <w:rsid w:val="00410A54"/>
    <w:rsid w:val="00410CAB"/>
    <w:rsid w:val="00410CED"/>
    <w:rsid w:val="00410D5F"/>
    <w:rsid w:val="0041146E"/>
    <w:rsid w:val="00411766"/>
    <w:rsid w:val="00411982"/>
    <w:rsid w:val="004119AE"/>
    <w:rsid w:val="00411B29"/>
    <w:rsid w:val="00411B4F"/>
    <w:rsid w:val="00411FAD"/>
    <w:rsid w:val="00412221"/>
    <w:rsid w:val="0041294A"/>
    <w:rsid w:val="00413EB5"/>
    <w:rsid w:val="00413EEF"/>
    <w:rsid w:val="0041412D"/>
    <w:rsid w:val="004142EB"/>
    <w:rsid w:val="004145FD"/>
    <w:rsid w:val="004148A8"/>
    <w:rsid w:val="00414B13"/>
    <w:rsid w:val="00414BEB"/>
    <w:rsid w:val="0041502E"/>
    <w:rsid w:val="004161BE"/>
    <w:rsid w:val="00416467"/>
    <w:rsid w:val="004166C0"/>
    <w:rsid w:val="004168D1"/>
    <w:rsid w:val="00416996"/>
    <w:rsid w:val="00416CCB"/>
    <w:rsid w:val="00417147"/>
    <w:rsid w:val="0041724F"/>
    <w:rsid w:val="00417D3F"/>
    <w:rsid w:val="00417E24"/>
    <w:rsid w:val="00420896"/>
    <w:rsid w:val="0042122B"/>
    <w:rsid w:val="00422251"/>
    <w:rsid w:val="00422325"/>
    <w:rsid w:val="00422368"/>
    <w:rsid w:val="00422510"/>
    <w:rsid w:val="0042292C"/>
    <w:rsid w:val="00422A5F"/>
    <w:rsid w:val="00422E86"/>
    <w:rsid w:val="00423435"/>
    <w:rsid w:val="00423944"/>
    <w:rsid w:val="004243F9"/>
    <w:rsid w:val="004245CE"/>
    <w:rsid w:val="00424C57"/>
    <w:rsid w:val="00424CA3"/>
    <w:rsid w:val="00425550"/>
    <w:rsid w:val="00425590"/>
    <w:rsid w:val="00425633"/>
    <w:rsid w:val="0042579A"/>
    <w:rsid w:val="00425F5A"/>
    <w:rsid w:val="00426036"/>
    <w:rsid w:val="00426282"/>
    <w:rsid w:val="0042649E"/>
    <w:rsid w:val="004264B9"/>
    <w:rsid w:val="0042668D"/>
    <w:rsid w:val="00426782"/>
    <w:rsid w:val="00426CB4"/>
    <w:rsid w:val="00426F84"/>
    <w:rsid w:val="004275AF"/>
    <w:rsid w:val="0042762F"/>
    <w:rsid w:val="00427AAE"/>
    <w:rsid w:val="00427D77"/>
    <w:rsid w:val="0043066C"/>
    <w:rsid w:val="0043083F"/>
    <w:rsid w:val="0043091C"/>
    <w:rsid w:val="004309E7"/>
    <w:rsid w:val="00430C6D"/>
    <w:rsid w:val="00431049"/>
    <w:rsid w:val="004315F7"/>
    <w:rsid w:val="0043189F"/>
    <w:rsid w:val="00431C9F"/>
    <w:rsid w:val="00431E0B"/>
    <w:rsid w:val="004321CC"/>
    <w:rsid w:val="004325F6"/>
    <w:rsid w:val="00432848"/>
    <w:rsid w:val="0043311D"/>
    <w:rsid w:val="00433423"/>
    <w:rsid w:val="00433534"/>
    <w:rsid w:val="0043366D"/>
    <w:rsid w:val="00433F5E"/>
    <w:rsid w:val="0043415C"/>
    <w:rsid w:val="00434308"/>
    <w:rsid w:val="00434377"/>
    <w:rsid w:val="004343AD"/>
    <w:rsid w:val="004349FC"/>
    <w:rsid w:val="00434C27"/>
    <w:rsid w:val="004353CC"/>
    <w:rsid w:val="0043576A"/>
    <w:rsid w:val="004357E5"/>
    <w:rsid w:val="00435827"/>
    <w:rsid w:val="00435896"/>
    <w:rsid w:val="00435DFC"/>
    <w:rsid w:val="004360AA"/>
    <w:rsid w:val="0043610A"/>
    <w:rsid w:val="00436177"/>
    <w:rsid w:val="00436262"/>
    <w:rsid w:val="004369E4"/>
    <w:rsid w:val="00436BA0"/>
    <w:rsid w:val="00436BBC"/>
    <w:rsid w:val="00436F52"/>
    <w:rsid w:val="004370B5"/>
    <w:rsid w:val="004370FB"/>
    <w:rsid w:val="00437135"/>
    <w:rsid w:val="0043724F"/>
    <w:rsid w:val="00437683"/>
    <w:rsid w:val="004379D2"/>
    <w:rsid w:val="00440C74"/>
    <w:rsid w:val="004410E9"/>
    <w:rsid w:val="00441501"/>
    <w:rsid w:val="0044174B"/>
    <w:rsid w:val="00441B2D"/>
    <w:rsid w:val="00441C7D"/>
    <w:rsid w:val="00443295"/>
    <w:rsid w:val="00443504"/>
    <w:rsid w:val="0044359F"/>
    <w:rsid w:val="00443A0A"/>
    <w:rsid w:val="00443B19"/>
    <w:rsid w:val="00443B22"/>
    <w:rsid w:val="00443B8F"/>
    <w:rsid w:val="00443BF5"/>
    <w:rsid w:val="00443E0A"/>
    <w:rsid w:val="00444076"/>
    <w:rsid w:val="00444346"/>
    <w:rsid w:val="0044436F"/>
    <w:rsid w:val="00444905"/>
    <w:rsid w:val="00444CB5"/>
    <w:rsid w:val="0044536F"/>
    <w:rsid w:val="004454B4"/>
    <w:rsid w:val="0044554F"/>
    <w:rsid w:val="004457CE"/>
    <w:rsid w:val="00445952"/>
    <w:rsid w:val="00446004"/>
    <w:rsid w:val="0044698E"/>
    <w:rsid w:val="00446B21"/>
    <w:rsid w:val="00446C40"/>
    <w:rsid w:val="0044708A"/>
    <w:rsid w:val="004470F5"/>
    <w:rsid w:val="0044754C"/>
    <w:rsid w:val="00447720"/>
    <w:rsid w:val="0044791F"/>
    <w:rsid w:val="00447923"/>
    <w:rsid w:val="0045002C"/>
    <w:rsid w:val="004501E2"/>
    <w:rsid w:val="0045082E"/>
    <w:rsid w:val="00451166"/>
    <w:rsid w:val="00451427"/>
    <w:rsid w:val="00451AA2"/>
    <w:rsid w:val="00451B28"/>
    <w:rsid w:val="00451ED0"/>
    <w:rsid w:val="0045271A"/>
    <w:rsid w:val="00452CF3"/>
    <w:rsid w:val="00452E4C"/>
    <w:rsid w:val="0045321A"/>
    <w:rsid w:val="00453465"/>
    <w:rsid w:val="00454670"/>
    <w:rsid w:val="004549EF"/>
    <w:rsid w:val="00454CC1"/>
    <w:rsid w:val="004550EE"/>
    <w:rsid w:val="00455736"/>
    <w:rsid w:val="0045577A"/>
    <w:rsid w:val="00455886"/>
    <w:rsid w:val="00455A78"/>
    <w:rsid w:val="00455E9E"/>
    <w:rsid w:val="00456065"/>
    <w:rsid w:val="00456234"/>
    <w:rsid w:val="00456627"/>
    <w:rsid w:val="00456907"/>
    <w:rsid w:val="00456E56"/>
    <w:rsid w:val="00457174"/>
    <w:rsid w:val="004576FA"/>
    <w:rsid w:val="00457B52"/>
    <w:rsid w:val="004601FC"/>
    <w:rsid w:val="004603BD"/>
    <w:rsid w:val="004606B7"/>
    <w:rsid w:val="004608B0"/>
    <w:rsid w:val="00460927"/>
    <w:rsid w:val="00460933"/>
    <w:rsid w:val="00460D4D"/>
    <w:rsid w:val="00460FC9"/>
    <w:rsid w:val="00461110"/>
    <w:rsid w:val="00461118"/>
    <w:rsid w:val="00461126"/>
    <w:rsid w:val="00461480"/>
    <w:rsid w:val="00461694"/>
    <w:rsid w:val="00462422"/>
    <w:rsid w:val="00462E42"/>
    <w:rsid w:val="00462EBA"/>
    <w:rsid w:val="00462EC2"/>
    <w:rsid w:val="00462F08"/>
    <w:rsid w:val="00463650"/>
    <w:rsid w:val="00463683"/>
    <w:rsid w:val="004636D4"/>
    <w:rsid w:val="00463963"/>
    <w:rsid w:val="00463A49"/>
    <w:rsid w:val="00463CD2"/>
    <w:rsid w:val="0046403C"/>
    <w:rsid w:val="004642A2"/>
    <w:rsid w:val="00464427"/>
    <w:rsid w:val="004644CB"/>
    <w:rsid w:val="004645B1"/>
    <w:rsid w:val="00464D5A"/>
    <w:rsid w:val="00465071"/>
    <w:rsid w:val="0046594A"/>
    <w:rsid w:val="00465C30"/>
    <w:rsid w:val="00465D66"/>
    <w:rsid w:val="00465DF7"/>
    <w:rsid w:val="00465F04"/>
    <w:rsid w:val="00465F6A"/>
    <w:rsid w:val="00465FFB"/>
    <w:rsid w:val="0046616B"/>
    <w:rsid w:val="004662A3"/>
    <w:rsid w:val="0046634D"/>
    <w:rsid w:val="00466370"/>
    <w:rsid w:val="00466531"/>
    <w:rsid w:val="00466787"/>
    <w:rsid w:val="0046679E"/>
    <w:rsid w:val="00466966"/>
    <w:rsid w:val="0046696A"/>
    <w:rsid w:val="00466D0A"/>
    <w:rsid w:val="00467896"/>
    <w:rsid w:val="004678B5"/>
    <w:rsid w:val="00467FAC"/>
    <w:rsid w:val="0047024B"/>
    <w:rsid w:val="0047025E"/>
    <w:rsid w:val="00470312"/>
    <w:rsid w:val="00470669"/>
    <w:rsid w:val="0047098D"/>
    <w:rsid w:val="00470D0F"/>
    <w:rsid w:val="004710A0"/>
    <w:rsid w:val="004711A5"/>
    <w:rsid w:val="004715BE"/>
    <w:rsid w:val="0047170B"/>
    <w:rsid w:val="00471906"/>
    <w:rsid w:val="00471B7B"/>
    <w:rsid w:val="004721EA"/>
    <w:rsid w:val="0047239E"/>
    <w:rsid w:val="004727CB"/>
    <w:rsid w:val="00472A3F"/>
    <w:rsid w:val="00472D7D"/>
    <w:rsid w:val="00472EFC"/>
    <w:rsid w:val="0047303A"/>
    <w:rsid w:val="004734E5"/>
    <w:rsid w:val="0047365C"/>
    <w:rsid w:val="00473A82"/>
    <w:rsid w:val="00473CAE"/>
    <w:rsid w:val="00474245"/>
    <w:rsid w:val="004746F7"/>
    <w:rsid w:val="0047486E"/>
    <w:rsid w:val="004749E6"/>
    <w:rsid w:val="00474D04"/>
    <w:rsid w:val="004751A6"/>
    <w:rsid w:val="00475826"/>
    <w:rsid w:val="004759E0"/>
    <w:rsid w:val="00475AF7"/>
    <w:rsid w:val="00475B3F"/>
    <w:rsid w:val="00476986"/>
    <w:rsid w:val="00476B19"/>
    <w:rsid w:val="00476C00"/>
    <w:rsid w:val="0047704A"/>
    <w:rsid w:val="00477589"/>
    <w:rsid w:val="00477E28"/>
    <w:rsid w:val="00477FE3"/>
    <w:rsid w:val="00480289"/>
    <w:rsid w:val="0048121C"/>
    <w:rsid w:val="00481611"/>
    <w:rsid w:val="004817E4"/>
    <w:rsid w:val="00481D4F"/>
    <w:rsid w:val="0048278E"/>
    <w:rsid w:val="004830E4"/>
    <w:rsid w:val="0048321F"/>
    <w:rsid w:val="00483A94"/>
    <w:rsid w:val="00483E21"/>
    <w:rsid w:val="0048477A"/>
    <w:rsid w:val="00484B14"/>
    <w:rsid w:val="00484B2F"/>
    <w:rsid w:val="00484B35"/>
    <w:rsid w:val="00485650"/>
    <w:rsid w:val="004856A3"/>
    <w:rsid w:val="004856A7"/>
    <w:rsid w:val="00485844"/>
    <w:rsid w:val="004859CB"/>
    <w:rsid w:val="004861F6"/>
    <w:rsid w:val="004871ED"/>
    <w:rsid w:val="00487204"/>
    <w:rsid w:val="00487876"/>
    <w:rsid w:val="00487953"/>
    <w:rsid w:val="00487BE2"/>
    <w:rsid w:val="00490068"/>
    <w:rsid w:val="00490075"/>
    <w:rsid w:val="00490261"/>
    <w:rsid w:val="0049034C"/>
    <w:rsid w:val="004904C9"/>
    <w:rsid w:val="004907C1"/>
    <w:rsid w:val="00490C4F"/>
    <w:rsid w:val="004914ED"/>
    <w:rsid w:val="004918B3"/>
    <w:rsid w:val="00491B00"/>
    <w:rsid w:val="00492607"/>
    <w:rsid w:val="00492F24"/>
    <w:rsid w:val="00492F67"/>
    <w:rsid w:val="0049338C"/>
    <w:rsid w:val="0049354C"/>
    <w:rsid w:val="0049401B"/>
    <w:rsid w:val="0049429A"/>
    <w:rsid w:val="0049462C"/>
    <w:rsid w:val="004946F2"/>
    <w:rsid w:val="004947E5"/>
    <w:rsid w:val="00494BD6"/>
    <w:rsid w:val="00495109"/>
    <w:rsid w:val="00495749"/>
    <w:rsid w:val="004958BE"/>
    <w:rsid w:val="00495DE8"/>
    <w:rsid w:val="00496272"/>
    <w:rsid w:val="00496C02"/>
    <w:rsid w:val="00496E79"/>
    <w:rsid w:val="00497175"/>
    <w:rsid w:val="0049717E"/>
    <w:rsid w:val="0049723E"/>
    <w:rsid w:val="00497462"/>
    <w:rsid w:val="00497906"/>
    <w:rsid w:val="00497B71"/>
    <w:rsid w:val="004A0150"/>
    <w:rsid w:val="004A0317"/>
    <w:rsid w:val="004A06FA"/>
    <w:rsid w:val="004A0D26"/>
    <w:rsid w:val="004A0EE0"/>
    <w:rsid w:val="004A10E5"/>
    <w:rsid w:val="004A1234"/>
    <w:rsid w:val="004A12B3"/>
    <w:rsid w:val="004A1382"/>
    <w:rsid w:val="004A1557"/>
    <w:rsid w:val="004A1729"/>
    <w:rsid w:val="004A1A67"/>
    <w:rsid w:val="004A220A"/>
    <w:rsid w:val="004A223E"/>
    <w:rsid w:val="004A22B5"/>
    <w:rsid w:val="004A2315"/>
    <w:rsid w:val="004A290A"/>
    <w:rsid w:val="004A2AA7"/>
    <w:rsid w:val="004A31FD"/>
    <w:rsid w:val="004A345B"/>
    <w:rsid w:val="004A34B2"/>
    <w:rsid w:val="004A369E"/>
    <w:rsid w:val="004A397C"/>
    <w:rsid w:val="004A3DA9"/>
    <w:rsid w:val="004A46ED"/>
    <w:rsid w:val="004A4793"/>
    <w:rsid w:val="004A4A04"/>
    <w:rsid w:val="004A4AEE"/>
    <w:rsid w:val="004A50C1"/>
    <w:rsid w:val="004A50FF"/>
    <w:rsid w:val="004A5AA0"/>
    <w:rsid w:val="004A5CF4"/>
    <w:rsid w:val="004A60F1"/>
    <w:rsid w:val="004A6281"/>
    <w:rsid w:val="004A6996"/>
    <w:rsid w:val="004A799D"/>
    <w:rsid w:val="004A7D77"/>
    <w:rsid w:val="004A7F08"/>
    <w:rsid w:val="004A7FF5"/>
    <w:rsid w:val="004B0076"/>
    <w:rsid w:val="004B0114"/>
    <w:rsid w:val="004B0401"/>
    <w:rsid w:val="004B07D2"/>
    <w:rsid w:val="004B0E70"/>
    <w:rsid w:val="004B12EE"/>
    <w:rsid w:val="004B1E75"/>
    <w:rsid w:val="004B2040"/>
    <w:rsid w:val="004B2623"/>
    <w:rsid w:val="004B2880"/>
    <w:rsid w:val="004B2955"/>
    <w:rsid w:val="004B29AA"/>
    <w:rsid w:val="004B2B2E"/>
    <w:rsid w:val="004B2F84"/>
    <w:rsid w:val="004B341E"/>
    <w:rsid w:val="004B351C"/>
    <w:rsid w:val="004B49B5"/>
    <w:rsid w:val="004B4E4F"/>
    <w:rsid w:val="004B50D0"/>
    <w:rsid w:val="004B5127"/>
    <w:rsid w:val="004B54F9"/>
    <w:rsid w:val="004B57AE"/>
    <w:rsid w:val="004B5E52"/>
    <w:rsid w:val="004B605F"/>
    <w:rsid w:val="004B6127"/>
    <w:rsid w:val="004B6C9E"/>
    <w:rsid w:val="004B6FF1"/>
    <w:rsid w:val="004B7735"/>
    <w:rsid w:val="004B77A7"/>
    <w:rsid w:val="004B7BD9"/>
    <w:rsid w:val="004C0D25"/>
    <w:rsid w:val="004C1483"/>
    <w:rsid w:val="004C14B0"/>
    <w:rsid w:val="004C154C"/>
    <w:rsid w:val="004C1750"/>
    <w:rsid w:val="004C18B2"/>
    <w:rsid w:val="004C1C13"/>
    <w:rsid w:val="004C1C25"/>
    <w:rsid w:val="004C2111"/>
    <w:rsid w:val="004C2115"/>
    <w:rsid w:val="004C22D4"/>
    <w:rsid w:val="004C23A8"/>
    <w:rsid w:val="004C27D1"/>
    <w:rsid w:val="004C2A82"/>
    <w:rsid w:val="004C2C23"/>
    <w:rsid w:val="004C3571"/>
    <w:rsid w:val="004C3668"/>
    <w:rsid w:val="004C3CC9"/>
    <w:rsid w:val="004C460D"/>
    <w:rsid w:val="004C4A82"/>
    <w:rsid w:val="004C4C36"/>
    <w:rsid w:val="004C50B1"/>
    <w:rsid w:val="004C51DF"/>
    <w:rsid w:val="004C527B"/>
    <w:rsid w:val="004C5649"/>
    <w:rsid w:val="004C5A17"/>
    <w:rsid w:val="004C5A3A"/>
    <w:rsid w:val="004C5C59"/>
    <w:rsid w:val="004C6305"/>
    <w:rsid w:val="004C682E"/>
    <w:rsid w:val="004C6958"/>
    <w:rsid w:val="004C6A5C"/>
    <w:rsid w:val="004C6BE7"/>
    <w:rsid w:val="004C6D00"/>
    <w:rsid w:val="004C6F25"/>
    <w:rsid w:val="004C7108"/>
    <w:rsid w:val="004C7FED"/>
    <w:rsid w:val="004D043E"/>
    <w:rsid w:val="004D051D"/>
    <w:rsid w:val="004D05A8"/>
    <w:rsid w:val="004D05E1"/>
    <w:rsid w:val="004D1048"/>
    <w:rsid w:val="004D12CD"/>
    <w:rsid w:val="004D1713"/>
    <w:rsid w:val="004D198D"/>
    <w:rsid w:val="004D1D0C"/>
    <w:rsid w:val="004D1D7D"/>
    <w:rsid w:val="004D2581"/>
    <w:rsid w:val="004D26A7"/>
    <w:rsid w:val="004D2C8B"/>
    <w:rsid w:val="004D3088"/>
    <w:rsid w:val="004D33AA"/>
    <w:rsid w:val="004D3638"/>
    <w:rsid w:val="004D3EE7"/>
    <w:rsid w:val="004D44B3"/>
    <w:rsid w:val="004D456C"/>
    <w:rsid w:val="004D4720"/>
    <w:rsid w:val="004D4C07"/>
    <w:rsid w:val="004D50A4"/>
    <w:rsid w:val="004D556B"/>
    <w:rsid w:val="004D56EA"/>
    <w:rsid w:val="004D5B37"/>
    <w:rsid w:val="004D5C5B"/>
    <w:rsid w:val="004D6346"/>
    <w:rsid w:val="004D644E"/>
    <w:rsid w:val="004D66CA"/>
    <w:rsid w:val="004D6867"/>
    <w:rsid w:val="004D6C40"/>
    <w:rsid w:val="004D6D21"/>
    <w:rsid w:val="004D74A2"/>
    <w:rsid w:val="004D7D6C"/>
    <w:rsid w:val="004D7D88"/>
    <w:rsid w:val="004D7F9B"/>
    <w:rsid w:val="004E0161"/>
    <w:rsid w:val="004E028D"/>
    <w:rsid w:val="004E0634"/>
    <w:rsid w:val="004E08E9"/>
    <w:rsid w:val="004E0C42"/>
    <w:rsid w:val="004E0C71"/>
    <w:rsid w:val="004E0E64"/>
    <w:rsid w:val="004E0FD5"/>
    <w:rsid w:val="004E1063"/>
    <w:rsid w:val="004E108F"/>
    <w:rsid w:val="004E160A"/>
    <w:rsid w:val="004E1C17"/>
    <w:rsid w:val="004E1F38"/>
    <w:rsid w:val="004E21C9"/>
    <w:rsid w:val="004E21FA"/>
    <w:rsid w:val="004E2945"/>
    <w:rsid w:val="004E2D09"/>
    <w:rsid w:val="004E2FA1"/>
    <w:rsid w:val="004E2FBF"/>
    <w:rsid w:val="004E301D"/>
    <w:rsid w:val="004E313E"/>
    <w:rsid w:val="004E316B"/>
    <w:rsid w:val="004E3AC3"/>
    <w:rsid w:val="004E3F18"/>
    <w:rsid w:val="004E3F82"/>
    <w:rsid w:val="004E406A"/>
    <w:rsid w:val="004E4942"/>
    <w:rsid w:val="004E4F0A"/>
    <w:rsid w:val="004E5118"/>
    <w:rsid w:val="004E52AF"/>
    <w:rsid w:val="004E5383"/>
    <w:rsid w:val="004E5774"/>
    <w:rsid w:val="004E59BA"/>
    <w:rsid w:val="004E5BB0"/>
    <w:rsid w:val="004E5BCF"/>
    <w:rsid w:val="004E5C83"/>
    <w:rsid w:val="004E5CE9"/>
    <w:rsid w:val="004E5E53"/>
    <w:rsid w:val="004E6679"/>
    <w:rsid w:val="004E71AC"/>
    <w:rsid w:val="004E71F3"/>
    <w:rsid w:val="004E723B"/>
    <w:rsid w:val="004E792D"/>
    <w:rsid w:val="004E7B22"/>
    <w:rsid w:val="004E7E1F"/>
    <w:rsid w:val="004F0554"/>
    <w:rsid w:val="004F0AC1"/>
    <w:rsid w:val="004F1523"/>
    <w:rsid w:val="004F177C"/>
    <w:rsid w:val="004F17D2"/>
    <w:rsid w:val="004F2898"/>
    <w:rsid w:val="004F29AC"/>
    <w:rsid w:val="004F2B10"/>
    <w:rsid w:val="004F2D81"/>
    <w:rsid w:val="004F2F44"/>
    <w:rsid w:val="004F3632"/>
    <w:rsid w:val="004F3C29"/>
    <w:rsid w:val="004F412A"/>
    <w:rsid w:val="004F43B9"/>
    <w:rsid w:val="004F4DC9"/>
    <w:rsid w:val="004F542D"/>
    <w:rsid w:val="004F5C66"/>
    <w:rsid w:val="004F61DA"/>
    <w:rsid w:val="004F6525"/>
    <w:rsid w:val="004F6700"/>
    <w:rsid w:val="004F6877"/>
    <w:rsid w:val="004F708D"/>
    <w:rsid w:val="004F752C"/>
    <w:rsid w:val="004F7680"/>
    <w:rsid w:val="004F7813"/>
    <w:rsid w:val="004F78EF"/>
    <w:rsid w:val="004F7E19"/>
    <w:rsid w:val="004F7FE5"/>
    <w:rsid w:val="0050005B"/>
    <w:rsid w:val="005001B4"/>
    <w:rsid w:val="00500209"/>
    <w:rsid w:val="00500369"/>
    <w:rsid w:val="005005D3"/>
    <w:rsid w:val="005005DA"/>
    <w:rsid w:val="00500859"/>
    <w:rsid w:val="00500C8A"/>
    <w:rsid w:val="005010A7"/>
    <w:rsid w:val="00501231"/>
    <w:rsid w:val="00501B31"/>
    <w:rsid w:val="00501BD2"/>
    <w:rsid w:val="00501C06"/>
    <w:rsid w:val="00502C83"/>
    <w:rsid w:val="00502EFE"/>
    <w:rsid w:val="00503005"/>
    <w:rsid w:val="005034E8"/>
    <w:rsid w:val="0050360E"/>
    <w:rsid w:val="0050394C"/>
    <w:rsid w:val="00503F25"/>
    <w:rsid w:val="0050438A"/>
    <w:rsid w:val="005044F9"/>
    <w:rsid w:val="0050475E"/>
    <w:rsid w:val="00504832"/>
    <w:rsid w:val="0050490A"/>
    <w:rsid w:val="00504AF0"/>
    <w:rsid w:val="00504B48"/>
    <w:rsid w:val="00504B85"/>
    <w:rsid w:val="00505289"/>
    <w:rsid w:val="005055AB"/>
    <w:rsid w:val="00505758"/>
    <w:rsid w:val="0050575D"/>
    <w:rsid w:val="00505B0E"/>
    <w:rsid w:val="00505CC2"/>
    <w:rsid w:val="00505DF4"/>
    <w:rsid w:val="00505EE7"/>
    <w:rsid w:val="005060A7"/>
    <w:rsid w:val="00506221"/>
    <w:rsid w:val="005063ED"/>
    <w:rsid w:val="00506447"/>
    <w:rsid w:val="0050686C"/>
    <w:rsid w:val="00506A17"/>
    <w:rsid w:val="00506BC6"/>
    <w:rsid w:val="00506DD8"/>
    <w:rsid w:val="00506FBF"/>
    <w:rsid w:val="00507014"/>
    <w:rsid w:val="00507128"/>
    <w:rsid w:val="00507348"/>
    <w:rsid w:val="00507358"/>
    <w:rsid w:val="00510399"/>
    <w:rsid w:val="00511093"/>
    <w:rsid w:val="00511415"/>
    <w:rsid w:val="005117D3"/>
    <w:rsid w:val="00511B7B"/>
    <w:rsid w:val="00511BBE"/>
    <w:rsid w:val="00511C2E"/>
    <w:rsid w:val="005128D3"/>
    <w:rsid w:val="00512928"/>
    <w:rsid w:val="0051297D"/>
    <w:rsid w:val="0051297F"/>
    <w:rsid w:val="00512AE2"/>
    <w:rsid w:val="00512C6A"/>
    <w:rsid w:val="005132CA"/>
    <w:rsid w:val="00513552"/>
    <w:rsid w:val="0051357F"/>
    <w:rsid w:val="0051395B"/>
    <w:rsid w:val="00513F63"/>
    <w:rsid w:val="00514BE4"/>
    <w:rsid w:val="00514F68"/>
    <w:rsid w:val="005155D1"/>
    <w:rsid w:val="0051606D"/>
    <w:rsid w:val="005160CB"/>
    <w:rsid w:val="005161F1"/>
    <w:rsid w:val="0051636F"/>
    <w:rsid w:val="00516771"/>
    <w:rsid w:val="00516832"/>
    <w:rsid w:val="00516B75"/>
    <w:rsid w:val="00516DC6"/>
    <w:rsid w:val="00516E72"/>
    <w:rsid w:val="0051714B"/>
    <w:rsid w:val="0051759F"/>
    <w:rsid w:val="00517667"/>
    <w:rsid w:val="005177CC"/>
    <w:rsid w:val="00517D8D"/>
    <w:rsid w:val="0052001A"/>
    <w:rsid w:val="005200AE"/>
    <w:rsid w:val="005211E4"/>
    <w:rsid w:val="005217A1"/>
    <w:rsid w:val="00521932"/>
    <w:rsid w:val="00521DCD"/>
    <w:rsid w:val="005225BA"/>
    <w:rsid w:val="005226A0"/>
    <w:rsid w:val="0052289C"/>
    <w:rsid w:val="00522D9D"/>
    <w:rsid w:val="00522FC6"/>
    <w:rsid w:val="0052347E"/>
    <w:rsid w:val="005237DB"/>
    <w:rsid w:val="00523852"/>
    <w:rsid w:val="00523BA5"/>
    <w:rsid w:val="00523BAE"/>
    <w:rsid w:val="00524394"/>
    <w:rsid w:val="00524461"/>
    <w:rsid w:val="005244A0"/>
    <w:rsid w:val="005244FC"/>
    <w:rsid w:val="00524995"/>
    <w:rsid w:val="00524CF9"/>
    <w:rsid w:val="00524DC9"/>
    <w:rsid w:val="00524FC1"/>
    <w:rsid w:val="00525144"/>
    <w:rsid w:val="005256CC"/>
    <w:rsid w:val="005259EE"/>
    <w:rsid w:val="00525E20"/>
    <w:rsid w:val="00526084"/>
    <w:rsid w:val="00526641"/>
    <w:rsid w:val="00526A50"/>
    <w:rsid w:val="00526FDD"/>
    <w:rsid w:val="0052705D"/>
    <w:rsid w:val="005274FF"/>
    <w:rsid w:val="0052792F"/>
    <w:rsid w:val="00527B4B"/>
    <w:rsid w:val="00530022"/>
    <w:rsid w:val="0053025F"/>
    <w:rsid w:val="00530356"/>
    <w:rsid w:val="00530722"/>
    <w:rsid w:val="00530811"/>
    <w:rsid w:val="00530BFF"/>
    <w:rsid w:val="00530C3B"/>
    <w:rsid w:val="0053105F"/>
    <w:rsid w:val="005315BF"/>
    <w:rsid w:val="0053197B"/>
    <w:rsid w:val="00531A4E"/>
    <w:rsid w:val="00531C22"/>
    <w:rsid w:val="00532796"/>
    <w:rsid w:val="0053292C"/>
    <w:rsid w:val="005329BA"/>
    <w:rsid w:val="00532BD8"/>
    <w:rsid w:val="00532FE7"/>
    <w:rsid w:val="0053305C"/>
    <w:rsid w:val="00533261"/>
    <w:rsid w:val="0053355D"/>
    <w:rsid w:val="005336D8"/>
    <w:rsid w:val="00533B18"/>
    <w:rsid w:val="005341D1"/>
    <w:rsid w:val="00534651"/>
    <w:rsid w:val="00534827"/>
    <w:rsid w:val="00534934"/>
    <w:rsid w:val="00534ED0"/>
    <w:rsid w:val="0053557D"/>
    <w:rsid w:val="0053568D"/>
    <w:rsid w:val="00536041"/>
    <w:rsid w:val="00536292"/>
    <w:rsid w:val="0053692C"/>
    <w:rsid w:val="0053694C"/>
    <w:rsid w:val="005369FB"/>
    <w:rsid w:val="00536AE6"/>
    <w:rsid w:val="00536CA7"/>
    <w:rsid w:val="00536D5A"/>
    <w:rsid w:val="00536D98"/>
    <w:rsid w:val="0053722B"/>
    <w:rsid w:val="0053757D"/>
    <w:rsid w:val="005377C1"/>
    <w:rsid w:val="00540117"/>
    <w:rsid w:val="00540588"/>
    <w:rsid w:val="00540E34"/>
    <w:rsid w:val="00540E85"/>
    <w:rsid w:val="00540F40"/>
    <w:rsid w:val="0054124A"/>
    <w:rsid w:val="00541C0B"/>
    <w:rsid w:val="00542578"/>
    <w:rsid w:val="005427F3"/>
    <w:rsid w:val="00542BCE"/>
    <w:rsid w:val="00542C3F"/>
    <w:rsid w:val="00543446"/>
    <w:rsid w:val="00543C30"/>
    <w:rsid w:val="00543E36"/>
    <w:rsid w:val="00544174"/>
    <w:rsid w:val="005445CF"/>
    <w:rsid w:val="00544695"/>
    <w:rsid w:val="00544882"/>
    <w:rsid w:val="00544B78"/>
    <w:rsid w:val="00544C6A"/>
    <w:rsid w:val="005452B9"/>
    <w:rsid w:val="00545746"/>
    <w:rsid w:val="00545865"/>
    <w:rsid w:val="00545A4F"/>
    <w:rsid w:val="005461D2"/>
    <w:rsid w:val="005463A8"/>
    <w:rsid w:val="0054657D"/>
    <w:rsid w:val="005465BE"/>
    <w:rsid w:val="00546873"/>
    <w:rsid w:val="00546AB9"/>
    <w:rsid w:val="00546BA2"/>
    <w:rsid w:val="00546C5C"/>
    <w:rsid w:val="00546FE3"/>
    <w:rsid w:val="00547324"/>
    <w:rsid w:val="005473B4"/>
    <w:rsid w:val="005474D7"/>
    <w:rsid w:val="005474E8"/>
    <w:rsid w:val="00547802"/>
    <w:rsid w:val="00547EEE"/>
    <w:rsid w:val="00550192"/>
    <w:rsid w:val="00550592"/>
    <w:rsid w:val="00550CEE"/>
    <w:rsid w:val="005516AF"/>
    <w:rsid w:val="005517DB"/>
    <w:rsid w:val="0055195A"/>
    <w:rsid w:val="0055208C"/>
    <w:rsid w:val="00552D02"/>
    <w:rsid w:val="005535D1"/>
    <w:rsid w:val="005537B2"/>
    <w:rsid w:val="00553EAC"/>
    <w:rsid w:val="00553FAA"/>
    <w:rsid w:val="00554103"/>
    <w:rsid w:val="005547F2"/>
    <w:rsid w:val="00554A78"/>
    <w:rsid w:val="00554D62"/>
    <w:rsid w:val="0055507B"/>
    <w:rsid w:val="005550E2"/>
    <w:rsid w:val="00555465"/>
    <w:rsid w:val="00555B55"/>
    <w:rsid w:val="00555C9A"/>
    <w:rsid w:val="00555D51"/>
    <w:rsid w:val="00555D72"/>
    <w:rsid w:val="00555DE0"/>
    <w:rsid w:val="00555E2F"/>
    <w:rsid w:val="00555F3E"/>
    <w:rsid w:val="00556D91"/>
    <w:rsid w:val="00556E59"/>
    <w:rsid w:val="00556ED7"/>
    <w:rsid w:val="0055713D"/>
    <w:rsid w:val="0055753E"/>
    <w:rsid w:val="0055774A"/>
    <w:rsid w:val="00557AA4"/>
    <w:rsid w:val="00557B8B"/>
    <w:rsid w:val="00557DCA"/>
    <w:rsid w:val="00557ED3"/>
    <w:rsid w:val="005601AF"/>
    <w:rsid w:val="00560655"/>
    <w:rsid w:val="00560817"/>
    <w:rsid w:val="00560896"/>
    <w:rsid w:val="005608C8"/>
    <w:rsid w:val="00560938"/>
    <w:rsid w:val="00560EAA"/>
    <w:rsid w:val="00560EB3"/>
    <w:rsid w:val="00561033"/>
    <w:rsid w:val="005613F8"/>
    <w:rsid w:val="00561B5D"/>
    <w:rsid w:val="00561E55"/>
    <w:rsid w:val="00561EA2"/>
    <w:rsid w:val="00562279"/>
    <w:rsid w:val="005623B9"/>
    <w:rsid w:val="00562A32"/>
    <w:rsid w:val="00563253"/>
    <w:rsid w:val="00563C01"/>
    <w:rsid w:val="00563DCD"/>
    <w:rsid w:val="00563DDF"/>
    <w:rsid w:val="0056483C"/>
    <w:rsid w:val="00564950"/>
    <w:rsid w:val="00564CC1"/>
    <w:rsid w:val="00565708"/>
    <w:rsid w:val="00565BE2"/>
    <w:rsid w:val="00565D5D"/>
    <w:rsid w:val="00565E76"/>
    <w:rsid w:val="00566280"/>
    <w:rsid w:val="005662A1"/>
    <w:rsid w:val="00566754"/>
    <w:rsid w:val="0056675E"/>
    <w:rsid w:val="005667CE"/>
    <w:rsid w:val="00566C61"/>
    <w:rsid w:val="005671AB"/>
    <w:rsid w:val="00567984"/>
    <w:rsid w:val="00567BF9"/>
    <w:rsid w:val="00567D7E"/>
    <w:rsid w:val="00567F43"/>
    <w:rsid w:val="005701B9"/>
    <w:rsid w:val="0057032F"/>
    <w:rsid w:val="00570409"/>
    <w:rsid w:val="00570B0F"/>
    <w:rsid w:val="00570B28"/>
    <w:rsid w:val="0057158D"/>
    <w:rsid w:val="00571742"/>
    <w:rsid w:val="0057194C"/>
    <w:rsid w:val="00571CE2"/>
    <w:rsid w:val="00572069"/>
    <w:rsid w:val="00572450"/>
    <w:rsid w:val="00572860"/>
    <w:rsid w:val="005728DC"/>
    <w:rsid w:val="00572BB3"/>
    <w:rsid w:val="005732BF"/>
    <w:rsid w:val="005733BA"/>
    <w:rsid w:val="00573498"/>
    <w:rsid w:val="00573D3A"/>
    <w:rsid w:val="00573E2C"/>
    <w:rsid w:val="00573E38"/>
    <w:rsid w:val="00573F1E"/>
    <w:rsid w:val="005741A5"/>
    <w:rsid w:val="00574250"/>
    <w:rsid w:val="00574BBA"/>
    <w:rsid w:val="00574D34"/>
    <w:rsid w:val="005751DA"/>
    <w:rsid w:val="005754E3"/>
    <w:rsid w:val="005755F5"/>
    <w:rsid w:val="0057565C"/>
    <w:rsid w:val="0057582B"/>
    <w:rsid w:val="005759F3"/>
    <w:rsid w:val="00575B48"/>
    <w:rsid w:val="00575CD7"/>
    <w:rsid w:val="00575EB6"/>
    <w:rsid w:val="00576420"/>
    <w:rsid w:val="0057654A"/>
    <w:rsid w:val="005765FC"/>
    <w:rsid w:val="00576A07"/>
    <w:rsid w:val="00576EF3"/>
    <w:rsid w:val="0057707E"/>
    <w:rsid w:val="00577169"/>
    <w:rsid w:val="00577335"/>
    <w:rsid w:val="00577649"/>
    <w:rsid w:val="00577749"/>
    <w:rsid w:val="005778A0"/>
    <w:rsid w:val="0058030B"/>
    <w:rsid w:val="00580897"/>
    <w:rsid w:val="00581EA9"/>
    <w:rsid w:val="005821C5"/>
    <w:rsid w:val="0058221D"/>
    <w:rsid w:val="00582642"/>
    <w:rsid w:val="00582B39"/>
    <w:rsid w:val="00583134"/>
    <w:rsid w:val="005833E3"/>
    <w:rsid w:val="005834CB"/>
    <w:rsid w:val="005835B9"/>
    <w:rsid w:val="0058386B"/>
    <w:rsid w:val="00583A91"/>
    <w:rsid w:val="00583C89"/>
    <w:rsid w:val="00583E3D"/>
    <w:rsid w:val="00583FD3"/>
    <w:rsid w:val="00584035"/>
    <w:rsid w:val="005840AC"/>
    <w:rsid w:val="0058460F"/>
    <w:rsid w:val="005847F1"/>
    <w:rsid w:val="0058495E"/>
    <w:rsid w:val="00584BF5"/>
    <w:rsid w:val="00585356"/>
    <w:rsid w:val="00585372"/>
    <w:rsid w:val="00585B42"/>
    <w:rsid w:val="005866AF"/>
    <w:rsid w:val="00586822"/>
    <w:rsid w:val="00586C44"/>
    <w:rsid w:val="00586FE5"/>
    <w:rsid w:val="00587200"/>
    <w:rsid w:val="0058787A"/>
    <w:rsid w:val="00587921"/>
    <w:rsid w:val="0058795C"/>
    <w:rsid w:val="00590931"/>
    <w:rsid w:val="00590D7B"/>
    <w:rsid w:val="00591040"/>
    <w:rsid w:val="005911C7"/>
    <w:rsid w:val="005916E7"/>
    <w:rsid w:val="00591701"/>
    <w:rsid w:val="00591FE6"/>
    <w:rsid w:val="0059248A"/>
    <w:rsid w:val="00592636"/>
    <w:rsid w:val="00592820"/>
    <w:rsid w:val="0059285C"/>
    <w:rsid w:val="00592D96"/>
    <w:rsid w:val="005932E4"/>
    <w:rsid w:val="005933CA"/>
    <w:rsid w:val="005935A4"/>
    <w:rsid w:val="0059366D"/>
    <w:rsid w:val="00593683"/>
    <w:rsid w:val="005936DA"/>
    <w:rsid w:val="00593862"/>
    <w:rsid w:val="00593A2F"/>
    <w:rsid w:val="00594088"/>
    <w:rsid w:val="005949E2"/>
    <w:rsid w:val="005951D9"/>
    <w:rsid w:val="005952E6"/>
    <w:rsid w:val="00595353"/>
    <w:rsid w:val="005961DE"/>
    <w:rsid w:val="005961F1"/>
    <w:rsid w:val="005962F6"/>
    <w:rsid w:val="00596410"/>
    <w:rsid w:val="00596571"/>
    <w:rsid w:val="00596670"/>
    <w:rsid w:val="00596696"/>
    <w:rsid w:val="0059699F"/>
    <w:rsid w:val="005971D0"/>
    <w:rsid w:val="005975D2"/>
    <w:rsid w:val="005977F6"/>
    <w:rsid w:val="00597C54"/>
    <w:rsid w:val="00597D92"/>
    <w:rsid w:val="005A0077"/>
    <w:rsid w:val="005A0477"/>
    <w:rsid w:val="005A0BBA"/>
    <w:rsid w:val="005A0D46"/>
    <w:rsid w:val="005A0DF4"/>
    <w:rsid w:val="005A0FF2"/>
    <w:rsid w:val="005A124E"/>
    <w:rsid w:val="005A13DD"/>
    <w:rsid w:val="005A172F"/>
    <w:rsid w:val="005A1CA0"/>
    <w:rsid w:val="005A1DF2"/>
    <w:rsid w:val="005A2414"/>
    <w:rsid w:val="005A27CF"/>
    <w:rsid w:val="005A281A"/>
    <w:rsid w:val="005A286C"/>
    <w:rsid w:val="005A28CC"/>
    <w:rsid w:val="005A29C1"/>
    <w:rsid w:val="005A2C67"/>
    <w:rsid w:val="005A2CEC"/>
    <w:rsid w:val="005A2ED7"/>
    <w:rsid w:val="005A2F4C"/>
    <w:rsid w:val="005A3225"/>
    <w:rsid w:val="005A3912"/>
    <w:rsid w:val="005A3EDA"/>
    <w:rsid w:val="005A4118"/>
    <w:rsid w:val="005A47BA"/>
    <w:rsid w:val="005A4AC8"/>
    <w:rsid w:val="005A4AE3"/>
    <w:rsid w:val="005A5129"/>
    <w:rsid w:val="005A5F27"/>
    <w:rsid w:val="005A6198"/>
    <w:rsid w:val="005A62BB"/>
    <w:rsid w:val="005A66C7"/>
    <w:rsid w:val="005A6B67"/>
    <w:rsid w:val="005A6D2D"/>
    <w:rsid w:val="005A6F4E"/>
    <w:rsid w:val="005A70CB"/>
    <w:rsid w:val="005A7208"/>
    <w:rsid w:val="005A7331"/>
    <w:rsid w:val="005A7444"/>
    <w:rsid w:val="005A79B4"/>
    <w:rsid w:val="005A7A72"/>
    <w:rsid w:val="005A7DB8"/>
    <w:rsid w:val="005B0561"/>
    <w:rsid w:val="005B0AB0"/>
    <w:rsid w:val="005B1092"/>
    <w:rsid w:val="005B1168"/>
    <w:rsid w:val="005B123D"/>
    <w:rsid w:val="005B1711"/>
    <w:rsid w:val="005B1812"/>
    <w:rsid w:val="005B1A35"/>
    <w:rsid w:val="005B22BD"/>
    <w:rsid w:val="005B2426"/>
    <w:rsid w:val="005B28E9"/>
    <w:rsid w:val="005B2A82"/>
    <w:rsid w:val="005B2F79"/>
    <w:rsid w:val="005B31F1"/>
    <w:rsid w:val="005B33E7"/>
    <w:rsid w:val="005B3679"/>
    <w:rsid w:val="005B45D3"/>
    <w:rsid w:val="005B49F2"/>
    <w:rsid w:val="005B4B1F"/>
    <w:rsid w:val="005B4EA6"/>
    <w:rsid w:val="005B536B"/>
    <w:rsid w:val="005B56AE"/>
    <w:rsid w:val="005B5EAD"/>
    <w:rsid w:val="005B62F8"/>
    <w:rsid w:val="005B6347"/>
    <w:rsid w:val="005B635B"/>
    <w:rsid w:val="005B635D"/>
    <w:rsid w:val="005B63B4"/>
    <w:rsid w:val="005B63D7"/>
    <w:rsid w:val="005B640D"/>
    <w:rsid w:val="005B6AE8"/>
    <w:rsid w:val="005B6D12"/>
    <w:rsid w:val="005B739D"/>
    <w:rsid w:val="005B7E6D"/>
    <w:rsid w:val="005C0217"/>
    <w:rsid w:val="005C07F8"/>
    <w:rsid w:val="005C0935"/>
    <w:rsid w:val="005C09C0"/>
    <w:rsid w:val="005C0CAB"/>
    <w:rsid w:val="005C107F"/>
    <w:rsid w:val="005C18B8"/>
    <w:rsid w:val="005C1973"/>
    <w:rsid w:val="005C1AAA"/>
    <w:rsid w:val="005C1FAB"/>
    <w:rsid w:val="005C22F1"/>
    <w:rsid w:val="005C2CAF"/>
    <w:rsid w:val="005C3465"/>
    <w:rsid w:val="005C34F3"/>
    <w:rsid w:val="005C36BC"/>
    <w:rsid w:val="005C38DD"/>
    <w:rsid w:val="005C39D3"/>
    <w:rsid w:val="005C3D74"/>
    <w:rsid w:val="005C407B"/>
    <w:rsid w:val="005C41A8"/>
    <w:rsid w:val="005C4287"/>
    <w:rsid w:val="005C4365"/>
    <w:rsid w:val="005C4A0E"/>
    <w:rsid w:val="005C4DDB"/>
    <w:rsid w:val="005C50C8"/>
    <w:rsid w:val="005C5105"/>
    <w:rsid w:val="005C51E6"/>
    <w:rsid w:val="005C5415"/>
    <w:rsid w:val="005C579A"/>
    <w:rsid w:val="005C5C63"/>
    <w:rsid w:val="005C5D34"/>
    <w:rsid w:val="005C5D87"/>
    <w:rsid w:val="005C618E"/>
    <w:rsid w:val="005C653E"/>
    <w:rsid w:val="005C6895"/>
    <w:rsid w:val="005C6D78"/>
    <w:rsid w:val="005C720F"/>
    <w:rsid w:val="005C726C"/>
    <w:rsid w:val="005C7C83"/>
    <w:rsid w:val="005D048D"/>
    <w:rsid w:val="005D04D6"/>
    <w:rsid w:val="005D0E71"/>
    <w:rsid w:val="005D1D2B"/>
    <w:rsid w:val="005D1D68"/>
    <w:rsid w:val="005D1FA1"/>
    <w:rsid w:val="005D20AF"/>
    <w:rsid w:val="005D2712"/>
    <w:rsid w:val="005D2A00"/>
    <w:rsid w:val="005D2B1A"/>
    <w:rsid w:val="005D3080"/>
    <w:rsid w:val="005D3941"/>
    <w:rsid w:val="005D3A4B"/>
    <w:rsid w:val="005D3C19"/>
    <w:rsid w:val="005D3DA6"/>
    <w:rsid w:val="005D3E95"/>
    <w:rsid w:val="005D3F30"/>
    <w:rsid w:val="005D4498"/>
    <w:rsid w:val="005D44C1"/>
    <w:rsid w:val="005D48FB"/>
    <w:rsid w:val="005D491B"/>
    <w:rsid w:val="005D4C1E"/>
    <w:rsid w:val="005D4EB0"/>
    <w:rsid w:val="005D4F0B"/>
    <w:rsid w:val="005D5132"/>
    <w:rsid w:val="005D5346"/>
    <w:rsid w:val="005D565E"/>
    <w:rsid w:val="005D5F99"/>
    <w:rsid w:val="005D646C"/>
    <w:rsid w:val="005D6540"/>
    <w:rsid w:val="005D6894"/>
    <w:rsid w:val="005D6CDD"/>
    <w:rsid w:val="005D75BC"/>
    <w:rsid w:val="005D7A49"/>
    <w:rsid w:val="005D7B4C"/>
    <w:rsid w:val="005D7BA0"/>
    <w:rsid w:val="005E01D1"/>
    <w:rsid w:val="005E03DF"/>
    <w:rsid w:val="005E077D"/>
    <w:rsid w:val="005E08B1"/>
    <w:rsid w:val="005E0989"/>
    <w:rsid w:val="005E0A08"/>
    <w:rsid w:val="005E0A45"/>
    <w:rsid w:val="005E0B36"/>
    <w:rsid w:val="005E1154"/>
    <w:rsid w:val="005E123A"/>
    <w:rsid w:val="005E137D"/>
    <w:rsid w:val="005E1826"/>
    <w:rsid w:val="005E1846"/>
    <w:rsid w:val="005E1A5C"/>
    <w:rsid w:val="005E1AD3"/>
    <w:rsid w:val="005E262E"/>
    <w:rsid w:val="005E2FC3"/>
    <w:rsid w:val="005E2FEF"/>
    <w:rsid w:val="005E3097"/>
    <w:rsid w:val="005E33A8"/>
    <w:rsid w:val="005E3770"/>
    <w:rsid w:val="005E39C9"/>
    <w:rsid w:val="005E410E"/>
    <w:rsid w:val="005E41DA"/>
    <w:rsid w:val="005E45C6"/>
    <w:rsid w:val="005E46F2"/>
    <w:rsid w:val="005E4CC2"/>
    <w:rsid w:val="005E4FA7"/>
    <w:rsid w:val="005E5158"/>
    <w:rsid w:val="005E52AD"/>
    <w:rsid w:val="005E52DB"/>
    <w:rsid w:val="005E5409"/>
    <w:rsid w:val="005E637C"/>
    <w:rsid w:val="005E7184"/>
    <w:rsid w:val="005E785C"/>
    <w:rsid w:val="005E78D9"/>
    <w:rsid w:val="005E7D6C"/>
    <w:rsid w:val="005F00BA"/>
    <w:rsid w:val="005F0226"/>
    <w:rsid w:val="005F04F5"/>
    <w:rsid w:val="005F09D5"/>
    <w:rsid w:val="005F09FE"/>
    <w:rsid w:val="005F0BF4"/>
    <w:rsid w:val="005F11C2"/>
    <w:rsid w:val="005F1416"/>
    <w:rsid w:val="005F14D0"/>
    <w:rsid w:val="005F156C"/>
    <w:rsid w:val="005F1640"/>
    <w:rsid w:val="005F16EF"/>
    <w:rsid w:val="005F1A10"/>
    <w:rsid w:val="005F1E99"/>
    <w:rsid w:val="005F1F8D"/>
    <w:rsid w:val="005F1FD4"/>
    <w:rsid w:val="005F1FEE"/>
    <w:rsid w:val="005F23EA"/>
    <w:rsid w:val="005F2760"/>
    <w:rsid w:val="005F292B"/>
    <w:rsid w:val="005F294E"/>
    <w:rsid w:val="005F2B13"/>
    <w:rsid w:val="005F2E22"/>
    <w:rsid w:val="005F2EEA"/>
    <w:rsid w:val="005F2FDE"/>
    <w:rsid w:val="005F30E1"/>
    <w:rsid w:val="005F349F"/>
    <w:rsid w:val="005F3586"/>
    <w:rsid w:val="005F37F4"/>
    <w:rsid w:val="005F3B5C"/>
    <w:rsid w:val="005F40E6"/>
    <w:rsid w:val="005F4AE3"/>
    <w:rsid w:val="005F4FB2"/>
    <w:rsid w:val="005F5265"/>
    <w:rsid w:val="005F558E"/>
    <w:rsid w:val="005F5748"/>
    <w:rsid w:val="005F587B"/>
    <w:rsid w:val="005F62B2"/>
    <w:rsid w:val="005F6454"/>
    <w:rsid w:val="005F6D05"/>
    <w:rsid w:val="005F6D51"/>
    <w:rsid w:val="005F6E92"/>
    <w:rsid w:val="005F6ECF"/>
    <w:rsid w:val="005F7748"/>
    <w:rsid w:val="005F79DF"/>
    <w:rsid w:val="005F7A26"/>
    <w:rsid w:val="00600DAE"/>
    <w:rsid w:val="00601111"/>
    <w:rsid w:val="0060119E"/>
    <w:rsid w:val="006015F7"/>
    <w:rsid w:val="006018E2"/>
    <w:rsid w:val="00601E1A"/>
    <w:rsid w:val="0060215F"/>
    <w:rsid w:val="00602550"/>
    <w:rsid w:val="00602907"/>
    <w:rsid w:val="00602910"/>
    <w:rsid w:val="00602C4A"/>
    <w:rsid w:val="00602D76"/>
    <w:rsid w:val="00603147"/>
    <w:rsid w:val="006033E1"/>
    <w:rsid w:val="00603435"/>
    <w:rsid w:val="00603920"/>
    <w:rsid w:val="00603FB3"/>
    <w:rsid w:val="006041A0"/>
    <w:rsid w:val="006048A6"/>
    <w:rsid w:val="00604C12"/>
    <w:rsid w:val="00604D73"/>
    <w:rsid w:val="00604EBA"/>
    <w:rsid w:val="00605AD7"/>
    <w:rsid w:val="00605C9F"/>
    <w:rsid w:val="00605E3C"/>
    <w:rsid w:val="006061B5"/>
    <w:rsid w:val="006064F9"/>
    <w:rsid w:val="006065EA"/>
    <w:rsid w:val="00606753"/>
    <w:rsid w:val="006069AF"/>
    <w:rsid w:val="00606C63"/>
    <w:rsid w:val="0060720C"/>
    <w:rsid w:val="0060794D"/>
    <w:rsid w:val="00607ADE"/>
    <w:rsid w:val="00607C44"/>
    <w:rsid w:val="00607C6A"/>
    <w:rsid w:val="006100E1"/>
    <w:rsid w:val="00610169"/>
    <w:rsid w:val="0061023A"/>
    <w:rsid w:val="00610878"/>
    <w:rsid w:val="0061088A"/>
    <w:rsid w:val="006114D9"/>
    <w:rsid w:val="00611815"/>
    <w:rsid w:val="006118B1"/>
    <w:rsid w:val="00611F62"/>
    <w:rsid w:val="006121DC"/>
    <w:rsid w:val="00612478"/>
    <w:rsid w:val="006125B3"/>
    <w:rsid w:val="00612746"/>
    <w:rsid w:val="0061310A"/>
    <w:rsid w:val="00613488"/>
    <w:rsid w:val="006138A6"/>
    <w:rsid w:val="00613AEF"/>
    <w:rsid w:val="00613C48"/>
    <w:rsid w:val="00613F04"/>
    <w:rsid w:val="00614146"/>
    <w:rsid w:val="006142B0"/>
    <w:rsid w:val="0061437F"/>
    <w:rsid w:val="006143E7"/>
    <w:rsid w:val="00614B19"/>
    <w:rsid w:val="00615354"/>
    <w:rsid w:val="0061553A"/>
    <w:rsid w:val="006156C9"/>
    <w:rsid w:val="00615773"/>
    <w:rsid w:val="006158E2"/>
    <w:rsid w:val="00615AA2"/>
    <w:rsid w:val="00615B1D"/>
    <w:rsid w:val="00615D48"/>
    <w:rsid w:val="00616959"/>
    <w:rsid w:val="00616996"/>
    <w:rsid w:val="00616B72"/>
    <w:rsid w:val="00617126"/>
    <w:rsid w:val="00617391"/>
    <w:rsid w:val="0062004A"/>
    <w:rsid w:val="006205F9"/>
    <w:rsid w:val="00620601"/>
    <w:rsid w:val="006206E5"/>
    <w:rsid w:val="00620B33"/>
    <w:rsid w:val="00620D59"/>
    <w:rsid w:val="00620F73"/>
    <w:rsid w:val="00621010"/>
    <w:rsid w:val="00621830"/>
    <w:rsid w:val="0062186C"/>
    <w:rsid w:val="00621B7E"/>
    <w:rsid w:val="00621C08"/>
    <w:rsid w:val="00621E2C"/>
    <w:rsid w:val="006224FD"/>
    <w:rsid w:val="0062270F"/>
    <w:rsid w:val="00622756"/>
    <w:rsid w:val="006227B4"/>
    <w:rsid w:val="00622807"/>
    <w:rsid w:val="00622A43"/>
    <w:rsid w:val="00622F6D"/>
    <w:rsid w:val="00622F70"/>
    <w:rsid w:val="00622FBC"/>
    <w:rsid w:val="00623134"/>
    <w:rsid w:val="006232C9"/>
    <w:rsid w:val="00623854"/>
    <w:rsid w:val="006243DD"/>
    <w:rsid w:val="006243ED"/>
    <w:rsid w:val="00624448"/>
    <w:rsid w:val="006250F2"/>
    <w:rsid w:val="006251D6"/>
    <w:rsid w:val="006255E0"/>
    <w:rsid w:val="006259BA"/>
    <w:rsid w:val="00625EFA"/>
    <w:rsid w:val="00626539"/>
    <w:rsid w:val="006266CF"/>
    <w:rsid w:val="00626A09"/>
    <w:rsid w:val="00626FA9"/>
    <w:rsid w:val="00627986"/>
    <w:rsid w:val="006279E0"/>
    <w:rsid w:val="00627C38"/>
    <w:rsid w:val="00627FFC"/>
    <w:rsid w:val="00630179"/>
    <w:rsid w:val="0063040A"/>
    <w:rsid w:val="00630600"/>
    <w:rsid w:val="00630B6F"/>
    <w:rsid w:val="00631188"/>
    <w:rsid w:val="006314C4"/>
    <w:rsid w:val="006315E4"/>
    <w:rsid w:val="006322D4"/>
    <w:rsid w:val="00632FC6"/>
    <w:rsid w:val="0063312B"/>
    <w:rsid w:val="0063375F"/>
    <w:rsid w:val="00633BBF"/>
    <w:rsid w:val="00633E30"/>
    <w:rsid w:val="0063401F"/>
    <w:rsid w:val="00634092"/>
    <w:rsid w:val="0063497F"/>
    <w:rsid w:val="00634A1D"/>
    <w:rsid w:val="00634E2A"/>
    <w:rsid w:val="00635148"/>
    <w:rsid w:val="006358C8"/>
    <w:rsid w:val="00635AA1"/>
    <w:rsid w:val="006362C5"/>
    <w:rsid w:val="006362FF"/>
    <w:rsid w:val="00636A81"/>
    <w:rsid w:val="00636B43"/>
    <w:rsid w:val="00637BED"/>
    <w:rsid w:val="00637E45"/>
    <w:rsid w:val="006404DD"/>
    <w:rsid w:val="00640A55"/>
    <w:rsid w:val="00640B10"/>
    <w:rsid w:val="006410DA"/>
    <w:rsid w:val="006414F7"/>
    <w:rsid w:val="0064165C"/>
    <w:rsid w:val="00641DBD"/>
    <w:rsid w:val="00641F7C"/>
    <w:rsid w:val="00641FCD"/>
    <w:rsid w:val="006420AF"/>
    <w:rsid w:val="006428E3"/>
    <w:rsid w:val="00642B49"/>
    <w:rsid w:val="00642D7C"/>
    <w:rsid w:val="00642EA7"/>
    <w:rsid w:val="0064310B"/>
    <w:rsid w:val="0064347D"/>
    <w:rsid w:val="0064370E"/>
    <w:rsid w:val="00643836"/>
    <w:rsid w:val="00643CB5"/>
    <w:rsid w:val="00644118"/>
    <w:rsid w:val="006444F6"/>
    <w:rsid w:val="006445BC"/>
    <w:rsid w:val="00644D3B"/>
    <w:rsid w:val="00644E4B"/>
    <w:rsid w:val="006450B9"/>
    <w:rsid w:val="006455FC"/>
    <w:rsid w:val="006457C9"/>
    <w:rsid w:val="00645EEA"/>
    <w:rsid w:val="0064673E"/>
    <w:rsid w:val="00646B5B"/>
    <w:rsid w:val="00646EB3"/>
    <w:rsid w:val="0064718F"/>
    <w:rsid w:val="00647E17"/>
    <w:rsid w:val="00650157"/>
    <w:rsid w:val="006501A3"/>
    <w:rsid w:val="006502F4"/>
    <w:rsid w:val="00650569"/>
    <w:rsid w:val="00650B0B"/>
    <w:rsid w:val="00651071"/>
    <w:rsid w:val="00651220"/>
    <w:rsid w:val="006512CD"/>
    <w:rsid w:val="0065139A"/>
    <w:rsid w:val="006517DB"/>
    <w:rsid w:val="0065182C"/>
    <w:rsid w:val="0065192A"/>
    <w:rsid w:val="00651E10"/>
    <w:rsid w:val="00652AE0"/>
    <w:rsid w:val="00652C7B"/>
    <w:rsid w:val="00653516"/>
    <w:rsid w:val="0065389D"/>
    <w:rsid w:val="00653DF8"/>
    <w:rsid w:val="006545F9"/>
    <w:rsid w:val="006547F1"/>
    <w:rsid w:val="00654CB2"/>
    <w:rsid w:val="00654EE2"/>
    <w:rsid w:val="006554AD"/>
    <w:rsid w:val="006555F4"/>
    <w:rsid w:val="0065583B"/>
    <w:rsid w:val="006558F5"/>
    <w:rsid w:val="00655B06"/>
    <w:rsid w:val="00655B3B"/>
    <w:rsid w:val="00655E1F"/>
    <w:rsid w:val="00655E67"/>
    <w:rsid w:val="006561CC"/>
    <w:rsid w:val="00656779"/>
    <w:rsid w:val="00656AD3"/>
    <w:rsid w:val="00656B3C"/>
    <w:rsid w:val="00656E1F"/>
    <w:rsid w:val="00656F2B"/>
    <w:rsid w:val="006571F9"/>
    <w:rsid w:val="00657250"/>
    <w:rsid w:val="00657871"/>
    <w:rsid w:val="00657FC6"/>
    <w:rsid w:val="0066013B"/>
    <w:rsid w:val="0066024F"/>
    <w:rsid w:val="0066054D"/>
    <w:rsid w:val="0066071A"/>
    <w:rsid w:val="006609D4"/>
    <w:rsid w:val="0066114A"/>
    <w:rsid w:val="006619F6"/>
    <w:rsid w:val="00661A40"/>
    <w:rsid w:val="00661FC4"/>
    <w:rsid w:val="00662284"/>
    <w:rsid w:val="00662819"/>
    <w:rsid w:val="00663263"/>
    <w:rsid w:val="00663D31"/>
    <w:rsid w:val="00663ED6"/>
    <w:rsid w:val="006641A7"/>
    <w:rsid w:val="006641F8"/>
    <w:rsid w:val="0066442B"/>
    <w:rsid w:val="00664574"/>
    <w:rsid w:val="00664B98"/>
    <w:rsid w:val="0066506E"/>
    <w:rsid w:val="0066570A"/>
    <w:rsid w:val="006657AE"/>
    <w:rsid w:val="00665CAF"/>
    <w:rsid w:val="00665E3F"/>
    <w:rsid w:val="00665E81"/>
    <w:rsid w:val="00666258"/>
    <w:rsid w:val="006663D0"/>
    <w:rsid w:val="00666497"/>
    <w:rsid w:val="0066685A"/>
    <w:rsid w:val="00666DAB"/>
    <w:rsid w:val="00667179"/>
    <w:rsid w:val="00667609"/>
    <w:rsid w:val="00667635"/>
    <w:rsid w:val="00667658"/>
    <w:rsid w:val="0067031F"/>
    <w:rsid w:val="00670F5C"/>
    <w:rsid w:val="00671330"/>
    <w:rsid w:val="006718F5"/>
    <w:rsid w:val="00671ADF"/>
    <w:rsid w:val="00671E51"/>
    <w:rsid w:val="0067232B"/>
    <w:rsid w:val="00672872"/>
    <w:rsid w:val="00672A21"/>
    <w:rsid w:val="00672CBF"/>
    <w:rsid w:val="00672D9C"/>
    <w:rsid w:val="00672F8E"/>
    <w:rsid w:val="00673AE4"/>
    <w:rsid w:val="00673EEA"/>
    <w:rsid w:val="00674748"/>
    <w:rsid w:val="006749AB"/>
    <w:rsid w:val="00674E2D"/>
    <w:rsid w:val="00675726"/>
    <w:rsid w:val="00675765"/>
    <w:rsid w:val="006757CD"/>
    <w:rsid w:val="00675D4A"/>
    <w:rsid w:val="00675DCB"/>
    <w:rsid w:val="00675F79"/>
    <w:rsid w:val="00676277"/>
    <w:rsid w:val="006764EB"/>
    <w:rsid w:val="0067684A"/>
    <w:rsid w:val="006768FC"/>
    <w:rsid w:val="0067699F"/>
    <w:rsid w:val="00676CDB"/>
    <w:rsid w:val="006773AA"/>
    <w:rsid w:val="006779C6"/>
    <w:rsid w:val="00677D89"/>
    <w:rsid w:val="00677E2A"/>
    <w:rsid w:val="0068019F"/>
    <w:rsid w:val="00680361"/>
    <w:rsid w:val="00680370"/>
    <w:rsid w:val="00680EDA"/>
    <w:rsid w:val="0068110E"/>
    <w:rsid w:val="0068147E"/>
    <w:rsid w:val="006816AC"/>
    <w:rsid w:val="00681800"/>
    <w:rsid w:val="00681BC7"/>
    <w:rsid w:val="00681D83"/>
    <w:rsid w:val="00681E86"/>
    <w:rsid w:val="006822D2"/>
    <w:rsid w:val="006828D0"/>
    <w:rsid w:val="006828FF"/>
    <w:rsid w:val="00682E6D"/>
    <w:rsid w:val="006834D8"/>
    <w:rsid w:val="00683775"/>
    <w:rsid w:val="0068382D"/>
    <w:rsid w:val="006838DD"/>
    <w:rsid w:val="00684079"/>
    <w:rsid w:val="00684435"/>
    <w:rsid w:val="006848A8"/>
    <w:rsid w:val="00685139"/>
    <w:rsid w:val="00685490"/>
    <w:rsid w:val="00685509"/>
    <w:rsid w:val="006855A6"/>
    <w:rsid w:val="0068565E"/>
    <w:rsid w:val="0068581F"/>
    <w:rsid w:val="00685EFD"/>
    <w:rsid w:val="006860FD"/>
    <w:rsid w:val="00686507"/>
    <w:rsid w:val="00686693"/>
    <w:rsid w:val="006868C4"/>
    <w:rsid w:val="00686ADA"/>
    <w:rsid w:val="00686B5B"/>
    <w:rsid w:val="00686EA4"/>
    <w:rsid w:val="00687A38"/>
    <w:rsid w:val="00687F41"/>
    <w:rsid w:val="0069043B"/>
    <w:rsid w:val="00690495"/>
    <w:rsid w:val="0069060B"/>
    <w:rsid w:val="0069068B"/>
    <w:rsid w:val="00690739"/>
    <w:rsid w:val="006913B7"/>
    <w:rsid w:val="00691600"/>
    <w:rsid w:val="006918BB"/>
    <w:rsid w:val="0069210D"/>
    <w:rsid w:val="0069223F"/>
    <w:rsid w:val="00692B13"/>
    <w:rsid w:val="0069301A"/>
    <w:rsid w:val="0069339E"/>
    <w:rsid w:val="006935BF"/>
    <w:rsid w:val="0069389B"/>
    <w:rsid w:val="006938E3"/>
    <w:rsid w:val="00693AB5"/>
    <w:rsid w:val="00693CF4"/>
    <w:rsid w:val="00693F80"/>
    <w:rsid w:val="006943BF"/>
    <w:rsid w:val="0069461A"/>
    <w:rsid w:val="0069489C"/>
    <w:rsid w:val="00694AFC"/>
    <w:rsid w:val="00694D32"/>
    <w:rsid w:val="006951E9"/>
    <w:rsid w:val="00695BC6"/>
    <w:rsid w:val="00695DD3"/>
    <w:rsid w:val="00695E0E"/>
    <w:rsid w:val="00695EE3"/>
    <w:rsid w:val="006963D4"/>
    <w:rsid w:val="006965B1"/>
    <w:rsid w:val="006968AF"/>
    <w:rsid w:val="00696B4C"/>
    <w:rsid w:val="00696FB6"/>
    <w:rsid w:val="00696FB9"/>
    <w:rsid w:val="0069747D"/>
    <w:rsid w:val="006978C0"/>
    <w:rsid w:val="00697919"/>
    <w:rsid w:val="00697C03"/>
    <w:rsid w:val="00697ED4"/>
    <w:rsid w:val="006A02F6"/>
    <w:rsid w:val="006A041E"/>
    <w:rsid w:val="006A0555"/>
    <w:rsid w:val="006A0A07"/>
    <w:rsid w:val="006A1256"/>
    <w:rsid w:val="006A1364"/>
    <w:rsid w:val="006A180E"/>
    <w:rsid w:val="006A1A08"/>
    <w:rsid w:val="006A1A2A"/>
    <w:rsid w:val="006A1A8A"/>
    <w:rsid w:val="006A1D3B"/>
    <w:rsid w:val="006A1DE3"/>
    <w:rsid w:val="006A1E6B"/>
    <w:rsid w:val="006A2384"/>
    <w:rsid w:val="006A25CB"/>
    <w:rsid w:val="006A2B05"/>
    <w:rsid w:val="006A2E72"/>
    <w:rsid w:val="006A30B5"/>
    <w:rsid w:val="006A351E"/>
    <w:rsid w:val="006A3D0D"/>
    <w:rsid w:val="006A3EC7"/>
    <w:rsid w:val="006A40ED"/>
    <w:rsid w:val="006A421F"/>
    <w:rsid w:val="006A4553"/>
    <w:rsid w:val="006A62AC"/>
    <w:rsid w:val="006A6F6A"/>
    <w:rsid w:val="006A6F7A"/>
    <w:rsid w:val="006A6FEA"/>
    <w:rsid w:val="006A7104"/>
    <w:rsid w:val="006A78E3"/>
    <w:rsid w:val="006A7EA3"/>
    <w:rsid w:val="006B0343"/>
    <w:rsid w:val="006B0D02"/>
    <w:rsid w:val="006B0FA2"/>
    <w:rsid w:val="006B1380"/>
    <w:rsid w:val="006B14AD"/>
    <w:rsid w:val="006B1801"/>
    <w:rsid w:val="006B1F65"/>
    <w:rsid w:val="006B295B"/>
    <w:rsid w:val="006B2974"/>
    <w:rsid w:val="006B309F"/>
    <w:rsid w:val="006B3B46"/>
    <w:rsid w:val="006B3ED1"/>
    <w:rsid w:val="006B4433"/>
    <w:rsid w:val="006B44E7"/>
    <w:rsid w:val="006B45C3"/>
    <w:rsid w:val="006B4AFF"/>
    <w:rsid w:val="006B4FC0"/>
    <w:rsid w:val="006B53AC"/>
    <w:rsid w:val="006B5501"/>
    <w:rsid w:val="006B5554"/>
    <w:rsid w:val="006B564A"/>
    <w:rsid w:val="006B607E"/>
    <w:rsid w:val="006B60F8"/>
    <w:rsid w:val="006B637B"/>
    <w:rsid w:val="006B6574"/>
    <w:rsid w:val="006B68A1"/>
    <w:rsid w:val="006B7ACA"/>
    <w:rsid w:val="006B7D6C"/>
    <w:rsid w:val="006C04A5"/>
    <w:rsid w:val="006C06C9"/>
    <w:rsid w:val="006C0E0D"/>
    <w:rsid w:val="006C10D4"/>
    <w:rsid w:val="006C188B"/>
    <w:rsid w:val="006C1CA4"/>
    <w:rsid w:val="006C1F61"/>
    <w:rsid w:val="006C1FB9"/>
    <w:rsid w:val="006C2325"/>
    <w:rsid w:val="006C23AD"/>
    <w:rsid w:val="006C2FAE"/>
    <w:rsid w:val="006C3614"/>
    <w:rsid w:val="006C368E"/>
    <w:rsid w:val="006C3A6F"/>
    <w:rsid w:val="006C3AB4"/>
    <w:rsid w:val="006C41B5"/>
    <w:rsid w:val="006C4472"/>
    <w:rsid w:val="006C4DA6"/>
    <w:rsid w:val="006C4F65"/>
    <w:rsid w:val="006C5042"/>
    <w:rsid w:val="006C5A96"/>
    <w:rsid w:val="006C5E59"/>
    <w:rsid w:val="006C5E70"/>
    <w:rsid w:val="006C6490"/>
    <w:rsid w:val="006C6FEF"/>
    <w:rsid w:val="006C7D40"/>
    <w:rsid w:val="006C7EDB"/>
    <w:rsid w:val="006D011E"/>
    <w:rsid w:val="006D0154"/>
    <w:rsid w:val="006D0A20"/>
    <w:rsid w:val="006D0DF1"/>
    <w:rsid w:val="006D115D"/>
    <w:rsid w:val="006D11A0"/>
    <w:rsid w:val="006D122D"/>
    <w:rsid w:val="006D15CF"/>
    <w:rsid w:val="006D20F9"/>
    <w:rsid w:val="006D25FB"/>
    <w:rsid w:val="006D2759"/>
    <w:rsid w:val="006D27D3"/>
    <w:rsid w:val="006D2873"/>
    <w:rsid w:val="006D2981"/>
    <w:rsid w:val="006D2AA3"/>
    <w:rsid w:val="006D2D4B"/>
    <w:rsid w:val="006D343E"/>
    <w:rsid w:val="006D3476"/>
    <w:rsid w:val="006D382F"/>
    <w:rsid w:val="006D3F98"/>
    <w:rsid w:val="006D456A"/>
    <w:rsid w:val="006D4FC1"/>
    <w:rsid w:val="006D5324"/>
    <w:rsid w:val="006D5BEF"/>
    <w:rsid w:val="006D5C82"/>
    <w:rsid w:val="006D5D02"/>
    <w:rsid w:val="006D5F73"/>
    <w:rsid w:val="006D644C"/>
    <w:rsid w:val="006D6794"/>
    <w:rsid w:val="006D703E"/>
    <w:rsid w:val="006D708A"/>
    <w:rsid w:val="006D71B1"/>
    <w:rsid w:val="006D7ECB"/>
    <w:rsid w:val="006E023C"/>
    <w:rsid w:val="006E038C"/>
    <w:rsid w:val="006E053C"/>
    <w:rsid w:val="006E0975"/>
    <w:rsid w:val="006E0A46"/>
    <w:rsid w:val="006E0F9A"/>
    <w:rsid w:val="006E186E"/>
    <w:rsid w:val="006E1D3E"/>
    <w:rsid w:val="006E1F1E"/>
    <w:rsid w:val="006E2382"/>
    <w:rsid w:val="006E2475"/>
    <w:rsid w:val="006E2637"/>
    <w:rsid w:val="006E2D0E"/>
    <w:rsid w:val="006E305F"/>
    <w:rsid w:val="006E3903"/>
    <w:rsid w:val="006E3A0F"/>
    <w:rsid w:val="006E3D10"/>
    <w:rsid w:val="006E3E02"/>
    <w:rsid w:val="006E4BD0"/>
    <w:rsid w:val="006E4E79"/>
    <w:rsid w:val="006E510A"/>
    <w:rsid w:val="006E5124"/>
    <w:rsid w:val="006E534A"/>
    <w:rsid w:val="006E5712"/>
    <w:rsid w:val="006E5A27"/>
    <w:rsid w:val="006E5A3F"/>
    <w:rsid w:val="006E5AE0"/>
    <w:rsid w:val="006E6A7A"/>
    <w:rsid w:val="006E6C3A"/>
    <w:rsid w:val="006E7309"/>
    <w:rsid w:val="006E7DF4"/>
    <w:rsid w:val="006E7E51"/>
    <w:rsid w:val="006F0468"/>
    <w:rsid w:val="006F0575"/>
    <w:rsid w:val="006F0637"/>
    <w:rsid w:val="006F0655"/>
    <w:rsid w:val="006F10C6"/>
    <w:rsid w:val="006F113C"/>
    <w:rsid w:val="006F11DA"/>
    <w:rsid w:val="006F132E"/>
    <w:rsid w:val="006F158A"/>
    <w:rsid w:val="006F17D0"/>
    <w:rsid w:val="006F1D9B"/>
    <w:rsid w:val="006F2462"/>
    <w:rsid w:val="006F2B6F"/>
    <w:rsid w:val="006F2E2F"/>
    <w:rsid w:val="006F2E54"/>
    <w:rsid w:val="006F3076"/>
    <w:rsid w:val="006F31B7"/>
    <w:rsid w:val="006F3A4C"/>
    <w:rsid w:val="006F3CCF"/>
    <w:rsid w:val="006F3EB1"/>
    <w:rsid w:val="006F4696"/>
    <w:rsid w:val="006F4868"/>
    <w:rsid w:val="006F4A2E"/>
    <w:rsid w:val="006F4FD4"/>
    <w:rsid w:val="006F5393"/>
    <w:rsid w:val="006F581D"/>
    <w:rsid w:val="006F583F"/>
    <w:rsid w:val="006F5C6B"/>
    <w:rsid w:val="006F678F"/>
    <w:rsid w:val="006F6836"/>
    <w:rsid w:val="006F6F6F"/>
    <w:rsid w:val="006F7096"/>
    <w:rsid w:val="006F7BF8"/>
    <w:rsid w:val="00700250"/>
    <w:rsid w:val="00700798"/>
    <w:rsid w:val="0070129F"/>
    <w:rsid w:val="007016C7"/>
    <w:rsid w:val="00701962"/>
    <w:rsid w:val="007019B8"/>
    <w:rsid w:val="00701CCD"/>
    <w:rsid w:val="00701DEB"/>
    <w:rsid w:val="00701EFB"/>
    <w:rsid w:val="007021A8"/>
    <w:rsid w:val="0070270E"/>
    <w:rsid w:val="00702776"/>
    <w:rsid w:val="00702F0F"/>
    <w:rsid w:val="0070334C"/>
    <w:rsid w:val="007038CF"/>
    <w:rsid w:val="00703D6F"/>
    <w:rsid w:val="00703DE5"/>
    <w:rsid w:val="00703E49"/>
    <w:rsid w:val="0070451B"/>
    <w:rsid w:val="00704B67"/>
    <w:rsid w:val="0070500D"/>
    <w:rsid w:val="007059EA"/>
    <w:rsid w:val="007063F5"/>
    <w:rsid w:val="00706638"/>
    <w:rsid w:val="00706AF4"/>
    <w:rsid w:val="00706C47"/>
    <w:rsid w:val="00707790"/>
    <w:rsid w:val="007078AE"/>
    <w:rsid w:val="00707B00"/>
    <w:rsid w:val="00707B13"/>
    <w:rsid w:val="007100F9"/>
    <w:rsid w:val="00710422"/>
    <w:rsid w:val="00710C55"/>
    <w:rsid w:val="00710D61"/>
    <w:rsid w:val="00710F0A"/>
    <w:rsid w:val="00710FD7"/>
    <w:rsid w:val="0071109B"/>
    <w:rsid w:val="00711491"/>
    <w:rsid w:val="00711849"/>
    <w:rsid w:val="00711936"/>
    <w:rsid w:val="0071196B"/>
    <w:rsid w:val="00711C80"/>
    <w:rsid w:val="00711D34"/>
    <w:rsid w:val="00711DD2"/>
    <w:rsid w:val="00711F1A"/>
    <w:rsid w:val="007120A1"/>
    <w:rsid w:val="0071267D"/>
    <w:rsid w:val="00712BBD"/>
    <w:rsid w:val="00712E98"/>
    <w:rsid w:val="0071308C"/>
    <w:rsid w:val="00713782"/>
    <w:rsid w:val="007137C8"/>
    <w:rsid w:val="00713D38"/>
    <w:rsid w:val="0071409E"/>
    <w:rsid w:val="007141A3"/>
    <w:rsid w:val="007147A5"/>
    <w:rsid w:val="00714C25"/>
    <w:rsid w:val="00714C62"/>
    <w:rsid w:val="007152BB"/>
    <w:rsid w:val="007153E9"/>
    <w:rsid w:val="00715614"/>
    <w:rsid w:val="00715CEF"/>
    <w:rsid w:val="00715E67"/>
    <w:rsid w:val="00715F8D"/>
    <w:rsid w:val="00716289"/>
    <w:rsid w:val="0071648F"/>
    <w:rsid w:val="0071773B"/>
    <w:rsid w:val="0072020C"/>
    <w:rsid w:val="0072025E"/>
    <w:rsid w:val="0072026C"/>
    <w:rsid w:val="007203B9"/>
    <w:rsid w:val="00720713"/>
    <w:rsid w:val="00720AC8"/>
    <w:rsid w:val="00720FCE"/>
    <w:rsid w:val="007213BC"/>
    <w:rsid w:val="0072143C"/>
    <w:rsid w:val="00721F21"/>
    <w:rsid w:val="00722B6E"/>
    <w:rsid w:val="00723710"/>
    <w:rsid w:val="00723890"/>
    <w:rsid w:val="00723B27"/>
    <w:rsid w:val="007247CA"/>
    <w:rsid w:val="00724D64"/>
    <w:rsid w:val="00724EFB"/>
    <w:rsid w:val="007250F1"/>
    <w:rsid w:val="0072531A"/>
    <w:rsid w:val="00725913"/>
    <w:rsid w:val="00725AA3"/>
    <w:rsid w:val="00725B71"/>
    <w:rsid w:val="00725BEC"/>
    <w:rsid w:val="00725E5D"/>
    <w:rsid w:val="00725ECF"/>
    <w:rsid w:val="00725FF3"/>
    <w:rsid w:val="007264F1"/>
    <w:rsid w:val="00726950"/>
    <w:rsid w:val="00726B7A"/>
    <w:rsid w:val="00726C5A"/>
    <w:rsid w:val="00726D60"/>
    <w:rsid w:val="00726E60"/>
    <w:rsid w:val="00727031"/>
    <w:rsid w:val="00727354"/>
    <w:rsid w:val="00727991"/>
    <w:rsid w:val="00727A2A"/>
    <w:rsid w:val="00727ECF"/>
    <w:rsid w:val="00727FF6"/>
    <w:rsid w:val="00730170"/>
    <w:rsid w:val="00730B2B"/>
    <w:rsid w:val="00730FFE"/>
    <w:rsid w:val="00731449"/>
    <w:rsid w:val="00731B4E"/>
    <w:rsid w:val="007323D5"/>
    <w:rsid w:val="00732420"/>
    <w:rsid w:val="0073242E"/>
    <w:rsid w:val="00732495"/>
    <w:rsid w:val="007325A9"/>
    <w:rsid w:val="00732814"/>
    <w:rsid w:val="00732BA9"/>
    <w:rsid w:val="007334C2"/>
    <w:rsid w:val="00733938"/>
    <w:rsid w:val="00733DD5"/>
    <w:rsid w:val="00733FD0"/>
    <w:rsid w:val="00734442"/>
    <w:rsid w:val="007344C8"/>
    <w:rsid w:val="00734600"/>
    <w:rsid w:val="007346BF"/>
    <w:rsid w:val="0073473D"/>
    <w:rsid w:val="00734CC8"/>
    <w:rsid w:val="00734CFC"/>
    <w:rsid w:val="00735155"/>
    <w:rsid w:val="007351A5"/>
    <w:rsid w:val="0073568C"/>
    <w:rsid w:val="00735935"/>
    <w:rsid w:val="00735BC0"/>
    <w:rsid w:val="00735F12"/>
    <w:rsid w:val="00736271"/>
    <w:rsid w:val="00736468"/>
    <w:rsid w:val="00736908"/>
    <w:rsid w:val="007369F6"/>
    <w:rsid w:val="00736B13"/>
    <w:rsid w:val="0073737C"/>
    <w:rsid w:val="007375B3"/>
    <w:rsid w:val="00737A77"/>
    <w:rsid w:val="00737B20"/>
    <w:rsid w:val="00740090"/>
    <w:rsid w:val="007401A7"/>
    <w:rsid w:val="007404F4"/>
    <w:rsid w:val="007405EF"/>
    <w:rsid w:val="007408C7"/>
    <w:rsid w:val="007409C6"/>
    <w:rsid w:val="00740D7B"/>
    <w:rsid w:val="00740E32"/>
    <w:rsid w:val="0074112B"/>
    <w:rsid w:val="0074178C"/>
    <w:rsid w:val="00741B97"/>
    <w:rsid w:val="007420F4"/>
    <w:rsid w:val="007423B6"/>
    <w:rsid w:val="007427DB"/>
    <w:rsid w:val="007429F1"/>
    <w:rsid w:val="00742CFF"/>
    <w:rsid w:val="00742FEF"/>
    <w:rsid w:val="0074314B"/>
    <w:rsid w:val="007438AD"/>
    <w:rsid w:val="00743D54"/>
    <w:rsid w:val="00743D5F"/>
    <w:rsid w:val="00743E8C"/>
    <w:rsid w:val="00744153"/>
    <w:rsid w:val="00744681"/>
    <w:rsid w:val="00744934"/>
    <w:rsid w:val="00744D89"/>
    <w:rsid w:val="00744EF8"/>
    <w:rsid w:val="007455EC"/>
    <w:rsid w:val="00745626"/>
    <w:rsid w:val="007459F5"/>
    <w:rsid w:val="007460F0"/>
    <w:rsid w:val="007463AE"/>
    <w:rsid w:val="0074694F"/>
    <w:rsid w:val="00746ACC"/>
    <w:rsid w:val="00746C44"/>
    <w:rsid w:val="00746E5F"/>
    <w:rsid w:val="00747DF4"/>
    <w:rsid w:val="007501D5"/>
    <w:rsid w:val="0075040C"/>
    <w:rsid w:val="0075053A"/>
    <w:rsid w:val="00750680"/>
    <w:rsid w:val="0075091C"/>
    <w:rsid w:val="00750A0B"/>
    <w:rsid w:val="00750B55"/>
    <w:rsid w:val="0075135F"/>
    <w:rsid w:val="007516F2"/>
    <w:rsid w:val="0075197F"/>
    <w:rsid w:val="00751DE2"/>
    <w:rsid w:val="007526D7"/>
    <w:rsid w:val="00752730"/>
    <w:rsid w:val="007528A2"/>
    <w:rsid w:val="00752978"/>
    <w:rsid w:val="00752D8A"/>
    <w:rsid w:val="00753414"/>
    <w:rsid w:val="007536FC"/>
    <w:rsid w:val="0075399D"/>
    <w:rsid w:val="00753CC3"/>
    <w:rsid w:val="00754040"/>
    <w:rsid w:val="00754066"/>
    <w:rsid w:val="00754076"/>
    <w:rsid w:val="00754338"/>
    <w:rsid w:val="0075478E"/>
    <w:rsid w:val="0075495E"/>
    <w:rsid w:val="00754E6B"/>
    <w:rsid w:val="0075526D"/>
    <w:rsid w:val="00755F20"/>
    <w:rsid w:val="0075672C"/>
    <w:rsid w:val="00756B47"/>
    <w:rsid w:val="00757149"/>
    <w:rsid w:val="007571A7"/>
    <w:rsid w:val="007572E5"/>
    <w:rsid w:val="00757530"/>
    <w:rsid w:val="00757700"/>
    <w:rsid w:val="00757789"/>
    <w:rsid w:val="00757DAE"/>
    <w:rsid w:val="00757E79"/>
    <w:rsid w:val="00757F98"/>
    <w:rsid w:val="00757F99"/>
    <w:rsid w:val="0076005D"/>
    <w:rsid w:val="00760094"/>
    <w:rsid w:val="00760D91"/>
    <w:rsid w:val="00760EA1"/>
    <w:rsid w:val="0076124A"/>
    <w:rsid w:val="00761A07"/>
    <w:rsid w:val="00761A31"/>
    <w:rsid w:val="00761A50"/>
    <w:rsid w:val="00761EC1"/>
    <w:rsid w:val="007620FA"/>
    <w:rsid w:val="0076223C"/>
    <w:rsid w:val="00762275"/>
    <w:rsid w:val="007622D5"/>
    <w:rsid w:val="007623E7"/>
    <w:rsid w:val="00762615"/>
    <w:rsid w:val="00762742"/>
    <w:rsid w:val="0076303F"/>
    <w:rsid w:val="007631AC"/>
    <w:rsid w:val="007631D4"/>
    <w:rsid w:val="00763956"/>
    <w:rsid w:val="00763EB5"/>
    <w:rsid w:val="00764244"/>
    <w:rsid w:val="0076442C"/>
    <w:rsid w:val="00764B9A"/>
    <w:rsid w:val="00764BCA"/>
    <w:rsid w:val="00764E49"/>
    <w:rsid w:val="007650CB"/>
    <w:rsid w:val="00765788"/>
    <w:rsid w:val="00765825"/>
    <w:rsid w:val="00765868"/>
    <w:rsid w:val="00765AFE"/>
    <w:rsid w:val="00765C2A"/>
    <w:rsid w:val="00765CCF"/>
    <w:rsid w:val="007662AC"/>
    <w:rsid w:val="00766517"/>
    <w:rsid w:val="0076651A"/>
    <w:rsid w:val="00766AA5"/>
    <w:rsid w:val="00766BF5"/>
    <w:rsid w:val="0076710C"/>
    <w:rsid w:val="007673C6"/>
    <w:rsid w:val="007676BD"/>
    <w:rsid w:val="00767DD2"/>
    <w:rsid w:val="007701AD"/>
    <w:rsid w:val="00770291"/>
    <w:rsid w:val="00770468"/>
    <w:rsid w:val="007706CA"/>
    <w:rsid w:val="00770832"/>
    <w:rsid w:val="007709A8"/>
    <w:rsid w:val="00771218"/>
    <w:rsid w:val="0077142A"/>
    <w:rsid w:val="0077164F"/>
    <w:rsid w:val="007717E7"/>
    <w:rsid w:val="00771BCD"/>
    <w:rsid w:val="00771F61"/>
    <w:rsid w:val="007720CB"/>
    <w:rsid w:val="007721B7"/>
    <w:rsid w:val="00772269"/>
    <w:rsid w:val="007722EF"/>
    <w:rsid w:val="00772329"/>
    <w:rsid w:val="00772754"/>
    <w:rsid w:val="00773012"/>
    <w:rsid w:val="0077355E"/>
    <w:rsid w:val="00773875"/>
    <w:rsid w:val="007738BB"/>
    <w:rsid w:val="00773A3F"/>
    <w:rsid w:val="00773C78"/>
    <w:rsid w:val="00773CAF"/>
    <w:rsid w:val="00773DE7"/>
    <w:rsid w:val="00774543"/>
    <w:rsid w:val="0077486D"/>
    <w:rsid w:val="00774B5E"/>
    <w:rsid w:val="00774F69"/>
    <w:rsid w:val="00774FAD"/>
    <w:rsid w:val="007758B7"/>
    <w:rsid w:val="00775A1F"/>
    <w:rsid w:val="007762A9"/>
    <w:rsid w:val="00776423"/>
    <w:rsid w:val="0077667F"/>
    <w:rsid w:val="00776B1A"/>
    <w:rsid w:val="00776E93"/>
    <w:rsid w:val="00776FCE"/>
    <w:rsid w:val="007772F9"/>
    <w:rsid w:val="0077746C"/>
    <w:rsid w:val="007774C7"/>
    <w:rsid w:val="007776C5"/>
    <w:rsid w:val="00777834"/>
    <w:rsid w:val="00777942"/>
    <w:rsid w:val="00777E2A"/>
    <w:rsid w:val="00777FE2"/>
    <w:rsid w:val="00780026"/>
    <w:rsid w:val="0078010D"/>
    <w:rsid w:val="00780280"/>
    <w:rsid w:val="0078034E"/>
    <w:rsid w:val="007803D2"/>
    <w:rsid w:val="007808D1"/>
    <w:rsid w:val="007808F7"/>
    <w:rsid w:val="00780A1B"/>
    <w:rsid w:val="00780A2F"/>
    <w:rsid w:val="00780B4E"/>
    <w:rsid w:val="00780EC2"/>
    <w:rsid w:val="00780F6C"/>
    <w:rsid w:val="00781101"/>
    <w:rsid w:val="007812C8"/>
    <w:rsid w:val="00781440"/>
    <w:rsid w:val="00781844"/>
    <w:rsid w:val="00781D26"/>
    <w:rsid w:val="00781FC8"/>
    <w:rsid w:val="0078200C"/>
    <w:rsid w:val="0078211F"/>
    <w:rsid w:val="007822CD"/>
    <w:rsid w:val="0078269F"/>
    <w:rsid w:val="00782A7C"/>
    <w:rsid w:val="00782ABC"/>
    <w:rsid w:val="007834A0"/>
    <w:rsid w:val="0078353A"/>
    <w:rsid w:val="00783A62"/>
    <w:rsid w:val="00783BC4"/>
    <w:rsid w:val="00783C11"/>
    <w:rsid w:val="00783C59"/>
    <w:rsid w:val="00783CC9"/>
    <w:rsid w:val="00784540"/>
    <w:rsid w:val="00784CCE"/>
    <w:rsid w:val="00784D85"/>
    <w:rsid w:val="00784F55"/>
    <w:rsid w:val="007850C3"/>
    <w:rsid w:val="00785526"/>
    <w:rsid w:val="00785A0D"/>
    <w:rsid w:val="00785A29"/>
    <w:rsid w:val="00785AE5"/>
    <w:rsid w:val="00785DAC"/>
    <w:rsid w:val="007862A2"/>
    <w:rsid w:val="007863E1"/>
    <w:rsid w:val="0078652A"/>
    <w:rsid w:val="00786A21"/>
    <w:rsid w:val="00786FC2"/>
    <w:rsid w:val="0078746F"/>
    <w:rsid w:val="0078750B"/>
    <w:rsid w:val="00787796"/>
    <w:rsid w:val="0078799E"/>
    <w:rsid w:val="007904DA"/>
    <w:rsid w:val="007909AA"/>
    <w:rsid w:val="00790FCC"/>
    <w:rsid w:val="007910ED"/>
    <w:rsid w:val="007914C4"/>
    <w:rsid w:val="00791A15"/>
    <w:rsid w:val="00791AA4"/>
    <w:rsid w:val="00791B3D"/>
    <w:rsid w:val="00791BC0"/>
    <w:rsid w:val="00792033"/>
    <w:rsid w:val="007920D8"/>
    <w:rsid w:val="007922FA"/>
    <w:rsid w:val="00792418"/>
    <w:rsid w:val="007926BC"/>
    <w:rsid w:val="00792C55"/>
    <w:rsid w:val="007933CB"/>
    <w:rsid w:val="007935EC"/>
    <w:rsid w:val="00793BB1"/>
    <w:rsid w:val="00793D2E"/>
    <w:rsid w:val="00793D9D"/>
    <w:rsid w:val="00794456"/>
    <w:rsid w:val="007946E1"/>
    <w:rsid w:val="00794711"/>
    <w:rsid w:val="0079497F"/>
    <w:rsid w:val="00794D5B"/>
    <w:rsid w:val="00794D8D"/>
    <w:rsid w:val="00794E52"/>
    <w:rsid w:val="00794EB1"/>
    <w:rsid w:val="0079575D"/>
    <w:rsid w:val="00795815"/>
    <w:rsid w:val="00795A4A"/>
    <w:rsid w:val="00795E42"/>
    <w:rsid w:val="00795E7D"/>
    <w:rsid w:val="00795F74"/>
    <w:rsid w:val="007965E0"/>
    <w:rsid w:val="00796752"/>
    <w:rsid w:val="00796841"/>
    <w:rsid w:val="0079687E"/>
    <w:rsid w:val="0079700D"/>
    <w:rsid w:val="007978F9"/>
    <w:rsid w:val="00797D93"/>
    <w:rsid w:val="00797EDA"/>
    <w:rsid w:val="007A0995"/>
    <w:rsid w:val="007A0A19"/>
    <w:rsid w:val="007A0D94"/>
    <w:rsid w:val="007A0E84"/>
    <w:rsid w:val="007A0F81"/>
    <w:rsid w:val="007A14C2"/>
    <w:rsid w:val="007A171C"/>
    <w:rsid w:val="007A1F06"/>
    <w:rsid w:val="007A20FE"/>
    <w:rsid w:val="007A249D"/>
    <w:rsid w:val="007A2C1B"/>
    <w:rsid w:val="007A2D0F"/>
    <w:rsid w:val="007A3425"/>
    <w:rsid w:val="007A357D"/>
    <w:rsid w:val="007A39C4"/>
    <w:rsid w:val="007A3DBA"/>
    <w:rsid w:val="007A40F0"/>
    <w:rsid w:val="007A421D"/>
    <w:rsid w:val="007A4269"/>
    <w:rsid w:val="007A4658"/>
    <w:rsid w:val="007A4AD0"/>
    <w:rsid w:val="007A4AD3"/>
    <w:rsid w:val="007A4EF2"/>
    <w:rsid w:val="007A4F23"/>
    <w:rsid w:val="007A58B6"/>
    <w:rsid w:val="007A598D"/>
    <w:rsid w:val="007A5990"/>
    <w:rsid w:val="007A5CAF"/>
    <w:rsid w:val="007A5F24"/>
    <w:rsid w:val="007A6306"/>
    <w:rsid w:val="007A6433"/>
    <w:rsid w:val="007A666F"/>
    <w:rsid w:val="007A6F13"/>
    <w:rsid w:val="007A7057"/>
    <w:rsid w:val="007A7584"/>
    <w:rsid w:val="007A7708"/>
    <w:rsid w:val="007A7FC9"/>
    <w:rsid w:val="007B005A"/>
    <w:rsid w:val="007B0092"/>
    <w:rsid w:val="007B052B"/>
    <w:rsid w:val="007B06E2"/>
    <w:rsid w:val="007B0914"/>
    <w:rsid w:val="007B0F0C"/>
    <w:rsid w:val="007B0F38"/>
    <w:rsid w:val="007B12BC"/>
    <w:rsid w:val="007B1A7D"/>
    <w:rsid w:val="007B22E5"/>
    <w:rsid w:val="007B3344"/>
    <w:rsid w:val="007B342C"/>
    <w:rsid w:val="007B3561"/>
    <w:rsid w:val="007B35F2"/>
    <w:rsid w:val="007B3F79"/>
    <w:rsid w:val="007B3FAA"/>
    <w:rsid w:val="007B4011"/>
    <w:rsid w:val="007B48E1"/>
    <w:rsid w:val="007B4E5C"/>
    <w:rsid w:val="007B5382"/>
    <w:rsid w:val="007B5866"/>
    <w:rsid w:val="007B652B"/>
    <w:rsid w:val="007B68E2"/>
    <w:rsid w:val="007B6BE2"/>
    <w:rsid w:val="007B6C30"/>
    <w:rsid w:val="007B6E25"/>
    <w:rsid w:val="007B74CC"/>
    <w:rsid w:val="007B79E5"/>
    <w:rsid w:val="007C01D2"/>
    <w:rsid w:val="007C024F"/>
    <w:rsid w:val="007C100D"/>
    <w:rsid w:val="007C1400"/>
    <w:rsid w:val="007C1654"/>
    <w:rsid w:val="007C1D65"/>
    <w:rsid w:val="007C1D8F"/>
    <w:rsid w:val="007C1EE6"/>
    <w:rsid w:val="007C2360"/>
    <w:rsid w:val="007C256D"/>
    <w:rsid w:val="007C2598"/>
    <w:rsid w:val="007C3361"/>
    <w:rsid w:val="007C55A7"/>
    <w:rsid w:val="007C56CC"/>
    <w:rsid w:val="007C5B26"/>
    <w:rsid w:val="007C7656"/>
    <w:rsid w:val="007C78FA"/>
    <w:rsid w:val="007D016B"/>
    <w:rsid w:val="007D05E6"/>
    <w:rsid w:val="007D072B"/>
    <w:rsid w:val="007D1432"/>
    <w:rsid w:val="007D14F8"/>
    <w:rsid w:val="007D19F9"/>
    <w:rsid w:val="007D1E48"/>
    <w:rsid w:val="007D21FC"/>
    <w:rsid w:val="007D232F"/>
    <w:rsid w:val="007D2443"/>
    <w:rsid w:val="007D2481"/>
    <w:rsid w:val="007D24BB"/>
    <w:rsid w:val="007D275B"/>
    <w:rsid w:val="007D27E5"/>
    <w:rsid w:val="007D28C3"/>
    <w:rsid w:val="007D29EB"/>
    <w:rsid w:val="007D2A19"/>
    <w:rsid w:val="007D2ABA"/>
    <w:rsid w:val="007D2B47"/>
    <w:rsid w:val="007D30F1"/>
    <w:rsid w:val="007D32E0"/>
    <w:rsid w:val="007D3AE6"/>
    <w:rsid w:val="007D4E21"/>
    <w:rsid w:val="007D50CF"/>
    <w:rsid w:val="007D5323"/>
    <w:rsid w:val="007D549B"/>
    <w:rsid w:val="007D6440"/>
    <w:rsid w:val="007D669C"/>
    <w:rsid w:val="007D6921"/>
    <w:rsid w:val="007D69EE"/>
    <w:rsid w:val="007D6CEF"/>
    <w:rsid w:val="007D74D0"/>
    <w:rsid w:val="007D74F9"/>
    <w:rsid w:val="007D76C6"/>
    <w:rsid w:val="007D776E"/>
    <w:rsid w:val="007D7AED"/>
    <w:rsid w:val="007D7C61"/>
    <w:rsid w:val="007D7EC8"/>
    <w:rsid w:val="007D7FD9"/>
    <w:rsid w:val="007E0243"/>
    <w:rsid w:val="007E0311"/>
    <w:rsid w:val="007E032B"/>
    <w:rsid w:val="007E036F"/>
    <w:rsid w:val="007E0423"/>
    <w:rsid w:val="007E0501"/>
    <w:rsid w:val="007E0545"/>
    <w:rsid w:val="007E093E"/>
    <w:rsid w:val="007E0971"/>
    <w:rsid w:val="007E0EAB"/>
    <w:rsid w:val="007E106D"/>
    <w:rsid w:val="007E1115"/>
    <w:rsid w:val="007E118F"/>
    <w:rsid w:val="007E12F7"/>
    <w:rsid w:val="007E1469"/>
    <w:rsid w:val="007E18B0"/>
    <w:rsid w:val="007E18EF"/>
    <w:rsid w:val="007E2327"/>
    <w:rsid w:val="007E2364"/>
    <w:rsid w:val="007E2633"/>
    <w:rsid w:val="007E2738"/>
    <w:rsid w:val="007E2873"/>
    <w:rsid w:val="007E2C3C"/>
    <w:rsid w:val="007E2F26"/>
    <w:rsid w:val="007E30E1"/>
    <w:rsid w:val="007E36E5"/>
    <w:rsid w:val="007E3BAE"/>
    <w:rsid w:val="007E3CEA"/>
    <w:rsid w:val="007E3E5B"/>
    <w:rsid w:val="007E408A"/>
    <w:rsid w:val="007E4145"/>
    <w:rsid w:val="007E4334"/>
    <w:rsid w:val="007E499C"/>
    <w:rsid w:val="007E4D6A"/>
    <w:rsid w:val="007E4DDD"/>
    <w:rsid w:val="007E4E4B"/>
    <w:rsid w:val="007E5186"/>
    <w:rsid w:val="007E5271"/>
    <w:rsid w:val="007E5363"/>
    <w:rsid w:val="007E5367"/>
    <w:rsid w:val="007E55CF"/>
    <w:rsid w:val="007E59A7"/>
    <w:rsid w:val="007E6164"/>
    <w:rsid w:val="007E6173"/>
    <w:rsid w:val="007E61B0"/>
    <w:rsid w:val="007E64C1"/>
    <w:rsid w:val="007E65C6"/>
    <w:rsid w:val="007E6650"/>
    <w:rsid w:val="007E6C41"/>
    <w:rsid w:val="007E6CB0"/>
    <w:rsid w:val="007E6CD5"/>
    <w:rsid w:val="007E702A"/>
    <w:rsid w:val="007E7727"/>
    <w:rsid w:val="007E7B6E"/>
    <w:rsid w:val="007E7F4B"/>
    <w:rsid w:val="007F025C"/>
    <w:rsid w:val="007F151F"/>
    <w:rsid w:val="007F17D6"/>
    <w:rsid w:val="007F1FB1"/>
    <w:rsid w:val="007F2490"/>
    <w:rsid w:val="007F2668"/>
    <w:rsid w:val="007F29E4"/>
    <w:rsid w:val="007F31CA"/>
    <w:rsid w:val="007F34E5"/>
    <w:rsid w:val="007F3AC9"/>
    <w:rsid w:val="007F3CE4"/>
    <w:rsid w:val="007F4456"/>
    <w:rsid w:val="007F47C9"/>
    <w:rsid w:val="007F48FC"/>
    <w:rsid w:val="007F494A"/>
    <w:rsid w:val="007F4A7E"/>
    <w:rsid w:val="007F4F51"/>
    <w:rsid w:val="007F4FD7"/>
    <w:rsid w:val="007F50D5"/>
    <w:rsid w:val="007F52B3"/>
    <w:rsid w:val="007F564D"/>
    <w:rsid w:val="007F56D8"/>
    <w:rsid w:val="007F58C1"/>
    <w:rsid w:val="007F58F9"/>
    <w:rsid w:val="007F5BC4"/>
    <w:rsid w:val="007F670C"/>
    <w:rsid w:val="007F76A5"/>
    <w:rsid w:val="007F76C3"/>
    <w:rsid w:val="007F7AF9"/>
    <w:rsid w:val="007F7C14"/>
    <w:rsid w:val="007F7CBD"/>
    <w:rsid w:val="007F7EB6"/>
    <w:rsid w:val="007F7F08"/>
    <w:rsid w:val="008003BA"/>
    <w:rsid w:val="0080061F"/>
    <w:rsid w:val="00800656"/>
    <w:rsid w:val="00800664"/>
    <w:rsid w:val="00800754"/>
    <w:rsid w:val="00800B26"/>
    <w:rsid w:val="00800C51"/>
    <w:rsid w:val="00801797"/>
    <w:rsid w:val="008019FD"/>
    <w:rsid w:val="00801B45"/>
    <w:rsid w:val="00801B49"/>
    <w:rsid w:val="00801E61"/>
    <w:rsid w:val="00802063"/>
    <w:rsid w:val="008023D1"/>
    <w:rsid w:val="00802D3A"/>
    <w:rsid w:val="00802FF9"/>
    <w:rsid w:val="0080328E"/>
    <w:rsid w:val="0080361E"/>
    <w:rsid w:val="008036B2"/>
    <w:rsid w:val="008041C5"/>
    <w:rsid w:val="00804580"/>
    <w:rsid w:val="00804EB3"/>
    <w:rsid w:val="00804F97"/>
    <w:rsid w:val="00805333"/>
    <w:rsid w:val="00805912"/>
    <w:rsid w:val="00805988"/>
    <w:rsid w:val="00805AA0"/>
    <w:rsid w:val="008063A7"/>
    <w:rsid w:val="0080657F"/>
    <w:rsid w:val="008065F2"/>
    <w:rsid w:val="00806675"/>
    <w:rsid w:val="008070ED"/>
    <w:rsid w:val="00807606"/>
    <w:rsid w:val="008077F0"/>
    <w:rsid w:val="00807A5A"/>
    <w:rsid w:val="00807EC8"/>
    <w:rsid w:val="008103A2"/>
    <w:rsid w:val="008107B5"/>
    <w:rsid w:val="008107E0"/>
    <w:rsid w:val="00810A26"/>
    <w:rsid w:val="00810BAA"/>
    <w:rsid w:val="00810C10"/>
    <w:rsid w:val="00811088"/>
    <w:rsid w:val="008111AD"/>
    <w:rsid w:val="00811559"/>
    <w:rsid w:val="00811B13"/>
    <w:rsid w:val="00811C8F"/>
    <w:rsid w:val="00811D8C"/>
    <w:rsid w:val="00811F5D"/>
    <w:rsid w:val="0081209C"/>
    <w:rsid w:val="008124F0"/>
    <w:rsid w:val="0081287C"/>
    <w:rsid w:val="00812E14"/>
    <w:rsid w:val="008131D4"/>
    <w:rsid w:val="008136E7"/>
    <w:rsid w:val="00813D79"/>
    <w:rsid w:val="00813E8A"/>
    <w:rsid w:val="008144A6"/>
    <w:rsid w:val="00814537"/>
    <w:rsid w:val="0081484D"/>
    <w:rsid w:val="00814935"/>
    <w:rsid w:val="00814950"/>
    <w:rsid w:val="00814B6A"/>
    <w:rsid w:val="00814DEB"/>
    <w:rsid w:val="00814EE3"/>
    <w:rsid w:val="00814FF0"/>
    <w:rsid w:val="00815419"/>
    <w:rsid w:val="00815484"/>
    <w:rsid w:val="00815ABE"/>
    <w:rsid w:val="00815AFC"/>
    <w:rsid w:val="00815EC5"/>
    <w:rsid w:val="008160C6"/>
    <w:rsid w:val="008163E0"/>
    <w:rsid w:val="008164F2"/>
    <w:rsid w:val="008167C0"/>
    <w:rsid w:val="0081682F"/>
    <w:rsid w:val="008169FB"/>
    <w:rsid w:val="008170AB"/>
    <w:rsid w:val="00817812"/>
    <w:rsid w:val="00817A9C"/>
    <w:rsid w:val="00817E8E"/>
    <w:rsid w:val="00817F42"/>
    <w:rsid w:val="0082058E"/>
    <w:rsid w:val="008205A3"/>
    <w:rsid w:val="008205AB"/>
    <w:rsid w:val="00820630"/>
    <w:rsid w:val="008206B2"/>
    <w:rsid w:val="008206D3"/>
    <w:rsid w:val="008207E4"/>
    <w:rsid w:val="00820B0C"/>
    <w:rsid w:val="00820B11"/>
    <w:rsid w:val="00820DAC"/>
    <w:rsid w:val="00820FFA"/>
    <w:rsid w:val="008211BD"/>
    <w:rsid w:val="008214F8"/>
    <w:rsid w:val="008215F2"/>
    <w:rsid w:val="0082179D"/>
    <w:rsid w:val="008217ED"/>
    <w:rsid w:val="00821BC5"/>
    <w:rsid w:val="00821D0E"/>
    <w:rsid w:val="00821FAD"/>
    <w:rsid w:val="008225CE"/>
    <w:rsid w:val="0082264A"/>
    <w:rsid w:val="008230A0"/>
    <w:rsid w:val="008230C9"/>
    <w:rsid w:val="00823242"/>
    <w:rsid w:val="00823756"/>
    <w:rsid w:val="008238CB"/>
    <w:rsid w:val="00823E50"/>
    <w:rsid w:val="00823FCA"/>
    <w:rsid w:val="00824276"/>
    <w:rsid w:val="0082443A"/>
    <w:rsid w:val="008247C2"/>
    <w:rsid w:val="0082480C"/>
    <w:rsid w:val="00824CEF"/>
    <w:rsid w:val="00824D11"/>
    <w:rsid w:val="00824E1F"/>
    <w:rsid w:val="00824E88"/>
    <w:rsid w:val="00825560"/>
    <w:rsid w:val="00825AF1"/>
    <w:rsid w:val="00825D18"/>
    <w:rsid w:val="00826F02"/>
    <w:rsid w:val="00826FD3"/>
    <w:rsid w:val="008270B1"/>
    <w:rsid w:val="0082750E"/>
    <w:rsid w:val="00827850"/>
    <w:rsid w:val="00827CB9"/>
    <w:rsid w:val="00827FBC"/>
    <w:rsid w:val="00828A7C"/>
    <w:rsid w:val="00830193"/>
    <w:rsid w:val="00830314"/>
    <w:rsid w:val="00830837"/>
    <w:rsid w:val="00830B66"/>
    <w:rsid w:val="00830CB1"/>
    <w:rsid w:val="00830E39"/>
    <w:rsid w:val="00830F89"/>
    <w:rsid w:val="00830FBD"/>
    <w:rsid w:val="008312FD"/>
    <w:rsid w:val="008314E2"/>
    <w:rsid w:val="00831AB6"/>
    <w:rsid w:val="00831C09"/>
    <w:rsid w:val="00831C29"/>
    <w:rsid w:val="00831C6F"/>
    <w:rsid w:val="00831D13"/>
    <w:rsid w:val="00831F22"/>
    <w:rsid w:val="00831FA1"/>
    <w:rsid w:val="00832267"/>
    <w:rsid w:val="00832CD7"/>
    <w:rsid w:val="0083339F"/>
    <w:rsid w:val="008334A5"/>
    <w:rsid w:val="008340B5"/>
    <w:rsid w:val="0083466E"/>
    <w:rsid w:val="008346D4"/>
    <w:rsid w:val="00834813"/>
    <w:rsid w:val="00834ABE"/>
    <w:rsid w:val="00834B63"/>
    <w:rsid w:val="00835362"/>
    <w:rsid w:val="00835377"/>
    <w:rsid w:val="008353CF"/>
    <w:rsid w:val="00835701"/>
    <w:rsid w:val="00835B48"/>
    <w:rsid w:val="00835BFF"/>
    <w:rsid w:val="00835E91"/>
    <w:rsid w:val="00835F05"/>
    <w:rsid w:val="00836127"/>
    <w:rsid w:val="008363C0"/>
    <w:rsid w:val="00836AD4"/>
    <w:rsid w:val="00836AE3"/>
    <w:rsid w:val="00836C25"/>
    <w:rsid w:val="00836F8D"/>
    <w:rsid w:val="00837B9E"/>
    <w:rsid w:val="00837D64"/>
    <w:rsid w:val="00840DC3"/>
    <w:rsid w:val="00840E47"/>
    <w:rsid w:val="008411DC"/>
    <w:rsid w:val="0084148F"/>
    <w:rsid w:val="008414AB"/>
    <w:rsid w:val="0084191F"/>
    <w:rsid w:val="008419DB"/>
    <w:rsid w:val="00841D6A"/>
    <w:rsid w:val="00841EEA"/>
    <w:rsid w:val="008426FC"/>
    <w:rsid w:val="0084288C"/>
    <w:rsid w:val="00842EBE"/>
    <w:rsid w:val="0084310D"/>
    <w:rsid w:val="00843568"/>
    <w:rsid w:val="0084366E"/>
    <w:rsid w:val="00843DA7"/>
    <w:rsid w:val="0084415F"/>
    <w:rsid w:val="0084476E"/>
    <w:rsid w:val="00844983"/>
    <w:rsid w:val="0084498C"/>
    <w:rsid w:val="00844C8D"/>
    <w:rsid w:val="00844D23"/>
    <w:rsid w:val="00844DDB"/>
    <w:rsid w:val="00844F46"/>
    <w:rsid w:val="008450B4"/>
    <w:rsid w:val="00845176"/>
    <w:rsid w:val="008452C3"/>
    <w:rsid w:val="0084567B"/>
    <w:rsid w:val="00845A2D"/>
    <w:rsid w:val="00845AA0"/>
    <w:rsid w:val="00845C9C"/>
    <w:rsid w:val="008462E8"/>
    <w:rsid w:val="008465ED"/>
    <w:rsid w:val="008468A3"/>
    <w:rsid w:val="00846975"/>
    <w:rsid w:val="0084697E"/>
    <w:rsid w:val="00846BD5"/>
    <w:rsid w:val="008475F3"/>
    <w:rsid w:val="008476DE"/>
    <w:rsid w:val="00847977"/>
    <w:rsid w:val="008479C0"/>
    <w:rsid w:val="0085085B"/>
    <w:rsid w:val="0085094F"/>
    <w:rsid w:val="00850E9A"/>
    <w:rsid w:val="00850F4B"/>
    <w:rsid w:val="00850F7A"/>
    <w:rsid w:val="00851006"/>
    <w:rsid w:val="0085104D"/>
    <w:rsid w:val="00851480"/>
    <w:rsid w:val="00851CFE"/>
    <w:rsid w:val="00851D53"/>
    <w:rsid w:val="00852089"/>
    <w:rsid w:val="00852136"/>
    <w:rsid w:val="0085272D"/>
    <w:rsid w:val="008529DF"/>
    <w:rsid w:val="00852F41"/>
    <w:rsid w:val="0085314D"/>
    <w:rsid w:val="008540AF"/>
    <w:rsid w:val="008545E1"/>
    <w:rsid w:val="0085466C"/>
    <w:rsid w:val="00854AE6"/>
    <w:rsid w:val="00854BF8"/>
    <w:rsid w:val="00854E07"/>
    <w:rsid w:val="00855256"/>
    <w:rsid w:val="008552C5"/>
    <w:rsid w:val="0085540D"/>
    <w:rsid w:val="00855466"/>
    <w:rsid w:val="0085550F"/>
    <w:rsid w:val="008557C6"/>
    <w:rsid w:val="00855B9C"/>
    <w:rsid w:val="00855DBD"/>
    <w:rsid w:val="00855EA1"/>
    <w:rsid w:val="0085608E"/>
    <w:rsid w:val="00856327"/>
    <w:rsid w:val="008563C2"/>
    <w:rsid w:val="00856590"/>
    <w:rsid w:val="008565D8"/>
    <w:rsid w:val="00856820"/>
    <w:rsid w:val="00856855"/>
    <w:rsid w:val="00856B30"/>
    <w:rsid w:val="00856CF0"/>
    <w:rsid w:val="008573A7"/>
    <w:rsid w:val="00857522"/>
    <w:rsid w:val="00857673"/>
    <w:rsid w:val="00857C2F"/>
    <w:rsid w:val="00857E5D"/>
    <w:rsid w:val="00860897"/>
    <w:rsid w:val="00860C08"/>
    <w:rsid w:val="00860D46"/>
    <w:rsid w:val="008611F8"/>
    <w:rsid w:val="00861DC1"/>
    <w:rsid w:val="00861E5D"/>
    <w:rsid w:val="008621D3"/>
    <w:rsid w:val="00862616"/>
    <w:rsid w:val="00862B9D"/>
    <w:rsid w:val="008635A7"/>
    <w:rsid w:val="00863B6E"/>
    <w:rsid w:val="00863C24"/>
    <w:rsid w:val="00863C93"/>
    <w:rsid w:val="00863CDF"/>
    <w:rsid w:val="0086432A"/>
    <w:rsid w:val="008646A2"/>
    <w:rsid w:val="008647FA"/>
    <w:rsid w:val="00864A5B"/>
    <w:rsid w:val="00864A82"/>
    <w:rsid w:val="00864EE7"/>
    <w:rsid w:val="00865156"/>
    <w:rsid w:val="00865571"/>
    <w:rsid w:val="00865B52"/>
    <w:rsid w:val="00866208"/>
    <w:rsid w:val="00866555"/>
    <w:rsid w:val="00866613"/>
    <w:rsid w:val="008666E9"/>
    <w:rsid w:val="0086684D"/>
    <w:rsid w:val="00866E85"/>
    <w:rsid w:val="00866EAA"/>
    <w:rsid w:val="00866F2E"/>
    <w:rsid w:val="00866FE5"/>
    <w:rsid w:val="00867177"/>
    <w:rsid w:val="008671F8"/>
    <w:rsid w:val="008672B0"/>
    <w:rsid w:val="008672DC"/>
    <w:rsid w:val="00867A0D"/>
    <w:rsid w:val="008701A1"/>
    <w:rsid w:val="00870216"/>
    <w:rsid w:val="00870486"/>
    <w:rsid w:val="00870CDB"/>
    <w:rsid w:val="00870CEA"/>
    <w:rsid w:val="00870D91"/>
    <w:rsid w:val="00871210"/>
    <w:rsid w:val="0087165A"/>
    <w:rsid w:val="00871AC2"/>
    <w:rsid w:val="00871B8F"/>
    <w:rsid w:val="00871C70"/>
    <w:rsid w:val="00871DAF"/>
    <w:rsid w:val="00871FCE"/>
    <w:rsid w:val="0087269F"/>
    <w:rsid w:val="00872A22"/>
    <w:rsid w:val="00872B8B"/>
    <w:rsid w:val="00872C45"/>
    <w:rsid w:val="00872DCE"/>
    <w:rsid w:val="008731C2"/>
    <w:rsid w:val="00873477"/>
    <w:rsid w:val="008734CF"/>
    <w:rsid w:val="00873CA3"/>
    <w:rsid w:val="00873F3C"/>
    <w:rsid w:val="00873FAA"/>
    <w:rsid w:val="00874013"/>
    <w:rsid w:val="0087408F"/>
    <w:rsid w:val="0087428D"/>
    <w:rsid w:val="00874793"/>
    <w:rsid w:val="0087486E"/>
    <w:rsid w:val="00875194"/>
    <w:rsid w:val="00875291"/>
    <w:rsid w:val="008754E7"/>
    <w:rsid w:val="00875F81"/>
    <w:rsid w:val="00876722"/>
    <w:rsid w:val="0087693E"/>
    <w:rsid w:val="00876C24"/>
    <w:rsid w:val="00876C34"/>
    <w:rsid w:val="008770C8"/>
    <w:rsid w:val="00877370"/>
    <w:rsid w:val="00877590"/>
    <w:rsid w:val="00877AA5"/>
    <w:rsid w:val="00877DF8"/>
    <w:rsid w:val="0088005F"/>
    <w:rsid w:val="00880241"/>
    <w:rsid w:val="00880322"/>
    <w:rsid w:val="00880592"/>
    <w:rsid w:val="0088077E"/>
    <w:rsid w:val="008809FB"/>
    <w:rsid w:val="00880C45"/>
    <w:rsid w:val="0088121D"/>
    <w:rsid w:val="00881616"/>
    <w:rsid w:val="008819E8"/>
    <w:rsid w:val="00881E12"/>
    <w:rsid w:val="00881FFE"/>
    <w:rsid w:val="008822D3"/>
    <w:rsid w:val="008827EF"/>
    <w:rsid w:val="0088294B"/>
    <w:rsid w:val="00882AB2"/>
    <w:rsid w:val="00882ABF"/>
    <w:rsid w:val="00882D2D"/>
    <w:rsid w:val="00882E74"/>
    <w:rsid w:val="008830F1"/>
    <w:rsid w:val="008837F6"/>
    <w:rsid w:val="008839C8"/>
    <w:rsid w:val="008839EF"/>
    <w:rsid w:val="00883CEA"/>
    <w:rsid w:val="00883EF7"/>
    <w:rsid w:val="00884038"/>
    <w:rsid w:val="00884045"/>
    <w:rsid w:val="00884ADF"/>
    <w:rsid w:val="00884C3E"/>
    <w:rsid w:val="00885118"/>
    <w:rsid w:val="00885212"/>
    <w:rsid w:val="00885225"/>
    <w:rsid w:val="008852FE"/>
    <w:rsid w:val="008856AA"/>
    <w:rsid w:val="008856E9"/>
    <w:rsid w:val="00885740"/>
    <w:rsid w:val="00885A3D"/>
    <w:rsid w:val="00885D2E"/>
    <w:rsid w:val="00885FCA"/>
    <w:rsid w:val="00886391"/>
    <w:rsid w:val="00886421"/>
    <w:rsid w:val="00886A46"/>
    <w:rsid w:val="0088755B"/>
    <w:rsid w:val="00887845"/>
    <w:rsid w:val="008900CE"/>
    <w:rsid w:val="008903C9"/>
    <w:rsid w:val="0089042F"/>
    <w:rsid w:val="00890D76"/>
    <w:rsid w:val="00890F4D"/>
    <w:rsid w:val="00890F90"/>
    <w:rsid w:val="00891325"/>
    <w:rsid w:val="00891369"/>
    <w:rsid w:val="008914B0"/>
    <w:rsid w:val="0089174E"/>
    <w:rsid w:val="00891880"/>
    <w:rsid w:val="00891A39"/>
    <w:rsid w:val="00891C2F"/>
    <w:rsid w:val="00891FAA"/>
    <w:rsid w:val="0089209C"/>
    <w:rsid w:val="008928CC"/>
    <w:rsid w:val="00892A56"/>
    <w:rsid w:val="008932D8"/>
    <w:rsid w:val="00893BCD"/>
    <w:rsid w:val="008943B9"/>
    <w:rsid w:val="00894823"/>
    <w:rsid w:val="00894D3D"/>
    <w:rsid w:val="00894EBD"/>
    <w:rsid w:val="00894F12"/>
    <w:rsid w:val="00895540"/>
    <w:rsid w:val="0089558F"/>
    <w:rsid w:val="008955F0"/>
    <w:rsid w:val="0089653A"/>
    <w:rsid w:val="0089696C"/>
    <w:rsid w:val="00896974"/>
    <w:rsid w:val="00896C57"/>
    <w:rsid w:val="008970B9"/>
    <w:rsid w:val="00897372"/>
    <w:rsid w:val="0089757B"/>
    <w:rsid w:val="008975B2"/>
    <w:rsid w:val="00897694"/>
    <w:rsid w:val="0089777F"/>
    <w:rsid w:val="00897B40"/>
    <w:rsid w:val="00897CB7"/>
    <w:rsid w:val="00897E7A"/>
    <w:rsid w:val="008A036A"/>
    <w:rsid w:val="008A0444"/>
    <w:rsid w:val="008A0760"/>
    <w:rsid w:val="008A087E"/>
    <w:rsid w:val="008A138E"/>
    <w:rsid w:val="008A1B2B"/>
    <w:rsid w:val="008A1D0D"/>
    <w:rsid w:val="008A1E47"/>
    <w:rsid w:val="008A1FA8"/>
    <w:rsid w:val="008A2FF8"/>
    <w:rsid w:val="008A33B0"/>
    <w:rsid w:val="008A391B"/>
    <w:rsid w:val="008A3D74"/>
    <w:rsid w:val="008A3FDA"/>
    <w:rsid w:val="008A474B"/>
    <w:rsid w:val="008A484E"/>
    <w:rsid w:val="008A4C59"/>
    <w:rsid w:val="008A5223"/>
    <w:rsid w:val="008A5D36"/>
    <w:rsid w:val="008A6374"/>
    <w:rsid w:val="008A6692"/>
    <w:rsid w:val="008A6A52"/>
    <w:rsid w:val="008A6BDA"/>
    <w:rsid w:val="008A75F0"/>
    <w:rsid w:val="008A7675"/>
    <w:rsid w:val="008A77B9"/>
    <w:rsid w:val="008A78A3"/>
    <w:rsid w:val="008A7D5C"/>
    <w:rsid w:val="008B027D"/>
    <w:rsid w:val="008B0374"/>
    <w:rsid w:val="008B042C"/>
    <w:rsid w:val="008B04F1"/>
    <w:rsid w:val="008B0763"/>
    <w:rsid w:val="008B09F5"/>
    <w:rsid w:val="008B0BCC"/>
    <w:rsid w:val="008B0E6B"/>
    <w:rsid w:val="008B1415"/>
    <w:rsid w:val="008B1C7C"/>
    <w:rsid w:val="008B1EA4"/>
    <w:rsid w:val="008B20A9"/>
    <w:rsid w:val="008B21C1"/>
    <w:rsid w:val="008B24FC"/>
    <w:rsid w:val="008B25ED"/>
    <w:rsid w:val="008B2D17"/>
    <w:rsid w:val="008B2DA5"/>
    <w:rsid w:val="008B2F41"/>
    <w:rsid w:val="008B2F5D"/>
    <w:rsid w:val="008B2FCC"/>
    <w:rsid w:val="008B302F"/>
    <w:rsid w:val="008B332E"/>
    <w:rsid w:val="008B3B95"/>
    <w:rsid w:val="008B3E9C"/>
    <w:rsid w:val="008B402A"/>
    <w:rsid w:val="008B4204"/>
    <w:rsid w:val="008B45F7"/>
    <w:rsid w:val="008B4CE8"/>
    <w:rsid w:val="008B4F19"/>
    <w:rsid w:val="008B4FC5"/>
    <w:rsid w:val="008B58EB"/>
    <w:rsid w:val="008B59DE"/>
    <w:rsid w:val="008B5B60"/>
    <w:rsid w:val="008B5F6D"/>
    <w:rsid w:val="008B5F93"/>
    <w:rsid w:val="008B610E"/>
    <w:rsid w:val="008B6210"/>
    <w:rsid w:val="008B6691"/>
    <w:rsid w:val="008B68A5"/>
    <w:rsid w:val="008B6E5B"/>
    <w:rsid w:val="008B7356"/>
    <w:rsid w:val="008B73FA"/>
    <w:rsid w:val="008B75C4"/>
    <w:rsid w:val="008B7C6C"/>
    <w:rsid w:val="008C02AD"/>
    <w:rsid w:val="008C0A65"/>
    <w:rsid w:val="008C0BCA"/>
    <w:rsid w:val="008C0BCF"/>
    <w:rsid w:val="008C0D0C"/>
    <w:rsid w:val="008C0D45"/>
    <w:rsid w:val="008C0FBB"/>
    <w:rsid w:val="008C114B"/>
    <w:rsid w:val="008C11BD"/>
    <w:rsid w:val="008C14B2"/>
    <w:rsid w:val="008C150B"/>
    <w:rsid w:val="008C1536"/>
    <w:rsid w:val="008C1787"/>
    <w:rsid w:val="008C1B6E"/>
    <w:rsid w:val="008C1E40"/>
    <w:rsid w:val="008C34AC"/>
    <w:rsid w:val="008C3595"/>
    <w:rsid w:val="008C3C94"/>
    <w:rsid w:val="008C3DBD"/>
    <w:rsid w:val="008C3E17"/>
    <w:rsid w:val="008C3E19"/>
    <w:rsid w:val="008C4033"/>
    <w:rsid w:val="008C4344"/>
    <w:rsid w:val="008C44F3"/>
    <w:rsid w:val="008C4C22"/>
    <w:rsid w:val="008C4E13"/>
    <w:rsid w:val="008C5106"/>
    <w:rsid w:val="008C53D1"/>
    <w:rsid w:val="008C5906"/>
    <w:rsid w:val="008C5B93"/>
    <w:rsid w:val="008C5C6A"/>
    <w:rsid w:val="008C60E6"/>
    <w:rsid w:val="008C66A5"/>
    <w:rsid w:val="008C68F3"/>
    <w:rsid w:val="008C71D8"/>
    <w:rsid w:val="008C7662"/>
    <w:rsid w:val="008C78D1"/>
    <w:rsid w:val="008D0941"/>
    <w:rsid w:val="008D13FC"/>
    <w:rsid w:val="008D18D1"/>
    <w:rsid w:val="008D1B90"/>
    <w:rsid w:val="008D2123"/>
    <w:rsid w:val="008D21BE"/>
    <w:rsid w:val="008D2358"/>
    <w:rsid w:val="008D2524"/>
    <w:rsid w:val="008D253D"/>
    <w:rsid w:val="008D2857"/>
    <w:rsid w:val="008D28D8"/>
    <w:rsid w:val="008D2C8D"/>
    <w:rsid w:val="008D2F20"/>
    <w:rsid w:val="008D39AE"/>
    <w:rsid w:val="008D3B42"/>
    <w:rsid w:val="008D4299"/>
    <w:rsid w:val="008D42D1"/>
    <w:rsid w:val="008D42D7"/>
    <w:rsid w:val="008D45D6"/>
    <w:rsid w:val="008D4809"/>
    <w:rsid w:val="008D48AA"/>
    <w:rsid w:val="008D4D12"/>
    <w:rsid w:val="008D4DF5"/>
    <w:rsid w:val="008D4F7C"/>
    <w:rsid w:val="008D5008"/>
    <w:rsid w:val="008D505D"/>
    <w:rsid w:val="008D510F"/>
    <w:rsid w:val="008D55C9"/>
    <w:rsid w:val="008D574A"/>
    <w:rsid w:val="008D5D17"/>
    <w:rsid w:val="008D5E65"/>
    <w:rsid w:val="008D5E6A"/>
    <w:rsid w:val="008D6424"/>
    <w:rsid w:val="008D65DA"/>
    <w:rsid w:val="008D6985"/>
    <w:rsid w:val="008D70F5"/>
    <w:rsid w:val="008D7111"/>
    <w:rsid w:val="008D7148"/>
    <w:rsid w:val="008D7BB8"/>
    <w:rsid w:val="008D7CE1"/>
    <w:rsid w:val="008D7D39"/>
    <w:rsid w:val="008E0115"/>
    <w:rsid w:val="008E0233"/>
    <w:rsid w:val="008E0864"/>
    <w:rsid w:val="008E0C5E"/>
    <w:rsid w:val="008E0D1E"/>
    <w:rsid w:val="008E0F04"/>
    <w:rsid w:val="008E16B9"/>
    <w:rsid w:val="008E19F6"/>
    <w:rsid w:val="008E2318"/>
    <w:rsid w:val="008E257F"/>
    <w:rsid w:val="008E28E3"/>
    <w:rsid w:val="008E2A4C"/>
    <w:rsid w:val="008E340A"/>
    <w:rsid w:val="008E34DD"/>
    <w:rsid w:val="008E3A56"/>
    <w:rsid w:val="008E41C0"/>
    <w:rsid w:val="008E45A0"/>
    <w:rsid w:val="008E45C1"/>
    <w:rsid w:val="008E47D7"/>
    <w:rsid w:val="008E4AB6"/>
    <w:rsid w:val="008E4AE5"/>
    <w:rsid w:val="008E4BDF"/>
    <w:rsid w:val="008E4FC4"/>
    <w:rsid w:val="008E559B"/>
    <w:rsid w:val="008E5606"/>
    <w:rsid w:val="008E568F"/>
    <w:rsid w:val="008E5BBB"/>
    <w:rsid w:val="008E647A"/>
    <w:rsid w:val="008E697E"/>
    <w:rsid w:val="008E6A9F"/>
    <w:rsid w:val="008E6CA7"/>
    <w:rsid w:val="008E6DE4"/>
    <w:rsid w:val="008E70E1"/>
    <w:rsid w:val="008E7315"/>
    <w:rsid w:val="008E742F"/>
    <w:rsid w:val="008E7D87"/>
    <w:rsid w:val="008F000A"/>
    <w:rsid w:val="008F0438"/>
    <w:rsid w:val="008F05AF"/>
    <w:rsid w:val="008F0B64"/>
    <w:rsid w:val="008F1392"/>
    <w:rsid w:val="008F1678"/>
    <w:rsid w:val="008F1981"/>
    <w:rsid w:val="008F1EC1"/>
    <w:rsid w:val="008F1FD6"/>
    <w:rsid w:val="008F2076"/>
    <w:rsid w:val="008F2240"/>
    <w:rsid w:val="008F233B"/>
    <w:rsid w:val="008F25E5"/>
    <w:rsid w:val="008F2C81"/>
    <w:rsid w:val="008F34C2"/>
    <w:rsid w:val="008F36FA"/>
    <w:rsid w:val="008F3B79"/>
    <w:rsid w:val="008F3CBA"/>
    <w:rsid w:val="008F4362"/>
    <w:rsid w:val="008F475D"/>
    <w:rsid w:val="008F489D"/>
    <w:rsid w:val="008F49A9"/>
    <w:rsid w:val="008F4B36"/>
    <w:rsid w:val="008F4F64"/>
    <w:rsid w:val="008F5824"/>
    <w:rsid w:val="008F5D56"/>
    <w:rsid w:val="008F602F"/>
    <w:rsid w:val="008F623E"/>
    <w:rsid w:val="008F6417"/>
    <w:rsid w:val="008F649D"/>
    <w:rsid w:val="008F69AB"/>
    <w:rsid w:val="008F6AB3"/>
    <w:rsid w:val="008F6E7D"/>
    <w:rsid w:val="008F6E93"/>
    <w:rsid w:val="008F6F14"/>
    <w:rsid w:val="008F74BF"/>
    <w:rsid w:val="008F74D7"/>
    <w:rsid w:val="008F761E"/>
    <w:rsid w:val="008F76D0"/>
    <w:rsid w:val="008F7AA2"/>
    <w:rsid w:val="008F7B79"/>
    <w:rsid w:val="008F7F25"/>
    <w:rsid w:val="00900174"/>
    <w:rsid w:val="0090053C"/>
    <w:rsid w:val="009006BB"/>
    <w:rsid w:val="009008A1"/>
    <w:rsid w:val="00900C73"/>
    <w:rsid w:val="00900C81"/>
    <w:rsid w:val="00900CF5"/>
    <w:rsid w:val="00900CF6"/>
    <w:rsid w:val="0090106E"/>
    <w:rsid w:val="009010F3"/>
    <w:rsid w:val="009017A5"/>
    <w:rsid w:val="0090202A"/>
    <w:rsid w:val="0090282B"/>
    <w:rsid w:val="00902ADE"/>
    <w:rsid w:val="00902CC0"/>
    <w:rsid w:val="00902F88"/>
    <w:rsid w:val="0090314F"/>
    <w:rsid w:val="00903798"/>
    <w:rsid w:val="00903B40"/>
    <w:rsid w:val="00903CFE"/>
    <w:rsid w:val="00903E1A"/>
    <w:rsid w:val="00904269"/>
    <w:rsid w:val="00904409"/>
    <w:rsid w:val="00904482"/>
    <w:rsid w:val="00904612"/>
    <w:rsid w:val="0090464D"/>
    <w:rsid w:val="00904655"/>
    <w:rsid w:val="00904707"/>
    <w:rsid w:val="009047C8"/>
    <w:rsid w:val="009047EF"/>
    <w:rsid w:val="0090486A"/>
    <w:rsid w:val="00904EF0"/>
    <w:rsid w:val="00905620"/>
    <w:rsid w:val="009068F5"/>
    <w:rsid w:val="00907193"/>
    <w:rsid w:val="00907543"/>
    <w:rsid w:val="00907CEC"/>
    <w:rsid w:val="00907D9A"/>
    <w:rsid w:val="0091023B"/>
    <w:rsid w:val="00910281"/>
    <w:rsid w:val="00910823"/>
    <w:rsid w:val="00910D50"/>
    <w:rsid w:val="00910FB8"/>
    <w:rsid w:val="00911181"/>
    <w:rsid w:val="0091152E"/>
    <w:rsid w:val="00911675"/>
    <w:rsid w:val="00911ACE"/>
    <w:rsid w:val="00911B4C"/>
    <w:rsid w:val="00911DDC"/>
    <w:rsid w:val="00911F70"/>
    <w:rsid w:val="00912346"/>
    <w:rsid w:val="00912666"/>
    <w:rsid w:val="0091271B"/>
    <w:rsid w:val="009129BD"/>
    <w:rsid w:val="009131A4"/>
    <w:rsid w:val="00913AD8"/>
    <w:rsid w:val="00913F86"/>
    <w:rsid w:val="00914427"/>
    <w:rsid w:val="00914441"/>
    <w:rsid w:val="00914615"/>
    <w:rsid w:val="00914618"/>
    <w:rsid w:val="009146A9"/>
    <w:rsid w:val="00914795"/>
    <w:rsid w:val="0091486F"/>
    <w:rsid w:val="009149C8"/>
    <w:rsid w:val="00914B8E"/>
    <w:rsid w:val="00914D30"/>
    <w:rsid w:val="00914E86"/>
    <w:rsid w:val="00915000"/>
    <w:rsid w:val="0091558F"/>
    <w:rsid w:val="00915839"/>
    <w:rsid w:val="009159E3"/>
    <w:rsid w:val="00915E10"/>
    <w:rsid w:val="00915E29"/>
    <w:rsid w:val="00915E4B"/>
    <w:rsid w:val="00916582"/>
    <w:rsid w:val="009169A4"/>
    <w:rsid w:val="00916D19"/>
    <w:rsid w:val="00917361"/>
    <w:rsid w:val="009175ED"/>
    <w:rsid w:val="009176B8"/>
    <w:rsid w:val="0092001B"/>
    <w:rsid w:val="00920D7C"/>
    <w:rsid w:val="00920DEA"/>
    <w:rsid w:val="00921DC5"/>
    <w:rsid w:val="009220B0"/>
    <w:rsid w:val="00923049"/>
    <w:rsid w:val="00923308"/>
    <w:rsid w:val="00923441"/>
    <w:rsid w:val="009236AF"/>
    <w:rsid w:val="00923AA1"/>
    <w:rsid w:val="00923BEB"/>
    <w:rsid w:val="00923CE9"/>
    <w:rsid w:val="00924104"/>
    <w:rsid w:val="0092416D"/>
    <w:rsid w:val="009241D7"/>
    <w:rsid w:val="00924239"/>
    <w:rsid w:val="009242BB"/>
    <w:rsid w:val="009243AB"/>
    <w:rsid w:val="00924AA1"/>
    <w:rsid w:val="00924BE3"/>
    <w:rsid w:val="00924E4F"/>
    <w:rsid w:val="00925062"/>
    <w:rsid w:val="00925515"/>
    <w:rsid w:val="0092567B"/>
    <w:rsid w:val="00925779"/>
    <w:rsid w:val="009258EE"/>
    <w:rsid w:val="00925E44"/>
    <w:rsid w:val="00925E9D"/>
    <w:rsid w:val="009262A5"/>
    <w:rsid w:val="009268C9"/>
    <w:rsid w:val="00926B19"/>
    <w:rsid w:val="0092718D"/>
    <w:rsid w:val="00927284"/>
    <w:rsid w:val="0092780A"/>
    <w:rsid w:val="009278E6"/>
    <w:rsid w:val="00927B11"/>
    <w:rsid w:val="00927F62"/>
    <w:rsid w:val="009308A8"/>
    <w:rsid w:val="00930B2A"/>
    <w:rsid w:val="00930C30"/>
    <w:rsid w:val="00930C4F"/>
    <w:rsid w:val="00930F75"/>
    <w:rsid w:val="0093107F"/>
    <w:rsid w:val="009313B8"/>
    <w:rsid w:val="00931833"/>
    <w:rsid w:val="00931936"/>
    <w:rsid w:val="00931CA2"/>
    <w:rsid w:val="00931D58"/>
    <w:rsid w:val="00932446"/>
    <w:rsid w:val="0093247F"/>
    <w:rsid w:val="00932630"/>
    <w:rsid w:val="00932698"/>
    <w:rsid w:val="009326B1"/>
    <w:rsid w:val="00932A35"/>
    <w:rsid w:val="00932DBC"/>
    <w:rsid w:val="00932E45"/>
    <w:rsid w:val="00932F17"/>
    <w:rsid w:val="00933036"/>
    <w:rsid w:val="00933597"/>
    <w:rsid w:val="00933983"/>
    <w:rsid w:val="009344E0"/>
    <w:rsid w:val="009348D2"/>
    <w:rsid w:val="00934C7C"/>
    <w:rsid w:val="0093511A"/>
    <w:rsid w:val="00935796"/>
    <w:rsid w:val="00935D2A"/>
    <w:rsid w:val="00935DB5"/>
    <w:rsid w:val="00935FD2"/>
    <w:rsid w:val="00936231"/>
    <w:rsid w:val="009377BC"/>
    <w:rsid w:val="00937ABD"/>
    <w:rsid w:val="009403BF"/>
    <w:rsid w:val="00940B5C"/>
    <w:rsid w:val="00940C24"/>
    <w:rsid w:val="00941087"/>
    <w:rsid w:val="00941517"/>
    <w:rsid w:val="00941646"/>
    <w:rsid w:val="00941859"/>
    <w:rsid w:val="00941AD5"/>
    <w:rsid w:val="00941E2D"/>
    <w:rsid w:val="00941ECC"/>
    <w:rsid w:val="00941EFD"/>
    <w:rsid w:val="00941F04"/>
    <w:rsid w:val="009427E0"/>
    <w:rsid w:val="00942A69"/>
    <w:rsid w:val="0094305B"/>
    <w:rsid w:val="009430EF"/>
    <w:rsid w:val="00943747"/>
    <w:rsid w:val="009437BE"/>
    <w:rsid w:val="0094395F"/>
    <w:rsid w:val="00943CA3"/>
    <w:rsid w:val="00944274"/>
    <w:rsid w:val="009446AE"/>
    <w:rsid w:val="009446B4"/>
    <w:rsid w:val="0094475C"/>
    <w:rsid w:val="009447B6"/>
    <w:rsid w:val="00944945"/>
    <w:rsid w:val="009449C5"/>
    <w:rsid w:val="00944CC3"/>
    <w:rsid w:val="00944FF0"/>
    <w:rsid w:val="0094501D"/>
    <w:rsid w:val="00945130"/>
    <w:rsid w:val="009458AE"/>
    <w:rsid w:val="00945B5E"/>
    <w:rsid w:val="00945CE2"/>
    <w:rsid w:val="00945E2D"/>
    <w:rsid w:val="00946120"/>
    <w:rsid w:val="009466F2"/>
    <w:rsid w:val="009471E0"/>
    <w:rsid w:val="009474DC"/>
    <w:rsid w:val="00947720"/>
    <w:rsid w:val="00947D50"/>
    <w:rsid w:val="00950A1B"/>
    <w:rsid w:val="0095138B"/>
    <w:rsid w:val="009514E4"/>
    <w:rsid w:val="00951AC3"/>
    <w:rsid w:val="00951F12"/>
    <w:rsid w:val="00951F52"/>
    <w:rsid w:val="009525FB"/>
    <w:rsid w:val="0095261D"/>
    <w:rsid w:val="00952A3E"/>
    <w:rsid w:val="00952AFE"/>
    <w:rsid w:val="00952BFA"/>
    <w:rsid w:val="00952F37"/>
    <w:rsid w:val="00953110"/>
    <w:rsid w:val="009533B7"/>
    <w:rsid w:val="00953615"/>
    <w:rsid w:val="00953879"/>
    <w:rsid w:val="009539B0"/>
    <w:rsid w:val="00953EBA"/>
    <w:rsid w:val="00953ED6"/>
    <w:rsid w:val="00954150"/>
    <w:rsid w:val="0095424C"/>
    <w:rsid w:val="00954569"/>
    <w:rsid w:val="009545CC"/>
    <w:rsid w:val="0095461C"/>
    <w:rsid w:val="00954750"/>
    <w:rsid w:val="00954C62"/>
    <w:rsid w:val="00954D0D"/>
    <w:rsid w:val="00955138"/>
    <w:rsid w:val="0095595E"/>
    <w:rsid w:val="00955A46"/>
    <w:rsid w:val="00955C54"/>
    <w:rsid w:val="00955FA9"/>
    <w:rsid w:val="00956002"/>
    <w:rsid w:val="00956037"/>
    <w:rsid w:val="009560C7"/>
    <w:rsid w:val="009561FB"/>
    <w:rsid w:val="00956316"/>
    <w:rsid w:val="00956565"/>
    <w:rsid w:val="00956743"/>
    <w:rsid w:val="009567D5"/>
    <w:rsid w:val="009569E6"/>
    <w:rsid w:val="00956B3E"/>
    <w:rsid w:val="00957115"/>
    <w:rsid w:val="009576C5"/>
    <w:rsid w:val="009577CE"/>
    <w:rsid w:val="0095790B"/>
    <w:rsid w:val="00957DF6"/>
    <w:rsid w:val="00957E1D"/>
    <w:rsid w:val="00960128"/>
    <w:rsid w:val="00960249"/>
    <w:rsid w:val="009603C6"/>
    <w:rsid w:val="00960764"/>
    <w:rsid w:val="00960E7D"/>
    <w:rsid w:val="009614C0"/>
    <w:rsid w:val="00961CFA"/>
    <w:rsid w:val="00961D89"/>
    <w:rsid w:val="00961ED2"/>
    <w:rsid w:val="00961F31"/>
    <w:rsid w:val="009621D2"/>
    <w:rsid w:val="00962267"/>
    <w:rsid w:val="009623B8"/>
    <w:rsid w:val="009623D6"/>
    <w:rsid w:val="0096267E"/>
    <w:rsid w:val="0096297A"/>
    <w:rsid w:val="00962DDD"/>
    <w:rsid w:val="00962F65"/>
    <w:rsid w:val="00963167"/>
    <w:rsid w:val="00963180"/>
    <w:rsid w:val="00963761"/>
    <w:rsid w:val="00963991"/>
    <w:rsid w:val="00963A03"/>
    <w:rsid w:val="009640D7"/>
    <w:rsid w:val="00964D8B"/>
    <w:rsid w:val="00964E18"/>
    <w:rsid w:val="00965393"/>
    <w:rsid w:val="00965751"/>
    <w:rsid w:val="00965AEF"/>
    <w:rsid w:val="0096616A"/>
    <w:rsid w:val="00966B0D"/>
    <w:rsid w:val="00966BF2"/>
    <w:rsid w:val="00967256"/>
    <w:rsid w:val="0096740E"/>
    <w:rsid w:val="00967862"/>
    <w:rsid w:val="00970551"/>
    <w:rsid w:val="00970BD6"/>
    <w:rsid w:val="00970C21"/>
    <w:rsid w:val="00970C49"/>
    <w:rsid w:val="00970D4B"/>
    <w:rsid w:val="00970D7B"/>
    <w:rsid w:val="00970DDD"/>
    <w:rsid w:val="00970F35"/>
    <w:rsid w:val="009710EF"/>
    <w:rsid w:val="00971598"/>
    <w:rsid w:val="009718FE"/>
    <w:rsid w:val="00971F0C"/>
    <w:rsid w:val="00972032"/>
    <w:rsid w:val="009724B3"/>
    <w:rsid w:val="0097250A"/>
    <w:rsid w:val="00972924"/>
    <w:rsid w:val="00972E9E"/>
    <w:rsid w:val="00973097"/>
    <w:rsid w:val="00973235"/>
    <w:rsid w:val="0097352E"/>
    <w:rsid w:val="00973854"/>
    <w:rsid w:val="0097390F"/>
    <w:rsid w:val="00973BA7"/>
    <w:rsid w:val="00973C4B"/>
    <w:rsid w:val="00973C97"/>
    <w:rsid w:val="00973E7D"/>
    <w:rsid w:val="00974ECD"/>
    <w:rsid w:val="00975001"/>
    <w:rsid w:val="009752F1"/>
    <w:rsid w:val="009756E4"/>
    <w:rsid w:val="00975863"/>
    <w:rsid w:val="009759EB"/>
    <w:rsid w:val="0097609E"/>
    <w:rsid w:val="009761AF"/>
    <w:rsid w:val="00976230"/>
    <w:rsid w:val="00976659"/>
    <w:rsid w:val="00977168"/>
    <w:rsid w:val="00977687"/>
    <w:rsid w:val="009779A1"/>
    <w:rsid w:val="00977EDE"/>
    <w:rsid w:val="00980095"/>
    <w:rsid w:val="0098027E"/>
    <w:rsid w:val="00980885"/>
    <w:rsid w:val="00980F43"/>
    <w:rsid w:val="00981671"/>
    <w:rsid w:val="009816B0"/>
    <w:rsid w:val="00981A1B"/>
    <w:rsid w:val="00981E9B"/>
    <w:rsid w:val="00982325"/>
    <w:rsid w:val="0098240D"/>
    <w:rsid w:val="00982A23"/>
    <w:rsid w:val="009831EF"/>
    <w:rsid w:val="00983B80"/>
    <w:rsid w:val="00983C94"/>
    <w:rsid w:val="009843CD"/>
    <w:rsid w:val="00984519"/>
    <w:rsid w:val="00984879"/>
    <w:rsid w:val="00984A5F"/>
    <w:rsid w:val="00984A8B"/>
    <w:rsid w:val="00984F93"/>
    <w:rsid w:val="0098508C"/>
    <w:rsid w:val="009851EE"/>
    <w:rsid w:val="0098533B"/>
    <w:rsid w:val="00985B09"/>
    <w:rsid w:val="00985CBE"/>
    <w:rsid w:val="00986480"/>
    <w:rsid w:val="0098649A"/>
    <w:rsid w:val="0098664F"/>
    <w:rsid w:val="00986854"/>
    <w:rsid w:val="00986ADA"/>
    <w:rsid w:val="009877D0"/>
    <w:rsid w:val="0098794D"/>
    <w:rsid w:val="00987D83"/>
    <w:rsid w:val="00990454"/>
    <w:rsid w:val="00990565"/>
    <w:rsid w:val="00990D15"/>
    <w:rsid w:val="00990D1B"/>
    <w:rsid w:val="009914A3"/>
    <w:rsid w:val="0099161B"/>
    <w:rsid w:val="009916C1"/>
    <w:rsid w:val="00991912"/>
    <w:rsid w:val="00991BAB"/>
    <w:rsid w:val="00991CC4"/>
    <w:rsid w:val="009928FE"/>
    <w:rsid w:val="00992979"/>
    <w:rsid w:val="00992B4A"/>
    <w:rsid w:val="00992D18"/>
    <w:rsid w:val="00992DBF"/>
    <w:rsid w:val="00992E0B"/>
    <w:rsid w:val="00993191"/>
    <w:rsid w:val="00994E4C"/>
    <w:rsid w:val="00995B18"/>
    <w:rsid w:val="00996647"/>
    <w:rsid w:val="009966EA"/>
    <w:rsid w:val="009969B2"/>
    <w:rsid w:val="00996C66"/>
    <w:rsid w:val="00996E61"/>
    <w:rsid w:val="009970B7"/>
    <w:rsid w:val="00997CD8"/>
    <w:rsid w:val="00997EAE"/>
    <w:rsid w:val="00997ED7"/>
    <w:rsid w:val="009A0149"/>
    <w:rsid w:val="009A046D"/>
    <w:rsid w:val="009A07A8"/>
    <w:rsid w:val="009A0A0A"/>
    <w:rsid w:val="009A0B07"/>
    <w:rsid w:val="009A0C75"/>
    <w:rsid w:val="009A0CF3"/>
    <w:rsid w:val="009A10A4"/>
    <w:rsid w:val="009A1158"/>
    <w:rsid w:val="009A1228"/>
    <w:rsid w:val="009A15ED"/>
    <w:rsid w:val="009A1641"/>
    <w:rsid w:val="009A1B98"/>
    <w:rsid w:val="009A2F04"/>
    <w:rsid w:val="009A3115"/>
    <w:rsid w:val="009A330A"/>
    <w:rsid w:val="009A33AF"/>
    <w:rsid w:val="009A36EE"/>
    <w:rsid w:val="009A385E"/>
    <w:rsid w:val="009A41B9"/>
    <w:rsid w:val="009A41EF"/>
    <w:rsid w:val="009A4331"/>
    <w:rsid w:val="009A438B"/>
    <w:rsid w:val="009A4981"/>
    <w:rsid w:val="009A4B26"/>
    <w:rsid w:val="009A4C62"/>
    <w:rsid w:val="009A4F01"/>
    <w:rsid w:val="009A55E0"/>
    <w:rsid w:val="009A55E3"/>
    <w:rsid w:val="009A56EE"/>
    <w:rsid w:val="009A5C71"/>
    <w:rsid w:val="009A66A9"/>
    <w:rsid w:val="009A6E2F"/>
    <w:rsid w:val="009A75C1"/>
    <w:rsid w:val="009A79F0"/>
    <w:rsid w:val="009A7B2F"/>
    <w:rsid w:val="009B0207"/>
    <w:rsid w:val="009B0CD8"/>
    <w:rsid w:val="009B0E6D"/>
    <w:rsid w:val="009B0FBA"/>
    <w:rsid w:val="009B1623"/>
    <w:rsid w:val="009B187B"/>
    <w:rsid w:val="009B1AA4"/>
    <w:rsid w:val="009B1C32"/>
    <w:rsid w:val="009B2166"/>
    <w:rsid w:val="009B2596"/>
    <w:rsid w:val="009B26D7"/>
    <w:rsid w:val="009B292B"/>
    <w:rsid w:val="009B2AEB"/>
    <w:rsid w:val="009B2EB3"/>
    <w:rsid w:val="009B2F9F"/>
    <w:rsid w:val="009B31C0"/>
    <w:rsid w:val="009B36F3"/>
    <w:rsid w:val="009B3A39"/>
    <w:rsid w:val="009B3C6E"/>
    <w:rsid w:val="009B4064"/>
    <w:rsid w:val="009B4098"/>
    <w:rsid w:val="009B47F4"/>
    <w:rsid w:val="009B4A33"/>
    <w:rsid w:val="009B4BC5"/>
    <w:rsid w:val="009B4C3A"/>
    <w:rsid w:val="009B4D05"/>
    <w:rsid w:val="009B52DC"/>
    <w:rsid w:val="009B54F7"/>
    <w:rsid w:val="009B5709"/>
    <w:rsid w:val="009B57D2"/>
    <w:rsid w:val="009B5A96"/>
    <w:rsid w:val="009B5F14"/>
    <w:rsid w:val="009B69FA"/>
    <w:rsid w:val="009B6D47"/>
    <w:rsid w:val="009B6EAC"/>
    <w:rsid w:val="009B7163"/>
    <w:rsid w:val="009B73CB"/>
    <w:rsid w:val="009B7669"/>
    <w:rsid w:val="009B785D"/>
    <w:rsid w:val="009B7E01"/>
    <w:rsid w:val="009C0071"/>
    <w:rsid w:val="009C00D9"/>
    <w:rsid w:val="009C0157"/>
    <w:rsid w:val="009C0322"/>
    <w:rsid w:val="009C07B4"/>
    <w:rsid w:val="009C0B5C"/>
    <w:rsid w:val="009C0B5E"/>
    <w:rsid w:val="009C0D27"/>
    <w:rsid w:val="009C0D61"/>
    <w:rsid w:val="009C0FB2"/>
    <w:rsid w:val="009C130B"/>
    <w:rsid w:val="009C174D"/>
    <w:rsid w:val="009C17CB"/>
    <w:rsid w:val="009C1A95"/>
    <w:rsid w:val="009C1BFC"/>
    <w:rsid w:val="009C27A1"/>
    <w:rsid w:val="009C2A24"/>
    <w:rsid w:val="009C3267"/>
    <w:rsid w:val="009C3B43"/>
    <w:rsid w:val="009C3B4E"/>
    <w:rsid w:val="009C498F"/>
    <w:rsid w:val="009C502C"/>
    <w:rsid w:val="009C5F07"/>
    <w:rsid w:val="009C5FF1"/>
    <w:rsid w:val="009C60C5"/>
    <w:rsid w:val="009C6295"/>
    <w:rsid w:val="009C6A1E"/>
    <w:rsid w:val="009C6B02"/>
    <w:rsid w:val="009C727C"/>
    <w:rsid w:val="009C7A87"/>
    <w:rsid w:val="009C7D66"/>
    <w:rsid w:val="009D0245"/>
    <w:rsid w:val="009D04B6"/>
    <w:rsid w:val="009D04E6"/>
    <w:rsid w:val="009D07A7"/>
    <w:rsid w:val="009D0B9B"/>
    <w:rsid w:val="009D0E51"/>
    <w:rsid w:val="009D0F35"/>
    <w:rsid w:val="009D1197"/>
    <w:rsid w:val="009D1315"/>
    <w:rsid w:val="009D1367"/>
    <w:rsid w:val="009D1565"/>
    <w:rsid w:val="009D18B6"/>
    <w:rsid w:val="009D2094"/>
    <w:rsid w:val="009D23FE"/>
    <w:rsid w:val="009D2749"/>
    <w:rsid w:val="009D2785"/>
    <w:rsid w:val="009D280A"/>
    <w:rsid w:val="009D2C06"/>
    <w:rsid w:val="009D2F8B"/>
    <w:rsid w:val="009D3A47"/>
    <w:rsid w:val="009D3B31"/>
    <w:rsid w:val="009D4020"/>
    <w:rsid w:val="009D41FA"/>
    <w:rsid w:val="009D4509"/>
    <w:rsid w:val="009D4829"/>
    <w:rsid w:val="009D4895"/>
    <w:rsid w:val="009D4D4F"/>
    <w:rsid w:val="009D520B"/>
    <w:rsid w:val="009D70EC"/>
    <w:rsid w:val="009D7D13"/>
    <w:rsid w:val="009D7DC8"/>
    <w:rsid w:val="009E0EC0"/>
    <w:rsid w:val="009E11DF"/>
    <w:rsid w:val="009E12B5"/>
    <w:rsid w:val="009E1454"/>
    <w:rsid w:val="009E1B82"/>
    <w:rsid w:val="009E21F3"/>
    <w:rsid w:val="009E2329"/>
    <w:rsid w:val="009E2378"/>
    <w:rsid w:val="009E24B8"/>
    <w:rsid w:val="009E2717"/>
    <w:rsid w:val="009E292D"/>
    <w:rsid w:val="009E301B"/>
    <w:rsid w:val="009E33C9"/>
    <w:rsid w:val="009E3647"/>
    <w:rsid w:val="009E37CF"/>
    <w:rsid w:val="009E3946"/>
    <w:rsid w:val="009E3A41"/>
    <w:rsid w:val="009E3AEE"/>
    <w:rsid w:val="009E3B65"/>
    <w:rsid w:val="009E43E8"/>
    <w:rsid w:val="009E4505"/>
    <w:rsid w:val="009E4A62"/>
    <w:rsid w:val="009E4B49"/>
    <w:rsid w:val="009E5118"/>
    <w:rsid w:val="009E5140"/>
    <w:rsid w:val="009E54E9"/>
    <w:rsid w:val="009E58C6"/>
    <w:rsid w:val="009E669B"/>
    <w:rsid w:val="009E6AF4"/>
    <w:rsid w:val="009E6EA5"/>
    <w:rsid w:val="009E71BE"/>
    <w:rsid w:val="009E74A7"/>
    <w:rsid w:val="009E7C8A"/>
    <w:rsid w:val="009E7EE6"/>
    <w:rsid w:val="009E7F59"/>
    <w:rsid w:val="009F011B"/>
    <w:rsid w:val="009F0191"/>
    <w:rsid w:val="009F102A"/>
    <w:rsid w:val="009F1188"/>
    <w:rsid w:val="009F1239"/>
    <w:rsid w:val="009F16D4"/>
    <w:rsid w:val="009F184F"/>
    <w:rsid w:val="009F1B7F"/>
    <w:rsid w:val="009F21BF"/>
    <w:rsid w:val="009F21CC"/>
    <w:rsid w:val="009F23A1"/>
    <w:rsid w:val="009F27C0"/>
    <w:rsid w:val="009F2800"/>
    <w:rsid w:val="009F2E15"/>
    <w:rsid w:val="009F2EB7"/>
    <w:rsid w:val="009F3A51"/>
    <w:rsid w:val="009F3AC8"/>
    <w:rsid w:val="009F3E33"/>
    <w:rsid w:val="009F3F97"/>
    <w:rsid w:val="009F3F9F"/>
    <w:rsid w:val="009F49D8"/>
    <w:rsid w:val="009F4E6C"/>
    <w:rsid w:val="009F59AA"/>
    <w:rsid w:val="009F6447"/>
    <w:rsid w:val="009F652B"/>
    <w:rsid w:val="009F6599"/>
    <w:rsid w:val="009F66D6"/>
    <w:rsid w:val="009F6797"/>
    <w:rsid w:val="009F71DC"/>
    <w:rsid w:val="009F753B"/>
    <w:rsid w:val="009F76EA"/>
    <w:rsid w:val="009F782E"/>
    <w:rsid w:val="009F79D7"/>
    <w:rsid w:val="009F7B74"/>
    <w:rsid w:val="00A0009C"/>
    <w:rsid w:val="00A00166"/>
    <w:rsid w:val="00A005FC"/>
    <w:rsid w:val="00A008F9"/>
    <w:rsid w:val="00A00AC0"/>
    <w:rsid w:val="00A00AEB"/>
    <w:rsid w:val="00A00FD3"/>
    <w:rsid w:val="00A018DC"/>
    <w:rsid w:val="00A01B27"/>
    <w:rsid w:val="00A01D67"/>
    <w:rsid w:val="00A01E26"/>
    <w:rsid w:val="00A01F3C"/>
    <w:rsid w:val="00A0260B"/>
    <w:rsid w:val="00A02772"/>
    <w:rsid w:val="00A02989"/>
    <w:rsid w:val="00A02FCE"/>
    <w:rsid w:val="00A030DF"/>
    <w:rsid w:val="00A031DF"/>
    <w:rsid w:val="00A03433"/>
    <w:rsid w:val="00A0383B"/>
    <w:rsid w:val="00A0395D"/>
    <w:rsid w:val="00A03C8E"/>
    <w:rsid w:val="00A03E73"/>
    <w:rsid w:val="00A04391"/>
    <w:rsid w:val="00A0468C"/>
    <w:rsid w:val="00A04EEE"/>
    <w:rsid w:val="00A05179"/>
    <w:rsid w:val="00A054D7"/>
    <w:rsid w:val="00A05744"/>
    <w:rsid w:val="00A059D9"/>
    <w:rsid w:val="00A05A28"/>
    <w:rsid w:val="00A05AED"/>
    <w:rsid w:val="00A061F4"/>
    <w:rsid w:val="00A0656D"/>
    <w:rsid w:val="00A069ED"/>
    <w:rsid w:val="00A069F5"/>
    <w:rsid w:val="00A06AA2"/>
    <w:rsid w:val="00A07550"/>
    <w:rsid w:val="00A1023D"/>
    <w:rsid w:val="00A10315"/>
    <w:rsid w:val="00A105DA"/>
    <w:rsid w:val="00A106E0"/>
    <w:rsid w:val="00A10989"/>
    <w:rsid w:val="00A10B6E"/>
    <w:rsid w:val="00A11D73"/>
    <w:rsid w:val="00A12084"/>
    <w:rsid w:val="00A120F4"/>
    <w:rsid w:val="00A12581"/>
    <w:rsid w:val="00A12991"/>
    <w:rsid w:val="00A12DD8"/>
    <w:rsid w:val="00A1322B"/>
    <w:rsid w:val="00A1328D"/>
    <w:rsid w:val="00A134B4"/>
    <w:rsid w:val="00A134CA"/>
    <w:rsid w:val="00A13ED0"/>
    <w:rsid w:val="00A1411C"/>
    <w:rsid w:val="00A14488"/>
    <w:rsid w:val="00A14CAF"/>
    <w:rsid w:val="00A14D81"/>
    <w:rsid w:val="00A15145"/>
    <w:rsid w:val="00A1534C"/>
    <w:rsid w:val="00A15A61"/>
    <w:rsid w:val="00A15B09"/>
    <w:rsid w:val="00A15E02"/>
    <w:rsid w:val="00A15F0F"/>
    <w:rsid w:val="00A1634F"/>
    <w:rsid w:val="00A16462"/>
    <w:rsid w:val="00A165FE"/>
    <w:rsid w:val="00A16835"/>
    <w:rsid w:val="00A16914"/>
    <w:rsid w:val="00A1694B"/>
    <w:rsid w:val="00A16DD9"/>
    <w:rsid w:val="00A17244"/>
    <w:rsid w:val="00A1728A"/>
    <w:rsid w:val="00A17473"/>
    <w:rsid w:val="00A17784"/>
    <w:rsid w:val="00A17C4C"/>
    <w:rsid w:val="00A20189"/>
    <w:rsid w:val="00A2051D"/>
    <w:rsid w:val="00A20822"/>
    <w:rsid w:val="00A20C8A"/>
    <w:rsid w:val="00A20D98"/>
    <w:rsid w:val="00A20FEF"/>
    <w:rsid w:val="00A21C57"/>
    <w:rsid w:val="00A2203C"/>
    <w:rsid w:val="00A22287"/>
    <w:rsid w:val="00A22B44"/>
    <w:rsid w:val="00A22C2B"/>
    <w:rsid w:val="00A22D19"/>
    <w:rsid w:val="00A22E92"/>
    <w:rsid w:val="00A23AD4"/>
    <w:rsid w:val="00A23EDF"/>
    <w:rsid w:val="00A241F5"/>
    <w:rsid w:val="00A248C7"/>
    <w:rsid w:val="00A24BD7"/>
    <w:rsid w:val="00A24EFE"/>
    <w:rsid w:val="00A24F80"/>
    <w:rsid w:val="00A24FC0"/>
    <w:rsid w:val="00A2538A"/>
    <w:rsid w:val="00A25473"/>
    <w:rsid w:val="00A25495"/>
    <w:rsid w:val="00A256C6"/>
    <w:rsid w:val="00A2586F"/>
    <w:rsid w:val="00A25AC5"/>
    <w:rsid w:val="00A25F45"/>
    <w:rsid w:val="00A2655D"/>
    <w:rsid w:val="00A26C25"/>
    <w:rsid w:val="00A270B1"/>
    <w:rsid w:val="00A274C6"/>
    <w:rsid w:val="00A274E7"/>
    <w:rsid w:val="00A27841"/>
    <w:rsid w:val="00A27997"/>
    <w:rsid w:val="00A30748"/>
    <w:rsid w:val="00A3093B"/>
    <w:rsid w:val="00A30E7A"/>
    <w:rsid w:val="00A30F82"/>
    <w:rsid w:val="00A31193"/>
    <w:rsid w:val="00A315A7"/>
    <w:rsid w:val="00A31AF5"/>
    <w:rsid w:val="00A31B83"/>
    <w:rsid w:val="00A31CC7"/>
    <w:rsid w:val="00A31CC9"/>
    <w:rsid w:val="00A31FBB"/>
    <w:rsid w:val="00A323B8"/>
    <w:rsid w:val="00A32460"/>
    <w:rsid w:val="00A32F02"/>
    <w:rsid w:val="00A3327D"/>
    <w:rsid w:val="00A33295"/>
    <w:rsid w:val="00A33426"/>
    <w:rsid w:val="00A33AAC"/>
    <w:rsid w:val="00A33AE4"/>
    <w:rsid w:val="00A33D1B"/>
    <w:rsid w:val="00A33F28"/>
    <w:rsid w:val="00A340C5"/>
    <w:rsid w:val="00A346F9"/>
    <w:rsid w:val="00A34964"/>
    <w:rsid w:val="00A34E0E"/>
    <w:rsid w:val="00A35235"/>
    <w:rsid w:val="00A355DA"/>
    <w:rsid w:val="00A36DD6"/>
    <w:rsid w:val="00A372C8"/>
    <w:rsid w:val="00A3734A"/>
    <w:rsid w:val="00A3746D"/>
    <w:rsid w:val="00A3785F"/>
    <w:rsid w:val="00A37960"/>
    <w:rsid w:val="00A37A26"/>
    <w:rsid w:val="00A37E11"/>
    <w:rsid w:val="00A4017F"/>
    <w:rsid w:val="00A402DA"/>
    <w:rsid w:val="00A40868"/>
    <w:rsid w:val="00A419D9"/>
    <w:rsid w:val="00A41AE7"/>
    <w:rsid w:val="00A41B1F"/>
    <w:rsid w:val="00A41B92"/>
    <w:rsid w:val="00A41CAA"/>
    <w:rsid w:val="00A41DF3"/>
    <w:rsid w:val="00A41E3A"/>
    <w:rsid w:val="00A42023"/>
    <w:rsid w:val="00A421A6"/>
    <w:rsid w:val="00A422E1"/>
    <w:rsid w:val="00A42895"/>
    <w:rsid w:val="00A43290"/>
    <w:rsid w:val="00A435BA"/>
    <w:rsid w:val="00A4371B"/>
    <w:rsid w:val="00A4468D"/>
    <w:rsid w:val="00A45415"/>
    <w:rsid w:val="00A4565C"/>
    <w:rsid w:val="00A45EF9"/>
    <w:rsid w:val="00A460DE"/>
    <w:rsid w:val="00A46D46"/>
    <w:rsid w:val="00A47239"/>
    <w:rsid w:val="00A47E86"/>
    <w:rsid w:val="00A500B9"/>
    <w:rsid w:val="00A502C5"/>
    <w:rsid w:val="00A5052A"/>
    <w:rsid w:val="00A50900"/>
    <w:rsid w:val="00A509A8"/>
    <w:rsid w:val="00A50B4A"/>
    <w:rsid w:val="00A5192E"/>
    <w:rsid w:val="00A51A31"/>
    <w:rsid w:val="00A51E55"/>
    <w:rsid w:val="00A51F53"/>
    <w:rsid w:val="00A521A2"/>
    <w:rsid w:val="00A525FB"/>
    <w:rsid w:val="00A5293F"/>
    <w:rsid w:val="00A5298F"/>
    <w:rsid w:val="00A534F2"/>
    <w:rsid w:val="00A53512"/>
    <w:rsid w:val="00A54677"/>
    <w:rsid w:val="00A546F4"/>
    <w:rsid w:val="00A54BAD"/>
    <w:rsid w:val="00A54D7E"/>
    <w:rsid w:val="00A55148"/>
    <w:rsid w:val="00A5523A"/>
    <w:rsid w:val="00A55507"/>
    <w:rsid w:val="00A555F4"/>
    <w:rsid w:val="00A55915"/>
    <w:rsid w:val="00A55E99"/>
    <w:rsid w:val="00A55FFD"/>
    <w:rsid w:val="00A56307"/>
    <w:rsid w:val="00A56592"/>
    <w:rsid w:val="00A56793"/>
    <w:rsid w:val="00A56D9C"/>
    <w:rsid w:val="00A56E6E"/>
    <w:rsid w:val="00A56FFB"/>
    <w:rsid w:val="00A570B2"/>
    <w:rsid w:val="00A5715F"/>
    <w:rsid w:val="00A575D8"/>
    <w:rsid w:val="00A57B8C"/>
    <w:rsid w:val="00A60BFD"/>
    <w:rsid w:val="00A6280E"/>
    <w:rsid w:val="00A62821"/>
    <w:rsid w:val="00A6283B"/>
    <w:rsid w:val="00A62F7D"/>
    <w:rsid w:val="00A63F00"/>
    <w:rsid w:val="00A63F8D"/>
    <w:rsid w:val="00A6473D"/>
    <w:rsid w:val="00A6482A"/>
    <w:rsid w:val="00A649BE"/>
    <w:rsid w:val="00A64F91"/>
    <w:rsid w:val="00A64FAF"/>
    <w:rsid w:val="00A650CB"/>
    <w:rsid w:val="00A6521C"/>
    <w:rsid w:val="00A6581B"/>
    <w:rsid w:val="00A65AB3"/>
    <w:rsid w:val="00A65B94"/>
    <w:rsid w:val="00A66451"/>
    <w:rsid w:val="00A6685A"/>
    <w:rsid w:val="00A6724F"/>
    <w:rsid w:val="00A67656"/>
    <w:rsid w:val="00A67730"/>
    <w:rsid w:val="00A67855"/>
    <w:rsid w:val="00A678EE"/>
    <w:rsid w:val="00A679CD"/>
    <w:rsid w:val="00A67C9A"/>
    <w:rsid w:val="00A67FAD"/>
    <w:rsid w:val="00A7013C"/>
    <w:rsid w:val="00A7032F"/>
    <w:rsid w:val="00A70C17"/>
    <w:rsid w:val="00A710C7"/>
    <w:rsid w:val="00A713E1"/>
    <w:rsid w:val="00A716CA"/>
    <w:rsid w:val="00A71778"/>
    <w:rsid w:val="00A71794"/>
    <w:rsid w:val="00A71A00"/>
    <w:rsid w:val="00A71FA7"/>
    <w:rsid w:val="00A72474"/>
    <w:rsid w:val="00A7265F"/>
    <w:rsid w:val="00A7270F"/>
    <w:rsid w:val="00A729D4"/>
    <w:rsid w:val="00A72A16"/>
    <w:rsid w:val="00A72ACB"/>
    <w:rsid w:val="00A72DFE"/>
    <w:rsid w:val="00A72F52"/>
    <w:rsid w:val="00A734C1"/>
    <w:rsid w:val="00A74D35"/>
    <w:rsid w:val="00A74D38"/>
    <w:rsid w:val="00A752A2"/>
    <w:rsid w:val="00A75A95"/>
    <w:rsid w:val="00A75CF4"/>
    <w:rsid w:val="00A75D69"/>
    <w:rsid w:val="00A75DB7"/>
    <w:rsid w:val="00A76155"/>
    <w:rsid w:val="00A76163"/>
    <w:rsid w:val="00A76386"/>
    <w:rsid w:val="00A76B45"/>
    <w:rsid w:val="00A77582"/>
    <w:rsid w:val="00A776A4"/>
    <w:rsid w:val="00A77976"/>
    <w:rsid w:val="00A77A47"/>
    <w:rsid w:val="00A77A7B"/>
    <w:rsid w:val="00A77CA3"/>
    <w:rsid w:val="00A80121"/>
    <w:rsid w:val="00A8020A"/>
    <w:rsid w:val="00A80243"/>
    <w:rsid w:val="00A8053B"/>
    <w:rsid w:val="00A80777"/>
    <w:rsid w:val="00A808D4"/>
    <w:rsid w:val="00A8096C"/>
    <w:rsid w:val="00A80BC2"/>
    <w:rsid w:val="00A80BF6"/>
    <w:rsid w:val="00A80D02"/>
    <w:rsid w:val="00A80D56"/>
    <w:rsid w:val="00A816A5"/>
    <w:rsid w:val="00A81964"/>
    <w:rsid w:val="00A81C52"/>
    <w:rsid w:val="00A81DB2"/>
    <w:rsid w:val="00A81DBD"/>
    <w:rsid w:val="00A82812"/>
    <w:rsid w:val="00A82A2A"/>
    <w:rsid w:val="00A82B73"/>
    <w:rsid w:val="00A82C44"/>
    <w:rsid w:val="00A82EBF"/>
    <w:rsid w:val="00A83413"/>
    <w:rsid w:val="00A83440"/>
    <w:rsid w:val="00A83490"/>
    <w:rsid w:val="00A83A24"/>
    <w:rsid w:val="00A83A31"/>
    <w:rsid w:val="00A8433A"/>
    <w:rsid w:val="00A84770"/>
    <w:rsid w:val="00A847CF"/>
    <w:rsid w:val="00A84D2A"/>
    <w:rsid w:val="00A84DEE"/>
    <w:rsid w:val="00A85262"/>
    <w:rsid w:val="00A85466"/>
    <w:rsid w:val="00A85664"/>
    <w:rsid w:val="00A85A38"/>
    <w:rsid w:val="00A85CF9"/>
    <w:rsid w:val="00A86DF9"/>
    <w:rsid w:val="00A86F7A"/>
    <w:rsid w:val="00A871F5"/>
    <w:rsid w:val="00A8721F"/>
    <w:rsid w:val="00A8742A"/>
    <w:rsid w:val="00A874B2"/>
    <w:rsid w:val="00A87E04"/>
    <w:rsid w:val="00A87F00"/>
    <w:rsid w:val="00A901B2"/>
    <w:rsid w:val="00A903C6"/>
    <w:rsid w:val="00A90525"/>
    <w:rsid w:val="00A9101C"/>
    <w:rsid w:val="00A911D9"/>
    <w:rsid w:val="00A913F7"/>
    <w:rsid w:val="00A915AA"/>
    <w:rsid w:val="00A91A11"/>
    <w:rsid w:val="00A91AD4"/>
    <w:rsid w:val="00A926E9"/>
    <w:rsid w:val="00A927AA"/>
    <w:rsid w:val="00A92A2A"/>
    <w:rsid w:val="00A92D4C"/>
    <w:rsid w:val="00A92EA3"/>
    <w:rsid w:val="00A932C6"/>
    <w:rsid w:val="00A939EF"/>
    <w:rsid w:val="00A93C47"/>
    <w:rsid w:val="00A93DE4"/>
    <w:rsid w:val="00A93E51"/>
    <w:rsid w:val="00A93EE6"/>
    <w:rsid w:val="00A93F2B"/>
    <w:rsid w:val="00A93F44"/>
    <w:rsid w:val="00A93F7D"/>
    <w:rsid w:val="00A94135"/>
    <w:rsid w:val="00A94220"/>
    <w:rsid w:val="00A9465A"/>
    <w:rsid w:val="00A94711"/>
    <w:rsid w:val="00A947B4"/>
    <w:rsid w:val="00A948D3"/>
    <w:rsid w:val="00A94CB7"/>
    <w:rsid w:val="00A94FA3"/>
    <w:rsid w:val="00A9523B"/>
    <w:rsid w:val="00A9534A"/>
    <w:rsid w:val="00A960C0"/>
    <w:rsid w:val="00A963BF"/>
    <w:rsid w:val="00A967CE"/>
    <w:rsid w:val="00A97315"/>
    <w:rsid w:val="00A9736A"/>
    <w:rsid w:val="00A97558"/>
    <w:rsid w:val="00A97644"/>
    <w:rsid w:val="00A97937"/>
    <w:rsid w:val="00A97B47"/>
    <w:rsid w:val="00A97CCF"/>
    <w:rsid w:val="00A97F43"/>
    <w:rsid w:val="00AA08DF"/>
    <w:rsid w:val="00AA0921"/>
    <w:rsid w:val="00AA0F20"/>
    <w:rsid w:val="00AA1414"/>
    <w:rsid w:val="00AA1763"/>
    <w:rsid w:val="00AA189C"/>
    <w:rsid w:val="00AA1950"/>
    <w:rsid w:val="00AA1E05"/>
    <w:rsid w:val="00AA1E21"/>
    <w:rsid w:val="00AA2037"/>
    <w:rsid w:val="00AA2085"/>
    <w:rsid w:val="00AA2307"/>
    <w:rsid w:val="00AA259A"/>
    <w:rsid w:val="00AA2C1B"/>
    <w:rsid w:val="00AA2F16"/>
    <w:rsid w:val="00AA30FE"/>
    <w:rsid w:val="00AA316B"/>
    <w:rsid w:val="00AA332A"/>
    <w:rsid w:val="00AA36C6"/>
    <w:rsid w:val="00AA372D"/>
    <w:rsid w:val="00AA41CA"/>
    <w:rsid w:val="00AA42C0"/>
    <w:rsid w:val="00AA42C9"/>
    <w:rsid w:val="00AA4593"/>
    <w:rsid w:val="00AA4805"/>
    <w:rsid w:val="00AA4AA6"/>
    <w:rsid w:val="00AA4C1D"/>
    <w:rsid w:val="00AA4CCF"/>
    <w:rsid w:val="00AA5675"/>
    <w:rsid w:val="00AA580C"/>
    <w:rsid w:val="00AA5844"/>
    <w:rsid w:val="00AA5B96"/>
    <w:rsid w:val="00AA5E61"/>
    <w:rsid w:val="00AA61AD"/>
    <w:rsid w:val="00AA66B6"/>
    <w:rsid w:val="00AA67B9"/>
    <w:rsid w:val="00AA67CF"/>
    <w:rsid w:val="00AA6FFC"/>
    <w:rsid w:val="00AA70D3"/>
    <w:rsid w:val="00AA72D1"/>
    <w:rsid w:val="00AA73E6"/>
    <w:rsid w:val="00AA7A96"/>
    <w:rsid w:val="00AA7D35"/>
    <w:rsid w:val="00AA7E51"/>
    <w:rsid w:val="00AB03A6"/>
    <w:rsid w:val="00AB04FC"/>
    <w:rsid w:val="00AB08A6"/>
    <w:rsid w:val="00AB0D6B"/>
    <w:rsid w:val="00AB0E97"/>
    <w:rsid w:val="00AB0F69"/>
    <w:rsid w:val="00AB0FA2"/>
    <w:rsid w:val="00AB1313"/>
    <w:rsid w:val="00AB140A"/>
    <w:rsid w:val="00AB1FBB"/>
    <w:rsid w:val="00AB21FD"/>
    <w:rsid w:val="00AB23E6"/>
    <w:rsid w:val="00AB28A9"/>
    <w:rsid w:val="00AB2AAA"/>
    <w:rsid w:val="00AB2B4A"/>
    <w:rsid w:val="00AB388D"/>
    <w:rsid w:val="00AB3B6D"/>
    <w:rsid w:val="00AB3D01"/>
    <w:rsid w:val="00AB43C3"/>
    <w:rsid w:val="00AB43F6"/>
    <w:rsid w:val="00AB47ED"/>
    <w:rsid w:val="00AB4873"/>
    <w:rsid w:val="00AB4C46"/>
    <w:rsid w:val="00AB5DB0"/>
    <w:rsid w:val="00AB65E2"/>
    <w:rsid w:val="00AB66AF"/>
    <w:rsid w:val="00AB6F3D"/>
    <w:rsid w:val="00AB703F"/>
    <w:rsid w:val="00AB7964"/>
    <w:rsid w:val="00AB7C91"/>
    <w:rsid w:val="00AB7ECA"/>
    <w:rsid w:val="00AC00C8"/>
    <w:rsid w:val="00AC025D"/>
    <w:rsid w:val="00AC0649"/>
    <w:rsid w:val="00AC07B6"/>
    <w:rsid w:val="00AC07DD"/>
    <w:rsid w:val="00AC0F7D"/>
    <w:rsid w:val="00AC11B0"/>
    <w:rsid w:val="00AC2516"/>
    <w:rsid w:val="00AC2A7C"/>
    <w:rsid w:val="00AC2BCB"/>
    <w:rsid w:val="00AC361E"/>
    <w:rsid w:val="00AC3689"/>
    <w:rsid w:val="00AC3731"/>
    <w:rsid w:val="00AC396E"/>
    <w:rsid w:val="00AC3ADE"/>
    <w:rsid w:val="00AC3DB3"/>
    <w:rsid w:val="00AC3F4C"/>
    <w:rsid w:val="00AC3F70"/>
    <w:rsid w:val="00AC447A"/>
    <w:rsid w:val="00AC4593"/>
    <w:rsid w:val="00AC4713"/>
    <w:rsid w:val="00AC4994"/>
    <w:rsid w:val="00AC4B64"/>
    <w:rsid w:val="00AC4CD9"/>
    <w:rsid w:val="00AC4E4D"/>
    <w:rsid w:val="00AC5685"/>
    <w:rsid w:val="00AC5CCA"/>
    <w:rsid w:val="00AC64DC"/>
    <w:rsid w:val="00AC6544"/>
    <w:rsid w:val="00AC65B5"/>
    <w:rsid w:val="00AC68FB"/>
    <w:rsid w:val="00AC6F0B"/>
    <w:rsid w:val="00AC7447"/>
    <w:rsid w:val="00AC7619"/>
    <w:rsid w:val="00AD0221"/>
    <w:rsid w:val="00AD06F1"/>
    <w:rsid w:val="00AD0A04"/>
    <w:rsid w:val="00AD12A6"/>
    <w:rsid w:val="00AD151E"/>
    <w:rsid w:val="00AD180F"/>
    <w:rsid w:val="00AD1C15"/>
    <w:rsid w:val="00AD1F3E"/>
    <w:rsid w:val="00AD1F41"/>
    <w:rsid w:val="00AD214D"/>
    <w:rsid w:val="00AD217B"/>
    <w:rsid w:val="00AD21BB"/>
    <w:rsid w:val="00AD240D"/>
    <w:rsid w:val="00AD2616"/>
    <w:rsid w:val="00AD26FD"/>
    <w:rsid w:val="00AD2743"/>
    <w:rsid w:val="00AD2B98"/>
    <w:rsid w:val="00AD2D21"/>
    <w:rsid w:val="00AD36C8"/>
    <w:rsid w:val="00AD3728"/>
    <w:rsid w:val="00AD3759"/>
    <w:rsid w:val="00AD3959"/>
    <w:rsid w:val="00AD3A71"/>
    <w:rsid w:val="00AD3C68"/>
    <w:rsid w:val="00AD3D79"/>
    <w:rsid w:val="00AD3F94"/>
    <w:rsid w:val="00AD48C8"/>
    <w:rsid w:val="00AD49F7"/>
    <w:rsid w:val="00AD4D41"/>
    <w:rsid w:val="00AD4E0C"/>
    <w:rsid w:val="00AD50B4"/>
    <w:rsid w:val="00AD516C"/>
    <w:rsid w:val="00AD52FB"/>
    <w:rsid w:val="00AD53FF"/>
    <w:rsid w:val="00AD55D9"/>
    <w:rsid w:val="00AD5650"/>
    <w:rsid w:val="00AD59A2"/>
    <w:rsid w:val="00AD6339"/>
    <w:rsid w:val="00AD6ABF"/>
    <w:rsid w:val="00AD7380"/>
    <w:rsid w:val="00AD76B8"/>
    <w:rsid w:val="00AD7B42"/>
    <w:rsid w:val="00AE02B1"/>
    <w:rsid w:val="00AE09E5"/>
    <w:rsid w:val="00AE0CF9"/>
    <w:rsid w:val="00AE0D74"/>
    <w:rsid w:val="00AE14B2"/>
    <w:rsid w:val="00AE152B"/>
    <w:rsid w:val="00AE161C"/>
    <w:rsid w:val="00AE1BB9"/>
    <w:rsid w:val="00AE1DA8"/>
    <w:rsid w:val="00AE1F77"/>
    <w:rsid w:val="00AE1FDA"/>
    <w:rsid w:val="00AE2099"/>
    <w:rsid w:val="00AE229C"/>
    <w:rsid w:val="00AE22EB"/>
    <w:rsid w:val="00AE2363"/>
    <w:rsid w:val="00AE2464"/>
    <w:rsid w:val="00AE25F9"/>
    <w:rsid w:val="00AE2AA5"/>
    <w:rsid w:val="00AE3051"/>
    <w:rsid w:val="00AE31F5"/>
    <w:rsid w:val="00AE33FF"/>
    <w:rsid w:val="00AE3817"/>
    <w:rsid w:val="00AE3AE7"/>
    <w:rsid w:val="00AE3CC1"/>
    <w:rsid w:val="00AE4428"/>
    <w:rsid w:val="00AE4693"/>
    <w:rsid w:val="00AE4A32"/>
    <w:rsid w:val="00AE4C7C"/>
    <w:rsid w:val="00AE4F4D"/>
    <w:rsid w:val="00AE5D1E"/>
    <w:rsid w:val="00AE613F"/>
    <w:rsid w:val="00AE6368"/>
    <w:rsid w:val="00AE66B0"/>
    <w:rsid w:val="00AE6891"/>
    <w:rsid w:val="00AE6AEA"/>
    <w:rsid w:val="00AE6BB6"/>
    <w:rsid w:val="00AE75CC"/>
    <w:rsid w:val="00AE7650"/>
    <w:rsid w:val="00AE7A38"/>
    <w:rsid w:val="00AE7AB9"/>
    <w:rsid w:val="00AF038F"/>
    <w:rsid w:val="00AF0671"/>
    <w:rsid w:val="00AF15A0"/>
    <w:rsid w:val="00AF18ED"/>
    <w:rsid w:val="00AF1A28"/>
    <w:rsid w:val="00AF22A5"/>
    <w:rsid w:val="00AF26B8"/>
    <w:rsid w:val="00AF27D4"/>
    <w:rsid w:val="00AF2B1B"/>
    <w:rsid w:val="00AF3308"/>
    <w:rsid w:val="00AF336D"/>
    <w:rsid w:val="00AF36A1"/>
    <w:rsid w:val="00AF3740"/>
    <w:rsid w:val="00AF397D"/>
    <w:rsid w:val="00AF39AC"/>
    <w:rsid w:val="00AF40D5"/>
    <w:rsid w:val="00AF41D1"/>
    <w:rsid w:val="00AF4665"/>
    <w:rsid w:val="00AF4870"/>
    <w:rsid w:val="00AF48A8"/>
    <w:rsid w:val="00AF4902"/>
    <w:rsid w:val="00AF4969"/>
    <w:rsid w:val="00AF4AA1"/>
    <w:rsid w:val="00AF4D41"/>
    <w:rsid w:val="00AF519D"/>
    <w:rsid w:val="00AF569F"/>
    <w:rsid w:val="00AF5893"/>
    <w:rsid w:val="00AF5A26"/>
    <w:rsid w:val="00AF6453"/>
    <w:rsid w:val="00AF6641"/>
    <w:rsid w:val="00AF6970"/>
    <w:rsid w:val="00AF69FE"/>
    <w:rsid w:val="00AF7123"/>
    <w:rsid w:val="00AF744E"/>
    <w:rsid w:val="00AF7D79"/>
    <w:rsid w:val="00B00099"/>
    <w:rsid w:val="00B0017D"/>
    <w:rsid w:val="00B004D1"/>
    <w:rsid w:val="00B00AF1"/>
    <w:rsid w:val="00B00B48"/>
    <w:rsid w:val="00B00D8C"/>
    <w:rsid w:val="00B00F49"/>
    <w:rsid w:val="00B015F6"/>
    <w:rsid w:val="00B01BA1"/>
    <w:rsid w:val="00B02073"/>
    <w:rsid w:val="00B02237"/>
    <w:rsid w:val="00B02437"/>
    <w:rsid w:val="00B026C6"/>
    <w:rsid w:val="00B02E7C"/>
    <w:rsid w:val="00B0304E"/>
    <w:rsid w:val="00B03442"/>
    <w:rsid w:val="00B034AC"/>
    <w:rsid w:val="00B03516"/>
    <w:rsid w:val="00B038C6"/>
    <w:rsid w:val="00B03DA1"/>
    <w:rsid w:val="00B03F75"/>
    <w:rsid w:val="00B0412F"/>
    <w:rsid w:val="00B043B8"/>
    <w:rsid w:val="00B04737"/>
    <w:rsid w:val="00B04B13"/>
    <w:rsid w:val="00B04FFA"/>
    <w:rsid w:val="00B05462"/>
    <w:rsid w:val="00B05687"/>
    <w:rsid w:val="00B056D2"/>
    <w:rsid w:val="00B05B03"/>
    <w:rsid w:val="00B05F14"/>
    <w:rsid w:val="00B063E0"/>
    <w:rsid w:val="00B068D9"/>
    <w:rsid w:val="00B068FD"/>
    <w:rsid w:val="00B06E9B"/>
    <w:rsid w:val="00B07617"/>
    <w:rsid w:val="00B079DE"/>
    <w:rsid w:val="00B07BD5"/>
    <w:rsid w:val="00B07C3C"/>
    <w:rsid w:val="00B07D5F"/>
    <w:rsid w:val="00B10047"/>
    <w:rsid w:val="00B10214"/>
    <w:rsid w:val="00B1023D"/>
    <w:rsid w:val="00B1026F"/>
    <w:rsid w:val="00B104B5"/>
    <w:rsid w:val="00B10905"/>
    <w:rsid w:val="00B10A7F"/>
    <w:rsid w:val="00B10CFC"/>
    <w:rsid w:val="00B10D57"/>
    <w:rsid w:val="00B10EA3"/>
    <w:rsid w:val="00B10F46"/>
    <w:rsid w:val="00B11645"/>
    <w:rsid w:val="00B11A31"/>
    <w:rsid w:val="00B11B0A"/>
    <w:rsid w:val="00B11B1A"/>
    <w:rsid w:val="00B11DB3"/>
    <w:rsid w:val="00B127F0"/>
    <w:rsid w:val="00B1286D"/>
    <w:rsid w:val="00B1305D"/>
    <w:rsid w:val="00B131B2"/>
    <w:rsid w:val="00B1337E"/>
    <w:rsid w:val="00B13E3B"/>
    <w:rsid w:val="00B13E5D"/>
    <w:rsid w:val="00B13F65"/>
    <w:rsid w:val="00B13FF5"/>
    <w:rsid w:val="00B143E2"/>
    <w:rsid w:val="00B144E1"/>
    <w:rsid w:val="00B1491E"/>
    <w:rsid w:val="00B14B78"/>
    <w:rsid w:val="00B14C81"/>
    <w:rsid w:val="00B14F29"/>
    <w:rsid w:val="00B15CE3"/>
    <w:rsid w:val="00B16E46"/>
    <w:rsid w:val="00B16F66"/>
    <w:rsid w:val="00B17450"/>
    <w:rsid w:val="00B176AF"/>
    <w:rsid w:val="00B17FEE"/>
    <w:rsid w:val="00B2076E"/>
    <w:rsid w:val="00B20DF5"/>
    <w:rsid w:val="00B20E70"/>
    <w:rsid w:val="00B2100D"/>
    <w:rsid w:val="00B21278"/>
    <w:rsid w:val="00B212B9"/>
    <w:rsid w:val="00B2149C"/>
    <w:rsid w:val="00B21D07"/>
    <w:rsid w:val="00B21D78"/>
    <w:rsid w:val="00B2223F"/>
    <w:rsid w:val="00B2230B"/>
    <w:rsid w:val="00B226B8"/>
    <w:rsid w:val="00B22B89"/>
    <w:rsid w:val="00B22DCB"/>
    <w:rsid w:val="00B22F6F"/>
    <w:rsid w:val="00B2344C"/>
    <w:rsid w:val="00B2346A"/>
    <w:rsid w:val="00B23936"/>
    <w:rsid w:val="00B23E2E"/>
    <w:rsid w:val="00B241F5"/>
    <w:rsid w:val="00B24359"/>
    <w:rsid w:val="00B24849"/>
    <w:rsid w:val="00B2492D"/>
    <w:rsid w:val="00B24C7E"/>
    <w:rsid w:val="00B25384"/>
    <w:rsid w:val="00B25839"/>
    <w:rsid w:val="00B25B2F"/>
    <w:rsid w:val="00B25F39"/>
    <w:rsid w:val="00B26270"/>
    <w:rsid w:val="00B263DA"/>
    <w:rsid w:val="00B264E2"/>
    <w:rsid w:val="00B266F0"/>
    <w:rsid w:val="00B26797"/>
    <w:rsid w:val="00B26F0B"/>
    <w:rsid w:val="00B271C0"/>
    <w:rsid w:val="00B30589"/>
    <w:rsid w:val="00B305D0"/>
    <w:rsid w:val="00B307F6"/>
    <w:rsid w:val="00B30BA4"/>
    <w:rsid w:val="00B30E67"/>
    <w:rsid w:val="00B311F4"/>
    <w:rsid w:val="00B31404"/>
    <w:rsid w:val="00B3193B"/>
    <w:rsid w:val="00B31F59"/>
    <w:rsid w:val="00B32679"/>
    <w:rsid w:val="00B32BC9"/>
    <w:rsid w:val="00B32EE2"/>
    <w:rsid w:val="00B33012"/>
    <w:rsid w:val="00B3332D"/>
    <w:rsid w:val="00B333C4"/>
    <w:rsid w:val="00B33411"/>
    <w:rsid w:val="00B33C8E"/>
    <w:rsid w:val="00B33F0D"/>
    <w:rsid w:val="00B343EF"/>
    <w:rsid w:val="00B34434"/>
    <w:rsid w:val="00B345A1"/>
    <w:rsid w:val="00B34634"/>
    <w:rsid w:val="00B34A80"/>
    <w:rsid w:val="00B34D41"/>
    <w:rsid w:val="00B3502C"/>
    <w:rsid w:val="00B3511C"/>
    <w:rsid w:val="00B354CA"/>
    <w:rsid w:val="00B3559B"/>
    <w:rsid w:val="00B3569C"/>
    <w:rsid w:val="00B35A9F"/>
    <w:rsid w:val="00B35B29"/>
    <w:rsid w:val="00B35D82"/>
    <w:rsid w:val="00B35EB2"/>
    <w:rsid w:val="00B36295"/>
    <w:rsid w:val="00B36568"/>
    <w:rsid w:val="00B367D1"/>
    <w:rsid w:val="00B3736E"/>
    <w:rsid w:val="00B37DA1"/>
    <w:rsid w:val="00B404E8"/>
    <w:rsid w:val="00B408FD"/>
    <w:rsid w:val="00B40951"/>
    <w:rsid w:val="00B40BCE"/>
    <w:rsid w:val="00B41317"/>
    <w:rsid w:val="00B41644"/>
    <w:rsid w:val="00B4186A"/>
    <w:rsid w:val="00B418B7"/>
    <w:rsid w:val="00B41FFB"/>
    <w:rsid w:val="00B42190"/>
    <w:rsid w:val="00B42396"/>
    <w:rsid w:val="00B42595"/>
    <w:rsid w:val="00B42616"/>
    <w:rsid w:val="00B428E2"/>
    <w:rsid w:val="00B42DA5"/>
    <w:rsid w:val="00B43077"/>
    <w:rsid w:val="00B431FE"/>
    <w:rsid w:val="00B43479"/>
    <w:rsid w:val="00B434D3"/>
    <w:rsid w:val="00B43572"/>
    <w:rsid w:val="00B4377B"/>
    <w:rsid w:val="00B43A9D"/>
    <w:rsid w:val="00B43DC3"/>
    <w:rsid w:val="00B4406A"/>
    <w:rsid w:val="00B4415F"/>
    <w:rsid w:val="00B4443E"/>
    <w:rsid w:val="00B44783"/>
    <w:rsid w:val="00B447A4"/>
    <w:rsid w:val="00B44BB0"/>
    <w:rsid w:val="00B44BBC"/>
    <w:rsid w:val="00B44BEA"/>
    <w:rsid w:val="00B44D26"/>
    <w:rsid w:val="00B44D91"/>
    <w:rsid w:val="00B45182"/>
    <w:rsid w:val="00B4520C"/>
    <w:rsid w:val="00B456F4"/>
    <w:rsid w:val="00B4593A"/>
    <w:rsid w:val="00B4597D"/>
    <w:rsid w:val="00B45C5C"/>
    <w:rsid w:val="00B45DCC"/>
    <w:rsid w:val="00B45F6A"/>
    <w:rsid w:val="00B45FD3"/>
    <w:rsid w:val="00B4622E"/>
    <w:rsid w:val="00B46C7E"/>
    <w:rsid w:val="00B46E4F"/>
    <w:rsid w:val="00B47088"/>
    <w:rsid w:val="00B470AC"/>
    <w:rsid w:val="00B47B30"/>
    <w:rsid w:val="00B47C8A"/>
    <w:rsid w:val="00B506F8"/>
    <w:rsid w:val="00B50C64"/>
    <w:rsid w:val="00B50F03"/>
    <w:rsid w:val="00B5103F"/>
    <w:rsid w:val="00B511DC"/>
    <w:rsid w:val="00B5129A"/>
    <w:rsid w:val="00B51616"/>
    <w:rsid w:val="00B5186F"/>
    <w:rsid w:val="00B518EF"/>
    <w:rsid w:val="00B51D6B"/>
    <w:rsid w:val="00B51E48"/>
    <w:rsid w:val="00B51EF5"/>
    <w:rsid w:val="00B52049"/>
    <w:rsid w:val="00B52999"/>
    <w:rsid w:val="00B52C7D"/>
    <w:rsid w:val="00B53168"/>
    <w:rsid w:val="00B531D1"/>
    <w:rsid w:val="00B53987"/>
    <w:rsid w:val="00B548B8"/>
    <w:rsid w:val="00B54951"/>
    <w:rsid w:val="00B54970"/>
    <w:rsid w:val="00B54AF8"/>
    <w:rsid w:val="00B54BB6"/>
    <w:rsid w:val="00B54EAF"/>
    <w:rsid w:val="00B55393"/>
    <w:rsid w:val="00B559AE"/>
    <w:rsid w:val="00B55A42"/>
    <w:rsid w:val="00B569E4"/>
    <w:rsid w:val="00B56A8B"/>
    <w:rsid w:val="00B56DF4"/>
    <w:rsid w:val="00B5712D"/>
    <w:rsid w:val="00B571F0"/>
    <w:rsid w:val="00B572B4"/>
    <w:rsid w:val="00B57D72"/>
    <w:rsid w:val="00B60065"/>
    <w:rsid w:val="00B60491"/>
    <w:rsid w:val="00B60779"/>
    <w:rsid w:val="00B60961"/>
    <w:rsid w:val="00B60ACE"/>
    <w:rsid w:val="00B60F38"/>
    <w:rsid w:val="00B612A4"/>
    <w:rsid w:val="00B6130F"/>
    <w:rsid w:val="00B61595"/>
    <w:rsid w:val="00B615C5"/>
    <w:rsid w:val="00B618AB"/>
    <w:rsid w:val="00B62662"/>
    <w:rsid w:val="00B627E4"/>
    <w:rsid w:val="00B62A55"/>
    <w:rsid w:val="00B633F3"/>
    <w:rsid w:val="00B63DA4"/>
    <w:rsid w:val="00B63F10"/>
    <w:rsid w:val="00B642C2"/>
    <w:rsid w:val="00B643A1"/>
    <w:rsid w:val="00B6440A"/>
    <w:rsid w:val="00B644AF"/>
    <w:rsid w:val="00B64936"/>
    <w:rsid w:val="00B65263"/>
    <w:rsid w:val="00B6551F"/>
    <w:rsid w:val="00B6566D"/>
    <w:rsid w:val="00B6574C"/>
    <w:rsid w:val="00B65D3D"/>
    <w:rsid w:val="00B65DA4"/>
    <w:rsid w:val="00B66264"/>
    <w:rsid w:val="00B665A4"/>
    <w:rsid w:val="00B668B4"/>
    <w:rsid w:val="00B66B39"/>
    <w:rsid w:val="00B66BC7"/>
    <w:rsid w:val="00B66F6E"/>
    <w:rsid w:val="00B6733D"/>
    <w:rsid w:val="00B67880"/>
    <w:rsid w:val="00B67EAC"/>
    <w:rsid w:val="00B70948"/>
    <w:rsid w:val="00B7098C"/>
    <w:rsid w:val="00B709CF"/>
    <w:rsid w:val="00B70FE3"/>
    <w:rsid w:val="00B71134"/>
    <w:rsid w:val="00B711CB"/>
    <w:rsid w:val="00B714F9"/>
    <w:rsid w:val="00B71DDA"/>
    <w:rsid w:val="00B71E46"/>
    <w:rsid w:val="00B7224B"/>
    <w:rsid w:val="00B722DD"/>
    <w:rsid w:val="00B725C0"/>
    <w:rsid w:val="00B728B5"/>
    <w:rsid w:val="00B72A63"/>
    <w:rsid w:val="00B72AEC"/>
    <w:rsid w:val="00B72C1C"/>
    <w:rsid w:val="00B72D5C"/>
    <w:rsid w:val="00B72D8B"/>
    <w:rsid w:val="00B72FA7"/>
    <w:rsid w:val="00B73142"/>
    <w:rsid w:val="00B73443"/>
    <w:rsid w:val="00B7389F"/>
    <w:rsid w:val="00B73978"/>
    <w:rsid w:val="00B73A27"/>
    <w:rsid w:val="00B7432F"/>
    <w:rsid w:val="00B746DF"/>
    <w:rsid w:val="00B74725"/>
    <w:rsid w:val="00B7480A"/>
    <w:rsid w:val="00B749E6"/>
    <w:rsid w:val="00B74F3C"/>
    <w:rsid w:val="00B7568E"/>
    <w:rsid w:val="00B75762"/>
    <w:rsid w:val="00B7591D"/>
    <w:rsid w:val="00B7595A"/>
    <w:rsid w:val="00B75CB1"/>
    <w:rsid w:val="00B76C94"/>
    <w:rsid w:val="00B76E13"/>
    <w:rsid w:val="00B76E47"/>
    <w:rsid w:val="00B77109"/>
    <w:rsid w:val="00B7742D"/>
    <w:rsid w:val="00B7752F"/>
    <w:rsid w:val="00B77917"/>
    <w:rsid w:val="00B779D6"/>
    <w:rsid w:val="00B77AF2"/>
    <w:rsid w:val="00B8062D"/>
    <w:rsid w:val="00B809D1"/>
    <w:rsid w:val="00B80CB0"/>
    <w:rsid w:val="00B80D45"/>
    <w:rsid w:val="00B812A8"/>
    <w:rsid w:val="00B8145C"/>
    <w:rsid w:val="00B816DF"/>
    <w:rsid w:val="00B81866"/>
    <w:rsid w:val="00B81DA1"/>
    <w:rsid w:val="00B82697"/>
    <w:rsid w:val="00B828DF"/>
    <w:rsid w:val="00B82F5A"/>
    <w:rsid w:val="00B8323A"/>
    <w:rsid w:val="00B83360"/>
    <w:rsid w:val="00B833CF"/>
    <w:rsid w:val="00B8354C"/>
    <w:rsid w:val="00B83869"/>
    <w:rsid w:val="00B83A6E"/>
    <w:rsid w:val="00B83DE7"/>
    <w:rsid w:val="00B83EE4"/>
    <w:rsid w:val="00B8415A"/>
    <w:rsid w:val="00B84B02"/>
    <w:rsid w:val="00B84E86"/>
    <w:rsid w:val="00B8503A"/>
    <w:rsid w:val="00B85103"/>
    <w:rsid w:val="00B8554B"/>
    <w:rsid w:val="00B85AAD"/>
    <w:rsid w:val="00B85F45"/>
    <w:rsid w:val="00B85F66"/>
    <w:rsid w:val="00B86020"/>
    <w:rsid w:val="00B8605D"/>
    <w:rsid w:val="00B8622B"/>
    <w:rsid w:val="00B862A1"/>
    <w:rsid w:val="00B86810"/>
    <w:rsid w:val="00B86865"/>
    <w:rsid w:val="00B8719A"/>
    <w:rsid w:val="00B872FB"/>
    <w:rsid w:val="00B87305"/>
    <w:rsid w:val="00B8748E"/>
    <w:rsid w:val="00B87829"/>
    <w:rsid w:val="00B878BA"/>
    <w:rsid w:val="00B87B80"/>
    <w:rsid w:val="00B87CD5"/>
    <w:rsid w:val="00B90486"/>
    <w:rsid w:val="00B91432"/>
    <w:rsid w:val="00B91A13"/>
    <w:rsid w:val="00B920A7"/>
    <w:rsid w:val="00B923C0"/>
    <w:rsid w:val="00B92685"/>
    <w:rsid w:val="00B92880"/>
    <w:rsid w:val="00B931EA"/>
    <w:rsid w:val="00B93302"/>
    <w:rsid w:val="00B93C07"/>
    <w:rsid w:val="00B9411F"/>
    <w:rsid w:val="00B9438F"/>
    <w:rsid w:val="00B94E61"/>
    <w:rsid w:val="00B9508B"/>
    <w:rsid w:val="00B95B36"/>
    <w:rsid w:val="00B95C6D"/>
    <w:rsid w:val="00B96063"/>
    <w:rsid w:val="00B9628B"/>
    <w:rsid w:val="00B96431"/>
    <w:rsid w:val="00B96480"/>
    <w:rsid w:val="00B96667"/>
    <w:rsid w:val="00B967D5"/>
    <w:rsid w:val="00B968E1"/>
    <w:rsid w:val="00B969BD"/>
    <w:rsid w:val="00B96A80"/>
    <w:rsid w:val="00B96BC2"/>
    <w:rsid w:val="00B96D59"/>
    <w:rsid w:val="00B97F22"/>
    <w:rsid w:val="00BA0979"/>
    <w:rsid w:val="00BA0B2E"/>
    <w:rsid w:val="00BA0CA0"/>
    <w:rsid w:val="00BA121B"/>
    <w:rsid w:val="00BA1386"/>
    <w:rsid w:val="00BA1965"/>
    <w:rsid w:val="00BA1A08"/>
    <w:rsid w:val="00BA21C7"/>
    <w:rsid w:val="00BA2BEB"/>
    <w:rsid w:val="00BA2FC6"/>
    <w:rsid w:val="00BA32F1"/>
    <w:rsid w:val="00BA3B53"/>
    <w:rsid w:val="00BA3BF0"/>
    <w:rsid w:val="00BA427C"/>
    <w:rsid w:val="00BA444D"/>
    <w:rsid w:val="00BA4BBD"/>
    <w:rsid w:val="00BA4BD4"/>
    <w:rsid w:val="00BA50D1"/>
    <w:rsid w:val="00BA5224"/>
    <w:rsid w:val="00BA59B6"/>
    <w:rsid w:val="00BA5CAE"/>
    <w:rsid w:val="00BA607D"/>
    <w:rsid w:val="00BA6103"/>
    <w:rsid w:val="00BA634C"/>
    <w:rsid w:val="00BA6A18"/>
    <w:rsid w:val="00BA6F3B"/>
    <w:rsid w:val="00BA7155"/>
    <w:rsid w:val="00BA7358"/>
    <w:rsid w:val="00BA7DB6"/>
    <w:rsid w:val="00BA7F47"/>
    <w:rsid w:val="00BB001E"/>
    <w:rsid w:val="00BB05CB"/>
    <w:rsid w:val="00BB083C"/>
    <w:rsid w:val="00BB11E6"/>
    <w:rsid w:val="00BB1284"/>
    <w:rsid w:val="00BB134C"/>
    <w:rsid w:val="00BB15CC"/>
    <w:rsid w:val="00BB1953"/>
    <w:rsid w:val="00BB206B"/>
    <w:rsid w:val="00BB20DE"/>
    <w:rsid w:val="00BB2E57"/>
    <w:rsid w:val="00BB3113"/>
    <w:rsid w:val="00BB3B3F"/>
    <w:rsid w:val="00BB47D2"/>
    <w:rsid w:val="00BB50D2"/>
    <w:rsid w:val="00BB5125"/>
    <w:rsid w:val="00BB5276"/>
    <w:rsid w:val="00BB54E3"/>
    <w:rsid w:val="00BB5C75"/>
    <w:rsid w:val="00BB5D68"/>
    <w:rsid w:val="00BB5D82"/>
    <w:rsid w:val="00BB5FBD"/>
    <w:rsid w:val="00BB60E3"/>
    <w:rsid w:val="00BB70A3"/>
    <w:rsid w:val="00BB78E1"/>
    <w:rsid w:val="00BB7AC0"/>
    <w:rsid w:val="00BB7E9F"/>
    <w:rsid w:val="00BC0078"/>
    <w:rsid w:val="00BC0B85"/>
    <w:rsid w:val="00BC0D0D"/>
    <w:rsid w:val="00BC120B"/>
    <w:rsid w:val="00BC1502"/>
    <w:rsid w:val="00BC193E"/>
    <w:rsid w:val="00BC1BB4"/>
    <w:rsid w:val="00BC214A"/>
    <w:rsid w:val="00BC2517"/>
    <w:rsid w:val="00BC25C8"/>
    <w:rsid w:val="00BC271D"/>
    <w:rsid w:val="00BC2926"/>
    <w:rsid w:val="00BC2A5A"/>
    <w:rsid w:val="00BC2BF6"/>
    <w:rsid w:val="00BC3236"/>
    <w:rsid w:val="00BC3A48"/>
    <w:rsid w:val="00BC4052"/>
    <w:rsid w:val="00BC4512"/>
    <w:rsid w:val="00BC47C2"/>
    <w:rsid w:val="00BC4BBC"/>
    <w:rsid w:val="00BC4BE4"/>
    <w:rsid w:val="00BC4C75"/>
    <w:rsid w:val="00BC56BD"/>
    <w:rsid w:val="00BC59BA"/>
    <w:rsid w:val="00BC5C0E"/>
    <w:rsid w:val="00BC6373"/>
    <w:rsid w:val="00BC6415"/>
    <w:rsid w:val="00BC64AE"/>
    <w:rsid w:val="00BC6853"/>
    <w:rsid w:val="00BC6AD6"/>
    <w:rsid w:val="00BC6C9D"/>
    <w:rsid w:val="00BC6F27"/>
    <w:rsid w:val="00BC6FC8"/>
    <w:rsid w:val="00BC7613"/>
    <w:rsid w:val="00BC7682"/>
    <w:rsid w:val="00BC788E"/>
    <w:rsid w:val="00BC7947"/>
    <w:rsid w:val="00BC7E5B"/>
    <w:rsid w:val="00BC7EB3"/>
    <w:rsid w:val="00BD0493"/>
    <w:rsid w:val="00BD04AF"/>
    <w:rsid w:val="00BD0635"/>
    <w:rsid w:val="00BD078E"/>
    <w:rsid w:val="00BD0810"/>
    <w:rsid w:val="00BD134E"/>
    <w:rsid w:val="00BD17BC"/>
    <w:rsid w:val="00BD17DA"/>
    <w:rsid w:val="00BD1C4C"/>
    <w:rsid w:val="00BD1D31"/>
    <w:rsid w:val="00BD2A3C"/>
    <w:rsid w:val="00BD2CAD"/>
    <w:rsid w:val="00BD310A"/>
    <w:rsid w:val="00BD3462"/>
    <w:rsid w:val="00BD35FC"/>
    <w:rsid w:val="00BD3A54"/>
    <w:rsid w:val="00BD3E22"/>
    <w:rsid w:val="00BD3E7F"/>
    <w:rsid w:val="00BD3F16"/>
    <w:rsid w:val="00BD41B0"/>
    <w:rsid w:val="00BD46C1"/>
    <w:rsid w:val="00BD49B9"/>
    <w:rsid w:val="00BD4DA8"/>
    <w:rsid w:val="00BD4F69"/>
    <w:rsid w:val="00BD52D6"/>
    <w:rsid w:val="00BD53D7"/>
    <w:rsid w:val="00BD585E"/>
    <w:rsid w:val="00BD5917"/>
    <w:rsid w:val="00BD5AD2"/>
    <w:rsid w:val="00BD617C"/>
    <w:rsid w:val="00BD6252"/>
    <w:rsid w:val="00BD6264"/>
    <w:rsid w:val="00BD63BA"/>
    <w:rsid w:val="00BD65D3"/>
    <w:rsid w:val="00BD678F"/>
    <w:rsid w:val="00BD6C92"/>
    <w:rsid w:val="00BD6E46"/>
    <w:rsid w:val="00BD7C1E"/>
    <w:rsid w:val="00BD7C71"/>
    <w:rsid w:val="00BD7D0E"/>
    <w:rsid w:val="00BD7F80"/>
    <w:rsid w:val="00BE028B"/>
    <w:rsid w:val="00BE0F53"/>
    <w:rsid w:val="00BE13D7"/>
    <w:rsid w:val="00BE17C5"/>
    <w:rsid w:val="00BE17DE"/>
    <w:rsid w:val="00BE1AF5"/>
    <w:rsid w:val="00BE280A"/>
    <w:rsid w:val="00BE2C47"/>
    <w:rsid w:val="00BE2EA1"/>
    <w:rsid w:val="00BE31EC"/>
    <w:rsid w:val="00BE3D4B"/>
    <w:rsid w:val="00BE4D12"/>
    <w:rsid w:val="00BE5117"/>
    <w:rsid w:val="00BE55B8"/>
    <w:rsid w:val="00BE5B10"/>
    <w:rsid w:val="00BE5B87"/>
    <w:rsid w:val="00BE6594"/>
    <w:rsid w:val="00BE6A1B"/>
    <w:rsid w:val="00BE6FA2"/>
    <w:rsid w:val="00BE7044"/>
    <w:rsid w:val="00BE7726"/>
    <w:rsid w:val="00BE77E4"/>
    <w:rsid w:val="00BE7881"/>
    <w:rsid w:val="00BE78DC"/>
    <w:rsid w:val="00BE7B49"/>
    <w:rsid w:val="00BE7DEE"/>
    <w:rsid w:val="00BF00C5"/>
    <w:rsid w:val="00BF0135"/>
    <w:rsid w:val="00BF0642"/>
    <w:rsid w:val="00BF0D0E"/>
    <w:rsid w:val="00BF11A6"/>
    <w:rsid w:val="00BF12DF"/>
    <w:rsid w:val="00BF16DC"/>
    <w:rsid w:val="00BF1750"/>
    <w:rsid w:val="00BF17A3"/>
    <w:rsid w:val="00BF1B8C"/>
    <w:rsid w:val="00BF249D"/>
    <w:rsid w:val="00BF2939"/>
    <w:rsid w:val="00BF2EBA"/>
    <w:rsid w:val="00BF314C"/>
    <w:rsid w:val="00BF392A"/>
    <w:rsid w:val="00BF3C0A"/>
    <w:rsid w:val="00BF458F"/>
    <w:rsid w:val="00BF484E"/>
    <w:rsid w:val="00BF4B90"/>
    <w:rsid w:val="00BF516D"/>
    <w:rsid w:val="00BF5782"/>
    <w:rsid w:val="00BF5790"/>
    <w:rsid w:val="00BF5F54"/>
    <w:rsid w:val="00BF6360"/>
    <w:rsid w:val="00BF6451"/>
    <w:rsid w:val="00BF67D4"/>
    <w:rsid w:val="00BF6B41"/>
    <w:rsid w:val="00BF709C"/>
    <w:rsid w:val="00BF74B9"/>
    <w:rsid w:val="00BF7586"/>
    <w:rsid w:val="00BF76C2"/>
    <w:rsid w:val="00BF788E"/>
    <w:rsid w:val="00BF7996"/>
    <w:rsid w:val="00BF7BE6"/>
    <w:rsid w:val="00C0018C"/>
    <w:rsid w:val="00C00695"/>
    <w:rsid w:val="00C007BE"/>
    <w:rsid w:val="00C00AAE"/>
    <w:rsid w:val="00C00E42"/>
    <w:rsid w:val="00C01203"/>
    <w:rsid w:val="00C0120E"/>
    <w:rsid w:val="00C01361"/>
    <w:rsid w:val="00C015F7"/>
    <w:rsid w:val="00C016AE"/>
    <w:rsid w:val="00C01804"/>
    <w:rsid w:val="00C01EE5"/>
    <w:rsid w:val="00C0232D"/>
    <w:rsid w:val="00C02388"/>
    <w:rsid w:val="00C0294A"/>
    <w:rsid w:val="00C02BC8"/>
    <w:rsid w:val="00C03084"/>
    <w:rsid w:val="00C03302"/>
    <w:rsid w:val="00C0331F"/>
    <w:rsid w:val="00C042A2"/>
    <w:rsid w:val="00C04649"/>
    <w:rsid w:val="00C04986"/>
    <w:rsid w:val="00C04B38"/>
    <w:rsid w:val="00C04BAC"/>
    <w:rsid w:val="00C04BAE"/>
    <w:rsid w:val="00C04DD2"/>
    <w:rsid w:val="00C04EBD"/>
    <w:rsid w:val="00C05465"/>
    <w:rsid w:val="00C0571A"/>
    <w:rsid w:val="00C05787"/>
    <w:rsid w:val="00C06D7B"/>
    <w:rsid w:val="00C06DF0"/>
    <w:rsid w:val="00C06FCC"/>
    <w:rsid w:val="00C075E0"/>
    <w:rsid w:val="00C07820"/>
    <w:rsid w:val="00C07CE0"/>
    <w:rsid w:val="00C07DC9"/>
    <w:rsid w:val="00C07F03"/>
    <w:rsid w:val="00C1084D"/>
    <w:rsid w:val="00C111AD"/>
    <w:rsid w:val="00C1165C"/>
    <w:rsid w:val="00C11A67"/>
    <w:rsid w:val="00C1207C"/>
    <w:rsid w:val="00C1247E"/>
    <w:rsid w:val="00C12889"/>
    <w:rsid w:val="00C12AF0"/>
    <w:rsid w:val="00C12E9D"/>
    <w:rsid w:val="00C13342"/>
    <w:rsid w:val="00C135E9"/>
    <w:rsid w:val="00C138A5"/>
    <w:rsid w:val="00C13C5C"/>
    <w:rsid w:val="00C13E68"/>
    <w:rsid w:val="00C13FF8"/>
    <w:rsid w:val="00C146D9"/>
    <w:rsid w:val="00C14700"/>
    <w:rsid w:val="00C147D4"/>
    <w:rsid w:val="00C14EE6"/>
    <w:rsid w:val="00C15460"/>
    <w:rsid w:val="00C15606"/>
    <w:rsid w:val="00C158D6"/>
    <w:rsid w:val="00C158DC"/>
    <w:rsid w:val="00C15A89"/>
    <w:rsid w:val="00C15B93"/>
    <w:rsid w:val="00C16461"/>
    <w:rsid w:val="00C165BF"/>
    <w:rsid w:val="00C16635"/>
    <w:rsid w:val="00C169E4"/>
    <w:rsid w:val="00C16B41"/>
    <w:rsid w:val="00C16EC3"/>
    <w:rsid w:val="00C17377"/>
    <w:rsid w:val="00C17EED"/>
    <w:rsid w:val="00C2003E"/>
    <w:rsid w:val="00C20042"/>
    <w:rsid w:val="00C203E6"/>
    <w:rsid w:val="00C20785"/>
    <w:rsid w:val="00C209A5"/>
    <w:rsid w:val="00C21184"/>
    <w:rsid w:val="00C213AE"/>
    <w:rsid w:val="00C2154A"/>
    <w:rsid w:val="00C21C0F"/>
    <w:rsid w:val="00C21C38"/>
    <w:rsid w:val="00C2244E"/>
    <w:rsid w:val="00C22553"/>
    <w:rsid w:val="00C227E0"/>
    <w:rsid w:val="00C22BB7"/>
    <w:rsid w:val="00C22C2D"/>
    <w:rsid w:val="00C22E9B"/>
    <w:rsid w:val="00C22EDA"/>
    <w:rsid w:val="00C232E2"/>
    <w:rsid w:val="00C23B76"/>
    <w:rsid w:val="00C23FF0"/>
    <w:rsid w:val="00C2400D"/>
    <w:rsid w:val="00C2463F"/>
    <w:rsid w:val="00C24900"/>
    <w:rsid w:val="00C24C43"/>
    <w:rsid w:val="00C24F23"/>
    <w:rsid w:val="00C24F50"/>
    <w:rsid w:val="00C25218"/>
    <w:rsid w:val="00C252A5"/>
    <w:rsid w:val="00C25436"/>
    <w:rsid w:val="00C255D6"/>
    <w:rsid w:val="00C25D34"/>
    <w:rsid w:val="00C25E8C"/>
    <w:rsid w:val="00C2614A"/>
    <w:rsid w:val="00C265B0"/>
    <w:rsid w:val="00C266A7"/>
    <w:rsid w:val="00C26FAA"/>
    <w:rsid w:val="00C27256"/>
    <w:rsid w:val="00C274B2"/>
    <w:rsid w:val="00C27D7E"/>
    <w:rsid w:val="00C301A5"/>
    <w:rsid w:val="00C30500"/>
    <w:rsid w:val="00C3073B"/>
    <w:rsid w:val="00C30793"/>
    <w:rsid w:val="00C30C46"/>
    <w:rsid w:val="00C31495"/>
    <w:rsid w:val="00C31BDC"/>
    <w:rsid w:val="00C31FD0"/>
    <w:rsid w:val="00C320CF"/>
    <w:rsid w:val="00C322DA"/>
    <w:rsid w:val="00C32ABD"/>
    <w:rsid w:val="00C32DA9"/>
    <w:rsid w:val="00C33040"/>
    <w:rsid w:val="00C33253"/>
    <w:rsid w:val="00C333C7"/>
    <w:rsid w:val="00C3366C"/>
    <w:rsid w:val="00C3377F"/>
    <w:rsid w:val="00C337EE"/>
    <w:rsid w:val="00C33D7C"/>
    <w:rsid w:val="00C33F61"/>
    <w:rsid w:val="00C34102"/>
    <w:rsid w:val="00C341FE"/>
    <w:rsid w:val="00C3422A"/>
    <w:rsid w:val="00C34295"/>
    <w:rsid w:val="00C34659"/>
    <w:rsid w:val="00C34877"/>
    <w:rsid w:val="00C34C07"/>
    <w:rsid w:val="00C3587A"/>
    <w:rsid w:val="00C358E7"/>
    <w:rsid w:val="00C3591F"/>
    <w:rsid w:val="00C35A23"/>
    <w:rsid w:val="00C35BE0"/>
    <w:rsid w:val="00C35DE9"/>
    <w:rsid w:val="00C35E9E"/>
    <w:rsid w:val="00C3603B"/>
    <w:rsid w:val="00C369EE"/>
    <w:rsid w:val="00C36ADD"/>
    <w:rsid w:val="00C36C12"/>
    <w:rsid w:val="00C36E29"/>
    <w:rsid w:val="00C373F2"/>
    <w:rsid w:val="00C37628"/>
    <w:rsid w:val="00C37778"/>
    <w:rsid w:val="00C378BA"/>
    <w:rsid w:val="00C3793F"/>
    <w:rsid w:val="00C37DCD"/>
    <w:rsid w:val="00C401C4"/>
    <w:rsid w:val="00C402A0"/>
    <w:rsid w:val="00C404BA"/>
    <w:rsid w:val="00C405DF"/>
    <w:rsid w:val="00C406B4"/>
    <w:rsid w:val="00C40BBB"/>
    <w:rsid w:val="00C410F0"/>
    <w:rsid w:val="00C41485"/>
    <w:rsid w:val="00C41609"/>
    <w:rsid w:val="00C41D14"/>
    <w:rsid w:val="00C41D5C"/>
    <w:rsid w:val="00C41FB7"/>
    <w:rsid w:val="00C422E0"/>
    <w:rsid w:val="00C42534"/>
    <w:rsid w:val="00C4255A"/>
    <w:rsid w:val="00C4287C"/>
    <w:rsid w:val="00C42B45"/>
    <w:rsid w:val="00C42DC1"/>
    <w:rsid w:val="00C42DD4"/>
    <w:rsid w:val="00C42F48"/>
    <w:rsid w:val="00C42FD8"/>
    <w:rsid w:val="00C42FF8"/>
    <w:rsid w:val="00C43299"/>
    <w:rsid w:val="00C43CDD"/>
    <w:rsid w:val="00C43E92"/>
    <w:rsid w:val="00C43F48"/>
    <w:rsid w:val="00C44038"/>
    <w:rsid w:val="00C44229"/>
    <w:rsid w:val="00C44234"/>
    <w:rsid w:val="00C44AF5"/>
    <w:rsid w:val="00C44ED7"/>
    <w:rsid w:val="00C450FB"/>
    <w:rsid w:val="00C4524C"/>
    <w:rsid w:val="00C4563B"/>
    <w:rsid w:val="00C45945"/>
    <w:rsid w:val="00C46001"/>
    <w:rsid w:val="00C46E08"/>
    <w:rsid w:val="00C477D3"/>
    <w:rsid w:val="00C4780D"/>
    <w:rsid w:val="00C479E5"/>
    <w:rsid w:val="00C47ACC"/>
    <w:rsid w:val="00C47B49"/>
    <w:rsid w:val="00C47DA9"/>
    <w:rsid w:val="00C50BF9"/>
    <w:rsid w:val="00C50D7B"/>
    <w:rsid w:val="00C50FC2"/>
    <w:rsid w:val="00C5120A"/>
    <w:rsid w:val="00C51291"/>
    <w:rsid w:val="00C51338"/>
    <w:rsid w:val="00C5150A"/>
    <w:rsid w:val="00C5225B"/>
    <w:rsid w:val="00C52667"/>
    <w:rsid w:val="00C52780"/>
    <w:rsid w:val="00C52BCF"/>
    <w:rsid w:val="00C53C8F"/>
    <w:rsid w:val="00C5476B"/>
    <w:rsid w:val="00C54CB2"/>
    <w:rsid w:val="00C55390"/>
    <w:rsid w:val="00C55585"/>
    <w:rsid w:val="00C55829"/>
    <w:rsid w:val="00C55C9A"/>
    <w:rsid w:val="00C5612B"/>
    <w:rsid w:val="00C56136"/>
    <w:rsid w:val="00C56247"/>
    <w:rsid w:val="00C5627C"/>
    <w:rsid w:val="00C56302"/>
    <w:rsid w:val="00C56A86"/>
    <w:rsid w:val="00C56FDC"/>
    <w:rsid w:val="00C571E0"/>
    <w:rsid w:val="00C572B4"/>
    <w:rsid w:val="00C5779D"/>
    <w:rsid w:val="00C578A5"/>
    <w:rsid w:val="00C579CE"/>
    <w:rsid w:val="00C606BB"/>
    <w:rsid w:val="00C6077C"/>
    <w:rsid w:val="00C60D1D"/>
    <w:rsid w:val="00C60EE0"/>
    <w:rsid w:val="00C60F60"/>
    <w:rsid w:val="00C6148D"/>
    <w:rsid w:val="00C617D9"/>
    <w:rsid w:val="00C61C69"/>
    <w:rsid w:val="00C61D2B"/>
    <w:rsid w:val="00C6203C"/>
    <w:rsid w:val="00C6212F"/>
    <w:rsid w:val="00C62323"/>
    <w:rsid w:val="00C62506"/>
    <w:rsid w:val="00C625F2"/>
    <w:rsid w:val="00C6269F"/>
    <w:rsid w:val="00C62828"/>
    <w:rsid w:val="00C62D24"/>
    <w:rsid w:val="00C62F6B"/>
    <w:rsid w:val="00C62FD5"/>
    <w:rsid w:val="00C6344C"/>
    <w:rsid w:val="00C63506"/>
    <w:rsid w:val="00C636C9"/>
    <w:rsid w:val="00C63891"/>
    <w:rsid w:val="00C63B7C"/>
    <w:rsid w:val="00C64260"/>
    <w:rsid w:val="00C6435B"/>
    <w:rsid w:val="00C6458A"/>
    <w:rsid w:val="00C64681"/>
    <w:rsid w:val="00C6470E"/>
    <w:rsid w:val="00C65371"/>
    <w:rsid w:val="00C653B9"/>
    <w:rsid w:val="00C65474"/>
    <w:rsid w:val="00C65B1F"/>
    <w:rsid w:val="00C65BD3"/>
    <w:rsid w:val="00C65DF1"/>
    <w:rsid w:val="00C6652C"/>
    <w:rsid w:val="00C66705"/>
    <w:rsid w:val="00C6683F"/>
    <w:rsid w:val="00C66D7D"/>
    <w:rsid w:val="00C67040"/>
    <w:rsid w:val="00C67A9D"/>
    <w:rsid w:val="00C67B0F"/>
    <w:rsid w:val="00C67BBA"/>
    <w:rsid w:val="00C67C7B"/>
    <w:rsid w:val="00C70148"/>
    <w:rsid w:val="00C702AC"/>
    <w:rsid w:val="00C703C3"/>
    <w:rsid w:val="00C7051E"/>
    <w:rsid w:val="00C7059F"/>
    <w:rsid w:val="00C70FBD"/>
    <w:rsid w:val="00C71082"/>
    <w:rsid w:val="00C71465"/>
    <w:rsid w:val="00C71AA3"/>
    <w:rsid w:val="00C71C37"/>
    <w:rsid w:val="00C71F0A"/>
    <w:rsid w:val="00C71FA9"/>
    <w:rsid w:val="00C72078"/>
    <w:rsid w:val="00C72180"/>
    <w:rsid w:val="00C721CF"/>
    <w:rsid w:val="00C7292C"/>
    <w:rsid w:val="00C72963"/>
    <w:rsid w:val="00C729B5"/>
    <w:rsid w:val="00C72B40"/>
    <w:rsid w:val="00C72B63"/>
    <w:rsid w:val="00C72CEC"/>
    <w:rsid w:val="00C72FEC"/>
    <w:rsid w:val="00C73423"/>
    <w:rsid w:val="00C735B7"/>
    <w:rsid w:val="00C73B4E"/>
    <w:rsid w:val="00C73C33"/>
    <w:rsid w:val="00C73E5D"/>
    <w:rsid w:val="00C742E7"/>
    <w:rsid w:val="00C74338"/>
    <w:rsid w:val="00C75058"/>
    <w:rsid w:val="00C75083"/>
    <w:rsid w:val="00C75410"/>
    <w:rsid w:val="00C75A7C"/>
    <w:rsid w:val="00C75BCA"/>
    <w:rsid w:val="00C75CE3"/>
    <w:rsid w:val="00C76329"/>
    <w:rsid w:val="00C76777"/>
    <w:rsid w:val="00C76901"/>
    <w:rsid w:val="00C76969"/>
    <w:rsid w:val="00C7744E"/>
    <w:rsid w:val="00C77769"/>
    <w:rsid w:val="00C777E0"/>
    <w:rsid w:val="00C77836"/>
    <w:rsid w:val="00C77C30"/>
    <w:rsid w:val="00C801B8"/>
    <w:rsid w:val="00C80478"/>
    <w:rsid w:val="00C804D6"/>
    <w:rsid w:val="00C80675"/>
    <w:rsid w:val="00C80696"/>
    <w:rsid w:val="00C8090D"/>
    <w:rsid w:val="00C80C78"/>
    <w:rsid w:val="00C816A1"/>
    <w:rsid w:val="00C819A7"/>
    <w:rsid w:val="00C81DF9"/>
    <w:rsid w:val="00C821D2"/>
    <w:rsid w:val="00C82A6B"/>
    <w:rsid w:val="00C82C08"/>
    <w:rsid w:val="00C82D8D"/>
    <w:rsid w:val="00C82D8F"/>
    <w:rsid w:val="00C82DDC"/>
    <w:rsid w:val="00C83547"/>
    <w:rsid w:val="00C83837"/>
    <w:rsid w:val="00C83BC6"/>
    <w:rsid w:val="00C84154"/>
    <w:rsid w:val="00C84837"/>
    <w:rsid w:val="00C84B15"/>
    <w:rsid w:val="00C84C1E"/>
    <w:rsid w:val="00C84D00"/>
    <w:rsid w:val="00C84E7A"/>
    <w:rsid w:val="00C85253"/>
    <w:rsid w:val="00C85458"/>
    <w:rsid w:val="00C857AA"/>
    <w:rsid w:val="00C8599B"/>
    <w:rsid w:val="00C85F07"/>
    <w:rsid w:val="00C86117"/>
    <w:rsid w:val="00C86182"/>
    <w:rsid w:val="00C86B4E"/>
    <w:rsid w:val="00C875F1"/>
    <w:rsid w:val="00C8761F"/>
    <w:rsid w:val="00C877B0"/>
    <w:rsid w:val="00C878DB"/>
    <w:rsid w:val="00C87E3A"/>
    <w:rsid w:val="00C87EA0"/>
    <w:rsid w:val="00C90075"/>
    <w:rsid w:val="00C900B9"/>
    <w:rsid w:val="00C900EE"/>
    <w:rsid w:val="00C908D5"/>
    <w:rsid w:val="00C909B0"/>
    <w:rsid w:val="00C9147A"/>
    <w:rsid w:val="00C917B8"/>
    <w:rsid w:val="00C91999"/>
    <w:rsid w:val="00C9249E"/>
    <w:rsid w:val="00C92545"/>
    <w:rsid w:val="00C92550"/>
    <w:rsid w:val="00C92CD9"/>
    <w:rsid w:val="00C92D6F"/>
    <w:rsid w:val="00C92E0C"/>
    <w:rsid w:val="00C93017"/>
    <w:rsid w:val="00C93052"/>
    <w:rsid w:val="00C930F1"/>
    <w:rsid w:val="00C9313B"/>
    <w:rsid w:val="00C93327"/>
    <w:rsid w:val="00C93562"/>
    <w:rsid w:val="00C9383B"/>
    <w:rsid w:val="00C939B8"/>
    <w:rsid w:val="00C93CC8"/>
    <w:rsid w:val="00C93F1B"/>
    <w:rsid w:val="00C94429"/>
    <w:rsid w:val="00C948C5"/>
    <w:rsid w:val="00C94A80"/>
    <w:rsid w:val="00C94F4B"/>
    <w:rsid w:val="00C95518"/>
    <w:rsid w:val="00C95610"/>
    <w:rsid w:val="00C95E61"/>
    <w:rsid w:val="00C95E83"/>
    <w:rsid w:val="00C95EE2"/>
    <w:rsid w:val="00C9685A"/>
    <w:rsid w:val="00C96A2A"/>
    <w:rsid w:val="00C96B64"/>
    <w:rsid w:val="00C96CC3"/>
    <w:rsid w:val="00C96E7F"/>
    <w:rsid w:val="00C97192"/>
    <w:rsid w:val="00CA0058"/>
    <w:rsid w:val="00CA00CD"/>
    <w:rsid w:val="00CA012B"/>
    <w:rsid w:val="00CA023F"/>
    <w:rsid w:val="00CA03A7"/>
    <w:rsid w:val="00CA0426"/>
    <w:rsid w:val="00CA0456"/>
    <w:rsid w:val="00CA0489"/>
    <w:rsid w:val="00CA05EA"/>
    <w:rsid w:val="00CA070B"/>
    <w:rsid w:val="00CA0943"/>
    <w:rsid w:val="00CA0C64"/>
    <w:rsid w:val="00CA124E"/>
    <w:rsid w:val="00CA12CC"/>
    <w:rsid w:val="00CA12DE"/>
    <w:rsid w:val="00CA23B7"/>
    <w:rsid w:val="00CA2671"/>
    <w:rsid w:val="00CA2898"/>
    <w:rsid w:val="00CA2987"/>
    <w:rsid w:val="00CA2F50"/>
    <w:rsid w:val="00CA2FDE"/>
    <w:rsid w:val="00CA303A"/>
    <w:rsid w:val="00CA328B"/>
    <w:rsid w:val="00CA3318"/>
    <w:rsid w:val="00CA385D"/>
    <w:rsid w:val="00CA3A2F"/>
    <w:rsid w:val="00CA3EC4"/>
    <w:rsid w:val="00CA4351"/>
    <w:rsid w:val="00CA4574"/>
    <w:rsid w:val="00CA46DD"/>
    <w:rsid w:val="00CA4854"/>
    <w:rsid w:val="00CA48A8"/>
    <w:rsid w:val="00CA4D7A"/>
    <w:rsid w:val="00CA500F"/>
    <w:rsid w:val="00CA54B9"/>
    <w:rsid w:val="00CA55D0"/>
    <w:rsid w:val="00CA56E1"/>
    <w:rsid w:val="00CA5DB2"/>
    <w:rsid w:val="00CA5E61"/>
    <w:rsid w:val="00CA5EC6"/>
    <w:rsid w:val="00CA663D"/>
    <w:rsid w:val="00CA716C"/>
    <w:rsid w:val="00CA7A56"/>
    <w:rsid w:val="00CB0686"/>
    <w:rsid w:val="00CB069C"/>
    <w:rsid w:val="00CB0BD6"/>
    <w:rsid w:val="00CB1133"/>
    <w:rsid w:val="00CB116B"/>
    <w:rsid w:val="00CB13AF"/>
    <w:rsid w:val="00CB1BBC"/>
    <w:rsid w:val="00CB2209"/>
    <w:rsid w:val="00CB2396"/>
    <w:rsid w:val="00CB2730"/>
    <w:rsid w:val="00CB29F7"/>
    <w:rsid w:val="00CB31B8"/>
    <w:rsid w:val="00CB34A2"/>
    <w:rsid w:val="00CB3C0B"/>
    <w:rsid w:val="00CB3DF5"/>
    <w:rsid w:val="00CB3E6F"/>
    <w:rsid w:val="00CB42F6"/>
    <w:rsid w:val="00CB4844"/>
    <w:rsid w:val="00CB493C"/>
    <w:rsid w:val="00CB4A13"/>
    <w:rsid w:val="00CB4E4D"/>
    <w:rsid w:val="00CB4F84"/>
    <w:rsid w:val="00CB546C"/>
    <w:rsid w:val="00CB5B13"/>
    <w:rsid w:val="00CB5CC1"/>
    <w:rsid w:val="00CB64F9"/>
    <w:rsid w:val="00CB6600"/>
    <w:rsid w:val="00CB672E"/>
    <w:rsid w:val="00CB6858"/>
    <w:rsid w:val="00CB6876"/>
    <w:rsid w:val="00CB6C61"/>
    <w:rsid w:val="00CB6DBF"/>
    <w:rsid w:val="00CB6E08"/>
    <w:rsid w:val="00CB6E94"/>
    <w:rsid w:val="00CB6F96"/>
    <w:rsid w:val="00CB700A"/>
    <w:rsid w:val="00CB711D"/>
    <w:rsid w:val="00CB71D6"/>
    <w:rsid w:val="00CB7335"/>
    <w:rsid w:val="00CB7EEA"/>
    <w:rsid w:val="00CC024F"/>
    <w:rsid w:val="00CC04DB"/>
    <w:rsid w:val="00CC0CAF"/>
    <w:rsid w:val="00CC1461"/>
    <w:rsid w:val="00CC1657"/>
    <w:rsid w:val="00CC1836"/>
    <w:rsid w:val="00CC1A01"/>
    <w:rsid w:val="00CC1BDE"/>
    <w:rsid w:val="00CC1ED2"/>
    <w:rsid w:val="00CC209F"/>
    <w:rsid w:val="00CC2164"/>
    <w:rsid w:val="00CC2519"/>
    <w:rsid w:val="00CC2C5E"/>
    <w:rsid w:val="00CC329B"/>
    <w:rsid w:val="00CC4055"/>
    <w:rsid w:val="00CC41CE"/>
    <w:rsid w:val="00CC43BA"/>
    <w:rsid w:val="00CC46CB"/>
    <w:rsid w:val="00CC47DE"/>
    <w:rsid w:val="00CC47E9"/>
    <w:rsid w:val="00CC4927"/>
    <w:rsid w:val="00CC4A73"/>
    <w:rsid w:val="00CC4CF9"/>
    <w:rsid w:val="00CC52A3"/>
    <w:rsid w:val="00CC5302"/>
    <w:rsid w:val="00CC5477"/>
    <w:rsid w:val="00CC5478"/>
    <w:rsid w:val="00CC54BD"/>
    <w:rsid w:val="00CC5806"/>
    <w:rsid w:val="00CC582B"/>
    <w:rsid w:val="00CC5901"/>
    <w:rsid w:val="00CC5ED8"/>
    <w:rsid w:val="00CC6083"/>
    <w:rsid w:val="00CC6491"/>
    <w:rsid w:val="00CC6608"/>
    <w:rsid w:val="00CC69DB"/>
    <w:rsid w:val="00CC7429"/>
    <w:rsid w:val="00CC76A3"/>
    <w:rsid w:val="00CC7CD2"/>
    <w:rsid w:val="00CC7DE7"/>
    <w:rsid w:val="00CD0241"/>
    <w:rsid w:val="00CD08C9"/>
    <w:rsid w:val="00CD1314"/>
    <w:rsid w:val="00CD1486"/>
    <w:rsid w:val="00CD1CC2"/>
    <w:rsid w:val="00CD218F"/>
    <w:rsid w:val="00CD21DD"/>
    <w:rsid w:val="00CD235E"/>
    <w:rsid w:val="00CD2BF4"/>
    <w:rsid w:val="00CD326F"/>
    <w:rsid w:val="00CD3440"/>
    <w:rsid w:val="00CD3621"/>
    <w:rsid w:val="00CD3695"/>
    <w:rsid w:val="00CD3998"/>
    <w:rsid w:val="00CD3D4C"/>
    <w:rsid w:val="00CD4619"/>
    <w:rsid w:val="00CD47B2"/>
    <w:rsid w:val="00CD4A4B"/>
    <w:rsid w:val="00CD5612"/>
    <w:rsid w:val="00CD57FF"/>
    <w:rsid w:val="00CD596D"/>
    <w:rsid w:val="00CD5D6C"/>
    <w:rsid w:val="00CD63BD"/>
    <w:rsid w:val="00CD6479"/>
    <w:rsid w:val="00CD65F6"/>
    <w:rsid w:val="00CD69BA"/>
    <w:rsid w:val="00CD6D12"/>
    <w:rsid w:val="00CD701A"/>
    <w:rsid w:val="00CD71E5"/>
    <w:rsid w:val="00CD767C"/>
    <w:rsid w:val="00CD7740"/>
    <w:rsid w:val="00CD7A26"/>
    <w:rsid w:val="00CD7A77"/>
    <w:rsid w:val="00CD7AE9"/>
    <w:rsid w:val="00CDE510"/>
    <w:rsid w:val="00CE010B"/>
    <w:rsid w:val="00CE04C5"/>
    <w:rsid w:val="00CE0EEC"/>
    <w:rsid w:val="00CE15D1"/>
    <w:rsid w:val="00CE16DD"/>
    <w:rsid w:val="00CE1A3E"/>
    <w:rsid w:val="00CE2A28"/>
    <w:rsid w:val="00CE2AEC"/>
    <w:rsid w:val="00CE2D03"/>
    <w:rsid w:val="00CE3004"/>
    <w:rsid w:val="00CE305F"/>
    <w:rsid w:val="00CE326C"/>
    <w:rsid w:val="00CE36D4"/>
    <w:rsid w:val="00CE456B"/>
    <w:rsid w:val="00CE48CE"/>
    <w:rsid w:val="00CE4D25"/>
    <w:rsid w:val="00CE4FCD"/>
    <w:rsid w:val="00CE591A"/>
    <w:rsid w:val="00CE5C39"/>
    <w:rsid w:val="00CE63B0"/>
    <w:rsid w:val="00CE7269"/>
    <w:rsid w:val="00CE7376"/>
    <w:rsid w:val="00CE73AB"/>
    <w:rsid w:val="00CE7415"/>
    <w:rsid w:val="00CE77D5"/>
    <w:rsid w:val="00CE7A39"/>
    <w:rsid w:val="00CE7DBF"/>
    <w:rsid w:val="00CE7E82"/>
    <w:rsid w:val="00CE7FC4"/>
    <w:rsid w:val="00CF00EC"/>
    <w:rsid w:val="00CF0720"/>
    <w:rsid w:val="00CF0764"/>
    <w:rsid w:val="00CF0A5C"/>
    <w:rsid w:val="00CF0CF6"/>
    <w:rsid w:val="00CF0D72"/>
    <w:rsid w:val="00CF0E8B"/>
    <w:rsid w:val="00CF11AB"/>
    <w:rsid w:val="00CF1639"/>
    <w:rsid w:val="00CF1880"/>
    <w:rsid w:val="00CF1A56"/>
    <w:rsid w:val="00CF2BE9"/>
    <w:rsid w:val="00CF31FA"/>
    <w:rsid w:val="00CF3425"/>
    <w:rsid w:val="00CF3711"/>
    <w:rsid w:val="00CF3BBE"/>
    <w:rsid w:val="00CF3DA0"/>
    <w:rsid w:val="00CF3F20"/>
    <w:rsid w:val="00CF40C9"/>
    <w:rsid w:val="00CF431B"/>
    <w:rsid w:val="00CF45BB"/>
    <w:rsid w:val="00CF4780"/>
    <w:rsid w:val="00CF4B78"/>
    <w:rsid w:val="00CF4D1E"/>
    <w:rsid w:val="00CF5143"/>
    <w:rsid w:val="00CF51AC"/>
    <w:rsid w:val="00CF55BD"/>
    <w:rsid w:val="00CF5622"/>
    <w:rsid w:val="00CF5651"/>
    <w:rsid w:val="00CF5B44"/>
    <w:rsid w:val="00CF5BAB"/>
    <w:rsid w:val="00CF5D7A"/>
    <w:rsid w:val="00CF608A"/>
    <w:rsid w:val="00CF6AFD"/>
    <w:rsid w:val="00CF6BC4"/>
    <w:rsid w:val="00CF71A9"/>
    <w:rsid w:val="00CF73CB"/>
    <w:rsid w:val="00CF7C2F"/>
    <w:rsid w:val="00CF7C48"/>
    <w:rsid w:val="00D00292"/>
    <w:rsid w:val="00D005D2"/>
    <w:rsid w:val="00D007B4"/>
    <w:rsid w:val="00D009CF"/>
    <w:rsid w:val="00D01077"/>
    <w:rsid w:val="00D011F5"/>
    <w:rsid w:val="00D0130A"/>
    <w:rsid w:val="00D014C4"/>
    <w:rsid w:val="00D01638"/>
    <w:rsid w:val="00D016A6"/>
    <w:rsid w:val="00D01A4E"/>
    <w:rsid w:val="00D01BC8"/>
    <w:rsid w:val="00D01CBD"/>
    <w:rsid w:val="00D01E69"/>
    <w:rsid w:val="00D02110"/>
    <w:rsid w:val="00D02259"/>
    <w:rsid w:val="00D025E4"/>
    <w:rsid w:val="00D0264D"/>
    <w:rsid w:val="00D027BD"/>
    <w:rsid w:val="00D028AA"/>
    <w:rsid w:val="00D03308"/>
    <w:rsid w:val="00D034F7"/>
    <w:rsid w:val="00D035F2"/>
    <w:rsid w:val="00D03671"/>
    <w:rsid w:val="00D03723"/>
    <w:rsid w:val="00D03C54"/>
    <w:rsid w:val="00D04599"/>
    <w:rsid w:val="00D045C2"/>
    <w:rsid w:val="00D04822"/>
    <w:rsid w:val="00D04E4F"/>
    <w:rsid w:val="00D051B4"/>
    <w:rsid w:val="00D054B0"/>
    <w:rsid w:val="00D0592D"/>
    <w:rsid w:val="00D060DD"/>
    <w:rsid w:val="00D0671D"/>
    <w:rsid w:val="00D06A55"/>
    <w:rsid w:val="00D06F3D"/>
    <w:rsid w:val="00D07041"/>
    <w:rsid w:val="00D071B2"/>
    <w:rsid w:val="00D07351"/>
    <w:rsid w:val="00D07598"/>
    <w:rsid w:val="00D077E9"/>
    <w:rsid w:val="00D10259"/>
    <w:rsid w:val="00D10457"/>
    <w:rsid w:val="00D107BA"/>
    <w:rsid w:val="00D10DDC"/>
    <w:rsid w:val="00D10DFA"/>
    <w:rsid w:val="00D10E6A"/>
    <w:rsid w:val="00D10F92"/>
    <w:rsid w:val="00D11029"/>
    <w:rsid w:val="00D112BC"/>
    <w:rsid w:val="00D12327"/>
    <w:rsid w:val="00D12447"/>
    <w:rsid w:val="00D12DEA"/>
    <w:rsid w:val="00D12E83"/>
    <w:rsid w:val="00D12EF8"/>
    <w:rsid w:val="00D134B2"/>
    <w:rsid w:val="00D135A2"/>
    <w:rsid w:val="00D13882"/>
    <w:rsid w:val="00D14A0E"/>
    <w:rsid w:val="00D14EEB"/>
    <w:rsid w:val="00D14FEB"/>
    <w:rsid w:val="00D153A1"/>
    <w:rsid w:val="00D156C6"/>
    <w:rsid w:val="00D15978"/>
    <w:rsid w:val="00D15A32"/>
    <w:rsid w:val="00D15BFF"/>
    <w:rsid w:val="00D1610B"/>
    <w:rsid w:val="00D16208"/>
    <w:rsid w:val="00D16294"/>
    <w:rsid w:val="00D164B4"/>
    <w:rsid w:val="00D16503"/>
    <w:rsid w:val="00D166A0"/>
    <w:rsid w:val="00D169A5"/>
    <w:rsid w:val="00D16AB4"/>
    <w:rsid w:val="00D16BDE"/>
    <w:rsid w:val="00D16C06"/>
    <w:rsid w:val="00D16CC7"/>
    <w:rsid w:val="00D17224"/>
    <w:rsid w:val="00D1768D"/>
    <w:rsid w:val="00D17766"/>
    <w:rsid w:val="00D17847"/>
    <w:rsid w:val="00D17890"/>
    <w:rsid w:val="00D179EF"/>
    <w:rsid w:val="00D2064C"/>
    <w:rsid w:val="00D20BCE"/>
    <w:rsid w:val="00D21132"/>
    <w:rsid w:val="00D211D0"/>
    <w:rsid w:val="00D21305"/>
    <w:rsid w:val="00D213AF"/>
    <w:rsid w:val="00D217D3"/>
    <w:rsid w:val="00D219C9"/>
    <w:rsid w:val="00D21BC6"/>
    <w:rsid w:val="00D21BEF"/>
    <w:rsid w:val="00D21ECB"/>
    <w:rsid w:val="00D2269C"/>
    <w:rsid w:val="00D2309D"/>
    <w:rsid w:val="00D2383C"/>
    <w:rsid w:val="00D23E53"/>
    <w:rsid w:val="00D24CEB"/>
    <w:rsid w:val="00D24E60"/>
    <w:rsid w:val="00D2514F"/>
    <w:rsid w:val="00D25615"/>
    <w:rsid w:val="00D2577D"/>
    <w:rsid w:val="00D258A7"/>
    <w:rsid w:val="00D25E76"/>
    <w:rsid w:val="00D25F3D"/>
    <w:rsid w:val="00D26213"/>
    <w:rsid w:val="00D26410"/>
    <w:rsid w:val="00D26742"/>
    <w:rsid w:val="00D267B5"/>
    <w:rsid w:val="00D26947"/>
    <w:rsid w:val="00D26C05"/>
    <w:rsid w:val="00D26CD5"/>
    <w:rsid w:val="00D2702A"/>
    <w:rsid w:val="00D272F6"/>
    <w:rsid w:val="00D2775F"/>
    <w:rsid w:val="00D27914"/>
    <w:rsid w:val="00D27B62"/>
    <w:rsid w:val="00D27DC1"/>
    <w:rsid w:val="00D27FF5"/>
    <w:rsid w:val="00D3017F"/>
    <w:rsid w:val="00D30D6E"/>
    <w:rsid w:val="00D30F5A"/>
    <w:rsid w:val="00D310B3"/>
    <w:rsid w:val="00D3119F"/>
    <w:rsid w:val="00D31299"/>
    <w:rsid w:val="00D3192D"/>
    <w:rsid w:val="00D320D6"/>
    <w:rsid w:val="00D32268"/>
    <w:rsid w:val="00D32676"/>
    <w:rsid w:val="00D326ED"/>
    <w:rsid w:val="00D32961"/>
    <w:rsid w:val="00D32DD0"/>
    <w:rsid w:val="00D32DE9"/>
    <w:rsid w:val="00D32F2B"/>
    <w:rsid w:val="00D32FED"/>
    <w:rsid w:val="00D33520"/>
    <w:rsid w:val="00D3353A"/>
    <w:rsid w:val="00D338E6"/>
    <w:rsid w:val="00D33BE7"/>
    <w:rsid w:val="00D33C20"/>
    <w:rsid w:val="00D33CCF"/>
    <w:rsid w:val="00D33D56"/>
    <w:rsid w:val="00D33DFE"/>
    <w:rsid w:val="00D33E01"/>
    <w:rsid w:val="00D34019"/>
    <w:rsid w:val="00D345C7"/>
    <w:rsid w:val="00D349F9"/>
    <w:rsid w:val="00D34A68"/>
    <w:rsid w:val="00D34BAC"/>
    <w:rsid w:val="00D34C91"/>
    <w:rsid w:val="00D35113"/>
    <w:rsid w:val="00D3525A"/>
    <w:rsid w:val="00D353CD"/>
    <w:rsid w:val="00D3555D"/>
    <w:rsid w:val="00D35585"/>
    <w:rsid w:val="00D35997"/>
    <w:rsid w:val="00D35BD9"/>
    <w:rsid w:val="00D35F72"/>
    <w:rsid w:val="00D35FAB"/>
    <w:rsid w:val="00D36483"/>
    <w:rsid w:val="00D3679D"/>
    <w:rsid w:val="00D36A44"/>
    <w:rsid w:val="00D36DDA"/>
    <w:rsid w:val="00D36E7B"/>
    <w:rsid w:val="00D3785F"/>
    <w:rsid w:val="00D378A0"/>
    <w:rsid w:val="00D3791F"/>
    <w:rsid w:val="00D401BC"/>
    <w:rsid w:val="00D40303"/>
    <w:rsid w:val="00D404E7"/>
    <w:rsid w:val="00D40844"/>
    <w:rsid w:val="00D40860"/>
    <w:rsid w:val="00D4091D"/>
    <w:rsid w:val="00D409D1"/>
    <w:rsid w:val="00D40C97"/>
    <w:rsid w:val="00D4144B"/>
    <w:rsid w:val="00D41E90"/>
    <w:rsid w:val="00D41EFB"/>
    <w:rsid w:val="00D41F14"/>
    <w:rsid w:val="00D42080"/>
    <w:rsid w:val="00D42706"/>
    <w:rsid w:val="00D429C2"/>
    <w:rsid w:val="00D42BF2"/>
    <w:rsid w:val="00D42BFB"/>
    <w:rsid w:val="00D42FB3"/>
    <w:rsid w:val="00D4307C"/>
    <w:rsid w:val="00D433FE"/>
    <w:rsid w:val="00D4347E"/>
    <w:rsid w:val="00D44006"/>
    <w:rsid w:val="00D4416C"/>
    <w:rsid w:val="00D44BDA"/>
    <w:rsid w:val="00D44C15"/>
    <w:rsid w:val="00D44E7C"/>
    <w:rsid w:val="00D453C4"/>
    <w:rsid w:val="00D45809"/>
    <w:rsid w:val="00D46766"/>
    <w:rsid w:val="00D46B94"/>
    <w:rsid w:val="00D46E11"/>
    <w:rsid w:val="00D46FCD"/>
    <w:rsid w:val="00D4706D"/>
    <w:rsid w:val="00D47315"/>
    <w:rsid w:val="00D47E6D"/>
    <w:rsid w:val="00D5000D"/>
    <w:rsid w:val="00D50040"/>
    <w:rsid w:val="00D50146"/>
    <w:rsid w:val="00D50159"/>
    <w:rsid w:val="00D503AA"/>
    <w:rsid w:val="00D505A3"/>
    <w:rsid w:val="00D512A1"/>
    <w:rsid w:val="00D512B4"/>
    <w:rsid w:val="00D5141E"/>
    <w:rsid w:val="00D514A0"/>
    <w:rsid w:val="00D51595"/>
    <w:rsid w:val="00D5184F"/>
    <w:rsid w:val="00D51EC1"/>
    <w:rsid w:val="00D5262E"/>
    <w:rsid w:val="00D52B8B"/>
    <w:rsid w:val="00D52BB7"/>
    <w:rsid w:val="00D52BE3"/>
    <w:rsid w:val="00D52D24"/>
    <w:rsid w:val="00D53118"/>
    <w:rsid w:val="00D5329E"/>
    <w:rsid w:val="00D53393"/>
    <w:rsid w:val="00D53579"/>
    <w:rsid w:val="00D5370D"/>
    <w:rsid w:val="00D53828"/>
    <w:rsid w:val="00D54E25"/>
    <w:rsid w:val="00D554FA"/>
    <w:rsid w:val="00D555F2"/>
    <w:rsid w:val="00D556AC"/>
    <w:rsid w:val="00D556E7"/>
    <w:rsid w:val="00D55A02"/>
    <w:rsid w:val="00D55AC6"/>
    <w:rsid w:val="00D56336"/>
    <w:rsid w:val="00D563D4"/>
    <w:rsid w:val="00D56C3F"/>
    <w:rsid w:val="00D56CEF"/>
    <w:rsid w:val="00D57148"/>
    <w:rsid w:val="00D57C21"/>
    <w:rsid w:val="00D57D6A"/>
    <w:rsid w:val="00D600B6"/>
    <w:rsid w:val="00D601BF"/>
    <w:rsid w:val="00D60C98"/>
    <w:rsid w:val="00D6147B"/>
    <w:rsid w:val="00D617B2"/>
    <w:rsid w:val="00D61855"/>
    <w:rsid w:val="00D61AE5"/>
    <w:rsid w:val="00D6234E"/>
    <w:rsid w:val="00D6246B"/>
    <w:rsid w:val="00D62DC6"/>
    <w:rsid w:val="00D62FFE"/>
    <w:rsid w:val="00D6300F"/>
    <w:rsid w:val="00D63451"/>
    <w:rsid w:val="00D63692"/>
    <w:rsid w:val="00D637C1"/>
    <w:rsid w:val="00D63DED"/>
    <w:rsid w:val="00D63DF6"/>
    <w:rsid w:val="00D64052"/>
    <w:rsid w:val="00D64101"/>
    <w:rsid w:val="00D6424E"/>
    <w:rsid w:val="00D64401"/>
    <w:rsid w:val="00D65936"/>
    <w:rsid w:val="00D6599A"/>
    <w:rsid w:val="00D65F98"/>
    <w:rsid w:val="00D6607A"/>
    <w:rsid w:val="00D662DA"/>
    <w:rsid w:val="00D66610"/>
    <w:rsid w:val="00D669E0"/>
    <w:rsid w:val="00D66A0B"/>
    <w:rsid w:val="00D66A60"/>
    <w:rsid w:val="00D66DBA"/>
    <w:rsid w:val="00D66FD3"/>
    <w:rsid w:val="00D672D7"/>
    <w:rsid w:val="00D67552"/>
    <w:rsid w:val="00D675AD"/>
    <w:rsid w:val="00D675D2"/>
    <w:rsid w:val="00D67643"/>
    <w:rsid w:val="00D67A2B"/>
    <w:rsid w:val="00D7038D"/>
    <w:rsid w:val="00D70628"/>
    <w:rsid w:val="00D70BCC"/>
    <w:rsid w:val="00D70EF9"/>
    <w:rsid w:val="00D7153C"/>
    <w:rsid w:val="00D71834"/>
    <w:rsid w:val="00D71C50"/>
    <w:rsid w:val="00D71DE9"/>
    <w:rsid w:val="00D726C3"/>
    <w:rsid w:val="00D728DB"/>
    <w:rsid w:val="00D73463"/>
    <w:rsid w:val="00D7359A"/>
    <w:rsid w:val="00D73713"/>
    <w:rsid w:val="00D73A5C"/>
    <w:rsid w:val="00D73B3D"/>
    <w:rsid w:val="00D73D6D"/>
    <w:rsid w:val="00D73E42"/>
    <w:rsid w:val="00D73F6D"/>
    <w:rsid w:val="00D74320"/>
    <w:rsid w:val="00D74398"/>
    <w:rsid w:val="00D7462C"/>
    <w:rsid w:val="00D747F2"/>
    <w:rsid w:val="00D748E6"/>
    <w:rsid w:val="00D74CF7"/>
    <w:rsid w:val="00D75932"/>
    <w:rsid w:val="00D75999"/>
    <w:rsid w:val="00D75AF0"/>
    <w:rsid w:val="00D75C6A"/>
    <w:rsid w:val="00D75D7C"/>
    <w:rsid w:val="00D7610E"/>
    <w:rsid w:val="00D766AA"/>
    <w:rsid w:val="00D766C2"/>
    <w:rsid w:val="00D766D3"/>
    <w:rsid w:val="00D76702"/>
    <w:rsid w:val="00D767A4"/>
    <w:rsid w:val="00D767DD"/>
    <w:rsid w:val="00D768E4"/>
    <w:rsid w:val="00D76997"/>
    <w:rsid w:val="00D76B6B"/>
    <w:rsid w:val="00D76DE8"/>
    <w:rsid w:val="00D77002"/>
    <w:rsid w:val="00D77015"/>
    <w:rsid w:val="00D772D6"/>
    <w:rsid w:val="00D775AD"/>
    <w:rsid w:val="00D775D0"/>
    <w:rsid w:val="00D800CC"/>
    <w:rsid w:val="00D8019B"/>
    <w:rsid w:val="00D8031B"/>
    <w:rsid w:val="00D8106B"/>
    <w:rsid w:val="00D8109E"/>
    <w:rsid w:val="00D812A8"/>
    <w:rsid w:val="00D812D1"/>
    <w:rsid w:val="00D81B0F"/>
    <w:rsid w:val="00D8220A"/>
    <w:rsid w:val="00D82351"/>
    <w:rsid w:val="00D82653"/>
    <w:rsid w:val="00D82E8A"/>
    <w:rsid w:val="00D82F93"/>
    <w:rsid w:val="00D838BC"/>
    <w:rsid w:val="00D83EE1"/>
    <w:rsid w:val="00D83F42"/>
    <w:rsid w:val="00D84238"/>
    <w:rsid w:val="00D844FA"/>
    <w:rsid w:val="00D84845"/>
    <w:rsid w:val="00D84A30"/>
    <w:rsid w:val="00D84BD6"/>
    <w:rsid w:val="00D853B4"/>
    <w:rsid w:val="00D85551"/>
    <w:rsid w:val="00D8587E"/>
    <w:rsid w:val="00D85A41"/>
    <w:rsid w:val="00D86014"/>
    <w:rsid w:val="00D8639C"/>
    <w:rsid w:val="00D865A2"/>
    <w:rsid w:val="00D866DB"/>
    <w:rsid w:val="00D8685E"/>
    <w:rsid w:val="00D86BA6"/>
    <w:rsid w:val="00D8704B"/>
    <w:rsid w:val="00D87433"/>
    <w:rsid w:val="00D878EA"/>
    <w:rsid w:val="00D87F5B"/>
    <w:rsid w:val="00D8B191"/>
    <w:rsid w:val="00D90526"/>
    <w:rsid w:val="00D909C3"/>
    <w:rsid w:val="00D90CB6"/>
    <w:rsid w:val="00D90DD4"/>
    <w:rsid w:val="00D91027"/>
    <w:rsid w:val="00D9103C"/>
    <w:rsid w:val="00D910D0"/>
    <w:rsid w:val="00D9121D"/>
    <w:rsid w:val="00D912EF"/>
    <w:rsid w:val="00D913F7"/>
    <w:rsid w:val="00D91495"/>
    <w:rsid w:val="00D91513"/>
    <w:rsid w:val="00D9172D"/>
    <w:rsid w:val="00D91B21"/>
    <w:rsid w:val="00D92075"/>
    <w:rsid w:val="00D92159"/>
    <w:rsid w:val="00D92542"/>
    <w:rsid w:val="00D92807"/>
    <w:rsid w:val="00D928F8"/>
    <w:rsid w:val="00D92961"/>
    <w:rsid w:val="00D92C2A"/>
    <w:rsid w:val="00D93380"/>
    <w:rsid w:val="00D934F9"/>
    <w:rsid w:val="00D9389E"/>
    <w:rsid w:val="00D94253"/>
    <w:rsid w:val="00D9462F"/>
    <w:rsid w:val="00D9477D"/>
    <w:rsid w:val="00D9490B"/>
    <w:rsid w:val="00D95751"/>
    <w:rsid w:val="00D95881"/>
    <w:rsid w:val="00D95B54"/>
    <w:rsid w:val="00D95E1E"/>
    <w:rsid w:val="00D95F5B"/>
    <w:rsid w:val="00D961B8"/>
    <w:rsid w:val="00D96293"/>
    <w:rsid w:val="00D96B4A"/>
    <w:rsid w:val="00D96D4E"/>
    <w:rsid w:val="00D9747A"/>
    <w:rsid w:val="00D975F9"/>
    <w:rsid w:val="00D97751"/>
    <w:rsid w:val="00D97945"/>
    <w:rsid w:val="00D97DF0"/>
    <w:rsid w:val="00DA017B"/>
    <w:rsid w:val="00DA08ED"/>
    <w:rsid w:val="00DA0E3B"/>
    <w:rsid w:val="00DA12DA"/>
    <w:rsid w:val="00DA1409"/>
    <w:rsid w:val="00DA185B"/>
    <w:rsid w:val="00DA19E7"/>
    <w:rsid w:val="00DA1A0C"/>
    <w:rsid w:val="00DA1B75"/>
    <w:rsid w:val="00DA2727"/>
    <w:rsid w:val="00DA2888"/>
    <w:rsid w:val="00DA2FA5"/>
    <w:rsid w:val="00DA317E"/>
    <w:rsid w:val="00DA333E"/>
    <w:rsid w:val="00DA34D4"/>
    <w:rsid w:val="00DA35E4"/>
    <w:rsid w:val="00DA3692"/>
    <w:rsid w:val="00DA3A08"/>
    <w:rsid w:val="00DA3A6C"/>
    <w:rsid w:val="00DA4243"/>
    <w:rsid w:val="00DA4646"/>
    <w:rsid w:val="00DA46DC"/>
    <w:rsid w:val="00DA481B"/>
    <w:rsid w:val="00DA4996"/>
    <w:rsid w:val="00DA4C64"/>
    <w:rsid w:val="00DA4E06"/>
    <w:rsid w:val="00DA52BA"/>
    <w:rsid w:val="00DA546D"/>
    <w:rsid w:val="00DA55C5"/>
    <w:rsid w:val="00DA5734"/>
    <w:rsid w:val="00DA5775"/>
    <w:rsid w:val="00DA58FE"/>
    <w:rsid w:val="00DA5B17"/>
    <w:rsid w:val="00DA5B6A"/>
    <w:rsid w:val="00DA5B7B"/>
    <w:rsid w:val="00DA5B94"/>
    <w:rsid w:val="00DA5CD0"/>
    <w:rsid w:val="00DA6385"/>
    <w:rsid w:val="00DA63E3"/>
    <w:rsid w:val="00DA654D"/>
    <w:rsid w:val="00DA6C49"/>
    <w:rsid w:val="00DA6F9B"/>
    <w:rsid w:val="00DA7366"/>
    <w:rsid w:val="00DA74AF"/>
    <w:rsid w:val="00DA7C05"/>
    <w:rsid w:val="00DA7ED6"/>
    <w:rsid w:val="00DB00C3"/>
    <w:rsid w:val="00DB063D"/>
    <w:rsid w:val="00DB086A"/>
    <w:rsid w:val="00DB0873"/>
    <w:rsid w:val="00DB0C2F"/>
    <w:rsid w:val="00DB1C4C"/>
    <w:rsid w:val="00DB1E7B"/>
    <w:rsid w:val="00DB23AA"/>
    <w:rsid w:val="00DB2463"/>
    <w:rsid w:val="00DB2796"/>
    <w:rsid w:val="00DB2FFA"/>
    <w:rsid w:val="00DB311F"/>
    <w:rsid w:val="00DB3586"/>
    <w:rsid w:val="00DB3F07"/>
    <w:rsid w:val="00DB3FCC"/>
    <w:rsid w:val="00DB4693"/>
    <w:rsid w:val="00DB4D2E"/>
    <w:rsid w:val="00DB52BC"/>
    <w:rsid w:val="00DB53CA"/>
    <w:rsid w:val="00DB5F2B"/>
    <w:rsid w:val="00DB62D7"/>
    <w:rsid w:val="00DB6489"/>
    <w:rsid w:val="00DB6992"/>
    <w:rsid w:val="00DB6B13"/>
    <w:rsid w:val="00DB6B48"/>
    <w:rsid w:val="00DB6BA6"/>
    <w:rsid w:val="00DB7493"/>
    <w:rsid w:val="00DB7A86"/>
    <w:rsid w:val="00DB7AC7"/>
    <w:rsid w:val="00DC04BA"/>
    <w:rsid w:val="00DC055C"/>
    <w:rsid w:val="00DC05AC"/>
    <w:rsid w:val="00DC062F"/>
    <w:rsid w:val="00DC079E"/>
    <w:rsid w:val="00DC0962"/>
    <w:rsid w:val="00DC0BE0"/>
    <w:rsid w:val="00DC0D1E"/>
    <w:rsid w:val="00DC0D9E"/>
    <w:rsid w:val="00DC1649"/>
    <w:rsid w:val="00DC1721"/>
    <w:rsid w:val="00DC1CC7"/>
    <w:rsid w:val="00DC215B"/>
    <w:rsid w:val="00DC24E0"/>
    <w:rsid w:val="00DC25B6"/>
    <w:rsid w:val="00DC2651"/>
    <w:rsid w:val="00DC286A"/>
    <w:rsid w:val="00DC2B8D"/>
    <w:rsid w:val="00DC2DB6"/>
    <w:rsid w:val="00DC2E04"/>
    <w:rsid w:val="00DC30A6"/>
    <w:rsid w:val="00DC3179"/>
    <w:rsid w:val="00DC42AF"/>
    <w:rsid w:val="00DC42F6"/>
    <w:rsid w:val="00DC4597"/>
    <w:rsid w:val="00DC499C"/>
    <w:rsid w:val="00DC4A4C"/>
    <w:rsid w:val="00DC4B0A"/>
    <w:rsid w:val="00DC516D"/>
    <w:rsid w:val="00DC58EE"/>
    <w:rsid w:val="00DC5D1D"/>
    <w:rsid w:val="00DC5DA0"/>
    <w:rsid w:val="00DC5FAA"/>
    <w:rsid w:val="00DC6ABA"/>
    <w:rsid w:val="00DC6E17"/>
    <w:rsid w:val="00DC75DA"/>
    <w:rsid w:val="00DC7A6C"/>
    <w:rsid w:val="00DC7F6B"/>
    <w:rsid w:val="00DD017B"/>
    <w:rsid w:val="00DD03D1"/>
    <w:rsid w:val="00DD04E2"/>
    <w:rsid w:val="00DD055D"/>
    <w:rsid w:val="00DD07A4"/>
    <w:rsid w:val="00DD0A34"/>
    <w:rsid w:val="00DD1041"/>
    <w:rsid w:val="00DD13DA"/>
    <w:rsid w:val="00DD143C"/>
    <w:rsid w:val="00DD162A"/>
    <w:rsid w:val="00DD16C0"/>
    <w:rsid w:val="00DD18B5"/>
    <w:rsid w:val="00DD1B04"/>
    <w:rsid w:val="00DD1B17"/>
    <w:rsid w:val="00DD1EF9"/>
    <w:rsid w:val="00DD2141"/>
    <w:rsid w:val="00DD24CF"/>
    <w:rsid w:val="00DD25EB"/>
    <w:rsid w:val="00DD2A71"/>
    <w:rsid w:val="00DD2ACD"/>
    <w:rsid w:val="00DD2F18"/>
    <w:rsid w:val="00DD3005"/>
    <w:rsid w:val="00DD33C6"/>
    <w:rsid w:val="00DD3939"/>
    <w:rsid w:val="00DD394E"/>
    <w:rsid w:val="00DD421B"/>
    <w:rsid w:val="00DD483D"/>
    <w:rsid w:val="00DD56A9"/>
    <w:rsid w:val="00DD5C85"/>
    <w:rsid w:val="00DD5D68"/>
    <w:rsid w:val="00DD618D"/>
    <w:rsid w:val="00DD61AE"/>
    <w:rsid w:val="00DD686B"/>
    <w:rsid w:val="00DD764D"/>
    <w:rsid w:val="00DD7976"/>
    <w:rsid w:val="00DD7A9E"/>
    <w:rsid w:val="00DD7DAB"/>
    <w:rsid w:val="00DE006A"/>
    <w:rsid w:val="00DE030F"/>
    <w:rsid w:val="00DE03C9"/>
    <w:rsid w:val="00DE04EC"/>
    <w:rsid w:val="00DE0553"/>
    <w:rsid w:val="00DE063C"/>
    <w:rsid w:val="00DE067D"/>
    <w:rsid w:val="00DE0BDE"/>
    <w:rsid w:val="00DE0C26"/>
    <w:rsid w:val="00DE0EB0"/>
    <w:rsid w:val="00DE1184"/>
    <w:rsid w:val="00DE142B"/>
    <w:rsid w:val="00DE153A"/>
    <w:rsid w:val="00DE1B4C"/>
    <w:rsid w:val="00DE1E74"/>
    <w:rsid w:val="00DE23C8"/>
    <w:rsid w:val="00DE3354"/>
    <w:rsid w:val="00DE352C"/>
    <w:rsid w:val="00DE413D"/>
    <w:rsid w:val="00DE5442"/>
    <w:rsid w:val="00DE5656"/>
    <w:rsid w:val="00DE58AB"/>
    <w:rsid w:val="00DE5AAD"/>
    <w:rsid w:val="00DE6126"/>
    <w:rsid w:val="00DE61C8"/>
    <w:rsid w:val="00DE64B5"/>
    <w:rsid w:val="00DE69F4"/>
    <w:rsid w:val="00DE6ABD"/>
    <w:rsid w:val="00DE6E15"/>
    <w:rsid w:val="00DF0425"/>
    <w:rsid w:val="00DF065C"/>
    <w:rsid w:val="00DF06CA"/>
    <w:rsid w:val="00DF0AA8"/>
    <w:rsid w:val="00DF0CBE"/>
    <w:rsid w:val="00DF0E09"/>
    <w:rsid w:val="00DF129F"/>
    <w:rsid w:val="00DF16F9"/>
    <w:rsid w:val="00DF1761"/>
    <w:rsid w:val="00DF1818"/>
    <w:rsid w:val="00DF1BB0"/>
    <w:rsid w:val="00DF2169"/>
    <w:rsid w:val="00DF2251"/>
    <w:rsid w:val="00DF29C4"/>
    <w:rsid w:val="00DF2FDA"/>
    <w:rsid w:val="00DF330A"/>
    <w:rsid w:val="00DF33D2"/>
    <w:rsid w:val="00DF3A64"/>
    <w:rsid w:val="00DF3A7C"/>
    <w:rsid w:val="00DF3AB8"/>
    <w:rsid w:val="00DF3D85"/>
    <w:rsid w:val="00DF4139"/>
    <w:rsid w:val="00DF46AA"/>
    <w:rsid w:val="00DF4792"/>
    <w:rsid w:val="00DF4E8E"/>
    <w:rsid w:val="00DF4EC7"/>
    <w:rsid w:val="00DF5021"/>
    <w:rsid w:val="00DF5772"/>
    <w:rsid w:val="00DF5D03"/>
    <w:rsid w:val="00DF5F87"/>
    <w:rsid w:val="00DF637B"/>
    <w:rsid w:val="00DF694B"/>
    <w:rsid w:val="00DF6F28"/>
    <w:rsid w:val="00DF7C47"/>
    <w:rsid w:val="00DF7CEC"/>
    <w:rsid w:val="00E00056"/>
    <w:rsid w:val="00E000A9"/>
    <w:rsid w:val="00E00843"/>
    <w:rsid w:val="00E00A35"/>
    <w:rsid w:val="00E010CB"/>
    <w:rsid w:val="00E01135"/>
    <w:rsid w:val="00E018FD"/>
    <w:rsid w:val="00E023B2"/>
    <w:rsid w:val="00E0264F"/>
    <w:rsid w:val="00E02A73"/>
    <w:rsid w:val="00E02A8E"/>
    <w:rsid w:val="00E02B0F"/>
    <w:rsid w:val="00E02BD4"/>
    <w:rsid w:val="00E02F92"/>
    <w:rsid w:val="00E0317F"/>
    <w:rsid w:val="00E03526"/>
    <w:rsid w:val="00E038D2"/>
    <w:rsid w:val="00E03D9A"/>
    <w:rsid w:val="00E03F3D"/>
    <w:rsid w:val="00E03F80"/>
    <w:rsid w:val="00E0404E"/>
    <w:rsid w:val="00E040C1"/>
    <w:rsid w:val="00E042D4"/>
    <w:rsid w:val="00E0439E"/>
    <w:rsid w:val="00E043CA"/>
    <w:rsid w:val="00E043D2"/>
    <w:rsid w:val="00E0490B"/>
    <w:rsid w:val="00E05177"/>
    <w:rsid w:val="00E05355"/>
    <w:rsid w:val="00E05831"/>
    <w:rsid w:val="00E058C6"/>
    <w:rsid w:val="00E05EA8"/>
    <w:rsid w:val="00E05F1D"/>
    <w:rsid w:val="00E064D2"/>
    <w:rsid w:val="00E06507"/>
    <w:rsid w:val="00E065F5"/>
    <w:rsid w:val="00E06758"/>
    <w:rsid w:val="00E06DD3"/>
    <w:rsid w:val="00E078E5"/>
    <w:rsid w:val="00E07AC5"/>
    <w:rsid w:val="00E07F47"/>
    <w:rsid w:val="00E101AE"/>
    <w:rsid w:val="00E10485"/>
    <w:rsid w:val="00E1062D"/>
    <w:rsid w:val="00E107E9"/>
    <w:rsid w:val="00E10969"/>
    <w:rsid w:val="00E109B9"/>
    <w:rsid w:val="00E11420"/>
    <w:rsid w:val="00E11A22"/>
    <w:rsid w:val="00E11BD5"/>
    <w:rsid w:val="00E11C71"/>
    <w:rsid w:val="00E12115"/>
    <w:rsid w:val="00E12528"/>
    <w:rsid w:val="00E1277A"/>
    <w:rsid w:val="00E12E64"/>
    <w:rsid w:val="00E12EC0"/>
    <w:rsid w:val="00E13125"/>
    <w:rsid w:val="00E131A9"/>
    <w:rsid w:val="00E131FC"/>
    <w:rsid w:val="00E13657"/>
    <w:rsid w:val="00E13775"/>
    <w:rsid w:val="00E137CB"/>
    <w:rsid w:val="00E13858"/>
    <w:rsid w:val="00E138A6"/>
    <w:rsid w:val="00E13D53"/>
    <w:rsid w:val="00E14192"/>
    <w:rsid w:val="00E142B6"/>
    <w:rsid w:val="00E14C1A"/>
    <w:rsid w:val="00E150E2"/>
    <w:rsid w:val="00E153A8"/>
    <w:rsid w:val="00E15505"/>
    <w:rsid w:val="00E15575"/>
    <w:rsid w:val="00E163E3"/>
    <w:rsid w:val="00E16786"/>
    <w:rsid w:val="00E169B1"/>
    <w:rsid w:val="00E16DA4"/>
    <w:rsid w:val="00E16FA7"/>
    <w:rsid w:val="00E17ACA"/>
    <w:rsid w:val="00E20C4D"/>
    <w:rsid w:val="00E20FC7"/>
    <w:rsid w:val="00E216F5"/>
    <w:rsid w:val="00E2173F"/>
    <w:rsid w:val="00E2189C"/>
    <w:rsid w:val="00E219F3"/>
    <w:rsid w:val="00E21AD1"/>
    <w:rsid w:val="00E21BDE"/>
    <w:rsid w:val="00E21EF2"/>
    <w:rsid w:val="00E2206D"/>
    <w:rsid w:val="00E22090"/>
    <w:rsid w:val="00E22298"/>
    <w:rsid w:val="00E22C11"/>
    <w:rsid w:val="00E23947"/>
    <w:rsid w:val="00E23B00"/>
    <w:rsid w:val="00E23B6C"/>
    <w:rsid w:val="00E23BF4"/>
    <w:rsid w:val="00E2411E"/>
    <w:rsid w:val="00E2413B"/>
    <w:rsid w:val="00E24484"/>
    <w:rsid w:val="00E24AD0"/>
    <w:rsid w:val="00E24C0F"/>
    <w:rsid w:val="00E24E24"/>
    <w:rsid w:val="00E24ECD"/>
    <w:rsid w:val="00E252D3"/>
    <w:rsid w:val="00E259C0"/>
    <w:rsid w:val="00E25B6E"/>
    <w:rsid w:val="00E25BF6"/>
    <w:rsid w:val="00E25C17"/>
    <w:rsid w:val="00E25D1D"/>
    <w:rsid w:val="00E25DAE"/>
    <w:rsid w:val="00E267AF"/>
    <w:rsid w:val="00E26C28"/>
    <w:rsid w:val="00E27184"/>
    <w:rsid w:val="00E276CE"/>
    <w:rsid w:val="00E30309"/>
    <w:rsid w:val="00E308F1"/>
    <w:rsid w:val="00E30BDF"/>
    <w:rsid w:val="00E30D38"/>
    <w:rsid w:val="00E30D78"/>
    <w:rsid w:val="00E3112B"/>
    <w:rsid w:val="00E316E4"/>
    <w:rsid w:val="00E316F6"/>
    <w:rsid w:val="00E31A1E"/>
    <w:rsid w:val="00E31A34"/>
    <w:rsid w:val="00E31ECD"/>
    <w:rsid w:val="00E323A8"/>
    <w:rsid w:val="00E32831"/>
    <w:rsid w:val="00E32964"/>
    <w:rsid w:val="00E32AC0"/>
    <w:rsid w:val="00E32AC7"/>
    <w:rsid w:val="00E32C8A"/>
    <w:rsid w:val="00E330B2"/>
    <w:rsid w:val="00E336B7"/>
    <w:rsid w:val="00E3390E"/>
    <w:rsid w:val="00E33A4F"/>
    <w:rsid w:val="00E33B0A"/>
    <w:rsid w:val="00E33CDF"/>
    <w:rsid w:val="00E33CED"/>
    <w:rsid w:val="00E33EAB"/>
    <w:rsid w:val="00E33F6D"/>
    <w:rsid w:val="00E3407B"/>
    <w:rsid w:val="00E3409C"/>
    <w:rsid w:val="00E34247"/>
    <w:rsid w:val="00E3434A"/>
    <w:rsid w:val="00E34661"/>
    <w:rsid w:val="00E34962"/>
    <w:rsid w:val="00E350A6"/>
    <w:rsid w:val="00E352C8"/>
    <w:rsid w:val="00E35B26"/>
    <w:rsid w:val="00E35EFC"/>
    <w:rsid w:val="00E35F78"/>
    <w:rsid w:val="00E36127"/>
    <w:rsid w:val="00E361E1"/>
    <w:rsid w:val="00E3642C"/>
    <w:rsid w:val="00E3686D"/>
    <w:rsid w:val="00E36AC3"/>
    <w:rsid w:val="00E3778E"/>
    <w:rsid w:val="00E377BC"/>
    <w:rsid w:val="00E37899"/>
    <w:rsid w:val="00E37C5A"/>
    <w:rsid w:val="00E37CB0"/>
    <w:rsid w:val="00E40098"/>
    <w:rsid w:val="00E4047F"/>
    <w:rsid w:val="00E4050F"/>
    <w:rsid w:val="00E40DFE"/>
    <w:rsid w:val="00E40FAB"/>
    <w:rsid w:val="00E41E36"/>
    <w:rsid w:val="00E41EA1"/>
    <w:rsid w:val="00E422A0"/>
    <w:rsid w:val="00E4267A"/>
    <w:rsid w:val="00E433A6"/>
    <w:rsid w:val="00E434A6"/>
    <w:rsid w:val="00E438E2"/>
    <w:rsid w:val="00E44115"/>
    <w:rsid w:val="00E444BC"/>
    <w:rsid w:val="00E44929"/>
    <w:rsid w:val="00E44B76"/>
    <w:rsid w:val="00E44ED8"/>
    <w:rsid w:val="00E45922"/>
    <w:rsid w:val="00E4595C"/>
    <w:rsid w:val="00E45B6C"/>
    <w:rsid w:val="00E45D91"/>
    <w:rsid w:val="00E46027"/>
    <w:rsid w:val="00E46366"/>
    <w:rsid w:val="00E46413"/>
    <w:rsid w:val="00E46DBD"/>
    <w:rsid w:val="00E47CA2"/>
    <w:rsid w:val="00E47F39"/>
    <w:rsid w:val="00E5008E"/>
    <w:rsid w:val="00E5018C"/>
    <w:rsid w:val="00E50421"/>
    <w:rsid w:val="00E50472"/>
    <w:rsid w:val="00E51A0D"/>
    <w:rsid w:val="00E52335"/>
    <w:rsid w:val="00E52422"/>
    <w:rsid w:val="00E524E7"/>
    <w:rsid w:val="00E525DE"/>
    <w:rsid w:val="00E52787"/>
    <w:rsid w:val="00E53179"/>
    <w:rsid w:val="00E532A9"/>
    <w:rsid w:val="00E5332D"/>
    <w:rsid w:val="00E53521"/>
    <w:rsid w:val="00E54311"/>
    <w:rsid w:val="00E54734"/>
    <w:rsid w:val="00E54746"/>
    <w:rsid w:val="00E54802"/>
    <w:rsid w:val="00E54917"/>
    <w:rsid w:val="00E54B81"/>
    <w:rsid w:val="00E54D32"/>
    <w:rsid w:val="00E54E0E"/>
    <w:rsid w:val="00E551A7"/>
    <w:rsid w:val="00E5544E"/>
    <w:rsid w:val="00E556C7"/>
    <w:rsid w:val="00E55BDC"/>
    <w:rsid w:val="00E55BF4"/>
    <w:rsid w:val="00E55DD0"/>
    <w:rsid w:val="00E55E3B"/>
    <w:rsid w:val="00E55EBF"/>
    <w:rsid w:val="00E5616C"/>
    <w:rsid w:val="00E56354"/>
    <w:rsid w:val="00E5635F"/>
    <w:rsid w:val="00E5654D"/>
    <w:rsid w:val="00E56570"/>
    <w:rsid w:val="00E56E22"/>
    <w:rsid w:val="00E57078"/>
    <w:rsid w:val="00E5788A"/>
    <w:rsid w:val="00E5795C"/>
    <w:rsid w:val="00E57BBF"/>
    <w:rsid w:val="00E6011F"/>
    <w:rsid w:val="00E601D3"/>
    <w:rsid w:val="00E608C0"/>
    <w:rsid w:val="00E60E9C"/>
    <w:rsid w:val="00E61077"/>
    <w:rsid w:val="00E61495"/>
    <w:rsid w:val="00E61BC6"/>
    <w:rsid w:val="00E61D89"/>
    <w:rsid w:val="00E61DCA"/>
    <w:rsid w:val="00E61F7E"/>
    <w:rsid w:val="00E61F8A"/>
    <w:rsid w:val="00E62382"/>
    <w:rsid w:val="00E62534"/>
    <w:rsid w:val="00E625B6"/>
    <w:rsid w:val="00E629AD"/>
    <w:rsid w:val="00E62AF5"/>
    <w:rsid w:val="00E62EEF"/>
    <w:rsid w:val="00E632BE"/>
    <w:rsid w:val="00E634E8"/>
    <w:rsid w:val="00E63AFB"/>
    <w:rsid w:val="00E64209"/>
    <w:rsid w:val="00E6439A"/>
    <w:rsid w:val="00E648CB"/>
    <w:rsid w:val="00E64A4A"/>
    <w:rsid w:val="00E64E6A"/>
    <w:rsid w:val="00E650F0"/>
    <w:rsid w:val="00E652D8"/>
    <w:rsid w:val="00E656E0"/>
    <w:rsid w:val="00E65850"/>
    <w:rsid w:val="00E658CA"/>
    <w:rsid w:val="00E65A38"/>
    <w:rsid w:val="00E65B58"/>
    <w:rsid w:val="00E65BBF"/>
    <w:rsid w:val="00E65CFF"/>
    <w:rsid w:val="00E66163"/>
    <w:rsid w:val="00E662D9"/>
    <w:rsid w:val="00E66B55"/>
    <w:rsid w:val="00E66C1F"/>
    <w:rsid w:val="00E66FB2"/>
    <w:rsid w:val="00E66FD1"/>
    <w:rsid w:val="00E67571"/>
    <w:rsid w:val="00E67576"/>
    <w:rsid w:val="00E67880"/>
    <w:rsid w:val="00E679BA"/>
    <w:rsid w:val="00E67B6C"/>
    <w:rsid w:val="00E67BFD"/>
    <w:rsid w:val="00E67EDA"/>
    <w:rsid w:val="00E70510"/>
    <w:rsid w:val="00E70A32"/>
    <w:rsid w:val="00E70A6C"/>
    <w:rsid w:val="00E70D8D"/>
    <w:rsid w:val="00E710D1"/>
    <w:rsid w:val="00E718C1"/>
    <w:rsid w:val="00E72252"/>
    <w:rsid w:val="00E726F9"/>
    <w:rsid w:val="00E7285D"/>
    <w:rsid w:val="00E7296B"/>
    <w:rsid w:val="00E729B2"/>
    <w:rsid w:val="00E72ACF"/>
    <w:rsid w:val="00E72C9F"/>
    <w:rsid w:val="00E73024"/>
    <w:rsid w:val="00E73377"/>
    <w:rsid w:val="00E737D7"/>
    <w:rsid w:val="00E73C17"/>
    <w:rsid w:val="00E73C71"/>
    <w:rsid w:val="00E7441D"/>
    <w:rsid w:val="00E7469B"/>
    <w:rsid w:val="00E74D1E"/>
    <w:rsid w:val="00E75718"/>
    <w:rsid w:val="00E75B82"/>
    <w:rsid w:val="00E75D3F"/>
    <w:rsid w:val="00E7617C"/>
    <w:rsid w:val="00E76416"/>
    <w:rsid w:val="00E76D0E"/>
    <w:rsid w:val="00E76DBA"/>
    <w:rsid w:val="00E77AAC"/>
    <w:rsid w:val="00E801DF"/>
    <w:rsid w:val="00E80301"/>
    <w:rsid w:val="00E80987"/>
    <w:rsid w:val="00E80B27"/>
    <w:rsid w:val="00E80D19"/>
    <w:rsid w:val="00E81015"/>
    <w:rsid w:val="00E81029"/>
    <w:rsid w:val="00E81236"/>
    <w:rsid w:val="00E814F8"/>
    <w:rsid w:val="00E81E90"/>
    <w:rsid w:val="00E822C7"/>
    <w:rsid w:val="00E822D5"/>
    <w:rsid w:val="00E82561"/>
    <w:rsid w:val="00E828F5"/>
    <w:rsid w:val="00E829F8"/>
    <w:rsid w:val="00E83077"/>
    <w:rsid w:val="00E8317D"/>
    <w:rsid w:val="00E83562"/>
    <w:rsid w:val="00E836C2"/>
    <w:rsid w:val="00E838A7"/>
    <w:rsid w:val="00E83973"/>
    <w:rsid w:val="00E839EB"/>
    <w:rsid w:val="00E843D5"/>
    <w:rsid w:val="00E8498D"/>
    <w:rsid w:val="00E84B6B"/>
    <w:rsid w:val="00E84BE4"/>
    <w:rsid w:val="00E84F43"/>
    <w:rsid w:val="00E8500A"/>
    <w:rsid w:val="00E851A4"/>
    <w:rsid w:val="00E8589B"/>
    <w:rsid w:val="00E861C7"/>
    <w:rsid w:val="00E8755A"/>
    <w:rsid w:val="00E87655"/>
    <w:rsid w:val="00E87730"/>
    <w:rsid w:val="00E87AD1"/>
    <w:rsid w:val="00E87C99"/>
    <w:rsid w:val="00E87E39"/>
    <w:rsid w:val="00E90436"/>
    <w:rsid w:val="00E90783"/>
    <w:rsid w:val="00E90B98"/>
    <w:rsid w:val="00E91049"/>
    <w:rsid w:val="00E91117"/>
    <w:rsid w:val="00E915F8"/>
    <w:rsid w:val="00E919DD"/>
    <w:rsid w:val="00E91C46"/>
    <w:rsid w:val="00E92027"/>
    <w:rsid w:val="00E927DF"/>
    <w:rsid w:val="00E92C83"/>
    <w:rsid w:val="00E94485"/>
    <w:rsid w:val="00E94626"/>
    <w:rsid w:val="00E94D9D"/>
    <w:rsid w:val="00E9552A"/>
    <w:rsid w:val="00E955AD"/>
    <w:rsid w:val="00E958DD"/>
    <w:rsid w:val="00E95D28"/>
    <w:rsid w:val="00E95DF5"/>
    <w:rsid w:val="00E96181"/>
    <w:rsid w:val="00E961FF"/>
    <w:rsid w:val="00E96245"/>
    <w:rsid w:val="00E96455"/>
    <w:rsid w:val="00E966EB"/>
    <w:rsid w:val="00E96745"/>
    <w:rsid w:val="00E96951"/>
    <w:rsid w:val="00E96D96"/>
    <w:rsid w:val="00E96DAF"/>
    <w:rsid w:val="00E96FBE"/>
    <w:rsid w:val="00E97003"/>
    <w:rsid w:val="00E974F3"/>
    <w:rsid w:val="00EA0414"/>
    <w:rsid w:val="00EA054C"/>
    <w:rsid w:val="00EA0564"/>
    <w:rsid w:val="00EA05DE"/>
    <w:rsid w:val="00EA139F"/>
    <w:rsid w:val="00EA1B91"/>
    <w:rsid w:val="00EA20D0"/>
    <w:rsid w:val="00EA256F"/>
    <w:rsid w:val="00EA26E5"/>
    <w:rsid w:val="00EA2951"/>
    <w:rsid w:val="00EA296B"/>
    <w:rsid w:val="00EA29B3"/>
    <w:rsid w:val="00EA2A20"/>
    <w:rsid w:val="00EA2F14"/>
    <w:rsid w:val="00EA3246"/>
    <w:rsid w:val="00EA33A6"/>
    <w:rsid w:val="00EA3567"/>
    <w:rsid w:val="00EA38DF"/>
    <w:rsid w:val="00EA3AC6"/>
    <w:rsid w:val="00EA3EA6"/>
    <w:rsid w:val="00EA4699"/>
    <w:rsid w:val="00EA4803"/>
    <w:rsid w:val="00EA55BC"/>
    <w:rsid w:val="00EA5608"/>
    <w:rsid w:val="00EA56B0"/>
    <w:rsid w:val="00EA58AD"/>
    <w:rsid w:val="00EA62D0"/>
    <w:rsid w:val="00EA67BB"/>
    <w:rsid w:val="00EA67FB"/>
    <w:rsid w:val="00EA7205"/>
    <w:rsid w:val="00EA74A1"/>
    <w:rsid w:val="00EA7AB8"/>
    <w:rsid w:val="00EA7BDA"/>
    <w:rsid w:val="00EA7C16"/>
    <w:rsid w:val="00EA7D61"/>
    <w:rsid w:val="00EA7E02"/>
    <w:rsid w:val="00EB0168"/>
    <w:rsid w:val="00EB0270"/>
    <w:rsid w:val="00EB0404"/>
    <w:rsid w:val="00EB06DD"/>
    <w:rsid w:val="00EB0745"/>
    <w:rsid w:val="00EB09F3"/>
    <w:rsid w:val="00EB0A69"/>
    <w:rsid w:val="00EB1754"/>
    <w:rsid w:val="00EB1850"/>
    <w:rsid w:val="00EB1860"/>
    <w:rsid w:val="00EB1A05"/>
    <w:rsid w:val="00EB1E25"/>
    <w:rsid w:val="00EB2539"/>
    <w:rsid w:val="00EB28AF"/>
    <w:rsid w:val="00EB2A2A"/>
    <w:rsid w:val="00EB2D39"/>
    <w:rsid w:val="00EB2DBF"/>
    <w:rsid w:val="00EB32A8"/>
    <w:rsid w:val="00EB38FA"/>
    <w:rsid w:val="00EB3B6A"/>
    <w:rsid w:val="00EB3CF3"/>
    <w:rsid w:val="00EB3F25"/>
    <w:rsid w:val="00EB4220"/>
    <w:rsid w:val="00EB434B"/>
    <w:rsid w:val="00EB4506"/>
    <w:rsid w:val="00EB4787"/>
    <w:rsid w:val="00EB4A4E"/>
    <w:rsid w:val="00EB4B21"/>
    <w:rsid w:val="00EB4EE2"/>
    <w:rsid w:val="00EB5573"/>
    <w:rsid w:val="00EB56A4"/>
    <w:rsid w:val="00EB5A8E"/>
    <w:rsid w:val="00EB5F99"/>
    <w:rsid w:val="00EB655F"/>
    <w:rsid w:val="00EB660F"/>
    <w:rsid w:val="00EB6B1F"/>
    <w:rsid w:val="00EB6B8C"/>
    <w:rsid w:val="00EB6DFF"/>
    <w:rsid w:val="00EB7513"/>
    <w:rsid w:val="00EB7597"/>
    <w:rsid w:val="00EB76C3"/>
    <w:rsid w:val="00EB7906"/>
    <w:rsid w:val="00EC0005"/>
    <w:rsid w:val="00EC03B8"/>
    <w:rsid w:val="00EC0647"/>
    <w:rsid w:val="00EC0883"/>
    <w:rsid w:val="00EC0A51"/>
    <w:rsid w:val="00EC0B26"/>
    <w:rsid w:val="00EC0D87"/>
    <w:rsid w:val="00EC0D89"/>
    <w:rsid w:val="00EC0FBD"/>
    <w:rsid w:val="00EC102C"/>
    <w:rsid w:val="00EC12E5"/>
    <w:rsid w:val="00EC1B98"/>
    <w:rsid w:val="00EC1F3C"/>
    <w:rsid w:val="00EC1F44"/>
    <w:rsid w:val="00EC1F6B"/>
    <w:rsid w:val="00EC1FD8"/>
    <w:rsid w:val="00EC2CDF"/>
    <w:rsid w:val="00EC3122"/>
    <w:rsid w:val="00EC31FE"/>
    <w:rsid w:val="00EC340D"/>
    <w:rsid w:val="00EC3434"/>
    <w:rsid w:val="00EC3BA0"/>
    <w:rsid w:val="00EC3E1D"/>
    <w:rsid w:val="00EC4235"/>
    <w:rsid w:val="00EC47CE"/>
    <w:rsid w:val="00EC47F6"/>
    <w:rsid w:val="00EC4881"/>
    <w:rsid w:val="00EC4972"/>
    <w:rsid w:val="00EC4B23"/>
    <w:rsid w:val="00EC4C4F"/>
    <w:rsid w:val="00EC4CE0"/>
    <w:rsid w:val="00EC4D46"/>
    <w:rsid w:val="00EC4DE6"/>
    <w:rsid w:val="00EC564C"/>
    <w:rsid w:val="00EC5D53"/>
    <w:rsid w:val="00EC6104"/>
    <w:rsid w:val="00EC612C"/>
    <w:rsid w:val="00EC6923"/>
    <w:rsid w:val="00EC6AED"/>
    <w:rsid w:val="00EC6CFC"/>
    <w:rsid w:val="00EC6D69"/>
    <w:rsid w:val="00EC6FEB"/>
    <w:rsid w:val="00EC70C5"/>
    <w:rsid w:val="00EC7BA9"/>
    <w:rsid w:val="00EC7BAC"/>
    <w:rsid w:val="00EC7E5F"/>
    <w:rsid w:val="00EC7F72"/>
    <w:rsid w:val="00ED07E8"/>
    <w:rsid w:val="00ED0B57"/>
    <w:rsid w:val="00ED0FD8"/>
    <w:rsid w:val="00ED140C"/>
    <w:rsid w:val="00ED1447"/>
    <w:rsid w:val="00ED1828"/>
    <w:rsid w:val="00ED19E3"/>
    <w:rsid w:val="00ED1AC5"/>
    <w:rsid w:val="00ED1EBF"/>
    <w:rsid w:val="00ED2382"/>
    <w:rsid w:val="00ED2790"/>
    <w:rsid w:val="00ED2C08"/>
    <w:rsid w:val="00ED2C9E"/>
    <w:rsid w:val="00ED2F96"/>
    <w:rsid w:val="00ED3319"/>
    <w:rsid w:val="00ED343D"/>
    <w:rsid w:val="00ED374E"/>
    <w:rsid w:val="00ED386F"/>
    <w:rsid w:val="00ED40D2"/>
    <w:rsid w:val="00ED417F"/>
    <w:rsid w:val="00ED4194"/>
    <w:rsid w:val="00ED44A1"/>
    <w:rsid w:val="00ED466E"/>
    <w:rsid w:val="00ED4AC3"/>
    <w:rsid w:val="00ED4F98"/>
    <w:rsid w:val="00ED59EF"/>
    <w:rsid w:val="00ED5A6B"/>
    <w:rsid w:val="00ED5FEB"/>
    <w:rsid w:val="00ED6382"/>
    <w:rsid w:val="00ED6906"/>
    <w:rsid w:val="00ED6B90"/>
    <w:rsid w:val="00ED6C18"/>
    <w:rsid w:val="00ED6C90"/>
    <w:rsid w:val="00ED6DF5"/>
    <w:rsid w:val="00ED6F51"/>
    <w:rsid w:val="00ED733D"/>
    <w:rsid w:val="00ED7445"/>
    <w:rsid w:val="00ED75C2"/>
    <w:rsid w:val="00ED78A6"/>
    <w:rsid w:val="00ED7C91"/>
    <w:rsid w:val="00ED7DD8"/>
    <w:rsid w:val="00EE0220"/>
    <w:rsid w:val="00EE0555"/>
    <w:rsid w:val="00EE0D44"/>
    <w:rsid w:val="00EE13E0"/>
    <w:rsid w:val="00EE1A2F"/>
    <w:rsid w:val="00EE216C"/>
    <w:rsid w:val="00EE26A0"/>
    <w:rsid w:val="00EE2B21"/>
    <w:rsid w:val="00EE2B97"/>
    <w:rsid w:val="00EE2BC2"/>
    <w:rsid w:val="00EE38CB"/>
    <w:rsid w:val="00EE3B9E"/>
    <w:rsid w:val="00EE3D14"/>
    <w:rsid w:val="00EE3F0D"/>
    <w:rsid w:val="00EE40BF"/>
    <w:rsid w:val="00EE4184"/>
    <w:rsid w:val="00EE42B8"/>
    <w:rsid w:val="00EE472E"/>
    <w:rsid w:val="00EE52A4"/>
    <w:rsid w:val="00EE5513"/>
    <w:rsid w:val="00EE5750"/>
    <w:rsid w:val="00EE5841"/>
    <w:rsid w:val="00EE5898"/>
    <w:rsid w:val="00EE64CA"/>
    <w:rsid w:val="00EE655B"/>
    <w:rsid w:val="00EE6D3E"/>
    <w:rsid w:val="00EE6E69"/>
    <w:rsid w:val="00EE7054"/>
    <w:rsid w:val="00EE719C"/>
    <w:rsid w:val="00EE7730"/>
    <w:rsid w:val="00EE79AD"/>
    <w:rsid w:val="00EF060D"/>
    <w:rsid w:val="00EF0BF4"/>
    <w:rsid w:val="00EF184E"/>
    <w:rsid w:val="00EF1FA2"/>
    <w:rsid w:val="00EF2000"/>
    <w:rsid w:val="00EF260A"/>
    <w:rsid w:val="00EF2619"/>
    <w:rsid w:val="00EF2815"/>
    <w:rsid w:val="00EF2880"/>
    <w:rsid w:val="00EF28A8"/>
    <w:rsid w:val="00EF343B"/>
    <w:rsid w:val="00EF380B"/>
    <w:rsid w:val="00EF380D"/>
    <w:rsid w:val="00EF38BE"/>
    <w:rsid w:val="00EF3CCB"/>
    <w:rsid w:val="00EF3F18"/>
    <w:rsid w:val="00EF4918"/>
    <w:rsid w:val="00EF4A8F"/>
    <w:rsid w:val="00EF4FEB"/>
    <w:rsid w:val="00EF4FEF"/>
    <w:rsid w:val="00EF4FF6"/>
    <w:rsid w:val="00EF502A"/>
    <w:rsid w:val="00EF5430"/>
    <w:rsid w:val="00EF55BB"/>
    <w:rsid w:val="00EF57A0"/>
    <w:rsid w:val="00EF5E12"/>
    <w:rsid w:val="00EF6383"/>
    <w:rsid w:val="00EF63C4"/>
    <w:rsid w:val="00EF67F1"/>
    <w:rsid w:val="00EF6804"/>
    <w:rsid w:val="00EF6C3B"/>
    <w:rsid w:val="00EF6D4F"/>
    <w:rsid w:val="00EF6F69"/>
    <w:rsid w:val="00EF71D1"/>
    <w:rsid w:val="00EF725E"/>
    <w:rsid w:val="00EF726C"/>
    <w:rsid w:val="00EF75F7"/>
    <w:rsid w:val="00EF7E05"/>
    <w:rsid w:val="00F006A8"/>
    <w:rsid w:val="00F0071D"/>
    <w:rsid w:val="00F00ADC"/>
    <w:rsid w:val="00F00E22"/>
    <w:rsid w:val="00F01095"/>
    <w:rsid w:val="00F012FB"/>
    <w:rsid w:val="00F015BC"/>
    <w:rsid w:val="00F01861"/>
    <w:rsid w:val="00F01C02"/>
    <w:rsid w:val="00F020F8"/>
    <w:rsid w:val="00F0285F"/>
    <w:rsid w:val="00F02C40"/>
    <w:rsid w:val="00F02F0D"/>
    <w:rsid w:val="00F0302A"/>
    <w:rsid w:val="00F0328A"/>
    <w:rsid w:val="00F033F7"/>
    <w:rsid w:val="00F036DE"/>
    <w:rsid w:val="00F0374C"/>
    <w:rsid w:val="00F0375D"/>
    <w:rsid w:val="00F039FD"/>
    <w:rsid w:val="00F03A3F"/>
    <w:rsid w:val="00F03A48"/>
    <w:rsid w:val="00F042E9"/>
    <w:rsid w:val="00F04461"/>
    <w:rsid w:val="00F04487"/>
    <w:rsid w:val="00F047B0"/>
    <w:rsid w:val="00F04808"/>
    <w:rsid w:val="00F04847"/>
    <w:rsid w:val="00F049D3"/>
    <w:rsid w:val="00F05A11"/>
    <w:rsid w:val="00F05D83"/>
    <w:rsid w:val="00F05E6B"/>
    <w:rsid w:val="00F067E8"/>
    <w:rsid w:val="00F068EF"/>
    <w:rsid w:val="00F07044"/>
    <w:rsid w:val="00F07101"/>
    <w:rsid w:val="00F071B6"/>
    <w:rsid w:val="00F073D6"/>
    <w:rsid w:val="00F0740A"/>
    <w:rsid w:val="00F076A8"/>
    <w:rsid w:val="00F0786C"/>
    <w:rsid w:val="00F07949"/>
    <w:rsid w:val="00F07CDC"/>
    <w:rsid w:val="00F07DF6"/>
    <w:rsid w:val="00F07F89"/>
    <w:rsid w:val="00F07FA7"/>
    <w:rsid w:val="00F1025F"/>
    <w:rsid w:val="00F10268"/>
    <w:rsid w:val="00F10795"/>
    <w:rsid w:val="00F10990"/>
    <w:rsid w:val="00F10EF0"/>
    <w:rsid w:val="00F11244"/>
    <w:rsid w:val="00F114FC"/>
    <w:rsid w:val="00F11821"/>
    <w:rsid w:val="00F120DB"/>
    <w:rsid w:val="00F12537"/>
    <w:rsid w:val="00F12A92"/>
    <w:rsid w:val="00F12E61"/>
    <w:rsid w:val="00F13434"/>
    <w:rsid w:val="00F13442"/>
    <w:rsid w:val="00F1349D"/>
    <w:rsid w:val="00F13573"/>
    <w:rsid w:val="00F13837"/>
    <w:rsid w:val="00F14977"/>
    <w:rsid w:val="00F14F4E"/>
    <w:rsid w:val="00F15462"/>
    <w:rsid w:val="00F15A38"/>
    <w:rsid w:val="00F160CD"/>
    <w:rsid w:val="00F161FB"/>
    <w:rsid w:val="00F1636A"/>
    <w:rsid w:val="00F1643D"/>
    <w:rsid w:val="00F16850"/>
    <w:rsid w:val="00F169EF"/>
    <w:rsid w:val="00F16DEF"/>
    <w:rsid w:val="00F17063"/>
    <w:rsid w:val="00F1726F"/>
    <w:rsid w:val="00F17353"/>
    <w:rsid w:val="00F17521"/>
    <w:rsid w:val="00F1755A"/>
    <w:rsid w:val="00F17CF9"/>
    <w:rsid w:val="00F20607"/>
    <w:rsid w:val="00F2066E"/>
    <w:rsid w:val="00F2075E"/>
    <w:rsid w:val="00F20B0A"/>
    <w:rsid w:val="00F20D93"/>
    <w:rsid w:val="00F20E07"/>
    <w:rsid w:val="00F20EAB"/>
    <w:rsid w:val="00F21AD3"/>
    <w:rsid w:val="00F21BDA"/>
    <w:rsid w:val="00F21CCD"/>
    <w:rsid w:val="00F21D0F"/>
    <w:rsid w:val="00F22388"/>
    <w:rsid w:val="00F22482"/>
    <w:rsid w:val="00F224A0"/>
    <w:rsid w:val="00F22649"/>
    <w:rsid w:val="00F22D88"/>
    <w:rsid w:val="00F2323E"/>
    <w:rsid w:val="00F237EB"/>
    <w:rsid w:val="00F238C1"/>
    <w:rsid w:val="00F23AE8"/>
    <w:rsid w:val="00F23F52"/>
    <w:rsid w:val="00F23F74"/>
    <w:rsid w:val="00F23FA0"/>
    <w:rsid w:val="00F24587"/>
    <w:rsid w:val="00F245AC"/>
    <w:rsid w:val="00F2467F"/>
    <w:rsid w:val="00F250C4"/>
    <w:rsid w:val="00F252FD"/>
    <w:rsid w:val="00F2607A"/>
    <w:rsid w:val="00F26098"/>
    <w:rsid w:val="00F265B3"/>
    <w:rsid w:val="00F26BB9"/>
    <w:rsid w:val="00F26BC6"/>
    <w:rsid w:val="00F26C1B"/>
    <w:rsid w:val="00F26F4F"/>
    <w:rsid w:val="00F26F52"/>
    <w:rsid w:val="00F26FAB"/>
    <w:rsid w:val="00F27177"/>
    <w:rsid w:val="00F27329"/>
    <w:rsid w:val="00F2744B"/>
    <w:rsid w:val="00F27468"/>
    <w:rsid w:val="00F30257"/>
    <w:rsid w:val="00F30633"/>
    <w:rsid w:val="00F307CD"/>
    <w:rsid w:val="00F308E8"/>
    <w:rsid w:val="00F30A01"/>
    <w:rsid w:val="00F311E7"/>
    <w:rsid w:val="00F312D1"/>
    <w:rsid w:val="00F31348"/>
    <w:rsid w:val="00F315C2"/>
    <w:rsid w:val="00F315D5"/>
    <w:rsid w:val="00F31683"/>
    <w:rsid w:val="00F316FF"/>
    <w:rsid w:val="00F317D3"/>
    <w:rsid w:val="00F318EF"/>
    <w:rsid w:val="00F31B94"/>
    <w:rsid w:val="00F31D97"/>
    <w:rsid w:val="00F31F8B"/>
    <w:rsid w:val="00F31FDA"/>
    <w:rsid w:val="00F32505"/>
    <w:rsid w:val="00F32D8A"/>
    <w:rsid w:val="00F334F6"/>
    <w:rsid w:val="00F33D6C"/>
    <w:rsid w:val="00F3410F"/>
    <w:rsid w:val="00F34B03"/>
    <w:rsid w:val="00F34BFA"/>
    <w:rsid w:val="00F34DE4"/>
    <w:rsid w:val="00F35306"/>
    <w:rsid w:val="00F35439"/>
    <w:rsid w:val="00F35A3A"/>
    <w:rsid w:val="00F35D47"/>
    <w:rsid w:val="00F36017"/>
    <w:rsid w:val="00F361C5"/>
    <w:rsid w:val="00F36424"/>
    <w:rsid w:val="00F36E00"/>
    <w:rsid w:val="00F371AC"/>
    <w:rsid w:val="00F37416"/>
    <w:rsid w:val="00F400C1"/>
    <w:rsid w:val="00F403C1"/>
    <w:rsid w:val="00F405C3"/>
    <w:rsid w:val="00F4067E"/>
    <w:rsid w:val="00F4094A"/>
    <w:rsid w:val="00F40B10"/>
    <w:rsid w:val="00F40F86"/>
    <w:rsid w:val="00F41596"/>
    <w:rsid w:val="00F41754"/>
    <w:rsid w:val="00F41F50"/>
    <w:rsid w:val="00F4208A"/>
    <w:rsid w:val="00F4249C"/>
    <w:rsid w:val="00F4275F"/>
    <w:rsid w:val="00F4289C"/>
    <w:rsid w:val="00F42D9F"/>
    <w:rsid w:val="00F4307E"/>
    <w:rsid w:val="00F4333E"/>
    <w:rsid w:val="00F433B3"/>
    <w:rsid w:val="00F43695"/>
    <w:rsid w:val="00F4379B"/>
    <w:rsid w:val="00F43DFD"/>
    <w:rsid w:val="00F4410A"/>
    <w:rsid w:val="00F443DC"/>
    <w:rsid w:val="00F4447D"/>
    <w:rsid w:val="00F4459F"/>
    <w:rsid w:val="00F4485C"/>
    <w:rsid w:val="00F44D5D"/>
    <w:rsid w:val="00F4501E"/>
    <w:rsid w:val="00F45051"/>
    <w:rsid w:val="00F452D6"/>
    <w:rsid w:val="00F45909"/>
    <w:rsid w:val="00F45A02"/>
    <w:rsid w:val="00F45AA5"/>
    <w:rsid w:val="00F4631A"/>
    <w:rsid w:val="00F467E6"/>
    <w:rsid w:val="00F4685F"/>
    <w:rsid w:val="00F46A7F"/>
    <w:rsid w:val="00F46B34"/>
    <w:rsid w:val="00F46BE2"/>
    <w:rsid w:val="00F470EE"/>
    <w:rsid w:val="00F4744D"/>
    <w:rsid w:val="00F474AF"/>
    <w:rsid w:val="00F4758D"/>
    <w:rsid w:val="00F4760C"/>
    <w:rsid w:val="00F47F71"/>
    <w:rsid w:val="00F5082B"/>
    <w:rsid w:val="00F508C6"/>
    <w:rsid w:val="00F5097D"/>
    <w:rsid w:val="00F51126"/>
    <w:rsid w:val="00F51A7A"/>
    <w:rsid w:val="00F52488"/>
    <w:rsid w:val="00F5267B"/>
    <w:rsid w:val="00F528BB"/>
    <w:rsid w:val="00F5305A"/>
    <w:rsid w:val="00F53DAC"/>
    <w:rsid w:val="00F54065"/>
    <w:rsid w:val="00F5433A"/>
    <w:rsid w:val="00F54C3B"/>
    <w:rsid w:val="00F54E2B"/>
    <w:rsid w:val="00F55091"/>
    <w:rsid w:val="00F55836"/>
    <w:rsid w:val="00F55C79"/>
    <w:rsid w:val="00F562B8"/>
    <w:rsid w:val="00F5639D"/>
    <w:rsid w:val="00F56716"/>
    <w:rsid w:val="00F56D9E"/>
    <w:rsid w:val="00F571A2"/>
    <w:rsid w:val="00F578C0"/>
    <w:rsid w:val="00F579EC"/>
    <w:rsid w:val="00F57D4C"/>
    <w:rsid w:val="00F57EDF"/>
    <w:rsid w:val="00F57F63"/>
    <w:rsid w:val="00F60157"/>
    <w:rsid w:val="00F6051B"/>
    <w:rsid w:val="00F60D06"/>
    <w:rsid w:val="00F60D9F"/>
    <w:rsid w:val="00F610A4"/>
    <w:rsid w:val="00F611DD"/>
    <w:rsid w:val="00F61576"/>
    <w:rsid w:val="00F61951"/>
    <w:rsid w:val="00F621F3"/>
    <w:rsid w:val="00F6272A"/>
    <w:rsid w:val="00F628BC"/>
    <w:rsid w:val="00F62ADB"/>
    <w:rsid w:val="00F631E4"/>
    <w:rsid w:val="00F6342C"/>
    <w:rsid w:val="00F6386F"/>
    <w:rsid w:val="00F63BF1"/>
    <w:rsid w:val="00F63FAC"/>
    <w:rsid w:val="00F64036"/>
    <w:rsid w:val="00F64338"/>
    <w:rsid w:val="00F643A3"/>
    <w:rsid w:val="00F6456D"/>
    <w:rsid w:val="00F64645"/>
    <w:rsid w:val="00F647AA"/>
    <w:rsid w:val="00F64A8B"/>
    <w:rsid w:val="00F64B3B"/>
    <w:rsid w:val="00F6556A"/>
    <w:rsid w:val="00F6595E"/>
    <w:rsid w:val="00F65982"/>
    <w:rsid w:val="00F65D2C"/>
    <w:rsid w:val="00F65E31"/>
    <w:rsid w:val="00F66481"/>
    <w:rsid w:val="00F665FF"/>
    <w:rsid w:val="00F666B1"/>
    <w:rsid w:val="00F666E3"/>
    <w:rsid w:val="00F67246"/>
    <w:rsid w:val="00F67286"/>
    <w:rsid w:val="00F67BB1"/>
    <w:rsid w:val="00F67BC1"/>
    <w:rsid w:val="00F70079"/>
    <w:rsid w:val="00F70639"/>
    <w:rsid w:val="00F709C9"/>
    <w:rsid w:val="00F70AF9"/>
    <w:rsid w:val="00F70B56"/>
    <w:rsid w:val="00F70CB0"/>
    <w:rsid w:val="00F71043"/>
    <w:rsid w:val="00F7127C"/>
    <w:rsid w:val="00F71309"/>
    <w:rsid w:val="00F71440"/>
    <w:rsid w:val="00F71472"/>
    <w:rsid w:val="00F71478"/>
    <w:rsid w:val="00F714A8"/>
    <w:rsid w:val="00F7182D"/>
    <w:rsid w:val="00F71867"/>
    <w:rsid w:val="00F718D0"/>
    <w:rsid w:val="00F71A5E"/>
    <w:rsid w:val="00F71EE0"/>
    <w:rsid w:val="00F71FE0"/>
    <w:rsid w:val="00F7206E"/>
    <w:rsid w:val="00F7226C"/>
    <w:rsid w:val="00F72F96"/>
    <w:rsid w:val="00F73707"/>
    <w:rsid w:val="00F73A14"/>
    <w:rsid w:val="00F73C8B"/>
    <w:rsid w:val="00F746AA"/>
    <w:rsid w:val="00F749D6"/>
    <w:rsid w:val="00F74C6B"/>
    <w:rsid w:val="00F7508F"/>
    <w:rsid w:val="00F755F5"/>
    <w:rsid w:val="00F76148"/>
    <w:rsid w:val="00F7629C"/>
    <w:rsid w:val="00F76375"/>
    <w:rsid w:val="00F76940"/>
    <w:rsid w:val="00F77552"/>
    <w:rsid w:val="00F77AD6"/>
    <w:rsid w:val="00F77AFC"/>
    <w:rsid w:val="00F77FE4"/>
    <w:rsid w:val="00F80587"/>
    <w:rsid w:val="00F80703"/>
    <w:rsid w:val="00F80752"/>
    <w:rsid w:val="00F807E5"/>
    <w:rsid w:val="00F808B9"/>
    <w:rsid w:val="00F80973"/>
    <w:rsid w:val="00F80DDB"/>
    <w:rsid w:val="00F810F8"/>
    <w:rsid w:val="00F8191C"/>
    <w:rsid w:val="00F81BBA"/>
    <w:rsid w:val="00F81D01"/>
    <w:rsid w:val="00F81FED"/>
    <w:rsid w:val="00F82344"/>
    <w:rsid w:val="00F826D9"/>
    <w:rsid w:val="00F82A54"/>
    <w:rsid w:val="00F82B51"/>
    <w:rsid w:val="00F8413C"/>
    <w:rsid w:val="00F8414A"/>
    <w:rsid w:val="00F843F9"/>
    <w:rsid w:val="00F84979"/>
    <w:rsid w:val="00F8499D"/>
    <w:rsid w:val="00F84B91"/>
    <w:rsid w:val="00F84CF9"/>
    <w:rsid w:val="00F84ED5"/>
    <w:rsid w:val="00F8503A"/>
    <w:rsid w:val="00F857E5"/>
    <w:rsid w:val="00F85883"/>
    <w:rsid w:val="00F85BAC"/>
    <w:rsid w:val="00F85D79"/>
    <w:rsid w:val="00F85E2A"/>
    <w:rsid w:val="00F85E38"/>
    <w:rsid w:val="00F85E69"/>
    <w:rsid w:val="00F861BF"/>
    <w:rsid w:val="00F867AB"/>
    <w:rsid w:val="00F87575"/>
    <w:rsid w:val="00F87A2D"/>
    <w:rsid w:val="00F87A80"/>
    <w:rsid w:val="00F87ADE"/>
    <w:rsid w:val="00F87F2B"/>
    <w:rsid w:val="00F902D2"/>
    <w:rsid w:val="00F90377"/>
    <w:rsid w:val="00F904BD"/>
    <w:rsid w:val="00F90BA7"/>
    <w:rsid w:val="00F91213"/>
    <w:rsid w:val="00F913D0"/>
    <w:rsid w:val="00F9192A"/>
    <w:rsid w:val="00F91A12"/>
    <w:rsid w:val="00F91A65"/>
    <w:rsid w:val="00F91ACB"/>
    <w:rsid w:val="00F922CE"/>
    <w:rsid w:val="00F927C6"/>
    <w:rsid w:val="00F927EE"/>
    <w:rsid w:val="00F92AA0"/>
    <w:rsid w:val="00F92E11"/>
    <w:rsid w:val="00F9315D"/>
    <w:rsid w:val="00F9347C"/>
    <w:rsid w:val="00F936AC"/>
    <w:rsid w:val="00F93F8F"/>
    <w:rsid w:val="00F9464E"/>
    <w:rsid w:val="00F94F5F"/>
    <w:rsid w:val="00F95078"/>
    <w:rsid w:val="00F958FB"/>
    <w:rsid w:val="00F95932"/>
    <w:rsid w:val="00F9683C"/>
    <w:rsid w:val="00F96F18"/>
    <w:rsid w:val="00F97156"/>
    <w:rsid w:val="00F9772B"/>
    <w:rsid w:val="00F97798"/>
    <w:rsid w:val="00F978F8"/>
    <w:rsid w:val="00F9799D"/>
    <w:rsid w:val="00F97E89"/>
    <w:rsid w:val="00FA00FC"/>
    <w:rsid w:val="00FA0156"/>
    <w:rsid w:val="00FA0450"/>
    <w:rsid w:val="00FA062F"/>
    <w:rsid w:val="00FA1094"/>
    <w:rsid w:val="00FA156A"/>
    <w:rsid w:val="00FA18CC"/>
    <w:rsid w:val="00FA1EAF"/>
    <w:rsid w:val="00FA26E6"/>
    <w:rsid w:val="00FA274D"/>
    <w:rsid w:val="00FA290E"/>
    <w:rsid w:val="00FA2F3A"/>
    <w:rsid w:val="00FA2FC5"/>
    <w:rsid w:val="00FA3029"/>
    <w:rsid w:val="00FA48AD"/>
    <w:rsid w:val="00FA4E85"/>
    <w:rsid w:val="00FA5397"/>
    <w:rsid w:val="00FA5740"/>
    <w:rsid w:val="00FA62C4"/>
    <w:rsid w:val="00FA6484"/>
    <w:rsid w:val="00FA67D6"/>
    <w:rsid w:val="00FA6849"/>
    <w:rsid w:val="00FA7194"/>
    <w:rsid w:val="00FA7227"/>
    <w:rsid w:val="00FA75B7"/>
    <w:rsid w:val="00FA7865"/>
    <w:rsid w:val="00FA7876"/>
    <w:rsid w:val="00FA79DA"/>
    <w:rsid w:val="00FA7A1C"/>
    <w:rsid w:val="00FB04A0"/>
    <w:rsid w:val="00FB09BC"/>
    <w:rsid w:val="00FB0E6E"/>
    <w:rsid w:val="00FB0E85"/>
    <w:rsid w:val="00FB1309"/>
    <w:rsid w:val="00FB139C"/>
    <w:rsid w:val="00FB1648"/>
    <w:rsid w:val="00FB1661"/>
    <w:rsid w:val="00FB1CDC"/>
    <w:rsid w:val="00FB1E4D"/>
    <w:rsid w:val="00FB1F1B"/>
    <w:rsid w:val="00FB20A8"/>
    <w:rsid w:val="00FB211C"/>
    <w:rsid w:val="00FB2134"/>
    <w:rsid w:val="00FB2625"/>
    <w:rsid w:val="00FB2715"/>
    <w:rsid w:val="00FB29CC"/>
    <w:rsid w:val="00FB2A3C"/>
    <w:rsid w:val="00FB2BD9"/>
    <w:rsid w:val="00FB2FEE"/>
    <w:rsid w:val="00FB3184"/>
    <w:rsid w:val="00FB384B"/>
    <w:rsid w:val="00FB46B8"/>
    <w:rsid w:val="00FB479B"/>
    <w:rsid w:val="00FB4DE2"/>
    <w:rsid w:val="00FB4F80"/>
    <w:rsid w:val="00FB5694"/>
    <w:rsid w:val="00FB5872"/>
    <w:rsid w:val="00FB58DA"/>
    <w:rsid w:val="00FB5E17"/>
    <w:rsid w:val="00FB5ED9"/>
    <w:rsid w:val="00FB64A7"/>
    <w:rsid w:val="00FB650B"/>
    <w:rsid w:val="00FB659B"/>
    <w:rsid w:val="00FB6DBF"/>
    <w:rsid w:val="00FB73CD"/>
    <w:rsid w:val="00FB744A"/>
    <w:rsid w:val="00FB77A3"/>
    <w:rsid w:val="00FB78E3"/>
    <w:rsid w:val="00FC028D"/>
    <w:rsid w:val="00FC0D82"/>
    <w:rsid w:val="00FC0E41"/>
    <w:rsid w:val="00FC0ED9"/>
    <w:rsid w:val="00FC0EFA"/>
    <w:rsid w:val="00FC1067"/>
    <w:rsid w:val="00FC13DA"/>
    <w:rsid w:val="00FC1402"/>
    <w:rsid w:val="00FC15EE"/>
    <w:rsid w:val="00FC16F3"/>
    <w:rsid w:val="00FC18D6"/>
    <w:rsid w:val="00FC196B"/>
    <w:rsid w:val="00FC1AD5"/>
    <w:rsid w:val="00FC1FAE"/>
    <w:rsid w:val="00FC242C"/>
    <w:rsid w:val="00FC2B45"/>
    <w:rsid w:val="00FC2BD9"/>
    <w:rsid w:val="00FC2DA5"/>
    <w:rsid w:val="00FC2EB5"/>
    <w:rsid w:val="00FC30E8"/>
    <w:rsid w:val="00FC3791"/>
    <w:rsid w:val="00FC3B32"/>
    <w:rsid w:val="00FC3FA2"/>
    <w:rsid w:val="00FC3FFC"/>
    <w:rsid w:val="00FC44D1"/>
    <w:rsid w:val="00FC4727"/>
    <w:rsid w:val="00FC4C13"/>
    <w:rsid w:val="00FC5549"/>
    <w:rsid w:val="00FC5D50"/>
    <w:rsid w:val="00FC60B4"/>
    <w:rsid w:val="00FC61C7"/>
    <w:rsid w:val="00FC63DD"/>
    <w:rsid w:val="00FC68D8"/>
    <w:rsid w:val="00FC6CED"/>
    <w:rsid w:val="00FC6FE4"/>
    <w:rsid w:val="00FC715B"/>
    <w:rsid w:val="00FC71FF"/>
    <w:rsid w:val="00FC77B4"/>
    <w:rsid w:val="00FC7833"/>
    <w:rsid w:val="00FC7F59"/>
    <w:rsid w:val="00FD017C"/>
    <w:rsid w:val="00FD048C"/>
    <w:rsid w:val="00FD06F3"/>
    <w:rsid w:val="00FD0A89"/>
    <w:rsid w:val="00FD13AA"/>
    <w:rsid w:val="00FD17D0"/>
    <w:rsid w:val="00FD1869"/>
    <w:rsid w:val="00FD199D"/>
    <w:rsid w:val="00FD1B00"/>
    <w:rsid w:val="00FD21C2"/>
    <w:rsid w:val="00FD2E05"/>
    <w:rsid w:val="00FD32DB"/>
    <w:rsid w:val="00FD34FB"/>
    <w:rsid w:val="00FD37E2"/>
    <w:rsid w:val="00FD4129"/>
    <w:rsid w:val="00FD4A24"/>
    <w:rsid w:val="00FD4B92"/>
    <w:rsid w:val="00FD4C2C"/>
    <w:rsid w:val="00FD57A5"/>
    <w:rsid w:val="00FD60EF"/>
    <w:rsid w:val="00FD6859"/>
    <w:rsid w:val="00FD6FC7"/>
    <w:rsid w:val="00FD701F"/>
    <w:rsid w:val="00FD7185"/>
    <w:rsid w:val="00FD71F7"/>
    <w:rsid w:val="00FD77B5"/>
    <w:rsid w:val="00FD7E9B"/>
    <w:rsid w:val="00FE0025"/>
    <w:rsid w:val="00FE0B20"/>
    <w:rsid w:val="00FE0B77"/>
    <w:rsid w:val="00FE0C9C"/>
    <w:rsid w:val="00FE0D45"/>
    <w:rsid w:val="00FE109F"/>
    <w:rsid w:val="00FE10A5"/>
    <w:rsid w:val="00FE1142"/>
    <w:rsid w:val="00FE12C6"/>
    <w:rsid w:val="00FE139F"/>
    <w:rsid w:val="00FE1558"/>
    <w:rsid w:val="00FE219F"/>
    <w:rsid w:val="00FE2344"/>
    <w:rsid w:val="00FE23C9"/>
    <w:rsid w:val="00FE23FC"/>
    <w:rsid w:val="00FE2461"/>
    <w:rsid w:val="00FE289B"/>
    <w:rsid w:val="00FE2AA5"/>
    <w:rsid w:val="00FE2C86"/>
    <w:rsid w:val="00FE2C99"/>
    <w:rsid w:val="00FE2D98"/>
    <w:rsid w:val="00FE2E6B"/>
    <w:rsid w:val="00FE2F24"/>
    <w:rsid w:val="00FE322F"/>
    <w:rsid w:val="00FE348F"/>
    <w:rsid w:val="00FE37D0"/>
    <w:rsid w:val="00FE3D15"/>
    <w:rsid w:val="00FE4212"/>
    <w:rsid w:val="00FE46ED"/>
    <w:rsid w:val="00FE4879"/>
    <w:rsid w:val="00FE4D0D"/>
    <w:rsid w:val="00FE4D56"/>
    <w:rsid w:val="00FE4EDB"/>
    <w:rsid w:val="00FE4F8E"/>
    <w:rsid w:val="00FE4FCD"/>
    <w:rsid w:val="00FE5193"/>
    <w:rsid w:val="00FE5370"/>
    <w:rsid w:val="00FE58CF"/>
    <w:rsid w:val="00FE5EA7"/>
    <w:rsid w:val="00FE63D5"/>
    <w:rsid w:val="00FE65C4"/>
    <w:rsid w:val="00FE6FF5"/>
    <w:rsid w:val="00FE708F"/>
    <w:rsid w:val="00FE70BF"/>
    <w:rsid w:val="00FE71EA"/>
    <w:rsid w:val="00FE72B1"/>
    <w:rsid w:val="00FE768B"/>
    <w:rsid w:val="00FE7842"/>
    <w:rsid w:val="00FE7F60"/>
    <w:rsid w:val="00FF01CC"/>
    <w:rsid w:val="00FF0370"/>
    <w:rsid w:val="00FF08AB"/>
    <w:rsid w:val="00FF0AE9"/>
    <w:rsid w:val="00FF0D5F"/>
    <w:rsid w:val="00FF0FA3"/>
    <w:rsid w:val="00FF0FBB"/>
    <w:rsid w:val="00FF1756"/>
    <w:rsid w:val="00FF1B88"/>
    <w:rsid w:val="00FF1D1B"/>
    <w:rsid w:val="00FF21A9"/>
    <w:rsid w:val="00FF269D"/>
    <w:rsid w:val="00FF3213"/>
    <w:rsid w:val="00FF33C0"/>
    <w:rsid w:val="00FF396F"/>
    <w:rsid w:val="00FF451D"/>
    <w:rsid w:val="00FF4707"/>
    <w:rsid w:val="00FF4B7A"/>
    <w:rsid w:val="00FF4E63"/>
    <w:rsid w:val="00FF4EDC"/>
    <w:rsid w:val="00FF4EDF"/>
    <w:rsid w:val="00FF5690"/>
    <w:rsid w:val="00FF61DA"/>
    <w:rsid w:val="00FF61DD"/>
    <w:rsid w:val="00FF682F"/>
    <w:rsid w:val="00FF7183"/>
    <w:rsid w:val="00FF73C6"/>
    <w:rsid w:val="00FF74CA"/>
    <w:rsid w:val="00FF7AC2"/>
    <w:rsid w:val="00FF7B70"/>
    <w:rsid w:val="00FF7BB5"/>
    <w:rsid w:val="00FF7EA4"/>
    <w:rsid w:val="010E9174"/>
    <w:rsid w:val="01759B6C"/>
    <w:rsid w:val="019F1C11"/>
    <w:rsid w:val="01C3512E"/>
    <w:rsid w:val="01CD7079"/>
    <w:rsid w:val="01DB3709"/>
    <w:rsid w:val="02D808C4"/>
    <w:rsid w:val="038B92A2"/>
    <w:rsid w:val="03E1CE9F"/>
    <w:rsid w:val="0416C9BF"/>
    <w:rsid w:val="044FF71E"/>
    <w:rsid w:val="046CDE08"/>
    <w:rsid w:val="0499B36A"/>
    <w:rsid w:val="05097CCC"/>
    <w:rsid w:val="055AB47B"/>
    <w:rsid w:val="05795E74"/>
    <w:rsid w:val="059BD83F"/>
    <w:rsid w:val="05A9433D"/>
    <w:rsid w:val="05B1AB43"/>
    <w:rsid w:val="062DAA40"/>
    <w:rsid w:val="063EFF8D"/>
    <w:rsid w:val="06524252"/>
    <w:rsid w:val="06553F3C"/>
    <w:rsid w:val="066CF23C"/>
    <w:rsid w:val="06719AD2"/>
    <w:rsid w:val="06C67604"/>
    <w:rsid w:val="06DB98FB"/>
    <w:rsid w:val="072A100C"/>
    <w:rsid w:val="079A0C3F"/>
    <w:rsid w:val="07FB10CC"/>
    <w:rsid w:val="08251D9E"/>
    <w:rsid w:val="085FC9FE"/>
    <w:rsid w:val="0887802F"/>
    <w:rsid w:val="08A5F3CB"/>
    <w:rsid w:val="08BCC4F2"/>
    <w:rsid w:val="08C1EEFC"/>
    <w:rsid w:val="08DEE091"/>
    <w:rsid w:val="08E21B2B"/>
    <w:rsid w:val="08FE221D"/>
    <w:rsid w:val="08FEBABC"/>
    <w:rsid w:val="094A53D4"/>
    <w:rsid w:val="09EA2C26"/>
    <w:rsid w:val="09EF4AB2"/>
    <w:rsid w:val="0A167634"/>
    <w:rsid w:val="0A51D6BD"/>
    <w:rsid w:val="0A599172"/>
    <w:rsid w:val="0A5AF64B"/>
    <w:rsid w:val="0A82BADB"/>
    <w:rsid w:val="0AC968DE"/>
    <w:rsid w:val="0B37F55F"/>
    <w:rsid w:val="0B70BC92"/>
    <w:rsid w:val="0BA9F515"/>
    <w:rsid w:val="0BBEF268"/>
    <w:rsid w:val="0BD5F218"/>
    <w:rsid w:val="0C0D8E11"/>
    <w:rsid w:val="0C8C7C84"/>
    <w:rsid w:val="0CA1115A"/>
    <w:rsid w:val="0CDA46D4"/>
    <w:rsid w:val="0D4DA40A"/>
    <w:rsid w:val="0D83C09B"/>
    <w:rsid w:val="0DBA5B9D"/>
    <w:rsid w:val="0DCC3E12"/>
    <w:rsid w:val="0DF7E01B"/>
    <w:rsid w:val="0E3581F7"/>
    <w:rsid w:val="0EE34649"/>
    <w:rsid w:val="0FAB88E3"/>
    <w:rsid w:val="0FB66AF8"/>
    <w:rsid w:val="0FC5587B"/>
    <w:rsid w:val="0FCF9A7D"/>
    <w:rsid w:val="105422B6"/>
    <w:rsid w:val="10A18D3A"/>
    <w:rsid w:val="10C41831"/>
    <w:rsid w:val="10E03F40"/>
    <w:rsid w:val="10EC5F69"/>
    <w:rsid w:val="113FC6D2"/>
    <w:rsid w:val="1144FFD4"/>
    <w:rsid w:val="11E60796"/>
    <w:rsid w:val="121659BC"/>
    <w:rsid w:val="12360FE2"/>
    <w:rsid w:val="124D69E4"/>
    <w:rsid w:val="12A5DB5D"/>
    <w:rsid w:val="12B9C709"/>
    <w:rsid w:val="12EAAD6C"/>
    <w:rsid w:val="1326F1A4"/>
    <w:rsid w:val="1368F179"/>
    <w:rsid w:val="138EEF3E"/>
    <w:rsid w:val="1391B1C5"/>
    <w:rsid w:val="13A37EFC"/>
    <w:rsid w:val="13E472EF"/>
    <w:rsid w:val="1459CC69"/>
    <w:rsid w:val="146D96F6"/>
    <w:rsid w:val="147961DC"/>
    <w:rsid w:val="14CF0B4D"/>
    <w:rsid w:val="1547895D"/>
    <w:rsid w:val="15583CE1"/>
    <w:rsid w:val="155C2FE5"/>
    <w:rsid w:val="157F6EE1"/>
    <w:rsid w:val="158F823E"/>
    <w:rsid w:val="1598ADAC"/>
    <w:rsid w:val="15A0D7A0"/>
    <w:rsid w:val="15D0BEE7"/>
    <w:rsid w:val="1606634A"/>
    <w:rsid w:val="16236F70"/>
    <w:rsid w:val="16604426"/>
    <w:rsid w:val="16834531"/>
    <w:rsid w:val="168C7B37"/>
    <w:rsid w:val="16E017EC"/>
    <w:rsid w:val="16E712DB"/>
    <w:rsid w:val="17647A84"/>
    <w:rsid w:val="177C8933"/>
    <w:rsid w:val="1792BD3A"/>
    <w:rsid w:val="17AD08DB"/>
    <w:rsid w:val="17B15EF9"/>
    <w:rsid w:val="17E7F1E6"/>
    <w:rsid w:val="18214D0F"/>
    <w:rsid w:val="185170D4"/>
    <w:rsid w:val="18656A4A"/>
    <w:rsid w:val="186F4B44"/>
    <w:rsid w:val="1877BEC8"/>
    <w:rsid w:val="18852904"/>
    <w:rsid w:val="18C20E2C"/>
    <w:rsid w:val="192A86DB"/>
    <w:rsid w:val="1931C6D5"/>
    <w:rsid w:val="19446DD2"/>
    <w:rsid w:val="1945A4E1"/>
    <w:rsid w:val="195BF775"/>
    <w:rsid w:val="196CE64B"/>
    <w:rsid w:val="19C96E0A"/>
    <w:rsid w:val="1A217A9A"/>
    <w:rsid w:val="1A367511"/>
    <w:rsid w:val="1A51ACF7"/>
    <w:rsid w:val="1A5A0B19"/>
    <w:rsid w:val="1A6B91AC"/>
    <w:rsid w:val="1AE5CED4"/>
    <w:rsid w:val="1AF86992"/>
    <w:rsid w:val="1B1EA83B"/>
    <w:rsid w:val="1BA74FEF"/>
    <w:rsid w:val="1BC6C17F"/>
    <w:rsid w:val="1C0457C8"/>
    <w:rsid w:val="1C07FEDF"/>
    <w:rsid w:val="1C11AC78"/>
    <w:rsid w:val="1C2528A2"/>
    <w:rsid w:val="1CD95E58"/>
    <w:rsid w:val="1CE62033"/>
    <w:rsid w:val="1CEC79DF"/>
    <w:rsid w:val="1D64B15C"/>
    <w:rsid w:val="1E1C3BEC"/>
    <w:rsid w:val="1E3A9CC0"/>
    <w:rsid w:val="1E732173"/>
    <w:rsid w:val="1E7D14C9"/>
    <w:rsid w:val="1E8DA771"/>
    <w:rsid w:val="1ED7EC01"/>
    <w:rsid w:val="1F677F0D"/>
    <w:rsid w:val="1F7815F0"/>
    <w:rsid w:val="1FBD7834"/>
    <w:rsid w:val="1FC175BF"/>
    <w:rsid w:val="2010FF1A"/>
    <w:rsid w:val="2015D46A"/>
    <w:rsid w:val="2026C279"/>
    <w:rsid w:val="2032096A"/>
    <w:rsid w:val="2094E065"/>
    <w:rsid w:val="20C2428E"/>
    <w:rsid w:val="20E8A08E"/>
    <w:rsid w:val="21325D1E"/>
    <w:rsid w:val="213A47AF"/>
    <w:rsid w:val="2148FEA6"/>
    <w:rsid w:val="21C5F7D8"/>
    <w:rsid w:val="21FDA27E"/>
    <w:rsid w:val="22545564"/>
    <w:rsid w:val="225F8B0C"/>
    <w:rsid w:val="228F7D26"/>
    <w:rsid w:val="22D6BB5E"/>
    <w:rsid w:val="22DAD135"/>
    <w:rsid w:val="232EF841"/>
    <w:rsid w:val="2355240B"/>
    <w:rsid w:val="239C3998"/>
    <w:rsid w:val="23AC1900"/>
    <w:rsid w:val="23F36929"/>
    <w:rsid w:val="241755F5"/>
    <w:rsid w:val="241D3D73"/>
    <w:rsid w:val="2435F152"/>
    <w:rsid w:val="24A506F2"/>
    <w:rsid w:val="24E736DE"/>
    <w:rsid w:val="2584D2E9"/>
    <w:rsid w:val="25FB54A7"/>
    <w:rsid w:val="264254BF"/>
    <w:rsid w:val="26A39718"/>
    <w:rsid w:val="27263FA3"/>
    <w:rsid w:val="27542831"/>
    <w:rsid w:val="2835395C"/>
    <w:rsid w:val="2838C07F"/>
    <w:rsid w:val="284D7113"/>
    <w:rsid w:val="284DE38E"/>
    <w:rsid w:val="2851FC43"/>
    <w:rsid w:val="28813B42"/>
    <w:rsid w:val="291C2133"/>
    <w:rsid w:val="293AE82E"/>
    <w:rsid w:val="2974011B"/>
    <w:rsid w:val="29AB5622"/>
    <w:rsid w:val="29BFC353"/>
    <w:rsid w:val="29D12448"/>
    <w:rsid w:val="2A076F1B"/>
    <w:rsid w:val="2A184FFC"/>
    <w:rsid w:val="2A54F4BE"/>
    <w:rsid w:val="2A6C35C3"/>
    <w:rsid w:val="2A85F9E2"/>
    <w:rsid w:val="2B0DDB59"/>
    <w:rsid w:val="2B87412D"/>
    <w:rsid w:val="2B877CD1"/>
    <w:rsid w:val="2B909049"/>
    <w:rsid w:val="2BC821FB"/>
    <w:rsid w:val="2BDADB16"/>
    <w:rsid w:val="2C30EC00"/>
    <w:rsid w:val="2C91E2C0"/>
    <w:rsid w:val="2D5E41F9"/>
    <w:rsid w:val="2D846C6E"/>
    <w:rsid w:val="2D8ED338"/>
    <w:rsid w:val="2DA917C3"/>
    <w:rsid w:val="2DFD90FF"/>
    <w:rsid w:val="2E206909"/>
    <w:rsid w:val="2E62F780"/>
    <w:rsid w:val="2EBD7F21"/>
    <w:rsid w:val="2EF13B7C"/>
    <w:rsid w:val="2F323619"/>
    <w:rsid w:val="2F4DFF3F"/>
    <w:rsid w:val="2F7D72AE"/>
    <w:rsid w:val="2F9047AC"/>
    <w:rsid w:val="2FB071D3"/>
    <w:rsid w:val="2FB31357"/>
    <w:rsid w:val="30045A68"/>
    <w:rsid w:val="3018BD6A"/>
    <w:rsid w:val="307AB9C6"/>
    <w:rsid w:val="309535D1"/>
    <w:rsid w:val="30CE067A"/>
    <w:rsid w:val="30D1DA93"/>
    <w:rsid w:val="311D9770"/>
    <w:rsid w:val="31260AF1"/>
    <w:rsid w:val="31533A16"/>
    <w:rsid w:val="315C2D18"/>
    <w:rsid w:val="31B066A0"/>
    <w:rsid w:val="31BC4F3A"/>
    <w:rsid w:val="322B5C7C"/>
    <w:rsid w:val="322C4D88"/>
    <w:rsid w:val="32571348"/>
    <w:rsid w:val="326A54FB"/>
    <w:rsid w:val="327B230E"/>
    <w:rsid w:val="32805CD5"/>
    <w:rsid w:val="32EDE5F8"/>
    <w:rsid w:val="32FFFB04"/>
    <w:rsid w:val="3302160E"/>
    <w:rsid w:val="3328D3EF"/>
    <w:rsid w:val="33CD36DA"/>
    <w:rsid w:val="33ECAF4F"/>
    <w:rsid w:val="33F41299"/>
    <w:rsid w:val="34413033"/>
    <w:rsid w:val="349A60F0"/>
    <w:rsid w:val="34FB9E16"/>
    <w:rsid w:val="35090C57"/>
    <w:rsid w:val="35118EB5"/>
    <w:rsid w:val="357967F3"/>
    <w:rsid w:val="358E2C99"/>
    <w:rsid w:val="359E45D4"/>
    <w:rsid w:val="3658B8B2"/>
    <w:rsid w:val="365960FE"/>
    <w:rsid w:val="3665107E"/>
    <w:rsid w:val="36D558E9"/>
    <w:rsid w:val="36E19CBD"/>
    <w:rsid w:val="37C79A83"/>
    <w:rsid w:val="37D33604"/>
    <w:rsid w:val="37DC2A41"/>
    <w:rsid w:val="37DC779D"/>
    <w:rsid w:val="380C2DA2"/>
    <w:rsid w:val="381D57F2"/>
    <w:rsid w:val="384C5587"/>
    <w:rsid w:val="38610A22"/>
    <w:rsid w:val="3890BEB5"/>
    <w:rsid w:val="38A3AC66"/>
    <w:rsid w:val="38D0179A"/>
    <w:rsid w:val="3947E65E"/>
    <w:rsid w:val="394F9CB0"/>
    <w:rsid w:val="39FE0EA6"/>
    <w:rsid w:val="3A07C53F"/>
    <w:rsid w:val="3A2B047E"/>
    <w:rsid w:val="3A396BD4"/>
    <w:rsid w:val="3A591665"/>
    <w:rsid w:val="3ACCBAB2"/>
    <w:rsid w:val="3B1248FA"/>
    <w:rsid w:val="3B3A94B4"/>
    <w:rsid w:val="3B9B43B6"/>
    <w:rsid w:val="3B9BDBE9"/>
    <w:rsid w:val="3BA03BE4"/>
    <w:rsid w:val="3BA395A0"/>
    <w:rsid w:val="3BF92891"/>
    <w:rsid w:val="3C3CD811"/>
    <w:rsid w:val="3C6B5678"/>
    <w:rsid w:val="3C7AE41C"/>
    <w:rsid w:val="3CCFB84A"/>
    <w:rsid w:val="3D676B98"/>
    <w:rsid w:val="3DF968DF"/>
    <w:rsid w:val="3E0A8B70"/>
    <w:rsid w:val="3E58F7A6"/>
    <w:rsid w:val="3E6B0EBD"/>
    <w:rsid w:val="3EC24119"/>
    <w:rsid w:val="3F18A4B5"/>
    <w:rsid w:val="3F462B20"/>
    <w:rsid w:val="3FDF9CF7"/>
    <w:rsid w:val="3FECCEA1"/>
    <w:rsid w:val="4007590C"/>
    <w:rsid w:val="40078CB0"/>
    <w:rsid w:val="4028CFAD"/>
    <w:rsid w:val="40633B7E"/>
    <w:rsid w:val="40B74CE6"/>
    <w:rsid w:val="40DAABF5"/>
    <w:rsid w:val="40DDB40B"/>
    <w:rsid w:val="40DF0B02"/>
    <w:rsid w:val="417ED1EF"/>
    <w:rsid w:val="418046C4"/>
    <w:rsid w:val="418746F4"/>
    <w:rsid w:val="41AB11DB"/>
    <w:rsid w:val="41D443C1"/>
    <w:rsid w:val="41E4FD5D"/>
    <w:rsid w:val="4231664F"/>
    <w:rsid w:val="425736DE"/>
    <w:rsid w:val="427BE233"/>
    <w:rsid w:val="434BC31F"/>
    <w:rsid w:val="43701422"/>
    <w:rsid w:val="43C0F638"/>
    <w:rsid w:val="43E1684B"/>
    <w:rsid w:val="4408744C"/>
    <w:rsid w:val="441C1DFB"/>
    <w:rsid w:val="44591553"/>
    <w:rsid w:val="44A12FF5"/>
    <w:rsid w:val="4502B41B"/>
    <w:rsid w:val="45075158"/>
    <w:rsid w:val="45175346"/>
    <w:rsid w:val="463485A5"/>
    <w:rsid w:val="4650A6C9"/>
    <w:rsid w:val="466A7942"/>
    <w:rsid w:val="46F00BFE"/>
    <w:rsid w:val="47010E1B"/>
    <w:rsid w:val="473D34D3"/>
    <w:rsid w:val="4747C84B"/>
    <w:rsid w:val="47583CFB"/>
    <w:rsid w:val="475DD18D"/>
    <w:rsid w:val="47B88152"/>
    <w:rsid w:val="47BE857E"/>
    <w:rsid w:val="47EE8D63"/>
    <w:rsid w:val="47FD233B"/>
    <w:rsid w:val="4816EE06"/>
    <w:rsid w:val="481ED951"/>
    <w:rsid w:val="4871B4C7"/>
    <w:rsid w:val="4932C6BF"/>
    <w:rsid w:val="4983F23E"/>
    <w:rsid w:val="49EB05EE"/>
    <w:rsid w:val="49F1B518"/>
    <w:rsid w:val="4A40214B"/>
    <w:rsid w:val="4B2640FC"/>
    <w:rsid w:val="4BC2ACEF"/>
    <w:rsid w:val="4BCF4A85"/>
    <w:rsid w:val="4BCF8710"/>
    <w:rsid w:val="4C298350"/>
    <w:rsid w:val="4C557F17"/>
    <w:rsid w:val="4CE93F3E"/>
    <w:rsid w:val="4CEC2EE9"/>
    <w:rsid w:val="4CF72E4B"/>
    <w:rsid w:val="4D21E21F"/>
    <w:rsid w:val="4D38B166"/>
    <w:rsid w:val="4D454B56"/>
    <w:rsid w:val="4D866575"/>
    <w:rsid w:val="4D983866"/>
    <w:rsid w:val="4D9EC728"/>
    <w:rsid w:val="4DC58E97"/>
    <w:rsid w:val="4DCD3B9B"/>
    <w:rsid w:val="4DD2A8B8"/>
    <w:rsid w:val="4E87FF4A"/>
    <w:rsid w:val="4F3125D1"/>
    <w:rsid w:val="4F5AFCB3"/>
    <w:rsid w:val="4FA4DBDD"/>
    <w:rsid w:val="4FB851B6"/>
    <w:rsid w:val="4FBE7B70"/>
    <w:rsid w:val="4FD9D5DD"/>
    <w:rsid w:val="4FEEFA4D"/>
    <w:rsid w:val="5002AE67"/>
    <w:rsid w:val="50054D76"/>
    <w:rsid w:val="5052ED8B"/>
    <w:rsid w:val="512CE611"/>
    <w:rsid w:val="52050D5D"/>
    <w:rsid w:val="525E2B31"/>
    <w:rsid w:val="52D1C2F5"/>
    <w:rsid w:val="52D387BB"/>
    <w:rsid w:val="53A41F37"/>
    <w:rsid w:val="53BCE8BD"/>
    <w:rsid w:val="53D38EDD"/>
    <w:rsid w:val="54905D3B"/>
    <w:rsid w:val="54E3C59F"/>
    <w:rsid w:val="5500C3ED"/>
    <w:rsid w:val="557EC792"/>
    <w:rsid w:val="55D582F3"/>
    <w:rsid w:val="560963B7"/>
    <w:rsid w:val="56396DBC"/>
    <w:rsid w:val="563AA966"/>
    <w:rsid w:val="568C876C"/>
    <w:rsid w:val="56DC538B"/>
    <w:rsid w:val="573ACBA8"/>
    <w:rsid w:val="57465A76"/>
    <w:rsid w:val="57980448"/>
    <w:rsid w:val="57CC9AEE"/>
    <w:rsid w:val="57D73F74"/>
    <w:rsid w:val="580D08BE"/>
    <w:rsid w:val="584306CB"/>
    <w:rsid w:val="585F70C8"/>
    <w:rsid w:val="5860B565"/>
    <w:rsid w:val="58A0DD1B"/>
    <w:rsid w:val="58C340FE"/>
    <w:rsid w:val="58CA643B"/>
    <w:rsid w:val="5920315A"/>
    <w:rsid w:val="599AA016"/>
    <w:rsid w:val="59A2926E"/>
    <w:rsid w:val="5A402786"/>
    <w:rsid w:val="5A6A3068"/>
    <w:rsid w:val="5A6CD9AE"/>
    <w:rsid w:val="5A8C3E46"/>
    <w:rsid w:val="5AF5FA3A"/>
    <w:rsid w:val="5B12A7A0"/>
    <w:rsid w:val="5B6A28B2"/>
    <w:rsid w:val="5B7C1DDF"/>
    <w:rsid w:val="5B7D3029"/>
    <w:rsid w:val="5B86C2F8"/>
    <w:rsid w:val="5B9EACB5"/>
    <w:rsid w:val="5C0CB40F"/>
    <w:rsid w:val="5C1E63A5"/>
    <w:rsid w:val="5C597008"/>
    <w:rsid w:val="5C62152A"/>
    <w:rsid w:val="5C77532A"/>
    <w:rsid w:val="5CA076ED"/>
    <w:rsid w:val="5CA59C42"/>
    <w:rsid w:val="5CBFAB63"/>
    <w:rsid w:val="5D12E0C9"/>
    <w:rsid w:val="5D486DE1"/>
    <w:rsid w:val="5DCAFAC1"/>
    <w:rsid w:val="5E19181B"/>
    <w:rsid w:val="5E313883"/>
    <w:rsid w:val="5EB18864"/>
    <w:rsid w:val="5FB045FD"/>
    <w:rsid w:val="5FFA96C4"/>
    <w:rsid w:val="6034163C"/>
    <w:rsid w:val="60452F4E"/>
    <w:rsid w:val="60559A1E"/>
    <w:rsid w:val="607130B1"/>
    <w:rsid w:val="60C12D84"/>
    <w:rsid w:val="60C7E659"/>
    <w:rsid w:val="610EE4FF"/>
    <w:rsid w:val="611E9BEF"/>
    <w:rsid w:val="614BBC9E"/>
    <w:rsid w:val="617FCF79"/>
    <w:rsid w:val="61966725"/>
    <w:rsid w:val="61B53E90"/>
    <w:rsid w:val="61E04F3B"/>
    <w:rsid w:val="62863118"/>
    <w:rsid w:val="62FFC7E6"/>
    <w:rsid w:val="635FE74F"/>
    <w:rsid w:val="63618A52"/>
    <w:rsid w:val="6369D982"/>
    <w:rsid w:val="63D40988"/>
    <w:rsid w:val="63D63497"/>
    <w:rsid w:val="6420A380"/>
    <w:rsid w:val="648955BE"/>
    <w:rsid w:val="64C1A55D"/>
    <w:rsid w:val="64D3D1BB"/>
    <w:rsid w:val="64D676A1"/>
    <w:rsid w:val="64F9ABBD"/>
    <w:rsid w:val="6505A9E3"/>
    <w:rsid w:val="650EC78F"/>
    <w:rsid w:val="6554E08C"/>
    <w:rsid w:val="6577BBDC"/>
    <w:rsid w:val="6583D704"/>
    <w:rsid w:val="65BDE1A2"/>
    <w:rsid w:val="65C76C75"/>
    <w:rsid w:val="65D8E472"/>
    <w:rsid w:val="65D9E0D4"/>
    <w:rsid w:val="661386A1"/>
    <w:rsid w:val="6641F2C9"/>
    <w:rsid w:val="6691007E"/>
    <w:rsid w:val="66DCF208"/>
    <w:rsid w:val="6704DBC1"/>
    <w:rsid w:val="6725969A"/>
    <w:rsid w:val="674C67C1"/>
    <w:rsid w:val="678C6CBA"/>
    <w:rsid w:val="67917B0E"/>
    <w:rsid w:val="67EA355C"/>
    <w:rsid w:val="684F4A9A"/>
    <w:rsid w:val="6863A719"/>
    <w:rsid w:val="68751AF9"/>
    <w:rsid w:val="6891351E"/>
    <w:rsid w:val="68A56388"/>
    <w:rsid w:val="691F9FF0"/>
    <w:rsid w:val="6975952F"/>
    <w:rsid w:val="697FDF9A"/>
    <w:rsid w:val="69B735D4"/>
    <w:rsid w:val="69BAE8A7"/>
    <w:rsid w:val="6A165E40"/>
    <w:rsid w:val="6A2CD341"/>
    <w:rsid w:val="6A396258"/>
    <w:rsid w:val="6A813E9F"/>
    <w:rsid w:val="6AD87E36"/>
    <w:rsid w:val="6B078A7D"/>
    <w:rsid w:val="6B3069FB"/>
    <w:rsid w:val="6B820EB6"/>
    <w:rsid w:val="6BAD7D0B"/>
    <w:rsid w:val="6BBA9557"/>
    <w:rsid w:val="6C2F2615"/>
    <w:rsid w:val="6CA90711"/>
    <w:rsid w:val="6D330A38"/>
    <w:rsid w:val="6D446D48"/>
    <w:rsid w:val="6D47549B"/>
    <w:rsid w:val="6D9A3A4E"/>
    <w:rsid w:val="6E005A65"/>
    <w:rsid w:val="6E159DF8"/>
    <w:rsid w:val="6ED2E23B"/>
    <w:rsid w:val="6F692D70"/>
    <w:rsid w:val="6F876B85"/>
    <w:rsid w:val="70554A26"/>
    <w:rsid w:val="705B6D42"/>
    <w:rsid w:val="70A1045D"/>
    <w:rsid w:val="70B8988C"/>
    <w:rsid w:val="719A0444"/>
    <w:rsid w:val="71CB328A"/>
    <w:rsid w:val="71DEC565"/>
    <w:rsid w:val="71EC042D"/>
    <w:rsid w:val="72297898"/>
    <w:rsid w:val="72322A42"/>
    <w:rsid w:val="724A60E2"/>
    <w:rsid w:val="724F1747"/>
    <w:rsid w:val="727619CE"/>
    <w:rsid w:val="728ED7A4"/>
    <w:rsid w:val="729C3F0E"/>
    <w:rsid w:val="729D435A"/>
    <w:rsid w:val="72AE1971"/>
    <w:rsid w:val="72DF2DBC"/>
    <w:rsid w:val="72E6C2DC"/>
    <w:rsid w:val="73499C35"/>
    <w:rsid w:val="73749230"/>
    <w:rsid w:val="7386C1F3"/>
    <w:rsid w:val="73A3536E"/>
    <w:rsid w:val="73A7C5D6"/>
    <w:rsid w:val="73C350A1"/>
    <w:rsid w:val="73F59CDE"/>
    <w:rsid w:val="740F20C1"/>
    <w:rsid w:val="7451C765"/>
    <w:rsid w:val="74523167"/>
    <w:rsid w:val="74568DBD"/>
    <w:rsid w:val="747F88B5"/>
    <w:rsid w:val="74C975E0"/>
    <w:rsid w:val="74FAE0E5"/>
    <w:rsid w:val="750BC3C8"/>
    <w:rsid w:val="750FB2E1"/>
    <w:rsid w:val="75293ACD"/>
    <w:rsid w:val="7531A85F"/>
    <w:rsid w:val="75394BCC"/>
    <w:rsid w:val="7541230C"/>
    <w:rsid w:val="755B4D23"/>
    <w:rsid w:val="75D198FC"/>
    <w:rsid w:val="75F25E1E"/>
    <w:rsid w:val="76177375"/>
    <w:rsid w:val="76B931A5"/>
    <w:rsid w:val="76F03D0B"/>
    <w:rsid w:val="7720324E"/>
    <w:rsid w:val="779AE5C2"/>
    <w:rsid w:val="7819EDB1"/>
    <w:rsid w:val="781F5DD5"/>
    <w:rsid w:val="7823B9F9"/>
    <w:rsid w:val="784B88FE"/>
    <w:rsid w:val="7855FE29"/>
    <w:rsid w:val="7892EDE5"/>
    <w:rsid w:val="78A1A8F9"/>
    <w:rsid w:val="78C263D2"/>
    <w:rsid w:val="7920B1E8"/>
    <w:rsid w:val="797D2A38"/>
    <w:rsid w:val="79830225"/>
    <w:rsid w:val="79A77011"/>
    <w:rsid w:val="79E7595F"/>
    <w:rsid w:val="79F3302E"/>
    <w:rsid w:val="79FEC4D1"/>
    <w:rsid w:val="7A048BBC"/>
    <w:rsid w:val="7A1E78F3"/>
    <w:rsid w:val="7A4F680C"/>
    <w:rsid w:val="7A622C91"/>
    <w:rsid w:val="7AD01E0C"/>
    <w:rsid w:val="7AF00E9C"/>
    <w:rsid w:val="7B72D93D"/>
    <w:rsid w:val="7BC60B13"/>
    <w:rsid w:val="7BD76247"/>
    <w:rsid w:val="7C4849CF"/>
    <w:rsid w:val="7C5A840A"/>
    <w:rsid w:val="7C5BEB40"/>
    <w:rsid w:val="7C6208A9"/>
    <w:rsid w:val="7C6E5426"/>
    <w:rsid w:val="7C720026"/>
    <w:rsid w:val="7C9ABCEF"/>
    <w:rsid w:val="7CAB8B64"/>
    <w:rsid w:val="7CDFE7CF"/>
    <w:rsid w:val="7D511B88"/>
    <w:rsid w:val="7D665F08"/>
    <w:rsid w:val="7D957FAB"/>
    <w:rsid w:val="7DE0602D"/>
    <w:rsid w:val="7DE860AE"/>
    <w:rsid w:val="7DFBDF2B"/>
    <w:rsid w:val="7E0431BB"/>
    <w:rsid w:val="7E18F248"/>
    <w:rsid w:val="7E43CC18"/>
    <w:rsid w:val="7E59B297"/>
    <w:rsid w:val="7EA51CE7"/>
    <w:rsid w:val="7EE35583"/>
    <w:rsid w:val="7F088AE1"/>
    <w:rsid w:val="7F2B19AA"/>
    <w:rsid w:val="7F2DFEF6"/>
    <w:rsid w:val="7F3C5468"/>
    <w:rsid w:val="7F710C9F"/>
    <w:rsid w:val="7F735A8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0F6106"/>
  <w15:docId w15:val="{5D3D72C1-42FB-4569-9043-BF50015C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29D"/>
    <w:pPr>
      <w:spacing w:after="0" w:line="240" w:lineRule="auto"/>
    </w:pPr>
    <w:rPr>
      <w:rFonts w:ascii="Times New Roman" w:eastAsia="Times New Roman" w:hAnsi="Times New Roman" w:cs="Times New Roman"/>
      <w:sz w:val="24"/>
      <w:szCs w:val="24"/>
      <w:lang w:val="es-CR" w:eastAsia="es-MX"/>
    </w:rPr>
  </w:style>
  <w:style w:type="paragraph" w:styleId="Ttulo1">
    <w:name w:val="heading 1"/>
    <w:basedOn w:val="Normal"/>
    <w:next w:val="Normal"/>
    <w:link w:val="Ttulo1Car"/>
    <w:uiPriority w:val="9"/>
    <w:qFormat/>
    <w:rsid w:val="009569E6"/>
    <w:pPr>
      <w:keepNext/>
      <w:keepLines/>
      <w:spacing w:before="360" w:after="360"/>
      <w:jc w:val="center"/>
      <w:outlineLvl w:val="0"/>
    </w:pPr>
    <w:rPr>
      <w:rFonts w:cs="Verdana"/>
      <w:b/>
      <w:bCs/>
      <w:caps/>
      <w:snapToGrid w:val="0"/>
      <w:szCs w:val="20"/>
      <w:lang w:eastAsia="es-ES"/>
    </w:rPr>
  </w:style>
  <w:style w:type="paragraph" w:styleId="Ttulo2">
    <w:name w:val="heading 2"/>
    <w:basedOn w:val="Normal"/>
    <w:next w:val="Normal"/>
    <w:link w:val="Ttulo2Car"/>
    <w:uiPriority w:val="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lang w:val="es-CO"/>
    </w:rPr>
  </w:style>
  <w:style w:type="paragraph" w:styleId="Ttulo3">
    <w:name w:val="heading 3"/>
    <w:basedOn w:val="Normal"/>
    <w:next w:val="Normal"/>
    <w:link w:val="Ttulo3Car"/>
    <w:uiPriority w:val="9"/>
    <w:unhideWhenUsed/>
    <w:qFormat/>
    <w:rsid w:val="00F80DDB"/>
    <w:pPr>
      <w:keepNext/>
      <w:keepLines/>
      <w:spacing w:before="200"/>
      <w:outlineLvl w:val="2"/>
    </w:pPr>
    <w:rPr>
      <w:rFonts w:eastAsiaTheme="majorEastAsia" w:cstheme="majorBidi"/>
      <w:b/>
      <w:bCs/>
      <w:i/>
      <w:lang w:val="es-CO"/>
    </w:rPr>
  </w:style>
  <w:style w:type="paragraph" w:styleId="Ttulo4">
    <w:name w:val="heading 4"/>
    <w:basedOn w:val="Normal"/>
    <w:next w:val="Normal"/>
    <w:link w:val="Ttulo4C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lang w:val="es-CO"/>
    </w:rPr>
  </w:style>
  <w:style w:type="paragraph" w:styleId="Ttulo5">
    <w:name w:val="heading 5"/>
    <w:basedOn w:val="Normal"/>
    <w:next w:val="Normal"/>
    <w:link w:val="Ttulo5Car"/>
    <w:uiPriority w:val="9"/>
    <w:unhideWhenUsed/>
    <w:qFormat/>
    <w:rsid w:val="009A2F04"/>
    <w:pPr>
      <w:keepNext/>
      <w:keepLines/>
      <w:spacing w:before="200"/>
      <w:outlineLvl w:val="4"/>
    </w:pPr>
    <w:rPr>
      <w:rFonts w:asciiTheme="majorHAnsi" w:eastAsiaTheme="majorEastAsia" w:hAnsiTheme="majorHAnsi" w:cstheme="majorBidi"/>
      <w:color w:val="243F60" w:themeColor="accent1" w:themeShade="7F"/>
      <w:lang w:val="es-CO"/>
    </w:rPr>
  </w:style>
  <w:style w:type="paragraph" w:styleId="Ttulo6">
    <w:name w:val="heading 6"/>
    <w:basedOn w:val="Ttulo5"/>
    <w:next w:val="Normal"/>
    <w:link w:val="Ttulo6C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Ttulo7">
    <w:name w:val="heading 7"/>
    <w:basedOn w:val="Normal"/>
    <w:next w:val="Normal"/>
    <w:link w:val="Ttulo7Car"/>
    <w:uiPriority w:val="99"/>
    <w:qFormat/>
    <w:rsid w:val="00BD53D7"/>
    <w:pPr>
      <w:tabs>
        <w:tab w:val="num" w:pos="1296"/>
      </w:tabs>
      <w:spacing w:before="240" w:after="60" w:line="276" w:lineRule="auto"/>
      <w:ind w:left="1296" w:hanging="1296"/>
      <w:outlineLvl w:val="6"/>
    </w:pPr>
    <w:rPr>
      <w:lang w:val="es-CO" w:eastAsia="es-ES"/>
    </w:rPr>
  </w:style>
  <w:style w:type="paragraph" w:styleId="Ttulo8">
    <w:name w:val="heading 8"/>
    <w:basedOn w:val="Normal"/>
    <w:next w:val="Normal"/>
    <w:link w:val="Ttulo8Car"/>
    <w:uiPriority w:val="99"/>
    <w:qFormat/>
    <w:rsid w:val="00BD53D7"/>
    <w:pPr>
      <w:tabs>
        <w:tab w:val="num" w:pos="1440"/>
      </w:tabs>
      <w:spacing w:before="240" w:after="60" w:line="276" w:lineRule="auto"/>
      <w:ind w:left="1440" w:hanging="1440"/>
      <w:outlineLvl w:val="7"/>
    </w:pPr>
    <w:rPr>
      <w:i/>
      <w:iCs/>
      <w:lang w:val="es-CO" w:eastAsia="es-ES"/>
    </w:rPr>
  </w:style>
  <w:style w:type="paragraph" w:styleId="Ttulo9">
    <w:name w:val="heading 9"/>
    <w:basedOn w:val="Normal"/>
    <w:next w:val="Normal"/>
    <w:link w:val="Ttulo9Car"/>
    <w:uiPriority w:val="99"/>
    <w:qFormat/>
    <w:rsid w:val="00BD53D7"/>
    <w:pPr>
      <w:spacing w:before="240" w:after="60" w:line="276" w:lineRule="auto"/>
      <w:outlineLvl w:val="8"/>
    </w:pPr>
    <w:rPr>
      <w:rFonts w:ascii="Arial" w:hAnsi="Arial"/>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9403BF"/>
    <w:pPr>
      <w:jc w:val="center"/>
    </w:pPr>
    <w:rPr>
      <w:b/>
      <w:szCs w:val="20"/>
      <w:lang w:val="es-CO"/>
    </w:rPr>
  </w:style>
  <w:style w:type="character" w:customStyle="1" w:styleId="TtuloCar">
    <w:name w:val="Título Car"/>
    <w:basedOn w:val="Fuentedeprrafopredeter"/>
    <w:link w:val="Ttulo"/>
    <w:rsid w:val="009403BF"/>
    <w:rPr>
      <w:rFonts w:ascii="Verdana" w:eastAsia="Times New Roman" w:hAnsi="Verdana" w:cs="Times New Roman"/>
      <w:b/>
      <w:noProof/>
      <w:sz w:val="20"/>
      <w:szCs w:val="20"/>
      <w:lang w:val="es-ES_tradnl"/>
    </w:rPr>
  </w:style>
  <w:style w:type="paragraph" w:styleId="Subttulo">
    <w:name w:val="Subtitle"/>
    <w:basedOn w:val="Normal"/>
    <w:next w:val="Normal"/>
    <w:link w:val="SubttuloCar"/>
    <w:qFormat/>
    <w:rsid w:val="009403BF"/>
    <w:pPr>
      <w:numPr>
        <w:ilvl w:val="1"/>
      </w:numPr>
      <w:jc w:val="center"/>
    </w:pPr>
    <w:rPr>
      <w:b/>
      <w:i/>
      <w:iCs/>
      <w:spacing w:val="15"/>
      <w:lang w:val="es-CO"/>
    </w:rPr>
  </w:style>
  <w:style w:type="character" w:customStyle="1" w:styleId="SubttuloCar">
    <w:name w:val="Subtítulo Car"/>
    <w:basedOn w:val="Fuentedeprrafopredeter"/>
    <w:link w:val="Subttulo"/>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szCs w:val="20"/>
      <w:lang w:val="es-CO"/>
    </w:rPr>
  </w:style>
  <w:style w:type="paragraph" w:styleId="Encabezado">
    <w:name w:val="header"/>
    <w:aliases w:val="encabezado"/>
    <w:basedOn w:val="Normal"/>
    <w:link w:val="EncabezadoCar"/>
    <w:uiPriority w:val="99"/>
    <w:unhideWhenUsed/>
    <w:rsid w:val="009403BF"/>
    <w:pPr>
      <w:tabs>
        <w:tab w:val="center" w:pos="4252"/>
        <w:tab w:val="right" w:pos="8504"/>
      </w:tabs>
    </w:pPr>
    <w:rPr>
      <w:lang w:val="es-CO"/>
    </w:rPr>
  </w:style>
  <w:style w:type="character" w:customStyle="1" w:styleId="EncabezadoCar">
    <w:name w:val="Encabezado Car"/>
    <w:aliases w:val="encabezado Car"/>
    <w:basedOn w:val="Fuentedeprrafopredeter"/>
    <w:link w:val="Encabezado"/>
    <w:uiPriority w:val="99"/>
    <w:rsid w:val="009403BF"/>
    <w:rPr>
      <w:rFonts w:ascii="Verdana" w:eastAsia="Batang" w:hAnsi="Verdana" w:cs="Times"/>
      <w:noProof/>
      <w:sz w:val="20"/>
      <w:szCs w:val="24"/>
      <w:lang w:val="es-ES_tradnl"/>
    </w:rPr>
  </w:style>
  <w:style w:type="paragraph" w:styleId="Piedepgina">
    <w:name w:val="footer"/>
    <w:basedOn w:val="Normal"/>
    <w:link w:val="PiedepginaCar"/>
    <w:uiPriority w:val="99"/>
    <w:unhideWhenUsed/>
    <w:rsid w:val="009403BF"/>
    <w:pPr>
      <w:tabs>
        <w:tab w:val="center" w:pos="4252"/>
        <w:tab w:val="right" w:pos="8504"/>
      </w:tabs>
    </w:pPr>
    <w:rPr>
      <w:lang w:val="es-CO"/>
    </w:rPr>
  </w:style>
  <w:style w:type="character" w:customStyle="1" w:styleId="PiedepginaCar">
    <w:name w:val="Pie de página Car"/>
    <w:basedOn w:val="Fuentedeprrafopredeter"/>
    <w:link w:val="Piedepgina"/>
    <w:uiPriority w:val="99"/>
    <w:rsid w:val="009403BF"/>
    <w:rPr>
      <w:rFonts w:ascii="Verdana" w:eastAsia="Batang" w:hAnsi="Verdana" w:cs="Times"/>
      <w:noProof/>
      <w:sz w:val="20"/>
      <w:szCs w:val="24"/>
      <w:lang w:val="es-ES_tradnl"/>
    </w:rPr>
  </w:style>
  <w:style w:type="character" w:styleId="Hipervnculo">
    <w:name w:val="Hyperlink"/>
    <w:aliases w:val="Heading 3 caso"/>
    <w:basedOn w:val="Fuentedeprrafopredeter"/>
    <w:uiPriority w:val="99"/>
    <w:unhideWhenUsed/>
    <w:rsid w:val="009403BF"/>
    <w:rPr>
      <w:color w:val="0000FF"/>
      <w:u w:val="single"/>
    </w:rPr>
  </w:style>
  <w:style w:type="paragraph" w:styleId="TDC1">
    <w:name w:val="toc 1"/>
    <w:basedOn w:val="Normal"/>
    <w:next w:val="Normal"/>
    <w:autoRedefine/>
    <w:uiPriority w:val="39"/>
    <w:unhideWhenUsed/>
    <w:rsid w:val="007A0E84"/>
    <w:pPr>
      <w:tabs>
        <w:tab w:val="left" w:pos="709"/>
        <w:tab w:val="right" w:leader="dot" w:pos="10065"/>
      </w:tabs>
      <w:spacing w:before="60" w:after="60"/>
      <w:ind w:right="237"/>
    </w:pPr>
    <w:rPr>
      <w:b/>
      <w:sz w:val="18"/>
      <w:lang w:val="es-CO"/>
    </w:rPr>
  </w:style>
  <w:style w:type="character" w:customStyle="1" w:styleId="Ttulo1Car">
    <w:name w:val="Título 1 Car"/>
    <w:basedOn w:val="Fuentedeprrafopredeter"/>
    <w:link w:val="Ttulo1"/>
    <w:uiPriority w:val="9"/>
    <w:rsid w:val="009569E6"/>
    <w:rPr>
      <w:rFonts w:ascii="Verdana" w:eastAsia="Times New Roman" w:hAnsi="Verdana" w:cs="Verdana"/>
      <w:b/>
      <w:bCs/>
      <w:caps/>
      <w:noProof/>
      <w:snapToGrid w:val="0"/>
      <w:sz w:val="20"/>
      <w:szCs w:val="20"/>
      <w:lang w:val="es-CR" w:eastAsia="es-ES"/>
    </w:rPr>
  </w:style>
  <w:style w:type="paragraph" w:styleId="Prrafodelista">
    <w:name w:val="List Paragraph"/>
    <w:aliases w:val="Footnote,List Paragraph1,Colorful List - Accent 11,Párrafo de lista1,List Paragraph2,Lista vistosa - Énfasis 11,Subtle Emphasis1,Footnote1,List Paragraph11,Parrafos,Medium Grid 1 - Accent 21,Colorful List - Accent 12"/>
    <w:basedOn w:val="Normal"/>
    <w:link w:val="PrrafodelistaCar"/>
    <w:uiPriority w:val="99"/>
    <w:qFormat/>
    <w:rsid w:val="00CA3EC4"/>
    <w:pPr>
      <w:ind w:left="720"/>
      <w:contextualSpacing/>
    </w:pPr>
    <w:rPr>
      <w:lang w:val="es-CO"/>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qFormat/>
    <w:rsid w:val="006F5C6B"/>
    <w:rPr>
      <w:rFonts w:cs="Times New Roman"/>
      <w:szCs w:val="20"/>
      <w:vertAlign w:val="superscript"/>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1"/>
    <w:unhideWhenUsed/>
    <w:qFormat/>
    <w:rsid w:val="006F5C6B"/>
    <w:pPr>
      <w:spacing w:before="120" w:after="120"/>
    </w:pPr>
    <w:rPr>
      <w:sz w:val="16"/>
      <w:szCs w:val="20"/>
      <w:lang w:val="es-CO"/>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qFormat/>
    <w:rsid w:val="006F5C6B"/>
    <w:rPr>
      <w:rFonts w:ascii="Verdana" w:eastAsia="Batang" w:hAnsi="Verdana" w:cs="Times"/>
      <w:noProof/>
      <w:sz w:val="20"/>
      <w:szCs w:val="20"/>
      <w:lang w:val="es-ES_tradnl"/>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link w:val="Textonotapie"/>
    <w:qFormat/>
    <w:rsid w:val="006F5C6B"/>
    <w:rPr>
      <w:rFonts w:ascii="Verdana" w:eastAsia="Batang" w:hAnsi="Verdana" w:cs="Times"/>
      <w:noProof/>
      <w:sz w:val="16"/>
      <w:szCs w:val="20"/>
      <w:lang w:val="es-ES_tradnl"/>
    </w:rPr>
  </w:style>
  <w:style w:type="character" w:styleId="Textoennegrita">
    <w:name w:val="Strong"/>
    <w:aliases w:val="Heading 2.1"/>
    <w:basedOn w:val="Fuentedeprrafopredeter"/>
    <w:uiPriority w:val="22"/>
    <w:qFormat/>
    <w:rsid w:val="0003786A"/>
    <w:rPr>
      <w:b/>
      <w:bCs/>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List Paragraph11 Car1,Parrafos Car"/>
    <w:basedOn w:val="Fuentedeprrafopredeter"/>
    <w:link w:val="Prrafodelista"/>
    <w:uiPriority w:val="99"/>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lang w:val="es-CO"/>
    </w:rPr>
  </w:style>
  <w:style w:type="character" w:customStyle="1" w:styleId="Estilo1Car">
    <w:name w:val="Estilo1 Car"/>
    <w:basedOn w:val="Fuentedeprrafopredeter"/>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Fuentedeprrafopredeter"/>
    <w:rsid w:val="003C30A5"/>
  </w:style>
  <w:style w:type="paragraph" w:styleId="TtuloTDC">
    <w:name w:val="TOC Heading"/>
    <w:basedOn w:val="Ttulo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Textodeglobo">
    <w:name w:val="Balloon Text"/>
    <w:basedOn w:val="Normal"/>
    <w:link w:val="TextodegloboCar"/>
    <w:uiPriority w:val="99"/>
    <w:unhideWhenUsed/>
    <w:rsid w:val="00206CEA"/>
    <w:rPr>
      <w:rFonts w:ascii="Tahoma" w:hAnsi="Tahoma" w:cs="Tahoma"/>
      <w:sz w:val="16"/>
      <w:szCs w:val="16"/>
      <w:lang w:val="es-CO"/>
    </w:rPr>
  </w:style>
  <w:style w:type="character" w:customStyle="1" w:styleId="TextodegloboCar">
    <w:name w:val="Texto de globo Car"/>
    <w:basedOn w:val="Fuentedeprrafopredeter"/>
    <w:link w:val="Textodeglobo"/>
    <w:uiPriority w:val="99"/>
    <w:rsid w:val="00206CEA"/>
    <w:rPr>
      <w:rFonts w:ascii="Tahoma" w:eastAsia="Batang" w:hAnsi="Tahoma" w:cs="Tahoma"/>
      <w:noProof/>
      <w:sz w:val="16"/>
      <w:szCs w:val="16"/>
      <w:lang w:val="es-ES_tradnl"/>
    </w:rPr>
  </w:style>
  <w:style w:type="table" w:styleId="Tablaconcuadrcula">
    <w:name w:val="Table Grid"/>
    <w:basedOn w:val="Tabla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2">
    <w:name w:val="toc 2"/>
    <w:basedOn w:val="Normal"/>
    <w:next w:val="Normal"/>
    <w:autoRedefine/>
    <w:uiPriority w:val="39"/>
    <w:unhideWhenUsed/>
    <w:rsid w:val="005A7444"/>
    <w:pPr>
      <w:tabs>
        <w:tab w:val="left" w:pos="660"/>
        <w:tab w:val="right" w:leader="dot" w:pos="10065"/>
      </w:tabs>
      <w:spacing w:after="60"/>
      <w:ind w:left="198" w:right="49"/>
    </w:pPr>
    <w:rPr>
      <w:lang w:val="es-CO"/>
    </w:rPr>
  </w:style>
  <w:style w:type="character" w:styleId="Refdecomentario">
    <w:name w:val="annotation reference"/>
    <w:basedOn w:val="Fuentedeprrafopredeter"/>
    <w:uiPriority w:val="99"/>
    <w:semiHidden/>
    <w:unhideWhenUsed/>
    <w:rsid w:val="00500859"/>
    <w:rPr>
      <w:sz w:val="16"/>
      <w:szCs w:val="16"/>
    </w:rPr>
  </w:style>
  <w:style w:type="paragraph" w:styleId="Textocomentario">
    <w:name w:val="annotation text"/>
    <w:basedOn w:val="Normal"/>
    <w:link w:val="TextocomentarioCar"/>
    <w:uiPriority w:val="99"/>
    <w:unhideWhenUsed/>
    <w:rsid w:val="00500859"/>
    <w:rPr>
      <w:szCs w:val="20"/>
      <w:lang w:val="es-CO"/>
    </w:rPr>
  </w:style>
  <w:style w:type="character" w:customStyle="1" w:styleId="TextocomentarioCar">
    <w:name w:val="Texto comentario Car"/>
    <w:basedOn w:val="Fuentedeprrafopredeter"/>
    <w:link w:val="Textocomentario"/>
    <w:uiPriority w:val="99"/>
    <w:rsid w:val="00500859"/>
    <w:rPr>
      <w:rFonts w:ascii="Verdana" w:eastAsia="Batang" w:hAnsi="Verdana" w:cs="Times"/>
      <w:noProof/>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500859"/>
    <w:rPr>
      <w:b/>
      <w:bCs/>
    </w:rPr>
  </w:style>
  <w:style w:type="character" w:customStyle="1" w:styleId="AsuntodelcomentarioCar">
    <w:name w:val="Asunto del comentario Car"/>
    <w:basedOn w:val="TextocomentarioCar"/>
    <w:link w:val="Asuntodelcomentario"/>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Textonotapie"/>
    <w:link w:val="FootnotesChar"/>
    <w:autoRedefine/>
    <w:qFormat/>
    <w:rsid w:val="00B74725"/>
    <w:pPr>
      <w:spacing w:before="60" w:after="60"/>
      <w:ind w:left="2124" w:hanging="2124"/>
    </w:pPr>
    <w:rPr>
      <w:rFonts w:cs="Palatino-Italic"/>
      <w:iCs/>
      <w:spacing w:val="-4"/>
      <w:szCs w:val="16"/>
      <w:lang w:val="es-ES" w:bidi="en-US"/>
    </w:rPr>
  </w:style>
  <w:style w:type="character" w:customStyle="1" w:styleId="FootnotesChar">
    <w:name w:val="**. Footnotes Char"/>
    <w:basedOn w:val="Fuentedeprrafopredeter"/>
    <w:link w:val="Footnotes"/>
    <w:rsid w:val="00B74725"/>
    <w:rPr>
      <w:rFonts w:ascii="Verdana" w:eastAsia="Times New Roman" w:hAnsi="Verdana" w:cs="Palatino-Italic"/>
      <w:iCs/>
      <w:spacing w:val="-4"/>
      <w:sz w:val="16"/>
      <w:szCs w:val="16"/>
      <w:lang w:bidi="en-US"/>
    </w:rPr>
  </w:style>
  <w:style w:type="character" w:customStyle="1" w:styleId="Ttulo6Car">
    <w:name w:val="Título 6 Car"/>
    <w:basedOn w:val="Fuentedeprrafopredeter"/>
    <w:link w:val="Ttulo6"/>
    <w:uiPriority w:val="9"/>
    <w:rsid w:val="009A2F04"/>
    <w:rPr>
      <w:rFonts w:ascii="Verdana" w:eastAsia="Times New Roman" w:hAnsi="Verdana" w:cs="Times New Roman"/>
      <w:spacing w:val="-2"/>
      <w:sz w:val="24"/>
      <w:szCs w:val="20"/>
      <w:lang w:val="es-CO" w:eastAsia="es-CR"/>
    </w:rPr>
  </w:style>
  <w:style w:type="character" w:customStyle="1" w:styleId="Ttulo5Car">
    <w:name w:val="Título 5 Car"/>
    <w:basedOn w:val="Fuentedeprrafopredeter"/>
    <w:link w:val="Ttulo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Ttulo2Car">
    <w:name w:val="Título 2 Car"/>
    <w:basedOn w:val="Fuentedeprrafopredeter"/>
    <w:link w:val="Ttulo2"/>
    <w:uiPriority w:val="9"/>
    <w:rsid w:val="00F80DDB"/>
    <w:rPr>
      <w:rFonts w:asciiTheme="majorHAnsi" w:eastAsiaTheme="majorEastAsia" w:hAnsiTheme="majorHAnsi" w:cstheme="majorBidi"/>
      <w:b/>
      <w:bCs/>
      <w:noProof/>
      <w:color w:val="4F81BD" w:themeColor="accent1"/>
      <w:sz w:val="26"/>
      <w:szCs w:val="26"/>
      <w:lang w:val="es-ES_tradnl"/>
    </w:rPr>
  </w:style>
  <w:style w:type="character" w:customStyle="1" w:styleId="Ttulo3Car">
    <w:name w:val="Título 3 Car"/>
    <w:basedOn w:val="Fuentedeprrafopredeter"/>
    <w:link w:val="Ttulo3"/>
    <w:uiPriority w:val="9"/>
    <w:rsid w:val="00F80DDB"/>
    <w:rPr>
      <w:rFonts w:ascii="Verdana" w:eastAsiaTheme="majorEastAsia" w:hAnsi="Verdana" w:cstheme="majorBidi"/>
      <w:b/>
      <w:bCs/>
      <w:i/>
      <w:sz w:val="20"/>
      <w:szCs w:val="24"/>
      <w:lang w:val="es-ES_tradnl"/>
    </w:rPr>
  </w:style>
  <w:style w:type="character" w:customStyle="1" w:styleId="Ttulo4Car">
    <w:name w:val="Título 4 Car"/>
    <w:basedOn w:val="Fuentedeprrafopredeter"/>
    <w:link w:val="Ttulo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Textonotapie"/>
    <w:link w:val="2FootnotesChar"/>
    <w:autoRedefine/>
    <w:qFormat/>
    <w:rsid w:val="00F80DDB"/>
    <w:rPr>
      <w:rFonts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F80DDB"/>
    <w:rPr>
      <w:rFonts w:asciiTheme="minorHAnsi" w:eastAsiaTheme="minorHAnsi" w:hAnsiTheme="minorHAnsi"/>
      <w:sz w:val="22"/>
      <w:szCs w:val="20"/>
      <w:vertAlign w:val="superscript"/>
      <w:lang w:val="es-ES"/>
    </w:rPr>
  </w:style>
  <w:style w:type="character" w:customStyle="1" w:styleId="PrrafodeSentenciaChar">
    <w:name w:val="*. Párrafo de Sentencia Char"/>
    <w:link w:val="PrrafodeSentencia"/>
    <w:locked/>
    <w:rsid w:val="00AD12A6"/>
    <w:rPr>
      <w:rFonts w:ascii="Verdana" w:eastAsia="Batang" w:hAnsi="Verdana" w:cs="Arial"/>
      <w:sz w:val="20"/>
      <w:szCs w:val="20"/>
      <w:lang w:val="es-ES_tradnl" w:eastAsia="es-ES"/>
    </w:rPr>
  </w:style>
  <w:style w:type="paragraph" w:customStyle="1" w:styleId="PrrafodeSentencia">
    <w:name w:val="*. Párrafo de Sentencia"/>
    <w:basedOn w:val="Textonotapie"/>
    <w:link w:val="PrrafodeSentenciaChar"/>
    <w:autoRedefine/>
    <w:qFormat/>
    <w:rsid w:val="00AD12A6"/>
    <w:pPr>
      <w:tabs>
        <w:tab w:val="left" w:pos="720"/>
        <w:tab w:val="left" w:pos="2268"/>
      </w:tabs>
      <w:spacing w:before="240" w:after="240"/>
      <w:ind w:left="567" w:right="899"/>
    </w:pPr>
    <w:rPr>
      <w:rFonts w:cs="Arial"/>
      <w:sz w:val="20"/>
      <w:lang w:eastAsia="es-ES"/>
    </w:rPr>
  </w:style>
  <w:style w:type="character" w:customStyle="1" w:styleId="Smbolodenotaalpie">
    <w:name w:val="Símbolo de nota al pie"/>
    <w:rsid w:val="00577335"/>
    <w:rPr>
      <w:rFonts w:cs="Times New Roman"/>
      <w:szCs w:val="20"/>
      <w:vertAlign w:val="superscript"/>
    </w:rPr>
  </w:style>
  <w:style w:type="character" w:customStyle="1" w:styleId="Ttulo7Car">
    <w:name w:val="Título 7 Car"/>
    <w:basedOn w:val="Fuentedeprrafopredeter"/>
    <w:link w:val="Ttulo7"/>
    <w:uiPriority w:val="99"/>
    <w:rsid w:val="00BD53D7"/>
    <w:rPr>
      <w:rFonts w:ascii="Times New Roman" w:eastAsia="Times New Roman" w:hAnsi="Times New Roman" w:cs="Times New Roman"/>
      <w:sz w:val="24"/>
      <w:szCs w:val="24"/>
      <w:lang w:val="es-ES_tradnl" w:eastAsia="es-ES"/>
    </w:rPr>
  </w:style>
  <w:style w:type="character" w:customStyle="1" w:styleId="Ttulo8Car">
    <w:name w:val="Título 8 Car"/>
    <w:basedOn w:val="Fuentedeprrafopredeter"/>
    <w:link w:val="Ttulo8"/>
    <w:uiPriority w:val="99"/>
    <w:rsid w:val="00BD53D7"/>
    <w:rPr>
      <w:rFonts w:ascii="Times New Roman" w:eastAsia="Times New Roman" w:hAnsi="Times New Roman" w:cs="Times New Roman"/>
      <w:i/>
      <w:iCs/>
      <w:sz w:val="24"/>
      <w:szCs w:val="24"/>
      <w:lang w:val="es-ES_tradnl" w:eastAsia="es-ES"/>
    </w:rPr>
  </w:style>
  <w:style w:type="character" w:customStyle="1" w:styleId="Ttulo9Car">
    <w:name w:val="Título 9 Car"/>
    <w:basedOn w:val="Fuentedeprrafopredeter"/>
    <w:link w:val="Ttulo9"/>
    <w:uiPriority w:val="99"/>
    <w:rsid w:val="00BD53D7"/>
    <w:rPr>
      <w:rFonts w:ascii="Arial" w:eastAsia="Times New Roman" w:hAnsi="Arial" w:cs="Times New Roman"/>
      <w:lang w:val="es-ES_tradnl"/>
    </w:rPr>
  </w:style>
  <w:style w:type="character" w:styleId="Nmerodelnea">
    <w:name w:val="line number"/>
    <w:basedOn w:val="Fuentedeprrafopredeter"/>
    <w:uiPriority w:val="99"/>
    <w:semiHidden/>
    <w:unhideWhenUsed/>
    <w:rsid w:val="00BD53D7"/>
  </w:style>
  <w:style w:type="paragraph" w:styleId="NormalWeb">
    <w:name w:val="Normal (Web)"/>
    <w:aliases w:val="Normal (Web) Char1,Normal (Web) Char Char,Normal (Web) Char1 Char,Normal (Web) Char Char Char"/>
    <w:basedOn w:val="Normal"/>
    <w:uiPriority w:val="99"/>
    <w:qFormat/>
    <w:rsid w:val="00BD53D7"/>
    <w:pPr>
      <w:spacing w:before="100" w:beforeAutospacing="1" w:after="100" w:afterAutospacing="1" w:line="276" w:lineRule="auto"/>
    </w:pPr>
    <w:rPr>
      <w:rFonts w:ascii="Arial Unicode MS" w:hAnsi="Arial Unicode MS" w:cs="Arial Unicode MS"/>
      <w:sz w:val="16"/>
      <w:szCs w:val="16"/>
      <w:lang w:val="en-US"/>
    </w:rPr>
  </w:style>
  <w:style w:type="paragraph" w:styleId="Textonotaalfinal">
    <w:name w:val="endnote text"/>
    <w:basedOn w:val="Normal"/>
    <w:link w:val="TextonotaalfinalC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hAnsi="CG Times"/>
      <w:sz w:val="22"/>
      <w:szCs w:val="20"/>
      <w:lang w:val="es-ES"/>
    </w:rPr>
  </w:style>
  <w:style w:type="character" w:customStyle="1" w:styleId="TextonotaalfinalCar">
    <w:name w:val="Texto nota al final Car"/>
    <w:basedOn w:val="Fuentedeprrafopredeter"/>
    <w:link w:val="Textonotaalfinal"/>
    <w:uiPriority w:val="99"/>
    <w:semiHidden/>
    <w:rsid w:val="00BD53D7"/>
    <w:rPr>
      <w:rFonts w:ascii="CG Times" w:eastAsia="Times New Roman" w:hAnsi="CG Times" w:cs="Times New Roman"/>
      <w:szCs w:val="20"/>
    </w:rPr>
  </w:style>
  <w:style w:type="character" w:styleId="Nmerodepgina">
    <w:name w:val="page number"/>
    <w:basedOn w:val="Fuentedeprrafopredeter"/>
    <w:uiPriority w:val="99"/>
    <w:rsid w:val="00BD53D7"/>
    <w:rPr>
      <w:rFonts w:cs="Times New Roman"/>
    </w:rPr>
  </w:style>
  <w:style w:type="paragraph" w:styleId="Sangradetextonormal">
    <w:name w:val="Body Text Indent"/>
    <w:basedOn w:val="Normal"/>
    <w:link w:val="SangradetextonormalCar"/>
    <w:uiPriority w:val="99"/>
    <w:rsid w:val="00BD53D7"/>
    <w:pPr>
      <w:spacing w:before="60" w:after="60" w:line="276" w:lineRule="auto"/>
      <w:ind w:left="720"/>
    </w:pPr>
    <w:rPr>
      <w:rFonts w:ascii="Univers" w:hAnsi="Univers"/>
      <w:szCs w:val="20"/>
      <w:lang w:val="es-CL"/>
    </w:rPr>
  </w:style>
  <w:style w:type="character" w:customStyle="1" w:styleId="SangradetextonormalCar">
    <w:name w:val="Sangría de texto normal Car"/>
    <w:basedOn w:val="Fuentedeprrafopredeter"/>
    <w:link w:val="Sangradetextonormal"/>
    <w:rsid w:val="00BD53D7"/>
    <w:rPr>
      <w:rFonts w:ascii="Univers" w:eastAsia="Times New Roman" w:hAnsi="Univers" w:cs="Times New Roman"/>
      <w:sz w:val="20"/>
      <w:szCs w:val="20"/>
      <w:lang w:val="es-CL"/>
    </w:rPr>
  </w:style>
  <w:style w:type="paragraph" w:styleId="Textoindependiente">
    <w:name w:val="Body Text"/>
    <w:basedOn w:val="Normal"/>
    <w:link w:val="TextoindependienteCar"/>
    <w:uiPriority w:val="99"/>
    <w:rsid w:val="00BD53D7"/>
    <w:pPr>
      <w:spacing w:before="60" w:after="60" w:line="276" w:lineRule="auto"/>
    </w:pPr>
    <w:rPr>
      <w:rFonts w:ascii="Univers" w:hAnsi="Univers"/>
      <w:sz w:val="22"/>
      <w:szCs w:val="20"/>
      <w:lang w:val="es-CL"/>
    </w:rPr>
  </w:style>
  <w:style w:type="character" w:customStyle="1" w:styleId="TextoindependienteCar">
    <w:name w:val="Texto independiente Car"/>
    <w:basedOn w:val="Fuentedeprrafopredeter"/>
    <w:link w:val="Textoindependiente"/>
    <w:uiPriority w:val="99"/>
    <w:rsid w:val="00BD53D7"/>
    <w:rPr>
      <w:rFonts w:ascii="Univers" w:eastAsia="Times New Roman" w:hAnsi="Univers" w:cs="Times New Roman"/>
      <w:szCs w:val="20"/>
      <w:lang w:val="es-CL"/>
    </w:rPr>
  </w:style>
  <w:style w:type="paragraph" w:styleId="Textoindependiente2">
    <w:name w:val="Body Text 2"/>
    <w:basedOn w:val="Normal"/>
    <w:link w:val="Textoindependiente2Car"/>
    <w:uiPriority w:val="99"/>
    <w:rsid w:val="00BD53D7"/>
    <w:pPr>
      <w:spacing w:before="60" w:after="120" w:line="480" w:lineRule="auto"/>
    </w:pPr>
    <w:rPr>
      <w:lang w:val="es-CO"/>
    </w:rPr>
  </w:style>
  <w:style w:type="character" w:customStyle="1" w:styleId="Textoindependiente2Car">
    <w:name w:val="Texto independiente 2 Car"/>
    <w:basedOn w:val="Fuentedeprrafopredeter"/>
    <w:link w:val="Textoindependiente2"/>
    <w:uiPriority w:val="99"/>
    <w:rsid w:val="00BD53D7"/>
    <w:rPr>
      <w:rFonts w:ascii="Times New Roman" w:eastAsia="Times New Roman" w:hAnsi="Times New Roman" w:cs="Times New Roman"/>
      <w:sz w:val="24"/>
      <w:szCs w:val="24"/>
      <w:lang w:val="es-ES_tradnl"/>
    </w:rPr>
  </w:style>
  <w:style w:type="paragraph" w:styleId="Sangra2detindependiente">
    <w:name w:val="Body Text Indent 2"/>
    <w:basedOn w:val="Normal"/>
    <w:link w:val="Sangra2detindependienteCar"/>
    <w:uiPriority w:val="99"/>
    <w:rsid w:val="00BD53D7"/>
    <w:pPr>
      <w:spacing w:before="60" w:after="120" w:line="480" w:lineRule="auto"/>
      <w:ind w:left="283"/>
    </w:pPr>
    <w:rPr>
      <w:szCs w:val="20"/>
      <w:lang w:val="es-CO"/>
    </w:rPr>
  </w:style>
  <w:style w:type="character" w:customStyle="1" w:styleId="Sangra2detindependienteCar">
    <w:name w:val="Sangría 2 de t. independiente Car"/>
    <w:basedOn w:val="Fuentedeprrafopredeter"/>
    <w:link w:val="Sangra2detindependiente"/>
    <w:uiPriority w:val="99"/>
    <w:rsid w:val="00BD53D7"/>
    <w:rPr>
      <w:rFonts w:ascii="Times New Roman" w:eastAsia="Times New Roman" w:hAnsi="Times New Roman" w:cs="Times New Roman"/>
      <w:sz w:val="24"/>
      <w:szCs w:val="20"/>
      <w:lang w:val="es-ES_tradnl"/>
    </w:rPr>
  </w:style>
  <w:style w:type="character" w:styleId="nfasis">
    <w:name w:val="Emphasis"/>
    <w:basedOn w:val="Fuentedeprrafopredeter"/>
    <w:uiPriority w:val="20"/>
    <w:qFormat/>
    <w:rsid w:val="00BD53D7"/>
    <w:rPr>
      <w:rFonts w:cs="Times New Roman"/>
      <w:i/>
      <w:iCs/>
    </w:rPr>
  </w:style>
  <w:style w:type="paragraph" w:styleId="Sangra3detindependiente">
    <w:name w:val="Body Text Indent 3"/>
    <w:basedOn w:val="Normal"/>
    <w:link w:val="Sangra3detindependienteCar"/>
    <w:uiPriority w:val="99"/>
    <w:rsid w:val="00BD53D7"/>
    <w:pPr>
      <w:spacing w:before="60" w:after="120" w:line="276" w:lineRule="auto"/>
      <w:ind w:left="283"/>
    </w:pPr>
    <w:rPr>
      <w:sz w:val="16"/>
      <w:szCs w:val="16"/>
      <w:lang w:val="es-ES"/>
    </w:rPr>
  </w:style>
  <w:style w:type="character" w:customStyle="1" w:styleId="Sangra3detindependienteCar">
    <w:name w:val="Sangría 3 de t. independiente Car"/>
    <w:basedOn w:val="Fuentedeprrafopredeter"/>
    <w:link w:val="Sangra3detindependiente"/>
    <w:uiPriority w:val="99"/>
    <w:rsid w:val="00BD53D7"/>
    <w:rPr>
      <w:rFonts w:ascii="Times New Roman" w:eastAsia="Times New Roman" w:hAnsi="Times New Roman" w:cs="Times New Roman"/>
      <w:sz w:val="16"/>
      <w:szCs w:val="16"/>
    </w:rPr>
  </w:style>
  <w:style w:type="paragraph" w:styleId="Textoindependiente3">
    <w:name w:val="Body Text 3"/>
    <w:basedOn w:val="Normal"/>
    <w:link w:val="Textoindependiente3Car"/>
    <w:uiPriority w:val="99"/>
    <w:rsid w:val="00BD53D7"/>
    <w:pPr>
      <w:spacing w:before="60" w:after="120" w:line="276" w:lineRule="auto"/>
    </w:pPr>
    <w:rPr>
      <w:sz w:val="16"/>
      <w:szCs w:val="16"/>
      <w:lang w:val="es-ES"/>
    </w:rPr>
  </w:style>
  <w:style w:type="character" w:customStyle="1" w:styleId="Textoindependiente3Car">
    <w:name w:val="Texto independiente 3 Car"/>
    <w:basedOn w:val="Fuentedeprrafopredeter"/>
    <w:link w:val="Textoindependiente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Fuentedeprrafopredeter"/>
    <w:uiPriority w:val="99"/>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hAnsi="Garamond"/>
      <w:szCs w:val="20"/>
      <w:lang w:val="es-CO"/>
    </w:rPr>
  </w:style>
  <w:style w:type="paragraph" w:customStyle="1" w:styleId="Default">
    <w:name w:val="Default"/>
    <w:uiPriority w:val="99"/>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pPr>
    <w:rPr>
      <w:color w:val="000000"/>
      <w:spacing w:val="3"/>
      <w:sz w:val="18"/>
      <w:szCs w:val="18"/>
      <w:lang w:val="es-ES" w:eastAsia="es-ES"/>
    </w:rPr>
  </w:style>
  <w:style w:type="paragraph" w:customStyle="1" w:styleId="Titre1">
    <w:name w:val="Titre 1"/>
    <w:basedOn w:val="Normal"/>
    <w:uiPriority w:val="99"/>
    <w:rsid w:val="00BD53D7"/>
    <w:pPr>
      <w:numPr>
        <w:numId w:val="5"/>
      </w:numPr>
      <w:tabs>
        <w:tab w:val="num" w:pos="1080"/>
      </w:tabs>
      <w:spacing w:before="60" w:after="60" w:line="276" w:lineRule="auto"/>
      <w:ind w:left="1080" w:hanging="720"/>
      <w:jc w:val="center"/>
    </w:pPr>
    <w:rPr>
      <w:b/>
      <w:caps/>
      <w:szCs w:val="20"/>
      <w:lang w:val="es-ES" w:eastAsia="es-ES"/>
    </w:rPr>
  </w:style>
  <w:style w:type="paragraph" w:styleId="Listaconvietas">
    <w:name w:val="List Bullet"/>
    <w:basedOn w:val="Normal"/>
    <w:uiPriority w:val="99"/>
    <w:rsid w:val="00BD53D7"/>
    <w:pPr>
      <w:numPr>
        <w:numId w:val="4"/>
      </w:numPr>
      <w:tabs>
        <w:tab w:val="clear" w:pos="360"/>
        <w:tab w:val="num" w:pos="780"/>
      </w:tabs>
      <w:spacing w:before="60" w:after="60" w:line="276" w:lineRule="auto"/>
    </w:pPr>
    <w:rPr>
      <w:lang w:val="es-ES"/>
    </w:rPr>
  </w:style>
  <w:style w:type="character" w:customStyle="1" w:styleId="CarCar">
    <w:name w:val="Car Car"/>
    <w:basedOn w:val="Fuentedeprrafopredeter"/>
    <w:uiPriority w:val="99"/>
    <w:rsid w:val="00BD53D7"/>
    <w:rPr>
      <w:rFonts w:cs="Times New Roman"/>
      <w:sz w:val="24"/>
      <w:lang w:val="es-ES" w:eastAsia="en-US"/>
    </w:rPr>
  </w:style>
  <w:style w:type="paragraph" w:styleId="Lista2">
    <w:name w:val="List 2"/>
    <w:basedOn w:val="Normal"/>
    <w:uiPriority w:val="99"/>
    <w:rsid w:val="00BD53D7"/>
    <w:pPr>
      <w:spacing w:before="60" w:after="60" w:line="276" w:lineRule="auto"/>
      <w:ind w:left="566" w:hanging="283"/>
    </w:pPr>
    <w:rPr>
      <w:sz w:val="28"/>
      <w:szCs w:val="28"/>
      <w:lang w:val="es-ES" w:eastAsia="es-ES"/>
    </w:rPr>
  </w:style>
  <w:style w:type="paragraph" w:styleId="Textodebloque">
    <w:name w:val="Block Text"/>
    <w:basedOn w:val="Normal"/>
    <w:uiPriority w:val="99"/>
    <w:rsid w:val="00BD53D7"/>
    <w:pPr>
      <w:spacing w:before="60" w:after="60" w:line="360" w:lineRule="auto"/>
      <w:ind w:left="1259" w:right="919"/>
    </w:pPr>
    <w:rPr>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pPr>
    <w:rPr>
      <w:lang w:val="es-ES" w:eastAsia="es-ES"/>
    </w:rPr>
  </w:style>
  <w:style w:type="paragraph" w:customStyle="1" w:styleId="Prrafodelista1">
    <w:name w:val="P∑rrafo de lista1"/>
    <w:basedOn w:val="Normal"/>
    <w:uiPriority w:val="99"/>
    <w:rsid w:val="00BD53D7"/>
    <w:pPr>
      <w:spacing w:before="60" w:after="60" w:line="276" w:lineRule="auto"/>
      <w:ind w:left="720"/>
      <w:contextualSpacing/>
    </w:pPr>
    <w:rPr>
      <w:lang w:val="es-CO"/>
    </w:rPr>
  </w:style>
  <w:style w:type="paragraph" w:customStyle="1" w:styleId="StyleHeading2LatinTimesNewRomanAsianBatang12ptN">
    <w:name w:val="Style Heading 2 + (Latin) Times New Roman (Asian) Batang 12 pt N..."/>
    <w:basedOn w:val="Ttulo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Fuentedeprrafopredeter"/>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hAnsi="APPLE CHANCERY"/>
      <w:b/>
      <w:szCs w:val="20"/>
      <w:lang w:val="es-CO" w:eastAsia="es-ES"/>
    </w:rPr>
  </w:style>
  <w:style w:type="paragraph" w:customStyle="1" w:styleId="Textoindependiente21">
    <w:name w:val="Texto independiente 21"/>
    <w:basedOn w:val="Normal"/>
    <w:uiPriority w:val="99"/>
    <w:rsid w:val="00BD53D7"/>
    <w:pPr>
      <w:spacing w:before="60" w:after="60" w:line="360" w:lineRule="atLeast"/>
    </w:pPr>
    <w:rPr>
      <w:szCs w:val="20"/>
      <w:lang w:val="es-CO" w:eastAsia="es-ES"/>
    </w:rPr>
  </w:style>
  <w:style w:type="character" w:customStyle="1" w:styleId="Refdenotaalpie7">
    <w:name w:val="Ref. de nota al pie7"/>
    <w:uiPriority w:val="99"/>
    <w:rsid w:val="00BD53D7"/>
    <w:rPr>
      <w:vertAlign w:val="superscript"/>
    </w:rPr>
  </w:style>
  <w:style w:type="paragraph" w:styleId="Sinespaciado">
    <w:name w:val="No Spacing"/>
    <w:link w:val="SinespaciadoCar"/>
    <w:uiPriority w:val="1"/>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pPr>
    <w:rPr>
      <w:lang w:val="es-ES" w:eastAsia="es-ES"/>
    </w:rPr>
  </w:style>
  <w:style w:type="character" w:customStyle="1" w:styleId="googqs-tidbit1">
    <w:name w:val="goog_qs-tidbit1"/>
    <w:basedOn w:val="Fuentedeprrafopredeter"/>
    <w:uiPriority w:val="99"/>
    <w:rsid w:val="00BD53D7"/>
    <w:rPr>
      <w:rFonts w:cs="Times New Roman"/>
    </w:rPr>
  </w:style>
  <w:style w:type="character" w:customStyle="1" w:styleId="apple-style-span">
    <w:name w:val="apple-style-span"/>
    <w:basedOn w:val="Fuentedeprrafopredeter"/>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pPr>
    <w:rPr>
      <w:szCs w:val="20"/>
      <w:lang w:val="es-CO"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pPr>
    <w:rPr>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pPr>
    <w:rPr>
      <w:lang w:val="en-US"/>
    </w:rPr>
  </w:style>
  <w:style w:type="character" w:customStyle="1" w:styleId="ju-005fpara-0020char-0020char-0020char--char">
    <w:name w:val="ju-005fpara-0020char-0020char-0020char--char"/>
    <w:basedOn w:val="Fuentedeprrafopredeter"/>
    <w:uiPriority w:val="99"/>
    <w:rsid w:val="00BD53D7"/>
    <w:rPr>
      <w:rFonts w:cs="Times New Roman"/>
    </w:rPr>
  </w:style>
  <w:style w:type="character" w:styleId="Hipervnculovisitado">
    <w:name w:val="FollowedHyperlink"/>
    <w:basedOn w:val="Fuentedeprrafopredeter"/>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Refdenotaalfinal">
    <w:name w:val="endnote reference"/>
    <w:basedOn w:val="Fuentedeprrafopredeter"/>
    <w:uiPriority w:val="99"/>
    <w:semiHidden/>
    <w:unhideWhenUsed/>
    <w:rsid w:val="00BD53D7"/>
    <w:rPr>
      <w:vertAlign w:val="superscript"/>
    </w:rPr>
  </w:style>
  <w:style w:type="paragraph" w:styleId="Revisi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Textodelmarcadordeposicin">
    <w:name w:val="Placeholder Text"/>
    <w:basedOn w:val="Fuentedeprrafopredeter"/>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DC3">
    <w:name w:val="toc 3"/>
    <w:basedOn w:val="Normal"/>
    <w:next w:val="Normal"/>
    <w:autoRedefine/>
    <w:uiPriority w:val="39"/>
    <w:unhideWhenUsed/>
    <w:rsid w:val="00D2383C"/>
    <w:pPr>
      <w:tabs>
        <w:tab w:val="right" w:leader="dot" w:pos="9781"/>
      </w:tabs>
      <w:spacing w:after="40"/>
      <w:ind w:left="403" w:right="237"/>
    </w:pPr>
    <w:rPr>
      <w:lang w:val="es-CO"/>
    </w:rPr>
  </w:style>
  <w:style w:type="paragraph" w:customStyle="1" w:styleId="Prrafodelista2">
    <w:name w:val="Párrafo de lista2"/>
    <w:basedOn w:val="Normal"/>
    <w:uiPriority w:val="99"/>
    <w:rsid w:val="006D122D"/>
    <w:pPr>
      <w:ind w:left="720"/>
    </w:pPr>
    <w:rPr>
      <w:rFonts w:eastAsia="MS Mincho"/>
      <w:szCs w:val="20"/>
      <w:lang w:val="es-CO"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Fuentedeprrafopredeter"/>
    <w:qFormat/>
    <w:locked/>
    <w:rsid w:val="000C140A"/>
    <w:rPr>
      <w:rFonts w:ascii="Verdana" w:hAnsi="Verdana"/>
    </w:rPr>
  </w:style>
  <w:style w:type="paragraph" w:styleId="TDC4">
    <w:name w:val="toc 4"/>
    <w:basedOn w:val="Normal"/>
    <w:next w:val="Normal"/>
    <w:autoRedefine/>
    <w:uiPriority w:val="39"/>
    <w:unhideWhenUsed/>
    <w:rsid w:val="00CD3695"/>
    <w:pPr>
      <w:spacing w:after="100"/>
      <w:ind w:left="600"/>
    </w:pPr>
    <w:rPr>
      <w:lang w:val="es-CO"/>
    </w:rPr>
  </w:style>
  <w:style w:type="paragraph" w:customStyle="1" w:styleId="Estilo4">
    <w:name w:val="Estilo4"/>
    <w:basedOn w:val="Normal"/>
    <w:link w:val="Estilo4Car"/>
    <w:qFormat/>
    <w:rsid w:val="00817F42"/>
    <w:pPr>
      <w:numPr>
        <w:numId w:val="6"/>
      </w:numPr>
      <w:spacing w:after="160" w:line="259" w:lineRule="auto"/>
      <w:ind w:left="0" w:firstLine="0"/>
    </w:pPr>
    <w:rPr>
      <w:rFonts w:eastAsiaTheme="minorHAnsi"/>
      <w:lang w:val="es-UY"/>
    </w:rPr>
  </w:style>
  <w:style w:type="character" w:customStyle="1" w:styleId="Estilo4Car">
    <w:name w:val="Estilo4 Car"/>
    <w:basedOn w:val="Fuentedeprrafopredeter"/>
    <w:link w:val="Estilo4"/>
    <w:rsid w:val="00817F42"/>
    <w:rPr>
      <w:rFonts w:ascii="Times New Roman" w:hAnsi="Times New Roman" w:cs="Times New Roman"/>
      <w:sz w:val="24"/>
      <w:szCs w:val="24"/>
      <w:lang w:val="es-UY" w:eastAsia="es-MX"/>
    </w:rPr>
  </w:style>
  <w:style w:type="paragraph" w:customStyle="1" w:styleId="style11">
    <w:name w:val="style11"/>
    <w:basedOn w:val="Normal"/>
    <w:rsid w:val="00817F42"/>
    <w:pPr>
      <w:spacing w:before="192" w:after="192"/>
      <w:ind w:left="120" w:right="144"/>
    </w:pPr>
    <w:rPr>
      <w:lang w:eastAsia="es-CR"/>
    </w:rPr>
  </w:style>
  <w:style w:type="character" w:styleId="Ttulodellibro">
    <w:name w:val="Book Title"/>
    <w:basedOn w:val="Fuentedeprrafopredeter"/>
    <w:uiPriority w:val="33"/>
    <w:qFormat/>
    <w:rsid w:val="00817F42"/>
    <w:rPr>
      <w:b/>
      <w:bCs/>
      <w:smallCaps/>
      <w:spacing w:val="5"/>
    </w:rPr>
  </w:style>
  <w:style w:type="character" w:customStyle="1" w:styleId="Mencinsinresolver1">
    <w:name w:val="Mención sin resolver1"/>
    <w:basedOn w:val="Fuentedeprrafopredeter"/>
    <w:uiPriority w:val="99"/>
    <w:semiHidden/>
    <w:unhideWhenUsed/>
    <w:rsid w:val="00817F42"/>
    <w:rPr>
      <w:color w:val="808080"/>
      <w:shd w:val="clear" w:color="auto" w:fill="E6E6E6"/>
    </w:rPr>
  </w:style>
  <w:style w:type="paragraph" w:customStyle="1" w:styleId="Normal1">
    <w:name w:val="Normal1"/>
    <w:rsid w:val="00B367D1"/>
    <w:pPr>
      <w:pBdr>
        <w:top w:val="nil"/>
        <w:left w:val="nil"/>
        <w:bottom w:val="nil"/>
        <w:right w:val="nil"/>
        <w:between w:val="nil"/>
      </w:pBdr>
      <w:spacing w:after="0" w:line="240" w:lineRule="auto"/>
    </w:pPr>
    <w:rPr>
      <w:rFonts w:ascii="Cambria" w:eastAsia="Cambria" w:hAnsi="Cambria" w:cs="Cambria"/>
      <w:color w:val="000000"/>
      <w:sz w:val="24"/>
      <w:szCs w:val="24"/>
      <w:lang w:val="en-AU"/>
    </w:rPr>
  </w:style>
  <w:style w:type="character" w:customStyle="1" w:styleId="Estilo1Char">
    <w:name w:val="Estilo1 Char"/>
    <w:rsid w:val="000A708F"/>
    <w:rPr>
      <w:rFonts w:ascii="Verdana" w:eastAsia="Calibri" w:hAnsi="Verdana" w:cs="Times New Roman"/>
      <w:sz w:val="20"/>
      <w:szCs w:val="20"/>
      <w:lang w:val="es-ES"/>
    </w:rPr>
  </w:style>
  <w:style w:type="paragraph" w:customStyle="1" w:styleId="Estilo2">
    <w:name w:val="Estilo2"/>
    <w:basedOn w:val="Normal"/>
    <w:qFormat/>
    <w:rsid w:val="000A708F"/>
    <w:pPr>
      <w:tabs>
        <w:tab w:val="left" w:pos="567"/>
        <w:tab w:val="left" w:pos="1134"/>
        <w:tab w:val="num" w:pos="4767"/>
      </w:tabs>
      <w:spacing w:after="120"/>
      <w:ind w:left="4767" w:hanging="360"/>
    </w:pPr>
    <w:rPr>
      <w:rFonts w:eastAsia="Calibri"/>
      <w:szCs w:val="20"/>
      <w:lang w:val="es-ES"/>
    </w:rPr>
  </w:style>
  <w:style w:type="paragraph" w:styleId="Mapadeldocumento">
    <w:name w:val="Document Map"/>
    <w:basedOn w:val="Normal"/>
    <w:link w:val="MapadeldocumentoCar"/>
    <w:uiPriority w:val="99"/>
    <w:semiHidden/>
    <w:unhideWhenUsed/>
    <w:rsid w:val="009236AF"/>
    <w:rPr>
      <w:rFonts w:ascii="Lucida Grande" w:hAnsi="Lucida Grande" w:cs="Lucida Grande"/>
    </w:rPr>
  </w:style>
  <w:style w:type="character" w:customStyle="1" w:styleId="MapadeldocumentoCar">
    <w:name w:val="Mapa del documento Car"/>
    <w:basedOn w:val="Fuentedeprrafopredeter"/>
    <w:link w:val="Mapadeldocumento"/>
    <w:uiPriority w:val="99"/>
    <w:semiHidden/>
    <w:rsid w:val="009236AF"/>
    <w:rPr>
      <w:rFonts w:ascii="Lucida Grande" w:eastAsia="Batang" w:hAnsi="Lucida Grande" w:cs="Lucida Grande"/>
      <w:sz w:val="24"/>
      <w:szCs w:val="24"/>
      <w:lang w:val="es-ES_tradnl"/>
    </w:rPr>
  </w:style>
  <w:style w:type="character" w:customStyle="1" w:styleId="ListParagraphChar1">
    <w:name w:val="List Paragraph Char1"/>
    <w:aliases w:val="Footnote Char1,List Paragraph2 Char1,Lista vistosa - Énfasis 11 Char1"/>
    <w:basedOn w:val="Fuentedeprrafopredeter"/>
    <w:uiPriority w:val="34"/>
    <w:rsid w:val="006E0A46"/>
  </w:style>
  <w:style w:type="paragraph" w:customStyle="1" w:styleId="Numberedparagraphs">
    <w:name w:val="Numbered paragraphs"/>
    <w:basedOn w:val="Normal"/>
    <w:link w:val="NumberedparagraphsCar"/>
    <w:qFormat/>
    <w:rsid w:val="002B4D5A"/>
    <w:pPr>
      <w:numPr>
        <w:numId w:val="7"/>
      </w:numPr>
    </w:pPr>
    <w:rPr>
      <w:rFonts w:eastAsia="MS Mincho"/>
      <w:color w:val="000000"/>
      <w:szCs w:val="20"/>
      <w:lang w:val="es-CO"/>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B53987"/>
    <w:pPr>
      <w:spacing w:after="160" w:line="240" w:lineRule="exact"/>
    </w:pPr>
    <w:rPr>
      <w:rFonts w:asciiTheme="minorHAnsi" w:eastAsiaTheme="minorHAnsi" w:hAnsiTheme="minorHAnsi" w:cstheme="minorBidi"/>
      <w:sz w:val="22"/>
      <w:szCs w:val="22"/>
      <w:vertAlign w:val="superscript"/>
      <w:lang w:val="es-GT"/>
    </w:rPr>
  </w:style>
  <w:style w:type="character" w:customStyle="1" w:styleId="NumberedparagraphsCar">
    <w:name w:val="Numbered paragraphs Car"/>
    <w:basedOn w:val="Fuentedeprrafopredeter"/>
    <w:link w:val="Numberedparagraphs"/>
    <w:rsid w:val="00142E76"/>
    <w:rPr>
      <w:rFonts w:ascii="Times New Roman" w:eastAsia="MS Mincho" w:hAnsi="Times New Roman" w:cs="Times New Roman"/>
      <w:color w:val="000000"/>
      <w:sz w:val="24"/>
      <w:szCs w:val="20"/>
      <w:lang w:val="es-CO" w:eastAsia="es-MX"/>
    </w:rPr>
  </w:style>
  <w:style w:type="character" w:customStyle="1" w:styleId="PrrafodelistaCar1">
    <w:name w:val="Párrafo de lista Car1"/>
    <w:aliases w:val="List Paragraph1 Car1,Colorful List - Accent 11 Car1,Párrafo de lista1 Car1,List Paragraph2 Car1,Lista vistosa - Énfasis 11 Car1,Subtle Emphasis1 Car1,Footnote1 Car1,List Paragraph11 Car"/>
    <w:basedOn w:val="Fuentedeprrafopredeter"/>
    <w:locked/>
    <w:rsid w:val="00B00F49"/>
    <w:rPr>
      <w:rFonts w:ascii="Verdana" w:eastAsia="MS Mincho" w:hAnsi="Verdana" w:cs="Times New Roman"/>
      <w:sz w:val="20"/>
      <w:szCs w:val="24"/>
    </w:rPr>
  </w:style>
  <w:style w:type="character" w:customStyle="1" w:styleId="sb8d990e2">
    <w:name w:val="sb8d990e2"/>
    <w:basedOn w:val="Fuentedeprrafopredeter"/>
    <w:rsid w:val="00CF4B78"/>
  </w:style>
  <w:style w:type="paragraph" w:customStyle="1" w:styleId="Textonotapie1">
    <w:name w:val="Texto nota pie1"/>
    <w:basedOn w:val="Normal"/>
    <w:qFormat/>
    <w:rsid w:val="00D82351"/>
    <w:rPr>
      <w:szCs w:val="20"/>
      <w:lang w:val="en-US" w:eastAsia="es-ES"/>
    </w:rPr>
  </w:style>
  <w:style w:type="character" w:customStyle="1" w:styleId="SinespaciadoCar">
    <w:name w:val="Sin espaciado Car"/>
    <w:basedOn w:val="Fuentedeprrafopredeter"/>
    <w:link w:val="Sinespaciado"/>
    <w:uiPriority w:val="1"/>
    <w:rsid w:val="002A68F8"/>
    <w:rPr>
      <w:rFonts w:ascii="Calibri" w:eastAsia="Times New Roman" w:hAnsi="Calibri" w:cs="Times New Roman"/>
    </w:rPr>
  </w:style>
  <w:style w:type="paragraph" w:customStyle="1" w:styleId="xmsonormal">
    <w:name w:val="x_msonormal"/>
    <w:basedOn w:val="Normal"/>
    <w:rsid w:val="00472D7D"/>
    <w:pPr>
      <w:spacing w:before="100" w:beforeAutospacing="1" w:after="100" w:afterAutospacing="1"/>
    </w:pPr>
  </w:style>
  <w:style w:type="paragraph" w:customStyle="1" w:styleId="Estilo7">
    <w:name w:val="Estilo7"/>
    <w:basedOn w:val="Normal"/>
    <w:qFormat/>
    <w:rsid w:val="00690495"/>
    <w:pPr>
      <w:tabs>
        <w:tab w:val="left" w:pos="567"/>
        <w:tab w:val="left" w:pos="851"/>
        <w:tab w:val="num" w:pos="2160"/>
      </w:tabs>
      <w:spacing w:before="120" w:after="120"/>
      <w:ind w:left="2160" w:hanging="180"/>
      <w:jc w:val="both"/>
    </w:pPr>
    <w:rPr>
      <w:rFonts w:ascii="Verdana" w:eastAsia="Batang" w:hAnsi="Verdana"/>
      <w:b/>
      <w:i/>
      <w:sz w:val="20"/>
      <w:szCs w:val="20"/>
      <w:lang w:val="es-ES_tradnl"/>
    </w:rPr>
  </w:style>
  <w:style w:type="character" w:styleId="Mencinsinresolver">
    <w:name w:val="Unresolved Mention"/>
    <w:basedOn w:val="Fuentedeprrafopredeter"/>
    <w:uiPriority w:val="99"/>
    <w:semiHidden/>
    <w:unhideWhenUsed/>
    <w:rsid w:val="00F91A65"/>
    <w:rPr>
      <w:color w:val="605E5C"/>
      <w:shd w:val="clear" w:color="auto" w:fill="E1DFDD"/>
    </w:rPr>
  </w:style>
  <w:style w:type="paragraph" w:customStyle="1" w:styleId="parrafos">
    <w:name w:val="parrafos"/>
    <w:basedOn w:val="Normal"/>
    <w:link w:val="parrafosChar"/>
    <w:qFormat/>
    <w:rsid w:val="002D5AEB"/>
    <w:pPr>
      <w:tabs>
        <w:tab w:val="left" w:pos="360"/>
      </w:tabs>
      <w:jc w:val="both"/>
    </w:pPr>
    <w:rPr>
      <w:rFonts w:ascii="Cambria" w:eastAsia="Arial Unicode MS" w:hAnsi="Cambria"/>
      <w:color w:val="000000"/>
      <w:sz w:val="20"/>
      <w:szCs w:val="20"/>
      <w:bdr w:val="nil"/>
      <w:lang w:val="es-VE" w:eastAsia="en-US"/>
    </w:rPr>
  </w:style>
  <w:style w:type="character" w:customStyle="1" w:styleId="parrafosChar">
    <w:name w:val="parrafos Char"/>
    <w:link w:val="parrafos"/>
    <w:rsid w:val="002D5AEB"/>
    <w:rPr>
      <w:rFonts w:ascii="Cambria" w:eastAsia="Arial Unicode MS" w:hAnsi="Cambria" w:cs="Times New Roman"/>
      <w:color w:val="000000"/>
      <w:sz w:val="20"/>
      <w:szCs w:val="20"/>
      <w:bdr w:val="nil"/>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2606">
      <w:bodyDiv w:val="1"/>
      <w:marLeft w:val="0"/>
      <w:marRight w:val="0"/>
      <w:marTop w:val="0"/>
      <w:marBottom w:val="0"/>
      <w:divBdr>
        <w:top w:val="none" w:sz="0" w:space="0" w:color="auto"/>
        <w:left w:val="none" w:sz="0" w:space="0" w:color="auto"/>
        <w:bottom w:val="none" w:sz="0" w:space="0" w:color="auto"/>
        <w:right w:val="none" w:sz="0" w:space="0" w:color="auto"/>
      </w:divBdr>
      <w:divsChild>
        <w:div w:id="1930842922">
          <w:marLeft w:val="0"/>
          <w:marRight w:val="0"/>
          <w:marTop w:val="0"/>
          <w:marBottom w:val="0"/>
          <w:divBdr>
            <w:top w:val="none" w:sz="0" w:space="0" w:color="auto"/>
            <w:left w:val="none" w:sz="0" w:space="0" w:color="auto"/>
            <w:bottom w:val="none" w:sz="0" w:space="0" w:color="auto"/>
            <w:right w:val="none" w:sz="0" w:space="0" w:color="auto"/>
          </w:divBdr>
          <w:divsChild>
            <w:div w:id="2102874341">
              <w:marLeft w:val="0"/>
              <w:marRight w:val="0"/>
              <w:marTop w:val="0"/>
              <w:marBottom w:val="0"/>
              <w:divBdr>
                <w:top w:val="none" w:sz="0" w:space="0" w:color="auto"/>
                <w:left w:val="none" w:sz="0" w:space="0" w:color="auto"/>
                <w:bottom w:val="none" w:sz="0" w:space="0" w:color="auto"/>
                <w:right w:val="none" w:sz="0" w:space="0" w:color="auto"/>
              </w:divBdr>
              <w:divsChild>
                <w:div w:id="1341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41373278">
      <w:bodyDiv w:val="1"/>
      <w:marLeft w:val="0"/>
      <w:marRight w:val="0"/>
      <w:marTop w:val="0"/>
      <w:marBottom w:val="0"/>
      <w:divBdr>
        <w:top w:val="none" w:sz="0" w:space="0" w:color="auto"/>
        <w:left w:val="none" w:sz="0" w:space="0" w:color="auto"/>
        <w:bottom w:val="none" w:sz="0" w:space="0" w:color="auto"/>
        <w:right w:val="none" w:sz="0" w:space="0" w:color="auto"/>
      </w:divBdr>
    </w:div>
    <w:div w:id="69623545">
      <w:bodyDiv w:val="1"/>
      <w:marLeft w:val="0"/>
      <w:marRight w:val="0"/>
      <w:marTop w:val="0"/>
      <w:marBottom w:val="0"/>
      <w:divBdr>
        <w:top w:val="none" w:sz="0" w:space="0" w:color="auto"/>
        <w:left w:val="none" w:sz="0" w:space="0" w:color="auto"/>
        <w:bottom w:val="none" w:sz="0" w:space="0" w:color="auto"/>
        <w:right w:val="none" w:sz="0" w:space="0" w:color="auto"/>
      </w:divBdr>
    </w:div>
    <w:div w:id="76681056">
      <w:bodyDiv w:val="1"/>
      <w:marLeft w:val="0"/>
      <w:marRight w:val="0"/>
      <w:marTop w:val="0"/>
      <w:marBottom w:val="0"/>
      <w:divBdr>
        <w:top w:val="none" w:sz="0" w:space="0" w:color="auto"/>
        <w:left w:val="none" w:sz="0" w:space="0" w:color="auto"/>
        <w:bottom w:val="none" w:sz="0" w:space="0" w:color="auto"/>
        <w:right w:val="none" w:sz="0" w:space="0" w:color="auto"/>
      </w:divBdr>
    </w:div>
    <w:div w:id="104228844">
      <w:bodyDiv w:val="1"/>
      <w:marLeft w:val="0"/>
      <w:marRight w:val="0"/>
      <w:marTop w:val="0"/>
      <w:marBottom w:val="0"/>
      <w:divBdr>
        <w:top w:val="none" w:sz="0" w:space="0" w:color="auto"/>
        <w:left w:val="none" w:sz="0" w:space="0" w:color="auto"/>
        <w:bottom w:val="none" w:sz="0" w:space="0" w:color="auto"/>
        <w:right w:val="none" w:sz="0" w:space="0" w:color="auto"/>
      </w:divBdr>
    </w:div>
    <w:div w:id="115417736">
      <w:bodyDiv w:val="1"/>
      <w:marLeft w:val="0"/>
      <w:marRight w:val="0"/>
      <w:marTop w:val="0"/>
      <w:marBottom w:val="0"/>
      <w:divBdr>
        <w:top w:val="none" w:sz="0" w:space="0" w:color="auto"/>
        <w:left w:val="none" w:sz="0" w:space="0" w:color="auto"/>
        <w:bottom w:val="none" w:sz="0" w:space="0" w:color="auto"/>
        <w:right w:val="none" w:sz="0" w:space="0" w:color="auto"/>
      </w:divBdr>
      <w:divsChild>
        <w:div w:id="2082868438">
          <w:marLeft w:val="0"/>
          <w:marRight w:val="0"/>
          <w:marTop w:val="0"/>
          <w:marBottom w:val="0"/>
          <w:divBdr>
            <w:top w:val="none" w:sz="0" w:space="0" w:color="auto"/>
            <w:left w:val="none" w:sz="0" w:space="0" w:color="auto"/>
            <w:bottom w:val="none" w:sz="0" w:space="0" w:color="auto"/>
            <w:right w:val="none" w:sz="0" w:space="0" w:color="auto"/>
          </w:divBdr>
          <w:divsChild>
            <w:div w:id="1233858760">
              <w:marLeft w:val="0"/>
              <w:marRight w:val="0"/>
              <w:marTop w:val="0"/>
              <w:marBottom w:val="0"/>
              <w:divBdr>
                <w:top w:val="none" w:sz="0" w:space="0" w:color="auto"/>
                <w:left w:val="none" w:sz="0" w:space="0" w:color="auto"/>
                <w:bottom w:val="none" w:sz="0" w:space="0" w:color="auto"/>
                <w:right w:val="none" w:sz="0" w:space="0" w:color="auto"/>
              </w:divBdr>
              <w:divsChild>
                <w:div w:id="9987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2604">
      <w:bodyDiv w:val="1"/>
      <w:marLeft w:val="0"/>
      <w:marRight w:val="0"/>
      <w:marTop w:val="0"/>
      <w:marBottom w:val="0"/>
      <w:divBdr>
        <w:top w:val="none" w:sz="0" w:space="0" w:color="auto"/>
        <w:left w:val="none" w:sz="0" w:space="0" w:color="auto"/>
        <w:bottom w:val="none" w:sz="0" w:space="0" w:color="auto"/>
        <w:right w:val="none" w:sz="0" w:space="0" w:color="auto"/>
      </w:divBdr>
      <w:divsChild>
        <w:div w:id="340669177">
          <w:marLeft w:val="0"/>
          <w:marRight w:val="0"/>
          <w:marTop w:val="0"/>
          <w:marBottom w:val="0"/>
          <w:divBdr>
            <w:top w:val="none" w:sz="0" w:space="0" w:color="auto"/>
            <w:left w:val="none" w:sz="0" w:space="0" w:color="auto"/>
            <w:bottom w:val="none" w:sz="0" w:space="0" w:color="auto"/>
            <w:right w:val="none" w:sz="0" w:space="0" w:color="auto"/>
          </w:divBdr>
          <w:divsChild>
            <w:div w:id="101652198">
              <w:marLeft w:val="0"/>
              <w:marRight w:val="0"/>
              <w:marTop w:val="0"/>
              <w:marBottom w:val="0"/>
              <w:divBdr>
                <w:top w:val="none" w:sz="0" w:space="0" w:color="auto"/>
                <w:left w:val="none" w:sz="0" w:space="0" w:color="auto"/>
                <w:bottom w:val="none" w:sz="0" w:space="0" w:color="auto"/>
                <w:right w:val="none" w:sz="0" w:space="0" w:color="auto"/>
              </w:divBdr>
              <w:divsChild>
                <w:div w:id="2125952168">
                  <w:marLeft w:val="0"/>
                  <w:marRight w:val="0"/>
                  <w:marTop w:val="0"/>
                  <w:marBottom w:val="0"/>
                  <w:divBdr>
                    <w:top w:val="none" w:sz="0" w:space="0" w:color="auto"/>
                    <w:left w:val="none" w:sz="0" w:space="0" w:color="auto"/>
                    <w:bottom w:val="none" w:sz="0" w:space="0" w:color="auto"/>
                    <w:right w:val="none" w:sz="0" w:space="0" w:color="auto"/>
                  </w:divBdr>
                  <w:divsChild>
                    <w:div w:id="2247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125200965">
      <w:bodyDiv w:val="1"/>
      <w:marLeft w:val="0"/>
      <w:marRight w:val="0"/>
      <w:marTop w:val="0"/>
      <w:marBottom w:val="0"/>
      <w:divBdr>
        <w:top w:val="none" w:sz="0" w:space="0" w:color="auto"/>
        <w:left w:val="none" w:sz="0" w:space="0" w:color="auto"/>
        <w:bottom w:val="none" w:sz="0" w:space="0" w:color="auto"/>
        <w:right w:val="none" w:sz="0" w:space="0" w:color="auto"/>
      </w:divBdr>
    </w:div>
    <w:div w:id="139659215">
      <w:bodyDiv w:val="1"/>
      <w:marLeft w:val="0"/>
      <w:marRight w:val="0"/>
      <w:marTop w:val="0"/>
      <w:marBottom w:val="0"/>
      <w:divBdr>
        <w:top w:val="none" w:sz="0" w:space="0" w:color="auto"/>
        <w:left w:val="none" w:sz="0" w:space="0" w:color="auto"/>
        <w:bottom w:val="none" w:sz="0" w:space="0" w:color="auto"/>
        <w:right w:val="none" w:sz="0" w:space="0" w:color="auto"/>
      </w:divBdr>
    </w:div>
    <w:div w:id="148332107">
      <w:bodyDiv w:val="1"/>
      <w:marLeft w:val="0"/>
      <w:marRight w:val="0"/>
      <w:marTop w:val="0"/>
      <w:marBottom w:val="0"/>
      <w:divBdr>
        <w:top w:val="none" w:sz="0" w:space="0" w:color="auto"/>
        <w:left w:val="none" w:sz="0" w:space="0" w:color="auto"/>
        <w:bottom w:val="none" w:sz="0" w:space="0" w:color="auto"/>
        <w:right w:val="none" w:sz="0" w:space="0" w:color="auto"/>
      </w:divBdr>
    </w:div>
    <w:div w:id="154222322">
      <w:bodyDiv w:val="1"/>
      <w:marLeft w:val="0"/>
      <w:marRight w:val="0"/>
      <w:marTop w:val="0"/>
      <w:marBottom w:val="0"/>
      <w:divBdr>
        <w:top w:val="none" w:sz="0" w:space="0" w:color="auto"/>
        <w:left w:val="none" w:sz="0" w:space="0" w:color="auto"/>
        <w:bottom w:val="none" w:sz="0" w:space="0" w:color="auto"/>
        <w:right w:val="none" w:sz="0" w:space="0" w:color="auto"/>
      </w:divBdr>
      <w:divsChild>
        <w:div w:id="2023898850">
          <w:marLeft w:val="0"/>
          <w:marRight w:val="0"/>
          <w:marTop w:val="0"/>
          <w:marBottom w:val="0"/>
          <w:divBdr>
            <w:top w:val="none" w:sz="0" w:space="0" w:color="auto"/>
            <w:left w:val="none" w:sz="0" w:space="0" w:color="auto"/>
            <w:bottom w:val="none" w:sz="0" w:space="0" w:color="auto"/>
            <w:right w:val="none" w:sz="0" w:space="0" w:color="auto"/>
          </w:divBdr>
          <w:divsChild>
            <w:div w:id="533464865">
              <w:marLeft w:val="0"/>
              <w:marRight w:val="0"/>
              <w:marTop w:val="0"/>
              <w:marBottom w:val="0"/>
              <w:divBdr>
                <w:top w:val="none" w:sz="0" w:space="0" w:color="auto"/>
                <w:left w:val="none" w:sz="0" w:space="0" w:color="auto"/>
                <w:bottom w:val="none" w:sz="0" w:space="0" w:color="auto"/>
                <w:right w:val="none" w:sz="0" w:space="0" w:color="auto"/>
              </w:divBdr>
              <w:divsChild>
                <w:div w:id="211578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27963299">
      <w:bodyDiv w:val="1"/>
      <w:marLeft w:val="0"/>
      <w:marRight w:val="0"/>
      <w:marTop w:val="0"/>
      <w:marBottom w:val="0"/>
      <w:divBdr>
        <w:top w:val="none" w:sz="0" w:space="0" w:color="auto"/>
        <w:left w:val="none" w:sz="0" w:space="0" w:color="auto"/>
        <w:bottom w:val="none" w:sz="0" w:space="0" w:color="auto"/>
        <w:right w:val="none" w:sz="0" w:space="0" w:color="auto"/>
      </w:divBdr>
      <w:divsChild>
        <w:div w:id="171533503">
          <w:marLeft w:val="0"/>
          <w:marRight w:val="0"/>
          <w:marTop w:val="0"/>
          <w:marBottom w:val="0"/>
          <w:divBdr>
            <w:top w:val="none" w:sz="0" w:space="0" w:color="auto"/>
            <w:left w:val="none" w:sz="0" w:space="0" w:color="auto"/>
            <w:bottom w:val="none" w:sz="0" w:space="0" w:color="auto"/>
            <w:right w:val="none" w:sz="0" w:space="0" w:color="auto"/>
          </w:divBdr>
          <w:divsChild>
            <w:div w:id="1685397209">
              <w:marLeft w:val="0"/>
              <w:marRight w:val="0"/>
              <w:marTop w:val="0"/>
              <w:marBottom w:val="0"/>
              <w:divBdr>
                <w:top w:val="none" w:sz="0" w:space="0" w:color="auto"/>
                <w:left w:val="none" w:sz="0" w:space="0" w:color="auto"/>
                <w:bottom w:val="none" w:sz="0" w:space="0" w:color="auto"/>
                <w:right w:val="none" w:sz="0" w:space="0" w:color="auto"/>
              </w:divBdr>
              <w:divsChild>
                <w:div w:id="1865435624">
                  <w:marLeft w:val="0"/>
                  <w:marRight w:val="0"/>
                  <w:marTop w:val="0"/>
                  <w:marBottom w:val="0"/>
                  <w:divBdr>
                    <w:top w:val="none" w:sz="0" w:space="0" w:color="auto"/>
                    <w:left w:val="none" w:sz="0" w:space="0" w:color="auto"/>
                    <w:bottom w:val="none" w:sz="0" w:space="0" w:color="auto"/>
                    <w:right w:val="none" w:sz="0" w:space="0" w:color="auto"/>
                  </w:divBdr>
                  <w:divsChild>
                    <w:div w:id="12988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262493291">
      <w:bodyDiv w:val="1"/>
      <w:marLeft w:val="0"/>
      <w:marRight w:val="0"/>
      <w:marTop w:val="0"/>
      <w:marBottom w:val="0"/>
      <w:divBdr>
        <w:top w:val="none" w:sz="0" w:space="0" w:color="auto"/>
        <w:left w:val="none" w:sz="0" w:space="0" w:color="auto"/>
        <w:bottom w:val="none" w:sz="0" w:space="0" w:color="auto"/>
        <w:right w:val="none" w:sz="0" w:space="0" w:color="auto"/>
      </w:divBdr>
    </w:div>
    <w:div w:id="268898767">
      <w:bodyDiv w:val="1"/>
      <w:marLeft w:val="0"/>
      <w:marRight w:val="0"/>
      <w:marTop w:val="0"/>
      <w:marBottom w:val="0"/>
      <w:divBdr>
        <w:top w:val="none" w:sz="0" w:space="0" w:color="auto"/>
        <w:left w:val="none" w:sz="0" w:space="0" w:color="auto"/>
        <w:bottom w:val="none" w:sz="0" w:space="0" w:color="auto"/>
        <w:right w:val="none" w:sz="0" w:space="0" w:color="auto"/>
      </w:divBdr>
      <w:divsChild>
        <w:div w:id="931819318">
          <w:marLeft w:val="0"/>
          <w:marRight w:val="0"/>
          <w:marTop w:val="0"/>
          <w:marBottom w:val="0"/>
          <w:divBdr>
            <w:top w:val="none" w:sz="0" w:space="0" w:color="auto"/>
            <w:left w:val="none" w:sz="0" w:space="0" w:color="auto"/>
            <w:bottom w:val="none" w:sz="0" w:space="0" w:color="auto"/>
            <w:right w:val="none" w:sz="0" w:space="0" w:color="auto"/>
          </w:divBdr>
          <w:divsChild>
            <w:div w:id="904804694">
              <w:marLeft w:val="0"/>
              <w:marRight w:val="0"/>
              <w:marTop w:val="0"/>
              <w:marBottom w:val="0"/>
              <w:divBdr>
                <w:top w:val="none" w:sz="0" w:space="0" w:color="auto"/>
                <w:left w:val="none" w:sz="0" w:space="0" w:color="auto"/>
                <w:bottom w:val="none" w:sz="0" w:space="0" w:color="auto"/>
                <w:right w:val="none" w:sz="0" w:space="0" w:color="auto"/>
              </w:divBdr>
              <w:divsChild>
                <w:div w:id="15019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5936">
      <w:bodyDiv w:val="1"/>
      <w:marLeft w:val="0"/>
      <w:marRight w:val="0"/>
      <w:marTop w:val="0"/>
      <w:marBottom w:val="0"/>
      <w:divBdr>
        <w:top w:val="none" w:sz="0" w:space="0" w:color="auto"/>
        <w:left w:val="none" w:sz="0" w:space="0" w:color="auto"/>
        <w:bottom w:val="none" w:sz="0" w:space="0" w:color="auto"/>
        <w:right w:val="none" w:sz="0" w:space="0" w:color="auto"/>
      </w:divBdr>
    </w:div>
    <w:div w:id="285697747">
      <w:bodyDiv w:val="1"/>
      <w:marLeft w:val="0"/>
      <w:marRight w:val="0"/>
      <w:marTop w:val="0"/>
      <w:marBottom w:val="0"/>
      <w:divBdr>
        <w:top w:val="none" w:sz="0" w:space="0" w:color="auto"/>
        <w:left w:val="none" w:sz="0" w:space="0" w:color="auto"/>
        <w:bottom w:val="none" w:sz="0" w:space="0" w:color="auto"/>
        <w:right w:val="none" w:sz="0" w:space="0" w:color="auto"/>
      </w:divBdr>
    </w:div>
    <w:div w:id="288124113">
      <w:bodyDiv w:val="1"/>
      <w:marLeft w:val="0"/>
      <w:marRight w:val="0"/>
      <w:marTop w:val="0"/>
      <w:marBottom w:val="0"/>
      <w:divBdr>
        <w:top w:val="none" w:sz="0" w:space="0" w:color="auto"/>
        <w:left w:val="none" w:sz="0" w:space="0" w:color="auto"/>
        <w:bottom w:val="none" w:sz="0" w:space="0" w:color="auto"/>
        <w:right w:val="none" w:sz="0" w:space="0" w:color="auto"/>
      </w:divBdr>
      <w:divsChild>
        <w:div w:id="232011500">
          <w:marLeft w:val="0"/>
          <w:marRight w:val="0"/>
          <w:marTop w:val="0"/>
          <w:marBottom w:val="0"/>
          <w:divBdr>
            <w:top w:val="none" w:sz="0" w:space="0" w:color="auto"/>
            <w:left w:val="none" w:sz="0" w:space="0" w:color="auto"/>
            <w:bottom w:val="none" w:sz="0" w:space="0" w:color="auto"/>
            <w:right w:val="none" w:sz="0" w:space="0" w:color="auto"/>
          </w:divBdr>
          <w:divsChild>
            <w:div w:id="1030499148">
              <w:marLeft w:val="0"/>
              <w:marRight w:val="0"/>
              <w:marTop w:val="0"/>
              <w:marBottom w:val="0"/>
              <w:divBdr>
                <w:top w:val="none" w:sz="0" w:space="0" w:color="auto"/>
                <w:left w:val="none" w:sz="0" w:space="0" w:color="auto"/>
                <w:bottom w:val="none" w:sz="0" w:space="0" w:color="auto"/>
                <w:right w:val="none" w:sz="0" w:space="0" w:color="auto"/>
              </w:divBdr>
              <w:divsChild>
                <w:div w:id="1932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17283">
      <w:bodyDiv w:val="1"/>
      <w:marLeft w:val="0"/>
      <w:marRight w:val="0"/>
      <w:marTop w:val="0"/>
      <w:marBottom w:val="0"/>
      <w:divBdr>
        <w:top w:val="none" w:sz="0" w:space="0" w:color="auto"/>
        <w:left w:val="none" w:sz="0" w:space="0" w:color="auto"/>
        <w:bottom w:val="none" w:sz="0" w:space="0" w:color="auto"/>
        <w:right w:val="none" w:sz="0" w:space="0" w:color="auto"/>
      </w:divBdr>
      <w:divsChild>
        <w:div w:id="1802647646">
          <w:marLeft w:val="0"/>
          <w:marRight w:val="0"/>
          <w:marTop w:val="0"/>
          <w:marBottom w:val="0"/>
          <w:divBdr>
            <w:top w:val="none" w:sz="0" w:space="0" w:color="auto"/>
            <w:left w:val="none" w:sz="0" w:space="0" w:color="auto"/>
            <w:bottom w:val="none" w:sz="0" w:space="0" w:color="auto"/>
            <w:right w:val="none" w:sz="0" w:space="0" w:color="auto"/>
          </w:divBdr>
          <w:divsChild>
            <w:div w:id="1822038634">
              <w:marLeft w:val="0"/>
              <w:marRight w:val="0"/>
              <w:marTop w:val="0"/>
              <w:marBottom w:val="0"/>
              <w:divBdr>
                <w:top w:val="none" w:sz="0" w:space="0" w:color="auto"/>
                <w:left w:val="none" w:sz="0" w:space="0" w:color="auto"/>
                <w:bottom w:val="none" w:sz="0" w:space="0" w:color="auto"/>
                <w:right w:val="none" w:sz="0" w:space="0" w:color="auto"/>
              </w:divBdr>
              <w:divsChild>
                <w:div w:id="18717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353463586">
      <w:bodyDiv w:val="1"/>
      <w:marLeft w:val="0"/>
      <w:marRight w:val="0"/>
      <w:marTop w:val="0"/>
      <w:marBottom w:val="0"/>
      <w:divBdr>
        <w:top w:val="none" w:sz="0" w:space="0" w:color="auto"/>
        <w:left w:val="none" w:sz="0" w:space="0" w:color="auto"/>
        <w:bottom w:val="none" w:sz="0" w:space="0" w:color="auto"/>
        <w:right w:val="none" w:sz="0" w:space="0" w:color="auto"/>
      </w:divBdr>
      <w:divsChild>
        <w:div w:id="2028409628">
          <w:marLeft w:val="0"/>
          <w:marRight w:val="0"/>
          <w:marTop w:val="0"/>
          <w:marBottom w:val="0"/>
          <w:divBdr>
            <w:top w:val="none" w:sz="0" w:space="0" w:color="auto"/>
            <w:left w:val="none" w:sz="0" w:space="0" w:color="auto"/>
            <w:bottom w:val="none" w:sz="0" w:space="0" w:color="auto"/>
            <w:right w:val="none" w:sz="0" w:space="0" w:color="auto"/>
          </w:divBdr>
          <w:divsChild>
            <w:div w:id="298152831">
              <w:marLeft w:val="0"/>
              <w:marRight w:val="0"/>
              <w:marTop w:val="0"/>
              <w:marBottom w:val="0"/>
              <w:divBdr>
                <w:top w:val="none" w:sz="0" w:space="0" w:color="auto"/>
                <w:left w:val="none" w:sz="0" w:space="0" w:color="auto"/>
                <w:bottom w:val="none" w:sz="0" w:space="0" w:color="auto"/>
                <w:right w:val="none" w:sz="0" w:space="0" w:color="auto"/>
              </w:divBdr>
              <w:divsChild>
                <w:div w:id="6301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27952">
      <w:bodyDiv w:val="1"/>
      <w:marLeft w:val="0"/>
      <w:marRight w:val="0"/>
      <w:marTop w:val="0"/>
      <w:marBottom w:val="0"/>
      <w:divBdr>
        <w:top w:val="none" w:sz="0" w:space="0" w:color="auto"/>
        <w:left w:val="none" w:sz="0" w:space="0" w:color="auto"/>
        <w:bottom w:val="none" w:sz="0" w:space="0" w:color="auto"/>
        <w:right w:val="none" w:sz="0" w:space="0" w:color="auto"/>
      </w:divBdr>
    </w:div>
    <w:div w:id="386104349">
      <w:bodyDiv w:val="1"/>
      <w:marLeft w:val="0"/>
      <w:marRight w:val="0"/>
      <w:marTop w:val="0"/>
      <w:marBottom w:val="0"/>
      <w:divBdr>
        <w:top w:val="none" w:sz="0" w:space="0" w:color="auto"/>
        <w:left w:val="none" w:sz="0" w:space="0" w:color="auto"/>
        <w:bottom w:val="none" w:sz="0" w:space="0" w:color="auto"/>
        <w:right w:val="none" w:sz="0" w:space="0" w:color="auto"/>
      </w:divBdr>
    </w:div>
    <w:div w:id="393621004">
      <w:bodyDiv w:val="1"/>
      <w:marLeft w:val="0"/>
      <w:marRight w:val="0"/>
      <w:marTop w:val="0"/>
      <w:marBottom w:val="0"/>
      <w:divBdr>
        <w:top w:val="none" w:sz="0" w:space="0" w:color="auto"/>
        <w:left w:val="none" w:sz="0" w:space="0" w:color="auto"/>
        <w:bottom w:val="none" w:sz="0" w:space="0" w:color="auto"/>
        <w:right w:val="none" w:sz="0" w:space="0" w:color="auto"/>
      </w:divBdr>
    </w:div>
    <w:div w:id="413741411">
      <w:bodyDiv w:val="1"/>
      <w:marLeft w:val="0"/>
      <w:marRight w:val="0"/>
      <w:marTop w:val="0"/>
      <w:marBottom w:val="0"/>
      <w:divBdr>
        <w:top w:val="none" w:sz="0" w:space="0" w:color="auto"/>
        <w:left w:val="none" w:sz="0" w:space="0" w:color="auto"/>
        <w:bottom w:val="none" w:sz="0" w:space="0" w:color="auto"/>
        <w:right w:val="none" w:sz="0" w:space="0" w:color="auto"/>
      </w:divBdr>
      <w:divsChild>
        <w:div w:id="1103956016">
          <w:marLeft w:val="0"/>
          <w:marRight w:val="0"/>
          <w:marTop w:val="0"/>
          <w:marBottom w:val="0"/>
          <w:divBdr>
            <w:top w:val="none" w:sz="0" w:space="0" w:color="auto"/>
            <w:left w:val="none" w:sz="0" w:space="0" w:color="auto"/>
            <w:bottom w:val="none" w:sz="0" w:space="0" w:color="auto"/>
            <w:right w:val="none" w:sz="0" w:space="0" w:color="auto"/>
          </w:divBdr>
          <w:divsChild>
            <w:div w:id="1158960863">
              <w:marLeft w:val="0"/>
              <w:marRight w:val="0"/>
              <w:marTop w:val="0"/>
              <w:marBottom w:val="0"/>
              <w:divBdr>
                <w:top w:val="none" w:sz="0" w:space="0" w:color="auto"/>
                <w:left w:val="none" w:sz="0" w:space="0" w:color="auto"/>
                <w:bottom w:val="none" w:sz="0" w:space="0" w:color="auto"/>
                <w:right w:val="none" w:sz="0" w:space="0" w:color="auto"/>
              </w:divBdr>
              <w:divsChild>
                <w:div w:id="102690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278705">
      <w:bodyDiv w:val="1"/>
      <w:marLeft w:val="0"/>
      <w:marRight w:val="0"/>
      <w:marTop w:val="0"/>
      <w:marBottom w:val="0"/>
      <w:divBdr>
        <w:top w:val="none" w:sz="0" w:space="0" w:color="auto"/>
        <w:left w:val="none" w:sz="0" w:space="0" w:color="auto"/>
        <w:bottom w:val="none" w:sz="0" w:space="0" w:color="auto"/>
        <w:right w:val="none" w:sz="0" w:space="0" w:color="auto"/>
      </w:divBdr>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443841931">
      <w:bodyDiv w:val="1"/>
      <w:marLeft w:val="0"/>
      <w:marRight w:val="0"/>
      <w:marTop w:val="0"/>
      <w:marBottom w:val="0"/>
      <w:divBdr>
        <w:top w:val="none" w:sz="0" w:space="0" w:color="auto"/>
        <w:left w:val="none" w:sz="0" w:space="0" w:color="auto"/>
        <w:bottom w:val="none" w:sz="0" w:space="0" w:color="auto"/>
        <w:right w:val="none" w:sz="0" w:space="0" w:color="auto"/>
      </w:divBdr>
      <w:divsChild>
        <w:div w:id="270943951">
          <w:marLeft w:val="0"/>
          <w:marRight w:val="0"/>
          <w:marTop w:val="0"/>
          <w:marBottom w:val="0"/>
          <w:divBdr>
            <w:top w:val="none" w:sz="0" w:space="0" w:color="auto"/>
            <w:left w:val="none" w:sz="0" w:space="0" w:color="auto"/>
            <w:bottom w:val="none" w:sz="0" w:space="0" w:color="auto"/>
            <w:right w:val="none" w:sz="0" w:space="0" w:color="auto"/>
          </w:divBdr>
          <w:divsChild>
            <w:div w:id="267667231">
              <w:marLeft w:val="0"/>
              <w:marRight w:val="0"/>
              <w:marTop w:val="0"/>
              <w:marBottom w:val="0"/>
              <w:divBdr>
                <w:top w:val="none" w:sz="0" w:space="0" w:color="auto"/>
                <w:left w:val="none" w:sz="0" w:space="0" w:color="auto"/>
                <w:bottom w:val="none" w:sz="0" w:space="0" w:color="auto"/>
                <w:right w:val="none" w:sz="0" w:space="0" w:color="auto"/>
              </w:divBdr>
              <w:divsChild>
                <w:div w:id="14821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32672">
      <w:bodyDiv w:val="1"/>
      <w:marLeft w:val="0"/>
      <w:marRight w:val="0"/>
      <w:marTop w:val="0"/>
      <w:marBottom w:val="0"/>
      <w:divBdr>
        <w:top w:val="none" w:sz="0" w:space="0" w:color="auto"/>
        <w:left w:val="none" w:sz="0" w:space="0" w:color="auto"/>
        <w:bottom w:val="none" w:sz="0" w:space="0" w:color="auto"/>
        <w:right w:val="none" w:sz="0" w:space="0" w:color="auto"/>
      </w:divBdr>
    </w:div>
    <w:div w:id="450636189">
      <w:bodyDiv w:val="1"/>
      <w:marLeft w:val="0"/>
      <w:marRight w:val="0"/>
      <w:marTop w:val="0"/>
      <w:marBottom w:val="0"/>
      <w:divBdr>
        <w:top w:val="none" w:sz="0" w:space="0" w:color="auto"/>
        <w:left w:val="none" w:sz="0" w:space="0" w:color="auto"/>
        <w:bottom w:val="none" w:sz="0" w:space="0" w:color="auto"/>
        <w:right w:val="none" w:sz="0" w:space="0" w:color="auto"/>
      </w:divBdr>
      <w:divsChild>
        <w:div w:id="1979800323">
          <w:marLeft w:val="0"/>
          <w:marRight w:val="0"/>
          <w:marTop w:val="0"/>
          <w:marBottom w:val="0"/>
          <w:divBdr>
            <w:top w:val="none" w:sz="0" w:space="0" w:color="auto"/>
            <w:left w:val="none" w:sz="0" w:space="0" w:color="auto"/>
            <w:bottom w:val="none" w:sz="0" w:space="0" w:color="auto"/>
            <w:right w:val="none" w:sz="0" w:space="0" w:color="auto"/>
          </w:divBdr>
          <w:divsChild>
            <w:div w:id="1710954637">
              <w:marLeft w:val="0"/>
              <w:marRight w:val="0"/>
              <w:marTop w:val="0"/>
              <w:marBottom w:val="0"/>
              <w:divBdr>
                <w:top w:val="none" w:sz="0" w:space="0" w:color="auto"/>
                <w:left w:val="none" w:sz="0" w:space="0" w:color="auto"/>
                <w:bottom w:val="none" w:sz="0" w:space="0" w:color="auto"/>
                <w:right w:val="none" w:sz="0" w:space="0" w:color="auto"/>
              </w:divBdr>
              <w:divsChild>
                <w:div w:id="31333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29948">
      <w:bodyDiv w:val="1"/>
      <w:marLeft w:val="0"/>
      <w:marRight w:val="0"/>
      <w:marTop w:val="0"/>
      <w:marBottom w:val="0"/>
      <w:divBdr>
        <w:top w:val="none" w:sz="0" w:space="0" w:color="auto"/>
        <w:left w:val="none" w:sz="0" w:space="0" w:color="auto"/>
        <w:bottom w:val="none" w:sz="0" w:space="0" w:color="auto"/>
        <w:right w:val="none" w:sz="0" w:space="0" w:color="auto"/>
      </w:divBdr>
    </w:div>
    <w:div w:id="499197587">
      <w:bodyDiv w:val="1"/>
      <w:marLeft w:val="0"/>
      <w:marRight w:val="0"/>
      <w:marTop w:val="0"/>
      <w:marBottom w:val="0"/>
      <w:divBdr>
        <w:top w:val="none" w:sz="0" w:space="0" w:color="auto"/>
        <w:left w:val="none" w:sz="0" w:space="0" w:color="auto"/>
        <w:bottom w:val="none" w:sz="0" w:space="0" w:color="auto"/>
        <w:right w:val="none" w:sz="0" w:space="0" w:color="auto"/>
      </w:divBdr>
    </w:div>
    <w:div w:id="515460134">
      <w:bodyDiv w:val="1"/>
      <w:marLeft w:val="0"/>
      <w:marRight w:val="0"/>
      <w:marTop w:val="0"/>
      <w:marBottom w:val="0"/>
      <w:divBdr>
        <w:top w:val="none" w:sz="0" w:space="0" w:color="auto"/>
        <w:left w:val="none" w:sz="0" w:space="0" w:color="auto"/>
        <w:bottom w:val="none" w:sz="0" w:space="0" w:color="auto"/>
        <w:right w:val="none" w:sz="0" w:space="0" w:color="auto"/>
      </w:divBdr>
      <w:divsChild>
        <w:div w:id="356079693">
          <w:marLeft w:val="0"/>
          <w:marRight w:val="0"/>
          <w:marTop w:val="0"/>
          <w:marBottom w:val="0"/>
          <w:divBdr>
            <w:top w:val="none" w:sz="0" w:space="0" w:color="auto"/>
            <w:left w:val="none" w:sz="0" w:space="0" w:color="auto"/>
            <w:bottom w:val="none" w:sz="0" w:space="0" w:color="auto"/>
            <w:right w:val="none" w:sz="0" w:space="0" w:color="auto"/>
          </w:divBdr>
          <w:divsChild>
            <w:div w:id="563757565">
              <w:marLeft w:val="0"/>
              <w:marRight w:val="0"/>
              <w:marTop w:val="0"/>
              <w:marBottom w:val="0"/>
              <w:divBdr>
                <w:top w:val="none" w:sz="0" w:space="0" w:color="auto"/>
                <w:left w:val="none" w:sz="0" w:space="0" w:color="auto"/>
                <w:bottom w:val="none" w:sz="0" w:space="0" w:color="auto"/>
                <w:right w:val="none" w:sz="0" w:space="0" w:color="auto"/>
              </w:divBdr>
              <w:divsChild>
                <w:div w:id="7118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58608">
      <w:bodyDiv w:val="1"/>
      <w:marLeft w:val="0"/>
      <w:marRight w:val="0"/>
      <w:marTop w:val="0"/>
      <w:marBottom w:val="0"/>
      <w:divBdr>
        <w:top w:val="none" w:sz="0" w:space="0" w:color="auto"/>
        <w:left w:val="none" w:sz="0" w:space="0" w:color="auto"/>
        <w:bottom w:val="none" w:sz="0" w:space="0" w:color="auto"/>
        <w:right w:val="none" w:sz="0" w:space="0" w:color="auto"/>
      </w:divBdr>
      <w:divsChild>
        <w:div w:id="861209080">
          <w:marLeft w:val="0"/>
          <w:marRight w:val="0"/>
          <w:marTop w:val="0"/>
          <w:marBottom w:val="0"/>
          <w:divBdr>
            <w:top w:val="none" w:sz="0" w:space="0" w:color="auto"/>
            <w:left w:val="none" w:sz="0" w:space="0" w:color="auto"/>
            <w:bottom w:val="none" w:sz="0" w:space="0" w:color="auto"/>
            <w:right w:val="none" w:sz="0" w:space="0" w:color="auto"/>
          </w:divBdr>
          <w:divsChild>
            <w:div w:id="139155847">
              <w:marLeft w:val="0"/>
              <w:marRight w:val="0"/>
              <w:marTop w:val="0"/>
              <w:marBottom w:val="0"/>
              <w:divBdr>
                <w:top w:val="none" w:sz="0" w:space="0" w:color="auto"/>
                <w:left w:val="none" w:sz="0" w:space="0" w:color="auto"/>
                <w:bottom w:val="none" w:sz="0" w:space="0" w:color="auto"/>
                <w:right w:val="none" w:sz="0" w:space="0" w:color="auto"/>
              </w:divBdr>
              <w:divsChild>
                <w:div w:id="12038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22499">
      <w:bodyDiv w:val="1"/>
      <w:marLeft w:val="0"/>
      <w:marRight w:val="0"/>
      <w:marTop w:val="0"/>
      <w:marBottom w:val="0"/>
      <w:divBdr>
        <w:top w:val="none" w:sz="0" w:space="0" w:color="auto"/>
        <w:left w:val="none" w:sz="0" w:space="0" w:color="auto"/>
        <w:bottom w:val="none" w:sz="0" w:space="0" w:color="auto"/>
        <w:right w:val="none" w:sz="0" w:space="0" w:color="auto"/>
      </w:divBdr>
      <w:divsChild>
        <w:div w:id="997419987">
          <w:marLeft w:val="0"/>
          <w:marRight w:val="0"/>
          <w:marTop w:val="0"/>
          <w:marBottom w:val="0"/>
          <w:divBdr>
            <w:top w:val="none" w:sz="0" w:space="0" w:color="auto"/>
            <w:left w:val="none" w:sz="0" w:space="0" w:color="auto"/>
            <w:bottom w:val="none" w:sz="0" w:space="0" w:color="auto"/>
            <w:right w:val="none" w:sz="0" w:space="0" w:color="auto"/>
          </w:divBdr>
          <w:divsChild>
            <w:div w:id="2090736957">
              <w:marLeft w:val="0"/>
              <w:marRight w:val="0"/>
              <w:marTop w:val="0"/>
              <w:marBottom w:val="0"/>
              <w:divBdr>
                <w:top w:val="none" w:sz="0" w:space="0" w:color="auto"/>
                <w:left w:val="none" w:sz="0" w:space="0" w:color="auto"/>
                <w:bottom w:val="none" w:sz="0" w:space="0" w:color="auto"/>
                <w:right w:val="none" w:sz="0" w:space="0" w:color="auto"/>
              </w:divBdr>
              <w:divsChild>
                <w:div w:id="111852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47984">
      <w:bodyDiv w:val="1"/>
      <w:marLeft w:val="0"/>
      <w:marRight w:val="0"/>
      <w:marTop w:val="0"/>
      <w:marBottom w:val="0"/>
      <w:divBdr>
        <w:top w:val="none" w:sz="0" w:space="0" w:color="auto"/>
        <w:left w:val="none" w:sz="0" w:space="0" w:color="auto"/>
        <w:bottom w:val="none" w:sz="0" w:space="0" w:color="auto"/>
        <w:right w:val="none" w:sz="0" w:space="0" w:color="auto"/>
      </w:divBdr>
      <w:divsChild>
        <w:div w:id="532110703">
          <w:marLeft w:val="0"/>
          <w:marRight w:val="0"/>
          <w:marTop w:val="0"/>
          <w:marBottom w:val="0"/>
          <w:divBdr>
            <w:top w:val="none" w:sz="0" w:space="0" w:color="auto"/>
            <w:left w:val="none" w:sz="0" w:space="0" w:color="auto"/>
            <w:bottom w:val="none" w:sz="0" w:space="0" w:color="auto"/>
            <w:right w:val="none" w:sz="0" w:space="0" w:color="auto"/>
          </w:divBdr>
          <w:divsChild>
            <w:div w:id="1050424364">
              <w:marLeft w:val="0"/>
              <w:marRight w:val="0"/>
              <w:marTop w:val="0"/>
              <w:marBottom w:val="0"/>
              <w:divBdr>
                <w:top w:val="none" w:sz="0" w:space="0" w:color="auto"/>
                <w:left w:val="none" w:sz="0" w:space="0" w:color="auto"/>
                <w:bottom w:val="none" w:sz="0" w:space="0" w:color="auto"/>
                <w:right w:val="none" w:sz="0" w:space="0" w:color="auto"/>
              </w:divBdr>
              <w:divsChild>
                <w:div w:id="134146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79196">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609241001">
      <w:bodyDiv w:val="1"/>
      <w:marLeft w:val="0"/>
      <w:marRight w:val="0"/>
      <w:marTop w:val="0"/>
      <w:marBottom w:val="0"/>
      <w:divBdr>
        <w:top w:val="none" w:sz="0" w:space="0" w:color="auto"/>
        <w:left w:val="none" w:sz="0" w:space="0" w:color="auto"/>
        <w:bottom w:val="none" w:sz="0" w:space="0" w:color="auto"/>
        <w:right w:val="none" w:sz="0" w:space="0" w:color="auto"/>
      </w:divBdr>
      <w:divsChild>
        <w:div w:id="411051462">
          <w:marLeft w:val="0"/>
          <w:marRight w:val="0"/>
          <w:marTop w:val="0"/>
          <w:marBottom w:val="0"/>
          <w:divBdr>
            <w:top w:val="none" w:sz="0" w:space="0" w:color="auto"/>
            <w:left w:val="none" w:sz="0" w:space="0" w:color="auto"/>
            <w:bottom w:val="none" w:sz="0" w:space="0" w:color="auto"/>
            <w:right w:val="none" w:sz="0" w:space="0" w:color="auto"/>
          </w:divBdr>
          <w:divsChild>
            <w:div w:id="174536505">
              <w:marLeft w:val="0"/>
              <w:marRight w:val="0"/>
              <w:marTop w:val="0"/>
              <w:marBottom w:val="0"/>
              <w:divBdr>
                <w:top w:val="none" w:sz="0" w:space="0" w:color="auto"/>
                <w:left w:val="none" w:sz="0" w:space="0" w:color="auto"/>
                <w:bottom w:val="none" w:sz="0" w:space="0" w:color="auto"/>
                <w:right w:val="none" w:sz="0" w:space="0" w:color="auto"/>
              </w:divBdr>
              <w:divsChild>
                <w:div w:id="184963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58396">
      <w:bodyDiv w:val="1"/>
      <w:marLeft w:val="0"/>
      <w:marRight w:val="0"/>
      <w:marTop w:val="0"/>
      <w:marBottom w:val="0"/>
      <w:divBdr>
        <w:top w:val="none" w:sz="0" w:space="0" w:color="auto"/>
        <w:left w:val="none" w:sz="0" w:space="0" w:color="auto"/>
        <w:bottom w:val="none" w:sz="0" w:space="0" w:color="auto"/>
        <w:right w:val="none" w:sz="0" w:space="0" w:color="auto"/>
      </w:divBdr>
      <w:divsChild>
        <w:div w:id="1235776107">
          <w:marLeft w:val="0"/>
          <w:marRight w:val="0"/>
          <w:marTop w:val="0"/>
          <w:marBottom w:val="0"/>
          <w:divBdr>
            <w:top w:val="none" w:sz="0" w:space="0" w:color="auto"/>
            <w:left w:val="none" w:sz="0" w:space="0" w:color="auto"/>
            <w:bottom w:val="none" w:sz="0" w:space="0" w:color="auto"/>
            <w:right w:val="none" w:sz="0" w:space="0" w:color="auto"/>
          </w:divBdr>
          <w:divsChild>
            <w:div w:id="1560628291">
              <w:marLeft w:val="0"/>
              <w:marRight w:val="0"/>
              <w:marTop w:val="0"/>
              <w:marBottom w:val="0"/>
              <w:divBdr>
                <w:top w:val="none" w:sz="0" w:space="0" w:color="auto"/>
                <w:left w:val="none" w:sz="0" w:space="0" w:color="auto"/>
                <w:bottom w:val="none" w:sz="0" w:space="0" w:color="auto"/>
                <w:right w:val="none" w:sz="0" w:space="0" w:color="auto"/>
              </w:divBdr>
              <w:divsChild>
                <w:div w:id="3086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07546">
      <w:bodyDiv w:val="1"/>
      <w:marLeft w:val="0"/>
      <w:marRight w:val="0"/>
      <w:marTop w:val="0"/>
      <w:marBottom w:val="0"/>
      <w:divBdr>
        <w:top w:val="none" w:sz="0" w:space="0" w:color="auto"/>
        <w:left w:val="none" w:sz="0" w:space="0" w:color="auto"/>
        <w:bottom w:val="none" w:sz="0" w:space="0" w:color="auto"/>
        <w:right w:val="none" w:sz="0" w:space="0" w:color="auto"/>
      </w:divBdr>
      <w:divsChild>
        <w:div w:id="1165558688">
          <w:marLeft w:val="0"/>
          <w:marRight w:val="0"/>
          <w:marTop w:val="0"/>
          <w:marBottom w:val="0"/>
          <w:divBdr>
            <w:top w:val="none" w:sz="0" w:space="0" w:color="auto"/>
            <w:left w:val="none" w:sz="0" w:space="0" w:color="auto"/>
            <w:bottom w:val="none" w:sz="0" w:space="0" w:color="auto"/>
            <w:right w:val="none" w:sz="0" w:space="0" w:color="auto"/>
          </w:divBdr>
          <w:divsChild>
            <w:div w:id="499582544">
              <w:marLeft w:val="0"/>
              <w:marRight w:val="0"/>
              <w:marTop w:val="0"/>
              <w:marBottom w:val="0"/>
              <w:divBdr>
                <w:top w:val="none" w:sz="0" w:space="0" w:color="auto"/>
                <w:left w:val="none" w:sz="0" w:space="0" w:color="auto"/>
                <w:bottom w:val="none" w:sz="0" w:space="0" w:color="auto"/>
                <w:right w:val="none" w:sz="0" w:space="0" w:color="auto"/>
              </w:divBdr>
              <w:divsChild>
                <w:div w:id="20846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1416">
      <w:bodyDiv w:val="1"/>
      <w:marLeft w:val="0"/>
      <w:marRight w:val="0"/>
      <w:marTop w:val="0"/>
      <w:marBottom w:val="0"/>
      <w:divBdr>
        <w:top w:val="none" w:sz="0" w:space="0" w:color="auto"/>
        <w:left w:val="none" w:sz="0" w:space="0" w:color="auto"/>
        <w:bottom w:val="none" w:sz="0" w:space="0" w:color="auto"/>
        <w:right w:val="none" w:sz="0" w:space="0" w:color="auto"/>
      </w:divBdr>
      <w:divsChild>
        <w:div w:id="1030302464">
          <w:marLeft w:val="0"/>
          <w:marRight w:val="0"/>
          <w:marTop w:val="0"/>
          <w:marBottom w:val="0"/>
          <w:divBdr>
            <w:top w:val="none" w:sz="0" w:space="0" w:color="auto"/>
            <w:left w:val="none" w:sz="0" w:space="0" w:color="auto"/>
            <w:bottom w:val="none" w:sz="0" w:space="0" w:color="auto"/>
            <w:right w:val="none" w:sz="0" w:space="0" w:color="auto"/>
          </w:divBdr>
          <w:divsChild>
            <w:div w:id="691758699">
              <w:marLeft w:val="0"/>
              <w:marRight w:val="0"/>
              <w:marTop w:val="0"/>
              <w:marBottom w:val="0"/>
              <w:divBdr>
                <w:top w:val="none" w:sz="0" w:space="0" w:color="auto"/>
                <w:left w:val="none" w:sz="0" w:space="0" w:color="auto"/>
                <w:bottom w:val="none" w:sz="0" w:space="0" w:color="auto"/>
                <w:right w:val="none" w:sz="0" w:space="0" w:color="auto"/>
              </w:divBdr>
              <w:divsChild>
                <w:div w:id="17264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90868">
      <w:bodyDiv w:val="1"/>
      <w:marLeft w:val="0"/>
      <w:marRight w:val="0"/>
      <w:marTop w:val="0"/>
      <w:marBottom w:val="0"/>
      <w:divBdr>
        <w:top w:val="none" w:sz="0" w:space="0" w:color="auto"/>
        <w:left w:val="none" w:sz="0" w:space="0" w:color="auto"/>
        <w:bottom w:val="none" w:sz="0" w:space="0" w:color="auto"/>
        <w:right w:val="none" w:sz="0" w:space="0" w:color="auto"/>
      </w:divBdr>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803353090">
      <w:bodyDiv w:val="1"/>
      <w:marLeft w:val="0"/>
      <w:marRight w:val="0"/>
      <w:marTop w:val="0"/>
      <w:marBottom w:val="0"/>
      <w:divBdr>
        <w:top w:val="none" w:sz="0" w:space="0" w:color="auto"/>
        <w:left w:val="none" w:sz="0" w:space="0" w:color="auto"/>
        <w:bottom w:val="none" w:sz="0" w:space="0" w:color="auto"/>
        <w:right w:val="none" w:sz="0" w:space="0" w:color="auto"/>
      </w:divBdr>
      <w:divsChild>
        <w:div w:id="357658203">
          <w:marLeft w:val="0"/>
          <w:marRight w:val="0"/>
          <w:marTop w:val="0"/>
          <w:marBottom w:val="0"/>
          <w:divBdr>
            <w:top w:val="none" w:sz="0" w:space="0" w:color="auto"/>
            <w:left w:val="none" w:sz="0" w:space="0" w:color="auto"/>
            <w:bottom w:val="none" w:sz="0" w:space="0" w:color="auto"/>
            <w:right w:val="none" w:sz="0" w:space="0" w:color="auto"/>
          </w:divBdr>
          <w:divsChild>
            <w:div w:id="343677354">
              <w:marLeft w:val="60"/>
              <w:marRight w:val="0"/>
              <w:marTop w:val="0"/>
              <w:marBottom w:val="0"/>
              <w:divBdr>
                <w:top w:val="none" w:sz="0" w:space="0" w:color="auto"/>
                <w:left w:val="none" w:sz="0" w:space="0" w:color="auto"/>
                <w:bottom w:val="none" w:sz="0" w:space="0" w:color="auto"/>
                <w:right w:val="none" w:sz="0" w:space="0" w:color="auto"/>
              </w:divBdr>
              <w:divsChild>
                <w:div w:id="729577608">
                  <w:marLeft w:val="0"/>
                  <w:marRight w:val="0"/>
                  <w:marTop w:val="0"/>
                  <w:marBottom w:val="0"/>
                  <w:divBdr>
                    <w:top w:val="none" w:sz="0" w:space="0" w:color="auto"/>
                    <w:left w:val="none" w:sz="0" w:space="0" w:color="auto"/>
                    <w:bottom w:val="none" w:sz="0" w:space="0" w:color="auto"/>
                    <w:right w:val="none" w:sz="0" w:space="0" w:color="auto"/>
                  </w:divBdr>
                  <w:divsChild>
                    <w:div w:id="390352999">
                      <w:marLeft w:val="0"/>
                      <w:marRight w:val="0"/>
                      <w:marTop w:val="0"/>
                      <w:marBottom w:val="120"/>
                      <w:divBdr>
                        <w:top w:val="single" w:sz="6" w:space="0" w:color="F5F5F5"/>
                        <w:left w:val="single" w:sz="6" w:space="0" w:color="F5F5F5"/>
                        <w:bottom w:val="single" w:sz="6" w:space="0" w:color="F5F5F5"/>
                        <w:right w:val="single" w:sz="6" w:space="0" w:color="F5F5F5"/>
                      </w:divBdr>
                      <w:divsChild>
                        <w:div w:id="974913677">
                          <w:marLeft w:val="0"/>
                          <w:marRight w:val="0"/>
                          <w:marTop w:val="0"/>
                          <w:marBottom w:val="0"/>
                          <w:divBdr>
                            <w:top w:val="none" w:sz="0" w:space="0" w:color="auto"/>
                            <w:left w:val="none" w:sz="0" w:space="0" w:color="auto"/>
                            <w:bottom w:val="none" w:sz="0" w:space="0" w:color="auto"/>
                            <w:right w:val="none" w:sz="0" w:space="0" w:color="auto"/>
                          </w:divBdr>
                          <w:divsChild>
                            <w:div w:id="167256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247213">
          <w:marLeft w:val="0"/>
          <w:marRight w:val="0"/>
          <w:marTop w:val="0"/>
          <w:marBottom w:val="0"/>
          <w:divBdr>
            <w:top w:val="none" w:sz="0" w:space="0" w:color="auto"/>
            <w:left w:val="none" w:sz="0" w:space="0" w:color="auto"/>
            <w:bottom w:val="none" w:sz="0" w:space="0" w:color="auto"/>
            <w:right w:val="none" w:sz="0" w:space="0" w:color="auto"/>
          </w:divBdr>
          <w:divsChild>
            <w:div w:id="1739551413">
              <w:marLeft w:val="0"/>
              <w:marRight w:val="60"/>
              <w:marTop w:val="0"/>
              <w:marBottom w:val="0"/>
              <w:divBdr>
                <w:top w:val="none" w:sz="0" w:space="0" w:color="auto"/>
                <w:left w:val="none" w:sz="0" w:space="0" w:color="auto"/>
                <w:bottom w:val="none" w:sz="0" w:space="0" w:color="auto"/>
                <w:right w:val="none" w:sz="0" w:space="0" w:color="auto"/>
              </w:divBdr>
              <w:divsChild>
                <w:div w:id="1582984909">
                  <w:marLeft w:val="0"/>
                  <w:marRight w:val="0"/>
                  <w:marTop w:val="0"/>
                  <w:marBottom w:val="120"/>
                  <w:divBdr>
                    <w:top w:val="single" w:sz="6" w:space="0" w:color="C0C0C0"/>
                    <w:left w:val="single" w:sz="6" w:space="0" w:color="D9D9D9"/>
                    <w:bottom w:val="single" w:sz="6" w:space="0" w:color="D9D9D9"/>
                    <w:right w:val="single" w:sz="6" w:space="0" w:color="D9D9D9"/>
                  </w:divBdr>
                  <w:divsChild>
                    <w:div w:id="1869639330">
                      <w:marLeft w:val="0"/>
                      <w:marRight w:val="0"/>
                      <w:marTop w:val="0"/>
                      <w:marBottom w:val="0"/>
                      <w:divBdr>
                        <w:top w:val="none" w:sz="0" w:space="0" w:color="auto"/>
                        <w:left w:val="none" w:sz="0" w:space="0" w:color="auto"/>
                        <w:bottom w:val="none" w:sz="0" w:space="0" w:color="auto"/>
                        <w:right w:val="none" w:sz="0" w:space="0" w:color="auto"/>
                      </w:divBdr>
                    </w:div>
                    <w:div w:id="19089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8789">
      <w:bodyDiv w:val="1"/>
      <w:marLeft w:val="0"/>
      <w:marRight w:val="0"/>
      <w:marTop w:val="0"/>
      <w:marBottom w:val="0"/>
      <w:divBdr>
        <w:top w:val="none" w:sz="0" w:space="0" w:color="auto"/>
        <w:left w:val="none" w:sz="0" w:space="0" w:color="auto"/>
        <w:bottom w:val="none" w:sz="0" w:space="0" w:color="auto"/>
        <w:right w:val="none" w:sz="0" w:space="0" w:color="auto"/>
      </w:divBdr>
      <w:divsChild>
        <w:div w:id="608392576">
          <w:marLeft w:val="0"/>
          <w:marRight w:val="0"/>
          <w:marTop w:val="0"/>
          <w:marBottom w:val="0"/>
          <w:divBdr>
            <w:top w:val="none" w:sz="0" w:space="0" w:color="auto"/>
            <w:left w:val="none" w:sz="0" w:space="0" w:color="auto"/>
            <w:bottom w:val="none" w:sz="0" w:space="0" w:color="auto"/>
            <w:right w:val="none" w:sz="0" w:space="0" w:color="auto"/>
          </w:divBdr>
          <w:divsChild>
            <w:div w:id="1316761220">
              <w:marLeft w:val="0"/>
              <w:marRight w:val="0"/>
              <w:marTop w:val="0"/>
              <w:marBottom w:val="0"/>
              <w:divBdr>
                <w:top w:val="none" w:sz="0" w:space="0" w:color="auto"/>
                <w:left w:val="none" w:sz="0" w:space="0" w:color="auto"/>
                <w:bottom w:val="none" w:sz="0" w:space="0" w:color="auto"/>
                <w:right w:val="none" w:sz="0" w:space="0" w:color="auto"/>
              </w:divBdr>
              <w:divsChild>
                <w:div w:id="1125271986">
                  <w:marLeft w:val="0"/>
                  <w:marRight w:val="0"/>
                  <w:marTop w:val="0"/>
                  <w:marBottom w:val="0"/>
                  <w:divBdr>
                    <w:top w:val="none" w:sz="0" w:space="0" w:color="auto"/>
                    <w:left w:val="none" w:sz="0" w:space="0" w:color="auto"/>
                    <w:bottom w:val="none" w:sz="0" w:space="0" w:color="auto"/>
                    <w:right w:val="none" w:sz="0" w:space="0" w:color="auto"/>
                  </w:divBdr>
                  <w:divsChild>
                    <w:div w:id="134466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67051">
      <w:bodyDiv w:val="1"/>
      <w:marLeft w:val="0"/>
      <w:marRight w:val="0"/>
      <w:marTop w:val="0"/>
      <w:marBottom w:val="0"/>
      <w:divBdr>
        <w:top w:val="none" w:sz="0" w:space="0" w:color="auto"/>
        <w:left w:val="none" w:sz="0" w:space="0" w:color="auto"/>
        <w:bottom w:val="none" w:sz="0" w:space="0" w:color="auto"/>
        <w:right w:val="none" w:sz="0" w:space="0" w:color="auto"/>
      </w:divBdr>
    </w:div>
    <w:div w:id="834421480">
      <w:bodyDiv w:val="1"/>
      <w:marLeft w:val="0"/>
      <w:marRight w:val="0"/>
      <w:marTop w:val="0"/>
      <w:marBottom w:val="0"/>
      <w:divBdr>
        <w:top w:val="none" w:sz="0" w:space="0" w:color="auto"/>
        <w:left w:val="none" w:sz="0" w:space="0" w:color="auto"/>
        <w:bottom w:val="none" w:sz="0" w:space="0" w:color="auto"/>
        <w:right w:val="none" w:sz="0" w:space="0" w:color="auto"/>
      </w:divBdr>
    </w:div>
    <w:div w:id="890774514">
      <w:bodyDiv w:val="1"/>
      <w:marLeft w:val="0"/>
      <w:marRight w:val="0"/>
      <w:marTop w:val="0"/>
      <w:marBottom w:val="0"/>
      <w:divBdr>
        <w:top w:val="none" w:sz="0" w:space="0" w:color="auto"/>
        <w:left w:val="none" w:sz="0" w:space="0" w:color="auto"/>
        <w:bottom w:val="none" w:sz="0" w:space="0" w:color="auto"/>
        <w:right w:val="none" w:sz="0" w:space="0" w:color="auto"/>
      </w:divBdr>
    </w:div>
    <w:div w:id="902376195">
      <w:bodyDiv w:val="1"/>
      <w:marLeft w:val="0"/>
      <w:marRight w:val="0"/>
      <w:marTop w:val="0"/>
      <w:marBottom w:val="0"/>
      <w:divBdr>
        <w:top w:val="none" w:sz="0" w:space="0" w:color="auto"/>
        <w:left w:val="none" w:sz="0" w:space="0" w:color="auto"/>
        <w:bottom w:val="none" w:sz="0" w:space="0" w:color="auto"/>
        <w:right w:val="none" w:sz="0" w:space="0" w:color="auto"/>
      </w:divBdr>
    </w:div>
    <w:div w:id="934095499">
      <w:bodyDiv w:val="1"/>
      <w:marLeft w:val="0"/>
      <w:marRight w:val="0"/>
      <w:marTop w:val="0"/>
      <w:marBottom w:val="0"/>
      <w:divBdr>
        <w:top w:val="none" w:sz="0" w:space="0" w:color="auto"/>
        <w:left w:val="none" w:sz="0" w:space="0" w:color="auto"/>
        <w:bottom w:val="none" w:sz="0" w:space="0" w:color="auto"/>
        <w:right w:val="none" w:sz="0" w:space="0" w:color="auto"/>
      </w:divBdr>
    </w:div>
    <w:div w:id="952983900">
      <w:bodyDiv w:val="1"/>
      <w:marLeft w:val="0"/>
      <w:marRight w:val="0"/>
      <w:marTop w:val="0"/>
      <w:marBottom w:val="0"/>
      <w:divBdr>
        <w:top w:val="none" w:sz="0" w:space="0" w:color="auto"/>
        <w:left w:val="none" w:sz="0" w:space="0" w:color="auto"/>
        <w:bottom w:val="none" w:sz="0" w:space="0" w:color="auto"/>
        <w:right w:val="none" w:sz="0" w:space="0" w:color="auto"/>
      </w:divBdr>
      <w:divsChild>
        <w:div w:id="248276187">
          <w:marLeft w:val="0"/>
          <w:marRight w:val="0"/>
          <w:marTop w:val="0"/>
          <w:marBottom w:val="0"/>
          <w:divBdr>
            <w:top w:val="none" w:sz="0" w:space="0" w:color="auto"/>
            <w:left w:val="none" w:sz="0" w:space="0" w:color="auto"/>
            <w:bottom w:val="none" w:sz="0" w:space="0" w:color="auto"/>
            <w:right w:val="none" w:sz="0" w:space="0" w:color="auto"/>
          </w:divBdr>
          <w:divsChild>
            <w:div w:id="1862476913">
              <w:marLeft w:val="0"/>
              <w:marRight w:val="0"/>
              <w:marTop w:val="0"/>
              <w:marBottom w:val="0"/>
              <w:divBdr>
                <w:top w:val="none" w:sz="0" w:space="0" w:color="auto"/>
                <w:left w:val="none" w:sz="0" w:space="0" w:color="auto"/>
                <w:bottom w:val="none" w:sz="0" w:space="0" w:color="auto"/>
                <w:right w:val="none" w:sz="0" w:space="0" w:color="auto"/>
              </w:divBdr>
              <w:divsChild>
                <w:div w:id="395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77416057">
      <w:bodyDiv w:val="1"/>
      <w:marLeft w:val="0"/>
      <w:marRight w:val="0"/>
      <w:marTop w:val="0"/>
      <w:marBottom w:val="0"/>
      <w:divBdr>
        <w:top w:val="none" w:sz="0" w:space="0" w:color="auto"/>
        <w:left w:val="none" w:sz="0" w:space="0" w:color="auto"/>
        <w:bottom w:val="none" w:sz="0" w:space="0" w:color="auto"/>
        <w:right w:val="none" w:sz="0" w:space="0" w:color="auto"/>
      </w:divBdr>
    </w:div>
    <w:div w:id="984507294">
      <w:bodyDiv w:val="1"/>
      <w:marLeft w:val="0"/>
      <w:marRight w:val="0"/>
      <w:marTop w:val="0"/>
      <w:marBottom w:val="0"/>
      <w:divBdr>
        <w:top w:val="none" w:sz="0" w:space="0" w:color="auto"/>
        <w:left w:val="none" w:sz="0" w:space="0" w:color="auto"/>
        <w:bottom w:val="none" w:sz="0" w:space="0" w:color="auto"/>
        <w:right w:val="none" w:sz="0" w:space="0" w:color="auto"/>
      </w:divBdr>
      <w:divsChild>
        <w:div w:id="495270544">
          <w:marLeft w:val="0"/>
          <w:marRight w:val="0"/>
          <w:marTop w:val="0"/>
          <w:marBottom w:val="0"/>
          <w:divBdr>
            <w:top w:val="none" w:sz="0" w:space="0" w:color="auto"/>
            <w:left w:val="none" w:sz="0" w:space="0" w:color="auto"/>
            <w:bottom w:val="none" w:sz="0" w:space="0" w:color="auto"/>
            <w:right w:val="none" w:sz="0" w:space="0" w:color="auto"/>
          </w:divBdr>
          <w:divsChild>
            <w:div w:id="1754931907">
              <w:marLeft w:val="0"/>
              <w:marRight w:val="0"/>
              <w:marTop w:val="0"/>
              <w:marBottom w:val="0"/>
              <w:divBdr>
                <w:top w:val="none" w:sz="0" w:space="0" w:color="auto"/>
                <w:left w:val="none" w:sz="0" w:space="0" w:color="auto"/>
                <w:bottom w:val="none" w:sz="0" w:space="0" w:color="auto"/>
                <w:right w:val="none" w:sz="0" w:space="0" w:color="auto"/>
              </w:divBdr>
              <w:divsChild>
                <w:div w:id="6948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998657682">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12606982">
      <w:bodyDiv w:val="1"/>
      <w:marLeft w:val="0"/>
      <w:marRight w:val="0"/>
      <w:marTop w:val="0"/>
      <w:marBottom w:val="0"/>
      <w:divBdr>
        <w:top w:val="none" w:sz="0" w:space="0" w:color="auto"/>
        <w:left w:val="none" w:sz="0" w:space="0" w:color="auto"/>
        <w:bottom w:val="none" w:sz="0" w:space="0" w:color="auto"/>
        <w:right w:val="none" w:sz="0" w:space="0" w:color="auto"/>
      </w:divBdr>
    </w:div>
    <w:div w:id="1027947583">
      <w:bodyDiv w:val="1"/>
      <w:marLeft w:val="0"/>
      <w:marRight w:val="0"/>
      <w:marTop w:val="0"/>
      <w:marBottom w:val="0"/>
      <w:divBdr>
        <w:top w:val="none" w:sz="0" w:space="0" w:color="auto"/>
        <w:left w:val="none" w:sz="0" w:space="0" w:color="auto"/>
        <w:bottom w:val="none" w:sz="0" w:space="0" w:color="auto"/>
        <w:right w:val="none" w:sz="0" w:space="0" w:color="auto"/>
      </w:divBdr>
    </w:div>
    <w:div w:id="1030186987">
      <w:bodyDiv w:val="1"/>
      <w:marLeft w:val="0"/>
      <w:marRight w:val="0"/>
      <w:marTop w:val="0"/>
      <w:marBottom w:val="0"/>
      <w:divBdr>
        <w:top w:val="none" w:sz="0" w:space="0" w:color="auto"/>
        <w:left w:val="none" w:sz="0" w:space="0" w:color="auto"/>
        <w:bottom w:val="none" w:sz="0" w:space="0" w:color="auto"/>
        <w:right w:val="none" w:sz="0" w:space="0" w:color="auto"/>
      </w:divBdr>
      <w:divsChild>
        <w:div w:id="2111194108">
          <w:marLeft w:val="0"/>
          <w:marRight w:val="0"/>
          <w:marTop w:val="0"/>
          <w:marBottom w:val="0"/>
          <w:divBdr>
            <w:top w:val="none" w:sz="0" w:space="0" w:color="auto"/>
            <w:left w:val="none" w:sz="0" w:space="0" w:color="auto"/>
            <w:bottom w:val="none" w:sz="0" w:space="0" w:color="auto"/>
            <w:right w:val="none" w:sz="0" w:space="0" w:color="auto"/>
          </w:divBdr>
          <w:divsChild>
            <w:div w:id="598835055">
              <w:marLeft w:val="0"/>
              <w:marRight w:val="0"/>
              <w:marTop w:val="0"/>
              <w:marBottom w:val="0"/>
              <w:divBdr>
                <w:top w:val="none" w:sz="0" w:space="0" w:color="auto"/>
                <w:left w:val="none" w:sz="0" w:space="0" w:color="auto"/>
                <w:bottom w:val="none" w:sz="0" w:space="0" w:color="auto"/>
                <w:right w:val="none" w:sz="0" w:space="0" w:color="auto"/>
              </w:divBdr>
              <w:divsChild>
                <w:div w:id="5591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52651">
      <w:bodyDiv w:val="1"/>
      <w:marLeft w:val="0"/>
      <w:marRight w:val="0"/>
      <w:marTop w:val="0"/>
      <w:marBottom w:val="0"/>
      <w:divBdr>
        <w:top w:val="none" w:sz="0" w:space="0" w:color="auto"/>
        <w:left w:val="none" w:sz="0" w:space="0" w:color="auto"/>
        <w:bottom w:val="none" w:sz="0" w:space="0" w:color="auto"/>
        <w:right w:val="none" w:sz="0" w:space="0" w:color="auto"/>
      </w:divBdr>
      <w:divsChild>
        <w:div w:id="1576351886">
          <w:marLeft w:val="0"/>
          <w:marRight w:val="0"/>
          <w:marTop w:val="0"/>
          <w:marBottom w:val="0"/>
          <w:divBdr>
            <w:top w:val="none" w:sz="0" w:space="0" w:color="auto"/>
            <w:left w:val="none" w:sz="0" w:space="0" w:color="auto"/>
            <w:bottom w:val="none" w:sz="0" w:space="0" w:color="auto"/>
            <w:right w:val="none" w:sz="0" w:space="0" w:color="auto"/>
          </w:divBdr>
          <w:divsChild>
            <w:div w:id="2013488648">
              <w:marLeft w:val="0"/>
              <w:marRight w:val="0"/>
              <w:marTop w:val="0"/>
              <w:marBottom w:val="0"/>
              <w:divBdr>
                <w:top w:val="none" w:sz="0" w:space="0" w:color="auto"/>
                <w:left w:val="none" w:sz="0" w:space="0" w:color="auto"/>
                <w:bottom w:val="none" w:sz="0" w:space="0" w:color="auto"/>
                <w:right w:val="none" w:sz="0" w:space="0" w:color="auto"/>
              </w:divBdr>
              <w:divsChild>
                <w:div w:id="178901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68459">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11700458">
      <w:bodyDiv w:val="1"/>
      <w:marLeft w:val="0"/>
      <w:marRight w:val="0"/>
      <w:marTop w:val="0"/>
      <w:marBottom w:val="0"/>
      <w:divBdr>
        <w:top w:val="none" w:sz="0" w:space="0" w:color="auto"/>
        <w:left w:val="none" w:sz="0" w:space="0" w:color="auto"/>
        <w:bottom w:val="none" w:sz="0" w:space="0" w:color="auto"/>
        <w:right w:val="none" w:sz="0" w:space="0" w:color="auto"/>
      </w:divBdr>
      <w:divsChild>
        <w:div w:id="946348600">
          <w:marLeft w:val="0"/>
          <w:marRight w:val="0"/>
          <w:marTop w:val="0"/>
          <w:marBottom w:val="0"/>
          <w:divBdr>
            <w:top w:val="none" w:sz="0" w:space="0" w:color="auto"/>
            <w:left w:val="none" w:sz="0" w:space="0" w:color="auto"/>
            <w:bottom w:val="none" w:sz="0" w:space="0" w:color="auto"/>
            <w:right w:val="none" w:sz="0" w:space="0" w:color="auto"/>
          </w:divBdr>
          <w:divsChild>
            <w:div w:id="1819760567">
              <w:marLeft w:val="0"/>
              <w:marRight w:val="0"/>
              <w:marTop w:val="0"/>
              <w:marBottom w:val="0"/>
              <w:divBdr>
                <w:top w:val="none" w:sz="0" w:space="0" w:color="auto"/>
                <w:left w:val="none" w:sz="0" w:space="0" w:color="auto"/>
                <w:bottom w:val="none" w:sz="0" w:space="0" w:color="auto"/>
                <w:right w:val="none" w:sz="0" w:space="0" w:color="auto"/>
              </w:divBdr>
              <w:divsChild>
                <w:div w:id="11999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807618">
      <w:bodyDiv w:val="1"/>
      <w:marLeft w:val="0"/>
      <w:marRight w:val="0"/>
      <w:marTop w:val="0"/>
      <w:marBottom w:val="0"/>
      <w:divBdr>
        <w:top w:val="none" w:sz="0" w:space="0" w:color="auto"/>
        <w:left w:val="none" w:sz="0" w:space="0" w:color="auto"/>
        <w:bottom w:val="none" w:sz="0" w:space="0" w:color="auto"/>
        <w:right w:val="none" w:sz="0" w:space="0" w:color="auto"/>
      </w:divBdr>
    </w:div>
    <w:div w:id="114886374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20945572">
      <w:bodyDiv w:val="1"/>
      <w:marLeft w:val="0"/>
      <w:marRight w:val="0"/>
      <w:marTop w:val="0"/>
      <w:marBottom w:val="0"/>
      <w:divBdr>
        <w:top w:val="none" w:sz="0" w:space="0" w:color="auto"/>
        <w:left w:val="none" w:sz="0" w:space="0" w:color="auto"/>
        <w:bottom w:val="none" w:sz="0" w:space="0" w:color="auto"/>
        <w:right w:val="none" w:sz="0" w:space="0" w:color="auto"/>
      </w:divBdr>
    </w:div>
    <w:div w:id="1255821617">
      <w:bodyDiv w:val="1"/>
      <w:marLeft w:val="0"/>
      <w:marRight w:val="0"/>
      <w:marTop w:val="0"/>
      <w:marBottom w:val="0"/>
      <w:divBdr>
        <w:top w:val="none" w:sz="0" w:space="0" w:color="auto"/>
        <w:left w:val="none" w:sz="0" w:space="0" w:color="auto"/>
        <w:bottom w:val="none" w:sz="0" w:space="0" w:color="auto"/>
        <w:right w:val="none" w:sz="0" w:space="0" w:color="auto"/>
      </w:divBdr>
      <w:divsChild>
        <w:div w:id="1712728829">
          <w:marLeft w:val="0"/>
          <w:marRight w:val="0"/>
          <w:marTop w:val="0"/>
          <w:marBottom w:val="0"/>
          <w:divBdr>
            <w:top w:val="none" w:sz="0" w:space="0" w:color="auto"/>
            <w:left w:val="none" w:sz="0" w:space="0" w:color="auto"/>
            <w:bottom w:val="none" w:sz="0" w:space="0" w:color="auto"/>
            <w:right w:val="none" w:sz="0" w:space="0" w:color="auto"/>
          </w:divBdr>
          <w:divsChild>
            <w:div w:id="2115443633">
              <w:marLeft w:val="0"/>
              <w:marRight w:val="0"/>
              <w:marTop w:val="0"/>
              <w:marBottom w:val="0"/>
              <w:divBdr>
                <w:top w:val="none" w:sz="0" w:space="0" w:color="auto"/>
                <w:left w:val="none" w:sz="0" w:space="0" w:color="auto"/>
                <w:bottom w:val="none" w:sz="0" w:space="0" w:color="auto"/>
                <w:right w:val="none" w:sz="0" w:space="0" w:color="auto"/>
              </w:divBdr>
              <w:divsChild>
                <w:div w:id="569121410">
                  <w:marLeft w:val="0"/>
                  <w:marRight w:val="0"/>
                  <w:marTop w:val="0"/>
                  <w:marBottom w:val="0"/>
                  <w:divBdr>
                    <w:top w:val="none" w:sz="0" w:space="0" w:color="auto"/>
                    <w:left w:val="none" w:sz="0" w:space="0" w:color="auto"/>
                    <w:bottom w:val="none" w:sz="0" w:space="0" w:color="auto"/>
                    <w:right w:val="none" w:sz="0" w:space="0" w:color="auto"/>
                  </w:divBdr>
                  <w:divsChild>
                    <w:div w:id="875040106">
                      <w:marLeft w:val="0"/>
                      <w:marRight w:val="0"/>
                      <w:marTop w:val="0"/>
                      <w:marBottom w:val="0"/>
                      <w:divBdr>
                        <w:top w:val="none" w:sz="0" w:space="0" w:color="auto"/>
                        <w:left w:val="none" w:sz="0" w:space="0" w:color="auto"/>
                        <w:bottom w:val="none" w:sz="0" w:space="0" w:color="auto"/>
                        <w:right w:val="none" w:sz="0" w:space="0" w:color="auto"/>
                      </w:divBdr>
                    </w:div>
                  </w:divsChild>
                </w:div>
                <w:div w:id="755440091">
                  <w:marLeft w:val="0"/>
                  <w:marRight w:val="0"/>
                  <w:marTop w:val="0"/>
                  <w:marBottom w:val="0"/>
                  <w:divBdr>
                    <w:top w:val="none" w:sz="0" w:space="0" w:color="auto"/>
                    <w:left w:val="none" w:sz="0" w:space="0" w:color="auto"/>
                    <w:bottom w:val="none" w:sz="0" w:space="0" w:color="auto"/>
                    <w:right w:val="none" w:sz="0" w:space="0" w:color="auto"/>
                  </w:divBdr>
                  <w:divsChild>
                    <w:div w:id="1817255199">
                      <w:marLeft w:val="0"/>
                      <w:marRight w:val="0"/>
                      <w:marTop w:val="0"/>
                      <w:marBottom w:val="0"/>
                      <w:divBdr>
                        <w:top w:val="none" w:sz="0" w:space="0" w:color="auto"/>
                        <w:left w:val="none" w:sz="0" w:space="0" w:color="auto"/>
                        <w:bottom w:val="none" w:sz="0" w:space="0" w:color="auto"/>
                        <w:right w:val="none" w:sz="0" w:space="0" w:color="auto"/>
                      </w:divBdr>
                    </w:div>
                  </w:divsChild>
                </w:div>
                <w:div w:id="931275549">
                  <w:marLeft w:val="0"/>
                  <w:marRight w:val="0"/>
                  <w:marTop w:val="0"/>
                  <w:marBottom w:val="0"/>
                  <w:divBdr>
                    <w:top w:val="none" w:sz="0" w:space="0" w:color="auto"/>
                    <w:left w:val="none" w:sz="0" w:space="0" w:color="auto"/>
                    <w:bottom w:val="none" w:sz="0" w:space="0" w:color="auto"/>
                    <w:right w:val="none" w:sz="0" w:space="0" w:color="auto"/>
                  </w:divBdr>
                  <w:divsChild>
                    <w:div w:id="2137480443">
                      <w:marLeft w:val="0"/>
                      <w:marRight w:val="0"/>
                      <w:marTop w:val="0"/>
                      <w:marBottom w:val="0"/>
                      <w:divBdr>
                        <w:top w:val="none" w:sz="0" w:space="0" w:color="auto"/>
                        <w:left w:val="none" w:sz="0" w:space="0" w:color="auto"/>
                        <w:bottom w:val="none" w:sz="0" w:space="0" w:color="auto"/>
                        <w:right w:val="none" w:sz="0" w:space="0" w:color="auto"/>
                      </w:divBdr>
                    </w:div>
                  </w:divsChild>
                </w:div>
                <w:div w:id="1905019979">
                  <w:marLeft w:val="0"/>
                  <w:marRight w:val="0"/>
                  <w:marTop w:val="0"/>
                  <w:marBottom w:val="0"/>
                  <w:divBdr>
                    <w:top w:val="none" w:sz="0" w:space="0" w:color="auto"/>
                    <w:left w:val="none" w:sz="0" w:space="0" w:color="auto"/>
                    <w:bottom w:val="none" w:sz="0" w:space="0" w:color="auto"/>
                    <w:right w:val="none" w:sz="0" w:space="0" w:color="auto"/>
                  </w:divBdr>
                  <w:divsChild>
                    <w:div w:id="18963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77057">
      <w:bodyDiv w:val="1"/>
      <w:marLeft w:val="0"/>
      <w:marRight w:val="0"/>
      <w:marTop w:val="0"/>
      <w:marBottom w:val="0"/>
      <w:divBdr>
        <w:top w:val="none" w:sz="0" w:space="0" w:color="auto"/>
        <w:left w:val="none" w:sz="0" w:space="0" w:color="auto"/>
        <w:bottom w:val="none" w:sz="0" w:space="0" w:color="auto"/>
        <w:right w:val="none" w:sz="0" w:space="0" w:color="auto"/>
      </w:divBdr>
      <w:divsChild>
        <w:div w:id="2042002996">
          <w:marLeft w:val="0"/>
          <w:marRight w:val="0"/>
          <w:marTop w:val="0"/>
          <w:marBottom w:val="0"/>
          <w:divBdr>
            <w:top w:val="none" w:sz="0" w:space="0" w:color="auto"/>
            <w:left w:val="none" w:sz="0" w:space="0" w:color="auto"/>
            <w:bottom w:val="none" w:sz="0" w:space="0" w:color="auto"/>
            <w:right w:val="none" w:sz="0" w:space="0" w:color="auto"/>
          </w:divBdr>
          <w:divsChild>
            <w:div w:id="999429318">
              <w:marLeft w:val="0"/>
              <w:marRight w:val="0"/>
              <w:marTop w:val="0"/>
              <w:marBottom w:val="0"/>
              <w:divBdr>
                <w:top w:val="none" w:sz="0" w:space="0" w:color="auto"/>
                <w:left w:val="none" w:sz="0" w:space="0" w:color="auto"/>
                <w:bottom w:val="none" w:sz="0" w:space="0" w:color="auto"/>
                <w:right w:val="none" w:sz="0" w:space="0" w:color="auto"/>
              </w:divBdr>
              <w:divsChild>
                <w:div w:id="156567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99554">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76449029">
      <w:bodyDiv w:val="1"/>
      <w:marLeft w:val="0"/>
      <w:marRight w:val="0"/>
      <w:marTop w:val="0"/>
      <w:marBottom w:val="0"/>
      <w:divBdr>
        <w:top w:val="none" w:sz="0" w:space="0" w:color="auto"/>
        <w:left w:val="none" w:sz="0" w:space="0" w:color="auto"/>
        <w:bottom w:val="none" w:sz="0" w:space="0" w:color="auto"/>
        <w:right w:val="none" w:sz="0" w:space="0" w:color="auto"/>
      </w:divBdr>
    </w:div>
    <w:div w:id="1278174518">
      <w:bodyDiv w:val="1"/>
      <w:marLeft w:val="0"/>
      <w:marRight w:val="0"/>
      <w:marTop w:val="0"/>
      <w:marBottom w:val="0"/>
      <w:divBdr>
        <w:top w:val="none" w:sz="0" w:space="0" w:color="auto"/>
        <w:left w:val="none" w:sz="0" w:space="0" w:color="auto"/>
        <w:bottom w:val="none" w:sz="0" w:space="0" w:color="auto"/>
        <w:right w:val="none" w:sz="0" w:space="0" w:color="auto"/>
      </w:divBdr>
      <w:divsChild>
        <w:div w:id="270280545">
          <w:marLeft w:val="0"/>
          <w:marRight w:val="0"/>
          <w:marTop w:val="0"/>
          <w:marBottom w:val="0"/>
          <w:divBdr>
            <w:top w:val="none" w:sz="0" w:space="0" w:color="auto"/>
            <w:left w:val="none" w:sz="0" w:space="0" w:color="auto"/>
            <w:bottom w:val="none" w:sz="0" w:space="0" w:color="auto"/>
            <w:right w:val="none" w:sz="0" w:space="0" w:color="auto"/>
          </w:divBdr>
          <w:divsChild>
            <w:div w:id="1167330535">
              <w:marLeft w:val="0"/>
              <w:marRight w:val="0"/>
              <w:marTop w:val="0"/>
              <w:marBottom w:val="0"/>
              <w:divBdr>
                <w:top w:val="none" w:sz="0" w:space="0" w:color="auto"/>
                <w:left w:val="none" w:sz="0" w:space="0" w:color="auto"/>
                <w:bottom w:val="none" w:sz="0" w:space="0" w:color="auto"/>
                <w:right w:val="none" w:sz="0" w:space="0" w:color="auto"/>
              </w:divBdr>
              <w:divsChild>
                <w:div w:id="10449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301308242">
      <w:bodyDiv w:val="1"/>
      <w:marLeft w:val="0"/>
      <w:marRight w:val="0"/>
      <w:marTop w:val="0"/>
      <w:marBottom w:val="0"/>
      <w:divBdr>
        <w:top w:val="none" w:sz="0" w:space="0" w:color="auto"/>
        <w:left w:val="none" w:sz="0" w:space="0" w:color="auto"/>
        <w:bottom w:val="none" w:sz="0" w:space="0" w:color="auto"/>
        <w:right w:val="none" w:sz="0" w:space="0" w:color="auto"/>
      </w:divBdr>
    </w:div>
    <w:div w:id="1303971814">
      <w:bodyDiv w:val="1"/>
      <w:marLeft w:val="0"/>
      <w:marRight w:val="0"/>
      <w:marTop w:val="0"/>
      <w:marBottom w:val="0"/>
      <w:divBdr>
        <w:top w:val="none" w:sz="0" w:space="0" w:color="auto"/>
        <w:left w:val="none" w:sz="0" w:space="0" w:color="auto"/>
        <w:bottom w:val="none" w:sz="0" w:space="0" w:color="auto"/>
        <w:right w:val="none" w:sz="0" w:space="0" w:color="auto"/>
      </w:divBdr>
    </w:div>
    <w:div w:id="1338194961">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5057816">
      <w:bodyDiv w:val="1"/>
      <w:marLeft w:val="0"/>
      <w:marRight w:val="0"/>
      <w:marTop w:val="0"/>
      <w:marBottom w:val="0"/>
      <w:divBdr>
        <w:top w:val="none" w:sz="0" w:space="0" w:color="auto"/>
        <w:left w:val="none" w:sz="0" w:space="0" w:color="auto"/>
        <w:bottom w:val="none" w:sz="0" w:space="0" w:color="auto"/>
        <w:right w:val="none" w:sz="0" w:space="0" w:color="auto"/>
      </w:divBdr>
      <w:divsChild>
        <w:div w:id="1781027264">
          <w:marLeft w:val="0"/>
          <w:marRight w:val="0"/>
          <w:marTop w:val="0"/>
          <w:marBottom w:val="0"/>
          <w:divBdr>
            <w:top w:val="none" w:sz="0" w:space="0" w:color="auto"/>
            <w:left w:val="none" w:sz="0" w:space="0" w:color="auto"/>
            <w:bottom w:val="none" w:sz="0" w:space="0" w:color="auto"/>
            <w:right w:val="none" w:sz="0" w:space="0" w:color="auto"/>
          </w:divBdr>
          <w:divsChild>
            <w:div w:id="1799060415">
              <w:marLeft w:val="0"/>
              <w:marRight w:val="0"/>
              <w:marTop w:val="0"/>
              <w:marBottom w:val="0"/>
              <w:divBdr>
                <w:top w:val="none" w:sz="0" w:space="0" w:color="auto"/>
                <w:left w:val="none" w:sz="0" w:space="0" w:color="auto"/>
                <w:bottom w:val="none" w:sz="0" w:space="0" w:color="auto"/>
                <w:right w:val="none" w:sz="0" w:space="0" w:color="auto"/>
              </w:divBdr>
              <w:divsChild>
                <w:div w:id="11694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379165788">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27650699">
      <w:bodyDiv w:val="1"/>
      <w:marLeft w:val="0"/>
      <w:marRight w:val="0"/>
      <w:marTop w:val="0"/>
      <w:marBottom w:val="0"/>
      <w:divBdr>
        <w:top w:val="none" w:sz="0" w:space="0" w:color="auto"/>
        <w:left w:val="none" w:sz="0" w:space="0" w:color="auto"/>
        <w:bottom w:val="none" w:sz="0" w:space="0" w:color="auto"/>
        <w:right w:val="none" w:sz="0" w:space="0" w:color="auto"/>
      </w:divBdr>
    </w:div>
    <w:div w:id="1456019571">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495418713">
      <w:bodyDiv w:val="1"/>
      <w:marLeft w:val="0"/>
      <w:marRight w:val="0"/>
      <w:marTop w:val="0"/>
      <w:marBottom w:val="0"/>
      <w:divBdr>
        <w:top w:val="none" w:sz="0" w:space="0" w:color="auto"/>
        <w:left w:val="none" w:sz="0" w:space="0" w:color="auto"/>
        <w:bottom w:val="none" w:sz="0" w:space="0" w:color="auto"/>
        <w:right w:val="none" w:sz="0" w:space="0" w:color="auto"/>
      </w:divBdr>
      <w:divsChild>
        <w:div w:id="1962030366">
          <w:marLeft w:val="0"/>
          <w:marRight w:val="0"/>
          <w:marTop w:val="0"/>
          <w:marBottom w:val="0"/>
          <w:divBdr>
            <w:top w:val="none" w:sz="0" w:space="0" w:color="auto"/>
            <w:left w:val="none" w:sz="0" w:space="0" w:color="auto"/>
            <w:bottom w:val="none" w:sz="0" w:space="0" w:color="auto"/>
            <w:right w:val="none" w:sz="0" w:space="0" w:color="auto"/>
          </w:divBdr>
          <w:divsChild>
            <w:div w:id="180244028">
              <w:marLeft w:val="0"/>
              <w:marRight w:val="0"/>
              <w:marTop w:val="0"/>
              <w:marBottom w:val="0"/>
              <w:divBdr>
                <w:top w:val="none" w:sz="0" w:space="0" w:color="auto"/>
                <w:left w:val="none" w:sz="0" w:space="0" w:color="auto"/>
                <w:bottom w:val="none" w:sz="0" w:space="0" w:color="auto"/>
                <w:right w:val="none" w:sz="0" w:space="0" w:color="auto"/>
              </w:divBdr>
              <w:divsChild>
                <w:div w:id="139489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63679">
      <w:bodyDiv w:val="1"/>
      <w:marLeft w:val="0"/>
      <w:marRight w:val="0"/>
      <w:marTop w:val="0"/>
      <w:marBottom w:val="0"/>
      <w:divBdr>
        <w:top w:val="none" w:sz="0" w:space="0" w:color="auto"/>
        <w:left w:val="none" w:sz="0" w:space="0" w:color="auto"/>
        <w:bottom w:val="none" w:sz="0" w:space="0" w:color="auto"/>
        <w:right w:val="none" w:sz="0" w:space="0" w:color="auto"/>
      </w:divBdr>
    </w:div>
    <w:div w:id="1504976276">
      <w:bodyDiv w:val="1"/>
      <w:marLeft w:val="0"/>
      <w:marRight w:val="0"/>
      <w:marTop w:val="0"/>
      <w:marBottom w:val="0"/>
      <w:divBdr>
        <w:top w:val="none" w:sz="0" w:space="0" w:color="auto"/>
        <w:left w:val="none" w:sz="0" w:space="0" w:color="auto"/>
        <w:bottom w:val="none" w:sz="0" w:space="0" w:color="auto"/>
        <w:right w:val="none" w:sz="0" w:space="0" w:color="auto"/>
      </w:divBdr>
      <w:divsChild>
        <w:div w:id="1493447662">
          <w:marLeft w:val="0"/>
          <w:marRight w:val="0"/>
          <w:marTop w:val="0"/>
          <w:marBottom w:val="0"/>
          <w:divBdr>
            <w:top w:val="none" w:sz="0" w:space="0" w:color="auto"/>
            <w:left w:val="none" w:sz="0" w:space="0" w:color="auto"/>
            <w:bottom w:val="none" w:sz="0" w:space="0" w:color="auto"/>
            <w:right w:val="none" w:sz="0" w:space="0" w:color="auto"/>
          </w:divBdr>
          <w:divsChild>
            <w:div w:id="2102334688">
              <w:marLeft w:val="0"/>
              <w:marRight w:val="0"/>
              <w:marTop w:val="0"/>
              <w:marBottom w:val="0"/>
              <w:divBdr>
                <w:top w:val="none" w:sz="0" w:space="0" w:color="auto"/>
                <w:left w:val="none" w:sz="0" w:space="0" w:color="auto"/>
                <w:bottom w:val="none" w:sz="0" w:space="0" w:color="auto"/>
                <w:right w:val="none" w:sz="0" w:space="0" w:color="auto"/>
              </w:divBdr>
              <w:divsChild>
                <w:div w:id="17025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86446">
      <w:bodyDiv w:val="1"/>
      <w:marLeft w:val="0"/>
      <w:marRight w:val="0"/>
      <w:marTop w:val="0"/>
      <w:marBottom w:val="0"/>
      <w:divBdr>
        <w:top w:val="none" w:sz="0" w:space="0" w:color="auto"/>
        <w:left w:val="none" w:sz="0" w:space="0" w:color="auto"/>
        <w:bottom w:val="none" w:sz="0" w:space="0" w:color="auto"/>
        <w:right w:val="none" w:sz="0" w:space="0" w:color="auto"/>
      </w:divBdr>
    </w:div>
    <w:div w:id="1518277642">
      <w:bodyDiv w:val="1"/>
      <w:marLeft w:val="0"/>
      <w:marRight w:val="0"/>
      <w:marTop w:val="0"/>
      <w:marBottom w:val="0"/>
      <w:divBdr>
        <w:top w:val="none" w:sz="0" w:space="0" w:color="auto"/>
        <w:left w:val="none" w:sz="0" w:space="0" w:color="auto"/>
        <w:bottom w:val="none" w:sz="0" w:space="0" w:color="auto"/>
        <w:right w:val="none" w:sz="0" w:space="0" w:color="auto"/>
      </w:divBdr>
      <w:divsChild>
        <w:div w:id="1839692357">
          <w:marLeft w:val="0"/>
          <w:marRight w:val="0"/>
          <w:marTop w:val="0"/>
          <w:marBottom w:val="0"/>
          <w:divBdr>
            <w:top w:val="none" w:sz="0" w:space="0" w:color="auto"/>
            <w:left w:val="none" w:sz="0" w:space="0" w:color="auto"/>
            <w:bottom w:val="none" w:sz="0" w:space="0" w:color="auto"/>
            <w:right w:val="none" w:sz="0" w:space="0" w:color="auto"/>
          </w:divBdr>
          <w:divsChild>
            <w:div w:id="1596091556">
              <w:marLeft w:val="0"/>
              <w:marRight w:val="0"/>
              <w:marTop w:val="0"/>
              <w:marBottom w:val="0"/>
              <w:divBdr>
                <w:top w:val="none" w:sz="0" w:space="0" w:color="auto"/>
                <w:left w:val="none" w:sz="0" w:space="0" w:color="auto"/>
                <w:bottom w:val="none" w:sz="0" w:space="0" w:color="auto"/>
                <w:right w:val="none" w:sz="0" w:space="0" w:color="auto"/>
              </w:divBdr>
              <w:divsChild>
                <w:div w:id="6490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20867">
      <w:bodyDiv w:val="1"/>
      <w:marLeft w:val="0"/>
      <w:marRight w:val="0"/>
      <w:marTop w:val="0"/>
      <w:marBottom w:val="0"/>
      <w:divBdr>
        <w:top w:val="none" w:sz="0" w:space="0" w:color="auto"/>
        <w:left w:val="none" w:sz="0" w:space="0" w:color="auto"/>
        <w:bottom w:val="none" w:sz="0" w:space="0" w:color="auto"/>
        <w:right w:val="none" w:sz="0" w:space="0" w:color="auto"/>
      </w:divBdr>
      <w:divsChild>
        <w:div w:id="1360004739">
          <w:marLeft w:val="0"/>
          <w:marRight w:val="0"/>
          <w:marTop w:val="0"/>
          <w:marBottom w:val="0"/>
          <w:divBdr>
            <w:top w:val="none" w:sz="0" w:space="0" w:color="auto"/>
            <w:left w:val="none" w:sz="0" w:space="0" w:color="auto"/>
            <w:bottom w:val="none" w:sz="0" w:space="0" w:color="auto"/>
            <w:right w:val="none" w:sz="0" w:space="0" w:color="auto"/>
          </w:divBdr>
          <w:divsChild>
            <w:div w:id="638849781">
              <w:marLeft w:val="0"/>
              <w:marRight w:val="0"/>
              <w:marTop w:val="0"/>
              <w:marBottom w:val="0"/>
              <w:divBdr>
                <w:top w:val="none" w:sz="0" w:space="0" w:color="auto"/>
                <w:left w:val="none" w:sz="0" w:space="0" w:color="auto"/>
                <w:bottom w:val="none" w:sz="0" w:space="0" w:color="auto"/>
                <w:right w:val="none" w:sz="0" w:space="0" w:color="auto"/>
              </w:divBdr>
              <w:divsChild>
                <w:div w:id="83410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869084">
      <w:bodyDiv w:val="1"/>
      <w:marLeft w:val="0"/>
      <w:marRight w:val="0"/>
      <w:marTop w:val="0"/>
      <w:marBottom w:val="0"/>
      <w:divBdr>
        <w:top w:val="none" w:sz="0" w:space="0" w:color="auto"/>
        <w:left w:val="none" w:sz="0" w:space="0" w:color="auto"/>
        <w:bottom w:val="none" w:sz="0" w:space="0" w:color="auto"/>
        <w:right w:val="none" w:sz="0" w:space="0" w:color="auto"/>
      </w:divBdr>
      <w:divsChild>
        <w:div w:id="952053375">
          <w:marLeft w:val="0"/>
          <w:marRight w:val="0"/>
          <w:marTop w:val="0"/>
          <w:marBottom w:val="0"/>
          <w:divBdr>
            <w:top w:val="none" w:sz="0" w:space="0" w:color="auto"/>
            <w:left w:val="none" w:sz="0" w:space="0" w:color="auto"/>
            <w:bottom w:val="none" w:sz="0" w:space="0" w:color="auto"/>
            <w:right w:val="none" w:sz="0" w:space="0" w:color="auto"/>
          </w:divBdr>
          <w:divsChild>
            <w:div w:id="1921057276">
              <w:marLeft w:val="0"/>
              <w:marRight w:val="0"/>
              <w:marTop w:val="0"/>
              <w:marBottom w:val="0"/>
              <w:divBdr>
                <w:top w:val="none" w:sz="0" w:space="0" w:color="auto"/>
                <w:left w:val="none" w:sz="0" w:space="0" w:color="auto"/>
                <w:bottom w:val="none" w:sz="0" w:space="0" w:color="auto"/>
                <w:right w:val="none" w:sz="0" w:space="0" w:color="auto"/>
              </w:divBdr>
              <w:divsChild>
                <w:div w:id="667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5609">
      <w:bodyDiv w:val="1"/>
      <w:marLeft w:val="0"/>
      <w:marRight w:val="0"/>
      <w:marTop w:val="0"/>
      <w:marBottom w:val="0"/>
      <w:divBdr>
        <w:top w:val="none" w:sz="0" w:space="0" w:color="auto"/>
        <w:left w:val="none" w:sz="0" w:space="0" w:color="auto"/>
        <w:bottom w:val="none" w:sz="0" w:space="0" w:color="auto"/>
        <w:right w:val="none" w:sz="0" w:space="0" w:color="auto"/>
      </w:divBdr>
    </w:div>
    <w:div w:id="1590696489">
      <w:bodyDiv w:val="1"/>
      <w:marLeft w:val="0"/>
      <w:marRight w:val="0"/>
      <w:marTop w:val="0"/>
      <w:marBottom w:val="0"/>
      <w:divBdr>
        <w:top w:val="none" w:sz="0" w:space="0" w:color="auto"/>
        <w:left w:val="none" w:sz="0" w:space="0" w:color="auto"/>
        <w:bottom w:val="none" w:sz="0" w:space="0" w:color="auto"/>
        <w:right w:val="none" w:sz="0" w:space="0" w:color="auto"/>
      </w:divBdr>
      <w:divsChild>
        <w:div w:id="1105075468">
          <w:marLeft w:val="0"/>
          <w:marRight w:val="0"/>
          <w:marTop w:val="0"/>
          <w:marBottom w:val="0"/>
          <w:divBdr>
            <w:top w:val="none" w:sz="0" w:space="0" w:color="auto"/>
            <w:left w:val="none" w:sz="0" w:space="0" w:color="auto"/>
            <w:bottom w:val="none" w:sz="0" w:space="0" w:color="auto"/>
            <w:right w:val="none" w:sz="0" w:space="0" w:color="auto"/>
          </w:divBdr>
          <w:divsChild>
            <w:div w:id="107895012">
              <w:marLeft w:val="0"/>
              <w:marRight w:val="0"/>
              <w:marTop w:val="0"/>
              <w:marBottom w:val="0"/>
              <w:divBdr>
                <w:top w:val="none" w:sz="0" w:space="0" w:color="auto"/>
                <w:left w:val="none" w:sz="0" w:space="0" w:color="auto"/>
                <w:bottom w:val="none" w:sz="0" w:space="0" w:color="auto"/>
                <w:right w:val="none" w:sz="0" w:space="0" w:color="auto"/>
              </w:divBdr>
              <w:divsChild>
                <w:div w:id="8836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606886540">
      <w:bodyDiv w:val="1"/>
      <w:marLeft w:val="0"/>
      <w:marRight w:val="0"/>
      <w:marTop w:val="0"/>
      <w:marBottom w:val="0"/>
      <w:divBdr>
        <w:top w:val="none" w:sz="0" w:space="0" w:color="auto"/>
        <w:left w:val="none" w:sz="0" w:space="0" w:color="auto"/>
        <w:bottom w:val="none" w:sz="0" w:space="0" w:color="auto"/>
        <w:right w:val="none" w:sz="0" w:space="0" w:color="auto"/>
      </w:divBdr>
    </w:div>
    <w:div w:id="1625964556">
      <w:bodyDiv w:val="1"/>
      <w:marLeft w:val="0"/>
      <w:marRight w:val="0"/>
      <w:marTop w:val="0"/>
      <w:marBottom w:val="0"/>
      <w:divBdr>
        <w:top w:val="none" w:sz="0" w:space="0" w:color="auto"/>
        <w:left w:val="none" w:sz="0" w:space="0" w:color="auto"/>
        <w:bottom w:val="none" w:sz="0" w:space="0" w:color="auto"/>
        <w:right w:val="none" w:sz="0" w:space="0" w:color="auto"/>
      </w:divBdr>
      <w:divsChild>
        <w:div w:id="387732695">
          <w:marLeft w:val="0"/>
          <w:marRight w:val="0"/>
          <w:marTop w:val="0"/>
          <w:marBottom w:val="0"/>
          <w:divBdr>
            <w:top w:val="none" w:sz="0" w:space="0" w:color="auto"/>
            <w:left w:val="none" w:sz="0" w:space="0" w:color="auto"/>
            <w:bottom w:val="none" w:sz="0" w:space="0" w:color="auto"/>
            <w:right w:val="none" w:sz="0" w:space="0" w:color="auto"/>
          </w:divBdr>
          <w:divsChild>
            <w:div w:id="169607287">
              <w:marLeft w:val="0"/>
              <w:marRight w:val="0"/>
              <w:marTop w:val="0"/>
              <w:marBottom w:val="0"/>
              <w:divBdr>
                <w:top w:val="none" w:sz="0" w:space="0" w:color="auto"/>
                <w:left w:val="none" w:sz="0" w:space="0" w:color="auto"/>
                <w:bottom w:val="none" w:sz="0" w:space="0" w:color="auto"/>
                <w:right w:val="none" w:sz="0" w:space="0" w:color="auto"/>
              </w:divBdr>
              <w:divsChild>
                <w:div w:id="1233736977">
                  <w:marLeft w:val="0"/>
                  <w:marRight w:val="0"/>
                  <w:marTop w:val="0"/>
                  <w:marBottom w:val="0"/>
                  <w:divBdr>
                    <w:top w:val="none" w:sz="0" w:space="0" w:color="auto"/>
                    <w:left w:val="none" w:sz="0" w:space="0" w:color="auto"/>
                    <w:bottom w:val="none" w:sz="0" w:space="0" w:color="auto"/>
                    <w:right w:val="none" w:sz="0" w:space="0" w:color="auto"/>
                  </w:divBdr>
                </w:div>
              </w:divsChild>
            </w:div>
            <w:div w:id="1626960074">
              <w:marLeft w:val="0"/>
              <w:marRight w:val="0"/>
              <w:marTop w:val="0"/>
              <w:marBottom w:val="0"/>
              <w:divBdr>
                <w:top w:val="none" w:sz="0" w:space="0" w:color="auto"/>
                <w:left w:val="none" w:sz="0" w:space="0" w:color="auto"/>
                <w:bottom w:val="none" w:sz="0" w:space="0" w:color="auto"/>
                <w:right w:val="none" w:sz="0" w:space="0" w:color="auto"/>
              </w:divBdr>
              <w:divsChild>
                <w:div w:id="27873367">
                  <w:marLeft w:val="0"/>
                  <w:marRight w:val="0"/>
                  <w:marTop w:val="0"/>
                  <w:marBottom w:val="0"/>
                  <w:divBdr>
                    <w:top w:val="none" w:sz="0" w:space="0" w:color="auto"/>
                    <w:left w:val="none" w:sz="0" w:space="0" w:color="auto"/>
                    <w:bottom w:val="none" w:sz="0" w:space="0" w:color="auto"/>
                    <w:right w:val="none" w:sz="0" w:space="0" w:color="auto"/>
                  </w:divBdr>
                  <w:divsChild>
                    <w:div w:id="921719267">
                      <w:marLeft w:val="0"/>
                      <w:marRight w:val="0"/>
                      <w:marTop w:val="0"/>
                      <w:marBottom w:val="0"/>
                      <w:divBdr>
                        <w:top w:val="none" w:sz="0" w:space="0" w:color="auto"/>
                        <w:left w:val="none" w:sz="0" w:space="0" w:color="auto"/>
                        <w:bottom w:val="none" w:sz="0" w:space="0" w:color="auto"/>
                        <w:right w:val="none" w:sz="0" w:space="0" w:color="auto"/>
                      </w:divBdr>
                    </w:div>
                  </w:divsChild>
                </w:div>
                <w:div w:id="45107595">
                  <w:marLeft w:val="0"/>
                  <w:marRight w:val="0"/>
                  <w:marTop w:val="0"/>
                  <w:marBottom w:val="0"/>
                  <w:divBdr>
                    <w:top w:val="none" w:sz="0" w:space="0" w:color="auto"/>
                    <w:left w:val="none" w:sz="0" w:space="0" w:color="auto"/>
                    <w:bottom w:val="none" w:sz="0" w:space="0" w:color="auto"/>
                    <w:right w:val="none" w:sz="0" w:space="0" w:color="auto"/>
                  </w:divBdr>
                  <w:divsChild>
                    <w:div w:id="1082023849">
                      <w:marLeft w:val="0"/>
                      <w:marRight w:val="0"/>
                      <w:marTop w:val="0"/>
                      <w:marBottom w:val="0"/>
                      <w:divBdr>
                        <w:top w:val="none" w:sz="0" w:space="0" w:color="auto"/>
                        <w:left w:val="none" w:sz="0" w:space="0" w:color="auto"/>
                        <w:bottom w:val="none" w:sz="0" w:space="0" w:color="auto"/>
                        <w:right w:val="none" w:sz="0" w:space="0" w:color="auto"/>
                      </w:divBdr>
                    </w:div>
                  </w:divsChild>
                </w:div>
                <w:div w:id="318927363">
                  <w:marLeft w:val="0"/>
                  <w:marRight w:val="0"/>
                  <w:marTop w:val="0"/>
                  <w:marBottom w:val="0"/>
                  <w:divBdr>
                    <w:top w:val="none" w:sz="0" w:space="0" w:color="auto"/>
                    <w:left w:val="none" w:sz="0" w:space="0" w:color="auto"/>
                    <w:bottom w:val="none" w:sz="0" w:space="0" w:color="auto"/>
                    <w:right w:val="none" w:sz="0" w:space="0" w:color="auto"/>
                  </w:divBdr>
                  <w:divsChild>
                    <w:div w:id="61876671">
                      <w:marLeft w:val="0"/>
                      <w:marRight w:val="0"/>
                      <w:marTop w:val="0"/>
                      <w:marBottom w:val="0"/>
                      <w:divBdr>
                        <w:top w:val="none" w:sz="0" w:space="0" w:color="auto"/>
                        <w:left w:val="none" w:sz="0" w:space="0" w:color="auto"/>
                        <w:bottom w:val="none" w:sz="0" w:space="0" w:color="auto"/>
                        <w:right w:val="none" w:sz="0" w:space="0" w:color="auto"/>
                      </w:divBdr>
                    </w:div>
                  </w:divsChild>
                </w:div>
                <w:div w:id="586816337">
                  <w:marLeft w:val="0"/>
                  <w:marRight w:val="0"/>
                  <w:marTop w:val="0"/>
                  <w:marBottom w:val="0"/>
                  <w:divBdr>
                    <w:top w:val="none" w:sz="0" w:space="0" w:color="auto"/>
                    <w:left w:val="none" w:sz="0" w:space="0" w:color="auto"/>
                    <w:bottom w:val="none" w:sz="0" w:space="0" w:color="auto"/>
                    <w:right w:val="none" w:sz="0" w:space="0" w:color="auto"/>
                  </w:divBdr>
                  <w:divsChild>
                    <w:div w:id="1876193469">
                      <w:marLeft w:val="0"/>
                      <w:marRight w:val="0"/>
                      <w:marTop w:val="0"/>
                      <w:marBottom w:val="0"/>
                      <w:divBdr>
                        <w:top w:val="none" w:sz="0" w:space="0" w:color="auto"/>
                        <w:left w:val="none" w:sz="0" w:space="0" w:color="auto"/>
                        <w:bottom w:val="none" w:sz="0" w:space="0" w:color="auto"/>
                        <w:right w:val="none" w:sz="0" w:space="0" w:color="auto"/>
                      </w:divBdr>
                    </w:div>
                  </w:divsChild>
                </w:div>
                <w:div w:id="1211461517">
                  <w:marLeft w:val="0"/>
                  <w:marRight w:val="0"/>
                  <w:marTop w:val="0"/>
                  <w:marBottom w:val="0"/>
                  <w:divBdr>
                    <w:top w:val="none" w:sz="0" w:space="0" w:color="auto"/>
                    <w:left w:val="none" w:sz="0" w:space="0" w:color="auto"/>
                    <w:bottom w:val="none" w:sz="0" w:space="0" w:color="auto"/>
                    <w:right w:val="none" w:sz="0" w:space="0" w:color="auto"/>
                  </w:divBdr>
                  <w:divsChild>
                    <w:div w:id="2028285563">
                      <w:marLeft w:val="0"/>
                      <w:marRight w:val="0"/>
                      <w:marTop w:val="0"/>
                      <w:marBottom w:val="0"/>
                      <w:divBdr>
                        <w:top w:val="none" w:sz="0" w:space="0" w:color="auto"/>
                        <w:left w:val="none" w:sz="0" w:space="0" w:color="auto"/>
                        <w:bottom w:val="none" w:sz="0" w:space="0" w:color="auto"/>
                        <w:right w:val="none" w:sz="0" w:space="0" w:color="auto"/>
                      </w:divBdr>
                    </w:div>
                  </w:divsChild>
                </w:div>
                <w:div w:id="1560089554">
                  <w:marLeft w:val="0"/>
                  <w:marRight w:val="0"/>
                  <w:marTop w:val="0"/>
                  <w:marBottom w:val="0"/>
                  <w:divBdr>
                    <w:top w:val="none" w:sz="0" w:space="0" w:color="auto"/>
                    <w:left w:val="none" w:sz="0" w:space="0" w:color="auto"/>
                    <w:bottom w:val="none" w:sz="0" w:space="0" w:color="auto"/>
                    <w:right w:val="none" w:sz="0" w:space="0" w:color="auto"/>
                  </w:divBdr>
                  <w:divsChild>
                    <w:div w:id="425808070">
                      <w:marLeft w:val="0"/>
                      <w:marRight w:val="0"/>
                      <w:marTop w:val="0"/>
                      <w:marBottom w:val="0"/>
                      <w:divBdr>
                        <w:top w:val="none" w:sz="0" w:space="0" w:color="auto"/>
                        <w:left w:val="none" w:sz="0" w:space="0" w:color="auto"/>
                        <w:bottom w:val="none" w:sz="0" w:space="0" w:color="auto"/>
                        <w:right w:val="none" w:sz="0" w:space="0" w:color="auto"/>
                      </w:divBdr>
                    </w:div>
                  </w:divsChild>
                </w:div>
                <w:div w:id="1641493596">
                  <w:marLeft w:val="0"/>
                  <w:marRight w:val="0"/>
                  <w:marTop w:val="0"/>
                  <w:marBottom w:val="0"/>
                  <w:divBdr>
                    <w:top w:val="none" w:sz="0" w:space="0" w:color="auto"/>
                    <w:left w:val="none" w:sz="0" w:space="0" w:color="auto"/>
                    <w:bottom w:val="none" w:sz="0" w:space="0" w:color="auto"/>
                    <w:right w:val="none" w:sz="0" w:space="0" w:color="auto"/>
                  </w:divBdr>
                  <w:divsChild>
                    <w:div w:id="121117660">
                      <w:marLeft w:val="0"/>
                      <w:marRight w:val="0"/>
                      <w:marTop w:val="0"/>
                      <w:marBottom w:val="0"/>
                      <w:divBdr>
                        <w:top w:val="none" w:sz="0" w:space="0" w:color="auto"/>
                        <w:left w:val="none" w:sz="0" w:space="0" w:color="auto"/>
                        <w:bottom w:val="none" w:sz="0" w:space="0" w:color="auto"/>
                        <w:right w:val="none" w:sz="0" w:space="0" w:color="auto"/>
                      </w:divBdr>
                    </w:div>
                  </w:divsChild>
                </w:div>
                <w:div w:id="1809933605">
                  <w:marLeft w:val="0"/>
                  <w:marRight w:val="0"/>
                  <w:marTop w:val="0"/>
                  <w:marBottom w:val="0"/>
                  <w:divBdr>
                    <w:top w:val="none" w:sz="0" w:space="0" w:color="auto"/>
                    <w:left w:val="none" w:sz="0" w:space="0" w:color="auto"/>
                    <w:bottom w:val="none" w:sz="0" w:space="0" w:color="auto"/>
                    <w:right w:val="none" w:sz="0" w:space="0" w:color="auto"/>
                  </w:divBdr>
                  <w:divsChild>
                    <w:div w:id="13414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5970">
      <w:bodyDiv w:val="1"/>
      <w:marLeft w:val="0"/>
      <w:marRight w:val="0"/>
      <w:marTop w:val="0"/>
      <w:marBottom w:val="0"/>
      <w:divBdr>
        <w:top w:val="none" w:sz="0" w:space="0" w:color="auto"/>
        <w:left w:val="none" w:sz="0" w:space="0" w:color="auto"/>
        <w:bottom w:val="none" w:sz="0" w:space="0" w:color="auto"/>
        <w:right w:val="none" w:sz="0" w:space="0" w:color="auto"/>
      </w:divBdr>
      <w:divsChild>
        <w:div w:id="466440167">
          <w:marLeft w:val="0"/>
          <w:marRight w:val="0"/>
          <w:marTop w:val="0"/>
          <w:marBottom w:val="0"/>
          <w:divBdr>
            <w:top w:val="none" w:sz="0" w:space="0" w:color="auto"/>
            <w:left w:val="none" w:sz="0" w:space="0" w:color="auto"/>
            <w:bottom w:val="none" w:sz="0" w:space="0" w:color="auto"/>
            <w:right w:val="none" w:sz="0" w:space="0" w:color="auto"/>
          </w:divBdr>
          <w:divsChild>
            <w:div w:id="189077356">
              <w:marLeft w:val="0"/>
              <w:marRight w:val="0"/>
              <w:marTop w:val="0"/>
              <w:marBottom w:val="0"/>
              <w:divBdr>
                <w:top w:val="none" w:sz="0" w:space="0" w:color="auto"/>
                <w:left w:val="none" w:sz="0" w:space="0" w:color="auto"/>
                <w:bottom w:val="none" w:sz="0" w:space="0" w:color="auto"/>
                <w:right w:val="none" w:sz="0" w:space="0" w:color="auto"/>
              </w:divBdr>
              <w:divsChild>
                <w:div w:id="667908955">
                  <w:marLeft w:val="0"/>
                  <w:marRight w:val="0"/>
                  <w:marTop w:val="0"/>
                  <w:marBottom w:val="0"/>
                  <w:divBdr>
                    <w:top w:val="none" w:sz="0" w:space="0" w:color="auto"/>
                    <w:left w:val="none" w:sz="0" w:space="0" w:color="auto"/>
                    <w:bottom w:val="none" w:sz="0" w:space="0" w:color="auto"/>
                    <w:right w:val="none" w:sz="0" w:space="0" w:color="auto"/>
                  </w:divBdr>
                </w:div>
              </w:divsChild>
            </w:div>
            <w:div w:id="380058597">
              <w:marLeft w:val="0"/>
              <w:marRight w:val="0"/>
              <w:marTop w:val="0"/>
              <w:marBottom w:val="0"/>
              <w:divBdr>
                <w:top w:val="none" w:sz="0" w:space="0" w:color="auto"/>
                <w:left w:val="none" w:sz="0" w:space="0" w:color="auto"/>
                <w:bottom w:val="none" w:sz="0" w:space="0" w:color="auto"/>
                <w:right w:val="none" w:sz="0" w:space="0" w:color="auto"/>
              </w:divBdr>
              <w:divsChild>
                <w:div w:id="1376194521">
                  <w:marLeft w:val="0"/>
                  <w:marRight w:val="0"/>
                  <w:marTop w:val="0"/>
                  <w:marBottom w:val="0"/>
                  <w:divBdr>
                    <w:top w:val="none" w:sz="0" w:space="0" w:color="auto"/>
                    <w:left w:val="none" w:sz="0" w:space="0" w:color="auto"/>
                    <w:bottom w:val="none" w:sz="0" w:space="0" w:color="auto"/>
                    <w:right w:val="none" w:sz="0" w:space="0" w:color="auto"/>
                  </w:divBdr>
                </w:div>
              </w:divsChild>
            </w:div>
            <w:div w:id="702170006">
              <w:marLeft w:val="0"/>
              <w:marRight w:val="0"/>
              <w:marTop w:val="0"/>
              <w:marBottom w:val="0"/>
              <w:divBdr>
                <w:top w:val="none" w:sz="0" w:space="0" w:color="auto"/>
                <w:left w:val="none" w:sz="0" w:space="0" w:color="auto"/>
                <w:bottom w:val="none" w:sz="0" w:space="0" w:color="auto"/>
                <w:right w:val="none" w:sz="0" w:space="0" w:color="auto"/>
              </w:divBdr>
              <w:divsChild>
                <w:div w:id="560143927">
                  <w:marLeft w:val="0"/>
                  <w:marRight w:val="0"/>
                  <w:marTop w:val="0"/>
                  <w:marBottom w:val="0"/>
                  <w:divBdr>
                    <w:top w:val="none" w:sz="0" w:space="0" w:color="auto"/>
                    <w:left w:val="none" w:sz="0" w:space="0" w:color="auto"/>
                    <w:bottom w:val="none" w:sz="0" w:space="0" w:color="auto"/>
                    <w:right w:val="none" w:sz="0" w:space="0" w:color="auto"/>
                  </w:divBdr>
                </w:div>
              </w:divsChild>
            </w:div>
            <w:div w:id="1000692117">
              <w:marLeft w:val="0"/>
              <w:marRight w:val="0"/>
              <w:marTop w:val="0"/>
              <w:marBottom w:val="0"/>
              <w:divBdr>
                <w:top w:val="none" w:sz="0" w:space="0" w:color="auto"/>
                <w:left w:val="none" w:sz="0" w:space="0" w:color="auto"/>
                <w:bottom w:val="none" w:sz="0" w:space="0" w:color="auto"/>
                <w:right w:val="none" w:sz="0" w:space="0" w:color="auto"/>
              </w:divBdr>
              <w:divsChild>
                <w:div w:id="1904413228">
                  <w:marLeft w:val="0"/>
                  <w:marRight w:val="0"/>
                  <w:marTop w:val="0"/>
                  <w:marBottom w:val="0"/>
                  <w:divBdr>
                    <w:top w:val="none" w:sz="0" w:space="0" w:color="auto"/>
                    <w:left w:val="none" w:sz="0" w:space="0" w:color="auto"/>
                    <w:bottom w:val="none" w:sz="0" w:space="0" w:color="auto"/>
                    <w:right w:val="none" w:sz="0" w:space="0" w:color="auto"/>
                  </w:divBdr>
                </w:div>
              </w:divsChild>
            </w:div>
            <w:div w:id="1412040110">
              <w:marLeft w:val="0"/>
              <w:marRight w:val="0"/>
              <w:marTop w:val="0"/>
              <w:marBottom w:val="0"/>
              <w:divBdr>
                <w:top w:val="none" w:sz="0" w:space="0" w:color="auto"/>
                <w:left w:val="none" w:sz="0" w:space="0" w:color="auto"/>
                <w:bottom w:val="none" w:sz="0" w:space="0" w:color="auto"/>
                <w:right w:val="none" w:sz="0" w:space="0" w:color="auto"/>
              </w:divBdr>
              <w:divsChild>
                <w:div w:id="612633503">
                  <w:marLeft w:val="0"/>
                  <w:marRight w:val="0"/>
                  <w:marTop w:val="0"/>
                  <w:marBottom w:val="0"/>
                  <w:divBdr>
                    <w:top w:val="none" w:sz="0" w:space="0" w:color="auto"/>
                    <w:left w:val="none" w:sz="0" w:space="0" w:color="auto"/>
                    <w:bottom w:val="none" w:sz="0" w:space="0" w:color="auto"/>
                    <w:right w:val="none" w:sz="0" w:space="0" w:color="auto"/>
                  </w:divBdr>
                </w:div>
              </w:divsChild>
            </w:div>
            <w:div w:id="1452744960">
              <w:marLeft w:val="0"/>
              <w:marRight w:val="0"/>
              <w:marTop w:val="0"/>
              <w:marBottom w:val="0"/>
              <w:divBdr>
                <w:top w:val="none" w:sz="0" w:space="0" w:color="auto"/>
                <w:left w:val="none" w:sz="0" w:space="0" w:color="auto"/>
                <w:bottom w:val="none" w:sz="0" w:space="0" w:color="auto"/>
                <w:right w:val="none" w:sz="0" w:space="0" w:color="auto"/>
              </w:divBdr>
              <w:divsChild>
                <w:div w:id="86511075">
                  <w:marLeft w:val="0"/>
                  <w:marRight w:val="0"/>
                  <w:marTop w:val="0"/>
                  <w:marBottom w:val="0"/>
                  <w:divBdr>
                    <w:top w:val="none" w:sz="0" w:space="0" w:color="auto"/>
                    <w:left w:val="none" w:sz="0" w:space="0" w:color="auto"/>
                    <w:bottom w:val="none" w:sz="0" w:space="0" w:color="auto"/>
                    <w:right w:val="none" w:sz="0" w:space="0" w:color="auto"/>
                  </w:divBdr>
                  <w:divsChild>
                    <w:div w:id="182864451">
                      <w:marLeft w:val="0"/>
                      <w:marRight w:val="0"/>
                      <w:marTop w:val="0"/>
                      <w:marBottom w:val="0"/>
                      <w:divBdr>
                        <w:top w:val="none" w:sz="0" w:space="0" w:color="auto"/>
                        <w:left w:val="none" w:sz="0" w:space="0" w:color="auto"/>
                        <w:bottom w:val="none" w:sz="0" w:space="0" w:color="auto"/>
                        <w:right w:val="none" w:sz="0" w:space="0" w:color="auto"/>
                      </w:divBdr>
                    </w:div>
                  </w:divsChild>
                </w:div>
                <w:div w:id="260071830">
                  <w:marLeft w:val="0"/>
                  <w:marRight w:val="0"/>
                  <w:marTop w:val="0"/>
                  <w:marBottom w:val="0"/>
                  <w:divBdr>
                    <w:top w:val="none" w:sz="0" w:space="0" w:color="auto"/>
                    <w:left w:val="none" w:sz="0" w:space="0" w:color="auto"/>
                    <w:bottom w:val="none" w:sz="0" w:space="0" w:color="auto"/>
                    <w:right w:val="none" w:sz="0" w:space="0" w:color="auto"/>
                  </w:divBdr>
                  <w:divsChild>
                    <w:div w:id="589394996">
                      <w:marLeft w:val="0"/>
                      <w:marRight w:val="0"/>
                      <w:marTop w:val="0"/>
                      <w:marBottom w:val="0"/>
                      <w:divBdr>
                        <w:top w:val="none" w:sz="0" w:space="0" w:color="auto"/>
                        <w:left w:val="none" w:sz="0" w:space="0" w:color="auto"/>
                        <w:bottom w:val="none" w:sz="0" w:space="0" w:color="auto"/>
                        <w:right w:val="none" w:sz="0" w:space="0" w:color="auto"/>
                      </w:divBdr>
                    </w:div>
                  </w:divsChild>
                </w:div>
                <w:div w:id="508059534">
                  <w:marLeft w:val="0"/>
                  <w:marRight w:val="0"/>
                  <w:marTop w:val="0"/>
                  <w:marBottom w:val="0"/>
                  <w:divBdr>
                    <w:top w:val="none" w:sz="0" w:space="0" w:color="auto"/>
                    <w:left w:val="none" w:sz="0" w:space="0" w:color="auto"/>
                    <w:bottom w:val="none" w:sz="0" w:space="0" w:color="auto"/>
                    <w:right w:val="none" w:sz="0" w:space="0" w:color="auto"/>
                  </w:divBdr>
                  <w:divsChild>
                    <w:div w:id="1191451517">
                      <w:marLeft w:val="0"/>
                      <w:marRight w:val="0"/>
                      <w:marTop w:val="0"/>
                      <w:marBottom w:val="0"/>
                      <w:divBdr>
                        <w:top w:val="none" w:sz="0" w:space="0" w:color="auto"/>
                        <w:left w:val="none" w:sz="0" w:space="0" w:color="auto"/>
                        <w:bottom w:val="none" w:sz="0" w:space="0" w:color="auto"/>
                        <w:right w:val="none" w:sz="0" w:space="0" w:color="auto"/>
                      </w:divBdr>
                    </w:div>
                  </w:divsChild>
                </w:div>
                <w:div w:id="627516356">
                  <w:marLeft w:val="0"/>
                  <w:marRight w:val="0"/>
                  <w:marTop w:val="0"/>
                  <w:marBottom w:val="0"/>
                  <w:divBdr>
                    <w:top w:val="none" w:sz="0" w:space="0" w:color="auto"/>
                    <w:left w:val="none" w:sz="0" w:space="0" w:color="auto"/>
                    <w:bottom w:val="none" w:sz="0" w:space="0" w:color="auto"/>
                    <w:right w:val="none" w:sz="0" w:space="0" w:color="auto"/>
                  </w:divBdr>
                  <w:divsChild>
                    <w:div w:id="1096290306">
                      <w:marLeft w:val="0"/>
                      <w:marRight w:val="0"/>
                      <w:marTop w:val="0"/>
                      <w:marBottom w:val="0"/>
                      <w:divBdr>
                        <w:top w:val="none" w:sz="0" w:space="0" w:color="auto"/>
                        <w:left w:val="none" w:sz="0" w:space="0" w:color="auto"/>
                        <w:bottom w:val="none" w:sz="0" w:space="0" w:color="auto"/>
                        <w:right w:val="none" w:sz="0" w:space="0" w:color="auto"/>
                      </w:divBdr>
                    </w:div>
                  </w:divsChild>
                </w:div>
                <w:div w:id="1553803862">
                  <w:marLeft w:val="0"/>
                  <w:marRight w:val="0"/>
                  <w:marTop w:val="0"/>
                  <w:marBottom w:val="0"/>
                  <w:divBdr>
                    <w:top w:val="none" w:sz="0" w:space="0" w:color="auto"/>
                    <w:left w:val="none" w:sz="0" w:space="0" w:color="auto"/>
                    <w:bottom w:val="none" w:sz="0" w:space="0" w:color="auto"/>
                    <w:right w:val="none" w:sz="0" w:space="0" w:color="auto"/>
                  </w:divBdr>
                  <w:divsChild>
                    <w:div w:id="1593665399">
                      <w:marLeft w:val="0"/>
                      <w:marRight w:val="0"/>
                      <w:marTop w:val="0"/>
                      <w:marBottom w:val="0"/>
                      <w:divBdr>
                        <w:top w:val="none" w:sz="0" w:space="0" w:color="auto"/>
                        <w:left w:val="none" w:sz="0" w:space="0" w:color="auto"/>
                        <w:bottom w:val="none" w:sz="0" w:space="0" w:color="auto"/>
                        <w:right w:val="none" w:sz="0" w:space="0" w:color="auto"/>
                      </w:divBdr>
                    </w:div>
                  </w:divsChild>
                </w:div>
                <w:div w:id="1951162238">
                  <w:marLeft w:val="0"/>
                  <w:marRight w:val="0"/>
                  <w:marTop w:val="0"/>
                  <w:marBottom w:val="0"/>
                  <w:divBdr>
                    <w:top w:val="none" w:sz="0" w:space="0" w:color="auto"/>
                    <w:left w:val="none" w:sz="0" w:space="0" w:color="auto"/>
                    <w:bottom w:val="none" w:sz="0" w:space="0" w:color="auto"/>
                    <w:right w:val="none" w:sz="0" w:space="0" w:color="auto"/>
                  </w:divBdr>
                  <w:divsChild>
                    <w:div w:id="15370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2221">
              <w:marLeft w:val="0"/>
              <w:marRight w:val="0"/>
              <w:marTop w:val="0"/>
              <w:marBottom w:val="0"/>
              <w:divBdr>
                <w:top w:val="none" w:sz="0" w:space="0" w:color="auto"/>
                <w:left w:val="none" w:sz="0" w:space="0" w:color="auto"/>
                <w:bottom w:val="none" w:sz="0" w:space="0" w:color="auto"/>
                <w:right w:val="none" w:sz="0" w:space="0" w:color="auto"/>
              </w:divBdr>
              <w:divsChild>
                <w:div w:id="340160656">
                  <w:marLeft w:val="0"/>
                  <w:marRight w:val="0"/>
                  <w:marTop w:val="0"/>
                  <w:marBottom w:val="0"/>
                  <w:divBdr>
                    <w:top w:val="none" w:sz="0" w:space="0" w:color="auto"/>
                    <w:left w:val="none" w:sz="0" w:space="0" w:color="auto"/>
                    <w:bottom w:val="none" w:sz="0" w:space="0" w:color="auto"/>
                    <w:right w:val="none" w:sz="0" w:space="0" w:color="auto"/>
                  </w:divBdr>
                  <w:divsChild>
                    <w:div w:id="1821725289">
                      <w:marLeft w:val="0"/>
                      <w:marRight w:val="0"/>
                      <w:marTop w:val="0"/>
                      <w:marBottom w:val="0"/>
                      <w:divBdr>
                        <w:top w:val="none" w:sz="0" w:space="0" w:color="auto"/>
                        <w:left w:val="none" w:sz="0" w:space="0" w:color="auto"/>
                        <w:bottom w:val="none" w:sz="0" w:space="0" w:color="auto"/>
                        <w:right w:val="none" w:sz="0" w:space="0" w:color="auto"/>
                      </w:divBdr>
                    </w:div>
                  </w:divsChild>
                </w:div>
                <w:div w:id="447092362">
                  <w:marLeft w:val="0"/>
                  <w:marRight w:val="0"/>
                  <w:marTop w:val="0"/>
                  <w:marBottom w:val="0"/>
                  <w:divBdr>
                    <w:top w:val="none" w:sz="0" w:space="0" w:color="auto"/>
                    <w:left w:val="none" w:sz="0" w:space="0" w:color="auto"/>
                    <w:bottom w:val="none" w:sz="0" w:space="0" w:color="auto"/>
                    <w:right w:val="none" w:sz="0" w:space="0" w:color="auto"/>
                  </w:divBdr>
                  <w:divsChild>
                    <w:div w:id="1186481000">
                      <w:marLeft w:val="0"/>
                      <w:marRight w:val="0"/>
                      <w:marTop w:val="0"/>
                      <w:marBottom w:val="0"/>
                      <w:divBdr>
                        <w:top w:val="none" w:sz="0" w:space="0" w:color="auto"/>
                        <w:left w:val="none" w:sz="0" w:space="0" w:color="auto"/>
                        <w:bottom w:val="none" w:sz="0" w:space="0" w:color="auto"/>
                        <w:right w:val="none" w:sz="0" w:space="0" w:color="auto"/>
                      </w:divBdr>
                    </w:div>
                  </w:divsChild>
                </w:div>
                <w:div w:id="1352757585">
                  <w:marLeft w:val="0"/>
                  <w:marRight w:val="0"/>
                  <w:marTop w:val="0"/>
                  <w:marBottom w:val="0"/>
                  <w:divBdr>
                    <w:top w:val="none" w:sz="0" w:space="0" w:color="auto"/>
                    <w:left w:val="none" w:sz="0" w:space="0" w:color="auto"/>
                    <w:bottom w:val="none" w:sz="0" w:space="0" w:color="auto"/>
                    <w:right w:val="none" w:sz="0" w:space="0" w:color="auto"/>
                  </w:divBdr>
                  <w:divsChild>
                    <w:div w:id="1204247434">
                      <w:marLeft w:val="0"/>
                      <w:marRight w:val="0"/>
                      <w:marTop w:val="0"/>
                      <w:marBottom w:val="0"/>
                      <w:divBdr>
                        <w:top w:val="none" w:sz="0" w:space="0" w:color="auto"/>
                        <w:left w:val="none" w:sz="0" w:space="0" w:color="auto"/>
                        <w:bottom w:val="none" w:sz="0" w:space="0" w:color="auto"/>
                        <w:right w:val="none" w:sz="0" w:space="0" w:color="auto"/>
                      </w:divBdr>
                    </w:div>
                  </w:divsChild>
                </w:div>
                <w:div w:id="1355378210">
                  <w:marLeft w:val="0"/>
                  <w:marRight w:val="0"/>
                  <w:marTop w:val="0"/>
                  <w:marBottom w:val="0"/>
                  <w:divBdr>
                    <w:top w:val="none" w:sz="0" w:space="0" w:color="auto"/>
                    <w:left w:val="none" w:sz="0" w:space="0" w:color="auto"/>
                    <w:bottom w:val="none" w:sz="0" w:space="0" w:color="auto"/>
                    <w:right w:val="none" w:sz="0" w:space="0" w:color="auto"/>
                  </w:divBdr>
                  <w:divsChild>
                    <w:div w:id="189458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204050">
      <w:bodyDiv w:val="1"/>
      <w:marLeft w:val="0"/>
      <w:marRight w:val="0"/>
      <w:marTop w:val="0"/>
      <w:marBottom w:val="0"/>
      <w:divBdr>
        <w:top w:val="none" w:sz="0" w:space="0" w:color="auto"/>
        <w:left w:val="none" w:sz="0" w:space="0" w:color="auto"/>
        <w:bottom w:val="none" w:sz="0" w:space="0" w:color="auto"/>
        <w:right w:val="none" w:sz="0" w:space="0" w:color="auto"/>
      </w:divBdr>
    </w:div>
    <w:div w:id="1688798293">
      <w:bodyDiv w:val="1"/>
      <w:marLeft w:val="0"/>
      <w:marRight w:val="0"/>
      <w:marTop w:val="0"/>
      <w:marBottom w:val="0"/>
      <w:divBdr>
        <w:top w:val="none" w:sz="0" w:space="0" w:color="auto"/>
        <w:left w:val="none" w:sz="0" w:space="0" w:color="auto"/>
        <w:bottom w:val="none" w:sz="0" w:space="0" w:color="auto"/>
        <w:right w:val="none" w:sz="0" w:space="0" w:color="auto"/>
      </w:divBdr>
      <w:divsChild>
        <w:div w:id="16204333">
          <w:marLeft w:val="0"/>
          <w:marRight w:val="0"/>
          <w:marTop w:val="0"/>
          <w:marBottom w:val="0"/>
          <w:divBdr>
            <w:top w:val="none" w:sz="0" w:space="0" w:color="auto"/>
            <w:left w:val="none" w:sz="0" w:space="0" w:color="auto"/>
            <w:bottom w:val="none" w:sz="0" w:space="0" w:color="auto"/>
            <w:right w:val="none" w:sz="0" w:space="0" w:color="auto"/>
          </w:divBdr>
          <w:divsChild>
            <w:div w:id="312949624">
              <w:marLeft w:val="0"/>
              <w:marRight w:val="0"/>
              <w:marTop w:val="0"/>
              <w:marBottom w:val="0"/>
              <w:divBdr>
                <w:top w:val="none" w:sz="0" w:space="0" w:color="auto"/>
                <w:left w:val="none" w:sz="0" w:space="0" w:color="auto"/>
                <w:bottom w:val="none" w:sz="0" w:space="0" w:color="auto"/>
                <w:right w:val="none" w:sz="0" w:space="0" w:color="auto"/>
              </w:divBdr>
              <w:divsChild>
                <w:div w:id="3878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99989">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716926538">
      <w:bodyDiv w:val="1"/>
      <w:marLeft w:val="0"/>
      <w:marRight w:val="0"/>
      <w:marTop w:val="0"/>
      <w:marBottom w:val="0"/>
      <w:divBdr>
        <w:top w:val="none" w:sz="0" w:space="0" w:color="auto"/>
        <w:left w:val="none" w:sz="0" w:space="0" w:color="auto"/>
        <w:bottom w:val="none" w:sz="0" w:space="0" w:color="auto"/>
        <w:right w:val="none" w:sz="0" w:space="0" w:color="auto"/>
      </w:divBdr>
    </w:div>
    <w:div w:id="1746682299">
      <w:bodyDiv w:val="1"/>
      <w:marLeft w:val="0"/>
      <w:marRight w:val="0"/>
      <w:marTop w:val="0"/>
      <w:marBottom w:val="0"/>
      <w:divBdr>
        <w:top w:val="none" w:sz="0" w:space="0" w:color="auto"/>
        <w:left w:val="none" w:sz="0" w:space="0" w:color="auto"/>
        <w:bottom w:val="none" w:sz="0" w:space="0" w:color="auto"/>
        <w:right w:val="none" w:sz="0" w:space="0" w:color="auto"/>
      </w:divBdr>
      <w:divsChild>
        <w:div w:id="147600904">
          <w:marLeft w:val="0"/>
          <w:marRight w:val="0"/>
          <w:marTop w:val="0"/>
          <w:marBottom w:val="0"/>
          <w:divBdr>
            <w:top w:val="none" w:sz="0" w:space="0" w:color="auto"/>
            <w:left w:val="none" w:sz="0" w:space="0" w:color="auto"/>
            <w:bottom w:val="none" w:sz="0" w:space="0" w:color="auto"/>
            <w:right w:val="none" w:sz="0" w:space="0" w:color="auto"/>
          </w:divBdr>
          <w:divsChild>
            <w:div w:id="2071728860">
              <w:marLeft w:val="0"/>
              <w:marRight w:val="0"/>
              <w:marTop w:val="0"/>
              <w:marBottom w:val="0"/>
              <w:divBdr>
                <w:top w:val="none" w:sz="0" w:space="0" w:color="auto"/>
                <w:left w:val="none" w:sz="0" w:space="0" w:color="auto"/>
                <w:bottom w:val="none" w:sz="0" w:space="0" w:color="auto"/>
                <w:right w:val="none" w:sz="0" w:space="0" w:color="auto"/>
              </w:divBdr>
              <w:divsChild>
                <w:div w:id="83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86981">
      <w:bodyDiv w:val="1"/>
      <w:marLeft w:val="0"/>
      <w:marRight w:val="0"/>
      <w:marTop w:val="0"/>
      <w:marBottom w:val="0"/>
      <w:divBdr>
        <w:top w:val="none" w:sz="0" w:space="0" w:color="auto"/>
        <w:left w:val="none" w:sz="0" w:space="0" w:color="auto"/>
        <w:bottom w:val="none" w:sz="0" w:space="0" w:color="auto"/>
        <w:right w:val="none" w:sz="0" w:space="0" w:color="auto"/>
      </w:divBdr>
    </w:div>
    <w:div w:id="1791826200">
      <w:bodyDiv w:val="1"/>
      <w:marLeft w:val="0"/>
      <w:marRight w:val="0"/>
      <w:marTop w:val="0"/>
      <w:marBottom w:val="0"/>
      <w:divBdr>
        <w:top w:val="none" w:sz="0" w:space="0" w:color="auto"/>
        <w:left w:val="none" w:sz="0" w:space="0" w:color="auto"/>
        <w:bottom w:val="none" w:sz="0" w:space="0" w:color="auto"/>
        <w:right w:val="none" w:sz="0" w:space="0" w:color="auto"/>
      </w:divBdr>
      <w:divsChild>
        <w:div w:id="1722823756">
          <w:marLeft w:val="0"/>
          <w:marRight w:val="0"/>
          <w:marTop w:val="0"/>
          <w:marBottom w:val="0"/>
          <w:divBdr>
            <w:top w:val="none" w:sz="0" w:space="0" w:color="auto"/>
            <w:left w:val="none" w:sz="0" w:space="0" w:color="auto"/>
            <w:bottom w:val="none" w:sz="0" w:space="0" w:color="auto"/>
            <w:right w:val="none" w:sz="0" w:space="0" w:color="auto"/>
          </w:divBdr>
          <w:divsChild>
            <w:div w:id="2015766126">
              <w:marLeft w:val="0"/>
              <w:marRight w:val="0"/>
              <w:marTop w:val="0"/>
              <w:marBottom w:val="0"/>
              <w:divBdr>
                <w:top w:val="none" w:sz="0" w:space="0" w:color="auto"/>
                <w:left w:val="none" w:sz="0" w:space="0" w:color="auto"/>
                <w:bottom w:val="none" w:sz="0" w:space="0" w:color="auto"/>
                <w:right w:val="none" w:sz="0" w:space="0" w:color="auto"/>
              </w:divBdr>
              <w:divsChild>
                <w:div w:id="17296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85883">
      <w:bodyDiv w:val="1"/>
      <w:marLeft w:val="0"/>
      <w:marRight w:val="0"/>
      <w:marTop w:val="0"/>
      <w:marBottom w:val="0"/>
      <w:divBdr>
        <w:top w:val="none" w:sz="0" w:space="0" w:color="auto"/>
        <w:left w:val="none" w:sz="0" w:space="0" w:color="auto"/>
        <w:bottom w:val="none" w:sz="0" w:space="0" w:color="auto"/>
        <w:right w:val="none" w:sz="0" w:space="0" w:color="auto"/>
      </w:divBdr>
      <w:divsChild>
        <w:div w:id="519516777">
          <w:marLeft w:val="0"/>
          <w:marRight w:val="0"/>
          <w:marTop w:val="0"/>
          <w:marBottom w:val="0"/>
          <w:divBdr>
            <w:top w:val="none" w:sz="0" w:space="0" w:color="auto"/>
            <w:left w:val="none" w:sz="0" w:space="0" w:color="auto"/>
            <w:bottom w:val="none" w:sz="0" w:space="0" w:color="auto"/>
            <w:right w:val="none" w:sz="0" w:space="0" w:color="auto"/>
          </w:divBdr>
          <w:divsChild>
            <w:div w:id="1877695485">
              <w:marLeft w:val="0"/>
              <w:marRight w:val="0"/>
              <w:marTop w:val="0"/>
              <w:marBottom w:val="0"/>
              <w:divBdr>
                <w:top w:val="none" w:sz="0" w:space="0" w:color="auto"/>
                <w:left w:val="none" w:sz="0" w:space="0" w:color="auto"/>
                <w:bottom w:val="none" w:sz="0" w:space="0" w:color="auto"/>
                <w:right w:val="none" w:sz="0" w:space="0" w:color="auto"/>
              </w:divBdr>
              <w:divsChild>
                <w:div w:id="11345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40390197">
      <w:bodyDiv w:val="1"/>
      <w:marLeft w:val="0"/>
      <w:marRight w:val="0"/>
      <w:marTop w:val="0"/>
      <w:marBottom w:val="0"/>
      <w:divBdr>
        <w:top w:val="none" w:sz="0" w:space="0" w:color="auto"/>
        <w:left w:val="none" w:sz="0" w:space="0" w:color="auto"/>
        <w:bottom w:val="none" w:sz="0" w:space="0" w:color="auto"/>
        <w:right w:val="none" w:sz="0" w:space="0" w:color="auto"/>
      </w:divBdr>
    </w:div>
    <w:div w:id="1844130135">
      <w:bodyDiv w:val="1"/>
      <w:marLeft w:val="0"/>
      <w:marRight w:val="0"/>
      <w:marTop w:val="0"/>
      <w:marBottom w:val="0"/>
      <w:divBdr>
        <w:top w:val="none" w:sz="0" w:space="0" w:color="auto"/>
        <w:left w:val="none" w:sz="0" w:space="0" w:color="auto"/>
        <w:bottom w:val="none" w:sz="0" w:space="0" w:color="auto"/>
        <w:right w:val="none" w:sz="0" w:space="0" w:color="auto"/>
      </w:divBdr>
    </w:div>
    <w:div w:id="1870215494">
      <w:bodyDiv w:val="1"/>
      <w:marLeft w:val="0"/>
      <w:marRight w:val="0"/>
      <w:marTop w:val="0"/>
      <w:marBottom w:val="0"/>
      <w:divBdr>
        <w:top w:val="none" w:sz="0" w:space="0" w:color="auto"/>
        <w:left w:val="none" w:sz="0" w:space="0" w:color="auto"/>
        <w:bottom w:val="none" w:sz="0" w:space="0" w:color="auto"/>
        <w:right w:val="none" w:sz="0" w:space="0" w:color="auto"/>
      </w:divBdr>
      <w:divsChild>
        <w:div w:id="581718431">
          <w:marLeft w:val="0"/>
          <w:marRight w:val="0"/>
          <w:marTop w:val="0"/>
          <w:marBottom w:val="0"/>
          <w:divBdr>
            <w:top w:val="none" w:sz="0" w:space="0" w:color="auto"/>
            <w:left w:val="none" w:sz="0" w:space="0" w:color="auto"/>
            <w:bottom w:val="none" w:sz="0" w:space="0" w:color="auto"/>
            <w:right w:val="none" w:sz="0" w:space="0" w:color="auto"/>
          </w:divBdr>
          <w:divsChild>
            <w:div w:id="358900227">
              <w:marLeft w:val="0"/>
              <w:marRight w:val="0"/>
              <w:marTop w:val="0"/>
              <w:marBottom w:val="0"/>
              <w:divBdr>
                <w:top w:val="none" w:sz="0" w:space="0" w:color="auto"/>
                <w:left w:val="none" w:sz="0" w:space="0" w:color="auto"/>
                <w:bottom w:val="none" w:sz="0" w:space="0" w:color="auto"/>
                <w:right w:val="none" w:sz="0" w:space="0" w:color="auto"/>
              </w:divBdr>
              <w:divsChild>
                <w:div w:id="1858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26374266">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1983075793">
      <w:bodyDiv w:val="1"/>
      <w:marLeft w:val="0"/>
      <w:marRight w:val="0"/>
      <w:marTop w:val="0"/>
      <w:marBottom w:val="0"/>
      <w:divBdr>
        <w:top w:val="none" w:sz="0" w:space="0" w:color="auto"/>
        <w:left w:val="none" w:sz="0" w:space="0" w:color="auto"/>
        <w:bottom w:val="none" w:sz="0" w:space="0" w:color="auto"/>
        <w:right w:val="none" w:sz="0" w:space="0" w:color="auto"/>
      </w:divBdr>
    </w:div>
    <w:div w:id="1998610002">
      <w:bodyDiv w:val="1"/>
      <w:marLeft w:val="0"/>
      <w:marRight w:val="0"/>
      <w:marTop w:val="0"/>
      <w:marBottom w:val="0"/>
      <w:divBdr>
        <w:top w:val="none" w:sz="0" w:space="0" w:color="auto"/>
        <w:left w:val="none" w:sz="0" w:space="0" w:color="auto"/>
        <w:bottom w:val="none" w:sz="0" w:space="0" w:color="auto"/>
        <w:right w:val="none" w:sz="0" w:space="0" w:color="auto"/>
      </w:divBdr>
      <w:divsChild>
        <w:div w:id="1070885892">
          <w:marLeft w:val="0"/>
          <w:marRight w:val="0"/>
          <w:marTop w:val="0"/>
          <w:marBottom w:val="0"/>
          <w:divBdr>
            <w:top w:val="none" w:sz="0" w:space="0" w:color="auto"/>
            <w:left w:val="none" w:sz="0" w:space="0" w:color="auto"/>
            <w:bottom w:val="none" w:sz="0" w:space="0" w:color="auto"/>
            <w:right w:val="none" w:sz="0" w:space="0" w:color="auto"/>
          </w:divBdr>
          <w:divsChild>
            <w:div w:id="604001377">
              <w:marLeft w:val="0"/>
              <w:marRight w:val="0"/>
              <w:marTop w:val="0"/>
              <w:marBottom w:val="0"/>
              <w:divBdr>
                <w:top w:val="none" w:sz="0" w:space="0" w:color="auto"/>
                <w:left w:val="none" w:sz="0" w:space="0" w:color="auto"/>
                <w:bottom w:val="none" w:sz="0" w:space="0" w:color="auto"/>
                <w:right w:val="none" w:sz="0" w:space="0" w:color="auto"/>
              </w:divBdr>
              <w:divsChild>
                <w:div w:id="20551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 w:id="2045211564">
      <w:bodyDiv w:val="1"/>
      <w:marLeft w:val="0"/>
      <w:marRight w:val="0"/>
      <w:marTop w:val="0"/>
      <w:marBottom w:val="0"/>
      <w:divBdr>
        <w:top w:val="none" w:sz="0" w:space="0" w:color="auto"/>
        <w:left w:val="none" w:sz="0" w:space="0" w:color="auto"/>
        <w:bottom w:val="none" w:sz="0" w:space="0" w:color="auto"/>
        <w:right w:val="none" w:sz="0" w:space="0" w:color="auto"/>
      </w:divBdr>
      <w:divsChild>
        <w:div w:id="1560245593">
          <w:marLeft w:val="0"/>
          <w:marRight w:val="0"/>
          <w:marTop w:val="0"/>
          <w:marBottom w:val="0"/>
          <w:divBdr>
            <w:top w:val="none" w:sz="0" w:space="0" w:color="auto"/>
            <w:left w:val="none" w:sz="0" w:space="0" w:color="auto"/>
            <w:bottom w:val="none" w:sz="0" w:space="0" w:color="auto"/>
            <w:right w:val="none" w:sz="0" w:space="0" w:color="auto"/>
          </w:divBdr>
          <w:divsChild>
            <w:div w:id="741678631">
              <w:marLeft w:val="0"/>
              <w:marRight w:val="0"/>
              <w:marTop w:val="0"/>
              <w:marBottom w:val="0"/>
              <w:divBdr>
                <w:top w:val="none" w:sz="0" w:space="0" w:color="auto"/>
                <w:left w:val="none" w:sz="0" w:space="0" w:color="auto"/>
                <w:bottom w:val="none" w:sz="0" w:space="0" w:color="auto"/>
                <w:right w:val="none" w:sz="0" w:space="0" w:color="auto"/>
              </w:divBdr>
              <w:divsChild>
                <w:div w:id="7619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24663">
      <w:bodyDiv w:val="1"/>
      <w:marLeft w:val="0"/>
      <w:marRight w:val="0"/>
      <w:marTop w:val="0"/>
      <w:marBottom w:val="0"/>
      <w:divBdr>
        <w:top w:val="none" w:sz="0" w:space="0" w:color="auto"/>
        <w:left w:val="none" w:sz="0" w:space="0" w:color="auto"/>
        <w:bottom w:val="none" w:sz="0" w:space="0" w:color="auto"/>
        <w:right w:val="none" w:sz="0" w:space="0" w:color="auto"/>
      </w:divBdr>
      <w:divsChild>
        <w:div w:id="1711567052">
          <w:marLeft w:val="0"/>
          <w:marRight w:val="0"/>
          <w:marTop w:val="0"/>
          <w:marBottom w:val="0"/>
          <w:divBdr>
            <w:top w:val="none" w:sz="0" w:space="0" w:color="auto"/>
            <w:left w:val="none" w:sz="0" w:space="0" w:color="auto"/>
            <w:bottom w:val="none" w:sz="0" w:space="0" w:color="auto"/>
            <w:right w:val="none" w:sz="0" w:space="0" w:color="auto"/>
          </w:divBdr>
          <w:divsChild>
            <w:div w:id="1796949320">
              <w:marLeft w:val="0"/>
              <w:marRight w:val="0"/>
              <w:marTop w:val="0"/>
              <w:marBottom w:val="0"/>
              <w:divBdr>
                <w:top w:val="none" w:sz="0" w:space="0" w:color="auto"/>
                <w:left w:val="none" w:sz="0" w:space="0" w:color="auto"/>
                <w:bottom w:val="none" w:sz="0" w:space="0" w:color="auto"/>
                <w:right w:val="none" w:sz="0" w:space="0" w:color="auto"/>
              </w:divBdr>
              <w:divsChild>
                <w:div w:id="2419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3915">
      <w:bodyDiv w:val="1"/>
      <w:marLeft w:val="0"/>
      <w:marRight w:val="0"/>
      <w:marTop w:val="0"/>
      <w:marBottom w:val="0"/>
      <w:divBdr>
        <w:top w:val="none" w:sz="0" w:space="0" w:color="auto"/>
        <w:left w:val="none" w:sz="0" w:space="0" w:color="auto"/>
        <w:bottom w:val="none" w:sz="0" w:space="0" w:color="auto"/>
        <w:right w:val="none" w:sz="0" w:space="0" w:color="auto"/>
      </w:divBdr>
      <w:divsChild>
        <w:div w:id="1919509401">
          <w:marLeft w:val="0"/>
          <w:marRight w:val="0"/>
          <w:marTop w:val="0"/>
          <w:marBottom w:val="0"/>
          <w:divBdr>
            <w:top w:val="none" w:sz="0" w:space="0" w:color="auto"/>
            <w:left w:val="none" w:sz="0" w:space="0" w:color="auto"/>
            <w:bottom w:val="none" w:sz="0" w:space="0" w:color="auto"/>
            <w:right w:val="none" w:sz="0" w:space="0" w:color="auto"/>
          </w:divBdr>
          <w:divsChild>
            <w:div w:id="1838764768">
              <w:marLeft w:val="0"/>
              <w:marRight w:val="0"/>
              <w:marTop w:val="0"/>
              <w:marBottom w:val="0"/>
              <w:divBdr>
                <w:top w:val="none" w:sz="0" w:space="0" w:color="auto"/>
                <w:left w:val="none" w:sz="0" w:space="0" w:color="auto"/>
                <w:bottom w:val="none" w:sz="0" w:space="0" w:color="auto"/>
                <w:right w:val="none" w:sz="0" w:space="0" w:color="auto"/>
              </w:divBdr>
              <w:divsChild>
                <w:div w:id="20323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9298">
      <w:bodyDiv w:val="1"/>
      <w:marLeft w:val="0"/>
      <w:marRight w:val="0"/>
      <w:marTop w:val="0"/>
      <w:marBottom w:val="0"/>
      <w:divBdr>
        <w:top w:val="none" w:sz="0" w:space="0" w:color="auto"/>
        <w:left w:val="none" w:sz="0" w:space="0" w:color="auto"/>
        <w:bottom w:val="none" w:sz="0" w:space="0" w:color="auto"/>
        <w:right w:val="none" w:sz="0" w:space="0" w:color="auto"/>
      </w:divBdr>
      <w:divsChild>
        <w:div w:id="583104250">
          <w:marLeft w:val="0"/>
          <w:marRight w:val="0"/>
          <w:marTop w:val="0"/>
          <w:marBottom w:val="0"/>
          <w:divBdr>
            <w:top w:val="none" w:sz="0" w:space="0" w:color="auto"/>
            <w:left w:val="none" w:sz="0" w:space="0" w:color="auto"/>
            <w:bottom w:val="none" w:sz="0" w:space="0" w:color="auto"/>
            <w:right w:val="none" w:sz="0" w:space="0" w:color="auto"/>
          </w:divBdr>
          <w:divsChild>
            <w:div w:id="1260943396">
              <w:marLeft w:val="0"/>
              <w:marRight w:val="0"/>
              <w:marTop w:val="0"/>
              <w:marBottom w:val="0"/>
              <w:divBdr>
                <w:top w:val="none" w:sz="0" w:space="0" w:color="auto"/>
                <w:left w:val="none" w:sz="0" w:space="0" w:color="auto"/>
                <w:bottom w:val="none" w:sz="0" w:space="0" w:color="auto"/>
                <w:right w:val="none" w:sz="0" w:space="0" w:color="auto"/>
              </w:divBdr>
              <w:divsChild>
                <w:div w:id="1362167380">
                  <w:marLeft w:val="0"/>
                  <w:marRight w:val="0"/>
                  <w:marTop w:val="0"/>
                  <w:marBottom w:val="0"/>
                  <w:divBdr>
                    <w:top w:val="none" w:sz="0" w:space="0" w:color="auto"/>
                    <w:left w:val="none" w:sz="0" w:space="0" w:color="auto"/>
                    <w:bottom w:val="none" w:sz="0" w:space="0" w:color="auto"/>
                    <w:right w:val="none" w:sz="0" w:space="0" w:color="auto"/>
                  </w:divBdr>
                  <w:divsChild>
                    <w:div w:id="1606574115">
                      <w:marLeft w:val="0"/>
                      <w:marRight w:val="0"/>
                      <w:marTop w:val="0"/>
                      <w:marBottom w:val="0"/>
                      <w:divBdr>
                        <w:top w:val="none" w:sz="0" w:space="0" w:color="auto"/>
                        <w:left w:val="none" w:sz="0" w:space="0" w:color="auto"/>
                        <w:bottom w:val="none" w:sz="0" w:space="0" w:color="auto"/>
                        <w:right w:val="none" w:sz="0" w:space="0" w:color="auto"/>
                      </w:divBdr>
                    </w:div>
                  </w:divsChild>
                </w:div>
                <w:div w:id="1389642972">
                  <w:marLeft w:val="0"/>
                  <w:marRight w:val="0"/>
                  <w:marTop w:val="0"/>
                  <w:marBottom w:val="0"/>
                  <w:divBdr>
                    <w:top w:val="none" w:sz="0" w:space="0" w:color="auto"/>
                    <w:left w:val="none" w:sz="0" w:space="0" w:color="auto"/>
                    <w:bottom w:val="none" w:sz="0" w:space="0" w:color="auto"/>
                    <w:right w:val="none" w:sz="0" w:space="0" w:color="auto"/>
                  </w:divBdr>
                  <w:divsChild>
                    <w:div w:id="1767996634">
                      <w:marLeft w:val="0"/>
                      <w:marRight w:val="0"/>
                      <w:marTop w:val="0"/>
                      <w:marBottom w:val="0"/>
                      <w:divBdr>
                        <w:top w:val="none" w:sz="0" w:space="0" w:color="auto"/>
                        <w:left w:val="none" w:sz="0" w:space="0" w:color="auto"/>
                        <w:bottom w:val="none" w:sz="0" w:space="0" w:color="auto"/>
                        <w:right w:val="none" w:sz="0" w:space="0" w:color="auto"/>
                      </w:divBdr>
                    </w:div>
                  </w:divsChild>
                </w:div>
                <w:div w:id="1471707916">
                  <w:marLeft w:val="0"/>
                  <w:marRight w:val="0"/>
                  <w:marTop w:val="0"/>
                  <w:marBottom w:val="0"/>
                  <w:divBdr>
                    <w:top w:val="none" w:sz="0" w:space="0" w:color="auto"/>
                    <w:left w:val="none" w:sz="0" w:space="0" w:color="auto"/>
                    <w:bottom w:val="none" w:sz="0" w:space="0" w:color="auto"/>
                    <w:right w:val="none" w:sz="0" w:space="0" w:color="auto"/>
                  </w:divBdr>
                  <w:divsChild>
                    <w:div w:id="1016345062">
                      <w:marLeft w:val="0"/>
                      <w:marRight w:val="0"/>
                      <w:marTop w:val="0"/>
                      <w:marBottom w:val="0"/>
                      <w:divBdr>
                        <w:top w:val="none" w:sz="0" w:space="0" w:color="auto"/>
                        <w:left w:val="none" w:sz="0" w:space="0" w:color="auto"/>
                        <w:bottom w:val="none" w:sz="0" w:space="0" w:color="auto"/>
                        <w:right w:val="none" w:sz="0" w:space="0" w:color="auto"/>
                      </w:divBdr>
                    </w:div>
                  </w:divsChild>
                </w:div>
                <w:div w:id="1619991129">
                  <w:marLeft w:val="0"/>
                  <w:marRight w:val="0"/>
                  <w:marTop w:val="0"/>
                  <w:marBottom w:val="0"/>
                  <w:divBdr>
                    <w:top w:val="none" w:sz="0" w:space="0" w:color="auto"/>
                    <w:left w:val="none" w:sz="0" w:space="0" w:color="auto"/>
                    <w:bottom w:val="none" w:sz="0" w:space="0" w:color="auto"/>
                    <w:right w:val="none" w:sz="0" w:space="0" w:color="auto"/>
                  </w:divBdr>
                  <w:divsChild>
                    <w:div w:id="7884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561418">
      <w:bodyDiv w:val="1"/>
      <w:marLeft w:val="0"/>
      <w:marRight w:val="0"/>
      <w:marTop w:val="0"/>
      <w:marBottom w:val="0"/>
      <w:divBdr>
        <w:top w:val="none" w:sz="0" w:space="0" w:color="auto"/>
        <w:left w:val="none" w:sz="0" w:space="0" w:color="auto"/>
        <w:bottom w:val="none" w:sz="0" w:space="0" w:color="auto"/>
        <w:right w:val="none" w:sz="0" w:space="0" w:color="auto"/>
      </w:divBdr>
    </w:div>
    <w:div w:id="2090687017">
      <w:bodyDiv w:val="1"/>
      <w:marLeft w:val="0"/>
      <w:marRight w:val="0"/>
      <w:marTop w:val="0"/>
      <w:marBottom w:val="0"/>
      <w:divBdr>
        <w:top w:val="none" w:sz="0" w:space="0" w:color="auto"/>
        <w:left w:val="none" w:sz="0" w:space="0" w:color="auto"/>
        <w:bottom w:val="none" w:sz="0" w:space="0" w:color="auto"/>
        <w:right w:val="none" w:sz="0" w:space="0" w:color="auto"/>
      </w:divBdr>
      <w:divsChild>
        <w:div w:id="831019468">
          <w:marLeft w:val="0"/>
          <w:marRight w:val="0"/>
          <w:marTop w:val="0"/>
          <w:marBottom w:val="0"/>
          <w:divBdr>
            <w:top w:val="none" w:sz="0" w:space="0" w:color="auto"/>
            <w:left w:val="none" w:sz="0" w:space="0" w:color="auto"/>
            <w:bottom w:val="none" w:sz="0" w:space="0" w:color="auto"/>
            <w:right w:val="none" w:sz="0" w:space="0" w:color="auto"/>
          </w:divBdr>
          <w:divsChild>
            <w:div w:id="125703614">
              <w:marLeft w:val="0"/>
              <w:marRight w:val="0"/>
              <w:marTop w:val="0"/>
              <w:marBottom w:val="0"/>
              <w:divBdr>
                <w:top w:val="none" w:sz="0" w:space="0" w:color="auto"/>
                <w:left w:val="none" w:sz="0" w:space="0" w:color="auto"/>
                <w:bottom w:val="none" w:sz="0" w:space="0" w:color="auto"/>
                <w:right w:val="none" w:sz="0" w:space="0" w:color="auto"/>
              </w:divBdr>
              <w:divsChild>
                <w:div w:id="9787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75602">
      <w:bodyDiv w:val="1"/>
      <w:marLeft w:val="0"/>
      <w:marRight w:val="0"/>
      <w:marTop w:val="0"/>
      <w:marBottom w:val="0"/>
      <w:divBdr>
        <w:top w:val="none" w:sz="0" w:space="0" w:color="auto"/>
        <w:left w:val="none" w:sz="0" w:space="0" w:color="auto"/>
        <w:bottom w:val="none" w:sz="0" w:space="0" w:color="auto"/>
        <w:right w:val="none" w:sz="0" w:space="0" w:color="auto"/>
      </w:divBdr>
      <w:divsChild>
        <w:div w:id="1679694890">
          <w:marLeft w:val="0"/>
          <w:marRight w:val="0"/>
          <w:marTop w:val="0"/>
          <w:marBottom w:val="0"/>
          <w:divBdr>
            <w:top w:val="none" w:sz="0" w:space="0" w:color="auto"/>
            <w:left w:val="none" w:sz="0" w:space="0" w:color="auto"/>
            <w:bottom w:val="none" w:sz="0" w:space="0" w:color="auto"/>
            <w:right w:val="none" w:sz="0" w:space="0" w:color="auto"/>
          </w:divBdr>
          <w:divsChild>
            <w:div w:id="1775857284">
              <w:marLeft w:val="0"/>
              <w:marRight w:val="0"/>
              <w:marTop w:val="0"/>
              <w:marBottom w:val="0"/>
              <w:divBdr>
                <w:top w:val="none" w:sz="0" w:space="0" w:color="auto"/>
                <w:left w:val="none" w:sz="0" w:space="0" w:color="auto"/>
                <w:bottom w:val="none" w:sz="0" w:space="0" w:color="auto"/>
                <w:right w:val="none" w:sz="0" w:space="0" w:color="auto"/>
              </w:divBdr>
              <w:divsChild>
                <w:div w:id="26157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53257">
      <w:bodyDiv w:val="1"/>
      <w:marLeft w:val="0"/>
      <w:marRight w:val="0"/>
      <w:marTop w:val="0"/>
      <w:marBottom w:val="0"/>
      <w:divBdr>
        <w:top w:val="none" w:sz="0" w:space="0" w:color="auto"/>
        <w:left w:val="none" w:sz="0" w:space="0" w:color="auto"/>
        <w:bottom w:val="none" w:sz="0" w:space="0" w:color="auto"/>
        <w:right w:val="none" w:sz="0" w:space="0" w:color="auto"/>
      </w:divBdr>
      <w:divsChild>
        <w:div w:id="926579490">
          <w:marLeft w:val="0"/>
          <w:marRight w:val="0"/>
          <w:marTop w:val="0"/>
          <w:marBottom w:val="0"/>
          <w:divBdr>
            <w:top w:val="none" w:sz="0" w:space="0" w:color="auto"/>
            <w:left w:val="none" w:sz="0" w:space="0" w:color="auto"/>
            <w:bottom w:val="none" w:sz="0" w:space="0" w:color="auto"/>
            <w:right w:val="none" w:sz="0" w:space="0" w:color="auto"/>
          </w:divBdr>
          <w:divsChild>
            <w:div w:id="1895580481">
              <w:marLeft w:val="0"/>
              <w:marRight w:val="0"/>
              <w:marTop w:val="0"/>
              <w:marBottom w:val="0"/>
              <w:divBdr>
                <w:top w:val="none" w:sz="0" w:space="0" w:color="auto"/>
                <w:left w:val="none" w:sz="0" w:space="0" w:color="auto"/>
                <w:bottom w:val="none" w:sz="0" w:space="0" w:color="auto"/>
                <w:right w:val="none" w:sz="0" w:space="0" w:color="auto"/>
              </w:divBdr>
              <w:divsChild>
                <w:div w:id="20299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68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corteidh.or.cr/docs/asuntos/garcia_rodriguez_y_otro_27_07_22.pdf" TargetMode="External"/><Relationship Id="rId2" Type="http://schemas.openxmlformats.org/officeDocument/2006/relationships/hyperlink" Target="https://www.corteidh.or.cr/docs/asuntos/garcia_rodriguez_y_otro_06_07_22.pdf" TargetMode="External"/><Relationship Id="rId1" Type="http://schemas.openxmlformats.org/officeDocument/2006/relationships/hyperlink" Target="https://www.corteidh.or.cr/docs/medidas/garciarodriguez_se_0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0FB5464E70C5F439B3F1FFC6DE99818" ma:contentTypeVersion="5" ma:contentTypeDescription="Crear nuevo documento." ma:contentTypeScope="" ma:versionID="cdc8abc4fe5290f1a42ea3f6a9f81dda">
  <xsd:schema xmlns:xsd="http://www.w3.org/2001/XMLSchema" xmlns:xs="http://www.w3.org/2001/XMLSchema" xmlns:p="http://schemas.microsoft.com/office/2006/metadata/properties" xmlns:ns3="c251bf78-bdb7-4827-a26c-fa20569673d1" xmlns:ns4="3cc547ce-d96b-4a5d-ad7e-a926eb4e2466" targetNamespace="http://schemas.microsoft.com/office/2006/metadata/properties" ma:root="true" ma:fieldsID="19b01f19ff1db78313a70389f12ea876" ns3:_="" ns4:_="">
    <xsd:import namespace="c251bf78-bdb7-4827-a26c-fa20569673d1"/>
    <xsd:import namespace="3cc547ce-d96b-4a5d-ad7e-a926eb4e24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51bf78-bdb7-4827-a26c-fa20569673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c547ce-d96b-4a5d-ad7e-a926eb4e2466"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7C6B11-BF20-46E9-801F-3411652A0E4A}">
  <ds:schemaRefs>
    <ds:schemaRef ds:uri="http://schemas.openxmlformats.org/officeDocument/2006/bibliography"/>
  </ds:schemaRefs>
</ds:datastoreItem>
</file>

<file path=customXml/itemProps2.xml><?xml version="1.0" encoding="utf-8"?>
<ds:datastoreItem xmlns:ds="http://schemas.openxmlformats.org/officeDocument/2006/customXml" ds:itemID="{A5289722-5D03-4C9C-BE90-37D68999ED9F}">
  <ds:schemaRefs>
    <ds:schemaRef ds:uri="http://schemas.microsoft.com/sharepoint/v3/contenttype/forms"/>
  </ds:schemaRefs>
</ds:datastoreItem>
</file>

<file path=customXml/itemProps3.xml><?xml version="1.0" encoding="utf-8"?>
<ds:datastoreItem xmlns:ds="http://schemas.openxmlformats.org/officeDocument/2006/customXml" ds:itemID="{FECEF69D-1DA3-465F-AEA3-7F9091B24D6F}">
  <ds:schemaRefs>
    <ds:schemaRef ds:uri="http://www.w3.org/XML/1998/namespace"/>
    <ds:schemaRef ds:uri="c251bf78-bdb7-4827-a26c-fa20569673d1"/>
    <ds:schemaRef ds:uri="http://purl.org/dc/elements/1.1/"/>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3cc547ce-d96b-4a5d-ad7e-a926eb4e2466"/>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ABFEC0EE-B93F-45ED-92A8-17A64107D5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51bf78-bdb7-4827-a26c-fa20569673d1"/>
    <ds:schemaRef ds:uri="3cc547ce-d96b-4a5d-ad7e-a926eb4e24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89</Pages>
  <Words>43477</Words>
  <Characters>239128</Characters>
  <Application>Microsoft Office Word</Application>
  <DocSecurity>0</DocSecurity>
  <Lines>1992</Lines>
  <Paragraphs>564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7</cp:revision>
  <cp:lastPrinted>2023-07-06T18:23:00Z</cp:lastPrinted>
  <dcterms:created xsi:type="dcterms:W3CDTF">2023-04-12T04:53:00Z</dcterms:created>
  <dcterms:modified xsi:type="dcterms:W3CDTF">2023-07-06T18:25:00Z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0x010100F0FB5464E70C5F439B3F1FFC6DE99818</vt:lpwstr>
  </property>
</Properties>
</file>