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A2A0C" w14:textId="77777777" w:rsidR="001003AC" w:rsidRPr="00F32643" w:rsidRDefault="001003AC" w:rsidP="00FB161C">
      <w:pPr>
        <w:pStyle w:val="Footnotes"/>
      </w:pPr>
    </w:p>
    <w:p w14:paraId="089BDA1E"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5E0B5683"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7402C078"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289EB67A"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6BCB3BF6"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6EC83DCE"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12F80857"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5064B8DD" w14:textId="77777777" w:rsidR="001003AC" w:rsidRPr="00F32643" w:rsidRDefault="001003AC" w:rsidP="001003AC">
      <w:pPr>
        <w:widowControl w:val="0"/>
        <w:tabs>
          <w:tab w:val="left" w:pos="567"/>
        </w:tabs>
        <w:adjustRightInd w:val="0"/>
        <w:textAlignment w:val="baseline"/>
        <w:rPr>
          <w:rFonts w:cs="Verdana Bold"/>
          <w:b/>
          <w:bCs/>
          <w:caps/>
          <w:color w:val="000000" w:themeColor="text1"/>
          <w:szCs w:val="20"/>
          <w:lang w:val="es-CR"/>
        </w:rPr>
      </w:pPr>
    </w:p>
    <w:p w14:paraId="4314C629" w14:textId="77777777" w:rsidR="001003AC" w:rsidRPr="00F32643" w:rsidRDefault="001003AC" w:rsidP="001003AC">
      <w:pPr>
        <w:widowControl w:val="0"/>
        <w:tabs>
          <w:tab w:val="left" w:pos="567"/>
        </w:tabs>
        <w:adjustRightInd w:val="0"/>
        <w:textAlignment w:val="baseline"/>
        <w:rPr>
          <w:b/>
          <w:color w:val="000000" w:themeColor="text1"/>
          <w:szCs w:val="20"/>
          <w:lang w:val="es-CR" w:eastAsia="es-CR"/>
        </w:rPr>
      </w:pPr>
    </w:p>
    <w:p w14:paraId="0F02DE80" w14:textId="77777777" w:rsidR="001003AC" w:rsidRPr="00F32643" w:rsidRDefault="001003AC" w:rsidP="001003AC">
      <w:pPr>
        <w:widowControl w:val="0"/>
        <w:tabs>
          <w:tab w:val="left" w:pos="567"/>
        </w:tabs>
        <w:adjustRightInd w:val="0"/>
        <w:jc w:val="center"/>
        <w:textAlignment w:val="baseline"/>
        <w:rPr>
          <w:b/>
          <w:color w:val="000000" w:themeColor="text1"/>
          <w:szCs w:val="20"/>
          <w:lang w:val="es-CR" w:eastAsia="es-CR"/>
        </w:rPr>
      </w:pPr>
    </w:p>
    <w:p w14:paraId="7C1E928A" w14:textId="77777777" w:rsidR="001003AC" w:rsidRPr="00F32643" w:rsidRDefault="001003AC" w:rsidP="001003AC">
      <w:pPr>
        <w:pStyle w:val="Ttulo"/>
        <w:tabs>
          <w:tab w:val="left" w:pos="567"/>
        </w:tabs>
        <w:spacing w:before="0" w:after="0"/>
        <w:outlineLvl w:val="9"/>
        <w:rPr>
          <w:color w:val="000000" w:themeColor="text1"/>
          <w:sz w:val="20"/>
        </w:rPr>
      </w:pPr>
      <w:r w:rsidRPr="00F32643">
        <w:rPr>
          <w:color w:val="000000" w:themeColor="text1"/>
          <w:sz w:val="20"/>
        </w:rPr>
        <w:t>CORTE INTERAMERICANA DE DERECHOS HUMANOS</w:t>
      </w:r>
    </w:p>
    <w:p w14:paraId="3BE8A142" w14:textId="77777777" w:rsidR="001003AC" w:rsidRPr="00F32643" w:rsidRDefault="001003AC" w:rsidP="001003AC">
      <w:pPr>
        <w:jc w:val="center"/>
        <w:rPr>
          <w:b/>
          <w:bCs/>
          <w:color w:val="000000" w:themeColor="text1"/>
          <w:szCs w:val="20"/>
          <w:lang w:val="es-CR"/>
        </w:rPr>
      </w:pPr>
    </w:p>
    <w:p w14:paraId="667F34D2" w14:textId="5B01929A" w:rsidR="001003AC" w:rsidRPr="00F32643" w:rsidRDefault="001003AC" w:rsidP="001003AC">
      <w:pPr>
        <w:jc w:val="center"/>
        <w:rPr>
          <w:b/>
          <w:bCs/>
          <w:color w:val="000000" w:themeColor="text1"/>
          <w:szCs w:val="20"/>
          <w:lang w:val="es-CR"/>
        </w:rPr>
      </w:pPr>
      <w:r w:rsidRPr="00F32643">
        <w:rPr>
          <w:b/>
          <w:bCs/>
          <w:color w:val="000000" w:themeColor="text1"/>
          <w:szCs w:val="20"/>
          <w:lang w:val="es-CR"/>
        </w:rPr>
        <w:t xml:space="preserve">CASO </w:t>
      </w:r>
      <w:r w:rsidR="00F6640B">
        <w:rPr>
          <w:b/>
          <w:bCs/>
          <w:color w:val="000000" w:themeColor="text1"/>
          <w:szCs w:val="20"/>
          <w:lang w:val="es-CR"/>
        </w:rPr>
        <w:t>VALENCIA CAMPOS Y OTROS</w:t>
      </w:r>
      <w:r w:rsidR="006536D6" w:rsidRPr="00F32643">
        <w:rPr>
          <w:b/>
          <w:bCs/>
          <w:color w:val="000000" w:themeColor="text1"/>
          <w:szCs w:val="20"/>
          <w:lang w:val="es-CR"/>
        </w:rPr>
        <w:t xml:space="preserve"> VS. </w:t>
      </w:r>
      <w:r w:rsidR="00F6640B">
        <w:rPr>
          <w:b/>
          <w:bCs/>
          <w:color w:val="000000" w:themeColor="text1"/>
          <w:szCs w:val="20"/>
          <w:lang w:val="es-CR"/>
        </w:rPr>
        <w:t>BOLIVIA</w:t>
      </w:r>
    </w:p>
    <w:p w14:paraId="391A3FF2" w14:textId="77777777" w:rsidR="001003AC" w:rsidRPr="00F32643" w:rsidRDefault="001003AC" w:rsidP="001003AC">
      <w:pPr>
        <w:jc w:val="center"/>
        <w:rPr>
          <w:b/>
          <w:color w:val="000000" w:themeColor="text1"/>
          <w:szCs w:val="20"/>
          <w:lang w:val="es-CR"/>
        </w:rPr>
      </w:pPr>
    </w:p>
    <w:p w14:paraId="3F13F0B8" w14:textId="1A78F7FC" w:rsidR="001003AC" w:rsidRPr="00F32643" w:rsidRDefault="001003AC" w:rsidP="001003AC">
      <w:pPr>
        <w:jc w:val="center"/>
        <w:rPr>
          <w:b/>
          <w:color w:val="000000" w:themeColor="text1"/>
          <w:szCs w:val="20"/>
          <w:lang w:val="es-CR"/>
        </w:rPr>
      </w:pPr>
      <w:bookmarkStart w:id="0" w:name="_Toc424833992"/>
      <w:bookmarkStart w:id="1" w:name="_Toc424834593"/>
      <w:bookmarkStart w:id="2" w:name="_Toc424834676"/>
      <w:bookmarkStart w:id="3" w:name="_Toc424834743"/>
      <w:r w:rsidRPr="00F32643">
        <w:rPr>
          <w:b/>
          <w:color w:val="000000" w:themeColor="text1"/>
          <w:szCs w:val="20"/>
          <w:lang w:val="es-CR"/>
        </w:rPr>
        <w:t xml:space="preserve">SENTENCIA DE </w:t>
      </w:r>
      <w:r w:rsidR="00840E93">
        <w:rPr>
          <w:b/>
          <w:color w:val="000000" w:themeColor="text1"/>
          <w:szCs w:val="20"/>
          <w:lang w:val="es-CR"/>
        </w:rPr>
        <w:t>30</w:t>
      </w:r>
      <w:r w:rsidRPr="00F32643">
        <w:rPr>
          <w:b/>
          <w:color w:val="000000" w:themeColor="text1"/>
          <w:szCs w:val="20"/>
          <w:lang w:val="es-CR"/>
        </w:rPr>
        <w:t xml:space="preserve"> DE </w:t>
      </w:r>
      <w:r w:rsidR="00840E93">
        <w:rPr>
          <w:b/>
          <w:color w:val="000000" w:themeColor="text1"/>
          <w:szCs w:val="20"/>
          <w:lang w:val="es-CR"/>
        </w:rPr>
        <w:t>AGOSTO</w:t>
      </w:r>
      <w:r w:rsidRPr="00F32643">
        <w:rPr>
          <w:b/>
          <w:color w:val="000000" w:themeColor="text1"/>
          <w:szCs w:val="20"/>
          <w:lang w:val="es-CR"/>
        </w:rPr>
        <w:t xml:space="preserve"> DE </w:t>
      </w:r>
      <w:bookmarkEnd w:id="0"/>
      <w:bookmarkEnd w:id="1"/>
      <w:bookmarkEnd w:id="2"/>
      <w:bookmarkEnd w:id="3"/>
      <w:r w:rsidRPr="00F32643">
        <w:rPr>
          <w:b/>
          <w:color w:val="000000" w:themeColor="text1"/>
          <w:szCs w:val="20"/>
          <w:lang w:val="es-CR"/>
        </w:rPr>
        <w:t>202</w:t>
      </w:r>
      <w:r w:rsidR="00B132EB">
        <w:rPr>
          <w:b/>
          <w:color w:val="000000" w:themeColor="text1"/>
          <w:szCs w:val="20"/>
          <w:lang w:val="es-CR"/>
        </w:rPr>
        <w:t>3</w:t>
      </w:r>
    </w:p>
    <w:p w14:paraId="7B069975" w14:textId="77777777" w:rsidR="001003AC" w:rsidRPr="00F32643" w:rsidRDefault="001003AC" w:rsidP="001003AC">
      <w:pPr>
        <w:jc w:val="center"/>
        <w:rPr>
          <w:color w:val="000000" w:themeColor="text1"/>
          <w:szCs w:val="20"/>
          <w:lang w:val="es-CR"/>
        </w:rPr>
      </w:pPr>
    </w:p>
    <w:p w14:paraId="164DCD82" w14:textId="77777777" w:rsidR="006073A8" w:rsidRDefault="001003AC" w:rsidP="001003AC">
      <w:pPr>
        <w:jc w:val="center"/>
        <w:rPr>
          <w:b/>
          <w:i/>
          <w:color w:val="000000" w:themeColor="text1"/>
          <w:szCs w:val="20"/>
          <w:lang w:val="es-CR"/>
        </w:rPr>
      </w:pPr>
      <w:bookmarkStart w:id="4" w:name="_Toc424833993"/>
      <w:bookmarkStart w:id="5" w:name="_Toc424834594"/>
      <w:bookmarkStart w:id="6" w:name="_Toc424834677"/>
      <w:bookmarkStart w:id="7" w:name="_Toc424834744"/>
      <w:r w:rsidRPr="00F32643">
        <w:rPr>
          <w:b/>
          <w:color w:val="000000" w:themeColor="text1"/>
          <w:szCs w:val="20"/>
          <w:lang w:val="es-CR"/>
        </w:rPr>
        <w:t>(</w:t>
      </w:r>
      <w:r w:rsidRPr="00F32643">
        <w:rPr>
          <w:b/>
          <w:i/>
          <w:color w:val="000000" w:themeColor="text1"/>
          <w:szCs w:val="20"/>
          <w:lang w:val="es-CR"/>
        </w:rPr>
        <w:t xml:space="preserve">Interpretación de la Sentencia de </w:t>
      </w:r>
      <w:r w:rsidR="00061FE7">
        <w:rPr>
          <w:b/>
          <w:i/>
          <w:color w:val="000000" w:themeColor="text1"/>
          <w:szCs w:val="20"/>
          <w:lang w:val="es-CR"/>
        </w:rPr>
        <w:t xml:space="preserve">Excepción Preliminar, </w:t>
      </w:r>
    </w:p>
    <w:p w14:paraId="473A1CCF" w14:textId="32CDA55E" w:rsidR="001003AC" w:rsidRPr="00F32643" w:rsidRDefault="001003AC" w:rsidP="001003AC">
      <w:pPr>
        <w:jc w:val="center"/>
        <w:rPr>
          <w:rFonts w:cs="Verdana"/>
          <w:b/>
          <w:bCs/>
          <w:caps/>
          <w:snapToGrid w:val="0"/>
          <w:color w:val="000000" w:themeColor="text1"/>
          <w:szCs w:val="20"/>
          <w:lang w:val="es-CR" w:eastAsia="es-ES"/>
        </w:rPr>
      </w:pPr>
      <w:r w:rsidRPr="00F32643">
        <w:rPr>
          <w:b/>
          <w:i/>
          <w:color w:val="000000" w:themeColor="text1"/>
          <w:szCs w:val="20"/>
          <w:lang w:val="es-CR"/>
        </w:rPr>
        <w:t>Fondo</w:t>
      </w:r>
      <w:r w:rsidR="003F059C" w:rsidRPr="00F32643">
        <w:rPr>
          <w:b/>
          <w:i/>
          <w:color w:val="000000" w:themeColor="text1"/>
          <w:szCs w:val="20"/>
          <w:lang w:val="es-CR"/>
        </w:rPr>
        <w:t xml:space="preserve">, </w:t>
      </w:r>
      <w:r w:rsidR="00004760" w:rsidRPr="00F32643">
        <w:rPr>
          <w:b/>
          <w:i/>
          <w:color w:val="000000" w:themeColor="text1"/>
          <w:szCs w:val="20"/>
          <w:lang w:val="es-CR"/>
        </w:rPr>
        <w:t>R</w:t>
      </w:r>
      <w:r w:rsidRPr="00F32643">
        <w:rPr>
          <w:b/>
          <w:i/>
          <w:color w:val="000000" w:themeColor="text1"/>
          <w:szCs w:val="20"/>
          <w:lang w:val="es-CR"/>
        </w:rPr>
        <w:t>eparaciones</w:t>
      </w:r>
      <w:r w:rsidR="003F059C" w:rsidRPr="00F32643">
        <w:rPr>
          <w:b/>
          <w:i/>
          <w:color w:val="000000" w:themeColor="text1"/>
          <w:szCs w:val="20"/>
          <w:lang w:val="es-CR"/>
        </w:rPr>
        <w:t xml:space="preserve"> y Costas</w:t>
      </w:r>
      <w:r w:rsidRPr="00F32643">
        <w:rPr>
          <w:b/>
          <w:color w:val="000000" w:themeColor="text1"/>
          <w:szCs w:val="20"/>
          <w:lang w:val="es-CR"/>
        </w:rPr>
        <w:t>)</w:t>
      </w:r>
      <w:bookmarkEnd w:id="4"/>
      <w:bookmarkEnd w:id="5"/>
      <w:bookmarkEnd w:id="6"/>
      <w:bookmarkEnd w:id="7"/>
    </w:p>
    <w:p w14:paraId="1B6FFC0E"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32256A2C" w14:textId="77777777" w:rsidR="001003AC" w:rsidRPr="00F32643" w:rsidRDefault="001003AC" w:rsidP="001003AC">
      <w:pPr>
        <w:widowControl w:val="0"/>
        <w:tabs>
          <w:tab w:val="left" w:pos="6932"/>
        </w:tabs>
        <w:adjustRightInd w:val="0"/>
        <w:textAlignment w:val="baseline"/>
        <w:rPr>
          <w:rFonts w:cs="Verdana"/>
          <w:b/>
          <w:bCs/>
          <w:color w:val="000000" w:themeColor="text1"/>
          <w:szCs w:val="20"/>
          <w:lang w:val="es-CR" w:eastAsia="es-CR"/>
        </w:rPr>
      </w:pPr>
      <w:r w:rsidRPr="00F32643">
        <w:rPr>
          <w:rFonts w:cs="Verdana"/>
          <w:b/>
          <w:bCs/>
          <w:color w:val="000000" w:themeColor="text1"/>
          <w:szCs w:val="20"/>
          <w:lang w:val="es-CR" w:eastAsia="es-CR"/>
        </w:rPr>
        <w:tab/>
      </w:r>
    </w:p>
    <w:p w14:paraId="6066DF97"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659C9A3D" w14:textId="368F97D3" w:rsidR="001003AC" w:rsidRPr="00F32643" w:rsidRDefault="001003AC" w:rsidP="001003AC">
      <w:pPr>
        <w:widowControl w:val="0"/>
        <w:tabs>
          <w:tab w:val="left" w:pos="567"/>
          <w:tab w:val="left" w:pos="720"/>
        </w:tabs>
        <w:adjustRightInd w:val="0"/>
        <w:textAlignment w:val="baseline"/>
        <w:rPr>
          <w:rFonts w:cs="Verdana"/>
          <w:i/>
          <w:iCs/>
          <w:color w:val="000000" w:themeColor="text1"/>
          <w:szCs w:val="20"/>
          <w:lang w:val="es-CR" w:eastAsia="es-CR"/>
        </w:rPr>
      </w:pPr>
      <w:r w:rsidRPr="00F32643">
        <w:rPr>
          <w:rFonts w:cs="Verdana"/>
          <w:color w:val="000000" w:themeColor="text1"/>
          <w:szCs w:val="20"/>
          <w:lang w:val="es-CR" w:eastAsia="es-CR"/>
        </w:rPr>
        <w:t>En el caso</w:t>
      </w:r>
      <w:r w:rsidRPr="00F32643">
        <w:rPr>
          <w:rFonts w:cs="Verdana"/>
          <w:i/>
          <w:iCs/>
          <w:color w:val="000000" w:themeColor="text1"/>
          <w:szCs w:val="20"/>
          <w:lang w:val="es-CR" w:eastAsia="es-CR"/>
        </w:rPr>
        <w:t xml:space="preserve"> </w:t>
      </w:r>
      <w:r w:rsidR="00BF091F">
        <w:rPr>
          <w:rFonts w:cs="Verdana"/>
          <w:i/>
          <w:iCs/>
          <w:color w:val="000000" w:themeColor="text1"/>
          <w:szCs w:val="20"/>
          <w:lang w:val="es-CR" w:eastAsia="es-CR"/>
        </w:rPr>
        <w:t>Valencia Campos y otros</w:t>
      </w:r>
      <w:r w:rsidR="00004760" w:rsidRPr="00F32643">
        <w:rPr>
          <w:rFonts w:cs="Verdana"/>
          <w:i/>
          <w:iCs/>
          <w:color w:val="000000" w:themeColor="text1"/>
          <w:szCs w:val="20"/>
          <w:lang w:val="es-CR" w:eastAsia="es-CR"/>
        </w:rPr>
        <w:t xml:space="preserve"> Vs. </w:t>
      </w:r>
      <w:r w:rsidR="00BF091F">
        <w:rPr>
          <w:rFonts w:cs="Verdana"/>
          <w:i/>
          <w:iCs/>
          <w:color w:val="000000" w:themeColor="text1"/>
          <w:szCs w:val="20"/>
          <w:lang w:val="es-CR" w:eastAsia="es-CR"/>
        </w:rPr>
        <w:t>Bolivia</w:t>
      </w:r>
      <w:r w:rsidRPr="00F32643">
        <w:rPr>
          <w:rFonts w:cs="Verdana"/>
          <w:i/>
          <w:iCs/>
          <w:color w:val="000000" w:themeColor="text1"/>
          <w:szCs w:val="20"/>
          <w:lang w:val="es-CR" w:eastAsia="es-CR"/>
        </w:rPr>
        <w:t xml:space="preserve">, </w:t>
      </w:r>
    </w:p>
    <w:p w14:paraId="43D61610"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07193FFA" w14:textId="15A580E3"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 xml:space="preserve">la Corte Interamericana de Derechos Humanos (en adelante “la Corte Interamericana”, “la Corte” o “el Tribunal”), integrada por los siguientes </w:t>
      </w:r>
      <w:proofErr w:type="gramStart"/>
      <w:r w:rsidRPr="00F32643">
        <w:rPr>
          <w:rFonts w:cs="Verdana"/>
          <w:color w:val="000000" w:themeColor="text1"/>
          <w:szCs w:val="20"/>
          <w:lang w:val="es-CR" w:eastAsia="es-CR"/>
        </w:rPr>
        <w:t>jueces</w:t>
      </w:r>
      <w:r w:rsidR="00B132EB">
        <w:rPr>
          <w:rFonts w:cs="Verdana"/>
          <w:color w:val="000000" w:themeColor="text1"/>
          <w:szCs w:val="20"/>
          <w:lang w:val="es-CR" w:eastAsia="es-CR"/>
        </w:rPr>
        <w:t xml:space="preserve"> y juezas</w:t>
      </w:r>
      <w:proofErr w:type="gramEnd"/>
      <w:r w:rsidRPr="00F32643">
        <w:rPr>
          <w:rFonts w:cs="Verdana"/>
          <w:color w:val="000000" w:themeColor="text1"/>
          <w:szCs w:val="20"/>
          <w:lang w:val="es-CR" w:eastAsia="es-CR"/>
        </w:rPr>
        <w:t>:</w:t>
      </w:r>
    </w:p>
    <w:p w14:paraId="6EB81D54"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p>
    <w:p w14:paraId="3CB89E26" w14:textId="6F620BE2" w:rsidR="001003AC" w:rsidRDefault="00B132EB" w:rsidP="001003AC">
      <w:pPr>
        <w:widowControl w:val="0"/>
        <w:tabs>
          <w:tab w:val="left" w:pos="567"/>
          <w:tab w:val="left" w:pos="720"/>
        </w:tabs>
        <w:adjustRightInd w:val="0"/>
        <w:textAlignment w:val="baseline"/>
        <w:rPr>
          <w:rFonts w:cs="Verdana"/>
          <w:color w:val="000000" w:themeColor="text1"/>
          <w:szCs w:val="20"/>
          <w:lang w:val="pt-BR" w:eastAsia="es-CR"/>
        </w:rPr>
      </w:pPr>
      <w:r>
        <w:rPr>
          <w:rFonts w:cs="Verdana"/>
          <w:color w:val="000000" w:themeColor="text1"/>
          <w:szCs w:val="20"/>
          <w:lang w:val="pt-BR" w:eastAsia="es-CR"/>
        </w:rPr>
        <w:t>Ricardo C. Pérez Manrique</w:t>
      </w:r>
      <w:r w:rsidR="001003AC" w:rsidRPr="00B132EB">
        <w:rPr>
          <w:rFonts w:cs="Verdana"/>
          <w:color w:val="000000" w:themeColor="text1"/>
          <w:szCs w:val="20"/>
          <w:lang w:val="pt-BR" w:eastAsia="es-CR"/>
        </w:rPr>
        <w:t xml:space="preserve">, </w:t>
      </w:r>
      <w:r w:rsidR="009A1495" w:rsidRPr="00B132EB">
        <w:rPr>
          <w:rFonts w:cs="Verdana"/>
          <w:color w:val="000000" w:themeColor="text1"/>
          <w:szCs w:val="20"/>
          <w:lang w:val="pt-BR" w:eastAsia="es-CR"/>
        </w:rPr>
        <w:t>Presidente</w:t>
      </w:r>
      <w:r w:rsidR="001003AC" w:rsidRPr="00B132EB">
        <w:rPr>
          <w:rFonts w:cs="Verdana"/>
          <w:color w:val="000000" w:themeColor="text1"/>
          <w:szCs w:val="20"/>
          <w:lang w:val="pt-BR" w:eastAsia="es-CR"/>
        </w:rPr>
        <w:t>;</w:t>
      </w:r>
    </w:p>
    <w:p w14:paraId="56609D2F" w14:textId="2747D926" w:rsidR="00046E2D" w:rsidRPr="00B132EB" w:rsidRDefault="00046E2D" w:rsidP="001003AC">
      <w:pPr>
        <w:widowControl w:val="0"/>
        <w:tabs>
          <w:tab w:val="left" w:pos="567"/>
          <w:tab w:val="left" w:pos="720"/>
        </w:tabs>
        <w:adjustRightInd w:val="0"/>
        <w:textAlignment w:val="baseline"/>
        <w:rPr>
          <w:rFonts w:cs="Verdana"/>
          <w:color w:val="000000" w:themeColor="text1"/>
          <w:szCs w:val="20"/>
          <w:lang w:val="pt-BR" w:eastAsia="es-CR"/>
        </w:rPr>
      </w:pPr>
      <w:r w:rsidRPr="00046E2D">
        <w:rPr>
          <w:rFonts w:cs="Verdana"/>
          <w:color w:val="000000" w:themeColor="text1"/>
          <w:szCs w:val="20"/>
          <w:lang w:val="pt-BR" w:eastAsia="es-CR"/>
        </w:rPr>
        <w:t xml:space="preserve">Eduardo Ferrer Mac-Gregor Poisot, </w:t>
      </w:r>
      <w:r>
        <w:rPr>
          <w:rFonts w:cs="Verdana"/>
          <w:color w:val="000000" w:themeColor="text1"/>
          <w:szCs w:val="20"/>
          <w:lang w:val="pt-BR" w:eastAsia="es-CR"/>
        </w:rPr>
        <w:t>Vicepresidente;</w:t>
      </w:r>
    </w:p>
    <w:p w14:paraId="0BE4C6B7" w14:textId="6883E183" w:rsidR="001003AC" w:rsidRDefault="00342C61" w:rsidP="00046E2D">
      <w:pPr>
        <w:widowControl w:val="0"/>
        <w:tabs>
          <w:tab w:val="left" w:pos="567"/>
          <w:tab w:val="left" w:pos="720"/>
        </w:tabs>
        <w:adjustRightInd w:val="0"/>
        <w:textAlignment w:val="baseline"/>
        <w:rPr>
          <w:rFonts w:cs="Verdana"/>
          <w:color w:val="000000" w:themeColor="text1"/>
          <w:szCs w:val="20"/>
          <w:lang w:val="es-CR" w:eastAsia="es-CR"/>
        </w:rPr>
      </w:pPr>
      <w:r w:rsidRPr="00F32643">
        <w:rPr>
          <w:rFonts w:cs="Verdana"/>
          <w:color w:val="000000" w:themeColor="text1"/>
          <w:szCs w:val="20"/>
          <w:lang w:val="es-CR" w:eastAsia="es-CR"/>
        </w:rPr>
        <w:t>Humberto Antonio Sierra Porto, Juez</w:t>
      </w:r>
      <w:r w:rsidR="00064B3A" w:rsidRPr="00F32643">
        <w:rPr>
          <w:rFonts w:cs="Verdana"/>
          <w:color w:val="000000" w:themeColor="text1"/>
          <w:szCs w:val="20"/>
          <w:lang w:val="es-CR" w:eastAsia="es-CR"/>
        </w:rPr>
        <w:t>;</w:t>
      </w:r>
    </w:p>
    <w:p w14:paraId="385B9376" w14:textId="4474C313" w:rsidR="00046E2D" w:rsidRPr="00046E2D" w:rsidRDefault="00046E2D" w:rsidP="00046E2D">
      <w:pPr>
        <w:widowControl w:val="0"/>
        <w:tabs>
          <w:tab w:val="left" w:pos="567"/>
          <w:tab w:val="left" w:pos="720"/>
        </w:tabs>
        <w:adjustRightInd w:val="0"/>
        <w:textAlignment w:val="baseline"/>
        <w:rPr>
          <w:rFonts w:cs="Verdana"/>
          <w:color w:val="000000" w:themeColor="text1"/>
          <w:szCs w:val="20"/>
          <w:lang w:val="es-CR" w:eastAsia="es-CR"/>
        </w:rPr>
      </w:pPr>
      <w:r>
        <w:rPr>
          <w:rFonts w:cs="Verdana"/>
          <w:color w:val="000000" w:themeColor="text1"/>
          <w:szCs w:val="20"/>
          <w:lang w:val="es-CR" w:eastAsia="es-CR"/>
        </w:rPr>
        <w:t>Nancy Hernández López, Jueza;</w:t>
      </w:r>
    </w:p>
    <w:p w14:paraId="7736F1ED" w14:textId="77777777" w:rsidR="00046E2D" w:rsidRDefault="00046E2D" w:rsidP="001003AC">
      <w:pPr>
        <w:pStyle w:val="citaindirecta"/>
        <w:tabs>
          <w:tab w:val="left" w:pos="567"/>
          <w:tab w:val="left" w:pos="851"/>
          <w:tab w:val="left" w:pos="7213"/>
        </w:tabs>
        <w:ind w:left="0" w:right="-174"/>
        <w:rPr>
          <w:color w:val="000000" w:themeColor="text1"/>
          <w:lang w:val="es-CR"/>
        </w:rPr>
      </w:pPr>
      <w:r>
        <w:rPr>
          <w:color w:val="000000" w:themeColor="text1"/>
          <w:lang w:val="es-CR"/>
        </w:rPr>
        <w:t>Verónica Gómez</w:t>
      </w:r>
      <w:r w:rsidR="001003AC" w:rsidRPr="00F32643">
        <w:rPr>
          <w:color w:val="000000" w:themeColor="text1"/>
          <w:lang w:val="es-CR"/>
        </w:rPr>
        <w:t>, Juez</w:t>
      </w:r>
      <w:r>
        <w:rPr>
          <w:color w:val="000000" w:themeColor="text1"/>
          <w:lang w:val="es-CR"/>
        </w:rPr>
        <w:t>a;</w:t>
      </w:r>
    </w:p>
    <w:p w14:paraId="62A80257" w14:textId="0049E40C" w:rsidR="001003AC" w:rsidRPr="00F32643" w:rsidRDefault="00046E2D" w:rsidP="001003AC">
      <w:pPr>
        <w:pStyle w:val="citaindirecta"/>
        <w:tabs>
          <w:tab w:val="left" w:pos="567"/>
          <w:tab w:val="left" w:pos="851"/>
          <w:tab w:val="left" w:pos="7213"/>
        </w:tabs>
        <w:ind w:left="0" w:right="-174"/>
        <w:rPr>
          <w:color w:val="000000" w:themeColor="text1"/>
          <w:lang w:val="es-CR"/>
        </w:rPr>
      </w:pPr>
      <w:r>
        <w:rPr>
          <w:color w:val="000000" w:themeColor="text1"/>
          <w:lang w:val="es-CR"/>
        </w:rPr>
        <w:t>Patricia Pérez Goldberg; Jueza, y</w:t>
      </w:r>
      <w:r w:rsidR="001003AC" w:rsidRPr="00F32643">
        <w:rPr>
          <w:color w:val="000000" w:themeColor="text1"/>
          <w:lang w:val="es-CR"/>
        </w:rPr>
        <w:tab/>
      </w:r>
    </w:p>
    <w:p w14:paraId="626EB5B8" w14:textId="77273378" w:rsidR="001003AC" w:rsidRPr="00F32643" w:rsidRDefault="00046E2D" w:rsidP="001003AC">
      <w:pPr>
        <w:tabs>
          <w:tab w:val="left" w:pos="567"/>
          <w:tab w:val="left" w:pos="720"/>
          <w:tab w:val="left" w:pos="851"/>
        </w:tabs>
        <w:ind w:right="-174"/>
        <w:rPr>
          <w:rFonts w:cs="Verdana"/>
          <w:color w:val="000000" w:themeColor="text1"/>
          <w:szCs w:val="20"/>
          <w:lang w:val="es-CR"/>
        </w:rPr>
      </w:pPr>
      <w:r>
        <w:rPr>
          <w:color w:val="000000" w:themeColor="text1"/>
          <w:szCs w:val="20"/>
          <w:lang w:val="es-CR"/>
        </w:rPr>
        <w:t>Rodrigo Mudrovitsch</w:t>
      </w:r>
      <w:r w:rsidR="001003AC" w:rsidRPr="00F32643">
        <w:rPr>
          <w:color w:val="000000" w:themeColor="text1"/>
          <w:szCs w:val="20"/>
          <w:lang w:val="es-CR"/>
        </w:rPr>
        <w:t>, Juez,</w:t>
      </w:r>
    </w:p>
    <w:p w14:paraId="4C3E462F"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highlight w:val="yellow"/>
          <w:lang w:val="es-CR" w:eastAsia="es-CR"/>
        </w:rPr>
      </w:pPr>
    </w:p>
    <w:p w14:paraId="0C1759F6" w14:textId="084A755A" w:rsidR="001003AC" w:rsidRPr="00F32643" w:rsidRDefault="001003AC" w:rsidP="001003AC">
      <w:pPr>
        <w:pStyle w:val="PrrafodeSentencia"/>
        <w:widowControl w:val="0"/>
        <w:numPr>
          <w:ilvl w:val="0"/>
          <w:numId w:val="0"/>
        </w:numPr>
        <w:tabs>
          <w:tab w:val="left" w:pos="720"/>
        </w:tabs>
        <w:adjustRightInd w:val="0"/>
        <w:textAlignment w:val="baseline"/>
        <w:rPr>
          <w:rFonts w:eastAsia="MS Mincho" w:cs="Verdana"/>
          <w:color w:val="000000" w:themeColor="text1"/>
          <w:spacing w:val="0"/>
          <w:szCs w:val="20"/>
          <w:lang w:eastAsia="es-CR"/>
        </w:rPr>
      </w:pPr>
      <w:r w:rsidRPr="00F32643">
        <w:rPr>
          <w:rFonts w:eastAsia="MS Mincho" w:cs="Verdana"/>
          <w:color w:val="000000" w:themeColor="text1"/>
          <w:spacing w:val="0"/>
          <w:szCs w:val="20"/>
          <w:lang w:eastAsia="es-CR"/>
        </w:rPr>
        <w:t>presente, además,</w:t>
      </w:r>
    </w:p>
    <w:p w14:paraId="76E2E085" w14:textId="77777777" w:rsidR="001003AC" w:rsidRPr="00F32643" w:rsidRDefault="001003AC" w:rsidP="001003AC">
      <w:pPr>
        <w:widowControl w:val="0"/>
        <w:tabs>
          <w:tab w:val="left" w:pos="567"/>
          <w:tab w:val="left" w:pos="720"/>
        </w:tabs>
        <w:adjustRightInd w:val="0"/>
        <w:textAlignment w:val="baseline"/>
        <w:rPr>
          <w:rFonts w:cs="Verdana"/>
          <w:color w:val="000000" w:themeColor="text1"/>
          <w:szCs w:val="20"/>
          <w:highlight w:val="yellow"/>
          <w:lang w:val="es-CR" w:eastAsia="es-CR"/>
        </w:rPr>
      </w:pPr>
    </w:p>
    <w:p w14:paraId="78CC4A52" w14:textId="195A5407" w:rsidR="001003AC" w:rsidRPr="00F6640B" w:rsidRDefault="001003AC" w:rsidP="001003AC">
      <w:pPr>
        <w:widowControl w:val="0"/>
        <w:tabs>
          <w:tab w:val="left" w:pos="567"/>
          <w:tab w:val="left" w:pos="720"/>
        </w:tabs>
        <w:adjustRightInd w:val="0"/>
        <w:textAlignment w:val="baseline"/>
        <w:rPr>
          <w:rFonts w:cs="Verdana"/>
          <w:color w:val="000000" w:themeColor="text1"/>
          <w:szCs w:val="20"/>
          <w:lang w:val="es-CR" w:eastAsia="es-CR"/>
        </w:rPr>
      </w:pPr>
      <w:r w:rsidRPr="00F6640B">
        <w:rPr>
          <w:rFonts w:cs="Verdana"/>
          <w:color w:val="000000" w:themeColor="text1"/>
          <w:szCs w:val="20"/>
          <w:lang w:val="es-CR" w:eastAsia="es-CR"/>
        </w:rPr>
        <w:t xml:space="preserve">Romina I. Sijniensky, </w:t>
      </w:r>
      <w:proofErr w:type="gramStart"/>
      <w:r w:rsidRPr="00F6640B">
        <w:rPr>
          <w:rFonts w:cs="Verdana"/>
          <w:color w:val="000000" w:themeColor="text1"/>
          <w:szCs w:val="20"/>
          <w:lang w:val="es-CR" w:eastAsia="es-CR"/>
        </w:rPr>
        <w:t>Secretaria</w:t>
      </w:r>
      <w:proofErr w:type="gramEnd"/>
      <w:r w:rsidRPr="00F6640B">
        <w:rPr>
          <w:rFonts w:cs="Verdana"/>
          <w:color w:val="000000" w:themeColor="text1"/>
          <w:szCs w:val="20"/>
          <w:lang w:val="es-CR" w:eastAsia="es-CR"/>
        </w:rPr>
        <w:t xml:space="preserve"> Adjunta</w:t>
      </w:r>
      <w:r w:rsidRPr="00F6640B">
        <w:rPr>
          <w:rFonts w:cs="Verdana"/>
          <w:color w:val="000000" w:themeColor="text1"/>
          <w:lang w:val="es-CR" w:eastAsia="es-CR"/>
        </w:rPr>
        <w:t>,</w:t>
      </w:r>
    </w:p>
    <w:p w14:paraId="504C1D4E" w14:textId="77777777" w:rsidR="001003AC" w:rsidRPr="00F6640B" w:rsidRDefault="001003AC" w:rsidP="001003AC">
      <w:pPr>
        <w:pStyle w:val="Textocomentario"/>
        <w:widowControl w:val="0"/>
        <w:tabs>
          <w:tab w:val="left" w:pos="567"/>
          <w:tab w:val="left" w:pos="720"/>
        </w:tabs>
        <w:adjustRightInd w:val="0"/>
        <w:textAlignment w:val="baseline"/>
        <w:rPr>
          <w:rFonts w:cs="Verdana"/>
          <w:strike/>
          <w:color w:val="000000" w:themeColor="text1"/>
          <w:lang w:val="es-CR" w:eastAsia="es-MX"/>
        </w:rPr>
      </w:pPr>
    </w:p>
    <w:p w14:paraId="130D1A5F" w14:textId="7F26C46A" w:rsidR="001003AC" w:rsidRPr="00F32643" w:rsidRDefault="001003AC"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r w:rsidRPr="00F32643">
        <w:rPr>
          <w:rFonts w:ascii="Verdana" w:hAnsi="Verdana" w:cs="Verdana"/>
          <w:color w:val="000000" w:themeColor="text1"/>
          <w:lang w:val="es-CR" w:eastAsia="es-CR"/>
        </w:rPr>
        <w:t>de conformidad con el artículo 67 de la Convención Americana sobre Derechos Humanos (en adelante también “la Convención Americana” o “la Convención”) y el artículo 68 del Reglamento de la Corte (en adelante también “el Reglamento”), resuelve la solicitud de interpretación de la S</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r w:rsidRPr="00F32643">
        <w:rPr>
          <w:rFonts w:ascii="Verdana" w:hAnsi="Verdana" w:cs="Verdana"/>
          <w:color w:val="000000" w:themeColor="text1"/>
          <w:lang w:val="es-CR" w:eastAsia="es-CR"/>
        </w:rPr>
        <w:t xml:space="preserve">entencia sobre </w:t>
      </w:r>
      <w:r w:rsidR="00EA2743">
        <w:rPr>
          <w:rFonts w:ascii="Verdana" w:hAnsi="Verdana" w:cs="Verdana"/>
          <w:color w:val="000000" w:themeColor="text1"/>
          <w:lang w:val="es-CR" w:eastAsia="es-CR"/>
        </w:rPr>
        <w:t xml:space="preserve">Excepción Preliminar, </w:t>
      </w:r>
      <w:r w:rsidRPr="00F32643">
        <w:rPr>
          <w:rFonts w:ascii="Verdana" w:hAnsi="Verdana" w:cs="Verdana"/>
          <w:color w:val="000000" w:themeColor="text1"/>
          <w:lang w:val="es-CR" w:eastAsia="es-CR"/>
        </w:rPr>
        <w:t>Fondo</w:t>
      </w:r>
      <w:r w:rsidR="00C04293" w:rsidRPr="00F32643">
        <w:rPr>
          <w:rFonts w:ascii="Verdana" w:hAnsi="Verdana" w:cs="Verdana"/>
          <w:color w:val="000000" w:themeColor="text1"/>
          <w:lang w:val="es-CR" w:eastAsia="es-CR"/>
        </w:rPr>
        <w:t>,</w:t>
      </w:r>
      <w:r w:rsidRPr="00F32643">
        <w:rPr>
          <w:rFonts w:ascii="Verdana" w:hAnsi="Verdana" w:cs="Verdana"/>
          <w:color w:val="000000" w:themeColor="text1"/>
          <w:lang w:val="es-CR" w:eastAsia="es-CR"/>
        </w:rPr>
        <w:t xml:space="preserve"> Reparaciones</w:t>
      </w:r>
      <w:r w:rsidR="00C04293" w:rsidRPr="00F32643">
        <w:rPr>
          <w:rFonts w:ascii="Verdana" w:hAnsi="Verdana" w:cs="Verdana"/>
          <w:color w:val="000000" w:themeColor="text1"/>
          <w:lang w:val="es-CR" w:eastAsia="es-CR"/>
        </w:rPr>
        <w:t xml:space="preserve"> y Costas</w:t>
      </w:r>
      <w:r w:rsidRPr="00F32643">
        <w:rPr>
          <w:rFonts w:ascii="Verdana" w:hAnsi="Verdana" w:cs="Verdana"/>
          <w:color w:val="000000" w:themeColor="text1"/>
          <w:lang w:val="es-CR" w:eastAsia="es-CR"/>
        </w:rPr>
        <w:t xml:space="preserve"> emitida por este Tribunal el </w:t>
      </w:r>
      <w:r w:rsidR="0035658D">
        <w:rPr>
          <w:rFonts w:ascii="Verdana" w:hAnsi="Verdana" w:cs="Verdana"/>
          <w:color w:val="000000" w:themeColor="text1"/>
          <w:lang w:val="es-CR" w:eastAsia="es-CR"/>
        </w:rPr>
        <w:t>18 de octubre</w:t>
      </w:r>
      <w:r w:rsidR="003568A9" w:rsidRPr="00F32643">
        <w:rPr>
          <w:rFonts w:ascii="Verdana" w:hAnsi="Verdana" w:cs="Verdana"/>
          <w:color w:val="000000" w:themeColor="text1"/>
          <w:lang w:val="es-CR" w:eastAsia="es-CR"/>
        </w:rPr>
        <w:t xml:space="preserve"> de 202</w:t>
      </w:r>
      <w:r w:rsidR="00046E2D">
        <w:rPr>
          <w:rFonts w:ascii="Verdana" w:hAnsi="Verdana" w:cs="Verdana"/>
          <w:color w:val="000000" w:themeColor="text1"/>
          <w:lang w:val="es-CR" w:eastAsia="es-CR"/>
        </w:rPr>
        <w:t>2</w:t>
      </w:r>
      <w:r w:rsidRPr="00F32643">
        <w:rPr>
          <w:rFonts w:ascii="Verdana" w:hAnsi="Verdana" w:cs="Verdana"/>
          <w:color w:val="000000" w:themeColor="text1"/>
          <w:lang w:val="es-CR" w:eastAsia="es-CR"/>
        </w:rPr>
        <w:t xml:space="preserve">, interpuesta el </w:t>
      </w:r>
      <w:r w:rsidR="0035658D">
        <w:rPr>
          <w:rFonts w:ascii="Verdana" w:hAnsi="Verdana" w:cs="Verdana"/>
          <w:color w:val="000000" w:themeColor="text1"/>
          <w:lang w:val="es-CR" w:eastAsia="es-CR"/>
        </w:rPr>
        <w:t>17 de abril</w:t>
      </w:r>
      <w:r w:rsidRPr="00F32643">
        <w:rPr>
          <w:rFonts w:ascii="Verdana" w:hAnsi="Verdana" w:cs="Verdana"/>
          <w:color w:val="000000" w:themeColor="text1"/>
          <w:lang w:val="es-CR" w:eastAsia="es-CR"/>
        </w:rPr>
        <w:t xml:space="preserve"> de 202</w:t>
      </w:r>
      <w:r w:rsidR="009F1E1E">
        <w:rPr>
          <w:rFonts w:ascii="Verdana" w:hAnsi="Verdana" w:cs="Verdana"/>
          <w:color w:val="000000" w:themeColor="text1"/>
          <w:lang w:val="es-CR" w:eastAsia="es-CR"/>
        </w:rPr>
        <w:t>3</w:t>
      </w:r>
      <w:r w:rsidRPr="00F32643">
        <w:rPr>
          <w:rFonts w:ascii="Verdana" w:hAnsi="Verdana" w:cs="Verdana"/>
          <w:color w:val="000000" w:themeColor="text1"/>
          <w:lang w:val="es-CR" w:eastAsia="es-CR"/>
        </w:rPr>
        <w:t xml:space="preserve"> por </w:t>
      </w:r>
      <w:r w:rsidR="0035658D">
        <w:rPr>
          <w:rFonts w:ascii="Verdana" w:hAnsi="Verdana" w:cs="Verdana"/>
          <w:color w:val="000000" w:themeColor="text1"/>
          <w:lang w:val="es-CR" w:eastAsia="es-CR"/>
        </w:rPr>
        <w:t>el Estado Plurinacional de Bolivia</w:t>
      </w:r>
      <w:r w:rsidRPr="00F32643">
        <w:rPr>
          <w:rFonts w:ascii="Verdana" w:hAnsi="Verdana" w:cs="Verdana"/>
          <w:color w:val="000000" w:themeColor="text1"/>
          <w:lang w:val="es-CR" w:eastAsia="es-CR"/>
        </w:rPr>
        <w:t xml:space="preserve"> (en adelante también “el Estado” o “</w:t>
      </w:r>
      <w:r w:rsidR="0035658D">
        <w:rPr>
          <w:rFonts w:ascii="Verdana" w:hAnsi="Verdana" w:cs="Verdana"/>
          <w:color w:val="000000" w:themeColor="text1"/>
          <w:lang w:val="es-CR" w:eastAsia="es-CR"/>
        </w:rPr>
        <w:t>Bolivia</w:t>
      </w:r>
      <w:r w:rsidRPr="00F32643">
        <w:rPr>
          <w:rFonts w:ascii="Verdana" w:hAnsi="Verdana" w:cs="Verdana"/>
          <w:color w:val="000000" w:themeColor="text1"/>
          <w:lang w:val="es-CR" w:eastAsia="es-CR"/>
        </w:rPr>
        <w:t>”).</w:t>
      </w:r>
      <w:bookmarkStart w:id="32" w:name="_Toc4402698"/>
      <w:bookmarkStart w:id="33" w:name="_Toc4402937"/>
      <w:bookmarkStart w:id="34" w:name="_Toc8209824"/>
    </w:p>
    <w:p w14:paraId="3028B8B7" w14:textId="77777777" w:rsidR="00150B6B" w:rsidRDefault="00150B6B"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3900BA21"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1ACE74EC"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6C80251E"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69D4B2F9" w14:textId="77777777" w:rsidR="009F1E1E"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0B84ED7D" w14:textId="77777777" w:rsidR="009F1E1E" w:rsidRPr="00F32643" w:rsidRDefault="009F1E1E" w:rsidP="001003AC">
      <w:pPr>
        <w:pStyle w:val="Textoindependiente1"/>
        <w:tabs>
          <w:tab w:val="left" w:pos="567"/>
          <w:tab w:val="left" w:pos="720"/>
        </w:tabs>
        <w:adjustRightInd w:val="0"/>
        <w:textAlignment w:val="baseline"/>
        <w:rPr>
          <w:rFonts w:ascii="Verdana" w:hAnsi="Verdana" w:cs="Verdana"/>
          <w:color w:val="000000" w:themeColor="text1"/>
          <w:lang w:val="es-CR" w:eastAsia="es-CR"/>
        </w:rPr>
      </w:pPr>
    </w:p>
    <w:p w14:paraId="7C3B89B5" w14:textId="5BF04D73" w:rsidR="001003AC" w:rsidRPr="00F32643" w:rsidRDefault="001003AC" w:rsidP="009F1E1E">
      <w:pPr>
        <w:pStyle w:val="Ttulo1"/>
        <w:spacing w:before="0" w:after="0"/>
        <w:rPr>
          <w:color w:val="000000" w:themeColor="text1"/>
          <w:lang w:val="es-CR"/>
        </w:rPr>
      </w:pPr>
      <w:bookmarkStart w:id="35" w:name="_Toc48736672"/>
      <w:bookmarkStart w:id="36" w:name="_Toc57872373"/>
      <w:r w:rsidRPr="00F32643">
        <w:rPr>
          <w:color w:val="000000" w:themeColor="text1"/>
          <w:lang w:val="es-CR"/>
        </w:rPr>
        <w:lastRenderedPageBreak/>
        <w:t>I</w:t>
      </w:r>
      <w:r w:rsidRPr="00F32643">
        <w:rPr>
          <w:color w:val="000000" w:themeColor="text1"/>
          <w:lang w:val="es-CR"/>
        </w:rPr>
        <w:br/>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r w:rsidRPr="00F32643">
        <w:rPr>
          <w:color w:val="000000" w:themeColor="text1"/>
          <w:lang w:val="es-CR"/>
        </w:rPr>
        <w:t>SOLICITUD DE INTERPRETACIÓN Y PROCEDIMIENTO ANTE LA CORTE</w:t>
      </w:r>
    </w:p>
    <w:p w14:paraId="131ED706" w14:textId="77777777" w:rsidR="001003AC" w:rsidRPr="00F32643" w:rsidRDefault="001003AC" w:rsidP="001003AC">
      <w:pPr>
        <w:pStyle w:val="Sinespaciado"/>
        <w:tabs>
          <w:tab w:val="left" w:pos="567"/>
        </w:tabs>
        <w:contextualSpacing/>
        <w:jc w:val="both"/>
        <w:rPr>
          <w:rFonts w:ascii="Verdana" w:hAnsi="Verdana"/>
          <w:color w:val="000000" w:themeColor="text1"/>
          <w:sz w:val="20"/>
          <w:szCs w:val="20"/>
          <w:lang w:val="es-CR"/>
        </w:rPr>
      </w:pPr>
    </w:p>
    <w:p w14:paraId="212BB4CF" w14:textId="45B86F1A"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El </w:t>
      </w:r>
      <w:r w:rsidR="008D4F68">
        <w:rPr>
          <w:color w:val="000000" w:themeColor="text1"/>
          <w:spacing w:val="0"/>
          <w:szCs w:val="20"/>
        </w:rPr>
        <w:t>18 de octubre</w:t>
      </w:r>
      <w:r w:rsidR="00B31096" w:rsidRPr="00F32643">
        <w:rPr>
          <w:color w:val="000000" w:themeColor="text1"/>
          <w:spacing w:val="0"/>
          <w:szCs w:val="20"/>
        </w:rPr>
        <w:t xml:space="preserve"> de 202</w:t>
      </w:r>
      <w:r w:rsidR="009F1E1E">
        <w:rPr>
          <w:color w:val="000000" w:themeColor="text1"/>
          <w:spacing w:val="0"/>
          <w:szCs w:val="20"/>
        </w:rPr>
        <w:t>2</w:t>
      </w:r>
      <w:r w:rsidRPr="00F32643">
        <w:rPr>
          <w:color w:val="000000" w:themeColor="text1"/>
          <w:spacing w:val="0"/>
          <w:szCs w:val="20"/>
        </w:rPr>
        <w:t xml:space="preserve"> la Corte Interamericana emitió la Sentencia en el presente caso, la cual fue notificada a las partes y a la Comisión Interamericana de Derechos Humanos (en adelante también </w:t>
      </w:r>
      <w:r w:rsidR="009F1E1E">
        <w:rPr>
          <w:color w:val="000000" w:themeColor="text1"/>
          <w:spacing w:val="0"/>
          <w:szCs w:val="20"/>
        </w:rPr>
        <w:t xml:space="preserve">“la Comisión Interamericana” o </w:t>
      </w:r>
      <w:r w:rsidRPr="00F32643">
        <w:rPr>
          <w:color w:val="000000" w:themeColor="text1"/>
          <w:spacing w:val="0"/>
          <w:szCs w:val="20"/>
        </w:rPr>
        <w:t xml:space="preserve">“la Comisión”) el </w:t>
      </w:r>
      <w:r w:rsidR="00081AD0">
        <w:rPr>
          <w:color w:val="000000" w:themeColor="text1"/>
          <w:spacing w:val="0"/>
          <w:szCs w:val="20"/>
        </w:rPr>
        <w:t>25</w:t>
      </w:r>
      <w:r w:rsidR="009F1E1E">
        <w:rPr>
          <w:color w:val="000000" w:themeColor="text1"/>
          <w:spacing w:val="0"/>
          <w:szCs w:val="20"/>
        </w:rPr>
        <w:t xml:space="preserve"> de enero de 2023</w:t>
      </w:r>
      <w:r w:rsidRPr="00F32643">
        <w:rPr>
          <w:color w:val="000000" w:themeColor="text1"/>
          <w:spacing w:val="0"/>
          <w:szCs w:val="20"/>
        </w:rPr>
        <w:t>.</w:t>
      </w:r>
    </w:p>
    <w:p w14:paraId="24C42272" w14:textId="77777777" w:rsidR="001003AC" w:rsidRPr="00F32643" w:rsidRDefault="001003AC" w:rsidP="001003AC">
      <w:pPr>
        <w:rPr>
          <w:color w:val="000000" w:themeColor="text1"/>
          <w:lang w:val="es-CR" w:eastAsia="es-MX"/>
        </w:rPr>
      </w:pPr>
    </w:p>
    <w:p w14:paraId="136A4090" w14:textId="0C3F441D" w:rsidR="001003AC" w:rsidRPr="00F32643" w:rsidRDefault="001003AC" w:rsidP="001003AC">
      <w:pPr>
        <w:pStyle w:val="PrrafodeSentencia"/>
        <w:rPr>
          <w:color w:val="000000" w:themeColor="text1"/>
          <w:spacing w:val="0"/>
        </w:rPr>
      </w:pPr>
      <w:r w:rsidRPr="00F32643">
        <w:rPr>
          <w:color w:val="000000" w:themeColor="text1"/>
          <w:spacing w:val="0"/>
        </w:rPr>
        <w:t xml:space="preserve">El </w:t>
      </w:r>
      <w:r w:rsidR="00081AD0">
        <w:rPr>
          <w:color w:val="000000" w:themeColor="text1"/>
          <w:spacing w:val="0"/>
        </w:rPr>
        <w:t>17 de abril</w:t>
      </w:r>
      <w:r w:rsidR="009F1E1E">
        <w:rPr>
          <w:color w:val="000000" w:themeColor="text1"/>
          <w:spacing w:val="0"/>
        </w:rPr>
        <w:t xml:space="preserve"> de 2023</w:t>
      </w:r>
      <w:r w:rsidRPr="00F32643">
        <w:rPr>
          <w:color w:val="000000" w:themeColor="text1"/>
          <w:spacing w:val="0"/>
        </w:rPr>
        <w:t xml:space="preserve"> el Estado sometió una solicitud de </w:t>
      </w:r>
      <w:r w:rsidR="001F0EE4" w:rsidRPr="00F32643">
        <w:rPr>
          <w:color w:val="000000" w:themeColor="text1"/>
          <w:spacing w:val="0"/>
        </w:rPr>
        <w:t>interpretación de la Sentencia</w:t>
      </w:r>
      <w:r w:rsidR="0099717A">
        <w:rPr>
          <w:color w:val="000000" w:themeColor="text1"/>
          <w:spacing w:val="0"/>
        </w:rPr>
        <w:t xml:space="preserve"> respecto a los alcances del pago de costas y gastos de </w:t>
      </w:r>
      <w:r w:rsidR="00423A60">
        <w:rPr>
          <w:color w:val="000000" w:themeColor="text1"/>
          <w:spacing w:val="0"/>
        </w:rPr>
        <w:t>una de las representaciones</w:t>
      </w:r>
      <w:r w:rsidR="0099717A">
        <w:rPr>
          <w:color w:val="000000" w:themeColor="text1"/>
          <w:spacing w:val="0"/>
        </w:rPr>
        <w:t xml:space="preserve"> y </w:t>
      </w:r>
      <w:r w:rsidR="0010024A">
        <w:rPr>
          <w:color w:val="000000" w:themeColor="text1"/>
          <w:spacing w:val="0"/>
        </w:rPr>
        <w:t>a</w:t>
      </w:r>
      <w:r w:rsidR="0099717A">
        <w:rPr>
          <w:color w:val="000000" w:themeColor="text1"/>
          <w:spacing w:val="0"/>
        </w:rPr>
        <w:t xml:space="preserve"> la medida de tratamiento médico</w:t>
      </w:r>
      <w:r w:rsidR="00423A60">
        <w:rPr>
          <w:color w:val="000000" w:themeColor="text1"/>
          <w:spacing w:val="0"/>
        </w:rPr>
        <w:t xml:space="preserve"> y</w:t>
      </w:r>
      <w:r w:rsidR="0099717A">
        <w:rPr>
          <w:color w:val="000000" w:themeColor="text1"/>
          <w:spacing w:val="0"/>
        </w:rPr>
        <w:t xml:space="preserve"> psicológico y/o psiquiátrico</w:t>
      </w:r>
      <w:r w:rsidR="00F46387" w:rsidRPr="00F32643">
        <w:rPr>
          <w:color w:val="000000" w:themeColor="text1"/>
          <w:spacing w:val="0"/>
        </w:rPr>
        <w:t>.</w:t>
      </w:r>
    </w:p>
    <w:p w14:paraId="6E3BA349" w14:textId="77777777" w:rsidR="001003AC" w:rsidRPr="00F32643" w:rsidRDefault="001003AC" w:rsidP="001003AC">
      <w:pPr>
        <w:rPr>
          <w:color w:val="000000" w:themeColor="text1"/>
          <w:lang w:val="es-CR" w:eastAsia="es-MX"/>
        </w:rPr>
      </w:pPr>
    </w:p>
    <w:p w14:paraId="00F41299" w14:textId="7224D5F6" w:rsidR="001003AC" w:rsidRPr="00F32643" w:rsidRDefault="001003AC" w:rsidP="001003AC">
      <w:pPr>
        <w:pStyle w:val="PrrafodeSentencia"/>
        <w:rPr>
          <w:color w:val="000000" w:themeColor="text1"/>
          <w:spacing w:val="0"/>
        </w:rPr>
      </w:pPr>
      <w:r w:rsidRPr="00F32643">
        <w:rPr>
          <w:color w:val="000000" w:themeColor="text1"/>
          <w:spacing w:val="0"/>
        </w:rPr>
        <w:t xml:space="preserve">El </w:t>
      </w:r>
      <w:r w:rsidR="00C01BEE">
        <w:rPr>
          <w:color w:val="000000" w:themeColor="text1"/>
          <w:spacing w:val="0"/>
        </w:rPr>
        <w:t>5 de mayo de 2023</w:t>
      </w:r>
      <w:r w:rsidRPr="00F32643">
        <w:rPr>
          <w:color w:val="000000" w:themeColor="text1"/>
          <w:spacing w:val="0"/>
        </w:rPr>
        <w:t>, de conformidad con el artículo 68.2 del Reglamento y siguiendo instrucciones de la Presiden</w:t>
      </w:r>
      <w:r w:rsidR="00F11BA5" w:rsidRPr="00F32643">
        <w:rPr>
          <w:color w:val="000000" w:themeColor="text1"/>
          <w:spacing w:val="0"/>
        </w:rPr>
        <w:t>cia</w:t>
      </w:r>
      <w:r w:rsidRPr="00F32643">
        <w:rPr>
          <w:color w:val="000000" w:themeColor="text1"/>
          <w:spacing w:val="0"/>
        </w:rPr>
        <w:t xml:space="preserve"> de la Corte, la Secretaría </w:t>
      </w:r>
      <w:r w:rsidR="00925E91">
        <w:rPr>
          <w:color w:val="000000" w:themeColor="text1"/>
          <w:spacing w:val="0"/>
        </w:rPr>
        <w:t>del Tribunal</w:t>
      </w:r>
      <w:r w:rsidRPr="00F32643">
        <w:rPr>
          <w:color w:val="000000" w:themeColor="text1"/>
          <w:spacing w:val="0"/>
        </w:rPr>
        <w:t xml:space="preserve"> transmitió la referida solicitud de interpretación a los representantes de la</w:t>
      </w:r>
      <w:r w:rsidR="000054EB" w:rsidRPr="00F32643">
        <w:rPr>
          <w:color w:val="000000" w:themeColor="text1"/>
          <w:spacing w:val="0"/>
        </w:rPr>
        <w:t>s</w:t>
      </w:r>
      <w:r w:rsidRPr="00F32643">
        <w:rPr>
          <w:color w:val="000000" w:themeColor="text1"/>
          <w:spacing w:val="0"/>
        </w:rPr>
        <w:t xml:space="preserve"> víctima</w:t>
      </w:r>
      <w:r w:rsidR="000054EB" w:rsidRPr="00F32643">
        <w:rPr>
          <w:color w:val="000000" w:themeColor="text1"/>
          <w:spacing w:val="0"/>
        </w:rPr>
        <w:t>s</w:t>
      </w:r>
      <w:r w:rsidRPr="00F32643">
        <w:rPr>
          <w:color w:val="000000" w:themeColor="text1"/>
          <w:spacing w:val="0"/>
        </w:rPr>
        <w:t xml:space="preserve"> (en adelante “los representantes”)</w:t>
      </w:r>
      <w:r w:rsidRPr="00F32643">
        <w:rPr>
          <w:rStyle w:val="Refdenotaalpie"/>
          <w:color w:val="000000" w:themeColor="text1"/>
          <w:spacing w:val="0"/>
        </w:rPr>
        <w:footnoteReference w:id="1"/>
      </w:r>
      <w:r w:rsidRPr="00F32643">
        <w:rPr>
          <w:color w:val="000000" w:themeColor="text1"/>
          <w:spacing w:val="0"/>
        </w:rPr>
        <w:t xml:space="preserve"> y a la Comisión</w:t>
      </w:r>
      <w:r w:rsidR="000054EB" w:rsidRPr="00F32643">
        <w:rPr>
          <w:color w:val="000000" w:themeColor="text1"/>
          <w:spacing w:val="0"/>
        </w:rPr>
        <w:t xml:space="preserve"> Interamericana</w:t>
      </w:r>
      <w:r w:rsidRPr="00F32643">
        <w:rPr>
          <w:color w:val="000000" w:themeColor="text1"/>
          <w:spacing w:val="0"/>
        </w:rPr>
        <w:t xml:space="preserve">, y les otorgó un plazo para que, a más tardar el </w:t>
      </w:r>
      <w:r w:rsidR="006823FE">
        <w:rPr>
          <w:color w:val="000000" w:themeColor="text1"/>
          <w:spacing w:val="0"/>
        </w:rPr>
        <w:t>5 de junio</w:t>
      </w:r>
      <w:r w:rsidR="00C01BEE">
        <w:rPr>
          <w:color w:val="000000" w:themeColor="text1"/>
          <w:spacing w:val="0"/>
        </w:rPr>
        <w:t xml:space="preserve"> de 2023</w:t>
      </w:r>
      <w:r w:rsidRPr="00F32643">
        <w:rPr>
          <w:color w:val="000000" w:themeColor="text1"/>
          <w:spacing w:val="0"/>
        </w:rPr>
        <w:t xml:space="preserve">, presentaran por escrito las observaciones que estimaran pertinentes. </w:t>
      </w:r>
      <w:r w:rsidR="005B49BD">
        <w:rPr>
          <w:color w:val="000000" w:themeColor="text1"/>
          <w:spacing w:val="0"/>
        </w:rPr>
        <w:t xml:space="preserve">Los días </w:t>
      </w:r>
      <w:r w:rsidR="00E814F4">
        <w:rPr>
          <w:color w:val="000000" w:themeColor="text1"/>
          <w:spacing w:val="0"/>
        </w:rPr>
        <w:t>26 de mayo y 2 y 5 de junio de 2023</w:t>
      </w:r>
      <w:r w:rsidRPr="00F32643">
        <w:rPr>
          <w:color w:val="000000" w:themeColor="text1"/>
          <w:spacing w:val="0"/>
        </w:rPr>
        <w:t xml:space="preserve"> </w:t>
      </w:r>
      <w:r w:rsidR="0044101C">
        <w:rPr>
          <w:color w:val="000000" w:themeColor="text1"/>
          <w:spacing w:val="0"/>
        </w:rPr>
        <w:t xml:space="preserve">los Defensores Públicos Interamericanos, el representante </w:t>
      </w:r>
      <w:proofErr w:type="spellStart"/>
      <w:r w:rsidR="0044101C">
        <w:rPr>
          <w:color w:val="000000" w:themeColor="text1"/>
          <w:spacing w:val="0"/>
        </w:rPr>
        <w:t>Jemio</w:t>
      </w:r>
      <w:proofErr w:type="spellEnd"/>
      <w:r w:rsidR="0044101C">
        <w:rPr>
          <w:color w:val="000000" w:themeColor="text1"/>
          <w:spacing w:val="0"/>
        </w:rPr>
        <w:t xml:space="preserve"> Mendoza</w:t>
      </w:r>
      <w:r w:rsidRPr="00F32643">
        <w:rPr>
          <w:color w:val="000000" w:themeColor="text1"/>
          <w:spacing w:val="0"/>
        </w:rPr>
        <w:t xml:space="preserve"> y la Comisión remitieron sus</w:t>
      </w:r>
      <w:r w:rsidR="00EF5A05" w:rsidRPr="00F32643">
        <w:rPr>
          <w:color w:val="000000" w:themeColor="text1"/>
          <w:spacing w:val="0"/>
        </w:rPr>
        <w:t xml:space="preserve"> respectivas</w:t>
      </w:r>
      <w:r w:rsidRPr="00F32643">
        <w:rPr>
          <w:color w:val="000000" w:themeColor="text1"/>
          <w:spacing w:val="0"/>
        </w:rPr>
        <w:t xml:space="preserve"> observaciones.</w:t>
      </w:r>
      <w:r w:rsidR="00F9460B">
        <w:rPr>
          <w:color w:val="000000" w:themeColor="text1"/>
          <w:spacing w:val="0"/>
        </w:rPr>
        <w:t xml:space="preserve"> El representante </w:t>
      </w:r>
      <w:r w:rsidR="009F709D">
        <w:rPr>
          <w:color w:val="000000" w:themeColor="text1"/>
          <w:spacing w:val="0"/>
        </w:rPr>
        <w:t xml:space="preserve">Gómez Rojas no presentó observaciones. </w:t>
      </w:r>
    </w:p>
    <w:p w14:paraId="2E7A1A6D" w14:textId="77777777" w:rsidR="001003AC" w:rsidRPr="00F32643" w:rsidRDefault="001003AC" w:rsidP="001003AC">
      <w:pPr>
        <w:rPr>
          <w:color w:val="000000" w:themeColor="text1"/>
          <w:szCs w:val="20"/>
          <w:lang w:val="es-CR" w:eastAsia="es-MX"/>
        </w:rPr>
      </w:pPr>
    </w:p>
    <w:p w14:paraId="1D548CD6" w14:textId="77777777" w:rsidR="001003AC" w:rsidRPr="00F32643" w:rsidRDefault="001003AC" w:rsidP="001003AC">
      <w:pPr>
        <w:pStyle w:val="Ttulo1"/>
        <w:spacing w:before="0" w:after="0"/>
        <w:rPr>
          <w:color w:val="000000" w:themeColor="text1"/>
          <w:lang w:val="es-CR"/>
        </w:rPr>
      </w:pPr>
      <w:bookmarkStart w:id="37" w:name="_Toc424834680"/>
      <w:bookmarkStart w:id="38" w:name="_Toc427932786"/>
      <w:bookmarkStart w:id="39" w:name="_Toc431584603"/>
      <w:bookmarkStart w:id="40" w:name="_Toc434850391"/>
      <w:bookmarkStart w:id="41" w:name="_Toc469593448"/>
      <w:bookmarkStart w:id="42" w:name="_Toc469594431"/>
      <w:bookmarkStart w:id="43" w:name="_Toc469594533"/>
      <w:bookmarkStart w:id="44" w:name="_Toc469594796"/>
      <w:bookmarkStart w:id="45" w:name="_Toc469594899"/>
      <w:bookmarkStart w:id="46" w:name="_Toc469940915"/>
      <w:bookmarkStart w:id="47" w:name="_Toc4402699"/>
      <w:bookmarkStart w:id="48" w:name="_Toc4402938"/>
      <w:bookmarkStart w:id="49" w:name="_Toc8209825"/>
      <w:bookmarkStart w:id="50" w:name="_Toc48736673"/>
      <w:bookmarkStart w:id="51" w:name="_Toc57872374"/>
      <w:r w:rsidRPr="00F32643">
        <w:rPr>
          <w:color w:val="000000" w:themeColor="text1"/>
          <w:lang w:val="es-CR"/>
        </w:rPr>
        <w:t>II</w:t>
      </w:r>
      <w:bookmarkStart w:id="52" w:name="_Toc424833997"/>
      <w:bookmarkStart w:id="53" w:name="_Toc424834681"/>
      <w:bookmarkStart w:id="54" w:name="_Toc424834748"/>
      <w:bookmarkStart w:id="55" w:name="_Toc427342825"/>
      <w:bookmarkStart w:id="56" w:name="_Toc427663811"/>
      <w:bookmarkStart w:id="57" w:name="_Toc427932787"/>
      <w:bookmarkStart w:id="58" w:name="_Toc427943550"/>
      <w:bookmarkStart w:id="59" w:name="_Toc427943724"/>
      <w:bookmarkStart w:id="60" w:name="_Toc431584604"/>
      <w:bookmarkStart w:id="61" w:name="_Toc431584720"/>
      <w:bookmarkStart w:id="62" w:name="_Toc431585025"/>
      <w:bookmarkStart w:id="63" w:name="_Toc431646542"/>
      <w:bookmarkStart w:id="64" w:name="_Toc431834525"/>
      <w:bookmarkStart w:id="65" w:name="_Toc431834621"/>
      <w:bookmarkStart w:id="66" w:name="_Toc308537926"/>
      <w:bookmarkStart w:id="67" w:name="_Toc308538146"/>
      <w:bookmarkStart w:id="68" w:name="_Toc434849913"/>
      <w:bookmarkStart w:id="69" w:name="_Toc434850392"/>
      <w:bookmarkStart w:id="70" w:name="_Toc469594900"/>
      <w:bookmarkStart w:id="71" w:name="_Toc469664209"/>
      <w:bookmarkStart w:id="72" w:name="_Toc469664471"/>
      <w:bookmarkStart w:id="73" w:name="_Toc469940916"/>
      <w:bookmarkEnd w:id="37"/>
      <w:bookmarkEnd w:id="38"/>
      <w:bookmarkEnd w:id="39"/>
      <w:bookmarkEnd w:id="40"/>
      <w:bookmarkEnd w:id="41"/>
      <w:bookmarkEnd w:id="42"/>
      <w:bookmarkEnd w:id="43"/>
      <w:bookmarkEnd w:id="44"/>
      <w:bookmarkEnd w:id="45"/>
      <w:bookmarkEnd w:id="46"/>
      <w:r w:rsidRPr="00F32643">
        <w:rPr>
          <w:color w:val="000000" w:themeColor="text1"/>
          <w:lang w:val="es-CR"/>
        </w:rPr>
        <w:br/>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r w:rsidRPr="00F32643">
        <w:rPr>
          <w:color w:val="000000" w:themeColor="text1"/>
          <w:lang w:val="es-CR"/>
        </w:rPr>
        <w:t>Competencia</w:t>
      </w:r>
    </w:p>
    <w:p w14:paraId="4FABA66D" w14:textId="77777777" w:rsidR="001003AC" w:rsidRPr="00F32643" w:rsidRDefault="001003AC" w:rsidP="001003AC">
      <w:pPr>
        <w:contextualSpacing/>
        <w:rPr>
          <w:color w:val="000000" w:themeColor="text1"/>
          <w:szCs w:val="20"/>
          <w:lang w:val="es-CR"/>
        </w:rPr>
      </w:pPr>
    </w:p>
    <w:p w14:paraId="071C7A08" w14:textId="77777777" w:rsidR="001003AC" w:rsidRPr="00F32643" w:rsidRDefault="001003AC" w:rsidP="001003AC">
      <w:pPr>
        <w:pStyle w:val="PrrafodeSentencia"/>
        <w:rPr>
          <w:color w:val="000000" w:themeColor="text1"/>
          <w:spacing w:val="0"/>
          <w:szCs w:val="20"/>
        </w:rPr>
      </w:pPr>
      <w:bookmarkStart w:id="74" w:name="_Ref308343867"/>
      <w:bookmarkStart w:id="75" w:name="_Ref357172044"/>
      <w:bookmarkStart w:id="76" w:name="_Ref464815038"/>
      <w:r w:rsidRPr="00F32643">
        <w:rPr>
          <w:color w:val="000000" w:themeColor="text1"/>
          <w:spacing w:val="0"/>
          <w:szCs w:val="20"/>
        </w:rPr>
        <w:t>El artículo 67 de la Convención Americana establece:</w:t>
      </w:r>
    </w:p>
    <w:p w14:paraId="6A823934" w14:textId="77777777" w:rsidR="001003AC" w:rsidRPr="00F32643" w:rsidRDefault="001003AC" w:rsidP="001003AC">
      <w:pPr>
        <w:rPr>
          <w:color w:val="000000" w:themeColor="text1"/>
          <w:lang w:val="es-CR" w:eastAsia="es-MX"/>
        </w:rPr>
      </w:pPr>
    </w:p>
    <w:p w14:paraId="20D977DA" w14:textId="77777777" w:rsidR="001003AC" w:rsidRPr="00F32643" w:rsidRDefault="001003AC" w:rsidP="001003AC">
      <w:pPr>
        <w:ind w:left="567" w:right="567"/>
        <w:rPr>
          <w:color w:val="000000" w:themeColor="text1"/>
          <w:sz w:val="18"/>
          <w:szCs w:val="18"/>
          <w:lang w:val="es-CR" w:eastAsia="es-MX"/>
        </w:rPr>
      </w:pPr>
      <w:r w:rsidRPr="00F32643">
        <w:rPr>
          <w:color w:val="000000" w:themeColor="text1"/>
          <w:sz w:val="18"/>
          <w:szCs w:val="18"/>
          <w:lang w:val="es-CR" w:eastAsia="es-MX"/>
        </w:rPr>
        <w:t>El fallo de la Corte será definitivo e inapelable. En caso de desacuerdo sobre el sentido o alcance del fallo, la Corte lo interpretará a solicitud de cualquiera de las partes, siempre que dicha solicitud se presente dentro de los noventa días a partir de la fecha de la notificación del fallo.</w:t>
      </w:r>
    </w:p>
    <w:p w14:paraId="51D7B89E" w14:textId="77777777" w:rsidR="001003AC" w:rsidRPr="00F32643" w:rsidRDefault="001003AC" w:rsidP="001003AC">
      <w:pPr>
        <w:pStyle w:val="PrrafodeSentencia"/>
        <w:numPr>
          <w:ilvl w:val="0"/>
          <w:numId w:val="0"/>
        </w:numPr>
        <w:rPr>
          <w:b/>
          <w:color w:val="000000" w:themeColor="text1"/>
          <w:spacing w:val="0"/>
          <w:szCs w:val="20"/>
        </w:rPr>
      </w:pPr>
      <w:r w:rsidRPr="00F32643">
        <w:rPr>
          <w:color w:val="000000" w:themeColor="text1"/>
          <w:spacing w:val="0"/>
          <w:szCs w:val="20"/>
        </w:rPr>
        <w:tab/>
      </w:r>
    </w:p>
    <w:bookmarkEnd w:id="74"/>
    <w:bookmarkEnd w:id="75"/>
    <w:bookmarkEnd w:id="76"/>
    <w:p w14:paraId="5BD257BE" w14:textId="509013C7"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De conformidad con el artículo citado, la Corte Interamericana es competente para interpretar sus </w:t>
      </w:r>
      <w:r w:rsidR="00C66C83">
        <w:rPr>
          <w:color w:val="000000" w:themeColor="text1"/>
          <w:spacing w:val="0"/>
          <w:szCs w:val="20"/>
        </w:rPr>
        <w:t>F</w:t>
      </w:r>
      <w:r w:rsidRPr="00F32643">
        <w:rPr>
          <w:color w:val="000000" w:themeColor="text1"/>
          <w:spacing w:val="0"/>
          <w:szCs w:val="20"/>
        </w:rPr>
        <w:t>allos. Para realizar el examen de las solicitudes de interpretación y resolver lo que a este respecto corresponda, este Tribunal debe tener, si es posible, la misma composición que tenía al dictar la Sentencia respectiva, de acuerdo con el artículo 68.3 del Reglamento. En esta ocasión, la Corte está integrada</w:t>
      </w:r>
      <w:r w:rsidR="009C66A9">
        <w:rPr>
          <w:color w:val="000000" w:themeColor="text1"/>
        </w:rPr>
        <w:t xml:space="preserve"> </w:t>
      </w:r>
      <w:r w:rsidRPr="00F32643">
        <w:rPr>
          <w:color w:val="000000" w:themeColor="text1"/>
          <w:spacing w:val="0"/>
          <w:szCs w:val="20"/>
        </w:rPr>
        <w:t>por los mismos Jueces que dictaron la Sentencia cuya interpretación ha sido solicitada.</w:t>
      </w:r>
    </w:p>
    <w:p w14:paraId="2F7D05C4" w14:textId="77777777" w:rsidR="001003AC" w:rsidRPr="00F32643" w:rsidRDefault="001003AC" w:rsidP="001003AC">
      <w:pPr>
        <w:rPr>
          <w:color w:val="000000" w:themeColor="text1"/>
          <w:lang w:val="es-CR" w:eastAsia="es-MX"/>
        </w:rPr>
      </w:pPr>
    </w:p>
    <w:p w14:paraId="6A52FFB3" w14:textId="77777777" w:rsidR="001003AC" w:rsidRPr="00F32643" w:rsidRDefault="001003AC" w:rsidP="001003AC">
      <w:pPr>
        <w:pStyle w:val="Ttulo1"/>
        <w:spacing w:before="0" w:after="0"/>
        <w:rPr>
          <w:snapToGrid w:val="0"/>
          <w:color w:val="000000" w:themeColor="text1"/>
          <w:szCs w:val="20"/>
          <w:lang w:val="es-CR"/>
        </w:rPr>
      </w:pPr>
      <w:bookmarkStart w:id="77" w:name="_Toc424834682"/>
      <w:bookmarkStart w:id="78" w:name="_Toc427932788"/>
      <w:bookmarkStart w:id="79" w:name="_Toc431584605"/>
      <w:bookmarkStart w:id="80" w:name="_Toc434850393"/>
      <w:bookmarkStart w:id="81" w:name="_Toc469593450"/>
      <w:bookmarkStart w:id="82" w:name="_Toc469594433"/>
      <w:bookmarkStart w:id="83" w:name="_Toc469594535"/>
      <w:bookmarkStart w:id="84" w:name="_Toc469594798"/>
      <w:bookmarkStart w:id="85" w:name="_Toc469594901"/>
      <w:bookmarkStart w:id="86" w:name="_Toc469940917"/>
      <w:bookmarkStart w:id="87" w:name="_Toc4402700"/>
      <w:bookmarkStart w:id="88" w:name="_Toc4402939"/>
      <w:bookmarkStart w:id="89" w:name="_Toc8209826"/>
      <w:bookmarkStart w:id="90" w:name="_Toc48736674"/>
      <w:bookmarkStart w:id="91" w:name="_Toc57872375"/>
      <w:r w:rsidRPr="00F32643">
        <w:rPr>
          <w:snapToGrid w:val="0"/>
          <w:color w:val="000000" w:themeColor="text1"/>
          <w:szCs w:val="20"/>
          <w:lang w:val="es-CR"/>
        </w:rPr>
        <w:t>III</w:t>
      </w:r>
      <w:bookmarkStart w:id="92" w:name="_Toc375062724"/>
      <w:bookmarkStart w:id="93" w:name="_Toc375140874"/>
      <w:bookmarkStart w:id="94" w:name="_Toc375504833"/>
      <w:bookmarkStart w:id="95" w:name="_Toc375560907"/>
      <w:bookmarkStart w:id="96" w:name="_Toc395213493"/>
      <w:bookmarkStart w:id="97" w:name="_Toc396514850"/>
      <w:bookmarkStart w:id="98" w:name="_Toc396515126"/>
      <w:bookmarkStart w:id="99" w:name="_Toc402039405"/>
      <w:bookmarkStart w:id="100" w:name="_Toc403670648"/>
      <w:bookmarkStart w:id="101" w:name="_Toc403671384"/>
      <w:bookmarkStart w:id="102" w:name="_Toc405774576"/>
      <w:bookmarkStart w:id="103" w:name="_Toc405857779"/>
      <w:bookmarkStart w:id="104" w:name="_Toc424833999"/>
      <w:bookmarkStart w:id="105" w:name="_Toc424834683"/>
      <w:bookmarkStart w:id="106" w:name="_Toc424834750"/>
      <w:bookmarkStart w:id="107" w:name="_Toc427234538"/>
      <w:bookmarkStart w:id="108" w:name="_Toc427342827"/>
      <w:bookmarkStart w:id="109" w:name="_Toc427663813"/>
      <w:bookmarkStart w:id="110" w:name="_Toc427932789"/>
      <w:bookmarkStart w:id="111" w:name="_Toc427943552"/>
      <w:bookmarkStart w:id="112" w:name="_Toc427943726"/>
      <w:bookmarkStart w:id="113" w:name="_Toc431584606"/>
      <w:bookmarkStart w:id="114" w:name="_Toc431584722"/>
      <w:bookmarkStart w:id="115" w:name="_Toc431585027"/>
      <w:bookmarkStart w:id="116" w:name="_Toc431646544"/>
      <w:bookmarkStart w:id="117" w:name="_Toc431834623"/>
      <w:bookmarkStart w:id="118" w:name="_Toc308537928"/>
      <w:bookmarkStart w:id="119" w:name="_Toc308538148"/>
      <w:bookmarkStart w:id="120" w:name="_Toc434849915"/>
      <w:bookmarkStart w:id="121" w:name="_Toc434850394"/>
      <w:bookmarkStart w:id="122" w:name="_Toc469594902"/>
      <w:bookmarkStart w:id="123" w:name="_Toc469664211"/>
      <w:bookmarkStart w:id="124" w:name="_Toc469664473"/>
      <w:bookmarkStart w:id="125" w:name="_Toc469940918"/>
      <w:bookmarkEnd w:id="77"/>
      <w:bookmarkEnd w:id="78"/>
      <w:bookmarkEnd w:id="79"/>
      <w:bookmarkEnd w:id="80"/>
      <w:bookmarkEnd w:id="81"/>
      <w:bookmarkEnd w:id="82"/>
      <w:bookmarkEnd w:id="83"/>
      <w:bookmarkEnd w:id="84"/>
      <w:bookmarkEnd w:id="85"/>
      <w:bookmarkEnd w:id="86"/>
      <w:r w:rsidRPr="00F32643">
        <w:rPr>
          <w:snapToGrid w:val="0"/>
          <w:color w:val="000000" w:themeColor="text1"/>
          <w:szCs w:val="20"/>
          <w:lang w:val="es-CR"/>
        </w:rPr>
        <w:br/>
      </w:r>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r w:rsidRPr="00F32643">
        <w:rPr>
          <w:snapToGrid w:val="0"/>
          <w:color w:val="000000" w:themeColor="text1"/>
          <w:szCs w:val="20"/>
          <w:lang w:val="es-CR"/>
        </w:rPr>
        <w:t>Admisibilidad</w:t>
      </w:r>
    </w:p>
    <w:p w14:paraId="0D286B85" w14:textId="77777777" w:rsidR="001003AC" w:rsidRPr="00F32643" w:rsidRDefault="001003AC" w:rsidP="001003AC">
      <w:pPr>
        <w:rPr>
          <w:color w:val="000000" w:themeColor="text1"/>
          <w:lang w:val="es-CR"/>
        </w:rPr>
      </w:pPr>
    </w:p>
    <w:p w14:paraId="4D92C9D5" w14:textId="784CB620" w:rsidR="001003AC" w:rsidRPr="00C66C83" w:rsidRDefault="001003AC" w:rsidP="000C64FC">
      <w:pPr>
        <w:pStyle w:val="PrrafodeSentencia"/>
        <w:spacing w:before="120" w:after="120"/>
        <w:rPr>
          <w:color w:val="000000" w:themeColor="text1"/>
          <w:spacing w:val="0"/>
          <w:szCs w:val="20"/>
        </w:rPr>
      </w:pPr>
      <w:r w:rsidRPr="00F32643">
        <w:rPr>
          <w:color w:val="000000" w:themeColor="text1"/>
          <w:spacing w:val="0"/>
          <w:szCs w:val="20"/>
        </w:rPr>
        <w:lastRenderedPageBreak/>
        <w:t>Corresponde a la Corte verificar si la solicitud presentada por el Estado cumple con los requisitos establecidos en las normas aplicables a una solicitud de interpretación de Sentencia, a saber, el artículo 67 de la Convención anteriormente citado, y el artículo 68 del Reglamento</w:t>
      </w:r>
      <w:r w:rsidR="00976776" w:rsidRPr="00F32643">
        <w:rPr>
          <w:rStyle w:val="Refdenotaalpie"/>
          <w:color w:val="000000" w:themeColor="text1"/>
          <w:spacing w:val="0"/>
        </w:rPr>
        <w:footnoteReference w:id="2"/>
      </w:r>
      <w:r w:rsidRPr="00F32643">
        <w:rPr>
          <w:color w:val="000000" w:themeColor="text1"/>
          <w:spacing w:val="0"/>
          <w:szCs w:val="20"/>
        </w:rPr>
        <w:t xml:space="preserve">. </w:t>
      </w:r>
      <w:r w:rsidR="00E00B37" w:rsidRPr="00F32643">
        <w:rPr>
          <w:color w:val="000000" w:themeColor="text1"/>
          <w:spacing w:val="0"/>
          <w:szCs w:val="20"/>
        </w:rPr>
        <w:t>Asimismo, el artículo 31.3 del Reglamento establece que “[c]</w:t>
      </w:r>
      <w:proofErr w:type="spellStart"/>
      <w:r w:rsidR="00E00B37" w:rsidRPr="00F32643">
        <w:rPr>
          <w:color w:val="000000" w:themeColor="text1"/>
          <w:spacing w:val="0"/>
          <w:szCs w:val="20"/>
        </w:rPr>
        <w:t>ontra</w:t>
      </w:r>
      <w:proofErr w:type="spellEnd"/>
      <w:r w:rsidR="00E00B37" w:rsidRPr="00F32643">
        <w:rPr>
          <w:color w:val="000000" w:themeColor="text1"/>
          <w:spacing w:val="0"/>
          <w:szCs w:val="20"/>
        </w:rPr>
        <w:t xml:space="preserve"> las sentencias y resoluciones de la Corte no procede ningún medio de impugnación”.</w:t>
      </w:r>
    </w:p>
    <w:p w14:paraId="1355D5C3" w14:textId="250DBBA7" w:rsidR="001003AC" w:rsidRPr="00F32643" w:rsidRDefault="00B32A4F" w:rsidP="001003AC">
      <w:pPr>
        <w:pStyle w:val="PrrafodeSentencia"/>
        <w:rPr>
          <w:color w:val="000000" w:themeColor="text1"/>
          <w:spacing w:val="0"/>
        </w:rPr>
      </w:pPr>
      <w:r w:rsidRPr="00F32643">
        <w:rPr>
          <w:color w:val="000000" w:themeColor="text1"/>
          <w:spacing w:val="0"/>
        </w:rPr>
        <w:t xml:space="preserve">La Corte nota que las partes fueron notificadas de la Sentencia el </w:t>
      </w:r>
      <w:r w:rsidR="00581637">
        <w:rPr>
          <w:color w:val="000000" w:themeColor="text1"/>
          <w:spacing w:val="0"/>
        </w:rPr>
        <w:t xml:space="preserve">25 </w:t>
      </w:r>
      <w:r w:rsidR="00C66C83">
        <w:rPr>
          <w:color w:val="000000" w:themeColor="text1"/>
          <w:spacing w:val="0"/>
        </w:rPr>
        <w:t>de enero de 2023</w:t>
      </w:r>
      <w:r w:rsidR="00370AE5" w:rsidRPr="00F32643">
        <w:rPr>
          <w:color w:val="000000" w:themeColor="text1"/>
          <w:spacing w:val="0"/>
        </w:rPr>
        <w:t xml:space="preserve"> y el Estado presentó su solicitud de interpretación el </w:t>
      </w:r>
      <w:r w:rsidR="00581637">
        <w:rPr>
          <w:color w:val="000000" w:themeColor="text1"/>
          <w:spacing w:val="0"/>
        </w:rPr>
        <w:t>17 de abril</w:t>
      </w:r>
      <w:r w:rsidR="00C66C83">
        <w:rPr>
          <w:color w:val="000000" w:themeColor="text1"/>
          <w:spacing w:val="0"/>
        </w:rPr>
        <w:t xml:space="preserve"> de ese mismo año</w:t>
      </w:r>
      <w:r w:rsidR="00370AE5" w:rsidRPr="00F32643">
        <w:rPr>
          <w:color w:val="000000" w:themeColor="text1"/>
          <w:spacing w:val="0"/>
        </w:rPr>
        <w:t>, dentro del plazo</w:t>
      </w:r>
      <w:r w:rsidR="00CD1852" w:rsidRPr="00F32643">
        <w:rPr>
          <w:color w:val="000000" w:themeColor="text1"/>
          <w:spacing w:val="0"/>
        </w:rPr>
        <w:t xml:space="preserve"> de 90 días</w:t>
      </w:r>
      <w:r w:rsidR="00370AE5" w:rsidRPr="00F32643">
        <w:rPr>
          <w:color w:val="000000" w:themeColor="text1"/>
          <w:spacing w:val="0"/>
        </w:rPr>
        <w:t xml:space="preserve"> establecido en el artículo 67 de la Convención. Por lo tanto, la solicitud es admisible en lo que se refiere </w:t>
      </w:r>
      <w:r w:rsidR="00DE0683" w:rsidRPr="00F32643">
        <w:rPr>
          <w:color w:val="000000" w:themeColor="text1"/>
          <w:spacing w:val="0"/>
        </w:rPr>
        <w:t xml:space="preserve">al plazo </w:t>
      </w:r>
      <w:r w:rsidR="00C66C83">
        <w:rPr>
          <w:color w:val="000000" w:themeColor="text1"/>
          <w:spacing w:val="0"/>
        </w:rPr>
        <w:t>de su presentación</w:t>
      </w:r>
      <w:r w:rsidR="00DE0683" w:rsidRPr="00F32643">
        <w:rPr>
          <w:color w:val="000000" w:themeColor="text1"/>
          <w:spacing w:val="0"/>
        </w:rPr>
        <w:t xml:space="preserve">. En cuanto a los demás requisitos, la Corte </w:t>
      </w:r>
      <w:r w:rsidR="005519A8" w:rsidRPr="00F32643">
        <w:rPr>
          <w:color w:val="000000" w:themeColor="text1"/>
          <w:spacing w:val="0"/>
        </w:rPr>
        <w:t xml:space="preserve">realizará el análisis respectivo en el </w:t>
      </w:r>
      <w:r w:rsidR="00C66C83">
        <w:rPr>
          <w:color w:val="000000" w:themeColor="text1"/>
          <w:spacing w:val="0"/>
        </w:rPr>
        <w:t>siguiente</w:t>
      </w:r>
      <w:r w:rsidR="001A54FC" w:rsidRPr="00F32643">
        <w:rPr>
          <w:color w:val="000000" w:themeColor="text1"/>
          <w:spacing w:val="0"/>
        </w:rPr>
        <w:t xml:space="preserve"> capítulo.</w:t>
      </w:r>
    </w:p>
    <w:p w14:paraId="5EF64419" w14:textId="77777777" w:rsidR="001003AC" w:rsidRPr="00F32643" w:rsidRDefault="001003AC" w:rsidP="001003AC">
      <w:pPr>
        <w:rPr>
          <w:color w:val="000000" w:themeColor="text1"/>
          <w:lang w:val="es-CR" w:eastAsia="es-MX"/>
        </w:rPr>
      </w:pPr>
    </w:p>
    <w:p w14:paraId="1F3C75BA" w14:textId="77777777" w:rsidR="001003AC" w:rsidRPr="00F32643" w:rsidRDefault="001003AC" w:rsidP="001003AC">
      <w:pPr>
        <w:rPr>
          <w:color w:val="000000" w:themeColor="text1"/>
          <w:lang w:val="es-CR" w:eastAsia="es-MX"/>
        </w:rPr>
      </w:pPr>
    </w:p>
    <w:p w14:paraId="6D7D24AD" w14:textId="77777777" w:rsidR="001003AC" w:rsidRPr="00F32643" w:rsidRDefault="001003AC" w:rsidP="001003AC">
      <w:pPr>
        <w:pStyle w:val="Ttulo1"/>
        <w:spacing w:before="0" w:after="0"/>
        <w:rPr>
          <w:color w:val="000000" w:themeColor="text1"/>
          <w:lang w:val="es-CR"/>
        </w:rPr>
      </w:pPr>
      <w:bookmarkStart w:id="126" w:name="_Toc4402708"/>
      <w:bookmarkStart w:id="127" w:name="_Toc4402947"/>
      <w:bookmarkStart w:id="128" w:name="_Toc8209834"/>
      <w:bookmarkStart w:id="129" w:name="_Toc48736675"/>
      <w:bookmarkStart w:id="130" w:name="_Toc57872376"/>
      <w:r w:rsidRPr="00F32643">
        <w:rPr>
          <w:color w:val="000000" w:themeColor="text1"/>
          <w:lang w:val="es-CR"/>
        </w:rPr>
        <w:t>IV</w:t>
      </w:r>
      <w:r w:rsidRPr="00F32643">
        <w:rPr>
          <w:color w:val="000000" w:themeColor="text1"/>
          <w:lang w:val="es-CR"/>
        </w:rPr>
        <w:br/>
      </w:r>
      <w:bookmarkEnd w:id="126"/>
      <w:bookmarkEnd w:id="127"/>
      <w:bookmarkEnd w:id="128"/>
      <w:bookmarkEnd w:id="129"/>
      <w:bookmarkEnd w:id="130"/>
      <w:r w:rsidRPr="00F32643">
        <w:rPr>
          <w:color w:val="000000" w:themeColor="text1"/>
          <w:lang w:val="es-CR"/>
        </w:rPr>
        <w:t>Análisis de la procedencia de la solicitud de interpretación</w:t>
      </w:r>
    </w:p>
    <w:p w14:paraId="74F50551" w14:textId="77777777" w:rsidR="001003AC" w:rsidRPr="00F32643" w:rsidRDefault="001003AC" w:rsidP="001003AC">
      <w:pPr>
        <w:rPr>
          <w:color w:val="000000" w:themeColor="text1"/>
          <w:lang w:val="es-CR"/>
        </w:rPr>
      </w:pPr>
    </w:p>
    <w:p w14:paraId="76D9FA05" w14:textId="4D2B3D1A" w:rsidR="001003AC" w:rsidRPr="00F32643" w:rsidRDefault="001003AC" w:rsidP="001003AC">
      <w:pPr>
        <w:pStyle w:val="PrrafodeSentencia"/>
        <w:rPr>
          <w:color w:val="000000" w:themeColor="text1"/>
          <w:spacing w:val="0"/>
        </w:rPr>
      </w:pPr>
      <w:r w:rsidRPr="00F32643">
        <w:rPr>
          <w:color w:val="000000" w:themeColor="text1"/>
          <w:spacing w:val="0"/>
        </w:rPr>
        <w:t xml:space="preserve">Este Tribunal analizará la solicitud de interpretación del Estado para determinar si, </w:t>
      </w:r>
      <w:r w:rsidR="00876FDF" w:rsidRPr="00F32643">
        <w:rPr>
          <w:color w:val="000000" w:themeColor="text1"/>
          <w:spacing w:val="0"/>
        </w:rPr>
        <w:t>de acuerdo con</w:t>
      </w:r>
      <w:r w:rsidRPr="00F32643">
        <w:rPr>
          <w:color w:val="000000" w:themeColor="text1"/>
          <w:spacing w:val="0"/>
        </w:rPr>
        <w:t xml:space="preserve"> la normativa y </w:t>
      </w:r>
      <w:r w:rsidR="00876FDF" w:rsidRPr="00F32643">
        <w:rPr>
          <w:color w:val="000000" w:themeColor="text1"/>
          <w:spacing w:val="0"/>
        </w:rPr>
        <w:t>con</w:t>
      </w:r>
      <w:r w:rsidRPr="00F32643">
        <w:rPr>
          <w:color w:val="000000" w:themeColor="text1"/>
          <w:spacing w:val="0"/>
        </w:rPr>
        <w:t xml:space="preserve"> los estándares desarrollados en su jurisprudencia, procede o no aclarar el sentido o alcance</w:t>
      </w:r>
      <w:r w:rsidR="00C66C83">
        <w:rPr>
          <w:color w:val="000000" w:themeColor="text1"/>
          <w:spacing w:val="0"/>
        </w:rPr>
        <w:t xml:space="preserve"> </w:t>
      </w:r>
      <w:r w:rsidR="005D76B6">
        <w:rPr>
          <w:color w:val="000000" w:themeColor="text1"/>
          <w:spacing w:val="0"/>
        </w:rPr>
        <w:t>de algún punto de la Sentencia</w:t>
      </w:r>
      <w:r w:rsidRPr="00F32643">
        <w:rPr>
          <w:color w:val="000000" w:themeColor="text1"/>
          <w:spacing w:val="0"/>
        </w:rPr>
        <w:t>.</w:t>
      </w:r>
    </w:p>
    <w:p w14:paraId="23598CED" w14:textId="77777777" w:rsidR="001003AC" w:rsidRPr="00F32643" w:rsidRDefault="001003AC" w:rsidP="001003AC">
      <w:pPr>
        <w:rPr>
          <w:color w:val="000000" w:themeColor="text1"/>
          <w:lang w:val="es-CR" w:eastAsia="es-MX"/>
        </w:rPr>
      </w:pPr>
    </w:p>
    <w:p w14:paraId="3D80245C" w14:textId="542DD71A" w:rsidR="001003AC" w:rsidRPr="00F32643" w:rsidRDefault="001003AC" w:rsidP="001003AC">
      <w:pPr>
        <w:pStyle w:val="PrrafodeSentencia"/>
        <w:rPr>
          <w:color w:val="000000" w:themeColor="text1"/>
          <w:spacing w:val="0"/>
        </w:rPr>
      </w:pPr>
      <w:r w:rsidRPr="00F32643">
        <w:rPr>
          <w:color w:val="000000" w:themeColor="text1"/>
          <w:spacing w:val="0"/>
        </w:rPr>
        <w:t xml:space="preserve">La Corte ha señalado que una solicitud de interpretación de </w:t>
      </w:r>
      <w:r w:rsidR="00581637">
        <w:rPr>
          <w:color w:val="000000" w:themeColor="text1"/>
          <w:spacing w:val="0"/>
        </w:rPr>
        <w:t>S</w:t>
      </w:r>
      <w:r w:rsidRPr="00F32643">
        <w:rPr>
          <w:color w:val="000000" w:themeColor="text1"/>
          <w:spacing w:val="0"/>
        </w:rPr>
        <w:t xml:space="preserve">entencia no puede utilizarse como medio de impugnación de la decisión cuya interpretación se requiere. Dicha solicitud tiene como objeto, exclusivamente, determinar el sentido de un fallo cuando alguna de las partes sostiene que el texto de sus puntos resolutivos o de sus consideraciones carece de claridad o precisión, siempre y cuando esas consideraciones incidan en dicha parte resolutiva. Por lo tanto, no se puede solicitar la modificación o anulación de la </w:t>
      </w:r>
      <w:r w:rsidR="00581637">
        <w:rPr>
          <w:color w:val="000000" w:themeColor="text1"/>
          <w:spacing w:val="0"/>
        </w:rPr>
        <w:t>S</w:t>
      </w:r>
      <w:r w:rsidRPr="00F32643">
        <w:rPr>
          <w:color w:val="000000" w:themeColor="text1"/>
          <w:spacing w:val="0"/>
        </w:rPr>
        <w:t>entencia respectiva a través de una solicitud de interpretación</w:t>
      </w:r>
      <w:r w:rsidRPr="00F32643">
        <w:rPr>
          <w:rStyle w:val="Refdenotaalpie"/>
          <w:color w:val="000000" w:themeColor="text1"/>
          <w:spacing w:val="0"/>
        </w:rPr>
        <w:footnoteReference w:id="3"/>
      </w:r>
      <w:r w:rsidRPr="00F32643">
        <w:rPr>
          <w:color w:val="000000" w:themeColor="text1"/>
          <w:spacing w:val="0"/>
        </w:rPr>
        <w:t xml:space="preserve">. </w:t>
      </w:r>
    </w:p>
    <w:p w14:paraId="77FFA31A" w14:textId="77777777" w:rsidR="001003AC" w:rsidRPr="00F32643" w:rsidRDefault="001003AC" w:rsidP="001003AC">
      <w:pPr>
        <w:rPr>
          <w:color w:val="000000" w:themeColor="text1"/>
          <w:lang w:val="es-CR" w:eastAsia="es-MX"/>
        </w:rPr>
      </w:pPr>
    </w:p>
    <w:p w14:paraId="01E7A2F8" w14:textId="4E68D1D2" w:rsidR="001003AC" w:rsidRPr="0099717A" w:rsidRDefault="001003AC" w:rsidP="001003AC">
      <w:pPr>
        <w:pStyle w:val="PrrafodeSentencia"/>
        <w:rPr>
          <w:color w:val="000000" w:themeColor="text1"/>
          <w:spacing w:val="0"/>
        </w:rPr>
      </w:pPr>
      <w:r w:rsidRPr="00F32643">
        <w:rPr>
          <w:color w:val="000000" w:themeColor="text1"/>
          <w:spacing w:val="0"/>
        </w:rPr>
        <w:t>Adicionalmente, la Corte ha sostenido la improcedencia de utilizar una solicitud de interpretación para someter consideraciones sobre cuestiones de hecho y de derecho que ya fueron planteadas en su oportunidad procesal y sobre las cuales la Corte ya adoptó una decisión</w:t>
      </w:r>
      <w:r w:rsidRPr="00F32643">
        <w:rPr>
          <w:rStyle w:val="Refdenotaalpie"/>
          <w:color w:val="000000" w:themeColor="text1"/>
          <w:spacing w:val="0"/>
        </w:rPr>
        <w:footnoteReference w:id="4"/>
      </w:r>
      <w:r w:rsidRPr="00F32643">
        <w:rPr>
          <w:color w:val="000000" w:themeColor="text1"/>
          <w:spacing w:val="0"/>
        </w:rPr>
        <w:t>, así como para pretender que la Corte valore nuevamente cuestiones que ya han sido resueltas en la Sentencia</w:t>
      </w:r>
      <w:r w:rsidRPr="00F32643">
        <w:rPr>
          <w:rStyle w:val="Refdenotaalpie"/>
          <w:color w:val="000000" w:themeColor="text1"/>
          <w:spacing w:val="0"/>
        </w:rPr>
        <w:footnoteReference w:id="5"/>
      </w:r>
      <w:r w:rsidRPr="00F32643">
        <w:rPr>
          <w:color w:val="000000" w:themeColor="text1"/>
          <w:spacing w:val="0"/>
        </w:rPr>
        <w:t>. De igual manera, por esta vía tampoco se puede intentar que se amplíe el alcance de una medida de reparación ordenada oportunamente</w:t>
      </w:r>
      <w:r w:rsidRPr="00F32643">
        <w:rPr>
          <w:rStyle w:val="Refdenotaalpie"/>
          <w:color w:val="000000" w:themeColor="text1"/>
          <w:spacing w:val="0"/>
        </w:rPr>
        <w:footnoteReference w:id="6"/>
      </w:r>
      <w:r w:rsidRPr="00F32643">
        <w:rPr>
          <w:color w:val="000000" w:themeColor="text1"/>
          <w:spacing w:val="0"/>
        </w:rPr>
        <w:t>.</w:t>
      </w:r>
    </w:p>
    <w:p w14:paraId="2E63C13D" w14:textId="79ECE2D9" w:rsidR="001003AC" w:rsidRPr="00695863" w:rsidRDefault="00F5392D" w:rsidP="00695863">
      <w:pPr>
        <w:pStyle w:val="PrrafodeSentencia"/>
        <w:rPr>
          <w:color w:val="000000" w:themeColor="text1"/>
          <w:spacing w:val="0"/>
        </w:rPr>
      </w:pPr>
      <w:r>
        <w:lastRenderedPageBreak/>
        <w:t>A continuación, l</w:t>
      </w:r>
      <w:r w:rsidR="001003AC" w:rsidRPr="00F32643">
        <w:t xml:space="preserve">a Corte Interamericana examinará </w:t>
      </w:r>
      <w:r>
        <w:t>la</w:t>
      </w:r>
      <w:r w:rsidR="00695863">
        <w:t>s</w:t>
      </w:r>
      <w:r>
        <w:t xml:space="preserve"> cuesti</w:t>
      </w:r>
      <w:r w:rsidR="00695863">
        <w:t>ones</w:t>
      </w:r>
      <w:r>
        <w:t xml:space="preserve"> planteada</w:t>
      </w:r>
      <w:r w:rsidR="00695863">
        <w:t>s</w:t>
      </w:r>
      <w:r>
        <w:t xml:space="preserve"> por el Estado</w:t>
      </w:r>
      <w:r w:rsidR="00695863">
        <w:t xml:space="preserve"> en el siguiente orden: a) </w:t>
      </w:r>
      <w:r w:rsidR="00695863">
        <w:rPr>
          <w:color w:val="000000" w:themeColor="text1"/>
          <w:spacing w:val="0"/>
        </w:rPr>
        <w:t>la s</w:t>
      </w:r>
      <w:r w:rsidR="00695863" w:rsidRPr="00695863">
        <w:rPr>
          <w:color w:val="000000" w:themeColor="text1"/>
          <w:spacing w:val="0"/>
        </w:rPr>
        <w:t>olicitud de interpretación respecto al alcance del pago de costas y gastos de una de las representaciones</w:t>
      </w:r>
      <w:r w:rsidR="005D76B6">
        <w:rPr>
          <w:color w:val="000000" w:themeColor="text1"/>
          <w:spacing w:val="0"/>
        </w:rPr>
        <w:t xml:space="preserve"> de las presuntas víctimas</w:t>
      </w:r>
      <w:r w:rsidR="00695863">
        <w:rPr>
          <w:color w:val="000000" w:themeColor="text1"/>
          <w:spacing w:val="0"/>
        </w:rPr>
        <w:t>, y b) la s</w:t>
      </w:r>
      <w:r w:rsidR="00695863" w:rsidRPr="00695863">
        <w:rPr>
          <w:color w:val="000000" w:themeColor="text1"/>
          <w:spacing w:val="0"/>
        </w:rPr>
        <w:t>olicitud de interpretación respecto de la medida de tratamiento médico y psicológico y/o psiquiátrico</w:t>
      </w:r>
      <w:r w:rsidRPr="00695863">
        <w:rPr>
          <w:color w:val="000000" w:themeColor="text1"/>
          <w:spacing w:val="0"/>
        </w:rPr>
        <w:t>.</w:t>
      </w:r>
    </w:p>
    <w:p w14:paraId="43F8FD08" w14:textId="77777777" w:rsidR="001003AC" w:rsidRPr="00F32643" w:rsidRDefault="001003AC" w:rsidP="001003AC">
      <w:pPr>
        <w:rPr>
          <w:color w:val="000000" w:themeColor="text1"/>
          <w:lang w:val="es-CR"/>
        </w:rPr>
      </w:pPr>
    </w:p>
    <w:p w14:paraId="77C6C3E7" w14:textId="4A431661" w:rsidR="001003AC" w:rsidRDefault="00F5392D" w:rsidP="00FB1932">
      <w:pPr>
        <w:pStyle w:val="Ttulo2"/>
        <w:keepNext/>
        <w:numPr>
          <w:ilvl w:val="0"/>
          <w:numId w:val="3"/>
        </w:numPr>
        <w:tabs>
          <w:tab w:val="clear" w:pos="567"/>
          <w:tab w:val="clear" w:pos="993"/>
          <w:tab w:val="left" w:pos="1134"/>
        </w:tabs>
        <w:spacing w:before="0" w:after="0"/>
        <w:ind w:left="1134" w:hanging="567"/>
        <w:contextualSpacing w:val="0"/>
        <w:rPr>
          <w:color w:val="000000" w:themeColor="text1"/>
        </w:rPr>
      </w:pPr>
      <w:bookmarkStart w:id="131" w:name="_Hlk138087267"/>
      <w:r>
        <w:rPr>
          <w:color w:val="000000" w:themeColor="text1"/>
        </w:rPr>
        <w:t xml:space="preserve">Solicitud de </w:t>
      </w:r>
      <w:r w:rsidR="0099717A">
        <w:rPr>
          <w:color w:val="000000" w:themeColor="text1"/>
        </w:rPr>
        <w:t>interpretación respecto al alcance del pago de costas y gastos de una de las representaciones</w:t>
      </w:r>
      <w:r w:rsidR="00303FA9">
        <w:rPr>
          <w:color w:val="000000" w:themeColor="text1"/>
        </w:rPr>
        <w:t xml:space="preserve"> de las presuntas víctimas</w:t>
      </w:r>
    </w:p>
    <w:bookmarkEnd w:id="131"/>
    <w:p w14:paraId="4438B367" w14:textId="77777777" w:rsidR="00F5392D" w:rsidRPr="00F5392D" w:rsidRDefault="00F5392D" w:rsidP="00F5392D">
      <w:pPr>
        <w:rPr>
          <w:lang w:val="es-CR"/>
        </w:rPr>
      </w:pPr>
    </w:p>
    <w:p w14:paraId="1F566DEE" w14:textId="77777777" w:rsidR="001003AC" w:rsidRPr="00F32643" w:rsidRDefault="001003AC" w:rsidP="00F5392D">
      <w:pPr>
        <w:pStyle w:val="Ttulo3"/>
        <w:spacing w:before="0" w:after="0"/>
        <w:ind w:left="567"/>
        <w:rPr>
          <w:color w:val="000000" w:themeColor="text1"/>
          <w:lang w:val="es-CR"/>
        </w:rPr>
      </w:pPr>
      <w:bookmarkStart w:id="132" w:name="_Toc57872378"/>
      <w:r w:rsidRPr="00F32643">
        <w:rPr>
          <w:color w:val="000000" w:themeColor="text1"/>
          <w:lang w:val="es-CR"/>
        </w:rPr>
        <w:t>A.1. Argumentos de las partes y de la Comisión</w:t>
      </w:r>
      <w:bookmarkEnd w:id="132"/>
    </w:p>
    <w:p w14:paraId="51C4046C" w14:textId="77777777" w:rsidR="001003AC" w:rsidRPr="00F32643" w:rsidRDefault="001003AC" w:rsidP="001003AC">
      <w:pPr>
        <w:rPr>
          <w:color w:val="000000" w:themeColor="text1"/>
          <w:lang w:val="es-CR"/>
        </w:rPr>
      </w:pPr>
    </w:p>
    <w:p w14:paraId="67EA8F94" w14:textId="108D0E86" w:rsidR="001003AC" w:rsidRPr="00F32643" w:rsidRDefault="001003AC" w:rsidP="001003AC">
      <w:pPr>
        <w:pStyle w:val="PrrafodeSentencia"/>
        <w:rPr>
          <w:b/>
          <w:color w:val="000000" w:themeColor="text1"/>
          <w:spacing w:val="0"/>
          <w:szCs w:val="20"/>
        </w:rPr>
      </w:pPr>
      <w:r w:rsidRPr="00F32643">
        <w:rPr>
          <w:color w:val="000000" w:themeColor="text1"/>
          <w:spacing w:val="0"/>
          <w:szCs w:val="20"/>
        </w:rPr>
        <w:t xml:space="preserve">El </w:t>
      </w:r>
      <w:r w:rsidRPr="00F32643">
        <w:rPr>
          <w:b/>
          <w:i/>
          <w:color w:val="000000" w:themeColor="text1"/>
          <w:spacing w:val="0"/>
          <w:szCs w:val="20"/>
        </w:rPr>
        <w:t xml:space="preserve">Estado </w:t>
      </w:r>
      <w:r w:rsidR="00992E08">
        <w:rPr>
          <w:bCs/>
          <w:iCs/>
          <w:color w:val="000000" w:themeColor="text1"/>
          <w:spacing w:val="0"/>
          <w:szCs w:val="20"/>
        </w:rPr>
        <w:t>observó que el párrafo 337 de la Sentencia ordena el pago por concepto de costas y gastos “para cada una de las dos representaciones de las presuntas víctimas, a saber</w:t>
      </w:r>
      <w:r w:rsidR="00EC125E">
        <w:rPr>
          <w:bCs/>
          <w:iCs/>
          <w:color w:val="000000" w:themeColor="text1"/>
          <w:spacing w:val="0"/>
          <w:szCs w:val="20"/>
        </w:rPr>
        <w:t>,</w:t>
      </w:r>
      <w:r w:rsidR="00992E08">
        <w:rPr>
          <w:bCs/>
          <w:iCs/>
          <w:color w:val="000000" w:themeColor="text1"/>
          <w:spacing w:val="0"/>
          <w:szCs w:val="20"/>
        </w:rPr>
        <w:t xml:space="preserve"> el representante </w:t>
      </w:r>
      <w:proofErr w:type="spellStart"/>
      <w:r w:rsidR="00992E08">
        <w:rPr>
          <w:bCs/>
          <w:iCs/>
          <w:color w:val="000000" w:themeColor="text1"/>
          <w:spacing w:val="0"/>
          <w:szCs w:val="20"/>
        </w:rPr>
        <w:t>Jemio</w:t>
      </w:r>
      <w:proofErr w:type="spellEnd"/>
      <w:r w:rsidR="00992E08">
        <w:rPr>
          <w:bCs/>
          <w:iCs/>
          <w:color w:val="000000" w:themeColor="text1"/>
          <w:spacing w:val="0"/>
          <w:szCs w:val="20"/>
        </w:rPr>
        <w:t xml:space="preserve"> Mendoza y el representante Gómez Rojas”. En este sentido, </w:t>
      </w:r>
      <w:r w:rsidR="00F30F9D">
        <w:rPr>
          <w:color w:val="000000" w:themeColor="text1"/>
          <w:spacing w:val="0"/>
          <w:szCs w:val="20"/>
        </w:rPr>
        <w:t>indicó que en la nota al pie de página 4 del párrafo 5 de la Sentencia se indic</w:t>
      </w:r>
      <w:r w:rsidR="00303FA9">
        <w:rPr>
          <w:color w:val="000000" w:themeColor="text1"/>
          <w:spacing w:val="0"/>
          <w:szCs w:val="20"/>
        </w:rPr>
        <w:t>ó</w:t>
      </w:r>
      <w:r w:rsidR="00F30F9D">
        <w:rPr>
          <w:color w:val="000000" w:themeColor="text1"/>
          <w:spacing w:val="0"/>
          <w:szCs w:val="20"/>
        </w:rPr>
        <w:t xml:space="preserve"> al señor Hugo Efraín </w:t>
      </w:r>
      <w:proofErr w:type="spellStart"/>
      <w:r w:rsidR="00F30F9D">
        <w:rPr>
          <w:color w:val="000000" w:themeColor="text1"/>
          <w:spacing w:val="0"/>
          <w:szCs w:val="20"/>
        </w:rPr>
        <w:t>Jemio</w:t>
      </w:r>
      <w:proofErr w:type="spellEnd"/>
      <w:r w:rsidR="00F30F9D">
        <w:rPr>
          <w:color w:val="000000" w:themeColor="text1"/>
          <w:spacing w:val="0"/>
          <w:szCs w:val="20"/>
        </w:rPr>
        <w:t xml:space="preserve"> Mendoza y la señora Fabiola </w:t>
      </w:r>
      <w:proofErr w:type="spellStart"/>
      <w:r w:rsidR="00F30F9D">
        <w:rPr>
          <w:color w:val="000000" w:themeColor="text1"/>
          <w:spacing w:val="0"/>
          <w:szCs w:val="20"/>
        </w:rPr>
        <w:t>Machicao</w:t>
      </w:r>
      <w:proofErr w:type="spellEnd"/>
      <w:r w:rsidR="00F30F9D">
        <w:rPr>
          <w:color w:val="000000" w:themeColor="text1"/>
          <w:spacing w:val="0"/>
          <w:szCs w:val="20"/>
        </w:rPr>
        <w:t xml:space="preserve"> Hidalgo como representantes de las víctimas Patricia Catalina </w:t>
      </w:r>
      <w:proofErr w:type="spellStart"/>
      <w:r w:rsidR="00F30F9D">
        <w:rPr>
          <w:color w:val="000000" w:themeColor="text1"/>
          <w:spacing w:val="0"/>
          <w:szCs w:val="20"/>
        </w:rPr>
        <w:t>Gallardo</w:t>
      </w:r>
      <w:proofErr w:type="spellEnd"/>
      <w:r w:rsidR="00F30F9D">
        <w:rPr>
          <w:color w:val="000000" w:themeColor="text1"/>
          <w:spacing w:val="0"/>
          <w:szCs w:val="20"/>
        </w:rPr>
        <w:t xml:space="preserve"> </w:t>
      </w:r>
      <w:proofErr w:type="spellStart"/>
      <w:r w:rsidR="00F30F9D">
        <w:rPr>
          <w:color w:val="000000" w:themeColor="text1"/>
          <w:spacing w:val="0"/>
          <w:szCs w:val="20"/>
        </w:rPr>
        <w:t>Ardúz</w:t>
      </w:r>
      <w:proofErr w:type="spellEnd"/>
      <w:r w:rsidR="00F30F9D">
        <w:rPr>
          <w:color w:val="000000" w:themeColor="text1"/>
          <w:spacing w:val="0"/>
          <w:szCs w:val="20"/>
        </w:rPr>
        <w:t xml:space="preserve"> y de María Fernanda Peña </w:t>
      </w:r>
      <w:proofErr w:type="spellStart"/>
      <w:r w:rsidR="00F30F9D">
        <w:rPr>
          <w:color w:val="000000" w:themeColor="text1"/>
          <w:spacing w:val="0"/>
          <w:szCs w:val="20"/>
        </w:rPr>
        <w:t>Gallardo</w:t>
      </w:r>
      <w:proofErr w:type="spellEnd"/>
      <w:r w:rsidR="00C41702">
        <w:rPr>
          <w:color w:val="000000" w:themeColor="text1"/>
          <w:spacing w:val="0"/>
          <w:szCs w:val="20"/>
        </w:rPr>
        <w:t>.</w:t>
      </w:r>
      <w:r w:rsidR="00F30F9D">
        <w:rPr>
          <w:color w:val="000000" w:themeColor="text1"/>
          <w:spacing w:val="0"/>
          <w:szCs w:val="20"/>
        </w:rPr>
        <w:t xml:space="preserve"> Sin embargo, señaló que “el pie de página 5, especifica que los escritos posteriores al Escrito de Solicitudes, Argumentos y Pruebas […] fueron únicamente firmados por </w:t>
      </w:r>
      <w:proofErr w:type="spellStart"/>
      <w:r w:rsidR="00F30F9D">
        <w:rPr>
          <w:color w:val="000000" w:themeColor="text1"/>
          <w:spacing w:val="0"/>
          <w:szCs w:val="20"/>
        </w:rPr>
        <w:t>Jemio</w:t>
      </w:r>
      <w:proofErr w:type="spellEnd"/>
      <w:r w:rsidR="00F30F9D">
        <w:rPr>
          <w:color w:val="000000" w:themeColor="text1"/>
          <w:spacing w:val="0"/>
          <w:szCs w:val="20"/>
        </w:rPr>
        <w:t xml:space="preserve"> Mendoza”. Asimismo, valoró que “la representación de Fabiola </w:t>
      </w:r>
      <w:proofErr w:type="spellStart"/>
      <w:r w:rsidR="00F30F9D">
        <w:rPr>
          <w:color w:val="000000" w:themeColor="text1"/>
          <w:spacing w:val="0"/>
          <w:szCs w:val="20"/>
        </w:rPr>
        <w:t>Machicao</w:t>
      </w:r>
      <w:proofErr w:type="spellEnd"/>
      <w:r w:rsidR="00F30F9D">
        <w:rPr>
          <w:color w:val="000000" w:themeColor="text1"/>
          <w:spacing w:val="0"/>
          <w:szCs w:val="20"/>
        </w:rPr>
        <w:t xml:space="preserve"> Hidalgo se desarrolla en los párrafos 6 y 20 de la Sentencia, lo cual genera una duda razonable para el Estado sobre la exclusión de dicha persona como representante”. En vista de lo expuesto, solicitó “aclarar el alcance del pago de costas y gastos de la representación</w:t>
      </w:r>
      <w:r w:rsidR="00992E08">
        <w:rPr>
          <w:color w:val="000000" w:themeColor="text1"/>
          <w:spacing w:val="0"/>
          <w:szCs w:val="20"/>
        </w:rPr>
        <w:t xml:space="preserve"> de </w:t>
      </w:r>
      <w:r w:rsidR="00992E08" w:rsidRPr="00992E08">
        <w:rPr>
          <w:color w:val="000000" w:themeColor="text1"/>
          <w:spacing w:val="0"/>
          <w:szCs w:val="20"/>
        </w:rPr>
        <w:t xml:space="preserve">Patricia Catalina </w:t>
      </w:r>
      <w:proofErr w:type="spellStart"/>
      <w:r w:rsidR="00992E08" w:rsidRPr="00992E08">
        <w:rPr>
          <w:color w:val="000000" w:themeColor="text1"/>
          <w:spacing w:val="0"/>
          <w:szCs w:val="20"/>
        </w:rPr>
        <w:t>Gallardo</w:t>
      </w:r>
      <w:proofErr w:type="spellEnd"/>
      <w:r w:rsidR="00992E08" w:rsidRPr="00992E08">
        <w:rPr>
          <w:color w:val="000000" w:themeColor="text1"/>
          <w:spacing w:val="0"/>
          <w:szCs w:val="20"/>
        </w:rPr>
        <w:t xml:space="preserve"> </w:t>
      </w:r>
      <w:proofErr w:type="spellStart"/>
      <w:r w:rsidR="00992E08" w:rsidRPr="00992E08">
        <w:rPr>
          <w:color w:val="000000" w:themeColor="text1"/>
          <w:spacing w:val="0"/>
          <w:szCs w:val="20"/>
        </w:rPr>
        <w:t>Ardúz</w:t>
      </w:r>
      <w:proofErr w:type="spellEnd"/>
      <w:r w:rsidR="00992E08" w:rsidRPr="00992E08">
        <w:rPr>
          <w:color w:val="000000" w:themeColor="text1"/>
          <w:spacing w:val="0"/>
          <w:szCs w:val="20"/>
        </w:rPr>
        <w:t xml:space="preserve"> y de María Fernanda Peña </w:t>
      </w:r>
      <w:proofErr w:type="spellStart"/>
      <w:r w:rsidR="00992E08" w:rsidRPr="00992E08">
        <w:rPr>
          <w:color w:val="000000" w:themeColor="text1"/>
          <w:spacing w:val="0"/>
          <w:szCs w:val="20"/>
        </w:rPr>
        <w:t>Gallardo</w:t>
      </w:r>
      <w:proofErr w:type="spellEnd"/>
      <w:r w:rsidR="00992E08">
        <w:rPr>
          <w:color w:val="000000" w:themeColor="text1"/>
          <w:spacing w:val="0"/>
          <w:szCs w:val="20"/>
        </w:rPr>
        <w:t>”.</w:t>
      </w:r>
    </w:p>
    <w:p w14:paraId="38C2E70E" w14:textId="77777777" w:rsidR="001003AC" w:rsidRPr="00F32643" w:rsidRDefault="001003AC" w:rsidP="001003AC">
      <w:pPr>
        <w:rPr>
          <w:color w:val="000000" w:themeColor="text1"/>
          <w:lang w:val="es-CR" w:eastAsia="es-MX"/>
        </w:rPr>
      </w:pPr>
    </w:p>
    <w:p w14:paraId="6624A6BB" w14:textId="698599C0" w:rsidR="00F9460B" w:rsidRDefault="001003AC" w:rsidP="00F9460B">
      <w:pPr>
        <w:pStyle w:val="PrrafodeSentencia"/>
        <w:rPr>
          <w:bCs/>
          <w:iCs/>
        </w:rPr>
      </w:pPr>
      <w:r w:rsidRPr="00F32643">
        <w:t xml:space="preserve">Los </w:t>
      </w:r>
      <w:r w:rsidR="00F9460B">
        <w:rPr>
          <w:b/>
          <w:i/>
        </w:rPr>
        <w:t xml:space="preserve">Defensores Públicos Interamericanos </w:t>
      </w:r>
      <w:r w:rsidR="00F9460B">
        <w:rPr>
          <w:bCs/>
          <w:iCs/>
        </w:rPr>
        <w:t xml:space="preserve">indicaron que este aspecto no afecta a sus representados por lo que no se </w:t>
      </w:r>
      <w:r w:rsidR="006C6C13">
        <w:rPr>
          <w:bCs/>
          <w:iCs/>
        </w:rPr>
        <w:t>refirieron</w:t>
      </w:r>
      <w:r w:rsidR="00F9460B">
        <w:rPr>
          <w:bCs/>
          <w:iCs/>
        </w:rPr>
        <w:t xml:space="preserve"> al respecto. </w:t>
      </w:r>
    </w:p>
    <w:p w14:paraId="41EF132E" w14:textId="77777777" w:rsidR="00F9460B" w:rsidRPr="00F9460B" w:rsidRDefault="00F9460B" w:rsidP="00F9460B">
      <w:pPr>
        <w:rPr>
          <w:lang w:val="es-CR" w:eastAsia="es-MX"/>
        </w:rPr>
      </w:pPr>
    </w:p>
    <w:p w14:paraId="02E9642C" w14:textId="0F99B301" w:rsidR="00F9460B" w:rsidRPr="00285F7D" w:rsidRDefault="00F9460B" w:rsidP="00285F7D">
      <w:pPr>
        <w:pStyle w:val="PrrafodeSentencia"/>
        <w:rPr>
          <w:bCs/>
          <w:iCs/>
        </w:rPr>
      </w:pPr>
      <w:r>
        <w:t>El</w:t>
      </w:r>
      <w:r w:rsidRPr="00F32643">
        <w:t xml:space="preserve"> </w:t>
      </w:r>
      <w:r>
        <w:rPr>
          <w:b/>
          <w:i/>
        </w:rPr>
        <w:t xml:space="preserve">representante </w:t>
      </w:r>
      <w:proofErr w:type="spellStart"/>
      <w:r>
        <w:rPr>
          <w:b/>
          <w:i/>
        </w:rPr>
        <w:t>Jemio</w:t>
      </w:r>
      <w:proofErr w:type="spellEnd"/>
      <w:r>
        <w:rPr>
          <w:b/>
          <w:i/>
        </w:rPr>
        <w:t xml:space="preserve"> Mendoza </w:t>
      </w:r>
      <w:r w:rsidR="00285F7D">
        <w:rPr>
          <w:bCs/>
          <w:iCs/>
        </w:rPr>
        <w:t>señaló que “</w:t>
      </w:r>
      <w:r w:rsidR="00285F7D" w:rsidRPr="00285F7D">
        <w:rPr>
          <w:bCs/>
          <w:iCs/>
        </w:rPr>
        <w:t>a los pocos días de que fueron suscritas las notas de acreditación, por razones</w:t>
      </w:r>
      <w:r w:rsidR="00285F7D">
        <w:rPr>
          <w:bCs/>
          <w:iCs/>
        </w:rPr>
        <w:t xml:space="preserve"> </w:t>
      </w:r>
      <w:r w:rsidR="00285F7D" w:rsidRPr="00285F7D">
        <w:rPr>
          <w:bCs/>
          <w:iCs/>
        </w:rPr>
        <w:t xml:space="preserve">personales la </w:t>
      </w:r>
      <w:r w:rsidR="00285F7D">
        <w:rPr>
          <w:bCs/>
          <w:iCs/>
        </w:rPr>
        <w:t>[señora]</w:t>
      </w:r>
      <w:r w:rsidR="00285F7D" w:rsidRPr="00285F7D">
        <w:rPr>
          <w:bCs/>
          <w:iCs/>
        </w:rPr>
        <w:t xml:space="preserve"> </w:t>
      </w:r>
      <w:proofErr w:type="spellStart"/>
      <w:r w:rsidR="00285F7D" w:rsidRPr="00285F7D">
        <w:rPr>
          <w:bCs/>
          <w:iCs/>
        </w:rPr>
        <w:t>Faviola</w:t>
      </w:r>
      <w:proofErr w:type="spellEnd"/>
      <w:r w:rsidR="00285F7D" w:rsidRPr="00285F7D">
        <w:rPr>
          <w:bCs/>
          <w:iCs/>
        </w:rPr>
        <w:t xml:space="preserve"> </w:t>
      </w:r>
      <w:proofErr w:type="spellStart"/>
      <w:r w:rsidR="00285F7D" w:rsidRPr="00285F7D">
        <w:rPr>
          <w:bCs/>
          <w:iCs/>
        </w:rPr>
        <w:t>Machicao</w:t>
      </w:r>
      <w:proofErr w:type="spellEnd"/>
      <w:r w:rsidR="00285F7D" w:rsidRPr="00285F7D">
        <w:rPr>
          <w:bCs/>
          <w:iCs/>
        </w:rPr>
        <w:t xml:space="preserve"> Hidalgo ya no pudo asumir la representación</w:t>
      </w:r>
      <w:r w:rsidR="00285F7D">
        <w:rPr>
          <w:bCs/>
          <w:iCs/>
        </w:rPr>
        <w:t>”</w:t>
      </w:r>
      <w:r w:rsidRPr="00285F7D">
        <w:rPr>
          <w:bCs/>
          <w:iCs/>
        </w:rPr>
        <w:t xml:space="preserve">. </w:t>
      </w:r>
      <w:r w:rsidR="00285F7D">
        <w:rPr>
          <w:bCs/>
          <w:iCs/>
        </w:rPr>
        <w:t>Añadió que “</w:t>
      </w:r>
      <w:r w:rsidR="00285F7D" w:rsidRPr="00285F7D">
        <w:rPr>
          <w:bCs/>
          <w:iCs/>
        </w:rPr>
        <w:t xml:space="preserve">a lo largo de la tramitación de todo el caso ante la Corte </w:t>
      </w:r>
      <w:r w:rsidR="00285F7D">
        <w:rPr>
          <w:bCs/>
          <w:iCs/>
        </w:rPr>
        <w:t>[…]</w:t>
      </w:r>
      <w:r w:rsidR="00285F7D" w:rsidRPr="00285F7D">
        <w:rPr>
          <w:bCs/>
          <w:iCs/>
        </w:rPr>
        <w:t>, la</w:t>
      </w:r>
      <w:r w:rsidR="00285F7D">
        <w:rPr>
          <w:bCs/>
          <w:iCs/>
        </w:rPr>
        <w:t xml:space="preserve"> </w:t>
      </w:r>
      <w:r w:rsidR="00285F7D" w:rsidRPr="00285F7D">
        <w:rPr>
          <w:bCs/>
          <w:iCs/>
        </w:rPr>
        <w:t xml:space="preserve">representación de las víctimas Patricia </w:t>
      </w:r>
      <w:r w:rsidR="00EC125E">
        <w:rPr>
          <w:bCs/>
          <w:iCs/>
        </w:rPr>
        <w:t>C</w:t>
      </w:r>
      <w:r w:rsidR="00285F7D" w:rsidRPr="00285F7D">
        <w:rPr>
          <w:bCs/>
          <w:iCs/>
        </w:rPr>
        <w:t xml:space="preserve">atalina </w:t>
      </w:r>
      <w:proofErr w:type="spellStart"/>
      <w:r w:rsidR="00285F7D" w:rsidRPr="00285F7D">
        <w:rPr>
          <w:bCs/>
          <w:iCs/>
        </w:rPr>
        <w:t>Gallardo</w:t>
      </w:r>
      <w:proofErr w:type="spellEnd"/>
      <w:r w:rsidR="00285F7D" w:rsidRPr="00285F7D">
        <w:rPr>
          <w:bCs/>
          <w:iCs/>
        </w:rPr>
        <w:t xml:space="preserve"> </w:t>
      </w:r>
      <w:proofErr w:type="spellStart"/>
      <w:r w:rsidR="00285F7D" w:rsidRPr="00285F7D">
        <w:rPr>
          <w:bCs/>
          <w:iCs/>
        </w:rPr>
        <w:t>Ardúz</w:t>
      </w:r>
      <w:proofErr w:type="spellEnd"/>
      <w:r w:rsidR="00285F7D" w:rsidRPr="00285F7D">
        <w:rPr>
          <w:bCs/>
          <w:iCs/>
        </w:rPr>
        <w:t xml:space="preserve"> y María Fernanda Peña </w:t>
      </w:r>
      <w:proofErr w:type="spellStart"/>
      <w:r w:rsidR="00285F7D" w:rsidRPr="00285F7D">
        <w:rPr>
          <w:bCs/>
          <w:iCs/>
        </w:rPr>
        <w:t>Gallardo</w:t>
      </w:r>
      <w:proofErr w:type="spellEnd"/>
      <w:r w:rsidR="00285F7D" w:rsidRPr="00285F7D">
        <w:rPr>
          <w:bCs/>
          <w:iCs/>
        </w:rPr>
        <w:t>, fue</w:t>
      </w:r>
      <w:r w:rsidR="00285F7D">
        <w:rPr>
          <w:bCs/>
          <w:iCs/>
        </w:rPr>
        <w:t xml:space="preserve"> </w:t>
      </w:r>
      <w:r w:rsidR="00285F7D" w:rsidRPr="00285F7D">
        <w:rPr>
          <w:bCs/>
          <w:iCs/>
        </w:rPr>
        <w:t>asumida únicamente por</w:t>
      </w:r>
      <w:r w:rsidR="00285F7D">
        <w:rPr>
          <w:bCs/>
          <w:iCs/>
        </w:rPr>
        <w:t xml:space="preserve"> [él]”, y que la “señora </w:t>
      </w:r>
      <w:proofErr w:type="spellStart"/>
      <w:r w:rsidR="00285F7D" w:rsidRPr="00285F7D">
        <w:rPr>
          <w:bCs/>
          <w:iCs/>
        </w:rPr>
        <w:t>Faviola</w:t>
      </w:r>
      <w:proofErr w:type="spellEnd"/>
      <w:r w:rsidR="00285F7D" w:rsidRPr="00285F7D">
        <w:rPr>
          <w:bCs/>
          <w:iCs/>
        </w:rPr>
        <w:t xml:space="preserve"> </w:t>
      </w:r>
      <w:proofErr w:type="spellStart"/>
      <w:r w:rsidR="00285F7D" w:rsidRPr="00285F7D">
        <w:rPr>
          <w:bCs/>
          <w:iCs/>
        </w:rPr>
        <w:t>Machicao</w:t>
      </w:r>
      <w:proofErr w:type="spellEnd"/>
      <w:r w:rsidR="00285F7D" w:rsidRPr="00285F7D">
        <w:rPr>
          <w:bCs/>
          <w:iCs/>
        </w:rPr>
        <w:t xml:space="preserve"> no asumió en ningún momento la representación ante la Corte</w:t>
      </w:r>
      <w:r w:rsidR="00285F7D">
        <w:rPr>
          <w:bCs/>
          <w:iCs/>
        </w:rPr>
        <w:t xml:space="preserve">”. </w:t>
      </w:r>
    </w:p>
    <w:p w14:paraId="7AD1626D" w14:textId="4DB9F113" w:rsidR="00704038" w:rsidRPr="00F32643" w:rsidRDefault="00704038" w:rsidP="00704038">
      <w:pPr>
        <w:rPr>
          <w:color w:val="000000" w:themeColor="text1"/>
          <w:lang w:val="es-CR" w:eastAsia="es-MX"/>
        </w:rPr>
      </w:pPr>
    </w:p>
    <w:p w14:paraId="607C35F8" w14:textId="0E72F0E4" w:rsidR="00704038" w:rsidRPr="00F0242D" w:rsidRDefault="00704038" w:rsidP="00F0242D">
      <w:pPr>
        <w:pStyle w:val="PrrafodeSentencia"/>
        <w:rPr>
          <w:color w:val="000000" w:themeColor="text1"/>
        </w:rPr>
      </w:pPr>
      <w:r w:rsidRPr="00F32643">
        <w:rPr>
          <w:color w:val="000000" w:themeColor="text1"/>
          <w:spacing w:val="0"/>
        </w:rPr>
        <w:t xml:space="preserve">La </w:t>
      </w:r>
      <w:r w:rsidRPr="00F32643">
        <w:rPr>
          <w:b/>
          <w:i/>
          <w:color w:val="000000" w:themeColor="text1"/>
          <w:spacing w:val="0"/>
        </w:rPr>
        <w:t xml:space="preserve">Comisión </w:t>
      </w:r>
      <w:r w:rsidR="00DE043C" w:rsidRPr="00F32643">
        <w:rPr>
          <w:color w:val="000000" w:themeColor="text1"/>
          <w:spacing w:val="0"/>
        </w:rPr>
        <w:t>observó que</w:t>
      </w:r>
      <w:r w:rsidR="00461F44">
        <w:rPr>
          <w:color w:val="000000" w:themeColor="text1"/>
          <w:spacing w:val="0"/>
        </w:rPr>
        <w:t xml:space="preserve"> “</w:t>
      </w:r>
      <w:r w:rsidR="00461F44" w:rsidRPr="00461F44">
        <w:rPr>
          <w:color w:val="000000" w:themeColor="text1"/>
          <w:spacing w:val="0"/>
        </w:rPr>
        <w:t xml:space="preserve">los pagos a los representantes no son un asunto de interpretación de la </w:t>
      </w:r>
      <w:r w:rsidR="0068271E">
        <w:rPr>
          <w:color w:val="000000" w:themeColor="text1"/>
          <w:spacing w:val="0"/>
        </w:rPr>
        <w:t>[S]</w:t>
      </w:r>
      <w:proofErr w:type="spellStart"/>
      <w:r w:rsidR="00461F44" w:rsidRPr="00461F44">
        <w:rPr>
          <w:color w:val="000000" w:themeColor="text1"/>
          <w:spacing w:val="0"/>
        </w:rPr>
        <w:t>entencia</w:t>
      </w:r>
      <w:proofErr w:type="spellEnd"/>
      <w:r w:rsidR="00461F44" w:rsidRPr="00461F44">
        <w:rPr>
          <w:color w:val="000000" w:themeColor="text1"/>
          <w:spacing w:val="0"/>
        </w:rPr>
        <w:t>, sino que recaen en el seguimiento al cumplimiento de las decisiones de la Corte</w:t>
      </w:r>
      <w:r w:rsidR="00461F44">
        <w:rPr>
          <w:color w:val="000000" w:themeColor="text1"/>
          <w:spacing w:val="0"/>
        </w:rPr>
        <w:t>”</w:t>
      </w:r>
      <w:r w:rsidR="00F0242D">
        <w:rPr>
          <w:color w:val="000000" w:themeColor="text1"/>
          <w:spacing w:val="0"/>
        </w:rPr>
        <w:t>.</w:t>
      </w:r>
    </w:p>
    <w:p w14:paraId="75E0417B" w14:textId="77777777" w:rsidR="001003AC" w:rsidRPr="00F32643" w:rsidRDefault="001003AC" w:rsidP="001003AC">
      <w:pPr>
        <w:rPr>
          <w:color w:val="000000" w:themeColor="text1"/>
          <w:lang w:val="es-CR" w:eastAsia="es-MX"/>
        </w:rPr>
      </w:pPr>
    </w:p>
    <w:p w14:paraId="373D1541" w14:textId="77777777" w:rsidR="001003AC" w:rsidRDefault="001003AC" w:rsidP="00F5392D">
      <w:pPr>
        <w:pStyle w:val="Ttulo3"/>
        <w:spacing w:before="0" w:after="0"/>
        <w:ind w:left="567"/>
        <w:rPr>
          <w:color w:val="000000" w:themeColor="text1"/>
          <w:lang w:val="es-CR" w:eastAsia="es-MX"/>
        </w:rPr>
      </w:pPr>
      <w:bookmarkStart w:id="133" w:name="_Toc57872379"/>
      <w:r w:rsidRPr="00F32643">
        <w:rPr>
          <w:color w:val="000000" w:themeColor="text1"/>
          <w:lang w:val="es-CR" w:eastAsia="es-MX"/>
        </w:rPr>
        <w:t>A.2. Consideraciones de la Corte</w:t>
      </w:r>
      <w:bookmarkEnd w:id="133"/>
    </w:p>
    <w:p w14:paraId="66FE8125" w14:textId="77777777" w:rsidR="00EC125E" w:rsidRPr="00EC125E" w:rsidRDefault="00EC125E" w:rsidP="00EC125E">
      <w:pPr>
        <w:rPr>
          <w:lang w:val="es-CR" w:eastAsia="es-MX"/>
        </w:rPr>
      </w:pPr>
    </w:p>
    <w:p w14:paraId="2B273C27" w14:textId="07A8BC57" w:rsidR="00423A60" w:rsidRDefault="00EC125E" w:rsidP="00EC125E">
      <w:pPr>
        <w:pStyle w:val="PrrafodeSentencia"/>
      </w:pPr>
      <w:r>
        <w:t>En lo que concierne al pago de costas y gastos a los representantes ordenado en la Sentencia, este Tribunal recuerda que el párrafo 337 del Fallo dispuso lo siguiente:</w:t>
      </w:r>
    </w:p>
    <w:p w14:paraId="154FAD20" w14:textId="77777777" w:rsidR="00EC125E" w:rsidRDefault="00EC125E" w:rsidP="00EC125E">
      <w:pPr>
        <w:rPr>
          <w:lang w:val="es-CR" w:eastAsia="es-MX"/>
        </w:rPr>
      </w:pPr>
    </w:p>
    <w:p w14:paraId="55F84D44" w14:textId="05ADE815" w:rsidR="00EC125E" w:rsidRDefault="00EC125E" w:rsidP="00EC125E">
      <w:pPr>
        <w:ind w:left="567" w:right="567"/>
        <w:rPr>
          <w:sz w:val="18"/>
          <w:szCs w:val="18"/>
          <w:lang w:val="es-CR" w:eastAsia="es-MX"/>
        </w:rPr>
      </w:pPr>
      <w:r w:rsidRPr="00EC125E">
        <w:rPr>
          <w:sz w:val="18"/>
          <w:szCs w:val="18"/>
          <w:lang w:val="es-CR" w:eastAsia="es-MX"/>
        </w:rPr>
        <w:t xml:space="preserve">Además, la Corte ha señalado que es necesario que, al tratarse de alegados desembolsos económicos, los representantes establezcan con claridad los rubros y la justificación de </w:t>
      </w:r>
      <w:proofErr w:type="gramStart"/>
      <w:r w:rsidRPr="00EC125E">
        <w:rPr>
          <w:sz w:val="18"/>
          <w:szCs w:val="18"/>
          <w:lang w:val="es-CR" w:eastAsia="es-MX"/>
        </w:rPr>
        <w:t>los mismos</w:t>
      </w:r>
      <w:proofErr w:type="gramEnd"/>
      <w:r w:rsidRPr="00EC125E">
        <w:rPr>
          <w:sz w:val="18"/>
          <w:szCs w:val="18"/>
          <w:lang w:val="es-CR" w:eastAsia="es-MX"/>
        </w:rPr>
        <w:t xml:space="preserve">. En el presente caso, los representantes sólo aportaron comprobantes para algunas presuntas víctimas. Sin embargo, esta Corte considera razonable suponer que, durante los años de trámite del presente caso, los representantes han incurrido en gastos. Asimismo, se subraya que los gastos erogados directamente por las presuntas víctimas fueron tomados en cuenta en el cálculo de la indemnización. De esta forma, la Corte decide fijar un monto razonable por la suma de USD $10.000 (diez mil dólares de los Estados Unidos de América) para </w:t>
      </w:r>
      <w:r w:rsidRPr="00EC125E">
        <w:rPr>
          <w:sz w:val="18"/>
          <w:szCs w:val="18"/>
          <w:lang w:val="es-CR" w:eastAsia="es-MX"/>
        </w:rPr>
        <w:lastRenderedPageBreak/>
        <w:t xml:space="preserve">cada una de las dos representaciones de las presuntas víctimas, a saber, el representante </w:t>
      </w:r>
      <w:proofErr w:type="spellStart"/>
      <w:r w:rsidRPr="00EC125E">
        <w:rPr>
          <w:sz w:val="18"/>
          <w:szCs w:val="18"/>
          <w:lang w:val="es-CR" w:eastAsia="es-MX"/>
        </w:rPr>
        <w:t>Jemio</w:t>
      </w:r>
      <w:proofErr w:type="spellEnd"/>
      <w:r w:rsidRPr="00EC125E">
        <w:rPr>
          <w:sz w:val="18"/>
          <w:szCs w:val="18"/>
          <w:lang w:val="es-CR" w:eastAsia="es-MX"/>
        </w:rPr>
        <w:t xml:space="preserve"> Mendoza y el representante Gómez Rojas. Respecto a los Defensores Públicos Interamericanos, sus gastos fueron cubiertos mediante la aplicación del Fondo de Asistencia Legal de Víctimas</w:t>
      </w:r>
      <w:r w:rsidR="00ED31C1">
        <w:rPr>
          <w:rStyle w:val="Refdenotaalpie"/>
          <w:lang w:val="es-CR" w:eastAsia="es-MX"/>
        </w:rPr>
        <w:footnoteReference w:id="7"/>
      </w:r>
      <w:r w:rsidRPr="00EC125E">
        <w:rPr>
          <w:sz w:val="18"/>
          <w:szCs w:val="18"/>
          <w:lang w:val="es-CR" w:eastAsia="es-MX"/>
        </w:rPr>
        <w:t>.</w:t>
      </w:r>
    </w:p>
    <w:p w14:paraId="05FD1B1A" w14:textId="77777777" w:rsidR="00EC125E" w:rsidRDefault="00EC125E" w:rsidP="00EC125E">
      <w:pPr>
        <w:ind w:right="567"/>
        <w:rPr>
          <w:sz w:val="18"/>
          <w:szCs w:val="18"/>
          <w:lang w:val="es-CR" w:eastAsia="es-MX"/>
        </w:rPr>
      </w:pPr>
    </w:p>
    <w:p w14:paraId="569C3F1A" w14:textId="32B2B6B0" w:rsidR="00423A60" w:rsidRPr="00E448F9" w:rsidRDefault="00EC125E" w:rsidP="0043402F">
      <w:pPr>
        <w:pStyle w:val="PrrafodeSentencia"/>
      </w:pPr>
      <w:r>
        <w:t xml:space="preserve">A partir de lo anteriormente transcrito, queda claro que la Corte ordenó que el pago de las costas y gastos, en lo que corresponde a la representación de Patricia Catalina </w:t>
      </w:r>
      <w:proofErr w:type="spellStart"/>
      <w:r>
        <w:t>Gallardo</w:t>
      </w:r>
      <w:proofErr w:type="spellEnd"/>
      <w:r>
        <w:t xml:space="preserve"> </w:t>
      </w:r>
      <w:proofErr w:type="spellStart"/>
      <w:r>
        <w:t>Ardúz</w:t>
      </w:r>
      <w:proofErr w:type="spellEnd"/>
      <w:r>
        <w:t xml:space="preserve"> y María Fernanda Peña </w:t>
      </w:r>
      <w:proofErr w:type="spellStart"/>
      <w:r>
        <w:t>Gallardo</w:t>
      </w:r>
      <w:proofErr w:type="spellEnd"/>
      <w:r>
        <w:t xml:space="preserve">, </w:t>
      </w:r>
      <w:r w:rsidR="00193EB2">
        <w:t>fuera otorgado</w:t>
      </w:r>
      <w:r>
        <w:t xml:space="preserve"> al representante Hugo Efraín </w:t>
      </w:r>
      <w:proofErr w:type="spellStart"/>
      <w:r>
        <w:t>Jemio</w:t>
      </w:r>
      <w:proofErr w:type="spellEnd"/>
      <w:r>
        <w:t xml:space="preserve"> Mendoza. Sobre este punto, de acuerdo con lo expuesto por el propio señor </w:t>
      </w:r>
      <w:proofErr w:type="spellStart"/>
      <w:r>
        <w:t>Jemio</w:t>
      </w:r>
      <w:proofErr w:type="spellEnd"/>
      <w:r>
        <w:t xml:space="preserve"> Mendoza, </w:t>
      </w:r>
      <w:r w:rsidR="00E448F9">
        <w:t xml:space="preserve">la representación de las víctimas </w:t>
      </w:r>
      <w:proofErr w:type="spellStart"/>
      <w:r w:rsidR="00E448F9">
        <w:t>Gallardo</w:t>
      </w:r>
      <w:proofErr w:type="spellEnd"/>
      <w:r w:rsidR="00E448F9">
        <w:t xml:space="preserve"> </w:t>
      </w:r>
      <w:proofErr w:type="spellStart"/>
      <w:r w:rsidR="00E448F9">
        <w:t>Ardúz</w:t>
      </w:r>
      <w:proofErr w:type="spellEnd"/>
      <w:r w:rsidR="00E448F9">
        <w:t xml:space="preserve"> y Peña </w:t>
      </w:r>
      <w:proofErr w:type="spellStart"/>
      <w:r w:rsidR="00E448F9">
        <w:t>Gallardo</w:t>
      </w:r>
      <w:proofErr w:type="spellEnd"/>
      <w:r w:rsidR="00E448F9">
        <w:t xml:space="preserve"> ante la Corte fue asumida por él únicamente. De esta forma, lo dispuesto en el párrafo 337 resulta claro y preciso, por lo que no </w:t>
      </w:r>
      <w:r w:rsidR="00E00E09">
        <w:t>es</w:t>
      </w:r>
      <w:r w:rsidR="00E448F9">
        <w:t xml:space="preserve"> necesario hacer ninguna aclaración. En consecuencia, el Tribunal desestima la solicitud del Estado.</w:t>
      </w:r>
    </w:p>
    <w:p w14:paraId="2B7C4C09" w14:textId="753EBE5A" w:rsidR="005B25B6" w:rsidRPr="00F5392D" w:rsidRDefault="005B25B6" w:rsidP="00F5392D">
      <w:pPr>
        <w:pStyle w:val="PrrafodeSentencia"/>
        <w:numPr>
          <w:ilvl w:val="0"/>
          <w:numId w:val="0"/>
        </w:numPr>
        <w:rPr>
          <w:color w:val="000000" w:themeColor="text1"/>
        </w:rPr>
      </w:pPr>
    </w:p>
    <w:p w14:paraId="28B604DA" w14:textId="671231BC" w:rsidR="001003AC" w:rsidRDefault="00423A60" w:rsidP="00423A60">
      <w:pPr>
        <w:pStyle w:val="Ttulo2"/>
        <w:keepNext/>
        <w:numPr>
          <w:ilvl w:val="0"/>
          <w:numId w:val="3"/>
        </w:numPr>
        <w:tabs>
          <w:tab w:val="clear" w:pos="567"/>
          <w:tab w:val="clear" w:pos="993"/>
          <w:tab w:val="left" w:pos="1134"/>
        </w:tabs>
        <w:spacing w:before="0" w:after="0"/>
        <w:ind w:left="1134" w:hanging="567"/>
        <w:contextualSpacing w:val="0"/>
        <w:rPr>
          <w:color w:val="000000" w:themeColor="text1"/>
          <w:lang w:eastAsia="es-MX"/>
        </w:rPr>
      </w:pPr>
      <w:r>
        <w:rPr>
          <w:color w:val="000000" w:themeColor="text1"/>
          <w:lang w:eastAsia="es-MX"/>
        </w:rPr>
        <w:t>Solicitud de interpretación respecto de la medida de tratamiento médico y psicológico y/o psiquiátrico</w:t>
      </w:r>
    </w:p>
    <w:p w14:paraId="3E02B9E0" w14:textId="77777777" w:rsidR="00992E08" w:rsidRPr="00992E08" w:rsidRDefault="00992E08" w:rsidP="00992E08">
      <w:pPr>
        <w:rPr>
          <w:lang w:val="es-CR" w:eastAsia="es-MX"/>
        </w:rPr>
      </w:pPr>
    </w:p>
    <w:p w14:paraId="1E81EF79" w14:textId="25AC4C11" w:rsidR="004747AE" w:rsidRDefault="004747AE" w:rsidP="004747AE">
      <w:pPr>
        <w:pStyle w:val="Ttulo3"/>
        <w:spacing w:before="0" w:after="0"/>
        <w:ind w:left="567"/>
        <w:rPr>
          <w:color w:val="000000" w:themeColor="text1"/>
        </w:rPr>
      </w:pPr>
      <w:bookmarkStart w:id="134" w:name="_Toc50444514"/>
      <w:bookmarkStart w:id="135" w:name="_Toc52292075"/>
      <w:bookmarkStart w:id="136" w:name="_Toc54976322"/>
      <w:bookmarkStart w:id="137" w:name="_Toc54976374"/>
      <w:bookmarkStart w:id="138" w:name="_Toc55848951"/>
      <w:bookmarkStart w:id="139" w:name="_Toc57872383"/>
      <w:r>
        <w:rPr>
          <w:color w:val="000000" w:themeColor="text1"/>
        </w:rPr>
        <w:t>B.1. Argumentos de las partes y de la Comisión</w:t>
      </w:r>
    </w:p>
    <w:p w14:paraId="366A725D" w14:textId="77777777" w:rsidR="004747AE" w:rsidRPr="004747AE" w:rsidRDefault="004747AE" w:rsidP="004747AE">
      <w:pPr>
        <w:rPr>
          <w:lang w:val="es-CO"/>
        </w:rPr>
      </w:pPr>
    </w:p>
    <w:p w14:paraId="0D0FE175" w14:textId="6696E0C4" w:rsidR="00AC15A8" w:rsidRPr="004747AE" w:rsidRDefault="00992E08" w:rsidP="004747AE">
      <w:pPr>
        <w:pStyle w:val="PrrafodeSentencia"/>
        <w:rPr>
          <w:color w:val="000000" w:themeColor="text1"/>
          <w:spacing w:val="0"/>
        </w:rPr>
      </w:pPr>
      <w:r w:rsidRPr="004747AE">
        <w:rPr>
          <w:color w:val="000000" w:themeColor="text1"/>
          <w:spacing w:val="0"/>
        </w:rPr>
        <w:t xml:space="preserve">El </w:t>
      </w:r>
      <w:r w:rsidRPr="004747AE">
        <w:rPr>
          <w:b/>
          <w:i/>
          <w:color w:val="000000" w:themeColor="text1"/>
          <w:spacing w:val="0"/>
        </w:rPr>
        <w:t xml:space="preserve">Estado </w:t>
      </w:r>
      <w:r w:rsidR="002F470E" w:rsidRPr="004747AE">
        <w:rPr>
          <w:color w:val="000000" w:themeColor="text1"/>
          <w:spacing w:val="0"/>
        </w:rPr>
        <w:t>indicó</w:t>
      </w:r>
      <w:r w:rsidRPr="004747AE">
        <w:rPr>
          <w:color w:val="000000" w:themeColor="text1"/>
          <w:spacing w:val="0"/>
        </w:rPr>
        <w:t xml:space="preserve"> que</w:t>
      </w:r>
      <w:r w:rsidR="002F470E" w:rsidRPr="004747AE">
        <w:rPr>
          <w:color w:val="000000" w:themeColor="text1"/>
          <w:spacing w:val="0"/>
        </w:rPr>
        <w:t xml:space="preserve"> “si bien la Sentencia señala el brindar atención médica y psicológica y/o psiquiátrica gratuita y de forma inmediata, a todas las víctimas que así lo soliciten, no especifica el tiempo en el cual las víctimas podrán realizar dicha solicitud”</w:t>
      </w:r>
      <w:r w:rsidR="00AC15A8" w:rsidRPr="004747AE">
        <w:rPr>
          <w:color w:val="000000" w:themeColor="text1"/>
          <w:spacing w:val="0"/>
        </w:rPr>
        <w:t xml:space="preserve">, lo cual “es trascendental para generar certidumbre y seguridad jurídica a todas las partes del proceso, tener claro la temporalidad de solicitudes y evitar observaciones ulteriores en etapa de supervisión de </w:t>
      </w:r>
      <w:r w:rsidR="0068271E">
        <w:rPr>
          <w:color w:val="000000" w:themeColor="text1"/>
          <w:spacing w:val="0"/>
        </w:rPr>
        <w:t>[S]</w:t>
      </w:r>
      <w:proofErr w:type="spellStart"/>
      <w:r w:rsidR="00AC15A8" w:rsidRPr="004747AE">
        <w:rPr>
          <w:color w:val="000000" w:themeColor="text1"/>
          <w:spacing w:val="0"/>
        </w:rPr>
        <w:t>entencia</w:t>
      </w:r>
      <w:proofErr w:type="spellEnd"/>
      <w:r w:rsidR="00AC15A8" w:rsidRPr="004747AE">
        <w:rPr>
          <w:color w:val="000000" w:themeColor="text1"/>
          <w:spacing w:val="0"/>
        </w:rPr>
        <w:t>”</w:t>
      </w:r>
      <w:r w:rsidRPr="004747AE">
        <w:rPr>
          <w:color w:val="000000" w:themeColor="text1"/>
          <w:spacing w:val="0"/>
        </w:rPr>
        <w:t>.</w:t>
      </w:r>
      <w:r w:rsidR="002F470E" w:rsidRPr="004747AE">
        <w:rPr>
          <w:color w:val="000000" w:themeColor="text1"/>
          <w:spacing w:val="0"/>
        </w:rPr>
        <w:t xml:space="preserve"> </w:t>
      </w:r>
      <w:r w:rsidR="00AC15A8" w:rsidRPr="004747AE">
        <w:rPr>
          <w:color w:val="000000" w:themeColor="text1"/>
          <w:spacing w:val="0"/>
        </w:rPr>
        <w:t xml:space="preserve">Por otro lado, observó que “la atención en salud a brindarse como medidas de </w:t>
      </w:r>
      <w:proofErr w:type="gramStart"/>
      <w:r w:rsidR="00AC15A8" w:rsidRPr="004747AE">
        <w:rPr>
          <w:color w:val="000000" w:themeColor="text1"/>
          <w:spacing w:val="0"/>
        </w:rPr>
        <w:t>rehabilitación,</w:t>
      </w:r>
      <w:proofErr w:type="gramEnd"/>
      <w:r w:rsidR="00AC15A8" w:rsidRPr="004747AE">
        <w:rPr>
          <w:color w:val="000000" w:themeColor="text1"/>
          <w:spacing w:val="0"/>
        </w:rPr>
        <w:t xml:space="preserve"> debe vincularse directamente a los padecimientos específicos de las víctimas producto del presente caso”, por lo que solicitó a la Corte precisar si esta “deberá deducirse de las pretensiones manifiestas por los representantes y por la Corte [en] la Sentencia” o “de una</w:t>
      </w:r>
      <w:r w:rsidR="00F9460B" w:rsidRPr="004747AE">
        <w:rPr>
          <w:color w:val="000000" w:themeColor="text1"/>
          <w:spacing w:val="0"/>
        </w:rPr>
        <w:t xml:space="preserve"> previa […]</w:t>
      </w:r>
      <w:r w:rsidR="00AC15A8" w:rsidRPr="004747AE">
        <w:rPr>
          <w:color w:val="000000" w:themeColor="text1"/>
          <w:spacing w:val="0"/>
        </w:rPr>
        <w:t xml:space="preserve"> valoración física y psicológica”.</w:t>
      </w:r>
    </w:p>
    <w:p w14:paraId="77C8C4CA" w14:textId="77777777" w:rsidR="00AC15A8" w:rsidRPr="00AC15A8" w:rsidRDefault="00AC15A8" w:rsidP="00AC15A8">
      <w:pPr>
        <w:rPr>
          <w:lang w:val="es-CR" w:eastAsia="es-MX"/>
        </w:rPr>
      </w:pPr>
    </w:p>
    <w:p w14:paraId="2F65D35E" w14:textId="45399D8A" w:rsidR="00AC15A8" w:rsidRDefault="00F9460B" w:rsidP="00AC15A8">
      <w:pPr>
        <w:pStyle w:val="PrrafodeSentencia"/>
        <w:rPr>
          <w:color w:val="000000" w:themeColor="text1"/>
          <w:spacing w:val="0"/>
        </w:rPr>
      </w:pPr>
      <w:r>
        <w:rPr>
          <w:color w:val="000000" w:themeColor="text1"/>
          <w:spacing w:val="0"/>
        </w:rPr>
        <w:t xml:space="preserve">Los </w:t>
      </w:r>
      <w:r w:rsidRPr="009F709D">
        <w:rPr>
          <w:b/>
          <w:bCs/>
          <w:i/>
          <w:iCs/>
          <w:color w:val="000000" w:themeColor="text1"/>
          <w:spacing w:val="0"/>
        </w:rPr>
        <w:t>Defensores Públicos Interamericanos</w:t>
      </w:r>
      <w:r>
        <w:rPr>
          <w:color w:val="000000" w:themeColor="text1"/>
          <w:spacing w:val="0"/>
        </w:rPr>
        <w:t xml:space="preserve"> </w:t>
      </w:r>
      <w:r w:rsidR="009F709D">
        <w:rPr>
          <w:color w:val="000000" w:themeColor="text1"/>
          <w:spacing w:val="0"/>
        </w:rPr>
        <w:t>solicitaron “el rechazo de la solicitud de interpretación”, pues configura “el pedido de revisión y modificación de un aspecto del fallo”</w:t>
      </w:r>
      <w:r w:rsidR="00AC15A8">
        <w:rPr>
          <w:color w:val="000000" w:themeColor="text1"/>
          <w:spacing w:val="0"/>
        </w:rPr>
        <w:t>.</w:t>
      </w:r>
      <w:r w:rsidR="009F709D">
        <w:rPr>
          <w:color w:val="000000" w:themeColor="text1"/>
          <w:spacing w:val="0"/>
        </w:rPr>
        <w:t xml:space="preserve"> Valoraron que la Corte “ha adoptado una postura amplia en materia de medidas de rehabilitación”. Asimismo, informaron que ya pusieron “en conocimiento del […] Estado las pretensiones de todas las víctimas que se encuentran presentes en el proceso” pero que “es evidente que informar las pretensiones médicas de las víctimas ausentes puede llevar más tiempo, pues tal circunstancia depende de que aquellas sean localizadas”, por lo que “</w:t>
      </w:r>
      <w:r w:rsidR="009F709D" w:rsidRPr="009F709D">
        <w:rPr>
          <w:color w:val="000000" w:themeColor="text1"/>
          <w:spacing w:val="0"/>
        </w:rPr>
        <w:t>la ausencia de un plazo preciso para solicitar las medidas de rehabilitación a cargo del Estado luce razonable a la luz de la numerosa cantidad de víctimas ausentes reconocidas</w:t>
      </w:r>
      <w:r w:rsidR="009F709D">
        <w:rPr>
          <w:color w:val="000000" w:themeColor="text1"/>
          <w:spacing w:val="0"/>
        </w:rPr>
        <w:t xml:space="preserve">”. </w:t>
      </w:r>
      <w:r w:rsidR="00D07B45">
        <w:rPr>
          <w:color w:val="000000" w:themeColor="text1"/>
          <w:spacing w:val="0"/>
        </w:rPr>
        <w:t>Por último, señalaron que la Sentencia es clara en que “</w:t>
      </w:r>
      <w:r w:rsidR="00D07B45" w:rsidRPr="00D07B45">
        <w:rPr>
          <w:color w:val="000000" w:themeColor="text1"/>
          <w:spacing w:val="0"/>
        </w:rPr>
        <w:t xml:space="preserve">la necesidad de los tratamientos de las víctimas debe deducirse de las pretensiones manifestadas por los representantes, de las violaciones reconocidas por la Corte IDH en su </w:t>
      </w:r>
      <w:r w:rsidR="0068271E">
        <w:rPr>
          <w:color w:val="000000" w:themeColor="text1"/>
          <w:spacing w:val="0"/>
        </w:rPr>
        <w:t>[S]</w:t>
      </w:r>
      <w:proofErr w:type="spellStart"/>
      <w:r w:rsidR="00D07B45" w:rsidRPr="00D07B45">
        <w:rPr>
          <w:color w:val="000000" w:themeColor="text1"/>
          <w:spacing w:val="0"/>
        </w:rPr>
        <w:t>entencia</w:t>
      </w:r>
      <w:proofErr w:type="spellEnd"/>
      <w:r w:rsidR="00D07B45" w:rsidRPr="00D07B45">
        <w:rPr>
          <w:color w:val="000000" w:themeColor="text1"/>
          <w:spacing w:val="0"/>
        </w:rPr>
        <w:t xml:space="preserve"> y</w:t>
      </w:r>
      <w:r w:rsidR="00D07B45" w:rsidRPr="00D07B45">
        <w:rPr>
          <w:b/>
          <w:bCs/>
          <w:color w:val="000000" w:themeColor="text1"/>
          <w:spacing w:val="0"/>
        </w:rPr>
        <w:t xml:space="preserve"> </w:t>
      </w:r>
      <w:r w:rsidR="00D07B45" w:rsidRPr="00D07B45">
        <w:rPr>
          <w:color w:val="000000" w:themeColor="text1"/>
          <w:spacing w:val="0"/>
        </w:rPr>
        <w:t>de las valoraciones físicas y psicológicas que en forma previa se realicen sobre las víctimas</w:t>
      </w:r>
      <w:r w:rsidR="00D07B45">
        <w:rPr>
          <w:color w:val="000000" w:themeColor="text1"/>
          <w:spacing w:val="0"/>
        </w:rPr>
        <w:t xml:space="preserve">”, pues “todos estos datos, </w:t>
      </w:r>
      <w:r w:rsidR="00D07B45" w:rsidRPr="00D07B45">
        <w:rPr>
          <w:color w:val="000000" w:themeColor="text1"/>
          <w:spacing w:val="0"/>
        </w:rPr>
        <w:t>que se complementan entre sí, deben ser tomados en consideración a la hora de brindar a las víctimas el tratamiento médico, psicológico y/o psiquiátrico que soliciten</w:t>
      </w:r>
      <w:r w:rsidR="00D07B45">
        <w:rPr>
          <w:color w:val="000000" w:themeColor="text1"/>
          <w:spacing w:val="0"/>
        </w:rPr>
        <w:t xml:space="preserve">”. </w:t>
      </w:r>
    </w:p>
    <w:p w14:paraId="0B47FEFE" w14:textId="77777777" w:rsidR="00307190" w:rsidRPr="00307190" w:rsidRDefault="00307190" w:rsidP="00307190">
      <w:pPr>
        <w:rPr>
          <w:lang w:val="es-CR" w:eastAsia="es-MX"/>
        </w:rPr>
      </w:pPr>
    </w:p>
    <w:p w14:paraId="5E2E90D3" w14:textId="08846694" w:rsidR="00307190" w:rsidRDefault="00307190" w:rsidP="00CF5CBD">
      <w:pPr>
        <w:pStyle w:val="PrrafodeSentencia"/>
        <w:rPr>
          <w:bCs/>
          <w:iCs/>
        </w:rPr>
      </w:pPr>
      <w:r>
        <w:t>El</w:t>
      </w:r>
      <w:r w:rsidRPr="00F32643">
        <w:t xml:space="preserve"> </w:t>
      </w:r>
      <w:r>
        <w:rPr>
          <w:b/>
          <w:i/>
        </w:rPr>
        <w:t xml:space="preserve">representante </w:t>
      </w:r>
      <w:proofErr w:type="spellStart"/>
      <w:r>
        <w:rPr>
          <w:b/>
          <w:i/>
        </w:rPr>
        <w:t>Jemio</w:t>
      </w:r>
      <w:proofErr w:type="spellEnd"/>
      <w:r>
        <w:rPr>
          <w:b/>
          <w:i/>
        </w:rPr>
        <w:t xml:space="preserve"> Mendoza </w:t>
      </w:r>
      <w:r>
        <w:rPr>
          <w:bCs/>
          <w:iCs/>
        </w:rPr>
        <w:t xml:space="preserve">indicó que </w:t>
      </w:r>
      <w:r w:rsidR="007840BE">
        <w:rPr>
          <w:bCs/>
          <w:iCs/>
        </w:rPr>
        <w:t>la Corte en la Sentencia “</w:t>
      </w:r>
      <w:r w:rsidR="007840BE" w:rsidRPr="007840BE">
        <w:rPr>
          <w:bCs/>
          <w:iCs/>
        </w:rPr>
        <w:t xml:space="preserve">asume una postura amplia </w:t>
      </w:r>
      <w:proofErr w:type="gramStart"/>
      <w:r w:rsidR="007840BE" w:rsidRPr="007840BE">
        <w:rPr>
          <w:bCs/>
          <w:iCs/>
        </w:rPr>
        <w:t>en relación a</w:t>
      </w:r>
      <w:proofErr w:type="gramEnd"/>
      <w:r w:rsidR="007840BE" w:rsidRPr="007840BE">
        <w:rPr>
          <w:bCs/>
          <w:iCs/>
        </w:rPr>
        <w:t xml:space="preserve"> las medidas de rehabilitación dispuestas </w:t>
      </w:r>
      <w:r w:rsidR="007840BE">
        <w:rPr>
          <w:bCs/>
          <w:iCs/>
        </w:rPr>
        <w:t>[…]</w:t>
      </w:r>
      <w:r w:rsidR="007840BE" w:rsidRPr="007840BE">
        <w:rPr>
          <w:bCs/>
          <w:iCs/>
        </w:rPr>
        <w:t xml:space="preserve"> y que deben ser </w:t>
      </w:r>
      <w:r w:rsidR="007840BE" w:rsidRPr="007840BE">
        <w:rPr>
          <w:bCs/>
          <w:iCs/>
        </w:rPr>
        <w:lastRenderedPageBreak/>
        <w:t xml:space="preserve">asumidas por el Estado, razón por la cual no ha </w:t>
      </w:r>
      <w:proofErr w:type="spellStart"/>
      <w:r w:rsidR="007840BE" w:rsidRPr="007840BE">
        <w:rPr>
          <w:bCs/>
          <w:iCs/>
        </w:rPr>
        <w:t>establec</w:t>
      </w:r>
      <w:proofErr w:type="spellEnd"/>
      <w:r w:rsidR="007840BE">
        <w:rPr>
          <w:bCs/>
          <w:iCs/>
        </w:rPr>
        <w:t>[ido]</w:t>
      </w:r>
      <w:r w:rsidR="007840BE" w:rsidRPr="007840BE">
        <w:rPr>
          <w:bCs/>
          <w:iCs/>
        </w:rPr>
        <w:t xml:space="preserve"> un</w:t>
      </w:r>
      <w:r w:rsidR="007840BE">
        <w:rPr>
          <w:bCs/>
          <w:iCs/>
        </w:rPr>
        <w:t xml:space="preserve"> </w:t>
      </w:r>
      <w:r w:rsidR="007840BE" w:rsidRPr="007840BE">
        <w:rPr>
          <w:bCs/>
          <w:iCs/>
        </w:rPr>
        <w:t>plazo perentorio para que cada una de las víctimas pueda</w:t>
      </w:r>
      <w:r w:rsidR="007840BE">
        <w:rPr>
          <w:bCs/>
          <w:iCs/>
        </w:rPr>
        <w:t>[n]</w:t>
      </w:r>
      <w:r w:rsidR="007840BE" w:rsidRPr="007840BE">
        <w:rPr>
          <w:bCs/>
          <w:iCs/>
        </w:rPr>
        <w:t xml:space="preserve"> solicitar la atención médica y</w:t>
      </w:r>
      <w:r w:rsidR="007840BE">
        <w:rPr>
          <w:bCs/>
          <w:iCs/>
        </w:rPr>
        <w:t xml:space="preserve"> </w:t>
      </w:r>
      <w:r w:rsidR="007840BE" w:rsidRPr="007840BE">
        <w:rPr>
          <w:bCs/>
          <w:iCs/>
        </w:rPr>
        <w:t>psicológica que requiera</w:t>
      </w:r>
      <w:r w:rsidR="007840BE">
        <w:rPr>
          <w:bCs/>
          <w:iCs/>
        </w:rPr>
        <w:t>[n]”</w:t>
      </w:r>
      <w:r w:rsidRPr="007840BE">
        <w:rPr>
          <w:bCs/>
          <w:iCs/>
        </w:rPr>
        <w:t>.</w:t>
      </w:r>
      <w:r w:rsidR="00CF5CBD">
        <w:rPr>
          <w:bCs/>
          <w:iCs/>
        </w:rPr>
        <w:t xml:space="preserve"> En relación </w:t>
      </w:r>
      <w:r w:rsidR="00A55AC6">
        <w:rPr>
          <w:bCs/>
          <w:iCs/>
        </w:rPr>
        <w:t>con</w:t>
      </w:r>
      <w:r w:rsidR="00CF5CBD">
        <w:rPr>
          <w:bCs/>
          <w:iCs/>
        </w:rPr>
        <w:t xml:space="preserve"> la señora </w:t>
      </w:r>
      <w:r w:rsidR="00CF5CBD" w:rsidRPr="00CF5CBD">
        <w:rPr>
          <w:bCs/>
          <w:iCs/>
        </w:rPr>
        <w:t xml:space="preserve">Patricia Catalina </w:t>
      </w:r>
      <w:proofErr w:type="spellStart"/>
      <w:r w:rsidR="00CF5CBD" w:rsidRPr="00CF5CBD">
        <w:rPr>
          <w:bCs/>
          <w:iCs/>
        </w:rPr>
        <w:t>Gallardo</w:t>
      </w:r>
      <w:proofErr w:type="spellEnd"/>
      <w:r w:rsidR="00CF5CBD">
        <w:rPr>
          <w:bCs/>
          <w:iCs/>
        </w:rPr>
        <w:t xml:space="preserve"> </w:t>
      </w:r>
      <w:proofErr w:type="spellStart"/>
      <w:r w:rsidR="00CF5CBD" w:rsidRPr="00CF5CBD">
        <w:rPr>
          <w:bCs/>
          <w:iCs/>
        </w:rPr>
        <w:t>Ardúz</w:t>
      </w:r>
      <w:proofErr w:type="spellEnd"/>
      <w:r w:rsidR="00CF5CBD">
        <w:rPr>
          <w:bCs/>
          <w:iCs/>
        </w:rPr>
        <w:t>, señaló que “</w:t>
      </w:r>
      <w:r w:rsidR="00CF5CBD" w:rsidRPr="00CF5CBD">
        <w:rPr>
          <w:bCs/>
          <w:iCs/>
        </w:rPr>
        <w:t>la atención médica, psicológica, medicación y fisioterapia por ella requerida, fueron</w:t>
      </w:r>
      <w:r w:rsidR="00CF5CBD">
        <w:rPr>
          <w:bCs/>
          <w:iCs/>
        </w:rPr>
        <w:t xml:space="preserve"> </w:t>
      </w:r>
      <w:r w:rsidR="00CF5CBD" w:rsidRPr="00CF5CBD">
        <w:rPr>
          <w:bCs/>
          <w:iCs/>
        </w:rPr>
        <w:t>puestos en conocimiento de la Corte a través del escrito presentado en fecha 3 de mayo de</w:t>
      </w:r>
      <w:r w:rsidR="00CF5CBD">
        <w:rPr>
          <w:bCs/>
          <w:iCs/>
        </w:rPr>
        <w:t xml:space="preserve"> </w:t>
      </w:r>
      <w:r w:rsidR="00CF5CBD" w:rsidRPr="00CF5CBD">
        <w:rPr>
          <w:bCs/>
          <w:iCs/>
        </w:rPr>
        <w:t>2023, además fueron previamente señalados y manifestados al Estado en reunión sostenida</w:t>
      </w:r>
      <w:r w:rsidR="00CF5CBD">
        <w:rPr>
          <w:bCs/>
          <w:iCs/>
        </w:rPr>
        <w:t xml:space="preserve"> </w:t>
      </w:r>
      <w:r w:rsidR="00CF5CBD" w:rsidRPr="00CF5CBD">
        <w:rPr>
          <w:bCs/>
          <w:iCs/>
        </w:rPr>
        <w:t>en fecha 13 de abril de 2023</w:t>
      </w:r>
      <w:r w:rsidR="00CF5CBD">
        <w:rPr>
          <w:bCs/>
          <w:iCs/>
        </w:rPr>
        <w:t>”. Por último, argumentó</w:t>
      </w:r>
      <w:r w:rsidR="00CF5CBD" w:rsidRPr="00CF5CBD">
        <w:rPr>
          <w:bCs/>
          <w:iCs/>
        </w:rPr>
        <w:t xml:space="preserve"> que la Sentencia es clara en que “la necesidad de los tratamientos de las víctimas debe deducirse de las pretensiones manifestadas por los representantes, de las violaciones reconocidas por la Corte </w:t>
      </w:r>
      <w:r w:rsidR="00A41C02">
        <w:rPr>
          <w:bCs/>
          <w:iCs/>
        </w:rPr>
        <w:t>[…]</w:t>
      </w:r>
      <w:r w:rsidR="00A41C02" w:rsidRPr="00CF5CBD">
        <w:rPr>
          <w:bCs/>
          <w:iCs/>
        </w:rPr>
        <w:t xml:space="preserve"> </w:t>
      </w:r>
      <w:r w:rsidR="00CF5CBD" w:rsidRPr="00CF5CBD">
        <w:rPr>
          <w:bCs/>
          <w:iCs/>
        </w:rPr>
        <w:t xml:space="preserve">en su </w:t>
      </w:r>
      <w:r w:rsidR="0068271E">
        <w:rPr>
          <w:bCs/>
          <w:iCs/>
        </w:rPr>
        <w:t>[S]</w:t>
      </w:r>
      <w:proofErr w:type="spellStart"/>
      <w:r w:rsidR="00CF5CBD" w:rsidRPr="00CF5CBD">
        <w:rPr>
          <w:bCs/>
          <w:iCs/>
        </w:rPr>
        <w:t>entencia</w:t>
      </w:r>
      <w:proofErr w:type="spellEnd"/>
      <w:r w:rsidR="00CF5CBD" w:rsidRPr="00CF5CBD">
        <w:rPr>
          <w:bCs/>
          <w:iCs/>
        </w:rPr>
        <w:t xml:space="preserve"> y de las valoraciones físicas y psicológicas que en forma previa se realicen sobre las víctimas”, </w:t>
      </w:r>
      <w:r w:rsidR="00CF5CBD">
        <w:rPr>
          <w:bCs/>
          <w:iCs/>
        </w:rPr>
        <w:t>y que</w:t>
      </w:r>
      <w:r w:rsidR="00CF5CBD" w:rsidRPr="00CF5CBD">
        <w:rPr>
          <w:bCs/>
          <w:iCs/>
        </w:rPr>
        <w:t xml:space="preserve"> todos estos datos, </w:t>
      </w:r>
      <w:r w:rsidR="00A41C02">
        <w:rPr>
          <w:bCs/>
          <w:iCs/>
        </w:rPr>
        <w:t>”son complementarios</w:t>
      </w:r>
      <w:r w:rsidR="00CF5CBD" w:rsidRPr="00CF5CBD">
        <w:rPr>
          <w:bCs/>
          <w:iCs/>
        </w:rPr>
        <w:t xml:space="preserve"> entre sí, </w:t>
      </w:r>
      <w:r w:rsidR="00A41C02">
        <w:rPr>
          <w:bCs/>
          <w:iCs/>
        </w:rPr>
        <w:t xml:space="preserve">[y] </w:t>
      </w:r>
      <w:r w:rsidR="00CF5CBD" w:rsidRPr="00CF5CBD">
        <w:rPr>
          <w:bCs/>
          <w:iCs/>
        </w:rPr>
        <w:t xml:space="preserve">deben ser </w:t>
      </w:r>
      <w:r w:rsidR="00A41C02">
        <w:rPr>
          <w:bCs/>
          <w:iCs/>
        </w:rPr>
        <w:t>entendidas y consideradas por el Estado al momento de brindar la atención y tratamiento médico, psicológico y/o psiquiátrico</w:t>
      </w:r>
      <w:r w:rsidR="00CF5CBD" w:rsidRPr="00CF5CBD">
        <w:rPr>
          <w:bCs/>
          <w:iCs/>
        </w:rPr>
        <w:t xml:space="preserve"> que </w:t>
      </w:r>
      <w:r w:rsidR="00461F44">
        <w:rPr>
          <w:bCs/>
          <w:iCs/>
        </w:rPr>
        <w:t>sea solicitado y requerido por cada una de las víctimas</w:t>
      </w:r>
      <w:r w:rsidR="00CF5CBD" w:rsidRPr="00CF5CBD">
        <w:rPr>
          <w:bCs/>
          <w:iCs/>
        </w:rPr>
        <w:t>”</w:t>
      </w:r>
      <w:r w:rsidR="00CF5CBD">
        <w:rPr>
          <w:bCs/>
          <w:iCs/>
        </w:rPr>
        <w:t>.</w:t>
      </w:r>
    </w:p>
    <w:p w14:paraId="12299410" w14:textId="77777777" w:rsidR="001D6421" w:rsidRPr="001D6421" w:rsidRDefault="001D6421" w:rsidP="001D6421">
      <w:pPr>
        <w:rPr>
          <w:lang w:val="es-CR" w:eastAsia="es-MX"/>
        </w:rPr>
      </w:pPr>
    </w:p>
    <w:p w14:paraId="2C586B6B" w14:textId="5A5FF396" w:rsidR="001D6421" w:rsidRPr="00F0242D" w:rsidRDefault="001D6421" w:rsidP="001D6421">
      <w:pPr>
        <w:pStyle w:val="PrrafodeSentencia"/>
        <w:rPr>
          <w:color w:val="000000" w:themeColor="text1"/>
        </w:rPr>
      </w:pPr>
      <w:r w:rsidRPr="00F32643">
        <w:rPr>
          <w:color w:val="000000" w:themeColor="text1"/>
          <w:spacing w:val="0"/>
        </w:rPr>
        <w:t xml:space="preserve">La </w:t>
      </w:r>
      <w:r w:rsidRPr="00F32643">
        <w:rPr>
          <w:b/>
          <w:i/>
          <w:color w:val="000000" w:themeColor="text1"/>
          <w:spacing w:val="0"/>
        </w:rPr>
        <w:t xml:space="preserve">Comisión </w:t>
      </w:r>
      <w:r>
        <w:rPr>
          <w:color w:val="000000" w:themeColor="text1"/>
          <w:spacing w:val="0"/>
        </w:rPr>
        <w:t>observó</w:t>
      </w:r>
      <w:r w:rsidRPr="00F32643">
        <w:rPr>
          <w:color w:val="000000" w:themeColor="text1"/>
          <w:spacing w:val="0"/>
        </w:rPr>
        <w:t xml:space="preserve"> que</w:t>
      </w:r>
      <w:r>
        <w:rPr>
          <w:color w:val="000000" w:themeColor="text1"/>
          <w:spacing w:val="0"/>
        </w:rPr>
        <w:t xml:space="preserve"> “</w:t>
      </w:r>
      <w:r w:rsidR="00303FA9">
        <w:rPr>
          <w:color w:val="000000" w:themeColor="text1"/>
          <w:spacing w:val="0"/>
        </w:rPr>
        <w:t xml:space="preserve">a </w:t>
      </w:r>
      <w:r w:rsidRPr="001D6421">
        <w:rPr>
          <w:color w:val="000000" w:themeColor="text1"/>
          <w:spacing w:val="0"/>
        </w:rPr>
        <w:t xml:space="preserve">partir de las conclusiones expuestas por la Corte en su </w:t>
      </w:r>
      <w:r w:rsidR="0068271E">
        <w:rPr>
          <w:color w:val="000000" w:themeColor="text1"/>
          <w:spacing w:val="0"/>
        </w:rPr>
        <w:t>[S]</w:t>
      </w:r>
      <w:proofErr w:type="spellStart"/>
      <w:r w:rsidRPr="001D6421">
        <w:rPr>
          <w:color w:val="000000" w:themeColor="text1"/>
          <w:spacing w:val="0"/>
        </w:rPr>
        <w:t>entencia</w:t>
      </w:r>
      <w:proofErr w:type="spellEnd"/>
      <w:r w:rsidRPr="001D6421">
        <w:rPr>
          <w:color w:val="000000" w:themeColor="text1"/>
          <w:spacing w:val="0"/>
        </w:rPr>
        <w:t xml:space="preserve">, la atención en salud deberá tener en consideración los padecimientos específicos de las víctimas por los hechos del caso </w:t>
      </w:r>
      <w:r>
        <w:rPr>
          <w:color w:val="000000" w:themeColor="text1"/>
          <w:spacing w:val="0"/>
        </w:rPr>
        <w:t>‘</w:t>
      </w:r>
      <w:r w:rsidRPr="001D6421">
        <w:rPr>
          <w:color w:val="000000" w:themeColor="text1"/>
          <w:spacing w:val="0"/>
        </w:rPr>
        <w:t>mediante la realización previa de una valoración física y psicológica</w:t>
      </w:r>
      <w:r>
        <w:rPr>
          <w:color w:val="000000" w:themeColor="text1"/>
          <w:spacing w:val="0"/>
        </w:rPr>
        <w:t>’”. De manera que destacó que “</w:t>
      </w:r>
      <w:r w:rsidRPr="001D6421">
        <w:rPr>
          <w:color w:val="000000" w:themeColor="text1"/>
          <w:spacing w:val="0"/>
        </w:rPr>
        <w:t xml:space="preserve">la </w:t>
      </w:r>
      <w:r>
        <w:rPr>
          <w:color w:val="000000" w:themeColor="text1"/>
          <w:spacing w:val="0"/>
        </w:rPr>
        <w:t>[S]</w:t>
      </w:r>
      <w:proofErr w:type="spellStart"/>
      <w:r w:rsidRPr="001D6421">
        <w:rPr>
          <w:color w:val="000000" w:themeColor="text1"/>
          <w:spacing w:val="0"/>
        </w:rPr>
        <w:t>entencia</w:t>
      </w:r>
      <w:proofErr w:type="spellEnd"/>
      <w:r w:rsidRPr="001D6421">
        <w:rPr>
          <w:color w:val="000000" w:themeColor="text1"/>
          <w:spacing w:val="0"/>
        </w:rPr>
        <w:t xml:space="preserve"> expone con claridad la obligación de atención en salud</w:t>
      </w:r>
      <w:r>
        <w:rPr>
          <w:color w:val="000000" w:themeColor="text1"/>
          <w:spacing w:val="0"/>
        </w:rPr>
        <w:t>” y que “</w:t>
      </w:r>
      <w:r w:rsidRPr="001D6421">
        <w:rPr>
          <w:color w:val="000000" w:themeColor="text1"/>
          <w:spacing w:val="0"/>
        </w:rPr>
        <w:t xml:space="preserve">este asunto tampoco corresponde a la interpretación </w:t>
      </w:r>
      <w:r>
        <w:rPr>
          <w:color w:val="000000" w:themeColor="text1"/>
          <w:spacing w:val="0"/>
        </w:rPr>
        <w:t>[…]</w:t>
      </w:r>
      <w:r w:rsidRPr="001D6421">
        <w:rPr>
          <w:color w:val="000000" w:themeColor="text1"/>
          <w:spacing w:val="0"/>
        </w:rPr>
        <w:t>, sino al cumplimiento de la</w:t>
      </w:r>
      <w:r>
        <w:rPr>
          <w:color w:val="000000" w:themeColor="text1"/>
          <w:spacing w:val="0"/>
        </w:rPr>
        <w:t xml:space="preserve"> [S]</w:t>
      </w:r>
      <w:proofErr w:type="spellStart"/>
      <w:r>
        <w:rPr>
          <w:color w:val="000000" w:themeColor="text1"/>
          <w:spacing w:val="0"/>
        </w:rPr>
        <w:t>entencia</w:t>
      </w:r>
      <w:proofErr w:type="spellEnd"/>
      <w:r>
        <w:rPr>
          <w:color w:val="000000" w:themeColor="text1"/>
          <w:spacing w:val="0"/>
        </w:rPr>
        <w:t xml:space="preserve">”. </w:t>
      </w:r>
    </w:p>
    <w:p w14:paraId="0A8A154D" w14:textId="77777777" w:rsidR="001D6421" w:rsidRPr="001D6421" w:rsidRDefault="001D6421" w:rsidP="001D6421">
      <w:pPr>
        <w:rPr>
          <w:lang w:val="es-CR" w:eastAsia="es-MX"/>
        </w:rPr>
      </w:pPr>
    </w:p>
    <w:p w14:paraId="20B3430B" w14:textId="61F24EEE" w:rsidR="00307190" w:rsidRDefault="004747AE" w:rsidP="004747AE">
      <w:pPr>
        <w:pStyle w:val="Ttulo3"/>
        <w:spacing w:before="0" w:after="0"/>
        <w:ind w:left="567"/>
        <w:rPr>
          <w:lang w:val="es-CR" w:eastAsia="es-MX"/>
        </w:rPr>
      </w:pPr>
      <w:r>
        <w:rPr>
          <w:lang w:val="es-CR" w:eastAsia="es-MX"/>
        </w:rPr>
        <w:t>B.2. Consideraciones de la Corte</w:t>
      </w:r>
    </w:p>
    <w:p w14:paraId="2F183C7E" w14:textId="77777777" w:rsidR="00E448F9" w:rsidRDefault="00E448F9" w:rsidP="00E448F9">
      <w:pPr>
        <w:rPr>
          <w:lang w:val="es-CR" w:eastAsia="es-MX"/>
        </w:rPr>
      </w:pPr>
    </w:p>
    <w:p w14:paraId="49C4F959" w14:textId="15568674" w:rsidR="00E448F9" w:rsidRDefault="00E448F9" w:rsidP="00E448F9">
      <w:pPr>
        <w:pStyle w:val="PrrafodeSentencia"/>
      </w:pPr>
      <w:r>
        <w:t>Respecto a la medida de rehabilitación, el Tribunal recuerda que el párrafo 299 de la Sentencia dispuso lo siguiente:</w:t>
      </w:r>
    </w:p>
    <w:p w14:paraId="44FDB8D7" w14:textId="77777777" w:rsidR="00E448F9" w:rsidRDefault="00E448F9" w:rsidP="00E448F9">
      <w:pPr>
        <w:rPr>
          <w:lang w:val="es-CR" w:eastAsia="es-MX"/>
        </w:rPr>
      </w:pPr>
    </w:p>
    <w:p w14:paraId="29CDED72" w14:textId="25059573" w:rsidR="00E448F9" w:rsidRPr="00E448F9" w:rsidRDefault="00E448F9" w:rsidP="00E448F9">
      <w:pPr>
        <w:ind w:left="567" w:right="567"/>
        <w:rPr>
          <w:sz w:val="18"/>
          <w:szCs w:val="18"/>
          <w:lang w:val="es-CR" w:eastAsia="es-MX"/>
        </w:rPr>
      </w:pPr>
      <w:r w:rsidRPr="00E448F9">
        <w:rPr>
          <w:sz w:val="18"/>
          <w:szCs w:val="18"/>
          <w:lang w:val="es-CR" w:eastAsia="es-MX"/>
        </w:rPr>
        <w:t>La Corte estima que el Estado debe brindar atención médica y psicológica y/o psiquiátrica gratuita y de forma inmediata, adecuada y efectiva, a través de sus instituciones públicas de salud especializadas, a todas las víctimas que así lo soliciten. Para ello deberán tomarse en consideración los padecimientos específicos de las víctimas producto de los hechos del presente caso mediante la realización previa de una valoración física y psicológica. Los tratamientos respectivos deberán prestarse en Bolivia por el tiempo que sea necesario e incluir el suministro gratuito de los medicamentos que eventualmente se requieran. En el caso de las víctimas que se encuentren privadas de libertad, el Estado deberá garantizar el acceso a los tratamientos necesarios en establecimientos fuera del centro penitenciario, garantizando los traslados pertinentes entre el centro penitenciario y el centro médico</w:t>
      </w:r>
      <w:r w:rsidR="00ED31C1">
        <w:rPr>
          <w:rStyle w:val="Refdenotaalpie"/>
          <w:lang w:val="es-CR" w:eastAsia="es-MX"/>
        </w:rPr>
        <w:footnoteReference w:id="8"/>
      </w:r>
      <w:r w:rsidRPr="00E448F9">
        <w:rPr>
          <w:sz w:val="18"/>
          <w:szCs w:val="18"/>
          <w:lang w:val="es-CR" w:eastAsia="es-MX"/>
        </w:rPr>
        <w:t>.</w:t>
      </w:r>
    </w:p>
    <w:p w14:paraId="041D7F98" w14:textId="77777777" w:rsidR="00D07B45" w:rsidRDefault="00D07B45" w:rsidP="00D07B45">
      <w:pPr>
        <w:rPr>
          <w:lang w:val="es-CR" w:eastAsia="es-MX"/>
        </w:rPr>
      </w:pPr>
    </w:p>
    <w:p w14:paraId="3C6FCDCE" w14:textId="39512059" w:rsidR="00927A6C" w:rsidRDefault="00927A6C" w:rsidP="00C17EDC">
      <w:pPr>
        <w:pStyle w:val="PrrafodeSentencia"/>
      </w:pPr>
      <w:r w:rsidRPr="00927A6C">
        <w:t xml:space="preserve">En relación con </w:t>
      </w:r>
      <w:r>
        <w:t xml:space="preserve">la ausencia de plazo para que las víctimas presenten la solicitud de atención médica y psicológica y/o psiquiátrica, debe tomarse en cuenta </w:t>
      </w:r>
      <w:r w:rsidR="00C17EDC">
        <w:t>que, de acuerdo con lo establecido en el párrafo 31 del Fallo, en el present</w:t>
      </w:r>
      <w:r w:rsidR="00820759">
        <w:t>e</w:t>
      </w:r>
      <w:r w:rsidR="00C17EDC">
        <w:t xml:space="preserve"> caso varias de las víctimas no habían podido ser contactadas al momento de emisión y notificación de la Sentencia. </w:t>
      </w:r>
      <w:r w:rsidR="00B93028">
        <w:t xml:space="preserve"> </w:t>
      </w:r>
      <w:r w:rsidRPr="00927A6C">
        <w:t>Siendo así, este Tribunal considera que la solicitud efectuada por el Estado no puede ser objeto de una interpretación en abstracto</w:t>
      </w:r>
      <w:r w:rsidRPr="0047744D">
        <w:rPr>
          <w:rStyle w:val="Refdenotaalpie"/>
        </w:rPr>
        <w:footnoteReference w:id="9"/>
      </w:r>
      <w:r w:rsidRPr="00927A6C">
        <w:t xml:space="preserve"> y será en la referida etapa de supervisión de cumplimiento donde la Corte realizará las consideraciones que estime pertinente</w:t>
      </w:r>
      <w:r w:rsidR="0035188D">
        <w:t>s</w:t>
      </w:r>
      <w:r w:rsidR="00B93028">
        <w:t xml:space="preserve"> </w:t>
      </w:r>
      <w:r w:rsidR="00B93028" w:rsidRPr="00927A6C">
        <w:t xml:space="preserve">a partir de los </w:t>
      </w:r>
      <w:r w:rsidR="00B93028" w:rsidRPr="00927A6C">
        <w:lastRenderedPageBreak/>
        <w:t>respectivos informes que presente el Estado y las observaciones de los representantes de las víctimas y la Comisión</w:t>
      </w:r>
      <w:r w:rsidR="00B93028">
        <w:t>.</w:t>
      </w:r>
      <w:r w:rsidR="00B93028" w:rsidRPr="00927A6C">
        <w:t xml:space="preserve"> </w:t>
      </w:r>
      <w:r w:rsidRPr="00927A6C">
        <w:t>En consecuencia, se declara improcedente la solicitud de interpretación sobre este extremo.</w:t>
      </w:r>
    </w:p>
    <w:p w14:paraId="2AC18C53" w14:textId="77777777" w:rsidR="00C17EDC" w:rsidRPr="00C17EDC" w:rsidRDefault="00C17EDC" w:rsidP="00C17EDC">
      <w:pPr>
        <w:rPr>
          <w:lang w:val="es-CR" w:eastAsia="es-MX"/>
        </w:rPr>
      </w:pPr>
    </w:p>
    <w:p w14:paraId="3057A402" w14:textId="428557E7" w:rsidR="00C17EDC" w:rsidRDefault="00C17EDC" w:rsidP="00C17EDC">
      <w:pPr>
        <w:pStyle w:val="PrrafodeSentencia"/>
      </w:pPr>
      <w:r>
        <w:t xml:space="preserve">Respecto del segundo punto sometido a interpretación, esta Corte considera que el párrafo 299 es claro al establecer que los padecimientos que deben ser objeto de la medida de </w:t>
      </w:r>
      <w:r w:rsidR="005D1ACA">
        <w:t xml:space="preserve">rehabilitación </w:t>
      </w:r>
      <w:r>
        <w:t xml:space="preserve">son </w:t>
      </w:r>
      <w:proofErr w:type="gramStart"/>
      <w:r>
        <w:t>aquellos producto</w:t>
      </w:r>
      <w:proofErr w:type="gramEnd"/>
      <w:r>
        <w:t xml:space="preserve"> de los hechos del presente caso y que tal consideración se determinará “mediante la realización previa de una valoración física y psicológica”</w:t>
      </w:r>
      <w:r w:rsidR="007F7F92">
        <w:t xml:space="preserve">. De este modo, el Tribunal advierte que no existe cuestión alguna que amerite aclaración, en tanto que </w:t>
      </w:r>
      <w:r w:rsidR="00E771B4">
        <w:t>el párrafo citado fija</w:t>
      </w:r>
      <w:r w:rsidR="007F7F92">
        <w:t xml:space="preserve"> los parámetros a considerar respecto al otorgamiento de la medida de rehabilitación. Por consiguiente, al no haber aspecto ambiguo o impreciso a </w:t>
      </w:r>
      <w:r w:rsidR="001F7B4A">
        <w:t xml:space="preserve">aclarar, se desestima este aspecto </w:t>
      </w:r>
      <w:r w:rsidR="00E00E09">
        <w:t>de la solicitud de interpretación planteada por el Estado.</w:t>
      </w:r>
    </w:p>
    <w:p w14:paraId="52B1FA18" w14:textId="77777777" w:rsidR="00C17EDC" w:rsidRDefault="00C17EDC" w:rsidP="00C17EDC">
      <w:pPr>
        <w:rPr>
          <w:lang w:val="es-CR" w:eastAsia="es-MX"/>
        </w:rPr>
      </w:pPr>
    </w:p>
    <w:p w14:paraId="7D37415E" w14:textId="77777777" w:rsidR="00927A6C" w:rsidRPr="00D07B45" w:rsidRDefault="00927A6C" w:rsidP="00D07B45">
      <w:pPr>
        <w:rPr>
          <w:lang w:val="es-CR" w:eastAsia="es-MX"/>
        </w:rPr>
      </w:pPr>
    </w:p>
    <w:p w14:paraId="2E8ABADE" w14:textId="77777777" w:rsidR="001003AC" w:rsidRPr="00F32643" w:rsidRDefault="001003AC" w:rsidP="001003AC">
      <w:pPr>
        <w:pStyle w:val="Ttulo1"/>
        <w:spacing w:before="0" w:after="0"/>
        <w:contextualSpacing/>
        <w:rPr>
          <w:color w:val="000000" w:themeColor="text1"/>
          <w:lang w:val="es-CR"/>
        </w:rPr>
      </w:pPr>
      <w:r w:rsidRPr="00F32643">
        <w:rPr>
          <w:color w:val="000000" w:themeColor="text1"/>
          <w:lang w:val="es-CR"/>
        </w:rPr>
        <w:t>V</w:t>
      </w:r>
      <w:bookmarkEnd w:id="134"/>
      <w:bookmarkEnd w:id="135"/>
      <w:bookmarkEnd w:id="136"/>
      <w:bookmarkEnd w:id="137"/>
      <w:bookmarkEnd w:id="138"/>
      <w:r w:rsidRPr="00F32643">
        <w:rPr>
          <w:color w:val="000000" w:themeColor="text1"/>
          <w:lang w:val="es-CR"/>
        </w:rPr>
        <w:br/>
      </w:r>
      <w:bookmarkEnd w:id="139"/>
      <w:r w:rsidRPr="00F32643">
        <w:rPr>
          <w:color w:val="000000" w:themeColor="text1"/>
          <w:lang w:val="es-CR"/>
        </w:rPr>
        <w:t>puntos resolutivos</w:t>
      </w:r>
    </w:p>
    <w:p w14:paraId="1B2FB403" w14:textId="77777777" w:rsidR="001003AC" w:rsidRPr="00F32643" w:rsidRDefault="001003AC" w:rsidP="001003AC">
      <w:pPr>
        <w:rPr>
          <w:color w:val="000000" w:themeColor="text1"/>
          <w:lang w:val="es-CR"/>
        </w:rPr>
      </w:pPr>
    </w:p>
    <w:p w14:paraId="10199702" w14:textId="77777777" w:rsidR="001003AC" w:rsidRPr="00F32643" w:rsidRDefault="001003AC" w:rsidP="001003AC">
      <w:pPr>
        <w:rPr>
          <w:color w:val="000000" w:themeColor="text1"/>
          <w:lang w:val="es-CR"/>
        </w:rPr>
      </w:pPr>
    </w:p>
    <w:p w14:paraId="40C2D8E1" w14:textId="77777777" w:rsidR="001003AC" w:rsidRPr="00F32643" w:rsidRDefault="001003AC" w:rsidP="001003AC">
      <w:pPr>
        <w:pStyle w:val="PrrafodeSentencia"/>
        <w:rPr>
          <w:b/>
          <w:color w:val="000000" w:themeColor="text1"/>
          <w:spacing w:val="0"/>
        </w:rPr>
      </w:pPr>
      <w:r w:rsidRPr="00F32643">
        <w:rPr>
          <w:color w:val="000000" w:themeColor="text1"/>
          <w:spacing w:val="0"/>
        </w:rPr>
        <w:t xml:space="preserve">Por tanto, </w:t>
      </w:r>
    </w:p>
    <w:p w14:paraId="0E070F93" w14:textId="77777777" w:rsidR="001003AC" w:rsidRPr="00F32643" w:rsidRDefault="001003AC" w:rsidP="001003AC">
      <w:pPr>
        <w:rPr>
          <w:color w:val="000000" w:themeColor="text1"/>
          <w:lang w:val="es-CR" w:eastAsia="es-MX"/>
        </w:rPr>
      </w:pPr>
    </w:p>
    <w:p w14:paraId="3FED3A17" w14:textId="77777777" w:rsidR="001003AC" w:rsidRPr="00F32643" w:rsidRDefault="001003AC" w:rsidP="001003AC">
      <w:pPr>
        <w:pStyle w:val="Prrafodelista"/>
        <w:tabs>
          <w:tab w:val="left" w:pos="567"/>
        </w:tabs>
        <w:ind w:left="0"/>
        <w:rPr>
          <w:b/>
          <w:color w:val="000000" w:themeColor="text1"/>
          <w:szCs w:val="20"/>
          <w:lang w:val="es-CR"/>
        </w:rPr>
      </w:pPr>
      <w:r w:rsidRPr="00F32643">
        <w:rPr>
          <w:b/>
          <w:color w:val="000000" w:themeColor="text1"/>
          <w:szCs w:val="20"/>
          <w:lang w:val="es-CR"/>
        </w:rPr>
        <w:t xml:space="preserve">LA CORTE </w:t>
      </w:r>
    </w:p>
    <w:p w14:paraId="0ADA6D55" w14:textId="19FDA2E8" w:rsidR="001003AC" w:rsidRPr="00F32643" w:rsidRDefault="001003AC" w:rsidP="001003AC">
      <w:pPr>
        <w:pStyle w:val="Prrafodelista"/>
        <w:tabs>
          <w:tab w:val="left" w:pos="567"/>
        </w:tabs>
        <w:ind w:left="0"/>
        <w:rPr>
          <w:b/>
          <w:color w:val="000000" w:themeColor="text1"/>
          <w:szCs w:val="20"/>
          <w:lang w:val="es-CR"/>
        </w:rPr>
      </w:pPr>
    </w:p>
    <w:p w14:paraId="78A11BB5" w14:textId="77777777" w:rsidR="001003AC" w:rsidRPr="00F32643" w:rsidRDefault="001003AC" w:rsidP="001003AC">
      <w:pPr>
        <w:pStyle w:val="Prrafodelista"/>
        <w:tabs>
          <w:tab w:val="left" w:pos="567"/>
        </w:tabs>
        <w:ind w:left="0"/>
        <w:rPr>
          <w:b/>
          <w:color w:val="000000" w:themeColor="text1"/>
          <w:szCs w:val="20"/>
          <w:lang w:val="es-CR"/>
        </w:rPr>
      </w:pPr>
      <w:r w:rsidRPr="00F32643">
        <w:rPr>
          <w:b/>
          <w:color w:val="000000" w:themeColor="text1"/>
          <w:szCs w:val="20"/>
          <w:lang w:val="es-CR"/>
        </w:rPr>
        <w:t>DECIDE,</w:t>
      </w:r>
    </w:p>
    <w:p w14:paraId="57B0FA0B" w14:textId="77777777" w:rsidR="001003AC" w:rsidRPr="00F32643" w:rsidRDefault="001003AC" w:rsidP="001003AC">
      <w:pPr>
        <w:pStyle w:val="Prrafodelista"/>
        <w:tabs>
          <w:tab w:val="left" w:pos="567"/>
        </w:tabs>
        <w:ind w:left="0"/>
        <w:rPr>
          <w:b/>
          <w:color w:val="000000" w:themeColor="text1"/>
          <w:szCs w:val="20"/>
          <w:lang w:val="es-CR"/>
        </w:rPr>
      </w:pPr>
    </w:p>
    <w:p w14:paraId="3B756B9C" w14:textId="713A579C" w:rsidR="001003AC" w:rsidRPr="00F32643" w:rsidRDefault="001003AC" w:rsidP="001003AC">
      <w:pPr>
        <w:pStyle w:val="Prrafodelista"/>
        <w:tabs>
          <w:tab w:val="left" w:pos="567"/>
        </w:tabs>
        <w:ind w:left="0"/>
        <w:rPr>
          <w:color w:val="000000" w:themeColor="text1"/>
          <w:szCs w:val="20"/>
          <w:lang w:val="es-CR"/>
        </w:rPr>
      </w:pPr>
      <w:r w:rsidRPr="00F32643">
        <w:rPr>
          <w:color w:val="000000" w:themeColor="text1"/>
          <w:szCs w:val="20"/>
          <w:lang w:val="es-CR"/>
        </w:rPr>
        <w:t xml:space="preserve">Por </w:t>
      </w:r>
      <w:r w:rsidR="0035188D">
        <w:rPr>
          <w:color w:val="000000" w:themeColor="text1"/>
          <w:szCs w:val="20"/>
          <w:lang w:val="es-CR"/>
        </w:rPr>
        <w:t>unanimidad:</w:t>
      </w:r>
    </w:p>
    <w:p w14:paraId="365F545A" w14:textId="77777777" w:rsidR="00D47E2E" w:rsidRPr="00F32643" w:rsidRDefault="00D47E2E" w:rsidP="001003AC">
      <w:pPr>
        <w:pStyle w:val="Prrafodelista"/>
        <w:tabs>
          <w:tab w:val="left" w:pos="567"/>
        </w:tabs>
        <w:ind w:left="0"/>
        <w:contextualSpacing w:val="0"/>
        <w:rPr>
          <w:color w:val="000000" w:themeColor="text1"/>
          <w:szCs w:val="20"/>
          <w:lang w:val="es-CR"/>
        </w:rPr>
      </w:pPr>
    </w:p>
    <w:p w14:paraId="7CEA9F57" w14:textId="085E7036" w:rsidR="001003AC" w:rsidRPr="00F32643" w:rsidRDefault="001003AC" w:rsidP="001003AC">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 xml:space="preserve">Declarar admisible la solicitud de interpretación de la </w:t>
      </w:r>
      <w:r w:rsidR="005B39DF" w:rsidRPr="00F32643">
        <w:rPr>
          <w:color w:val="000000" w:themeColor="text1"/>
          <w:szCs w:val="20"/>
          <w:lang w:val="es-CR"/>
        </w:rPr>
        <w:t>Sentencia de</w:t>
      </w:r>
      <w:r w:rsidR="001969B9">
        <w:rPr>
          <w:color w:val="000000" w:themeColor="text1"/>
          <w:szCs w:val="20"/>
          <w:lang w:val="es-CR"/>
        </w:rPr>
        <w:t xml:space="preserve"> Excepción preliminar,</w:t>
      </w:r>
      <w:r w:rsidR="005B39DF" w:rsidRPr="00F32643">
        <w:rPr>
          <w:color w:val="000000" w:themeColor="text1"/>
          <w:szCs w:val="20"/>
          <w:lang w:val="es-CR"/>
        </w:rPr>
        <w:t xml:space="preserve"> Fondo</w:t>
      </w:r>
      <w:r w:rsidR="00D30A93" w:rsidRPr="00F32643">
        <w:rPr>
          <w:color w:val="000000" w:themeColor="text1"/>
          <w:szCs w:val="20"/>
          <w:lang w:val="es-CR"/>
        </w:rPr>
        <w:t>,</w:t>
      </w:r>
      <w:r w:rsidR="005B39DF" w:rsidRPr="00F32643">
        <w:rPr>
          <w:color w:val="000000" w:themeColor="text1"/>
          <w:szCs w:val="20"/>
          <w:lang w:val="es-CR"/>
        </w:rPr>
        <w:t xml:space="preserve"> Reparaciones</w:t>
      </w:r>
      <w:r w:rsidR="00D30A93" w:rsidRPr="00F32643">
        <w:rPr>
          <w:color w:val="000000" w:themeColor="text1"/>
          <w:szCs w:val="20"/>
          <w:lang w:val="es-CR"/>
        </w:rPr>
        <w:t xml:space="preserve"> y Costas</w:t>
      </w:r>
      <w:r w:rsidR="005B39DF" w:rsidRPr="00F32643">
        <w:rPr>
          <w:color w:val="000000" w:themeColor="text1"/>
          <w:szCs w:val="20"/>
          <w:lang w:val="es-CR"/>
        </w:rPr>
        <w:t xml:space="preserve"> en el caso </w:t>
      </w:r>
      <w:r w:rsidR="000B3B15">
        <w:rPr>
          <w:i/>
          <w:color w:val="000000" w:themeColor="text1"/>
          <w:szCs w:val="20"/>
          <w:lang w:val="es-CR"/>
        </w:rPr>
        <w:t>Valencia Campos y otros</w:t>
      </w:r>
      <w:r w:rsidR="00026A0D">
        <w:rPr>
          <w:i/>
          <w:color w:val="000000" w:themeColor="text1"/>
          <w:szCs w:val="20"/>
          <w:lang w:val="es-CR"/>
        </w:rPr>
        <w:t xml:space="preserve"> Vs. </w:t>
      </w:r>
      <w:r w:rsidR="000B3B15">
        <w:rPr>
          <w:i/>
          <w:color w:val="000000" w:themeColor="text1"/>
          <w:szCs w:val="20"/>
          <w:lang w:val="es-CR"/>
        </w:rPr>
        <w:t>Bolivia</w:t>
      </w:r>
      <w:r w:rsidR="005B39DF" w:rsidRPr="00F32643">
        <w:rPr>
          <w:i/>
          <w:color w:val="000000" w:themeColor="text1"/>
          <w:szCs w:val="20"/>
          <w:lang w:val="es-CR"/>
        </w:rPr>
        <w:t xml:space="preserve">, </w:t>
      </w:r>
      <w:r w:rsidR="005B39DF" w:rsidRPr="00F32643">
        <w:rPr>
          <w:iCs/>
          <w:color w:val="000000" w:themeColor="text1"/>
          <w:szCs w:val="20"/>
          <w:lang w:val="es-CR"/>
        </w:rPr>
        <w:t>presentada por el Estado</w:t>
      </w:r>
      <w:r w:rsidRPr="00F32643">
        <w:rPr>
          <w:color w:val="000000" w:themeColor="text1"/>
          <w:szCs w:val="20"/>
          <w:lang w:val="es-CR"/>
        </w:rPr>
        <w:t xml:space="preserve">, en los términos </w:t>
      </w:r>
      <w:r w:rsidR="0015013E">
        <w:rPr>
          <w:color w:val="000000" w:themeColor="text1"/>
          <w:szCs w:val="20"/>
          <w:lang w:val="es-CR"/>
        </w:rPr>
        <w:t>del párrafo 7</w:t>
      </w:r>
      <w:r w:rsidRPr="00F32643">
        <w:rPr>
          <w:color w:val="000000" w:themeColor="text1"/>
          <w:szCs w:val="20"/>
          <w:lang w:val="es-CR"/>
        </w:rPr>
        <w:t xml:space="preserve"> de la presente Sentencia de Interpretación.</w:t>
      </w:r>
    </w:p>
    <w:p w14:paraId="60EDA39A" w14:textId="77777777" w:rsidR="00E00E09" w:rsidRPr="00E00E09" w:rsidRDefault="00E00E09" w:rsidP="00E00E09">
      <w:pPr>
        <w:rPr>
          <w:color w:val="000000" w:themeColor="text1"/>
          <w:szCs w:val="20"/>
          <w:lang w:val="es-CR"/>
        </w:rPr>
      </w:pPr>
    </w:p>
    <w:p w14:paraId="71D9FD21" w14:textId="6672E3C6" w:rsidR="00E00E09" w:rsidRDefault="00E00E09" w:rsidP="00F5392D">
      <w:pPr>
        <w:pStyle w:val="Prrafodelista"/>
        <w:numPr>
          <w:ilvl w:val="0"/>
          <w:numId w:val="4"/>
        </w:numPr>
        <w:tabs>
          <w:tab w:val="left" w:pos="567"/>
        </w:tabs>
        <w:ind w:left="0" w:firstLine="0"/>
        <w:contextualSpacing w:val="0"/>
        <w:rPr>
          <w:color w:val="000000" w:themeColor="text1"/>
          <w:szCs w:val="20"/>
          <w:lang w:val="es-CR"/>
        </w:rPr>
      </w:pPr>
      <w:r>
        <w:rPr>
          <w:color w:val="000000" w:themeColor="text1"/>
          <w:szCs w:val="20"/>
          <w:lang w:val="es-CR"/>
        </w:rPr>
        <w:t>Desestimar por improcedente la</w:t>
      </w:r>
      <w:r w:rsidR="005D1ACA">
        <w:rPr>
          <w:color w:val="000000" w:themeColor="text1"/>
          <w:szCs w:val="20"/>
          <w:lang w:val="es-CR"/>
        </w:rPr>
        <w:t>s</w:t>
      </w:r>
      <w:r>
        <w:rPr>
          <w:color w:val="000000" w:themeColor="text1"/>
          <w:szCs w:val="20"/>
          <w:lang w:val="es-CR"/>
        </w:rPr>
        <w:t xml:space="preserve"> solicitud</w:t>
      </w:r>
      <w:r w:rsidR="005D1ACA">
        <w:rPr>
          <w:color w:val="000000" w:themeColor="text1"/>
          <w:szCs w:val="20"/>
          <w:lang w:val="es-CR"/>
        </w:rPr>
        <w:t>es</w:t>
      </w:r>
      <w:r>
        <w:rPr>
          <w:color w:val="000000" w:themeColor="text1"/>
          <w:szCs w:val="20"/>
          <w:lang w:val="es-CR"/>
        </w:rPr>
        <w:t xml:space="preserve"> de interpretación de la Sentencia de Excepción preliminar, Fondo, Reparaciones y Costas en el </w:t>
      </w:r>
      <w:r>
        <w:rPr>
          <w:i/>
          <w:iCs/>
          <w:color w:val="000000" w:themeColor="text1"/>
          <w:szCs w:val="20"/>
          <w:lang w:val="es-CR"/>
        </w:rPr>
        <w:t>Caso Valencia Campos y otros Vs. Bolivia</w:t>
      </w:r>
      <w:r>
        <w:rPr>
          <w:color w:val="000000" w:themeColor="text1"/>
          <w:szCs w:val="20"/>
          <w:lang w:val="es-CR"/>
        </w:rPr>
        <w:t xml:space="preserve"> presentada</w:t>
      </w:r>
      <w:r w:rsidR="001969B9">
        <w:rPr>
          <w:color w:val="000000" w:themeColor="text1"/>
          <w:szCs w:val="20"/>
          <w:lang w:val="es-CR"/>
        </w:rPr>
        <w:t>s</w:t>
      </w:r>
      <w:r>
        <w:rPr>
          <w:color w:val="000000" w:themeColor="text1"/>
          <w:szCs w:val="20"/>
          <w:lang w:val="es-CR"/>
        </w:rPr>
        <w:t xml:space="preserve"> por el Estado, en los términos de los párrafos </w:t>
      </w:r>
      <w:r w:rsidR="0015013E">
        <w:rPr>
          <w:color w:val="000000" w:themeColor="text1"/>
          <w:szCs w:val="20"/>
          <w:lang w:val="es-CR"/>
        </w:rPr>
        <w:t>16 a 17 y 22 a 24</w:t>
      </w:r>
      <w:r>
        <w:rPr>
          <w:color w:val="000000" w:themeColor="text1"/>
          <w:szCs w:val="20"/>
          <w:lang w:val="es-CR"/>
        </w:rPr>
        <w:t xml:space="preserve"> de la presente Sentencia</w:t>
      </w:r>
      <w:r w:rsidR="001969B9">
        <w:rPr>
          <w:color w:val="000000" w:themeColor="text1"/>
          <w:szCs w:val="20"/>
          <w:lang w:val="es-CR"/>
        </w:rPr>
        <w:t xml:space="preserve"> </w:t>
      </w:r>
      <w:r w:rsidR="001969B9" w:rsidRPr="00F32643">
        <w:rPr>
          <w:color w:val="000000" w:themeColor="text1"/>
          <w:szCs w:val="20"/>
          <w:lang w:val="es-CR"/>
        </w:rPr>
        <w:t>de Interpretación</w:t>
      </w:r>
      <w:r w:rsidR="004660A6">
        <w:rPr>
          <w:color w:val="000000" w:themeColor="text1"/>
          <w:szCs w:val="20"/>
          <w:lang w:val="es-CR"/>
        </w:rPr>
        <w:t>,</w:t>
      </w:r>
      <w:r>
        <w:rPr>
          <w:color w:val="000000" w:themeColor="text1"/>
          <w:szCs w:val="20"/>
          <w:lang w:val="es-CR"/>
        </w:rPr>
        <w:t xml:space="preserve"> en lo que se refiere </w:t>
      </w:r>
      <w:r w:rsidR="001969B9" w:rsidRPr="00E771B4">
        <w:rPr>
          <w:color w:val="000000" w:themeColor="text1"/>
          <w:lang w:val="es-CR"/>
        </w:rPr>
        <w:t>al pago de costas y gastos</w:t>
      </w:r>
      <w:r w:rsidR="001969B9" w:rsidDel="001969B9">
        <w:rPr>
          <w:color w:val="000000" w:themeColor="text1"/>
          <w:szCs w:val="20"/>
          <w:lang w:val="es-CR"/>
        </w:rPr>
        <w:t xml:space="preserve"> </w:t>
      </w:r>
      <w:r>
        <w:rPr>
          <w:color w:val="000000" w:themeColor="text1"/>
          <w:szCs w:val="20"/>
          <w:lang w:val="es-CR"/>
        </w:rPr>
        <w:t>ordenadas y a la medida de rehabilitación.</w:t>
      </w:r>
    </w:p>
    <w:p w14:paraId="0F878BBE" w14:textId="77777777" w:rsidR="00E00E09" w:rsidRPr="00E00E09" w:rsidRDefault="00E00E09" w:rsidP="00E00E09">
      <w:pPr>
        <w:pStyle w:val="Prrafodelista"/>
        <w:rPr>
          <w:color w:val="000000" w:themeColor="text1"/>
          <w:szCs w:val="20"/>
          <w:lang w:val="es-CR"/>
        </w:rPr>
      </w:pPr>
    </w:p>
    <w:p w14:paraId="051B660E" w14:textId="77777777" w:rsidR="00E00E09" w:rsidRDefault="00E00E09" w:rsidP="00E00E09">
      <w:pPr>
        <w:pStyle w:val="Prrafodelista"/>
        <w:numPr>
          <w:ilvl w:val="0"/>
          <w:numId w:val="4"/>
        </w:numPr>
        <w:tabs>
          <w:tab w:val="left" w:pos="567"/>
        </w:tabs>
        <w:ind w:left="0" w:firstLine="0"/>
        <w:contextualSpacing w:val="0"/>
        <w:rPr>
          <w:color w:val="000000" w:themeColor="text1"/>
          <w:szCs w:val="20"/>
          <w:lang w:val="es-CR"/>
        </w:rPr>
      </w:pPr>
      <w:r w:rsidRPr="00F32643">
        <w:rPr>
          <w:color w:val="000000" w:themeColor="text1"/>
          <w:szCs w:val="20"/>
          <w:lang w:val="es-CR"/>
        </w:rPr>
        <w:t xml:space="preserve">Disponer que la Secretaría de la Corte notifique la presente Sentencia de Interpretación </w:t>
      </w:r>
      <w:r>
        <w:rPr>
          <w:color w:val="000000" w:themeColor="text1"/>
          <w:szCs w:val="20"/>
          <w:lang w:val="es-CR"/>
        </w:rPr>
        <w:t>al Estado Plurinacional de Bolivia</w:t>
      </w:r>
      <w:r w:rsidRPr="00F32643">
        <w:rPr>
          <w:color w:val="000000" w:themeColor="text1"/>
          <w:szCs w:val="20"/>
          <w:lang w:val="es-CR"/>
        </w:rPr>
        <w:t>, a los representantes de la</w:t>
      </w:r>
      <w:r>
        <w:rPr>
          <w:color w:val="000000" w:themeColor="text1"/>
          <w:szCs w:val="20"/>
          <w:lang w:val="es-CR"/>
        </w:rPr>
        <w:t>s</w:t>
      </w:r>
      <w:r w:rsidRPr="00F32643">
        <w:rPr>
          <w:color w:val="000000" w:themeColor="text1"/>
          <w:szCs w:val="20"/>
          <w:lang w:val="es-CR"/>
        </w:rPr>
        <w:t xml:space="preserve"> víctima</w:t>
      </w:r>
      <w:r>
        <w:rPr>
          <w:color w:val="000000" w:themeColor="text1"/>
          <w:szCs w:val="20"/>
          <w:lang w:val="es-CR"/>
        </w:rPr>
        <w:t>s</w:t>
      </w:r>
      <w:r w:rsidRPr="00F32643">
        <w:rPr>
          <w:color w:val="000000" w:themeColor="text1"/>
          <w:szCs w:val="20"/>
          <w:lang w:val="es-CR"/>
        </w:rPr>
        <w:t xml:space="preserve"> y a la Comisión Interamericana de Derechos Humanos.</w:t>
      </w:r>
    </w:p>
    <w:p w14:paraId="183AF701" w14:textId="77777777" w:rsidR="00E00E09" w:rsidRPr="00E00E09" w:rsidRDefault="00E00E09" w:rsidP="00E00E09">
      <w:pPr>
        <w:pStyle w:val="Prrafodelista"/>
        <w:rPr>
          <w:color w:val="000000" w:themeColor="text1"/>
          <w:szCs w:val="20"/>
          <w:lang w:val="es-CR"/>
        </w:rPr>
      </w:pPr>
    </w:p>
    <w:p w14:paraId="71BAA5B2" w14:textId="77777777" w:rsidR="00E00E09" w:rsidRDefault="00E00E09" w:rsidP="00E00E09">
      <w:pPr>
        <w:pStyle w:val="Prrafodelista"/>
        <w:tabs>
          <w:tab w:val="left" w:pos="567"/>
        </w:tabs>
        <w:ind w:left="0"/>
        <w:contextualSpacing w:val="0"/>
        <w:rPr>
          <w:color w:val="000000" w:themeColor="text1"/>
          <w:szCs w:val="20"/>
          <w:lang w:val="es-CR"/>
        </w:rPr>
      </w:pPr>
    </w:p>
    <w:p w14:paraId="1FFB5B31" w14:textId="77777777" w:rsidR="00290EA3" w:rsidRDefault="00290EA3" w:rsidP="00E00E09">
      <w:pPr>
        <w:pStyle w:val="Prrafodelista"/>
        <w:tabs>
          <w:tab w:val="left" w:pos="567"/>
        </w:tabs>
        <w:ind w:left="0"/>
        <w:contextualSpacing w:val="0"/>
        <w:rPr>
          <w:color w:val="000000" w:themeColor="text1"/>
          <w:szCs w:val="20"/>
          <w:lang w:val="es-CR"/>
        </w:rPr>
      </w:pPr>
    </w:p>
    <w:p w14:paraId="00B88E61" w14:textId="77777777" w:rsidR="00290EA3" w:rsidRDefault="00290EA3" w:rsidP="00E00E09">
      <w:pPr>
        <w:pStyle w:val="Prrafodelista"/>
        <w:tabs>
          <w:tab w:val="left" w:pos="567"/>
        </w:tabs>
        <w:ind w:left="0"/>
        <w:contextualSpacing w:val="0"/>
        <w:rPr>
          <w:color w:val="000000" w:themeColor="text1"/>
          <w:szCs w:val="20"/>
          <w:lang w:val="es-CR"/>
        </w:rPr>
      </w:pPr>
    </w:p>
    <w:p w14:paraId="438CFE53" w14:textId="77777777" w:rsidR="00290EA3" w:rsidRDefault="00290EA3" w:rsidP="00E00E09">
      <w:pPr>
        <w:pStyle w:val="Prrafodelista"/>
        <w:tabs>
          <w:tab w:val="left" w:pos="567"/>
        </w:tabs>
        <w:ind w:left="0"/>
        <w:contextualSpacing w:val="0"/>
        <w:rPr>
          <w:color w:val="000000" w:themeColor="text1"/>
          <w:szCs w:val="20"/>
          <w:lang w:val="es-CR"/>
        </w:rPr>
      </w:pPr>
    </w:p>
    <w:p w14:paraId="5826ECCC" w14:textId="77777777" w:rsidR="00290EA3" w:rsidRDefault="00290EA3" w:rsidP="00E00E09">
      <w:pPr>
        <w:pStyle w:val="Prrafodelista"/>
        <w:tabs>
          <w:tab w:val="left" w:pos="567"/>
        </w:tabs>
        <w:ind w:left="0"/>
        <w:contextualSpacing w:val="0"/>
        <w:rPr>
          <w:color w:val="000000" w:themeColor="text1"/>
          <w:szCs w:val="20"/>
          <w:lang w:val="es-CR"/>
        </w:rPr>
      </w:pPr>
    </w:p>
    <w:p w14:paraId="73E93855" w14:textId="77777777" w:rsidR="00290EA3" w:rsidRDefault="00290EA3" w:rsidP="00E00E09">
      <w:pPr>
        <w:pStyle w:val="Prrafodelista"/>
        <w:tabs>
          <w:tab w:val="left" w:pos="567"/>
        </w:tabs>
        <w:ind w:left="0"/>
        <w:contextualSpacing w:val="0"/>
        <w:rPr>
          <w:color w:val="000000" w:themeColor="text1"/>
          <w:szCs w:val="20"/>
          <w:lang w:val="es-CR"/>
        </w:rPr>
      </w:pPr>
    </w:p>
    <w:p w14:paraId="3D0F4269" w14:textId="77777777" w:rsidR="00290EA3" w:rsidRDefault="00290EA3" w:rsidP="00E00E09">
      <w:pPr>
        <w:pStyle w:val="Prrafodelista"/>
        <w:tabs>
          <w:tab w:val="left" w:pos="567"/>
        </w:tabs>
        <w:ind w:left="0"/>
        <w:contextualSpacing w:val="0"/>
        <w:rPr>
          <w:color w:val="000000" w:themeColor="text1"/>
          <w:szCs w:val="20"/>
          <w:lang w:val="es-CR"/>
        </w:rPr>
      </w:pPr>
    </w:p>
    <w:p w14:paraId="233CC12E" w14:textId="77777777" w:rsidR="00290EA3" w:rsidRDefault="00290EA3" w:rsidP="00E00E09">
      <w:pPr>
        <w:pStyle w:val="Prrafodelista"/>
        <w:tabs>
          <w:tab w:val="left" w:pos="567"/>
        </w:tabs>
        <w:ind w:left="0"/>
        <w:contextualSpacing w:val="0"/>
        <w:rPr>
          <w:color w:val="000000" w:themeColor="text1"/>
          <w:szCs w:val="20"/>
          <w:lang w:val="es-CR"/>
        </w:rPr>
      </w:pPr>
    </w:p>
    <w:p w14:paraId="62177463" w14:textId="77777777" w:rsidR="00290EA3" w:rsidRDefault="00290EA3" w:rsidP="00E00E09">
      <w:pPr>
        <w:pStyle w:val="Prrafodelista"/>
        <w:tabs>
          <w:tab w:val="left" w:pos="567"/>
        </w:tabs>
        <w:ind w:left="0"/>
        <w:contextualSpacing w:val="0"/>
        <w:rPr>
          <w:color w:val="000000" w:themeColor="text1"/>
          <w:szCs w:val="20"/>
          <w:lang w:val="es-CR"/>
        </w:rPr>
      </w:pPr>
    </w:p>
    <w:p w14:paraId="7B4FD3EC" w14:textId="77777777" w:rsidR="00290EA3" w:rsidRPr="00290EA3" w:rsidRDefault="00290EA3" w:rsidP="00290EA3">
      <w:pPr>
        <w:tabs>
          <w:tab w:val="left" w:pos="567"/>
        </w:tabs>
        <w:spacing w:before="240" w:after="240"/>
        <w:rPr>
          <w:szCs w:val="20"/>
          <w:lang w:val="es-ES"/>
        </w:rPr>
      </w:pPr>
      <w:r w:rsidRPr="00290EA3">
        <w:rPr>
          <w:szCs w:val="20"/>
          <w:lang w:val="es-CR"/>
        </w:rPr>
        <w:lastRenderedPageBreak/>
        <w:t xml:space="preserve">Corte IDH. </w:t>
      </w:r>
      <w:r w:rsidRPr="00290EA3">
        <w:rPr>
          <w:i/>
          <w:szCs w:val="20"/>
          <w:lang w:val="es-CR"/>
        </w:rPr>
        <w:t xml:space="preserve">Caso Valencia Campos y otros Vs. </w:t>
      </w:r>
      <w:r w:rsidRPr="00290EA3">
        <w:rPr>
          <w:i/>
          <w:szCs w:val="20"/>
          <w:lang w:val="es-ES"/>
        </w:rPr>
        <w:t xml:space="preserve">Bolivia. Interpretación de la Sentencia de Excepción Preliminar, Fondo, Reparaciones y Costas. </w:t>
      </w:r>
      <w:r w:rsidRPr="00290EA3">
        <w:rPr>
          <w:szCs w:val="20"/>
          <w:lang w:val="es-ES"/>
        </w:rPr>
        <w:t>Sentencia de 30 de agosto de 2023. Sentencia adoptada en San José, Costa Rica.</w:t>
      </w:r>
    </w:p>
    <w:p w14:paraId="4081EF0F" w14:textId="77777777" w:rsidR="00290EA3" w:rsidRPr="00290EA3" w:rsidRDefault="00290EA3" w:rsidP="00290EA3">
      <w:pPr>
        <w:jc w:val="center"/>
        <w:rPr>
          <w:rFonts w:eastAsia="Batang" w:cs="Times"/>
          <w:szCs w:val="20"/>
          <w:lang w:val="es-ES"/>
        </w:rPr>
      </w:pPr>
    </w:p>
    <w:p w14:paraId="53BCE2B2" w14:textId="77777777" w:rsidR="00290EA3" w:rsidRPr="00290EA3" w:rsidRDefault="00290EA3" w:rsidP="00290EA3">
      <w:pPr>
        <w:jc w:val="center"/>
        <w:rPr>
          <w:rFonts w:eastAsia="Batang" w:cs="Times"/>
          <w:szCs w:val="20"/>
          <w:lang w:val="es-ES"/>
        </w:rPr>
      </w:pPr>
    </w:p>
    <w:p w14:paraId="1051B51D" w14:textId="77777777" w:rsidR="00290EA3" w:rsidRPr="00290EA3" w:rsidRDefault="00290EA3" w:rsidP="00290EA3">
      <w:pPr>
        <w:jc w:val="center"/>
        <w:rPr>
          <w:rFonts w:eastAsia="Batang" w:cs="Times"/>
          <w:szCs w:val="20"/>
          <w:lang w:val="es-ES"/>
        </w:rPr>
      </w:pPr>
    </w:p>
    <w:p w14:paraId="299DC2F9" w14:textId="77777777" w:rsidR="00290EA3" w:rsidRPr="00290EA3" w:rsidRDefault="00290EA3" w:rsidP="00290EA3">
      <w:pPr>
        <w:jc w:val="center"/>
        <w:rPr>
          <w:rFonts w:eastAsia="Batang" w:cs="Times"/>
          <w:szCs w:val="20"/>
          <w:lang w:val="es-ES"/>
        </w:rPr>
      </w:pPr>
    </w:p>
    <w:p w14:paraId="244D8F18" w14:textId="77777777" w:rsidR="00290EA3" w:rsidRPr="00290EA3" w:rsidRDefault="00290EA3" w:rsidP="00290EA3">
      <w:pPr>
        <w:jc w:val="center"/>
        <w:rPr>
          <w:rFonts w:eastAsia="Batang" w:cs="Times"/>
          <w:szCs w:val="20"/>
          <w:lang w:val="es-ES"/>
        </w:rPr>
      </w:pPr>
    </w:p>
    <w:p w14:paraId="4E774DE1" w14:textId="77777777" w:rsidR="00290EA3" w:rsidRPr="00290EA3" w:rsidRDefault="00290EA3" w:rsidP="00290EA3">
      <w:pPr>
        <w:jc w:val="center"/>
        <w:rPr>
          <w:rFonts w:eastAsia="Batang" w:cs="Times"/>
          <w:szCs w:val="20"/>
          <w:lang w:val="es-ES"/>
        </w:rPr>
      </w:pPr>
      <w:r w:rsidRPr="00290EA3">
        <w:rPr>
          <w:rFonts w:eastAsia="Batang" w:cs="Times"/>
          <w:szCs w:val="20"/>
          <w:lang w:val="es-ES"/>
        </w:rPr>
        <w:t>Ricardo C. Pérez Manrique</w:t>
      </w:r>
    </w:p>
    <w:p w14:paraId="51F3997D" w14:textId="77777777" w:rsidR="00290EA3" w:rsidRPr="00290EA3" w:rsidRDefault="00290EA3" w:rsidP="00290EA3">
      <w:pPr>
        <w:jc w:val="center"/>
        <w:rPr>
          <w:rFonts w:eastAsia="Batang" w:cs="Times"/>
          <w:szCs w:val="20"/>
          <w:lang w:val="es-ES"/>
        </w:rPr>
      </w:pPr>
      <w:r w:rsidRPr="00290EA3">
        <w:rPr>
          <w:rFonts w:eastAsia="Batang" w:cs="Times"/>
          <w:szCs w:val="20"/>
          <w:lang w:val="es-ES"/>
        </w:rPr>
        <w:t>Presidente</w:t>
      </w:r>
    </w:p>
    <w:p w14:paraId="095427B5" w14:textId="77777777" w:rsidR="00290EA3" w:rsidRPr="00290EA3" w:rsidRDefault="00290EA3" w:rsidP="00290EA3">
      <w:pPr>
        <w:rPr>
          <w:rFonts w:eastAsia="Batang" w:cs="Times"/>
          <w:szCs w:val="20"/>
          <w:lang w:val="es-ES"/>
        </w:rPr>
      </w:pPr>
    </w:p>
    <w:p w14:paraId="7C83EF51" w14:textId="77777777" w:rsidR="00290EA3" w:rsidRPr="00290EA3" w:rsidRDefault="00290EA3" w:rsidP="00290EA3">
      <w:pPr>
        <w:rPr>
          <w:rFonts w:eastAsia="Batang" w:cs="Times"/>
          <w:szCs w:val="20"/>
          <w:lang w:val="es-ES"/>
        </w:rPr>
      </w:pPr>
    </w:p>
    <w:p w14:paraId="6C80E8D7" w14:textId="77777777" w:rsidR="00290EA3" w:rsidRPr="00290EA3" w:rsidRDefault="00290EA3" w:rsidP="00290EA3">
      <w:pPr>
        <w:rPr>
          <w:rFonts w:eastAsia="Batang" w:cs="Times"/>
          <w:szCs w:val="20"/>
          <w:lang w:val="es-ES"/>
        </w:rPr>
      </w:pPr>
    </w:p>
    <w:p w14:paraId="28716808" w14:textId="77777777" w:rsidR="00290EA3" w:rsidRPr="00290EA3" w:rsidRDefault="00290EA3" w:rsidP="00290EA3">
      <w:pPr>
        <w:rPr>
          <w:rFonts w:eastAsia="Batang" w:cs="Times"/>
          <w:szCs w:val="20"/>
          <w:lang w:val="es-ES"/>
        </w:rPr>
      </w:pPr>
    </w:p>
    <w:p w14:paraId="21B0D25A" w14:textId="77777777" w:rsidR="00290EA3" w:rsidRPr="00290EA3" w:rsidRDefault="00290EA3" w:rsidP="00290EA3">
      <w:pPr>
        <w:rPr>
          <w:rFonts w:eastAsia="Batang" w:cs="Times"/>
          <w:szCs w:val="20"/>
          <w:lang w:val="es-ES"/>
        </w:rPr>
      </w:pPr>
    </w:p>
    <w:p w14:paraId="17827933" w14:textId="77777777" w:rsidR="00290EA3" w:rsidRPr="00290EA3" w:rsidRDefault="00290EA3" w:rsidP="00290EA3">
      <w:pPr>
        <w:rPr>
          <w:rFonts w:eastAsia="Batang" w:cs="Times"/>
          <w:szCs w:val="20"/>
          <w:lang w:val="es-ES"/>
        </w:rPr>
      </w:pPr>
      <w:r w:rsidRPr="00290EA3">
        <w:rPr>
          <w:rFonts w:eastAsia="Batang" w:cs="Times"/>
          <w:szCs w:val="20"/>
          <w:lang w:val="es-ES"/>
        </w:rPr>
        <w:t>Eduardo Ferrer Mac-</w:t>
      </w:r>
      <w:proofErr w:type="spellStart"/>
      <w:r w:rsidRPr="00290EA3">
        <w:rPr>
          <w:rFonts w:eastAsia="Batang" w:cs="Times"/>
          <w:szCs w:val="20"/>
          <w:lang w:val="es-ES"/>
        </w:rPr>
        <w:t>Gregor</w:t>
      </w:r>
      <w:proofErr w:type="spellEnd"/>
      <w:r w:rsidRPr="00290EA3">
        <w:rPr>
          <w:rFonts w:eastAsia="Batang" w:cs="Times"/>
          <w:szCs w:val="20"/>
          <w:lang w:val="es-ES"/>
        </w:rPr>
        <w:t xml:space="preserve"> </w:t>
      </w:r>
      <w:proofErr w:type="spellStart"/>
      <w:r w:rsidRPr="00290EA3">
        <w:rPr>
          <w:rFonts w:eastAsia="Batang" w:cs="Times"/>
          <w:szCs w:val="20"/>
          <w:lang w:val="es-ES"/>
        </w:rPr>
        <w:t>Poisot</w:t>
      </w:r>
      <w:proofErr w:type="spellEnd"/>
      <w:r w:rsidRPr="00290EA3">
        <w:rPr>
          <w:rFonts w:eastAsia="Batang" w:cs="Times"/>
          <w:szCs w:val="20"/>
          <w:lang w:val="es-ES"/>
        </w:rPr>
        <w:tab/>
      </w:r>
      <w:r w:rsidRPr="00290EA3">
        <w:rPr>
          <w:rFonts w:eastAsia="Batang" w:cs="Times"/>
          <w:szCs w:val="20"/>
          <w:lang w:val="es-ES"/>
        </w:rPr>
        <w:tab/>
      </w:r>
      <w:r w:rsidRPr="00290EA3">
        <w:rPr>
          <w:rFonts w:eastAsia="Batang" w:cs="Times"/>
          <w:szCs w:val="20"/>
          <w:lang w:val="es-ES"/>
        </w:rPr>
        <w:tab/>
      </w:r>
      <w:r w:rsidRPr="00290EA3">
        <w:rPr>
          <w:rFonts w:eastAsia="Batang" w:cs="Times"/>
          <w:szCs w:val="20"/>
          <w:lang w:val="es-ES"/>
        </w:rPr>
        <w:tab/>
        <w:t xml:space="preserve"> Humberto Antonio Sierra Porto</w:t>
      </w:r>
    </w:p>
    <w:p w14:paraId="03705D57" w14:textId="77777777" w:rsidR="00290EA3" w:rsidRPr="00290EA3" w:rsidRDefault="00290EA3" w:rsidP="00290EA3">
      <w:pPr>
        <w:rPr>
          <w:rFonts w:eastAsia="Batang" w:cs="Times"/>
          <w:szCs w:val="20"/>
          <w:lang w:val="es-ES"/>
        </w:rPr>
      </w:pPr>
    </w:p>
    <w:p w14:paraId="08B994D9" w14:textId="77777777" w:rsidR="00290EA3" w:rsidRPr="00290EA3" w:rsidRDefault="00290EA3" w:rsidP="00290EA3">
      <w:pPr>
        <w:rPr>
          <w:rFonts w:eastAsia="Batang" w:cs="Times"/>
          <w:szCs w:val="20"/>
          <w:lang w:val="es-ES"/>
        </w:rPr>
      </w:pPr>
    </w:p>
    <w:p w14:paraId="528FEBD3" w14:textId="77777777" w:rsidR="00290EA3" w:rsidRPr="00290EA3" w:rsidRDefault="00290EA3" w:rsidP="00290EA3">
      <w:pPr>
        <w:rPr>
          <w:rFonts w:eastAsia="Batang" w:cs="Times"/>
          <w:szCs w:val="20"/>
          <w:lang w:val="es-ES"/>
        </w:rPr>
      </w:pPr>
    </w:p>
    <w:p w14:paraId="7656D0D2" w14:textId="77777777" w:rsidR="00290EA3" w:rsidRPr="00290EA3" w:rsidRDefault="00290EA3" w:rsidP="00290EA3">
      <w:pPr>
        <w:rPr>
          <w:rFonts w:eastAsia="Batang" w:cs="Times"/>
          <w:szCs w:val="20"/>
          <w:lang w:val="es-ES"/>
        </w:rPr>
      </w:pPr>
    </w:p>
    <w:p w14:paraId="7B95F9F4" w14:textId="77777777" w:rsidR="00290EA3" w:rsidRPr="00290EA3" w:rsidRDefault="00290EA3" w:rsidP="00290EA3">
      <w:pPr>
        <w:rPr>
          <w:rFonts w:eastAsia="Batang" w:cs="Times"/>
          <w:szCs w:val="20"/>
          <w:lang w:val="es-ES"/>
        </w:rPr>
      </w:pPr>
    </w:p>
    <w:p w14:paraId="43A2F49C" w14:textId="77777777" w:rsidR="00290EA3" w:rsidRPr="00290EA3" w:rsidRDefault="00290EA3" w:rsidP="00290EA3">
      <w:pPr>
        <w:rPr>
          <w:rFonts w:eastAsia="Batang" w:cs="Times"/>
          <w:szCs w:val="20"/>
          <w:lang w:val="es-ES"/>
        </w:rPr>
      </w:pPr>
      <w:r w:rsidRPr="00290EA3">
        <w:rPr>
          <w:rFonts w:eastAsia="Times" w:cs="Times"/>
          <w:szCs w:val="20"/>
          <w:lang w:val="es-CR"/>
        </w:rPr>
        <w:t>Nancy Hernández López</w:t>
      </w:r>
      <w:r w:rsidRPr="00290EA3">
        <w:rPr>
          <w:rFonts w:eastAsia="Batang" w:cs="Times"/>
          <w:szCs w:val="20"/>
          <w:lang w:val="es-CR"/>
        </w:rPr>
        <w:tab/>
      </w:r>
      <w:r w:rsidRPr="00290EA3">
        <w:rPr>
          <w:rFonts w:eastAsia="Batang" w:cs="Times"/>
          <w:szCs w:val="20"/>
          <w:lang w:val="es-CR"/>
        </w:rPr>
        <w:tab/>
      </w:r>
      <w:r w:rsidRPr="00290EA3">
        <w:rPr>
          <w:rFonts w:eastAsia="Batang" w:cs="Times"/>
          <w:szCs w:val="20"/>
          <w:lang w:val="es-CR"/>
        </w:rPr>
        <w:tab/>
      </w:r>
      <w:r w:rsidRPr="00290EA3">
        <w:rPr>
          <w:rFonts w:eastAsia="Batang" w:cs="Times"/>
          <w:szCs w:val="20"/>
          <w:lang w:val="es-CR"/>
        </w:rPr>
        <w:tab/>
      </w:r>
      <w:r w:rsidRPr="00290EA3">
        <w:rPr>
          <w:rFonts w:eastAsia="Batang" w:cs="Times"/>
          <w:szCs w:val="20"/>
          <w:lang w:val="es-CR"/>
        </w:rPr>
        <w:tab/>
      </w:r>
      <w:r w:rsidRPr="00290EA3">
        <w:rPr>
          <w:rFonts w:eastAsia="Batang" w:cs="Times"/>
          <w:szCs w:val="20"/>
          <w:lang w:val="es-CR"/>
        </w:rPr>
        <w:tab/>
      </w:r>
      <w:r w:rsidRPr="00290EA3">
        <w:rPr>
          <w:rFonts w:eastAsia="Batang" w:cs="Times"/>
          <w:szCs w:val="20"/>
          <w:lang w:val="es-CR"/>
        </w:rPr>
        <w:tab/>
        <w:t xml:space="preserve"> Verónica</w:t>
      </w:r>
      <w:r w:rsidRPr="00290EA3">
        <w:rPr>
          <w:rFonts w:eastAsia="Batang" w:cs="Times"/>
          <w:szCs w:val="20"/>
          <w:lang w:val="es-ES"/>
        </w:rPr>
        <w:t xml:space="preserve"> Gómez</w:t>
      </w:r>
    </w:p>
    <w:p w14:paraId="5D8EDEF6" w14:textId="77777777" w:rsidR="00290EA3" w:rsidRPr="00290EA3" w:rsidRDefault="00290EA3" w:rsidP="00290EA3">
      <w:pPr>
        <w:rPr>
          <w:rFonts w:eastAsia="Batang" w:cs="Times"/>
          <w:szCs w:val="20"/>
          <w:lang w:val="es-ES"/>
        </w:rPr>
      </w:pPr>
    </w:p>
    <w:p w14:paraId="4D0C587C" w14:textId="77777777" w:rsidR="00290EA3" w:rsidRPr="00290EA3" w:rsidRDefault="00290EA3" w:rsidP="00290EA3">
      <w:pPr>
        <w:rPr>
          <w:rFonts w:eastAsia="Batang" w:cs="Times"/>
          <w:szCs w:val="20"/>
          <w:lang w:val="es-ES"/>
        </w:rPr>
      </w:pPr>
    </w:p>
    <w:p w14:paraId="6DAB7412" w14:textId="77777777" w:rsidR="00290EA3" w:rsidRPr="00290EA3" w:rsidRDefault="00290EA3" w:rsidP="00290EA3">
      <w:pPr>
        <w:rPr>
          <w:rFonts w:eastAsia="Batang" w:cs="Times"/>
          <w:szCs w:val="20"/>
          <w:lang w:val="es-ES"/>
        </w:rPr>
      </w:pPr>
    </w:p>
    <w:p w14:paraId="6590CD60" w14:textId="77777777" w:rsidR="00290EA3" w:rsidRPr="00290EA3" w:rsidRDefault="00290EA3" w:rsidP="00290EA3">
      <w:pPr>
        <w:rPr>
          <w:rFonts w:eastAsia="Batang" w:cs="Times"/>
          <w:szCs w:val="20"/>
          <w:lang w:val="es-ES"/>
        </w:rPr>
      </w:pPr>
    </w:p>
    <w:p w14:paraId="7F23B902" w14:textId="77777777" w:rsidR="00290EA3" w:rsidRPr="00290EA3" w:rsidRDefault="00290EA3" w:rsidP="00290EA3">
      <w:pPr>
        <w:rPr>
          <w:rFonts w:eastAsia="Batang" w:cs="Times"/>
          <w:szCs w:val="20"/>
          <w:lang w:val="es-ES"/>
        </w:rPr>
      </w:pPr>
    </w:p>
    <w:p w14:paraId="187D7977" w14:textId="77777777" w:rsidR="00290EA3" w:rsidRPr="00290EA3" w:rsidRDefault="00290EA3" w:rsidP="00290EA3">
      <w:pPr>
        <w:tabs>
          <w:tab w:val="center" w:pos="4419"/>
        </w:tabs>
        <w:jc w:val="left"/>
        <w:rPr>
          <w:rFonts w:eastAsia="Batang" w:cs="Times"/>
          <w:szCs w:val="20"/>
          <w:lang w:val="es-ES"/>
        </w:rPr>
      </w:pPr>
      <w:r w:rsidRPr="00290EA3">
        <w:rPr>
          <w:rFonts w:eastAsia="Batang" w:cs="Times"/>
          <w:szCs w:val="20"/>
          <w:lang w:val="es-ES"/>
        </w:rPr>
        <w:t>Patricia Pérez Goldberg</w:t>
      </w:r>
      <w:r w:rsidRPr="00290EA3">
        <w:rPr>
          <w:rFonts w:eastAsia="Batang" w:cs="Times"/>
          <w:szCs w:val="20"/>
          <w:lang w:val="es-ES"/>
        </w:rPr>
        <w:tab/>
      </w:r>
      <w:r w:rsidRPr="00290EA3">
        <w:rPr>
          <w:rFonts w:eastAsia="Batang" w:cs="Times"/>
          <w:szCs w:val="20"/>
          <w:lang w:val="es-ES"/>
        </w:rPr>
        <w:tab/>
      </w:r>
      <w:r w:rsidRPr="00290EA3">
        <w:rPr>
          <w:rFonts w:eastAsia="Batang" w:cs="Times"/>
          <w:szCs w:val="20"/>
          <w:lang w:val="es-ES"/>
        </w:rPr>
        <w:tab/>
      </w:r>
      <w:r w:rsidRPr="00290EA3">
        <w:rPr>
          <w:rFonts w:eastAsia="Batang" w:cs="Times"/>
          <w:szCs w:val="20"/>
          <w:lang w:val="es-ES"/>
        </w:rPr>
        <w:tab/>
        <w:t xml:space="preserve">     Rodrigo Mudrovitsch</w:t>
      </w:r>
    </w:p>
    <w:p w14:paraId="20A987E6" w14:textId="77777777" w:rsidR="00290EA3" w:rsidRPr="00290EA3" w:rsidRDefault="00290EA3" w:rsidP="00290EA3">
      <w:pPr>
        <w:rPr>
          <w:rFonts w:eastAsia="Batang" w:cs="Times"/>
          <w:szCs w:val="20"/>
          <w:lang w:val="es-ES"/>
        </w:rPr>
      </w:pPr>
    </w:p>
    <w:p w14:paraId="22CF48D7" w14:textId="77777777" w:rsidR="00290EA3" w:rsidRPr="00290EA3" w:rsidRDefault="00290EA3" w:rsidP="00290EA3">
      <w:pPr>
        <w:rPr>
          <w:rFonts w:eastAsia="Batang" w:cs="Times"/>
          <w:szCs w:val="20"/>
          <w:lang w:val="es-ES"/>
        </w:rPr>
      </w:pPr>
    </w:p>
    <w:p w14:paraId="052A221F" w14:textId="77777777" w:rsidR="00290EA3" w:rsidRPr="00290EA3" w:rsidRDefault="00290EA3" w:rsidP="00290EA3">
      <w:pPr>
        <w:tabs>
          <w:tab w:val="left" w:pos="3945"/>
        </w:tabs>
        <w:rPr>
          <w:rFonts w:eastAsia="Times" w:cs="Times"/>
          <w:szCs w:val="20"/>
          <w:lang w:val="es-ES"/>
        </w:rPr>
      </w:pPr>
    </w:p>
    <w:p w14:paraId="3C6BB3B6" w14:textId="77777777" w:rsidR="00290EA3" w:rsidRPr="00290EA3" w:rsidRDefault="00290EA3" w:rsidP="00290EA3">
      <w:pPr>
        <w:tabs>
          <w:tab w:val="left" w:pos="3945"/>
        </w:tabs>
        <w:rPr>
          <w:rFonts w:eastAsia="Times" w:cs="Times"/>
          <w:szCs w:val="20"/>
          <w:lang w:val="es-ES"/>
        </w:rPr>
      </w:pPr>
    </w:p>
    <w:p w14:paraId="0ADA2CA8" w14:textId="77777777" w:rsidR="00290EA3" w:rsidRPr="00290EA3" w:rsidRDefault="00290EA3" w:rsidP="00290EA3">
      <w:pPr>
        <w:rPr>
          <w:rFonts w:eastAsia="Times" w:cs="Times"/>
          <w:szCs w:val="20"/>
          <w:lang w:val="es-ES"/>
        </w:rPr>
      </w:pPr>
    </w:p>
    <w:p w14:paraId="6EEFCCD8" w14:textId="77777777" w:rsidR="00290EA3" w:rsidRPr="00290EA3" w:rsidRDefault="00290EA3" w:rsidP="00290EA3">
      <w:pPr>
        <w:jc w:val="center"/>
        <w:rPr>
          <w:rFonts w:eastAsia="Times" w:cs="Times"/>
          <w:szCs w:val="20"/>
          <w:lang w:val="es-ES"/>
        </w:rPr>
      </w:pPr>
      <w:r w:rsidRPr="00290EA3">
        <w:rPr>
          <w:rFonts w:eastAsia="Times" w:cs="Times"/>
          <w:szCs w:val="20"/>
          <w:lang w:val="es-ES"/>
        </w:rPr>
        <w:t>Romina I. Sijniensky</w:t>
      </w:r>
    </w:p>
    <w:p w14:paraId="009273EF" w14:textId="77777777" w:rsidR="00290EA3" w:rsidRPr="00290EA3" w:rsidRDefault="00290EA3" w:rsidP="00290EA3">
      <w:pPr>
        <w:jc w:val="center"/>
        <w:rPr>
          <w:rFonts w:eastAsia="Times" w:cs="Times"/>
          <w:szCs w:val="20"/>
          <w:lang w:val="es-CR"/>
        </w:rPr>
      </w:pPr>
      <w:r w:rsidRPr="00290EA3">
        <w:rPr>
          <w:rFonts w:eastAsia="Times" w:cs="Times"/>
          <w:szCs w:val="20"/>
          <w:lang w:val="es-CR"/>
        </w:rPr>
        <w:t>Secretaria Adjunta</w:t>
      </w:r>
    </w:p>
    <w:p w14:paraId="0D7635E0" w14:textId="77777777" w:rsidR="00290EA3" w:rsidRPr="00290EA3" w:rsidRDefault="00290EA3" w:rsidP="00290EA3">
      <w:pPr>
        <w:rPr>
          <w:rFonts w:eastAsia="Times" w:cs="Times"/>
          <w:szCs w:val="20"/>
          <w:lang w:val="es-CR"/>
        </w:rPr>
      </w:pPr>
    </w:p>
    <w:p w14:paraId="0AFD7FA3" w14:textId="77777777" w:rsidR="00290EA3" w:rsidRPr="00290EA3" w:rsidRDefault="00290EA3" w:rsidP="00290EA3">
      <w:pPr>
        <w:rPr>
          <w:rFonts w:eastAsia="Times" w:cs="Times"/>
          <w:szCs w:val="20"/>
          <w:lang w:val="es-CR"/>
        </w:rPr>
      </w:pPr>
    </w:p>
    <w:p w14:paraId="3A16441A" w14:textId="77777777" w:rsidR="00290EA3" w:rsidRPr="00290EA3" w:rsidRDefault="00290EA3" w:rsidP="00290EA3">
      <w:pPr>
        <w:rPr>
          <w:rFonts w:eastAsia="Times" w:cs="Times"/>
          <w:szCs w:val="20"/>
          <w:lang w:val="es-CR"/>
        </w:rPr>
      </w:pPr>
    </w:p>
    <w:p w14:paraId="033F7E44" w14:textId="77777777" w:rsidR="00290EA3" w:rsidRPr="00290EA3" w:rsidRDefault="00290EA3" w:rsidP="00290EA3">
      <w:pPr>
        <w:rPr>
          <w:rFonts w:eastAsia="Times" w:cs="Times"/>
          <w:szCs w:val="20"/>
          <w:lang w:val="es-CR"/>
        </w:rPr>
      </w:pPr>
      <w:r w:rsidRPr="00290EA3">
        <w:rPr>
          <w:rFonts w:eastAsia="Times" w:cs="Times"/>
          <w:szCs w:val="20"/>
          <w:lang w:val="es-CR"/>
        </w:rPr>
        <w:t>Comuníquese y ejecútese,</w:t>
      </w:r>
    </w:p>
    <w:p w14:paraId="35DBA635" w14:textId="77777777" w:rsidR="00290EA3" w:rsidRPr="00290EA3" w:rsidRDefault="00290EA3" w:rsidP="00290EA3">
      <w:pPr>
        <w:rPr>
          <w:rFonts w:eastAsia="Times" w:cs="Times"/>
          <w:szCs w:val="20"/>
          <w:lang w:val="es-CR"/>
        </w:rPr>
      </w:pPr>
    </w:p>
    <w:p w14:paraId="46841F3D" w14:textId="77777777" w:rsidR="00290EA3" w:rsidRPr="00290EA3" w:rsidRDefault="00290EA3" w:rsidP="00290EA3">
      <w:pPr>
        <w:rPr>
          <w:rFonts w:eastAsia="Times" w:cs="Times"/>
          <w:szCs w:val="20"/>
          <w:lang w:val="es-CR"/>
        </w:rPr>
      </w:pPr>
    </w:p>
    <w:p w14:paraId="55AF4BCA" w14:textId="77777777" w:rsidR="00290EA3" w:rsidRPr="00290EA3" w:rsidRDefault="00290EA3" w:rsidP="00290EA3">
      <w:pPr>
        <w:rPr>
          <w:rFonts w:eastAsia="Times" w:cs="Times"/>
          <w:szCs w:val="20"/>
          <w:lang w:val="es-CR"/>
        </w:rPr>
      </w:pPr>
    </w:p>
    <w:p w14:paraId="40FB5C0D" w14:textId="77777777" w:rsidR="00290EA3" w:rsidRPr="00290EA3" w:rsidRDefault="00290EA3" w:rsidP="00290EA3">
      <w:pPr>
        <w:rPr>
          <w:rFonts w:eastAsia="Times" w:cs="Times"/>
          <w:szCs w:val="20"/>
          <w:lang w:val="es-CR"/>
        </w:rPr>
      </w:pPr>
    </w:p>
    <w:p w14:paraId="06072622" w14:textId="77777777" w:rsidR="00290EA3" w:rsidRPr="00290EA3" w:rsidRDefault="00290EA3" w:rsidP="00290EA3">
      <w:pPr>
        <w:ind w:left="5664"/>
        <w:jc w:val="center"/>
        <w:rPr>
          <w:rFonts w:eastAsia="Batang" w:cs="Times"/>
          <w:szCs w:val="20"/>
          <w:lang w:val="es-CR"/>
        </w:rPr>
      </w:pPr>
      <w:r w:rsidRPr="00290EA3">
        <w:rPr>
          <w:rFonts w:eastAsia="Batang" w:cs="Times"/>
          <w:szCs w:val="20"/>
          <w:lang w:val="es-CR"/>
        </w:rPr>
        <w:t>Ricardo C. Pérez Manrique</w:t>
      </w:r>
    </w:p>
    <w:p w14:paraId="5B4E9DCC" w14:textId="77777777" w:rsidR="00290EA3" w:rsidRPr="00290EA3" w:rsidRDefault="00290EA3" w:rsidP="00290EA3">
      <w:pPr>
        <w:ind w:left="6372"/>
        <w:jc w:val="left"/>
        <w:rPr>
          <w:rFonts w:eastAsia="Batang" w:cs="Times"/>
          <w:szCs w:val="20"/>
          <w:lang w:val="es-CR"/>
        </w:rPr>
      </w:pPr>
      <w:r w:rsidRPr="00290EA3">
        <w:rPr>
          <w:rFonts w:eastAsia="Batang" w:cs="Times"/>
          <w:szCs w:val="20"/>
          <w:lang w:val="es-CR"/>
        </w:rPr>
        <w:t xml:space="preserve">     Presidente</w:t>
      </w:r>
    </w:p>
    <w:p w14:paraId="720884D5" w14:textId="77777777" w:rsidR="00290EA3" w:rsidRPr="00290EA3" w:rsidRDefault="00290EA3" w:rsidP="00290EA3">
      <w:pPr>
        <w:rPr>
          <w:rFonts w:eastAsia="Times" w:cs="Times"/>
          <w:szCs w:val="20"/>
          <w:lang w:val="es-CR"/>
        </w:rPr>
      </w:pPr>
    </w:p>
    <w:p w14:paraId="4BDCC488" w14:textId="77777777" w:rsidR="00290EA3" w:rsidRPr="00290EA3" w:rsidRDefault="00290EA3" w:rsidP="00290EA3">
      <w:pPr>
        <w:rPr>
          <w:rFonts w:eastAsia="Times" w:cs="Times"/>
          <w:szCs w:val="20"/>
          <w:lang w:val="es-CR"/>
        </w:rPr>
      </w:pPr>
    </w:p>
    <w:p w14:paraId="6F6C77A2" w14:textId="77777777" w:rsidR="00290EA3" w:rsidRPr="00290EA3" w:rsidRDefault="00290EA3" w:rsidP="00290EA3">
      <w:pPr>
        <w:rPr>
          <w:rFonts w:eastAsia="Times" w:cs="Times"/>
          <w:szCs w:val="20"/>
          <w:lang w:val="es-CR"/>
        </w:rPr>
      </w:pPr>
    </w:p>
    <w:p w14:paraId="2F368713" w14:textId="77777777" w:rsidR="00290EA3" w:rsidRPr="00290EA3" w:rsidRDefault="00290EA3" w:rsidP="00290EA3">
      <w:pPr>
        <w:rPr>
          <w:rFonts w:eastAsia="Times" w:cs="Times"/>
          <w:szCs w:val="20"/>
          <w:lang w:val="es-CR"/>
        </w:rPr>
      </w:pPr>
    </w:p>
    <w:p w14:paraId="59E8BC3E" w14:textId="77777777" w:rsidR="00290EA3" w:rsidRPr="00290EA3" w:rsidRDefault="00290EA3" w:rsidP="00290EA3">
      <w:pPr>
        <w:jc w:val="left"/>
        <w:rPr>
          <w:rFonts w:eastAsia="Times" w:cs="Times"/>
          <w:szCs w:val="20"/>
          <w:lang w:val="pt-BR"/>
        </w:rPr>
      </w:pPr>
      <w:r w:rsidRPr="00290EA3">
        <w:rPr>
          <w:rFonts w:eastAsia="Times" w:cs="Times"/>
          <w:szCs w:val="20"/>
          <w:lang w:val="pt-BR"/>
        </w:rPr>
        <w:t>Romina I. Sijniensky</w:t>
      </w:r>
    </w:p>
    <w:p w14:paraId="508A7648" w14:textId="77777777" w:rsidR="00290EA3" w:rsidRPr="00290EA3" w:rsidRDefault="00290EA3" w:rsidP="00290EA3">
      <w:pPr>
        <w:jc w:val="left"/>
        <w:rPr>
          <w:rFonts w:eastAsia="Times" w:cs="Times"/>
          <w:szCs w:val="20"/>
          <w:lang w:val="es-CR"/>
        </w:rPr>
      </w:pPr>
      <w:r w:rsidRPr="00290EA3">
        <w:rPr>
          <w:rFonts w:eastAsia="Times" w:cs="Times"/>
          <w:szCs w:val="20"/>
          <w:lang w:val="es-CR"/>
        </w:rPr>
        <w:t xml:space="preserve"> Secretaria Adjunta</w:t>
      </w:r>
    </w:p>
    <w:p w14:paraId="7347C03A" w14:textId="77777777" w:rsidR="00290EA3" w:rsidRDefault="00290EA3" w:rsidP="00E00E09">
      <w:pPr>
        <w:pStyle w:val="Prrafodelista"/>
        <w:tabs>
          <w:tab w:val="left" w:pos="567"/>
        </w:tabs>
        <w:ind w:left="0"/>
        <w:contextualSpacing w:val="0"/>
        <w:rPr>
          <w:color w:val="000000" w:themeColor="text1"/>
          <w:szCs w:val="20"/>
          <w:lang w:val="es-CR"/>
        </w:rPr>
      </w:pPr>
    </w:p>
    <w:sectPr w:rsidR="00290EA3" w:rsidSect="00EE3BF9">
      <w:footerReference w:type="defaul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81AF05" w14:textId="77777777" w:rsidR="00732CAD" w:rsidRDefault="00732CAD" w:rsidP="001003AC">
      <w:r>
        <w:separator/>
      </w:r>
    </w:p>
  </w:endnote>
  <w:endnote w:type="continuationSeparator" w:id="0">
    <w:p w14:paraId="55961FF3" w14:textId="77777777" w:rsidR="00732CAD" w:rsidRDefault="00732CAD" w:rsidP="001003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Palatino-Italic">
    <w:altName w:val="Malgun Gothic Semilight"/>
    <w:charset w:val="4D"/>
    <w:family w:val="auto"/>
    <w:pitch w:val="variable"/>
    <w:sig w:usb0="A00002FF" w:usb1="7800205A" w:usb2="14600000" w:usb3="00000000" w:csb0="00000193" w:csb1="00000000"/>
  </w:font>
  <w:font w:name="New York">
    <w:panose1 w:val="02040503060506020304"/>
    <w:charset w:val="00"/>
    <w:family w:val="roman"/>
    <w:notTrueType/>
    <w:pitch w:val="variable"/>
    <w:sig w:usb0="00000003" w:usb1="00000000" w:usb2="00000000" w:usb3="00000000" w:csb0="00000001" w:csb1="00000000"/>
  </w:font>
  <w:font w:name="Verdana Bold">
    <w:altName w:val="Times New Roman"/>
    <w:charset w:val="00"/>
    <w:family w:val="auto"/>
    <w:pitch w:val="variable"/>
    <w:sig w:usb0="00000001"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4915199"/>
      <w:docPartObj>
        <w:docPartGallery w:val="Page Numbers (Bottom of Page)"/>
        <w:docPartUnique/>
      </w:docPartObj>
    </w:sdtPr>
    <w:sdtContent>
      <w:p w14:paraId="6502FADB" w14:textId="52D133C2" w:rsidR="00EE5492" w:rsidRDefault="00EE5492">
        <w:pPr>
          <w:pStyle w:val="Piedepgina"/>
          <w:jc w:val="center"/>
        </w:pPr>
        <w:r>
          <w:fldChar w:fldCharType="begin"/>
        </w:r>
        <w:r>
          <w:instrText>PAGE   \* MERGEFORMAT</w:instrText>
        </w:r>
        <w:r>
          <w:fldChar w:fldCharType="separate"/>
        </w:r>
        <w:r>
          <w:rPr>
            <w:lang w:val="es-ES"/>
          </w:rPr>
          <w:t>2</w:t>
        </w:r>
        <w:r>
          <w:fldChar w:fldCharType="end"/>
        </w:r>
      </w:p>
    </w:sdtContent>
  </w:sdt>
  <w:p w14:paraId="5ED386DC" w14:textId="77777777" w:rsidR="00EE5492" w:rsidRDefault="00EE54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07A967" w14:textId="77777777" w:rsidR="00732CAD" w:rsidRDefault="00732CAD" w:rsidP="001003AC">
      <w:r>
        <w:separator/>
      </w:r>
    </w:p>
  </w:footnote>
  <w:footnote w:type="continuationSeparator" w:id="0">
    <w:p w14:paraId="0658C110" w14:textId="77777777" w:rsidR="00732CAD" w:rsidRDefault="00732CAD" w:rsidP="001003AC">
      <w:r>
        <w:continuationSeparator/>
      </w:r>
    </w:p>
  </w:footnote>
  <w:footnote w:id="1">
    <w:p w14:paraId="12F5F707" w14:textId="77777777" w:rsidR="00791E19" w:rsidRDefault="001003AC" w:rsidP="001934D9">
      <w:pPr>
        <w:pStyle w:val="Textonotapie"/>
        <w:spacing w:before="0" w:after="0"/>
      </w:pPr>
      <w:r>
        <w:rPr>
          <w:rStyle w:val="Refdenotaalpie"/>
        </w:rPr>
        <w:footnoteRef/>
      </w:r>
      <w:r>
        <w:t xml:space="preserve"> </w:t>
      </w:r>
      <w:r>
        <w:tab/>
      </w:r>
      <w:r w:rsidR="00791E19" w:rsidRPr="00791E19">
        <w:t xml:space="preserve">En el presente caso hay tres representaciones de las víctimas: </w:t>
      </w:r>
    </w:p>
    <w:p w14:paraId="573E5BCE" w14:textId="3AC545B7" w:rsidR="00791E19" w:rsidRDefault="00791E19" w:rsidP="00791E19">
      <w:pPr>
        <w:pStyle w:val="Textonotapie"/>
        <w:numPr>
          <w:ilvl w:val="0"/>
          <w:numId w:val="8"/>
        </w:numPr>
        <w:spacing w:before="0" w:after="0"/>
        <w:ind w:left="0" w:firstLine="0"/>
      </w:pPr>
      <w:r w:rsidRPr="00791E19">
        <w:t>Carlos Eduardo Gómez Rojas quien represent</w:t>
      </w:r>
      <w:r w:rsidR="000B3B15">
        <w:t>a</w:t>
      </w:r>
      <w:r w:rsidRPr="00791E19">
        <w:t xml:space="preserve"> a Norma Lupe Alarcón de Valencia, Carlos Álvaro Taboada Valencia, Claudio Tito Centeno Valencia, Claudia Mariela Valencia Alarcón de Centeno, Gabriel Blas Valencia Alarcón, Alexis Eduardo Valencia Alarcón, Blas Valencia Campos y Mauricio Marcelo Valenzuela Valencia. </w:t>
      </w:r>
    </w:p>
    <w:p w14:paraId="724A870B" w14:textId="5AE5433E" w:rsidR="00791E19" w:rsidRDefault="00791E19" w:rsidP="00791E19">
      <w:pPr>
        <w:pStyle w:val="Textonotapie"/>
        <w:numPr>
          <w:ilvl w:val="0"/>
          <w:numId w:val="6"/>
        </w:numPr>
        <w:spacing w:before="0" w:after="0"/>
        <w:ind w:left="0" w:firstLine="0"/>
      </w:pPr>
      <w:r w:rsidRPr="00791E19">
        <w:t xml:space="preserve">Hugo Efraín </w:t>
      </w:r>
      <w:proofErr w:type="spellStart"/>
      <w:r w:rsidRPr="00791E19">
        <w:t>Jemio</w:t>
      </w:r>
      <w:proofErr w:type="spellEnd"/>
      <w:r w:rsidRPr="00791E19">
        <w:t xml:space="preserve"> Mendoza quien representa a Patricia Catalina </w:t>
      </w:r>
      <w:proofErr w:type="spellStart"/>
      <w:r w:rsidRPr="00791E19">
        <w:t>Gallardo</w:t>
      </w:r>
      <w:proofErr w:type="spellEnd"/>
      <w:r w:rsidRPr="00791E19">
        <w:t xml:space="preserve"> </w:t>
      </w:r>
      <w:proofErr w:type="spellStart"/>
      <w:r w:rsidRPr="00791E19">
        <w:t>Ardúz</w:t>
      </w:r>
      <w:proofErr w:type="spellEnd"/>
      <w:r w:rsidRPr="00791E19">
        <w:t xml:space="preserve"> y María Fernanda Peña </w:t>
      </w:r>
      <w:proofErr w:type="spellStart"/>
      <w:r w:rsidRPr="00791E19">
        <w:t>Gallardo</w:t>
      </w:r>
      <w:proofErr w:type="spellEnd"/>
      <w:r w:rsidRPr="00791E19">
        <w:t xml:space="preserve">. </w:t>
      </w:r>
    </w:p>
    <w:p w14:paraId="049E5C3B" w14:textId="062CDACA" w:rsidR="001003AC" w:rsidRPr="003F0D73" w:rsidRDefault="00791E19" w:rsidP="00791E19">
      <w:pPr>
        <w:pStyle w:val="Textonotapie"/>
        <w:numPr>
          <w:ilvl w:val="0"/>
          <w:numId w:val="6"/>
        </w:numPr>
        <w:spacing w:before="0" w:after="0"/>
        <w:ind w:left="0" w:firstLine="0"/>
      </w:pPr>
      <w:r w:rsidRPr="00791E19">
        <w:t>Defensores Públicos Interamericanos quienes representa</w:t>
      </w:r>
      <w:r w:rsidR="000B3B15">
        <w:t>n</w:t>
      </w:r>
      <w:r w:rsidRPr="00791E19">
        <w:t xml:space="preserve"> a Víctor Manuel </w:t>
      </w:r>
      <w:proofErr w:type="spellStart"/>
      <w:r w:rsidRPr="00791E19">
        <w:t>Boggiano</w:t>
      </w:r>
      <w:proofErr w:type="spellEnd"/>
      <w:r w:rsidRPr="00791E19">
        <w:t xml:space="preserve"> </w:t>
      </w:r>
      <w:proofErr w:type="spellStart"/>
      <w:r w:rsidRPr="00791E19">
        <w:t>Bruzzón</w:t>
      </w:r>
      <w:proofErr w:type="spellEnd"/>
      <w:r w:rsidRPr="00791E19">
        <w:t xml:space="preserve">, Victoria Gutiérrez Aguilar de </w:t>
      </w:r>
      <w:proofErr w:type="spellStart"/>
      <w:r w:rsidRPr="00791E19">
        <w:t>Lulleman</w:t>
      </w:r>
      <w:proofErr w:type="spellEnd"/>
      <w:r w:rsidRPr="00791E19">
        <w:t xml:space="preserve">, Oswaldo </w:t>
      </w:r>
      <w:proofErr w:type="spellStart"/>
      <w:r w:rsidRPr="00791E19">
        <w:t>Lulleman</w:t>
      </w:r>
      <w:proofErr w:type="spellEnd"/>
      <w:r w:rsidRPr="00791E19">
        <w:t xml:space="preserve"> Antezana, Jenny Paola </w:t>
      </w:r>
      <w:proofErr w:type="spellStart"/>
      <w:r w:rsidRPr="00791E19">
        <w:t>Lulleman</w:t>
      </w:r>
      <w:proofErr w:type="spellEnd"/>
      <w:r w:rsidRPr="00791E19">
        <w:t xml:space="preserve"> Gutiérrez de </w:t>
      </w:r>
      <w:proofErr w:type="spellStart"/>
      <w:r w:rsidRPr="00791E19">
        <w:t>Zaconeta</w:t>
      </w:r>
      <w:proofErr w:type="spellEnd"/>
      <w:r w:rsidRPr="00791E19">
        <w:t xml:space="preserve">, Raúl Oswaldo </w:t>
      </w:r>
      <w:proofErr w:type="spellStart"/>
      <w:r w:rsidRPr="00791E19">
        <w:t>Lulleman</w:t>
      </w:r>
      <w:proofErr w:type="spellEnd"/>
      <w:r w:rsidRPr="00791E19">
        <w:t xml:space="preserve"> Gutiérrez</w:t>
      </w:r>
      <w:r w:rsidR="000B3B15">
        <w:t xml:space="preserve">, </w:t>
      </w:r>
      <w:r w:rsidRPr="00791E19">
        <w:t xml:space="preserve">Luis Fernando </w:t>
      </w:r>
      <w:proofErr w:type="spellStart"/>
      <w:r w:rsidRPr="00791E19">
        <w:t>Lulleman</w:t>
      </w:r>
      <w:proofErr w:type="spellEnd"/>
      <w:r w:rsidRPr="00791E19">
        <w:t xml:space="preserve"> Gutiérrez</w:t>
      </w:r>
      <w:r w:rsidR="000B3B15">
        <w:t xml:space="preserve">, </w:t>
      </w:r>
      <w:r w:rsidRPr="00791E19">
        <w:t xml:space="preserve">Edwin Rodríguez Alarcón, Genaro </w:t>
      </w:r>
      <w:proofErr w:type="spellStart"/>
      <w:r w:rsidRPr="00791E19">
        <w:t>Ahuacho</w:t>
      </w:r>
      <w:proofErr w:type="spellEnd"/>
      <w:r w:rsidRPr="00791E19">
        <w:t xml:space="preserve"> Luna, Alfredo Bazán y Rosas, Freddy Cáceres Castro, Carlos Enrique Castro Ramírez</w:t>
      </w:r>
      <w:r w:rsidR="000B3B15">
        <w:t>,</w:t>
      </w:r>
      <w:r w:rsidRPr="00791E19">
        <w:t xml:space="preserve"> Carlos Eladio Cruz Añez</w:t>
      </w:r>
      <w:r w:rsidR="000B3B15">
        <w:t>,</w:t>
      </w:r>
      <w:r w:rsidRPr="00791E19">
        <w:t xml:space="preserve"> Julia </w:t>
      </w:r>
      <w:proofErr w:type="spellStart"/>
      <w:r w:rsidRPr="00791E19">
        <w:t>Mamanu</w:t>
      </w:r>
      <w:proofErr w:type="spellEnd"/>
      <w:r w:rsidRPr="00791E19">
        <w:t xml:space="preserve"> Mamani</w:t>
      </w:r>
      <w:r w:rsidR="000B3B15">
        <w:t>,</w:t>
      </w:r>
      <w:r w:rsidRPr="00791E19">
        <w:t xml:space="preserve"> </w:t>
      </w:r>
      <w:proofErr w:type="spellStart"/>
      <w:r w:rsidRPr="00791E19">
        <w:t>Elacio</w:t>
      </w:r>
      <w:proofErr w:type="spellEnd"/>
      <w:r w:rsidRPr="00791E19">
        <w:t xml:space="preserve"> Peña Córdoba</w:t>
      </w:r>
      <w:r w:rsidR="000B3B15">
        <w:t>,</w:t>
      </w:r>
      <w:r w:rsidRPr="00791E19">
        <w:t xml:space="preserve"> F.E.P.M.</w:t>
      </w:r>
      <w:r w:rsidR="000B3B15">
        <w:t>,</w:t>
      </w:r>
      <w:r w:rsidRPr="00791E19">
        <w:t xml:space="preserve"> Edwin Rodríguez Alarcón y Mercedes Valencia Chuquimia.</w:t>
      </w:r>
    </w:p>
  </w:footnote>
  <w:footnote w:id="2">
    <w:p w14:paraId="659B49DA" w14:textId="7D091B30" w:rsidR="00976776" w:rsidRPr="00976776" w:rsidRDefault="00976776" w:rsidP="001934D9">
      <w:pPr>
        <w:pStyle w:val="Textonotapie"/>
        <w:spacing w:before="0" w:after="0"/>
        <w:rPr>
          <w:lang w:val="es-MX"/>
        </w:rPr>
      </w:pPr>
      <w:r>
        <w:rPr>
          <w:rStyle w:val="Refdenotaalpie"/>
        </w:rPr>
        <w:footnoteRef/>
      </w:r>
      <w:r>
        <w:t xml:space="preserve"> </w:t>
      </w:r>
      <w:r w:rsidR="004E73CD">
        <w:rPr>
          <w:lang w:val="es-MX"/>
        </w:rPr>
        <w:tab/>
      </w:r>
      <w:r w:rsidR="004E73CD">
        <w:t>Dicho artículo dispone, en lo pertinente: “1. La solicitud de interpretación a que se refiere el artículo 67 de la Convención podrá promoverse en relación con las sentencias de excepciones preliminares, fondo o reparaciones y costas y se presentará en la Secretaría de la Corte indicándose en ella, con precisión, las cuestiones relativas al sentido o alcance de la sentencia cuya interpretación se pida. […] 4. La solicitud de interpretación no suspenderá la ejecución de la sentencia. 5. La Corte determinará el procedimiento que se seguirá y resolverá mediante una sentencia”.</w:t>
      </w:r>
    </w:p>
  </w:footnote>
  <w:footnote w:id="3">
    <w:p w14:paraId="76A7B6F8" w14:textId="452296A0" w:rsidR="001003AC" w:rsidRPr="005935E7" w:rsidRDefault="001003AC" w:rsidP="001934D9">
      <w:pPr>
        <w:pStyle w:val="Textonotapie"/>
        <w:spacing w:before="0" w:after="0"/>
        <w:rPr>
          <w:lang w:val="es-MX"/>
        </w:rPr>
      </w:pPr>
      <w:r>
        <w:rPr>
          <w:rStyle w:val="Refdenotaalpie"/>
        </w:rPr>
        <w:footnoteRef/>
      </w:r>
      <w:r>
        <w:t xml:space="preserve"> </w:t>
      </w:r>
      <w:r>
        <w:rPr>
          <w:lang w:val="es-MX"/>
        </w:rPr>
        <w:tab/>
      </w:r>
      <w:r w:rsidRPr="005935E7">
        <w:rPr>
          <w:i/>
          <w:lang w:val="es-MX"/>
        </w:rPr>
        <w:t>Cfr.</w:t>
      </w:r>
      <w:r w:rsidRPr="005935E7">
        <w:rPr>
          <w:lang w:val="es-MX"/>
        </w:rPr>
        <w:t xml:space="preserve"> </w:t>
      </w:r>
      <w:r w:rsidRPr="005935E7">
        <w:rPr>
          <w:i/>
          <w:lang w:val="es-MX"/>
        </w:rPr>
        <w:t>Caso Loayza Tamayo Vs. Perú.</w:t>
      </w:r>
      <w:r w:rsidRPr="005935E7">
        <w:rPr>
          <w:lang w:val="es-MX"/>
        </w:rPr>
        <w:t xml:space="preserve"> </w:t>
      </w:r>
      <w:r w:rsidRPr="00AB0465">
        <w:rPr>
          <w:i/>
          <w:lang w:val="es-MX"/>
        </w:rPr>
        <w:t>Interpretación de la Sentencia de Fondo</w:t>
      </w:r>
      <w:r>
        <w:rPr>
          <w:lang w:val="es-MX"/>
        </w:rPr>
        <w:t xml:space="preserve">. Resolución de la Corte </w:t>
      </w:r>
      <w:r w:rsidRPr="005935E7">
        <w:rPr>
          <w:lang w:val="es-MX"/>
        </w:rPr>
        <w:t>de 8 de marz</w:t>
      </w:r>
      <w:r>
        <w:rPr>
          <w:lang w:val="es-MX"/>
        </w:rPr>
        <w:t xml:space="preserve">o de 1998. Serie C No. 47, párr. </w:t>
      </w:r>
      <w:r w:rsidRPr="005935E7">
        <w:rPr>
          <w:lang w:val="es-MX"/>
        </w:rPr>
        <w:t>16, y</w:t>
      </w:r>
      <w:r>
        <w:rPr>
          <w:lang w:val="es-MX"/>
        </w:rPr>
        <w:t xml:space="preserve"> </w:t>
      </w:r>
      <w:r>
        <w:rPr>
          <w:i/>
          <w:lang w:val="es-MX"/>
        </w:rPr>
        <w:t xml:space="preserve">Caso </w:t>
      </w:r>
      <w:r w:rsidR="00C66C83">
        <w:rPr>
          <w:i/>
          <w:lang w:val="es-MX"/>
        </w:rPr>
        <w:t>Federación Nacional de Trabajadores Marítimos y Portuarios (FEMAPOR) Vs. Perú</w:t>
      </w:r>
      <w:r>
        <w:rPr>
          <w:i/>
          <w:lang w:val="es-MX"/>
        </w:rPr>
        <w:t xml:space="preserve">. </w:t>
      </w:r>
      <w:r w:rsidRPr="00AB0465">
        <w:rPr>
          <w:i/>
          <w:lang w:val="es-MX"/>
        </w:rPr>
        <w:t xml:space="preserve">Interpretación de la Sentencia de </w:t>
      </w:r>
      <w:r w:rsidR="00575EB9">
        <w:rPr>
          <w:i/>
          <w:lang w:val="es-MX"/>
        </w:rPr>
        <w:t xml:space="preserve">Excepciones Preliminares, </w:t>
      </w:r>
      <w:r w:rsidRPr="00AB0465">
        <w:rPr>
          <w:i/>
          <w:lang w:val="es-MX"/>
        </w:rPr>
        <w:t>Fondo</w:t>
      </w:r>
      <w:r w:rsidR="00C66C83">
        <w:rPr>
          <w:i/>
          <w:lang w:val="es-MX"/>
        </w:rPr>
        <w:t xml:space="preserve"> y</w:t>
      </w:r>
      <w:r w:rsidRPr="00AB0465">
        <w:rPr>
          <w:i/>
          <w:lang w:val="es-MX"/>
        </w:rPr>
        <w:t xml:space="preserve"> Reparaciones</w:t>
      </w:r>
      <w:r>
        <w:rPr>
          <w:lang w:val="es-MX"/>
        </w:rPr>
        <w:t xml:space="preserve">. Sentencia de </w:t>
      </w:r>
      <w:r w:rsidR="00C66C83">
        <w:rPr>
          <w:lang w:val="es-MX"/>
        </w:rPr>
        <w:t>21 de noviembre de 2033</w:t>
      </w:r>
      <w:r>
        <w:rPr>
          <w:lang w:val="es-MX"/>
        </w:rPr>
        <w:t xml:space="preserve">. Serie C No. </w:t>
      </w:r>
      <w:r w:rsidR="00C66C83">
        <w:rPr>
          <w:lang w:val="es-MX"/>
        </w:rPr>
        <w:t>480</w:t>
      </w:r>
      <w:r>
        <w:rPr>
          <w:lang w:val="es-MX"/>
        </w:rPr>
        <w:t xml:space="preserve">, párr. </w:t>
      </w:r>
      <w:r w:rsidR="00575EB9">
        <w:rPr>
          <w:lang w:val="es-MX"/>
        </w:rPr>
        <w:t>10</w:t>
      </w:r>
      <w:r>
        <w:rPr>
          <w:lang w:val="es-MX"/>
        </w:rPr>
        <w:t>.</w:t>
      </w:r>
    </w:p>
  </w:footnote>
  <w:footnote w:id="4">
    <w:p w14:paraId="1B232E73" w14:textId="0BFA9518" w:rsidR="001003AC" w:rsidRPr="00583FA6" w:rsidRDefault="001003AC" w:rsidP="001934D9">
      <w:pPr>
        <w:pStyle w:val="Textonotapie"/>
        <w:spacing w:before="0" w:after="0"/>
        <w:rPr>
          <w:i/>
          <w:lang w:val="es-MX"/>
        </w:rPr>
      </w:pPr>
      <w:r>
        <w:rPr>
          <w:rStyle w:val="Refdenotaalpie"/>
        </w:rPr>
        <w:footnoteRef/>
      </w:r>
      <w:r>
        <w:t xml:space="preserve"> </w:t>
      </w:r>
      <w:r>
        <w:rPr>
          <w:lang w:val="es-MX"/>
        </w:rPr>
        <w:tab/>
      </w:r>
      <w:r>
        <w:rPr>
          <w:i/>
          <w:lang w:val="es-MX"/>
        </w:rPr>
        <w:t xml:space="preserve">Cfr. </w:t>
      </w:r>
      <w:r w:rsidRPr="005935E7">
        <w:rPr>
          <w:i/>
          <w:lang w:val="es-MX"/>
        </w:rPr>
        <w:t>Caso Loayza Tamayo Vs. Perú.</w:t>
      </w:r>
      <w:r w:rsidRPr="005935E7">
        <w:rPr>
          <w:lang w:val="es-MX"/>
        </w:rPr>
        <w:t xml:space="preserve"> </w:t>
      </w:r>
      <w:r w:rsidRPr="00AB0465">
        <w:rPr>
          <w:i/>
          <w:lang w:val="es-MX"/>
        </w:rPr>
        <w:t xml:space="preserve">Interpretación de la Sentencia de Reparaciones y </w:t>
      </w:r>
      <w:r>
        <w:rPr>
          <w:i/>
          <w:lang w:val="es-MX"/>
        </w:rPr>
        <w:t>Costas</w:t>
      </w:r>
      <w:r w:rsidR="00E46828">
        <w:rPr>
          <w:lang w:val="es-MX"/>
        </w:rPr>
        <w:t xml:space="preserve">, </w:t>
      </w:r>
      <w:r w:rsidR="00E46828">
        <w:rPr>
          <w:i/>
          <w:iCs/>
          <w:lang w:val="es-MX"/>
        </w:rPr>
        <w:t>supra</w:t>
      </w:r>
      <w:r>
        <w:rPr>
          <w:lang w:val="es-MX"/>
        </w:rPr>
        <w:t>, párr. 15</w:t>
      </w:r>
      <w:r w:rsidRPr="005935E7">
        <w:rPr>
          <w:lang w:val="es-MX"/>
        </w:rPr>
        <w:t>, y</w:t>
      </w:r>
      <w:r>
        <w:rPr>
          <w:lang w:val="es-MX"/>
        </w:rPr>
        <w:t xml:space="preserve"> </w:t>
      </w:r>
      <w:r w:rsidR="00804157">
        <w:rPr>
          <w:i/>
          <w:lang w:val="es-MX"/>
        </w:rPr>
        <w:t>Caso</w:t>
      </w:r>
      <w:r w:rsidR="00AD1C70" w:rsidRPr="00AD1C70">
        <w:rPr>
          <w:i/>
          <w:lang w:val="es-MX"/>
        </w:rPr>
        <w:t xml:space="preserve"> Federación Nacional de Trabajadores Marítimos y Portuarios (FEMAPOR) Vs. Perú</w:t>
      </w:r>
      <w:r w:rsidR="00804157">
        <w:rPr>
          <w:i/>
          <w:lang w:val="es-MX"/>
        </w:rPr>
        <w:t xml:space="preserve">. </w:t>
      </w:r>
      <w:r w:rsidR="00804157" w:rsidRPr="00AB0465">
        <w:rPr>
          <w:i/>
          <w:lang w:val="es-MX"/>
        </w:rPr>
        <w:t xml:space="preserve">Interpretación de la Sentencia de </w:t>
      </w:r>
      <w:r w:rsidR="00804157">
        <w:rPr>
          <w:i/>
          <w:lang w:val="es-MX"/>
        </w:rPr>
        <w:t xml:space="preserve">Excepciones Preliminares, </w:t>
      </w:r>
      <w:r w:rsidR="00804157" w:rsidRPr="00AB0465">
        <w:rPr>
          <w:i/>
          <w:lang w:val="es-MX"/>
        </w:rPr>
        <w:t>Fondo</w:t>
      </w:r>
      <w:r w:rsidR="00AD1C70">
        <w:rPr>
          <w:i/>
          <w:lang w:val="es-MX"/>
        </w:rPr>
        <w:t xml:space="preserve"> y</w:t>
      </w:r>
      <w:r w:rsidR="00804157" w:rsidRPr="00AB0465">
        <w:rPr>
          <w:i/>
          <w:lang w:val="es-MX"/>
        </w:rPr>
        <w:t xml:space="preserve"> Reparaciones</w:t>
      </w:r>
      <w:r w:rsidR="003367B8">
        <w:rPr>
          <w:lang w:val="es-MX"/>
        </w:rPr>
        <w:t xml:space="preserve">, </w:t>
      </w:r>
      <w:r w:rsidR="003367B8" w:rsidRPr="00E46828">
        <w:rPr>
          <w:i/>
          <w:iCs/>
          <w:lang w:val="es-MX"/>
        </w:rPr>
        <w:t>supra</w:t>
      </w:r>
      <w:r w:rsidR="00804157">
        <w:rPr>
          <w:lang w:val="es-MX"/>
        </w:rPr>
        <w:t>, párr. 11</w:t>
      </w:r>
      <w:r>
        <w:rPr>
          <w:lang w:val="es-MX"/>
        </w:rPr>
        <w:t>.</w:t>
      </w:r>
    </w:p>
  </w:footnote>
  <w:footnote w:id="5">
    <w:p w14:paraId="2FB9AA0D" w14:textId="6330426D" w:rsidR="001003AC" w:rsidRPr="008E5E23" w:rsidRDefault="001003AC" w:rsidP="001934D9">
      <w:pPr>
        <w:pStyle w:val="Textonotapie"/>
        <w:spacing w:before="0" w:after="0"/>
        <w:rPr>
          <w:lang w:val="es-MX"/>
        </w:rPr>
      </w:pPr>
      <w:r>
        <w:rPr>
          <w:rStyle w:val="Refdenotaalpie"/>
        </w:rPr>
        <w:footnoteRef/>
      </w:r>
      <w:r>
        <w:t xml:space="preserve"> </w:t>
      </w:r>
      <w:r>
        <w:rPr>
          <w:lang w:val="es-MX"/>
        </w:rPr>
        <w:tab/>
      </w:r>
      <w:r>
        <w:rPr>
          <w:i/>
          <w:lang w:val="es-MX"/>
        </w:rPr>
        <w:t xml:space="preserve">Cfr. Caso Salvador Chiriboga Vs. Ecuador. </w:t>
      </w:r>
      <w:r w:rsidRPr="00AB0465">
        <w:rPr>
          <w:i/>
          <w:lang w:val="es-MX"/>
        </w:rPr>
        <w:t>Interpretación de la Sentencia de Reparaciones y Costas</w:t>
      </w:r>
      <w:r>
        <w:rPr>
          <w:lang w:val="es-MX"/>
        </w:rPr>
        <w:t xml:space="preserve">. Sentencia de 29 de agosto de 2011. Serie C No. 230, párr. 30 y </w:t>
      </w:r>
      <w:r w:rsidR="00AD1C70" w:rsidRPr="00AD1C70">
        <w:rPr>
          <w:i/>
          <w:lang w:val="es-MX"/>
        </w:rPr>
        <w:t>Caso Federación Nacional de Trabajadores Marítimos y Portuarios (FEMAPOR) Vs. Perú. Interpretación de la Sentencia de Excepciones Preliminares, Fondo y Reparaciones</w:t>
      </w:r>
      <w:r w:rsidR="003367B8">
        <w:rPr>
          <w:lang w:val="es-MX"/>
        </w:rPr>
        <w:t xml:space="preserve">, </w:t>
      </w:r>
      <w:r w:rsidR="003367B8" w:rsidRPr="00E46828">
        <w:rPr>
          <w:i/>
          <w:iCs/>
          <w:lang w:val="es-MX"/>
        </w:rPr>
        <w:t>supra,</w:t>
      </w:r>
      <w:r w:rsidR="003367B8">
        <w:rPr>
          <w:lang w:val="es-MX"/>
        </w:rPr>
        <w:t xml:space="preserve"> párr. 11.</w:t>
      </w:r>
    </w:p>
  </w:footnote>
  <w:footnote w:id="6">
    <w:p w14:paraId="00BD7803" w14:textId="655AB868" w:rsidR="001003AC" w:rsidRPr="008E5E23" w:rsidRDefault="001003AC" w:rsidP="001934D9">
      <w:pPr>
        <w:pStyle w:val="Textonotapie"/>
        <w:spacing w:before="0" w:after="0"/>
        <w:rPr>
          <w:lang w:val="es-MX"/>
        </w:rPr>
      </w:pPr>
      <w:r>
        <w:rPr>
          <w:rStyle w:val="Refdenotaalpie"/>
        </w:rPr>
        <w:footnoteRef/>
      </w:r>
      <w:r>
        <w:t xml:space="preserve"> </w:t>
      </w:r>
      <w:r>
        <w:rPr>
          <w:lang w:val="es-MX"/>
        </w:rPr>
        <w:tab/>
      </w:r>
      <w:r>
        <w:rPr>
          <w:i/>
          <w:lang w:val="es-MX"/>
        </w:rPr>
        <w:t xml:space="preserve">Cfr. Caso Escher y otros Vs. Brasil. </w:t>
      </w:r>
      <w:r w:rsidRPr="00AB0465">
        <w:rPr>
          <w:i/>
          <w:lang w:val="es-MX"/>
        </w:rPr>
        <w:t>Interpretación de la Sentencia de Excepciones Preliminares, Fondo, Reparaciones y Costas</w:t>
      </w:r>
      <w:r>
        <w:rPr>
          <w:lang w:val="es-MX"/>
        </w:rPr>
        <w:t>. Sentencia de 20 de noviembre de 2009. Serie C No. 208, párr. 11</w:t>
      </w:r>
      <w:r w:rsidR="00AD1C70">
        <w:rPr>
          <w:lang w:val="es-MX"/>
        </w:rPr>
        <w:t>, y</w:t>
      </w:r>
      <w:r>
        <w:rPr>
          <w:lang w:val="es-MX"/>
        </w:rPr>
        <w:t xml:space="preserve"> </w:t>
      </w:r>
      <w:r w:rsidR="00AD1C70" w:rsidRPr="00AD1C70">
        <w:rPr>
          <w:i/>
          <w:lang w:val="es-MX"/>
        </w:rPr>
        <w:t>Caso Federación Nacional de Trabajadores Marítimos y Portuarios (FEMAPOR) Vs. Perú. Interpretación de la Sentencia de Excepciones Preliminares, Fondo y Reparaciones</w:t>
      </w:r>
      <w:r w:rsidR="003367B8">
        <w:rPr>
          <w:lang w:val="es-MX"/>
        </w:rPr>
        <w:t xml:space="preserve">, </w:t>
      </w:r>
      <w:r w:rsidR="003367B8" w:rsidRPr="00E46828">
        <w:rPr>
          <w:i/>
          <w:iCs/>
          <w:lang w:val="es-MX"/>
        </w:rPr>
        <w:t>supra,</w:t>
      </w:r>
      <w:r w:rsidR="003367B8">
        <w:rPr>
          <w:lang w:val="es-MX"/>
        </w:rPr>
        <w:t xml:space="preserve"> párr. 11.</w:t>
      </w:r>
    </w:p>
  </w:footnote>
  <w:footnote w:id="7">
    <w:p w14:paraId="7BAD0EBE" w14:textId="7D8A01F6" w:rsidR="00ED31C1" w:rsidRPr="00ED31C1" w:rsidRDefault="00ED31C1">
      <w:pPr>
        <w:pStyle w:val="Textonotapie"/>
        <w:rPr>
          <w:szCs w:val="16"/>
          <w:lang w:val="es-ES"/>
        </w:rPr>
      </w:pPr>
      <w:r w:rsidRPr="00ED31C1">
        <w:rPr>
          <w:rStyle w:val="Refdenotaalpie"/>
          <w:sz w:val="16"/>
          <w:szCs w:val="16"/>
        </w:rPr>
        <w:footnoteRef/>
      </w:r>
      <w:r w:rsidRPr="00ED31C1">
        <w:rPr>
          <w:szCs w:val="16"/>
        </w:rPr>
        <w:t xml:space="preserve"> </w:t>
      </w:r>
      <w:r w:rsidRPr="00ED31C1">
        <w:rPr>
          <w:szCs w:val="16"/>
          <w:lang w:val="es-ES"/>
        </w:rPr>
        <w:tab/>
      </w:r>
      <w:r w:rsidRPr="00ED31C1">
        <w:rPr>
          <w:i/>
          <w:iCs/>
          <w:szCs w:val="16"/>
          <w:lang w:val="es-ES"/>
        </w:rPr>
        <w:t>Cfr</w:t>
      </w:r>
      <w:r w:rsidRPr="00ED31C1">
        <w:rPr>
          <w:szCs w:val="16"/>
          <w:lang w:val="es-ES"/>
        </w:rPr>
        <w:t xml:space="preserve">. </w:t>
      </w:r>
      <w:r w:rsidRPr="00ED31C1">
        <w:rPr>
          <w:i/>
          <w:iCs/>
          <w:szCs w:val="16"/>
          <w:lang w:val="es-ES"/>
        </w:rPr>
        <w:t>Caso Valencia Campos y otros Vs. Bolivia. Excepción Preliminar, Fondo, Reparaciones y Costas</w:t>
      </w:r>
      <w:r w:rsidRPr="00ED31C1">
        <w:rPr>
          <w:szCs w:val="16"/>
          <w:lang w:val="es-ES"/>
        </w:rPr>
        <w:t>. Sentencia de 18 de octubre de 2022. Serie C No. 469, párr. 337</w:t>
      </w:r>
      <w:r>
        <w:rPr>
          <w:szCs w:val="16"/>
          <w:lang w:val="es-ES"/>
        </w:rPr>
        <w:t>.</w:t>
      </w:r>
    </w:p>
  </w:footnote>
  <w:footnote w:id="8">
    <w:p w14:paraId="624314D2" w14:textId="55C5A221" w:rsidR="00ED31C1" w:rsidRPr="00ED31C1" w:rsidRDefault="00ED31C1">
      <w:pPr>
        <w:pStyle w:val="Textonotapie"/>
        <w:rPr>
          <w:szCs w:val="16"/>
          <w:lang w:val="es-ES"/>
        </w:rPr>
      </w:pPr>
      <w:r w:rsidRPr="00ED31C1">
        <w:rPr>
          <w:rStyle w:val="Refdenotaalpie"/>
          <w:sz w:val="16"/>
          <w:szCs w:val="16"/>
        </w:rPr>
        <w:footnoteRef/>
      </w:r>
      <w:r w:rsidRPr="00ED31C1">
        <w:rPr>
          <w:szCs w:val="16"/>
        </w:rPr>
        <w:t xml:space="preserve"> </w:t>
      </w:r>
      <w:r w:rsidRPr="00ED31C1">
        <w:rPr>
          <w:szCs w:val="16"/>
          <w:lang w:val="es-ES"/>
        </w:rPr>
        <w:tab/>
      </w:r>
      <w:r w:rsidRPr="00ED31C1">
        <w:rPr>
          <w:i/>
          <w:iCs/>
          <w:szCs w:val="16"/>
          <w:lang w:val="es-ES"/>
        </w:rPr>
        <w:t>Cfr</w:t>
      </w:r>
      <w:r w:rsidRPr="00ED31C1">
        <w:rPr>
          <w:szCs w:val="16"/>
          <w:lang w:val="es-ES"/>
        </w:rPr>
        <w:t xml:space="preserve">. </w:t>
      </w:r>
      <w:r w:rsidRPr="00ED31C1">
        <w:rPr>
          <w:i/>
          <w:iCs/>
          <w:szCs w:val="16"/>
          <w:lang w:val="es-ES"/>
        </w:rPr>
        <w:t>Caso Valencia Campos y otros Vs. Bolivia. Excepción Preliminar, Fondo, Reparaciones y Costas</w:t>
      </w:r>
      <w:r w:rsidRPr="00ED31C1">
        <w:rPr>
          <w:szCs w:val="16"/>
          <w:lang w:val="es-ES"/>
        </w:rPr>
        <w:t>. Sentencia de 18 de octubre de 2022. Serie C No. 469, párr. 337.</w:t>
      </w:r>
    </w:p>
  </w:footnote>
  <w:footnote w:id="9">
    <w:p w14:paraId="2837387F" w14:textId="491B5E80" w:rsidR="00927A6C" w:rsidRPr="000D34E6" w:rsidRDefault="00927A6C" w:rsidP="00927A6C">
      <w:pPr>
        <w:pStyle w:val="Textonotapie"/>
        <w:spacing w:after="60"/>
      </w:pPr>
      <w:r>
        <w:rPr>
          <w:rStyle w:val="Refdenotaalpie"/>
          <w:rFonts w:eastAsia="Batang"/>
        </w:rPr>
        <w:footnoteRef/>
      </w:r>
      <w:r>
        <w:t xml:space="preserve"> </w:t>
      </w:r>
      <w:r>
        <w:tab/>
      </w:r>
      <w:r>
        <w:rPr>
          <w:i/>
          <w:iCs/>
        </w:rPr>
        <w:t>Mutatis mutandis.</w:t>
      </w:r>
      <w:r>
        <w:t xml:space="preserve"> </w:t>
      </w:r>
      <w:r w:rsidRPr="000D34E6">
        <w:rPr>
          <w:i/>
          <w:iCs/>
        </w:rPr>
        <w:t>Caso Trabajadores de la Hacienda Brasil Verde Vs. Brasil. Interpretación de la Sentencia de Excepciones Preliminares, Fondo, Reparaciones y Costas</w:t>
      </w:r>
      <w:r>
        <w:rPr>
          <w:i/>
          <w:iCs/>
        </w:rPr>
        <w:t xml:space="preserve">. </w:t>
      </w:r>
      <w:r w:rsidRPr="00FB161C">
        <w:t>Sentencia de 22 de agosto de 2017. Serie C No. 337</w:t>
      </w:r>
      <w:r w:rsidRPr="00ED31C1">
        <w:t>,</w:t>
      </w:r>
      <w:r>
        <w:t xml:space="preserve"> párr. 44 a 45, y </w:t>
      </w:r>
      <w:r w:rsidR="00CE2209" w:rsidRPr="00CE2209">
        <w:rPr>
          <w:i/>
          <w:iCs/>
        </w:rPr>
        <w:t xml:space="preserve">Caso Pueblos Indígenas Maya Kaqchikel de Sumpango y otros Vs. Guatemala. Interpretación de la Sentencia de Fondo, Reparaciones y Costas. </w:t>
      </w:r>
      <w:r w:rsidR="00CE2209" w:rsidRPr="00CE2209">
        <w:t>Sentencia de 27 de julio de 2022. Serie C No. 457</w:t>
      </w:r>
      <w:r w:rsidR="00CE2209">
        <w:t>, párr. 30</w:t>
      </w:r>
      <w:r w:rsidR="00CE2209" w:rsidRPr="00CE2209">
        <w:rPr>
          <w:i/>
          <w:iC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B66"/>
    <w:multiLevelType w:val="hybridMultilevel"/>
    <w:tmpl w:val="3830D59E"/>
    <w:lvl w:ilvl="0" w:tplc="4E2A0C4C">
      <w:start w:val="1"/>
      <w:numFmt w:val="decimal"/>
      <w:pStyle w:val="PrrafodeSentencia"/>
      <w:lvlText w:val="%1."/>
      <w:lvlJc w:val="left"/>
      <w:pPr>
        <w:ind w:left="8015" w:hanging="360"/>
      </w:pPr>
      <w:rPr>
        <w:rFonts w:ascii="Verdana" w:hAnsi="Verdana" w:hint="default"/>
        <w:b w:val="0"/>
        <w:i w:val="0"/>
        <w:strike w:val="0"/>
        <w:dstrike w:val="0"/>
        <w:color w:val="auto"/>
        <w:sz w:val="20"/>
        <w:szCs w:val="20"/>
        <w:u w:val="none"/>
        <w:effect w:val="none"/>
        <w:vertAlign w:val="baseline"/>
        <w:lang w:val="es-CR"/>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775419D"/>
    <w:multiLevelType w:val="hybridMultilevel"/>
    <w:tmpl w:val="CE9CB0A6"/>
    <w:lvl w:ilvl="0" w:tplc="F0C66B9A">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0CE43B26"/>
    <w:multiLevelType w:val="hybridMultilevel"/>
    <w:tmpl w:val="BD749DB2"/>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102F13C8"/>
    <w:multiLevelType w:val="hybridMultilevel"/>
    <w:tmpl w:val="650610C4"/>
    <w:lvl w:ilvl="0" w:tplc="87901404">
      <w:start w:val="1"/>
      <w:numFmt w:val="decimal"/>
      <w:lvlText w:val="%1."/>
      <w:lvlJc w:val="left"/>
      <w:pPr>
        <w:ind w:left="930" w:hanging="57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3376654"/>
    <w:multiLevelType w:val="hybridMultilevel"/>
    <w:tmpl w:val="E4AC591A"/>
    <w:lvl w:ilvl="0" w:tplc="25742612">
      <w:start w:val="1"/>
      <w:numFmt w:val="upperLetter"/>
      <w:pStyle w:val="Ttulo2"/>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8D262BD"/>
    <w:multiLevelType w:val="hybridMultilevel"/>
    <w:tmpl w:val="4E0A6B36"/>
    <w:lvl w:ilvl="0" w:tplc="F0C66B9A">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326C16BC"/>
    <w:multiLevelType w:val="hybridMultilevel"/>
    <w:tmpl w:val="A55EAD42"/>
    <w:lvl w:ilvl="0" w:tplc="F0C66B9A">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7CE64D32"/>
    <w:multiLevelType w:val="hybridMultilevel"/>
    <w:tmpl w:val="E3CEDC74"/>
    <w:lvl w:ilvl="0" w:tplc="140A000F">
      <w:start w:val="1"/>
      <w:numFmt w:val="decimal"/>
      <w:lvlText w:val="%1."/>
      <w:lvlJc w:val="left"/>
      <w:pPr>
        <w:tabs>
          <w:tab w:val="num" w:pos="1247"/>
        </w:tabs>
        <w:ind w:left="0" w:firstLine="0"/>
      </w:pPr>
      <w:rPr>
        <w:b w:val="0"/>
        <w:i w:val="0"/>
        <w:strike w:val="0"/>
        <w:color w:val="auto"/>
        <w:sz w:val="20"/>
        <w:lang w:val="es-PA"/>
      </w:rPr>
    </w:lvl>
    <w:lvl w:ilvl="1" w:tplc="91ECB87E">
      <w:start w:val="1"/>
      <w:numFmt w:val="lowerLetter"/>
      <w:lvlText w:val="%2)"/>
      <w:lvlJc w:val="left"/>
      <w:pPr>
        <w:tabs>
          <w:tab w:val="num" w:pos="1080"/>
        </w:tabs>
        <w:ind w:left="1080" w:hanging="360"/>
      </w:pPr>
      <w:rPr>
        <w:rFonts w:hint="default"/>
        <w:b w:val="0"/>
        <w:i w:val="0"/>
        <w:sz w:val="2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343122824">
    <w:abstractNumId w:val="0"/>
  </w:num>
  <w:num w:numId="2" w16cid:durableId="1467775949">
    <w:abstractNumId w:val="4"/>
  </w:num>
  <w:num w:numId="3" w16cid:durableId="725683392">
    <w:abstractNumId w:val="4"/>
    <w:lvlOverride w:ilvl="0">
      <w:startOverride w:val="1"/>
    </w:lvlOverride>
  </w:num>
  <w:num w:numId="4" w16cid:durableId="1155609816">
    <w:abstractNumId w:val="3"/>
  </w:num>
  <w:num w:numId="5" w16cid:durableId="1893685307">
    <w:abstractNumId w:val="2"/>
  </w:num>
  <w:num w:numId="6" w16cid:durableId="1793161814">
    <w:abstractNumId w:val="5"/>
  </w:num>
  <w:num w:numId="7" w16cid:durableId="407725550">
    <w:abstractNumId w:val="6"/>
  </w:num>
  <w:num w:numId="8" w16cid:durableId="1180893466">
    <w:abstractNumId w:val="1"/>
  </w:num>
  <w:num w:numId="9" w16cid:durableId="446001093">
    <w:abstractNumId w:val="4"/>
  </w:num>
  <w:num w:numId="10" w16cid:durableId="17135303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AC"/>
    <w:rsid w:val="00000A6C"/>
    <w:rsid w:val="00004760"/>
    <w:rsid w:val="000054EB"/>
    <w:rsid w:val="0000644E"/>
    <w:rsid w:val="0000767E"/>
    <w:rsid w:val="00014D8B"/>
    <w:rsid w:val="00015C84"/>
    <w:rsid w:val="00021447"/>
    <w:rsid w:val="0002357D"/>
    <w:rsid w:val="0002689D"/>
    <w:rsid w:val="00026A0D"/>
    <w:rsid w:val="00031A8C"/>
    <w:rsid w:val="00033C0B"/>
    <w:rsid w:val="000353C0"/>
    <w:rsid w:val="00037D87"/>
    <w:rsid w:val="000415BC"/>
    <w:rsid w:val="00042516"/>
    <w:rsid w:val="00046E2D"/>
    <w:rsid w:val="00050D95"/>
    <w:rsid w:val="000544B9"/>
    <w:rsid w:val="000610BE"/>
    <w:rsid w:val="00061FE7"/>
    <w:rsid w:val="00064B3A"/>
    <w:rsid w:val="000662C3"/>
    <w:rsid w:val="00067780"/>
    <w:rsid w:val="000710CB"/>
    <w:rsid w:val="00073D3B"/>
    <w:rsid w:val="000770CD"/>
    <w:rsid w:val="00081AD0"/>
    <w:rsid w:val="000850AD"/>
    <w:rsid w:val="00086DEA"/>
    <w:rsid w:val="000954A0"/>
    <w:rsid w:val="00097B99"/>
    <w:rsid w:val="000A0C95"/>
    <w:rsid w:val="000A3D84"/>
    <w:rsid w:val="000B1727"/>
    <w:rsid w:val="000B312C"/>
    <w:rsid w:val="000B3B15"/>
    <w:rsid w:val="000B5DC5"/>
    <w:rsid w:val="000C216D"/>
    <w:rsid w:val="000C64FC"/>
    <w:rsid w:val="000D17CB"/>
    <w:rsid w:val="000D24EC"/>
    <w:rsid w:val="000E6B5A"/>
    <w:rsid w:val="000E6D0B"/>
    <w:rsid w:val="0010024A"/>
    <w:rsid w:val="001003AC"/>
    <w:rsid w:val="00106D76"/>
    <w:rsid w:val="001079F7"/>
    <w:rsid w:val="00111F1E"/>
    <w:rsid w:val="00113E18"/>
    <w:rsid w:val="00116BCE"/>
    <w:rsid w:val="00117304"/>
    <w:rsid w:val="00125F2B"/>
    <w:rsid w:val="00126570"/>
    <w:rsid w:val="00130E83"/>
    <w:rsid w:val="001312BD"/>
    <w:rsid w:val="00131E63"/>
    <w:rsid w:val="00134DB1"/>
    <w:rsid w:val="00145263"/>
    <w:rsid w:val="00145611"/>
    <w:rsid w:val="0014779C"/>
    <w:rsid w:val="00147F12"/>
    <w:rsid w:val="0015013E"/>
    <w:rsid w:val="00150B6B"/>
    <w:rsid w:val="00153EE5"/>
    <w:rsid w:val="00155F70"/>
    <w:rsid w:val="00161DA9"/>
    <w:rsid w:val="001637EE"/>
    <w:rsid w:val="00165F76"/>
    <w:rsid w:val="00172EFD"/>
    <w:rsid w:val="0017786E"/>
    <w:rsid w:val="00180CF6"/>
    <w:rsid w:val="00181988"/>
    <w:rsid w:val="00191D10"/>
    <w:rsid w:val="001934D9"/>
    <w:rsid w:val="00193EB2"/>
    <w:rsid w:val="0019669B"/>
    <w:rsid w:val="001969B9"/>
    <w:rsid w:val="001A3F05"/>
    <w:rsid w:val="001A3FD5"/>
    <w:rsid w:val="001A54FC"/>
    <w:rsid w:val="001A6909"/>
    <w:rsid w:val="001B080D"/>
    <w:rsid w:val="001B0BEF"/>
    <w:rsid w:val="001B240D"/>
    <w:rsid w:val="001B347E"/>
    <w:rsid w:val="001B3E37"/>
    <w:rsid w:val="001B6932"/>
    <w:rsid w:val="001B6997"/>
    <w:rsid w:val="001D4566"/>
    <w:rsid w:val="001D6421"/>
    <w:rsid w:val="001E22F3"/>
    <w:rsid w:val="001E6DD1"/>
    <w:rsid w:val="001F08C8"/>
    <w:rsid w:val="001F0A8D"/>
    <w:rsid w:val="001F0EE4"/>
    <w:rsid w:val="001F4A44"/>
    <w:rsid w:val="001F5BA7"/>
    <w:rsid w:val="001F7B4A"/>
    <w:rsid w:val="002046B7"/>
    <w:rsid w:val="002134A7"/>
    <w:rsid w:val="002149FC"/>
    <w:rsid w:val="00216B3A"/>
    <w:rsid w:val="002236C8"/>
    <w:rsid w:val="00223E03"/>
    <w:rsid w:val="00226B2A"/>
    <w:rsid w:val="00235EB4"/>
    <w:rsid w:val="00237F1E"/>
    <w:rsid w:val="00244FFC"/>
    <w:rsid w:val="00247549"/>
    <w:rsid w:val="002505B6"/>
    <w:rsid w:val="00254323"/>
    <w:rsid w:val="002554E4"/>
    <w:rsid w:val="0025576F"/>
    <w:rsid w:val="0026181D"/>
    <w:rsid w:val="00267E7C"/>
    <w:rsid w:val="00272CBE"/>
    <w:rsid w:val="00276BB5"/>
    <w:rsid w:val="00277A54"/>
    <w:rsid w:val="00281220"/>
    <w:rsid w:val="00282ADB"/>
    <w:rsid w:val="00283434"/>
    <w:rsid w:val="00285B91"/>
    <w:rsid w:val="00285F7D"/>
    <w:rsid w:val="00287B35"/>
    <w:rsid w:val="00290EA3"/>
    <w:rsid w:val="002912D7"/>
    <w:rsid w:val="002916E1"/>
    <w:rsid w:val="00293DE8"/>
    <w:rsid w:val="00294205"/>
    <w:rsid w:val="002A09A2"/>
    <w:rsid w:val="002A387E"/>
    <w:rsid w:val="002B1DDB"/>
    <w:rsid w:val="002B63EF"/>
    <w:rsid w:val="002B73F0"/>
    <w:rsid w:val="002C1DD8"/>
    <w:rsid w:val="002D76B7"/>
    <w:rsid w:val="002F470E"/>
    <w:rsid w:val="002F50ED"/>
    <w:rsid w:val="002F6532"/>
    <w:rsid w:val="002F74C9"/>
    <w:rsid w:val="00301EAB"/>
    <w:rsid w:val="00303FA9"/>
    <w:rsid w:val="00307190"/>
    <w:rsid w:val="00310A1C"/>
    <w:rsid w:val="003145F0"/>
    <w:rsid w:val="00321197"/>
    <w:rsid w:val="00323C1E"/>
    <w:rsid w:val="0032536E"/>
    <w:rsid w:val="003254C9"/>
    <w:rsid w:val="00325C9A"/>
    <w:rsid w:val="003318B6"/>
    <w:rsid w:val="00331EB8"/>
    <w:rsid w:val="00332372"/>
    <w:rsid w:val="003326E4"/>
    <w:rsid w:val="00333E23"/>
    <w:rsid w:val="003367B8"/>
    <w:rsid w:val="00342C61"/>
    <w:rsid w:val="0035188D"/>
    <w:rsid w:val="0035598B"/>
    <w:rsid w:val="003562C3"/>
    <w:rsid w:val="0035658D"/>
    <w:rsid w:val="003568A9"/>
    <w:rsid w:val="003607EB"/>
    <w:rsid w:val="00362C5F"/>
    <w:rsid w:val="00366CEC"/>
    <w:rsid w:val="00370AE5"/>
    <w:rsid w:val="00372016"/>
    <w:rsid w:val="003755D0"/>
    <w:rsid w:val="00382627"/>
    <w:rsid w:val="00385B61"/>
    <w:rsid w:val="003A31C0"/>
    <w:rsid w:val="003A452B"/>
    <w:rsid w:val="003B0DDD"/>
    <w:rsid w:val="003B3C52"/>
    <w:rsid w:val="003B4A09"/>
    <w:rsid w:val="003B60FD"/>
    <w:rsid w:val="003B611D"/>
    <w:rsid w:val="003C3098"/>
    <w:rsid w:val="003C4311"/>
    <w:rsid w:val="003D310C"/>
    <w:rsid w:val="003D7E13"/>
    <w:rsid w:val="003F059C"/>
    <w:rsid w:val="003F3FBB"/>
    <w:rsid w:val="00401F4E"/>
    <w:rsid w:val="004043F6"/>
    <w:rsid w:val="00411BF4"/>
    <w:rsid w:val="00412EBD"/>
    <w:rsid w:val="00417AE3"/>
    <w:rsid w:val="00421893"/>
    <w:rsid w:val="0042247C"/>
    <w:rsid w:val="00423A60"/>
    <w:rsid w:val="0042401D"/>
    <w:rsid w:val="004240E9"/>
    <w:rsid w:val="00426FD1"/>
    <w:rsid w:val="0042719D"/>
    <w:rsid w:val="0043402F"/>
    <w:rsid w:val="0044101C"/>
    <w:rsid w:val="004426E0"/>
    <w:rsid w:val="00461CAF"/>
    <w:rsid w:val="00461F44"/>
    <w:rsid w:val="00463C78"/>
    <w:rsid w:val="00465030"/>
    <w:rsid w:val="004660A6"/>
    <w:rsid w:val="004747AE"/>
    <w:rsid w:val="00481E9A"/>
    <w:rsid w:val="004832BB"/>
    <w:rsid w:val="00487D68"/>
    <w:rsid w:val="00493657"/>
    <w:rsid w:val="004A12CB"/>
    <w:rsid w:val="004A414D"/>
    <w:rsid w:val="004A5099"/>
    <w:rsid w:val="004B430D"/>
    <w:rsid w:val="004B4E5C"/>
    <w:rsid w:val="004B584E"/>
    <w:rsid w:val="004B5AC4"/>
    <w:rsid w:val="004B633B"/>
    <w:rsid w:val="004C0146"/>
    <w:rsid w:val="004C0F26"/>
    <w:rsid w:val="004C2AFD"/>
    <w:rsid w:val="004D3011"/>
    <w:rsid w:val="004D7AC2"/>
    <w:rsid w:val="004E2831"/>
    <w:rsid w:val="004E2ECB"/>
    <w:rsid w:val="004E56EB"/>
    <w:rsid w:val="004E66F1"/>
    <w:rsid w:val="004E73CD"/>
    <w:rsid w:val="004F1F25"/>
    <w:rsid w:val="00505C04"/>
    <w:rsid w:val="00506034"/>
    <w:rsid w:val="00520419"/>
    <w:rsid w:val="00521AA4"/>
    <w:rsid w:val="00524A30"/>
    <w:rsid w:val="00524D4F"/>
    <w:rsid w:val="00531C04"/>
    <w:rsid w:val="00532A7A"/>
    <w:rsid w:val="00544DEF"/>
    <w:rsid w:val="005465DC"/>
    <w:rsid w:val="0055083A"/>
    <w:rsid w:val="005519A8"/>
    <w:rsid w:val="005703A2"/>
    <w:rsid w:val="0057249E"/>
    <w:rsid w:val="005743DA"/>
    <w:rsid w:val="00574989"/>
    <w:rsid w:val="00575EB9"/>
    <w:rsid w:val="00576347"/>
    <w:rsid w:val="00581637"/>
    <w:rsid w:val="005868DC"/>
    <w:rsid w:val="00594C8B"/>
    <w:rsid w:val="005973CE"/>
    <w:rsid w:val="005A18FB"/>
    <w:rsid w:val="005A2875"/>
    <w:rsid w:val="005A2D73"/>
    <w:rsid w:val="005A3058"/>
    <w:rsid w:val="005A7BC1"/>
    <w:rsid w:val="005B0DF8"/>
    <w:rsid w:val="005B1965"/>
    <w:rsid w:val="005B215E"/>
    <w:rsid w:val="005B25B6"/>
    <w:rsid w:val="005B39DF"/>
    <w:rsid w:val="005B49BD"/>
    <w:rsid w:val="005C3DC9"/>
    <w:rsid w:val="005C7188"/>
    <w:rsid w:val="005D1ACA"/>
    <w:rsid w:val="005D21BC"/>
    <w:rsid w:val="005D5301"/>
    <w:rsid w:val="005D6C3D"/>
    <w:rsid w:val="005D6C3E"/>
    <w:rsid w:val="005D76B6"/>
    <w:rsid w:val="005E0884"/>
    <w:rsid w:val="005E26AB"/>
    <w:rsid w:val="005E492E"/>
    <w:rsid w:val="005F144C"/>
    <w:rsid w:val="005F49EA"/>
    <w:rsid w:val="006005AE"/>
    <w:rsid w:val="0060336E"/>
    <w:rsid w:val="00603C52"/>
    <w:rsid w:val="00605D5D"/>
    <w:rsid w:val="006073A8"/>
    <w:rsid w:val="00616447"/>
    <w:rsid w:val="006169AD"/>
    <w:rsid w:val="0062353D"/>
    <w:rsid w:val="00623A1C"/>
    <w:rsid w:val="0062430B"/>
    <w:rsid w:val="00634671"/>
    <w:rsid w:val="00635630"/>
    <w:rsid w:val="0063664B"/>
    <w:rsid w:val="00642B76"/>
    <w:rsid w:val="00646686"/>
    <w:rsid w:val="006536D6"/>
    <w:rsid w:val="0065412B"/>
    <w:rsid w:val="00657F08"/>
    <w:rsid w:val="00661218"/>
    <w:rsid w:val="0066144D"/>
    <w:rsid w:val="006636AD"/>
    <w:rsid w:val="00667247"/>
    <w:rsid w:val="00667570"/>
    <w:rsid w:val="0067065C"/>
    <w:rsid w:val="00681642"/>
    <w:rsid w:val="006823FE"/>
    <w:rsid w:val="0068271E"/>
    <w:rsid w:val="00684230"/>
    <w:rsid w:val="00684B4F"/>
    <w:rsid w:val="006873B6"/>
    <w:rsid w:val="00687697"/>
    <w:rsid w:val="006879FE"/>
    <w:rsid w:val="00693E5E"/>
    <w:rsid w:val="00694F9B"/>
    <w:rsid w:val="00695863"/>
    <w:rsid w:val="006A3E39"/>
    <w:rsid w:val="006B2681"/>
    <w:rsid w:val="006B327D"/>
    <w:rsid w:val="006B56D3"/>
    <w:rsid w:val="006B57AD"/>
    <w:rsid w:val="006B7D3C"/>
    <w:rsid w:val="006C6C13"/>
    <w:rsid w:val="006D63DF"/>
    <w:rsid w:val="006E7C77"/>
    <w:rsid w:val="006F227A"/>
    <w:rsid w:val="006F2A5D"/>
    <w:rsid w:val="006F4437"/>
    <w:rsid w:val="00700690"/>
    <w:rsid w:val="00704038"/>
    <w:rsid w:val="0070676F"/>
    <w:rsid w:val="00720082"/>
    <w:rsid w:val="0072220B"/>
    <w:rsid w:val="00732CAD"/>
    <w:rsid w:val="00756116"/>
    <w:rsid w:val="00767513"/>
    <w:rsid w:val="00770EB6"/>
    <w:rsid w:val="007744AB"/>
    <w:rsid w:val="007750C3"/>
    <w:rsid w:val="00775DDA"/>
    <w:rsid w:val="007840BE"/>
    <w:rsid w:val="00785265"/>
    <w:rsid w:val="00785287"/>
    <w:rsid w:val="00790F64"/>
    <w:rsid w:val="00791E19"/>
    <w:rsid w:val="00793852"/>
    <w:rsid w:val="007A1F9C"/>
    <w:rsid w:val="007C5A91"/>
    <w:rsid w:val="007D1C8C"/>
    <w:rsid w:val="007D5909"/>
    <w:rsid w:val="007E12DF"/>
    <w:rsid w:val="007E78AF"/>
    <w:rsid w:val="007F52E2"/>
    <w:rsid w:val="007F7F92"/>
    <w:rsid w:val="00804157"/>
    <w:rsid w:val="008060C9"/>
    <w:rsid w:val="00812C68"/>
    <w:rsid w:val="0081384C"/>
    <w:rsid w:val="00817E3F"/>
    <w:rsid w:val="00820759"/>
    <w:rsid w:val="00820A59"/>
    <w:rsid w:val="008211CB"/>
    <w:rsid w:val="008322CE"/>
    <w:rsid w:val="0083550E"/>
    <w:rsid w:val="00840E93"/>
    <w:rsid w:val="00843B00"/>
    <w:rsid w:val="00844A88"/>
    <w:rsid w:val="0084586D"/>
    <w:rsid w:val="0085324B"/>
    <w:rsid w:val="00853C01"/>
    <w:rsid w:val="00856D83"/>
    <w:rsid w:val="00873627"/>
    <w:rsid w:val="00876FDF"/>
    <w:rsid w:val="0088005A"/>
    <w:rsid w:val="0088024A"/>
    <w:rsid w:val="00881DED"/>
    <w:rsid w:val="00882491"/>
    <w:rsid w:val="008873BD"/>
    <w:rsid w:val="008A04A7"/>
    <w:rsid w:val="008A18CE"/>
    <w:rsid w:val="008A3362"/>
    <w:rsid w:val="008B4BCA"/>
    <w:rsid w:val="008C2168"/>
    <w:rsid w:val="008C3CBF"/>
    <w:rsid w:val="008C7275"/>
    <w:rsid w:val="008D44DD"/>
    <w:rsid w:val="008D4F68"/>
    <w:rsid w:val="008D690D"/>
    <w:rsid w:val="008E2E8B"/>
    <w:rsid w:val="008E57E9"/>
    <w:rsid w:val="008E7CEF"/>
    <w:rsid w:val="008F26B2"/>
    <w:rsid w:val="008F3DAA"/>
    <w:rsid w:val="008F7D15"/>
    <w:rsid w:val="009045F7"/>
    <w:rsid w:val="00915EAD"/>
    <w:rsid w:val="00925E91"/>
    <w:rsid w:val="009263D5"/>
    <w:rsid w:val="00927A6C"/>
    <w:rsid w:val="009411A3"/>
    <w:rsid w:val="00954236"/>
    <w:rsid w:val="00954FCE"/>
    <w:rsid w:val="00956B56"/>
    <w:rsid w:val="009649CD"/>
    <w:rsid w:val="009659EF"/>
    <w:rsid w:val="00972159"/>
    <w:rsid w:val="00973234"/>
    <w:rsid w:val="0097496B"/>
    <w:rsid w:val="00976776"/>
    <w:rsid w:val="009857A4"/>
    <w:rsid w:val="00992E08"/>
    <w:rsid w:val="0099717A"/>
    <w:rsid w:val="009975E6"/>
    <w:rsid w:val="009A1495"/>
    <w:rsid w:val="009C16CD"/>
    <w:rsid w:val="009C2931"/>
    <w:rsid w:val="009C5870"/>
    <w:rsid w:val="009C66A9"/>
    <w:rsid w:val="009D3172"/>
    <w:rsid w:val="009D3D0B"/>
    <w:rsid w:val="009D45F2"/>
    <w:rsid w:val="009D4D7C"/>
    <w:rsid w:val="009E1705"/>
    <w:rsid w:val="009E7C92"/>
    <w:rsid w:val="009E7E90"/>
    <w:rsid w:val="009F1033"/>
    <w:rsid w:val="009F1E1E"/>
    <w:rsid w:val="009F709D"/>
    <w:rsid w:val="00A0643F"/>
    <w:rsid w:val="00A0659B"/>
    <w:rsid w:val="00A168E6"/>
    <w:rsid w:val="00A21C43"/>
    <w:rsid w:val="00A25370"/>
    <w:rsid w:val="00A26963"/>
    <w:rsid w:val="00A41C02"/>
    <w:rsid w:val="00A44799"/>
    <w:rsid w:val="00A4677E"/>
    <w:rsid w:val="00A55AC6"/>
    <w:rsid w:val="00A62224"/>
    <w:rsid w:val="00A63155"/>
    <w:rsid w:val="00A7317D"/>
    <w:rsid w:val="00A7635B"/>
    <w:rsid w:val="00A76636"/>
    <w:rsid w:val="00A8293C"/>
    <w:rsid w:val="00A83760"/>
    <w:rsid w:val="00A850D8"/>
    <w:rsid w:val="00AA4673"/>
    <w:rsid w:val="00AA6872"/>
    <w:rsid w:val="00AB283C"/>
    <w:rsid w:val="00AB2AE1"/>
    <w:rsid w:val="00AB409C"/>
    <w:rsid w:val="00AB73E6"/>
    <w:rsid w:val="00AC15A8"/>
    <w:rsid w:val="00AC4A3D"/>
    <w:rsid w:val="00AD018C"/>
    <w:rsid w:val="00AD1C70"/>
    <w:rsid w:val="00AD7219"/>
    <w:rsid w:val="00AE012D"/>
    <w:rsid w:val="00AF244A"/>
    <w:rsid w:val="00AF4B5A"/>
    <w:rsid w:val="00AF7D59"/>
    <w:rsid w:val="00B026E4"/>
    <w:rsid w:val="00B03018"/>
    <w:rsid w:val="00B061D5"/>
    <w:rsid w:val="00B132EB"/>
    <w:rsid w:val="00B14922"/>
    <w:rsid w:val="00B14B69"/>
    <w:rsid w:val="00B2239B"/>
    <w:rsid w:val="00B31096"/>
    <w:rsid w:val="00B327DF"/>
    <w:rsid w:val="00B32A4F"/>
    <w:rsid w:val="00B366EC"/>
    <w:rsid w:val="00B37E60"/>
    <w:rsid w:val="00B47632"/>
    <w:rsid w:val="00B50F39"/>
    <w:rsid w:val="00B5290F"/>
    <w:rsid w:val="00B52DC6"/>
    <w:rsid w:val="00B572CB"/>
    <w:rsid w:val="00B5757E"/>
    <w:rsid w:val="00B66DEE"/>
    <w:rsid w:val="00B707C3"/>
    <w:rsid w:val="00B732E9"/>
    <w:rsid w:val="00B75ECF"/>
    <w:rsid w:val="00B81731"/>
    <w:rsid w:val="00B834A9"/>
    <w:rsid w:val="00B83BB2"/>
    <w:rsid w:val="00B83EF5"/>
    <w:rsid w:val="00B84011"/>
    <w:rsid w:val="00B86846"/>
    <w:rsid w:val="00B87167"/>
    <w:rsid w:val="00B91BFC"/>
    <w:rsid w:val="00B93028"/>
    <w:rsid w:val="00BA2992"/>
    <w:rsid w:val="00BA49B7"/>
    <w:rsid w:val="00BA5154"/>
    <w:rsid w:val="00BA7143"/>
    <w:rsid w:val="00BA75BC"/>
    <w:rsid w:val="00BA7962"/>
    <w:rsid w:val="00BB1602"/>
    <w:rsid w:val="00BB3D31"/>
    <w:rsid w:val="00BC0C91"/>
    <w:rsid w:val="00BC0F9D"/>
    <w:rsid w:val="00BD4237"/>
    <w:rsid w:val="00BD5FE2"/>
    <w:rsid w:val="00BE0161"/>
    <w:rsid w:val="00BE0CB2"/>
    <w:rsid w:val="00BE19D5"/>
    <w:rsid w:val="00BE211D"/>
    <w:rsid w:val="00BE601F"/>
    <w:rsid w:val="00BF091F"/>
    <w:rsid w:val="00BF1620"/>
    <w:rsid w:val="00C01525"/>
    <w:rsid w:val="00C01BEE"/>
    <w:rsid w:val="00C04293"/>
    <w:rsid w:val="00C04D82"/>
    <w:rsid w:val="00C077D7"/>
    <w:rsid w:val="00C15928"/>
    <w:rsid w:val="00C17EDC"/>
    <w:rsid w:val="00C248E7"/>
    <w:rsid w:val="00C337B3"/>
    <w:rsid w:val="00C40FC0"/>
    <w:rsid w:val="00C41702"/>
    <w:rsid w:val="00C41815"/>
    <w:rsid w:val="00C4407D"/>
    <w:rsid w:val="00C46038"/>
    <w:rsid w:val="00C4667A"/>
    <w:rsid w:val="00C52581"/>
    <w:rsid w:val="00C52ED4"/>
    <w:rsid w:val="00C53174"/>
    <w:rsid w:val="00C53D71"/>
    <w:rsid w:val="00C60431"/>
    <w:rsid w:val="00C610BC"/>
    <w:rsid w:val="00C620D1"/>
    <w:rsid w:val="00C64034"/>
    <w:rsid w:val="00C66C83"/>
    <w:rsid w:val="00C67854"/>
    <w:rsid w:val="00C724AE"/>
    <w:rsid w:val="00C73D2C"/>
    <w:rsid w:val="00C748FA"/>
    <w:rsid w:val="00C817DB"/>
    <w:rsid w:val="00C833CC"/>
    <w:rsid w:val="00C932CE"/>
    <w:rsid w:val="00C93DE5"/>
    <w:rsid w:val="00CA183D"/>
    <w:rsid w:val="00CB775B"/>
    <w:rsid w:val="00CC574E"/>
    <w:rsid w:val="00CD1117"/>
    <w:rsid w:val="00CD1852"/>
    <w:rsid w:val="00CD3F91"/>
    <w:rsid w:val="00CD752B"/>
    <w:rsid w:val="00CE0469"/>
    <w:rsid w:val="00CE2209"/>
    <w:rsid w:val="00CF5CBD"/>
    <w:rsid w:val="00D07B45"/>
    <w:rsid w:val="00D12465"/>
    <w:rsid w:val="00D12CD7"/>
    <w:rsid w:val="00D228A7"/>
    <w:rsid w:val="00D23727"/>
    <w:rsid w:val="00D238D7"/>
    <w:rsid w:val="00D30A93"/>
    <w:rsid w:val="00D31668"/>
    <w:rsid w:val="00D31C6A"/>
    <w:rsid w:val="00D37966"/>
    <w:rsid w:val="00D4492A"/>
    <w:rsid w:val="00D469AB"/>
    <w:rsid w:val="00D47E2E"/>
    <w:rsid w:val="00D53888"/>
    <w:rsid w:val="00D55618"/>
    <w:rsid w:val="00D61A15"/>
    <w:rsid w:val="00D6558A"/>
    <w:rsid w:val="00D66DC2"/>
    <w:rsid w:val="00D73AA2"/>
    <w:rsid w:val="00D84DD1"/>
    <w:rsid w:val="00D95AD0"/>
    <w:rsid w:val="00D95F2E"/>
    <w:rsid w:val="00DB26FA"/>
    <w:rsid w:val="00DB541B"/>
    <w:rsid w:val="00DB7617"/>
    <w:rsid w:val="00DC4307"/>
    <w:rsid w:val="00DD2700"/>
    <w:rsid w:val="00DE043C"/>
    <w:rsid w:val="00DE0675"/>
    <w:rsid w:val="00DE0683"/>
    <w:rsid w:val="00DE561D"/>
    <w:rsid w:val="00DE56D1"/>
    <w:rsid w:val="00DF2CD4"/>
    <w:rsid w:val="00E00B37"/>
    <w:rsid w:val="00E00E09"/>
    <w:rsid w:val="00E022D3"/>
    <w:rsid w:val="00E10F7D"/>
    <w:rsid w:val="00E23B71"/>
    <w:rsid w:val="00E339EA"/>
    <w:rsid w:val="00E35453"/>
    <w:rsid w:val="00E41CC5"/>
    <w:rsid w:val="00E42289"/>
    <w:rsid w:val="00E440E2"/>
    <w:rsid w:val="00E448F9"/>
    <w:rsid w:val="00E45B4E"/>
    <w:rsid w:val="00E46828"/>
    <w:rsid w:val="00E559F8"/>
    <w:rsid w:val="00E647D3"/>
    <w:rsid w:val="00E65334"/>
    <w:rsid w:val="00E67EE6"/>
    <w:rsid w:val="00E70BEC"/>
    <w:rsid w:val="00E771B4"/>
    <w:rsid w:val="00E814F4"/>
    <w:rsid w:val="00E96FB8"/>
    <w:rsid w:val="00EA038C"/>
    <w:rsid w:val="00EA17EA"/>
    <w:rsid w:val="00EA2743"/>
    <w:rsid w:val="00EA332B"/>
    <w:rsid w:val="00EA47AF"/>
    <w:rsid w:val="00EA70DC"/>
    <w:rsid w:val="00EB00AE"/>
    <w:rsid w:val="00EB1B24"/>
    <w:rsid w:val="00EB6306"/>
    <w:rsid w:val="00EC125E"/>
    <w:rsid w:val="00EC6EC0"/>
    <w:rsid w:val="00ED2B2D"/>
    <w:rsid w:val="00ED31C1"/>
    <w:rsid w:val="00ED52DE"/>
    <w:rsid w:val="00ED6451"/>
    <w:rsid w:val="00EE2A1E"/>
    <w:rsid w:val="00EE2B80"/>
    <w:rsid w:val="00EE32D4"/>
    <w:rsid w:val="00EE3BF9"/>
    <w:rsid w:val="00EE5492"/>
    <w:rsid w:val="00EE59EB"/>
    <w:rsid w:val="00EE6670"/>
    <w:rsid w:val="00EF0018"/>
    <w:rsid w:val="00EF0030"/>
    <w:rsid w:val="00EF122E"/>
    <w:rsid w:val="00EF5A05"/>
    <w:rsid w:val="00F00E7B"/>
    <w:rsid w:val="00F0242D"/>
    <w:rsid w:val="00F045FB"/>
    <w:rsid w:val="00F11BA5"/>
    <w:rsid w:val="00F14521"/>
    <w:rsid w:val="00F23BAC"/>
    <w:rsid w:val="00F264AA"/>
    <w:rsid w:val="00F30F9D"/>
    <w:rsid w:val="00F324A6"/>
    <w:rsid w:val="00F32643"/>
    <w:rsid w:val="00F3741A"/>
    <w:rsid w:val="00F377C6"/>
    <w:rsid w:val="00F46387"/>
    <w:rsid w:val="00F5392D"/>
    <w:rsid w:val="00F54452"/>
    <w:rsid w:val="00F56A80"/>
    <w:rsid w:val="00F62F5F"/>
    <w:rsid w:val="00F63E8F"/>
    <w:rsid w:val="00F63FF1"/>
    <w:rsid w:val="00F6640B"/>
    <w:rsid w:val="00F762DD"/>
    <w:rsid w:val="00F82A21"/>
    <w:rsid w:val="00F84637"/>
    <w:rsid w:val="00F85AAB"/>
    <w:rsid w:val="00F91349"/>
    <w:rsid w:val="00F9460B"/>
    <w:rsid w:val="00FA33B2"/>
    <w:rsid w:val="00FB161C"/>
    <w:rsid w:val="00FB1A6D"/>
    <w:rsid w:val="00FB2679"/>
    <w:rsid w:val="00FB2828"/>
    <w:rsid w:val="00FB3D18"/>
    <w:rsid w:val="00FB5627"/>
    <w:rsid w:val="00FB7912"/>
    <w:rsid w:val="00FC1F89"/>
    <w:rsid w:val="00FD659A"/>
    <w:rsid w:val="00FD6607"/>
    <w:rsid w:val="00FE221B"/>
    <w:rsid w:val="00FE4F73"/>
    <w:rsid w:val="00FE5812"/>
    <w:rsid w:val="00FF1CB6"/>
    <w:rsid w:val="00FF59F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C7A9"/>
  <w15:chartTrackingRefBased/>
  <w15:docId w15:val="{9CC3236D-50C4-45CE-ADA5-2B4BC89F5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A5D"/>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1003AC"/>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1003AC"/>
    <w:pPr>
      <w:numPr>
        <w:numId w:val="2"/>
      </w:numPr>
      <w:tabs>
        <w:tab w:val="left" w:pos="567"/>
        <w:tab w:val="left" w:pos="993"/>
      </w:tabs>
      <w:spacing w:before="240" w:after="120"/>
      <w:outlineLvl w:val="1"/>
    </w:pPr>
    <w:rPr>
      <w:b/>
      <w:i/>
      <w:szCs w:val="20"/>
      <w:lang w:val="es-CR"/>
    </w:rPr>
  </w:style>
  <w:style w:type="paragraph" w:styleId="Ttulo3">
    <w:name w:val="heading 3"/>
    <w:basedOn w:val="Prrafodelista"/>
    <w:next w:val="Normal"/>
    <w:link w:val="Ttulo3Car"/>
    <w:qFormat/>
    <w:rsid w:val="001003AC"/>
    <w:pPr>
      <w:tabs>
        <w:tab w:val="left" w:pos="567"/>
      </w:tabs>
      <w:spacing w:before="120" w:after="120"/>
      <w:ind w:left="1418"/>
      <w:outlineLvl w:val="2"/>
    </w:pPr>
    <w:rPr>
      <w: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03AC"/>
    <w:rPr>
      <w:rFonts w:ascii="Verdana" w:eastAsiaTheme="majorEastAsia" w:hAnsi="Verdana" w:cstheme="majorBidi"/>
      <w:b/>
      <w:bCs/>
      <w:caps/>
      <w:sz w:val="20"/>
      <w:szCs w:val="28"/>
      <w:lang w:val="en-US"/>
    </w:rPr>
  </w:style>
  <w:style w:type="character" w:customStyle="1" w:styleId="Ttulo2Car">
    <w:name w:val="Título 2 Car"/>
    <w:basedOn w:val="Fuentedeprrafopredeter"/>
    <w:link w:val="Ttulo2"/>
    <w:rsid w:val="001003AC"/>
    <w:rPr>
      <w:rFonts w:ascii="Verdana" w:eastAsia="Times New Roman" w:hAnsi="Verdana" w:cs="Times New Roman"/>
      <w:b/>
      <w:i/>
      <w:sz w:val="20"/>
      <w:szCs w:val="20"/>
    </w:rPr>
  </w:style>
  <w:style w:type="character" w:customStyle="1" w:styleId="Ttulo3Car">
    <w:name w:val="Título 3 Car"/>
    <w:basedOn w:val="Fuentedeprrafopredeter"/>
    <w:link w:val="Ttulo3"/>
    <w:rsid w:val="001003AC"/>
    <w:rPr>
      <w:rFonts w:ascii="Verdana" w:eastAsia="Times New Roman" w:hAnsi="Verdana" w:cs="Times New Roman"/>
      <w:i/>
      <w:sz w:val="20"/>
      <w:szCs w:val="24"/>
      <w:lang w:val="es-CO"/>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1003AC"/>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unhideWhenUsed/>
    <w:qFormat/>
    <w:rsid w:val="001003AC"/>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1003AC"/>
    <w:rPr>
      <w:rFonts w:ascii="Verdana" w:eastAsia="Times New Roman" w:hAnsi="Verdana" w:cs="Times New Roman"/>
      <w:sz w:val="16"/>
      <w:szCs w:val="20"/>
      <w:lang w:val="es-ES_tradnl" w:eastAsia="es-ES"/>
    </w:rPr>
  </w:style>
  <w:style w:type="paragraph" w:customStyle="1" w:styleId="PrrafodeSentencia">
    <w:name w:val="*. Párrafo de Sentencia"/>
    <w:basedOn w:val="Normal"/>
    <w:next w:val="Normal"/>
    <w:link w:val="PrrafodeSentenciaChar"/>
    <w:qFormat/>
    <w:rsid w:val="001003AC"/>
    <w:pPr>
      <w:numPr>
        <w:numId w:val="1"/>
      </w:numPr>
      <w:tabs>
        <w:tab w:val="left" w:pos="567"/>
      </w:tabs>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1003AC"/>
    <w:rPr>
      <w:rFonts w:ascii="Verdana" w:eastAsia="Batang" w:hAnsi="Verdana"/>
      <w:spacing w:val="-4"/>
      <w:sz w:val="20"/>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uiPriority w:val="1"/>
    <w:qFormat/>
    <w:rsid w:val="001003AC"/>
    <w:pPr>
      <w:ind w:left="720"/>
      <w:contextualSpacing/>
    </w:pPr>
  </w:style>
  <w:style w:type="paragraph" w:styleId="Textocomentario">
    <w:name w:val="annotation text"/>
    <w:basedOn w:val="Normal"/>
    <w:link w:val="TextocomentarioCar"/>
    <w:uiPriority w:val="99"/>
    <w:unhideWhenUsed/>
    <w:rsid w:val="001003AC"/>
    <w:rPr>
      <w:szCs w:val="20"/>
    </w:rPr>
  </w:style>
  <w:style w:type="character" w:customStyle="1" w:styleId="TextocomentarioCar">
    <w:name w:val="Texto comentario Car"/>
    <w:basedOn w:val="Fuentedeprrafopredeter"/>
    <w:link w:val="Textocomentario"/>
    <w:uiPriority w:val="99"/>
    <w:rsid w:val="001003AC"/>
    <w:rPr>
      <w:rFonts w:ascii="Verdana" w:eastAsia="Times New Roman" w:hAnsi="Verdana" w:cs="Times New Roman"/>
      <w:sz w:val="20"/>
      <w:szCs w:val="20"/>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1003AC"/>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uiPriority w:val="1"/>
    <w:locked/>
    <w:rsid w:val="001003AC"/>
    <w:rPr>
      <w:rFonts w:ascii="Verdana" w:eastAsia="Times New Roman" w:hAnsi="Verdana" w:cs="Times New Roman"/>
      <w:sz w:val="20"/>
      <w:szCs w:val="24"/>
      <w:lang w:val="en-US"/>
    </w:rPr>
  </w:style>
  <w:style w:type="paragraph" w:customStyle="1" w:styleId="Footnotes">
    <w:name w:val="**. Footnotes"/>
    <w:basedOn w:val="Textonotapie"/>
    <w:link w:val="FootnotesChar"/>
    <w:autoRedefine/>
    <w:qFormat/>
    <w:rsid w:val="00FB161C"/>
    <w:pPr>
      <w:tabs>
        <w:tab w:val="clear" w:pos="567"/>
        <w:tab w:val="left" w:pos="426"/>
      </w:tabs>
      <w:spacing w:before="0" w:after="0"/>
    </w:pPr>
    <w:rPr>
      <w:rFonts w:cs="Palatino-Italic"/>
      <w:iCs/>
      <w:spacing w:val="-4"/>
      <w:szCs w:val="16"/>
      <w:lang w:val="es-ES" w:eastAsia="en-US" w:bidi="en-US"/>
    </w:rPr>
  </w:style>
  <w:style w:type="character" w:customStyle="1" w:styleId="FootnotesChar">
    <w:name w:val="**. Footnotes Char"/>
    <w:basedOn w:val="Fuentedeprrafopredeter"/>
    <w:link w:val="Footnotes"/>
    <w:rsid w:val="00FB161C"/>
    <w:rPr>
      <w:rFonts w:ascii="Verdana" w:eastAsia="Times New Roman" w:hAnsi="Verdana" w:cs="Palatino-Italic"/>
      <w:iCs/>
      <w:spacing w:val="-4"/>
      <w:sz w:val="16"/>
      <w:szCs w:val="16"/>
      <w:lang w:val="es-ES" w:bidi="en-US"/>
    </w:rPr>
  </w:style>
  <w:style w:type="character" w:styleId="Textoennegrita">
    <w:name w:val="Strong"/>
    <w:aliases w:val="Heading 2.1"/>
    <w:basedOn w:val="Fuentedeprrafopredeter"/>
    <w:uiPriority w:val="22"/>
    <w:qFormat/>
    <w:rsid w:val="001003AC"/>
    <w:rPr>
      <w:b/>
      <w:bCs/>
    </w:rPr>
  </w:style>
  <w:style w:type="paragraph" w:styleId="Ttulo">
    <w:name w:val="Title"/>
    <w:basedOn w:val="Ttulo1"/>
    <w:next w:val="Normal"/>
    <w:link w:val="TtuloCar"/>
    <w:qFormat/>
    <w:rsid w:val="001003AC"/>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rsid w:val="001003AC"/>
    <w:rPr>
      <w:rFonts w:ascii="Verdana" w:eastAsia="Times New Roman" w:hAnsi="Verdana" w:cs="Times New Roman"/>
      <w:b/>
      <w:szCs w:val="20"/>
      <w:lang w:eastAsia="es-ES"/>
    </w:rPr>
  </w:style>
  <w:style w:type="paragraph" w:customStyle="1" w:styleId="Textoindependiente1">
    <w:name w:val="Texto independiente1"/>
    <w:basedOn w:val="Normal"/>
    <w:rsid w:val="001003AC"/>
    <w:pPr>
      <w:widowControl w:val="0"/>
    </w:pPr>
    <w:rPr>
      <w:rFonts w:ascii="New York" w:hAnsi="New York"/>
      <w:szCs w:val="20"/>
      <w:lang w:val="es-ES_tradnl"/>
    </w:rPr>
  </w:style>
  <w:style w:type="paragraph" w:styleId="Sinespaciado">
    <w:name w:val="No Spacing"/>
    <w:uiPriority w:val="1"/>
    <w:qFormat/>
    <w:rsid w:val="001003AC"/>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1003AC"/>
    <w:pPr>
      <w:ind w:left="708"/>
    </w:pPr>
    <w:rPr>
      <w:szCs w:val="20"/>
      <w:lang w:val="es-ES_tradnl" w:eastAsia="es-MX"/>
    </w:rPr>
  </w:style>
  <w:style w:type="character" w:styleId="Refdecomentario">
    <w:name w:val="annotation reference"/>
    <w:basedOn w:val="Fuentedeprrafopredeter"/>
    <w:uiPriority w:val="99"/>
    <w:semiHidden/>
    <w:unhideWhenUsed/>
    <w:rsid w:val="00325C9A"/>
    <w:rPr>
      <w:sz w:val="16"/>
      <w:szCs w:val="16"/>
    </w:rPr>
  </w:style>
  <w:style w:type="paragraph" w:styleId="Asuntodelcomentario">
    <w:name w:val="annotation subject"/>
    <w:basedOn w:val="Textocomentario"/>
    <w:next w:val="Textocomentario"/>
    <w:link w:val="AsuntodelcomentarioCar"/>
    <w:uiPriority w:val="99"/>
    <w:semiHidden/>
    <w:unhideWhenUsed/>
    <w:rsid w:val="00325C9A"/>
    <w:rPr>
      <w:b/>
      <w:bCs/>
    </w:rPr>
  </w:style>
  <w:style w:type="character" w:customStyle="1" w:styleId="AsuntodelcomentarioCar">
    <w:name w:val="Asunto del comentario Car"/>
    <w:basedOn w:val="TextocomentarioCar"/>
    <w:link w:val="Asuntodelcomentario"/>
    <w:uiPriority w:val="99"/>
    <w:semiHidden/>
    <w:rsid w:val="00325C9A"/>
    <w:rPr>
      <w:rFonts w:ascii="Verdana" w:eastAsia="Times New Roman" w:hAnsi="Verdana" w:cs="Times New Roman"/>
      <w:b/>
      <w:bCs/>
      <w:sz w:val="20"/>
      <w:szCs w:val="20"/>
      <w:lang w:val="en-US"/>
    </w:rPr>
  </w:style>
  <w:style w:type="paragraph" w:styleId="Revisin">
    <w:name w:val="Revision"/>
    <w:hidden/>
    <w:uiPriority w:val="99"/>
    <w:semiHidden/>
    <w:rsid w:val="008C3CBF"/>
    <w:pPr>
      <w:spacing w:after="0" w:line="240" w:lineRule="auto"/>
    </w:pPr>
    <w:rPr>
      <w:rFonts w:ascii="Verdana" w:eastAsia="Times New Roman" w:hAnsi="Verdana" w:cs="Times New Roman"/>
      <w:sz w:val="20"/>
      <w:szCs w:val="24"/>
      <w:lang w:val="en-US"/>
    </w:rPr>
  </w:style>
  <w:style w:type="paragraph" w:styleId="Encabezado">
    <w:name w:val="header"/>
    <w:basedOn w:val="Normal"/>
    <w:link w:val="EncabezadoCar"/>
    <w:uiPriority w:val="99"/>
    <w:unhideWhenUsed/>
    <w:rsid w:val="00EE5492"/>
    <w:pPr>
      <w:tabs>
        <w:tab w:val="center" w:pos="4419"/>
        <w:tab w:val="right" w:pos="8838"/>
      </w:tabs>
    </w:pPr>
  </w:style>
  <w:style w:type="character" w:customStyle="1" w:styleId="EncabezadoCar">
    <w:name w:val="Encabezado Car"/>
    <w:basedOn w:val="Fuentedeprrafopredeter"/>
    <w:link w:val="Encabezado"/>
    <w:uiPriority w:val="99"/>
    <w:rsid w:val="00EE5492"/>
    <w:rPr>
      <w:rFonts w:ascii="Verdana" w:eastAsia="Times New Roman" w:hAnsi="Verdana" w:cs="Times New Roman"/>
      <w:sz w:val="20"/>
      <w:szCs w:val="24"/>
      <w:lang w:val="en-US"/>
    </w:rPr>
  </w:style>
  <w:style w:type="paragraph" w:styleId="Piedepgina">
    <w:name w:val="footer"/>
    <w:basedOn w:val="Normal"/>
    <w:link w:val="PiedepginaCar"/>
    <w:uiPriority w:val="99"/>
    <w:unhideWhenUsed/>
    <w:rsid w:val="00EE5492"/>
    <w:pPr>
      <w:tabs>
        <w:tab w:val="center" w:pos="4419"/>
        <w:tab w:val="right" w:pos="8838"/>
      </w:tabs>
    </w:pPr>
  </w:style>
  <w:style w:type="character" w:customStyle="1" w:styleId="PiedepginaCar">
    <w:name w:val="Pie de página Car"/>
    <w:basedOn w:val="Fuentedeprrafopredeter"/>
    <w:link w:val="Piedepgina"/>
    <w:uiPriority w:val="99"/>
    <w:rsid w:val="00EE5492"/>
    <w:rPr>
      <w:rFonts w:ascii="Verdana" w:eastAsia="Times New Roman" w:hAnsi="Verdana" w:cs="Times New Roman"/>
      <w:sz w:val="20"/>
      <w:szCs w:val="24"/>
      <w:lang w:val="en-US"/>
    </w:rPr>
  </w:style>
  <w:style w:type="paragraph" w:styleId="HTMLconformatoprevio">
    <w:name w:val="HTML Preformatted"/>
    <w:basedOn w:val="Normal"/>
    <w:link w:val="HTMLconformatoprevioCar"/>
    <w:uiPriority w:val="99"/>
    <w:semiHidden/>
    <w:unhideWhenUsed/>
    <w:rsid w:val="001A6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lang w:val="es-CR" w:eastAsia="es-CR"/>
    </w:rPr>
  </w:style>
  <w:style w:type="character" w:customStyle="1" w:styleId="HTMLconformatoprevioCar">
    <w:name w:val="HTML con formato previo Car"/>
    <w:basedOn w:val="Fuentedeprrafopredeter"/>
    <w:link w:val="HTMLconformatoprevio"/>
    <w:uiPriority w:val="99"/>
    <w:semiHidden/>
    <w:rsid w:val="001A6909"/>
    <w:rPr>
      <w:rFonts w:ascii="Courier New" w:eastAsia="Times New Roman" w:hAnsi="Courier New" w:cs="Courier New"/>
      <w:sz w:val="20"/>
      <w:szCs w:val="20"/>
      <w:lang w:eastAsia="es-CR"/>
    </w:rPr>
  </w:style>
  <w:style w:type="character" w:styleId="Nmerodelnea">
    <w:name w:val="line number"/>
    <w:basedOn w:val="Fuentedeprrafopredeter"/>
    <w:uiPriority w:val="99"/>
    <w:semiHidden/>
    <w:unhideWhenUsed/>
    <w:rsid w:val="00A7317D"/>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927A6C"/>
    <w:rPr>
      <w:rFonts w:eastAsiaTheme="minorHAnsi" w:cstheme="minorBidi"/>
      <w:sz w:val="16"/>
      <w:szCs w:val="22"/>
      <w:vertAlign w:val="superscript"/>
      <w:lang w:val="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190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b748963-5492-472b-8f4b-614b39ba08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0F41346511EA48920024C6F4BB9FC2" ma:contentTypeVersion="3" ma:contentTypeDescription="Crear nuevo documento." ma:contentTypeScope="" ma:versionID="5aebf019211e4b279eb08b30f8bb7917">
  <xsd:schema xmlns:xsd="http://www.w3.org/2001/XMLSchema" xmlns:xs="http://www.w3.org/2001/XMLSchema" xmlns:p="http://schemas.microsoft.com/office/2006/metadata/properties" xmlns:ns3="4b748963-5492-472b-8f4b-614b39ba08cf" targetNamespace="http://schemas.microsoft.com/office/2006/metadata/properties" ma:root="true" ma:fieldsID="4f1a505ec467bab085d6c91af550e79e" ns3:_="">
    <xsd:import namespace="4b748963-5492-472b-8f4b-614b39ba08cf"/>
    <xsd:element name="properties">
      <xsd:complexType>
        <xsd:sequence>
          <xsd:element name="documentManagement">
            <xsd:complexType>
              <xsd:all>
                <xsd:element ref="ns3:_activity"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48963-5492-472b-8f4b-614b39ba08cf"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4F69E-04A6-4BDD-AC93-4F77ED7BC315}">
  <ds:schemaRefs>
    <ds:schemaRef ds:uri="http://schemas.microsoft.com/office/2006/metadata/properties"/>
    <ds:schemaRef ds:uri="http://schemas.microsoft.com/office/infopath/2007/PartnerControls"/>
    <ds:schemaRef ds:uri="4b748963-5492-472b-8f4b-614b39ba08cf"/>
  </ds:schemaRefs>
</ds:datastoreItem>
</file>

<file path=customXml/itemProps2.xml><?xml version="1.0" encoding="utf-8"?>
<ds:datastoreItem xmlns:ds="http://schemas.openxmlformats.org/officeDocument/2006/customXml" ds:itemID="{75E35668-942C-46F1-9DB2-755605DD16DD}">
  <ds:schemaRefs>
    <ds:schemaRef ds:uri="http://schemas.microsoft.com/sharepoint/v3/contenttype/forms"/>
  </ds:schemaRefs>
</ds:datastoreItem>
</file>

<file path=customXml/itemProps3.xml><?xml version="1.0" encoding="utf-8"?>
<ds:datastoreItem xmlns:ds="http://schemas.openxmlformats.org/officeDocument/2006/customXml" ds:itemID="{B7C648DF-97F0-44D7-9212-944B7BD3B9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48963-5492-472b-8f4b-614b39ba08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D5E5CEC-9F09-47C0-8EAD-8AAB2977FA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2835</Words>
  <Characters>15597</Characters>
  <Application>Microsoft Office Word</Application>
  <DocSecurity>0</DocSecurity>
  <Lines>129</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3</cp:revision>
  <cp:lastPrinted>2023-10-18T17:08:00Z</cp:lastPrinted>
  <dcterms:created xsi:type="dcterms:W3CDTF">2023-10-18T17:08:00Z</dcterms:created>
  <dcterms:modified xsi:type="dcterms:W3CDTF">2023-10-18T17:08:00Z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0x010100490F41346511EA48920024C6F4BB9FC2</vt:lpwstr>
  </property>
</Properties>
</file>