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A2A0C" w14:textId="77777777" w:rsidR="001003AC" w:rsidRDefault="001003AC" w:rsidP="0031241B">
      <w:pPr>
        <w:pStyle w:val="Footnotes"/>
      </w:pPr>
    </w:p>
    <w:p w14:paraId="2A80E957" w14:textId="77777777" w:rsidR="00F747EE" w:rsidRPr="00F32643" w:rsidRDefault="00F747EE" w:rsidP="0031241B">
      <w:pPr>
        <w:pStyle w:val="Footnotes"/>
      </w:pPr>
    </w:p>
    <w:p w14:paraId="089BDA1E" w14:textId="77777777" w:rsidR="001003AC" w:rsidRPr="00F32643" w:rsidRDefault="001003AC" w:rsidP="001003AC">
      <w:pPr>
        <w:widowControl w:val="0"/>
        <w:tabs>
          <w:tab w:val="left" w:pos="567"/>
        </w:tabs>
        <w:adjustRightInd w:val="0"/>
        <w:textAlignment w:val="baseline"/>
        <w:rPr>
          <w:rFonts w:cs="Verdana Bold"/>
          <w:b/>
          <w:bCs/>
          <w:caps/>
          <w:color w:val="000000" w:themeColor="text1"/>
          <w:szCs w:val="20"/>
          <w:lang w:val="es-CR"/>
        </w:rPr>
      </w:pPr>
    </w:p>
    <w:p w14:paraId="5E0B5683" w14:textId="77777777" w:rsidR="001003AC" w:rsidRPr="00F32643" w:rsidRDefault="001003AC" w:rsidP="001003AC">
      <w:pPr>
        <w:widowControl w:val="0"/>
        <w:tabs>
          <w:tab w:val="left" w:pos="567"/>
        </w:tabs>
        <w:adjustRightInd w:val="0"/>
        <w:textAlignment w:val="baseline"/>
        <w:rPr>
          <w:rFonts w:cs="Verdana Bold"/>
          <w:b/>
          <w:bCs/>
          <w:caps/>
          <w:color w:val="000000" w:themeColor="text1"/>
          <w:szCs w:val="20"/>
          <w:lang w:val="es-CR"/>
        </w:rPr>
      </w:pPr>
    </w:p>
    <w:p w14:paraId="7402C078" w14:textId="77777777" w:rsidR="001003AC" w:rsidRPr="00F32643" w:rsidRDefault="001003AC" w:rsidP="001003AC">
      <w:pPr>
        <w:widowControl w:val="0"/>
        <w:tabs>
          <w:tab w:val="left" w:pos="567"/>
        </w:tabs>
        <w:adjustRightInd w:val="0"/>
        <w:textAlignment w:val="baseline"/>
        <w:rPr>
          <w:rFonts w:cs="Verdana Bold"/>
          <w:b/>
          <w:bCs/>
          <w:caps/>
          <w:color w:val="000000" w:themeColor="text1"/>
          <w:szCs w:val="20"/>
          <w:lang w:val="es-CR"/>
        </w:rPr>
      </w:pPr>
    </w:p>
    <w:p w14:paraId="289EB67A" w14:textId="77777777" w:rsidR="001003AC" w:rsidRPr="00F32643" w:rsidRDefault="001003AC" w:rsidP="001003AC">
      <w:pPr>
        <w:widowControl w:val="0"/>
        <w:tabs>
          <w:tab w:val="left" w:pos="567"/>
        </w:tabs>
        <w:adjustRightInd w:val="0"/>
        <w:textAlignment w:val="baseline"/>
        <w:rPr>
          <w:rFonts w:cs="Verdana Bold"/>
          <w:b/>
          <w:bCs/>
          <w:caps/>
          <w:color w:val="000000" w:themeColor="text1"/>
          <w:szCs w:val="20"/>
          <w:lang w:val="es-CR"/>
        </w:rPr>
      </w:pPr>
    </w:p>
    <w:p w14:paraId="6BCB3BF6" w14:textId="77777777" w:rsidR="001003AC" w:rsidRPr="00F32643" w:rsidRDefault="001003AC" w:rsidP="001003AC">
      <w:pPr>
        <w:widowControl w:val="0"/>
        <w:tabs>
          <w:tab w:val="left" w:pos="567"/>
        </w:tabs>
        <w:adjustRightInd w:val="0"/>
        <w:textAlignment w:val="baseline"/>
        <w:rPr>
          <w:rFonts w:cs="Verdana Bold"/>
          <w:b/>
          <w:bCs/>
          <w:caps/>
          <w:color w:val="000000" w:themeColor="text1"/>
          <w:szCs w:val="20"/>
          <w:lang w:val="es-CR"/>
        </w:rPr>
      </w:pPr>
    </w:p>
    <w:p w14:paraId="6EC83DCE" w14:textId="77777777" w:rsidR="001003AC" w:rsidRPr="00F32643" w:rsidRDefault="001003AC" w:rsidP="001003AC">
      <w:pPr>
        <w:widowControl w:val="0"/>
        <w:tabs>
          <w:tab w:val="left" w:pos="567"/>
        </w:tabs>
        <w:adjustRightInd w:val="0"/>
        <w:textAlignment w:val="baseline"/>
        <w:rPr>
          <w:rFonts w:cs="Verdana Bold"/>
          <w:b/>
          <w:bCs/>
          <w:caps/>
          <w:color w:val="000000" w:themeColor="text1"/>
          <w:szCs w:val="20"/>
          <w:lang w:val="es-CR"/>
        </w:rPr>
      </w:pPr>
    </w:p>
    <w:p w14:paraId="12F80857" w14:textId="77777777" w:rsidR="001003AC" w:rsidRPr="00F32643" w:rsidRDefault="001003AC" w:rsidP="001003AC">
      <w:pPr>
        <w:widowControl w:val="0"/>
        <w:tabs>
          <w:tab w:val="left" w:pos="567"/>
        </w:tabs>
        <w:adjustRightInd w:val="0"/>
        <w:textAlignment w:val="baseline"/>
        <w:rPr>
          <w:rFonts w:cs="Verdana Bold"/>
          <w:b/>
          <w:bCs/>
          <w:caps/>
          <w:color w:val="000000" w:themeColor="text1"/>
          <w:szCs w:val="20"/>
          <w:lang w:val="es-CR"/>
        </w:rPr>
      </w:pPr>
    </w:p>
    <w:p w14:paraId="5064B8DD" w14:textId="77777777" w:rsidR="001003AC" w:rsidRPr="00F32643" w:rsidRDefault="001003AC" w:rsidP="001003AC">
      <w:pPr>
        <w:widowControl w:val="0"/>
        <w:tabs>
          <w:tab w:val="left" w:pos="567"/>
        </w:tabs>
        <w:adjustRightInd w:val="0"/>
        <w:textAlignment w:val="baseline"/>
        <w:rPr>
          <w:rFonts w:cs="Verdana Bold"/>
          <w:b/>
          <w:bCs/>
          <w:caps/>
          <w:color w:val="000000" w:themeColor="text1"/>
          <w:szCs w:val="20"/>
          <w:lang w:val="es-CR"/>
        </w:rPr>
      </w:pPr>
    </w:p>
    <w:p w14:paraId="4314C629" w14:textId="77777777" w:rsidR="001003AC" w:rsidRPr="00F32643" w:rsidRDefault="001003AC" w:rsidP="001003AC">
      <w:pPr>
        <w:widowControl w:val="0"/>
        <w:tabs>
          <w:tab w:val="left" w:pos="567"/>
        </w:tabs>
        <w:adjustRightInd w:val="0"/>
        <w:textAlignment w:val="baseline"/>
        <w:rPr>
          <w:b/>
          <w:color w:val="000000" w:themeColor="text1"/>
          <w:szCs w:val="20"/>
          <w:lang w:val="es-CR" w:eastAsia="es-CR"/>
        </w:rPr>
      </w:pPr>
    </w:p>
    <w:p w14:paraId="0F02DE80" w14:textId="77777777" w:rsidR="001003AC" w:rsidRPr="00F32643" w:rsidRDefault="001003AC" w:rsidP="001003AC">
      <w:pPr>
        <w:widowControl w:val="0"/>
        <w:tabs>
          <w:tab w:val="left" w:pos="567"/>
        </w:tabs>
        <w:adjustRightInd w:val="0"/>
        <w:jc w:val="center"/>
        <w:textAlignment w:val="baseline"/>
        <w:rPr>
          <w:b/>
          <w:color w:val="000000" w:themeColor="text1"/>
          <w:szCs w:val="20"/>
          <w:lang w:val="es-CR" w:eastAsia="es-CR"/>
        </w:rPr>
      </w:pPr>
    </w:p>
    <w:p w14:paraId="7C1E928A" w14:textId="77777777" w:rsidR="001003AC" w:rsidRPr="00195F29" w:rsidRDefault="001003AC" w:rsidP="001003AC">
      <w:pPr>
        <w:pStyle w:val="Ttulo"/>
        <w:tabs>
          <w:tab w:val="left" w:pos="567"/>
        </w:tabs>
        <w:spacing w:before="0" w:after="0"/>
        <w:outlineLvl w:val="9"/>
        <w:rPr>
          <w:color w:val="000000" w:themeColor="text1"/>
          <w:sz w:val="20"/>
          <w:lang w:val="pt-BR"/>
        </w:rPr>
      </w:pPr>
      <w:r w:rsidRPr="00195F29">
        <w:rPr>
          <w:color w:val="000000" w:themeColor="text1"/>
          <w:sz w:val="20"/>
          <w:lang w:val="pt-BR"/>
        </w:rPr>
        <w:t>CORTE INTERAMERICANA DE DERECHOS HUMANOS</w:t>
      </w:r>
    </w:p>
    <w:p w14:paraId="3BE8A142" w14:textId="77777777" w:rsidR="001003AC" w:rsidRPr="00195F29" w:rsidRDefault="001003AC" w:rsidP="001003AC">
      <w:pPr>
        <w:jc w:val="center"/>
        <w:rPr>
          <w:b/>
          <w:bCs/>
          <w:color w:val="000000" w:themeColor="text1"/>
          <w:szCs w:val="20"/>
          <w:lang w:val="pt-BR"/>
        </w:rPr>
      </w:pPr>
    </w:p>
    <w:p w14:paraId="667F34D2" w14:textId="71D5CE63" w:rsidR="001003AC" w:rsidRPr="00195F29" w:rsidRDefault="001003AC" w:rsidP="001003AC">
      <w:pPr>
        <w:jc w:val="center"/>
        <w:rPr>
          <w:b/>
          <w:bCs/>
          <w:color w:val="000000" w:themeColor="text1"/>
          <w:szCs w:val="20"/>
          <w:lang w:val="pt-BR"/>
        </w:rPr>
      </w:pPr>
      <w:r w:rsidRPr="00195F29">
        <w:rPr>
          <w:b/>
          <w:bCs/>
          <w:color w:val="000000" w:themeColor="text1"/>
          <w:szCs w:val="20"/>
          <w:lang w:val="pt-BR"/>
        </w:rPr>
        <w:t xml:space="preserve">CASO </w:t>
      </w:r>
      <w:r w:rsidR="00B132EB" w:rsidRPr="00195F29">
        <w:rPr>
          <w:b/>
          <w:bCs/>
          <w:color w:val="000000" w:themeColor="text1"/>
          <w:szCs w:val="20"/>
          <w:lang w:val="pt-BR"/>
        </w:rPr>
        <w:t>NISSEN PESSOLANI</w:t>
      </w:r>
      <w:r w:rsidR="006536D6" w:rsidRPr="00195F29">
        <w:rPr>
          <w:b/>
          <w:bCs/>
          <w:color w:val="000000" w:themeColor="text1"/>
          <w:szCs w:val="20"/>
          <w:lang w:val="pt-BR"/>
        </w:rPr>
        <w:t xml:space="preserve"> VS. </w:t>
      </w:r>
      <w:r w:rsidR="00B132EB" w:rsidRPr="00195F29">
        <w:rPr>
          <w:b/>
          <w:bCs/>
          <w:color w:val="000000" w:themeColor="text1"/>
          <w:szCs w:val="20"/>
          <w:lang w:val="pt-BR"/>
        </w:rPr>
        <w:t>PARAGUAY</w:t>
      </w:r>
    </w:p>
    <w:p w14:paraId="391A3FF2" w14:textId="77777777" w:rsidR="001003AC" w:rsidRPr="00195F29" w:rsidRDefault="001003AC" w:rsidP="001003AC">
      <w:pPr>
        <w:jc w:val="center"/>
        <w:rPr>
          <w:b/>
          <w:color w:val="000000" w:themeColor="text1"/>
          <w:szCs w:val="20"/>
          <w:lang w:val="pt-BR"/>
        </w:rPr>
      </w:pPr>
    </w:p>
    <w:p w14:paraId="3F13F0B8" w14:textId="42605618" w:rsidR="001003AC" w:rsidRPr="00F32643" w:rsidRDefault="001003AC" w:rsidP="001003AC">
      <w:pPr>
        <w:jc w:val="center"/>
        <w:rPr>
          <w:b/>
          <w:color w:val="000000" w:themeColor="text1"/>
          <w:szCs w:val="20"/>
          <w:lang w:val="es-CR"/>
        </w:rPr>
      </w:pPr>
      <w:bookmarkStart w:id="0" w:name="_Toc424833992"/>
      <w:bookmarkStart w:id="1" w:name="_Toc424834593"/>
      <w:bookmarkStart w:id="2" w:name="_Toc424834676"/>
      <w:bookmarkStart w:id="3" w:name="_Toc424834743"/>
      <w:r w:rsidRPr="00F32643">
        <w:rPr>
          <w:b/>
          <w:color w:val="000000" w:themeColor="text1"/>
          <w:szCs w:val="20"/>
          <w:lang w:val="es-CR"/>
        </w:rPr>
        <w:t xml:space="preserve">SENTENCIA DE </w:t>
      </w:r>
      <w:r w:rsidR="00094257">
        <w:rPr>
          <w:b/>
          <w:color w:val="000000" w:themeColor="text1"/>
          <w:szCs w:val="20"/>
          <w:lang w:val="es-CR"/>
        </w:rPr>
        <w:t>30</w:t>
      </w:r>
      <w:r w:rsidRPr="00F32643">
        <w:rPr>
          <w:b/>
          <w:color w:val="000000" w:themeColor="text1"/>
          <w:szCs w:val="20"/>
          <w:lang w:val="es-CR"/>
        </w:rPr>
        <w:t xml:space="preserve"> DE</w:t>
      </w:r>
      <w:r w:rsidR="00094257">
        <w:rPr>
          <w:b/>
          <w:color w:val="000000" w:themeColor="text1"/>
          <w:szCs w:val="20"/>
          <w:lang w:val="es-CR"/>
        </w:rPr>
        <w:t xml:space="preserve"> AGOSTO</w:t>
      </w:r>
      <w:r w:rsidRPr="00F32643">
        <w:rPr>
          <w:b/>
          <w:color w:val="000000" w:themeColor="text1"/>
          <w:szCs w:val="20"/>
          <w:lang w:val="es-CR"/>
        </w:rPr>
        <w:t xml:space="preserve"> DE </w:t>
      </w:r>
      <w:bookmarkEnd w:id="0"/>
      <w:bookmarkEnd w:id="1"/>
      <w:bookmarkEnd w:id="2"/>
      <w:bookmarkEnd w:id="3"/>
      <w:r w:rsidRPr="00F32643">
        <w:rPr>
          <w:b/>
          <w:color w:val="000000" w:themeColor="text1"/>
          <w:szCs w:val="20"/>
          <w:lang w:val="es-CR"/>
        </w:rPr>
        <w:t>202</w:t>
      </w:r>
      <w:r w:rsidR="00B132EB">
        <w:rPr>
          <w:b/>
          <w:color w:val="000000" w:themeColor="text1"/>
          <w:szCs w:val="20"/>
          <w:lang w:val="es-CR"/>
        </w:rPr>
        <w:t>3</w:t>
      </w:r>
    </w:p>
    <w:p w14:paraId="7B069975" w14:textId="77777777" w:rsidR="001003AC" w:rsidRPr="00F32643" w:rsidRDefault="001003AC" w:rsidP="001003AC">
      <w:pPr>
        <w:jc w:val="center"/>
        <w:rPr>
          <w:color w:val="000000" w:themeColor="text1"/>
          <w:szCs w:val="20"/>
          <w:lang w:val="es-CR"/>
        </w:rPr>
      </w:pPr>
    </w:p>
    <w:p w14:paraId="473A1CCF" w14:textId="420AA947" w:rsidR="001003AC" w:rsidRPr="00F32643" w:rsidRDefault="001003AC" w:rsidP="001003AC">
      <w:pPr>
        <w:jc w:val="center"/>
        <w:rPr>
          <w:rFonts w:cs="Verdana"/>
          <w:b/>
          <w:bCs/>
          <w:caps/>
          <w:snapToGrid w:val="0"/>
          <w:color w:val="000000" w:themeColor="text1"/>
          <w:szCs w:val="20"/>
          <w:lang w:val="es-CR" w:eastAsia="es-ES"/>
        </w:rPr>
      </w:pPr>
      <w:bookmarkStart w:id="4" w:name="_Toc424833993"/>
      <w:bookmarkStart w:id="5" w:name="_Toc424834594"/>
      <w:bookmarkStart w:id="6" w:name="_Toc424834677"/>
      <w:bookmarkStart w:id="7" w:name="_Toc424834744"/>
      <w:r w:rsidRPr="00F32643">
        <w:rPr>
          <w:b/>
          <w:color w:val="000000" w:themeColor="text1"/>
          <w:szCs w:val="20"/>
          <w:lang w:val="es-CR"/>
        </w:rPr>
        <w:t>(</w:t>
      </w:r>
      <w:r w:rsidRPr="00F32643">
        <w:rPr>
          <w:b/>
          <w:i/>
          <w:color w:val="000000" w:themeColor="text1"/>
          <w:szCs w:val="20"/>
          <w:lang w:val="es-CR"/>
        </w:rPr>
        <w:t>Interpretación de la Sentencia de Fondo</w:t>
      </w:r>
      <w:r w:rsidR="003F059C" w:rsidRPr="00F32643">
        <w:rPr>
          <w:b/>
          <w:i/>
          <w:color w:val="000000" w:themeColor="text1"/>
          <w:szCs w:val="20"/>
          <w:lang w:val="es-CR"/>
        </w:rPr>
        <w:t xml:space="preserve">, </w:t>
      </w:r>
      <w:r w:rsidR="00004760" w:rsidRPr="00F32643">
        <w:rPr>
          <w:b/>
          <w:i/>
          <w:color w:val="000000" w:themeColor="text1"/>
          <w:szCs w:val="20"/>
          <w:lang w:val="es-CR"/>
        </w:rPr>
        <w:t>R</w:t>
      </w:r>
      <w:r w:rsidRPr="00F32643">
        <w:rPr>
          <w:b/>
          <w:i/>
          <w:color w:val="000000" w:themeColor="text1"/>
          <w:szCs w:val="20"/>
          <w:lang w:val="es-CR"/>
        </w:rPr>
        <w:t>eparaciones</w:t>
      </w:r>
      <w:r w:rsidR="003F059C" w:rsidRPr="00F32643">
        <w:rPr>
          <w:b/>
          <w:i/>
          <w:color w:val="000000" w:themeColor="text1"/>
          <w:szCs w:val="20"/>
          <w:lang w:val="es-CR"/>
        </w:rPr>
        <w:t xml:space="preserve"> y Costas</w:t>
      </w:r>
      <w:r w:rsidRPr="00F32643">
        <w:rPr>
          <w:b/>
          <w:color w:val="000000" w:themeColor="text1"/>
          <w:szCs w:val="20"/>
          <w:lang w:val="es-CR"/>
        </w:rPr>
        <w:t>)</w:t>
      </w:r>
      <w:bookmarkEnd w:id="4"/>
      <w:bookmarkEnd w:id="5"/>
      <w:bookmarkEnd w:id="6"/>
      <w:bookmarkEnd w:id="7"/>
    </w:p>
    <w:p w14:paraId="1B6FFC0E" w14:textId="77777777" w:rsidR="001003AC" w:rsidRPr="00F32643" w:rsidRDefault="001003AC" w:rsidP="001003AC">
      <w:pPr>
        <w:widowControl w:val="0"/>
        <w:tabs>
          <w:tab w:val="left" w:pos="567"/>
          <w:tab w:val="left" w:pos="720"/>
        </w:tabs>
        <w:adjustRightInd w:val="0"/>
        <w:textAlignment w:val="baseline"/>
        <w:rPr>
          <w:rFonts w:cs="Verdana"/>
          <w:color w:val="000000" w:themeColor="text1"/>
          <w:szCs w:val="20"/>
          <w:lang w:val="es-CR" w:eastAsia="es-CR"/>
        </w:rPr>
      </w:pPr>
    </w:p>
    <w:p w14:paraId="32256A2C" w14:textId="77777777" w:rsidR="001003AC" w:rsidRPr="00F32643" w:rsidRDefault="001003AC" w:rsidP="001003AC">
      <w:pPr>
        <w:widowControl w:val="0"/>
        <w:tabs>
          <w:tab w:val="left" w:pos="6932"/>
        </w:tabs>
        <w:adjustRightInd w:val="0"/>
        <w:textAlignment w:val="baseline"/>
        <w:rPr>
          <w:rFonts w:cs="Verdana"/>
          <w:b/>
          <w:bCs/>
          <w:color w:val="000000" w:themeColor="text1"/>
          <w:szCs w:val="20"/>
          <w:lang w:val="es-CR" w:eastAsia="es-CR"/>
        </w:rPr>
      </w:pPr>
      <w:r w:rsidRPr="00F32643">
        <w:rPr>
          <w:rFonts w:cs="Verdana"/>
          <w:b/>
          <w:bCs/>
          <w:color w:val="000000" w:themeColor="text1"/>
          <w:szCs w:val="20"/>
          <w:lang w:val="es-CR" w:eastAsia="es-CR"/>
        </w:rPr>
        <w:tab/>
      </w:r>
    </w:p>
    <w:p w14:paraId="6066DF97" w14:textId="77777777" w:rsidR="001003AC" w:rsidRPr="00F32643" w:rsidRDefault="001003AC" w:rsidP="001003AC">
      <w:pPr>
        <w:widowControl w:val="0"/>
        <w:tabs>
          <w:tab w:val="left" w:pos="567"/>
          <w:tab w:val="left" w:pos="720"/>
        </w:tabs>
        <w:adjustRightInd w:val="0"/>
        <w:textAlignment w:val="baseline"/>
        <w:rPr>
          <w:rFonts w:cs="Verdana"/>
          <w:color w:val="000000" w:themeColor="text1"/>
          <w:szCs w:val="20"/>
          <w:lang w:val="es-CR" w:eastAsia="es-CR"/>
        </w:rPr>
      </w:pPr>
    </w:p>
    <w:p w14:paraId="659C9A3D" w14:textId="03246AA3" w:rsidR="001003AC" w:rsidRPr="00F32643" w:rsidRDefault="001003AC" w:rsidP="001003AC">
      <w:pPr>
        <w:widowControl w:val="0"/>
        <w:tabs>
          <w:tab w:val="left" w:pos="567"/>
          <w:tab w:val="left" w:pos="720"/>
        </w:tabs>
        <w:adjustRightInd w:val="0"/>
        <w:textAlignment w:val="baseline"/>
        <w:rPr>
          <w:rFonts w:cs="Verdana"/>
          <w:i/>
          <w:iCs/>
          <w:color w:val="000000" w:themeColor="text1"/>
          <w:szCs w:val="20"/>
          <w:lang w:val="es-CR" w:eastAsia="es-CR"/>
        </w:rPr>
      </w:pPr>
      <w:r w:rsidRPr="00F32643">
        <w:rPr>
          <w:rFonts w:cs="Verdana"/>
          <w:color w:val="000000" w:themeColor="text1"/>
          <w:szCs w:val="20"/>
          <w:lang w:val="es-CR" w:eastAsia="es-CR"/>
        </w:rPr>
        <w:t>En el caso</w:t>
      </w:r>
      <w:r w:rsidRPr="00F32643">
        <w:rPr>
          <w:rFonts w:cs="Verdana"/>
          <w:i/>
          <w:iCs/>
          <w:color w:val="000000" w:themeColor="text1"/>
          <w:szCs w:val="20"/>
          <w:lang w:val="es-CR" w:eastAsia="es-CR"/>
        </w:rPr>
        <w:t xml:space="preserve"> </w:t>
      </w:r>
      <w:r w:rsidR="00B132EB">
        <w:rPr>
          <w:rFonts w:cs="Verdana"/>
          <w:i/>
          <w:iCs/>
          <w:color w:val="000000" w:themeColor="text1"/>
          <w:szCs w:val="20"/>
          <w:lang w:val="es-CR" w:eastAsia="es-CR"/>
        </w:rPr>
        <w:t xml:space="preserve">Nissen </w:t>
      </w:r>
      <w:proofErr w:type="spellStart"/>
      <w:r w:rsidR="00B132EB">
        <w:rPr>
          <w:rFonts w:cs="Verdana"/>
          <w:i/>
          <w:iCs/>
          <w:color w:val="000000" w:themeColor="text1"/>
          <w:szCs w:val="20"/>
          <w:lang w:val="es-CR" w:eastAsia="es-CR"/>
        </w:rPr>
        <w:t>Pessolani</w:t>
      </w:r>
      <w:proofErr w:type="spellEnd"/>
      <w:r w:rsidR="00004760" w:rsidRPr="00F32643">
        <w:rPr>
          <w:rFonts w:cs="Verdana"/>
          <w:i/>
          <w:iCs/>
          <w:color w:val="000000" w:themeColor="text1"/>
          <w:szCs w:val="20"/>
          <w:lang w:val="es-CR" w:eastAsia="es-CR"/>
        </w:rPr>
        <w:t xml:space="preserve"> Vs. </w:t>
      </w:r>
      <w:r w:rsidR="00B132EB">
        <w:rPr>
          <w:rFonts w:cs="Verdana"/>
          <w:i/>
          <w:iCs/>
          <w:color w:val="000000" w:themeColor="text1"/>
          <w:szCs w:val="20"/>
          <w:lang w:val="es-CR" w:eastAsia="es-CR"/>
        </w:rPr>
        <w:t>Paraguay</w:t>
      </w:r>
      <w:r w:rsidRPr="00F32643">
        <w:rPr>
          <w:rFonts w:cs="Verdana"/>
          <w:i/>
          <w:iCs/>
          <w:color w:val="000000" w:themeColor="text1"/>
          <w:szCs w:val="20"/>
          <w:lang w:val="es-CR" w:eastAsia="es-CR"/>
        </w:rPr>
        <w:t xml:space="preserve">, </w:t>
      </w:r>
    </w:p>
    <w:p w14:paraId="43D61610" w14:textId="77777777" w:rsidR="001003AC" w:rsidRPr="00F32643" w:rsidRDefault="001003AC" w:rsidP="001003AC">
      <w:pPr>
        <w:widowControl w:val="0"/>
        <w:tabs>
          <w:tab w:val="left" w:pos="567"/>
          <w:tab w:val="left" w:pos="720"/>
        </w:tabs>
        <w:adjustRightInd w:val="0"/>
        <w:textAlignment w:val="baseline"/>
        <w:rPr>
          <w:rFonts w:cs="Verdana"/>
          <w:color w:val="000000" w:themeColor="text1"/>
          <w:szCs w:val="20"/>
          <w:lang w:val="es-CR" w:eastAsia="es-CR"/>
        </w:rPr>
      </w:pPr>
    </w:p>
    <w:p w14:paraId="07193FFA" w14:textId="15A580E3" w:rsidR="001003AC" w:rsidRPr="00F32643" w:rsidRDefault="001003AC" w:rsidP="001003AC">
      <w:pPr>
        <w:widowControl w:val="0"/>
        <w:tabs>
          <w:tab w:val="left" w:pos="567"/>
          <w:tab w:val="left" w:pos="720"/>
        </w:tabs>
        <w:adjustRightInd w:val="0"/>
        <w:textAlignment w:val="baseline"/>
        <w:rPr>
          <w:rFonts w:cs="Verdana"/>
          <w:color w:val="000000" w:themeColor="text1"/>
          <w:szCs w:val="20"/>
          <w:lang w:val="es-CR" w:eastAsia="es-CR"/>
        </w:rPr>
      </w:pPr>
      <w:r w:rsidRPr="00F32643">
        <w:rPr>
          <w:rFonts w:cs="Verdana"/>
          <w:color w:val="000000" w:themeColor="text1"/>
          <w:szCs w:val="20"/>
          <w:lang w:val="es-CR" w:eastAsia="es-CR"/>
        </w:rPr>
        <w:t xml:space="preserve">la Corte Interamericana de Derechos Humanos (en adelante “la Corte Interamericana”, “la Corte” o “el Tribunal”), integrada por los siguientes </w:t>
      </w:r>
      <w:proofErr w:type="gramStart"/>
      <w:r w:rsidRPr="00F32643">
        <w:rPr>
          <w:rFonts w:cs="Verdana"/>
          <w:color w:val="000000" w:themeColor="text1"/>
          <w:szCs w:val="20"/>
          <w:lang w:val="es-CR" w:eastAsia="es-CR"/>
        </w:rPr>
        <w:t>jueces</w:t>
      </w:r>
      <w:r w:rsidR="00B132EB">
        <w:rPr>
          <w:rFonts w:cs="Verdana"/>
          <w:color w:val="000000" w:themeColor="text1"/>
          <w:szCs w:val="20"/>
          <w:lang w:val="es-CR" w:eastAsia="es-CR"/>
        </w:rPr>
        <w:t xml:space="preserve"> y juezas</w:t>
      </w:r>
      <w:proofErr w:type="gramEnd"/>
      <w:r w:rsidRPr="00F32643">
        <w:rPr>
          <w:rFonts w:cs="Verdana"/>
          <w:color w:val="000000" w:themeColor="text1"/>
          <w:szCs w:val="20"/>
          <w:lang w:val="es-CR" w:eastAsia="es-CR"/>
        </w:rPr>
        <w:t>:</w:t>
      </w:r>
    </w:p>
    <w:p w14:paraId="6EB81D54" w14:textId="77777777" w:rsidR="001003AC" w:rsidRPr="00F32643" w:rsidRDefault="001003AC" w:rsidP="001003AC">
      <w:pPr>
        <w:widowControl w:val="0"/>
        <w:tabs>
          <w:tab w:val="left" w:pos="567"/>
          <w:tab w:val="left" w:pos="720"/>
        </w:tabs>
        <w:adjustRightInd w:val="0"/>
        <w:textAlignment w:val="baseline"/>
        <w:rPr>
          <w:rFonts w:cs="Verdana"/>
          <w:color w:val="000000" w:themeColor="text1"/>
          <w:szCs w:val="20"/>
          <w:lang w:val="es-CR" w:eastAsia="es-CR"/>
        </w:rPr>
      </w:pPr>
    </w:p>
    <w:p w14:paraId="3CB89E26" w14:textId="6F620BE2" w:rsidR="001003AC" w:rsidRDefault="00B132EB" w:rsidP="001003AC">
      <w:pPr>
        <w:widowControl w:val="0"/>
        <w:tabs>
          <w:tab w:val="left" w:pos="567"/>
          <w:tab w:val="left" w:pos="720"/>
        </w:tabs>
        <w:adjustRightInd w:val="0"/>
        <w:textAlignment w:val="baseline"/>
        <w:rPr>
          <w:rFonts w:cs="Verdana"/>
          <w:color w:val="000000" w:themeColor="text1"/>
          <w:szCs w:val="20"/>
          <w:lang w:val="pt-BR" w:eastAsia="es-CR"/>
        </w:rPr>
      </w:pPr>
      <w:r>
        <w:rPr>
          <w:rFonts w:cs="Verdana"/>
          <w:color w:val="000000" w:themeColor="text1"/>
          <w:szCs w:val="20"/>
          <w:lang w:val="pt-BR" w:eastAsia="es-CR"/>
        </w:rPr>
        <w:t>Ricardo C. Pérez Manrique</w:t>
      </w:r>
      <w:r w:rsidR="001003AC" w:rsidRPr="00B132EB">
        <w:rPr>
          <w:rFonts w:cs="Verdana"/>
          <w:color w:val="000000" w:themeColor="text1"/>
          <w:szCs w:val="20"/>
          <w:lang w:val="pt-BR" w:eastAsia="es-CR"/>
        </w:rPr>
        <w:t xml:space="preserve">, </w:t>
      </w:r>
      <w:r w:rsidR="009A1495" w:rsidRPr="00B132EB">
        <w:rPr>
          <w:rFonts w:cs="Verdana"/>
          <w:color w:val="000000" w:themeColor="text1"/>
          <w:szCs w:val="20"/>
          <w:lang w:val="pt-BR" w:eastAsia="es-CR"/>
        </w:rPr>
        <w:t>Presidente</w:t>
      </w:r>
      <w:r w:rsidR="001003AC" w:rsidRPr="00B132EB">
        <w:rPr>
          <w:rFonts w:cs="Verdana"/>
          <w:color w:val="000000" w:themeColor="text1"/>
          <w:szCs w:val="20"/>
          <w:lang w:val="pt-BR" w:eastAsia="es-CR"/>
        </w:rPr>
        <w:t>;</w:t>
      </w:r>
    </w:p>
    <w:p w14:paraId="56609D2F" w14:textId="2747D926" w:rsidR="00046E2D" w:rsidRPr="00B132EB" w:rsidRDefault="00046E2D" w:rsidP="001003AC">
      <w:pPr>
        <w:widowControl w:val="0"/>
        <w:tabs>
          <w:tab w:val="left" w:pos="567"/>
          <w:tab w:val="left" w:pos="720"/>
        </w:tabs>
        <w:adjustRightInd w:val="0"/>
        <w:textAlignment w:val="baseline"/>
        <w:rPr>
          <w:rFonts w:cs="Verdana"/>
          <w:color w:val="000000" w:themeColor="text1"/>
          <w:szCs w:val="20"/>
          <w:lang w:val="pt-BR" w:eastAsia="es-CR"/>
        </w:rPr>
      </w:pPr>
      <w:r w:rsidRPr="00046E2D">
        <w:rPr>
          <w:rFonts w:cs="Verdana"/>
          <w:color w:val="000000" w:themeColor="text1"/>
          <w:szCs w:val="20"/>
          <w:lang w:val="pt-BR" w:eastAsia="es-CR"/>
        </w:rPr>
        <w:t xml:space="preserve">Eduardo Ferrer </w:t>
      </w:r>
      <w:proofErr w:type="spellStart"/>
      <w:r w:rsidRPr="00046E2D">
        <w:rPr>
          <w:rFonts w:cs="Verdana"/>
          <w:color w:val="000000" w:themeColor="text1"/>
          <w:szCs w:val="20"/>
          <w:lang w:val="pt-BR" w:eastAsia="es-CR"/>
        </w:rPr>
        <w:t>Mac-Gregor</w:t>
      </w:r>
      <w:proofErr w:type="spellEnd"/>
      <w:r w:rsidRPr="00046E2D">
        <w:rPr>
          <w:rFonts w:cs="Verdana"/>
          <w:color w:val="000000" w:themeColor="text1"/>
          <w:szCs w:val="20"/>
          <w:lang w:val="pt-BR" w:eastAsia="es-CR"/>
        </w:rPr>
        <w:t xml:space="preserve"> </w:t>
      </w:r>
      <w:proofErr w:type="spellStart"/>
      <w:r w:rsidRPr="00046E2D">
        <w:rPr>
          <w:rFonts w:cs="Verdana"/>
          <w:color w:val="000000" w:themeColor="text1"/>
          <w:szCs w:val="20"/>
          <w:lang w:val="pt-BR" w:eastAsia="es-CR"/>
        </w:rPr>
        <w:t>Poisot</w:t>
      </w:r>
      <w:proofErr w:type="spellEnd"/>
      <w:r w:rsidRPr="00046E2D">
        <w:rPr>
          <w:rFonts w:cs="Verdana"/>
          <w:color w:val="000000" w:themeColor="text1"/>
          <w:szCs w:val="20"/>
          <w:lang w:val="pt-BR" w:eastAsia="es-CR"/>
        </w:rPr>
        <w:t xml:space="preserve">, </w:t>
      </w:r>
      <w:proofErr w:type="spellStart"/>
      <w:r>
        <w:rPr>
          <w:rFonts w:cs="Verdana"/>
          <w:color w:val="000000" w:themeColor="text1"/>
          <w:szCs w:val="20"/>
          <w:lang w:val="pt-BR" w:eastAsia="es-CR"/>
        </w:rPr>
        <w:t>Vicepresidente</w:t>
      </w:r>
      <w:proofErr w:type="spellEnd"/>
      <w:r>
        <w:rPr>
          <w:rFonts w:cs="Verdana"/>
          <w:color w:val="000000" w:themeColor="text1"/>
          <w:szCs w:val="20"/>
          <w:lang w:val="pt-BR" w:eastAsia="es-CR"/>
        </w:rPr>
        <w:t>;</w:t>
      </w:r>
    </w:p>
    <w:p w14:paraId="0BE4C6B7" w14:textId="6883E183" w:rsidR="001003AC" w:rsidRDefault="00342C61" w:rsidP="00046E2D">
      <w:pPr>
        <w:widowControl w:val="0"/>
        <w:tabs>
          <w:tab w:val="left" w:pos="567"/>
          <w:tab w:val="left" w:pos="720"/>
        </w:tabs>
        <w:adjustRightInd w:val="0"/>
        <w:textAlignment w:val="baseline"/>
        <w:rPr>
          <w:rFonts w:cs="Verdana"/>
          <w:color w:val="000000" w:themeColor="text1"/>
          <w:szCs w:val="20"/>
          <w:lang w:val="es-CR" w:eastAsia="es-CR"/>
        </w:rPr>
      </w:pPr>
      <w:r w:rsidRPr="00F32643">
        <w:rPr>
          <w:rFonts w:cs="Verdana"/>
          <w:color w:val="000000" w:themeColor="text1"/>
          <w:szCs w:val="20"/>
          <w:lang w:val="es-CR" w:eastAsia="es-CR"/>
        </w:rPr>
        <w:t>Humberto Antonio Sierra Porto, Juez</w:t>
      </w:r>
      <w:r w:rsidR="00064B3A" w:rsidRPr="00F32643">
        <w:rPr>
          <w:rFonts w:cs="Verdana"/>
          <w:color w:val="000000" w:themeColor="text1"/>
          <w:szCs w:val="20"/>
          <w:lang w:val="es-CR" w:eastAsia="es-CR"/>
        </w:rPr>
        <w:t>;</w:t>
      </w:r>
    </w:p>
    <w:p w14:paraId="385B9376" w14:textId="4474C313" w:rsidR="00046E2D" w:rsidRPr="00046E2D" w:rsidRDefault="00046E2D" w:rsidP="00046E2D">
      <w:pPr>
        <w:widowControl w:val="0"/>
        <w:tabs>
          <w:tab w:val="left" w:pos="567"/>
          <w:tab w:val="left" w:pos="720"/>
        </w:tabs>
        <w:adjustRightInd w:val="0"/>
        <w:textAlignment w:val="baseline"/>
        <w:rPr>
          <w:rFonts w:cs="Verdana"/>
          <w:color w:val="000000" w:themeColor="text1"/>
          <w:szCs w:val="20"/>
          <w:lang w:val="es-CR" w:eastAsia="es-CR"/>
        </w:rPr>
      </w:pPr>
      <w:r>
        <w:rPr>
          <w:rFonts w:cs="Verdana"/>
          <w:color w:val="000000" w:themeColor="text1"/>
          <w:szCs w:val="20"/>
          <w:lang w:val="es-CR" w:eastAsia="es-CR"/>
        </w:rPr>
        <w:t>Nancy Hernández López, Jueza;</w:t>
      </w:r>
    </w:p>
    <w:p w14:paraId="7736F1ED" w14:textId="77777777" w:rsidR="00046E2D" w:rsidRDefault="00046E2D" w:rsidP="001003AC">
      <w:pPr>
        <w:pStyle w:val="citaindirecta"/>
        <w:tabs>
          <w:tab w:val="left" w:pos="567"/>
          <w:tab w:val="left" w:pos="851"/>
          <w:tab w:val="left" w:pos="7213"/>
        </w:tabs>
        <w:ind w:left="0" w:right="-174"/>
        <w:rPr>
          <w:color w:val="000000" w:themeColor="text1"/>
          <w:lang w:val="es-CR"/>
        </w:rPr>
      </w:pPr>
      <w:r>
        <w:rPr>
          <w:color w:val="000000" w:themeColor="text1"/>
          <w:lang w:val="es-CR"/>
        </w:rPr>
        <w:t>Verónica Gómez</w:t>
      </w:r>
      <w:r w:rsidR="001003AC" w:rsidRPr="00F32643">
        <w:rPr>
          <w:color w:val="000000" w:themeColor="text1"/>
          <w:lang w:val="es-CR"/>
        </w:rPr>
        <w:t>, Juez</w:t>
      </w:r>
      <w:r>
        <w:rPr>
          <w:color w:val="000000" w:themeColor="text1"/>
          <w:lang w:val="es-CR"/>
        </w:rPr>
        <w:t>a;</w:t>
      </w:r>
    </w:p>
    <w:p w14:paraId="62A80257" w14:textId="0049E40C" w:rsidR="001003AC" w:rsidRPr="00F32643" w:rsidRDefault="00046E2D" w:rsidP="001003AC">
      <w:pPr>
        <w:pStyle w:val="citaindirecta"/>
        <w:tabs>
          <w:tab w:val="left" w:pos="567"/>
          <w:tab w:val="left" w:pos="851"/>
          <w:tab w:val="left" w:pos="7213"/>
        </w:tabs>
        <w:ind w:left="0" w:right="-174"/>
        <w:rPr>
          <w:color w:val="000000" w:themeColor="text1"/>
          <w:lang w:val="es-CR"/>
        </w:rPr>
      </w:pPr>
      <w:r>
        <w:rPr>
          <w:color w:val="000000" w:themeColor="text1"/>
          <w:lang w:val="es-CR"/>
        </w:rPr>
        <w:t>Patricia Pérez Goldberg; Jueza, y</w:t>
      </w:r>
      <w:r w:rsidR="001003AC" w:rsidRPr="00F32643">
        <w:rPr>
          <w:color w:val="000000" w:themeColor="text1"/>
          <w:lang w:val="es-CR"/>
        </w:rPr>
        <w:tab/>
      </w:r>
    </w:p>
    <w:p w14:paraId="626EB5B8" w14:textId="77273378" w:rsidR="001003AC" w:rsidRPr="00F32643" w:rsidRDefault="00046E2D" w:rsidP="001003AC">
      <w:pPr>
        <w:tabs>
          <w:tab w:val="left" w:pos="567"/>
          <w:tab w:val="left" w:pos="720"/>
          <w:tab w:val="left" w:pos="851"/>
        </w:tabs>
        <w:ind w:right="-174"/>
        <w:rPr>
          <w:rFonts w:cs="Verdana"/>
          <w:color w:val="000000" w:themeColor="text1"/>
          <w:szCs w:val="20"/>
          <w:lang w:val="es-CR"/>
        </w:rPr>
      </w:pPr>
      <w:r>
        <w:rPr>
          <w:color w:val="000000" w:themeColor="text1"/>
          <w:szCs w:val="20"/>
          <w:lang w:val="es-CR"/>
        </w:rPr>
        <w:t>Rodrigo Mudrovitsch</w:t>
      </w:r>
      <w:r w:rsidR="001003AC" w:rsidRPr="00F32643">
        <w:rPr>
          <w:color w:val="000000" w:themeColor="text1"/>
          <w:szCs w:val="20"/>
          <w:lang w:val="es-CR"/>
        </w:rPr>
        <w:t>, Juez,</w:t>
      </w:r>
    </w:p>
    <w:p w14:paraId="4C3E462F" w14:textId="77777777" w:rsidR="001003AC" w:rsidRPr="00F32643" w:rsidRDefault="001003AC" w:rsidP="001003AC">
      <w:pPr>
        <w:widowControl w:val="0"/>
        <w:tabs>
          <w:tab w:val="left" w:pos="567"/>
          <w:tab w:val="left" w:pos="720"/>
        </w:tabs>
        <w:adjustRightInd w:val="0"/>
        <w:textAlignment w:val="baseline"/>
        <w:rPr>
          <w:rFonts w:cs="Verdana"/>
          <w:color w:val="000000" w:themeColor="text1"/>
          <w:szCs w:val="20"/>
          <w:highlight w:val="yellow"/>
          <w:lang w:val="es-CR" w:eastAsia="es-CR"/>
        </w:rPr>
      </w:pPr>
    </w:p>
    <w:p w14:paraId="0C1759F6" w14:textId="07CEADDD" w:rsidR="001003AC" w:rsidRPr="00F32643" w:rsidRDefault="001003AC" w:rsidP="001003AC">
      <w:pPr>
        <w:pStyle w:val="PrrafodeSentencia"/>
        <w:widowControl w:val="0"/>
        <w:numPr>
          <w:ilvl w:val="0"/>
          <w:numId w:val="0"/>
        </w:numPr>
        <w:tabs>
          <w:tab w:val="left" w:pos="720"/>
        </w:tabs>
        <w:adjustRightInd w:val="0"/>
        <w:textAlignment w:val="baseline"/>
        <w:rPr>
          <w:rFonts w:eastAsia="MS Mincho" w:cs="Verdana"/>
          <w:color w:val="000000" w:themeColor="text1"/>
          <w:spacing w:val="0"/>
          <w:szCs w:val="20"/>
          <w:lang w:eastAsia="es-CR"/>
        </w:rPr>
      </w:pPr>
      <w:r w:rsidRPr="00F32643">
        <w:rPr>
          <w:rFonts w:eastAsia="MS Mincho" w:cs="Verdana"/>
          <w:color w:val="000000" w:themeColor="text1"/>
          <w:spacing w:val="0"/>
          <w:szCs w:val="20"/>
          <w:lang w:eastAsia="es-CR"/>
        </w:rPr>
        <w:t>presente, además,</w:t>
      </w:r>
    </w:p>
    <w:p w14:paraId="76E2E085" w14:textId="77777777" w:rsidR="001003AC" w:rsidRPr="00F32643" w:rsidRDefault="001003AC" w:rsidP="001003AC">
      <w:pPr>
        <w:widowControl w:val="0"/>
        <w:tabs>
          <w:tab w:val="left" w:pos="567"/>
          <w:tab w:val="left" w:pos="720"/>
        </w:tabs>
        <w:adjustRightInd w:val="0"/>
        <w:textAlignment w:val="baseline"/>
        <w:rPr>
          <w:rFonts w:cs="Verdana"/>
          <w:color w:val="000000" w:themeColor="text1"/>
          <w:szCs w:val="20"/>
          <w:highlight w:val="yellow"/>
          <w:lang w:val="es-CR" w:eastAsia="es-CR"/>
        </w:rPr>
      </w:pPr>
    </w:p>
    <w:p w14:paraId="78CC4A52" w14:textId="195A5407" w:rsidR="001003AC" w:rsidRPr="00195F29" w:rsidRDefault="001003AC" w:rsidP="001003AC">
      <w:pPr>
        <w:widowControl w:val="0"/>
        <w:tabs>
          <w:tab w:val="left" w:pos="567"/>
          <w:tab w:val="left" w:pos="720"/>
        </w:tabs>
        <w:adjustRightInd w:val="0"/>
        <w:textAlignment w:val="baseline"/>
        <w:rPr>
          <w:rFonts w:cs="Verdana"/>
          <w:color w:val="000000" w:themeColor="text1"/>
          <w:szCs w:val="20"/>
          <w:lang w:val="es-CR" w:eastAsia="es-CR"/>
        </w:rPr>
      </w:pPr>
      <w:r w:rsidRPr="00195F29">
        <w:rPr>
          <w:rFonts w:cs="Verdana"/>
          <w:color w:val="000000" w:themeColor="text1"/>
          <w:szCs w:val="20"/>
          <w:lang w:val="es-CR" w:eastAsia="es-CR"/>
        </w:rPr>
        <w:t xml:space="preserve">Romina I. Sijniensky, </w:t>
      </w:r>
      <w:proofErr w:type="gramStart"/>
      <w:r w:rsidRPr="00195F29">
        <w:rPr>
          <w:rFonts w:cs="Verdana"/>
          <w:color w:val="000000" w:themeColor="text1"/>
          <w:szCs w:val="20"/>
          <w:lang w:val="es-CR" w:eastAsia="es-CR"/>
        </w:rPr>
        <w:t>Secretaria</w:t>
      </w:r>
      <w:proofErr w:type="gramEnd"/>
      <w:r w:rsidRPr="00195F29">
        <w:rPr>
          <w:rFonts w:cs="Verdana"/>
          <w:color w:val="000000" w:themeColor="text1"/>
          <w:szCs w:val="20"/>
          <w:lang w:val="es-CR" w:eastAsia="es-CR"/>
        </w:rPr>
        <w:t xml:space="preserve"> Adjunta</w:t>
      </w:r>
      <w:r w:rsidRPr="00195F29">
        <w:rPr>
          <w:rFonts w:cs="Verdana"/>
          <w:color w:val="000000" w:themeColor="text1"/>
          <w:lang w:val="es-CR" w:eastAsia="es-CR"/>
        </w:rPr>
        <w:t>,</w:t>
      </w:r>
    </w:p>
    <w:p w14:paraId="504C1D4E" w14:textId="77777777" w:rsidR="001003AC" w:rsidRPr="00195F29" w:rsidRDefault="001003AC" w:rsidP="001003AC">
      <w:pPr>
        <w:pStyle w:val="Textocomentario"/>
        <w:widowControl w:val="0"/>
        <w:tabs>
          <w:tab w:val="left" w:pos="567"/>
          <w:tab w:val="left" w:pos="720"/>
        </w:tabs>
        <w:adjustRightInd w:val="0"/>
        <w:textAlignment w:val="baseline"/>
        <w:rPr>
          <w:rFonts w:cs="Verdana"/>
          <w:strike/>
          <w:color w:val="000000" w:themeColor="text1"/>
          <w:lang w:val="es-CR" w:eastAsia="es-MX"/>
        </w:rPr>
      </w:pPr>
    </w:p>
    <w:p w14:paraId="130D1A5F" w14:textId="55342ADF" w:rsidR="001003AC" w:rsidRPr="00F32643" w:rsidRDefault="001003AC" w:rsidP="001003AC">
      <w:pPr>
        <w:pStyle w:val="Textoindependiente1"/>
        <w:tabs>
          <w:tab w:val="left" w:pos="567"/>
          <w:tab w:val="left" w:pos="720"/>
        </w:tabs>
        <w:adjustRightInd w:val="0"/>
        <w:textAlignment w:val="baseline"/>
        <w:rPr>
          <w:rFonts w:ascii="Verdana" w:hAnsi="Verdana" w:cs="Verdana"/>
          <w:color w:val="000000" w:themeColor="text1"/>
          <w:lang w:val="es-CR" w:eastAsia="es-CR"/>
        </w:rPr>
      </w:pPr>
      <w:r w:rsidRPr="00F32643">
        <w:rPr>
          <w:rFonts w:ascii="Verdana" w:hAnsi="Verdana" w:cs="Verdana"/>
          <w:color w:val="000000" w:themeColor="text1"/>
          <w:lang w:val="es-CR" w:eastAsia="es-CR"/>
        </w:rPr>
        <w:t>de conformidad con el artículo 67 de la Convención Americana sobre Derechos Humanos (en adelante también “la Convención Americana” o “la Convención”) y el artículo 68 del Reglamento de la Corte (en adelante también “el Reglamento”), resuelve la solicitud de interpretación de la S</w:t>
      </w:r>
      <w:bookmarkStart w:id="8" w:name="_Toc424833995"/>
      <w:bookmarkStart w:id="9" w:name="_Toc424834679"/>
      <w:bookmarkStart w:id="10" w:name="_Toc424834746"/>
      <w:bookmarkStart w:id="11" w:name="_Toc427234534"/>
      <w:bookmarkStart w:id="12" w:name="_Toc427342823"/>
      <w:bookmarkStart w:id="13" w:name="_Toc427663809"/>
      <w:bookmarkStart w:id="14" w:name="_Toc427932785"/>
      <w:bookmarkStart w:id="15" w:name="_Toc427943548"/>
      <w:bookmarkStart w:id="16" w:name="_Toc427943722"/>
      <w:bookmarkStart w:id="17" w:name="_Toc431584602"/>
      <w:bookmarkStart w:id="18" w:name="_Toc431584718"/>
      <w:bookmarkStart w:id="19" w:name="_Toc431585023"/>
      <w:bookmarkStart w:id="20" w:name="_Toc431646540"/>
      <w:bookmarkStart w:id="21" w:name="_Toc431834523"/>
      <w:bookmarkStart w:id="22" w:name="_Toc431834619"/>
      <w:bookmarkStart w:id="23" w:name="_Toc308537924"/>
      <w:bookmarkStart w:id="24" w:name="_Toc308538144"/>
      <w:bookmarkStart w:id="25" w:name="_Toc434849616"/>
      <w:bookmarkStart w:id="26" w:name="_Toc434849911"/>
      <w:bookmarkStart w:id="27" w:name="_Toc434850390"/>
      <w:bookmarkStart w:id="28" w:name="_Toc469594898"/>
      <w:bookmarkStart w:id="29" w:name="_Toc469664207"/>
      <w:bookmarkStart w:id="30" w:name="_Toc469664469"/>
      <w:bookmarkStart w:id="31" w:name="_Toc469940914"/>
      <w:r w:rsidRPr="00F32643">
        <w:rPr>
          <w:rFonts w:ascii="Verdana" w:hAnsi="Verdana" w:cs="Verdana"/>
          <w:color w:val="000000" w:themeColor="text1"/>
          <w:lang w:val="es-CR" w:eastAsia="es-CR"/>
        </w:rPr>
        <w:t>entencia sobre Fondo</w:t>
      </w:r>
      <w:r w:rsidR="00C04293" w:rsidRPr="00F32643">
        <w:rPr>
          <w:rFonts w:ascii="Verdana" w:hAnsi="Verdana" w:cs="Verdana"/>
          <w:color w:val="000000" w:themeColor="text1"/>
          <w:lang w:val="es-CR" w:eastAsia="es-CR"/>
        </w:rPr>
        <w:t>,</w:t>
      </w:r>
      <w:r w:rsidRPr="00F32643">
        <w:rPr>
          <w:rFonts w:ascii="Verdana" w:hAnsi="Verdana" w:cs="Verdana"/>
          <w:color w:val="000000" w:themeColor="text1"/>
          <w:lang w:val="es-CR" w:eastAsia="es-CR"/>
        </w:rPr>
        <w:t xml:space="preserve"> Reparaciones</w:t>
      </w:r>
      <w:r w:rsidR="00C04293" w:rsidRPr="00F32643">
        <w:rPr>
          <w:rFonts w:ascii="Verdana" w:hAnsi="Verdana" w:cs="Verdana"/>
          <w:color w:val="000000" w:themeColor="text1"/>
          <w:lang w:val="es-CR" w:eastAsia="es-CR"/>
        </w:rPr>
        <w:t xml:space="preserve"> y Costas</w:t>
      </w:r>
      <w:r w:rsidRPr="00F32643">
        <w:rPr>
          <w:rFonts w:ascii="Verdana" w:hAnsi="Verdana" w:cs="Verdana"/>
          <w:color w:val="000000" w:themeColor="text1"/>
          <w:lang w:val="es-CR" w:eastAsia="es-CR"/>
        </w:rPr>
        <w:t xml:space="preserve"> emitida por este Tribunal el </w:t>
      </w:r>
      <w:r w:rsidR="00046E2D">
        <w:rPr>
          <w:rFonts w:ascii="Verdana" w:hAnsi="Verdana" w:cs="Verdana"/>
          <w:color w:val="000000" w:themeColor="text1"/>
          <w:lang w:val="es-CR" w:eastAsia="es-CR"/>
        </w:rPr>
        <w:t>21</w:t>
      </w:r>
      <w:r w:rsidR="003568A9" w:rsidRPr="00F32643">
        <w:rPr>
          <w:rFonts w:ascii="Verdana" w:hAnsi="Verdana" w:cs="Verdana"/>
          <w:color w:val="000000" w:themeColor="text1"/>
          <w:lang w:val="es-CR" w:eastAsia="es-CR"/>
        </w:rPr>
        <w:t xml:space="preserve"> de noviembre de 202</w:t>
      </w:r>
      <w:r w:rsidR="00046E2D">
        <w:rPr>
          <w:rFonts w:ascii="Verdana" w:hAnsi="Verdana" w:cs="Verdana"/>
          <w:color w:val="000000" w:themeColor="text1"/>
          <w:lang w:val="es-CR" w:eastAsia="es-CR"/>
        </w:rPr>
        <w:t>2</w:t>
      </w:r>
      <w:r w:rsidRPr="00F32643">
        <w:rPr>
          <w:rFonts w:ascii="Verdana" w:hAnsi="Verdana" w:cs="Verdana"/>
          <w:color w:val="000000" w:themeColor="text1"/>
          <w:lang w:val="es-CR" w:eastAsia="es-CR"/>
        </w:rPr>
        <w:t xml:space="preserve">, interpuesta el </w:t>
      </w:r>
      <w:r w:rsidR="00DB541B" w:rsidRPr="00F32643">
        <w:rPr>
          <w:rFonts w:ascii="Verdana" w:hAnsi="Verdana" w:cs="Verdana"/>
          <w:color w:val="000000" w:themeColor="text1"/>
          <w:lang w:val="es-CR" w:eastAsia="es-CR"/>
        </w:rPr>
        <w:t>2</w:t>
      </w:r>
      <w:r w:rsidR="009F1E1E">
        <w:rPr>
          <w:rFonts w:ascii="Verdana" w:hAnsi="Verdana" w:cs="Verdana"/>
          <w:color w:val="000000" w:themeColor="text1"/>
          <w:lang w:val="es-CR" w:eastAsia="es-CR"/>
        </w:rPr>
        <w:t>0</w:t>
      </w:r>
      <w:r w:rsidRPr="00F32643">
        <w:rPr>
          <w:rFonts w:ascii="Verdana" w:hAnsi="Verdana" w:cs="Verdana"/>
          <w:color w:val="000000" w:themeColor="text1"/>
          <w:lang w:val="es-CR" w:eastAsia="es-CR"/>
        </w:rPr>
        <w:t xml:space="preserve"> de </w:t>
      </w:r>
      <w:r w:rsidR="009F1E1E">
        <w:rPr>
          <w:rFonts w:ascii="Verdana" w:hAnsi="Verdana" w:cs="Verdana"/>
          <w:color w:val="000000" w:themeColor="text1"/>
          <w:lang w:val="es-CR" w:eastAsia="es-CR"/>
        </w:rPr>
        <w:t>febrero</w:t>
      </w:r>
      <w:r w:rsidRPr="00F32643">
        <w:rPr>
          <w:rFonts w:ascii="Verdana" w:hAnsi="Verdana" w:cs="Verdana"/>
          <w:color w:val="000000" w:themeColor="text1"/>
          <w:lang w:val="es-CR" w:eastAsia="es-CR"/>
        </w:rPr>
        <w:t xml:space="preserve"> de 202</w:t>
      </w:r>
      <w:r w:rsidR="009F1E1E">
        <w:rPr>
          <w:rFonts w:ascii="Verdana" w:hAnsi="Verdana" w:cs="Verdana"/>
          <w:color w:val="000000" w:themeColor="text1"/>
          <w:lang w:val="es-CR" w:eastAsia="es-CR"/>
        </w:rPr>
        <w:t>3</w:t>
      </w:r>
      <w:r w:rsidRPr="00F32643">
        <w:rPr>
          <w:rFonts w:ascii="Verdana" w:hAnsi="Verdana" w:cs="Verdana"/>
          <w:color w:val="000000" w:themeColor="text1"/>
          <w:lang w:val="es-CR" w:eastAsia="es-CR"/>
        </w:rPr>
        <w:t xml:space="preserve"> por la República de</w:t>
      </w:r>
      <w:r w:rsidR="00046E2D">
        <w:rPr>
          <w:rFonts w:ascii="Verdana" w:hAnsi="Verdana" w:cs="Verdana"/>
          <w:color w:val="000000" w:themeColor="text1"/>
          <w:lang w:val="es-CR" w:eastAsia="es-CR"/>
        </w:rPr>
        <w:t>l</w:t>
      </w:r>
      <w:r w:rsidRPr="00F32643">
        <w:rPr>
          <w:rFonts w:ascii="Verdana" w:hAnsi="Verdana" w:cs="Verdana"/>
          <w:color w:val="000000" w:themeColor="text1"/>
          <w:lang w:val="es-CR" w:eastAsia="es-CR"/>
        </w:rPr>
        <w:t xml:space="preserve"> </w:t>
      </w:r>
      <w:r w:rsidR="00046E2D">
        <w:rPr>
          <w:rFonts w:ascii="Verdana" w:hAnsi="Verdana" w:cs="Verdana"/>
          <w:color w:val="000000" w:themeColor="text1"/>
          <w:lang w:val="es-CR" w:eastAsia="es-CR"/>
        </w:rPr>
        <w:t>Paraguay</w:t>
      </w:r>
      <w:r w:rsidRPr="00F32643">
        <w:rPr>
          <w:rFonts w:ascii="Verdana" w:hAnsi="Verdana" w:cs="Verdana"/>
          <w:color w:val="000000" w:themeColor="text1"/>
          <w:lang w:val="es-CR" w:eastAsia="es-CR"/>
        </w:rPr>
        <w:t xml:space="preserve"> (en adelante también “el Estado” o “</w:t>
      </w:r>
      <w:r w:rsidR="00046E2D">
        <w:rPr>
          <w:rFonts w:ascii="Verdana" w:hAnsi="Verdana" w:cs="Verdana"/>
          <w:color w:val="000000" w:themeColor="text1"/>
          <w:lang w:val="es-CR" w:eastAsia="es-CR"/>
        </w:rPr>
        <w:t>Paraguay</w:t>
      </w:r>
      <w:r w:rsidRPr="00F32643">
        <w:rPr>
          <w:rFonts w:ascii="Verdana" w:hAnsi="Verdana" w:cs="Verdana"/>
          <w:color w:val="000000" w:themeColor="text1"/>
          <w:lang w:val="es-CR" w:eastAsia="es-CR"/>
        </w:rPr>
        <w:t>”).</w:t>
      </w:r>
      <w:bookmarkStart w:id="32" w:name="_Toc4402698"/>
      <w:bookmarkStart w:id="33" w:name="_Toc4402937"/>
      <w:bookmarkStart w:id="34" w:name="_Toc8209824"/>
    </w:p>
    <w:p w14:paraId="3028B8B7" w14:textId="77777777" w:rsidR="00150B6B" w:rsidRDefault="00150B6B" w:rsidP="001003AC">
      <w:pPr>
        <w:pStyle w:val="Textoindependiente1"/>
        <w:tabs>
          <w:tab w:val="left" w:pos="567"/>
          <w:tab w:val="left" w:pos="720"/>
        </w:tabs>
        <w:adjustRightInd w:val="0"/>
        <w:textAlignment w:val="baseline"/>
        <w:rPr>
          <w:rFonts w:ascii="Verdana" w:hAnsi="Verdana" w:cs="Verdana"/>
          <w:color w:val="000000" w:themeColor="text1"/>
          <w:lang w:val="es-CR" w:eastAsia="es-CR"/>
        </w:rPr>
      </w:pPr>
    </w:p>
    <w:p w14:paraId="3900BA21" w14:textId="77777777" w:rsidR="009F1E1E" w:rsidRDefault="009F1E1E" w:rsidP="001003AC">
      <w:pPr>
        <w:pStyle w:val="Textoindependiente1"/>
        <w:tabs>
          <w:tab w:val="left" w:pos="567"/>
          <w:tab w:val="left" w:pos="720"/>
        </w:tabs>
        <w:adjustRightInd w:val="0"/>
        <w:textAlignment w:val="baseline"/>
        <w:rPr>
          <w:rFonts w:ascii="Verdana" w:hAnsi="Verdana" w:cs="Verdana"/>
          <w:color w:val="000000" w:themeColor="text1"/>
          <w:lang w:val="es-CR" w:eastAsia="es-CR"/>
        </w:rPr>
      </w:pPr>
    </w:p>
    <w:p w14:paraId="1ACE74EC" w14:textId="77777777" w:rsidR="009F1E1E" w:rsidRDefault="009F1E1E" w:rsidP="001003AC">
      <w:pPr>
        <w:pStyle w:val="Textoindependiente1"/>
        <w:tabs>
          <w:tab w:val="left" w:pos="567"/>
          <w:tab w:val="left" w:pos="720"/>
        </w:tabs>
        <w:adjustRightInd w:val="0"/>
        <w:textAlignment w:val="baseline"/>
        <w:rPr>
          <w:rFonts w:ascii="Verdana" w:hAnsi="Verdana" w:cs="Verdana"/>
          <w:color w:val="000000" w:themeColor="text1"/>
          <w:lang w:val="es-CR" w:eastAsia="es-CR"/>
        </w:rPr>
      </w:pPr>
    </w:p>
    <w:p w14:paraId="6C80251E" w14:textId="77777777" w:rsidR="009F1E1E" w:rsidRDefault="009F1E1E" w:rsidP="001003AC">
      <w:pPr>
        <w:pStyle w:val="Textoindependiente1"/>
        <w:tabs>
          <w:tab w:val="left" w:pos="567"/>
          <w:tab w:val="left" w:pos="720"/>
        </w:tabs>
        <w:adjustRightInd w:val="0"/>
        <w:textAlignment w:val="baseline"/>
        <w:rPr>
          <w:rFonts w:ascii="Verdana" w:hAnsi="Verdana" w:cs="Verdana"/>
          <w:color w:val="000000" w:themeColor="text1"/>
          <w:lang w:val="es-CR" w:eastAsia="es-CR"/>
        </w:rPr>
      </w:pPr>
    </w:p>
    <w:p w14:paraId="69D4B2F9" w14:textId="77777777" w:rsidR="009F1E1E" w:rsidRDefault="009F1E1E" w:rsidP="001003AC">
      <w:pPr>
        <w:pStyle w:val="Textoindependiente1"/>
        <w:tabs>
          <w:tab w:val="left" w:pos="567"/>
          <w:tab w:val="left" w:pos="720"/>
        </w:tabs>
        <w:adjustRightInd w:val="0"/>
        <w:textAlignment w:val="baseline"/>
        <w:rPr>
          <w:rFonts w:ascii="Verdana" w:hAnsi="Verdana" w:cs="Verdana"/>
          <w:color w:val="000000" w:themeColor="text1"/>
          <w:lang w:val="es-CR" w:eastAsia="es-CR"/>
        </w:rPr>
      </w:pPr>
    </w:p>
    <w:p w14:paraId="0B84ED7D" w14:textId="46A2E727" w:rsidR="00094257" w:rsidRDefault="00094257">
      <w:pPr>
        <w:spacing w:after="160" w:line="259" w:lineRule="auto"/>
        <w:jc w:val="left"/>
        <w:rPr>
          <w:rFonts w:cs="Verdana"/>
          <w:color w:val="000000" w:themeColor="text1"/>
          <w:szCs w:val="20"/>
          <w:lang w:val="es-CR" w:eastAsia="es-CR"/>
        </w:rPr>
      </w:pPr>
      <w:r>
        <w:rPr>
          <w:rFonts w:cs="Verdana"/>
          <w:color w:val="000000" w:themeColor="text1"/>
          <w:lang w:val="es-CR" w:eastAsia="es-CR"/>
        </w:rPr>
        <w:br w:type="page"/>
      </w:r>
    </w:p>
    <w:p w14:paraId="728AA2A0" w14:textId="77777777" w:rsidR="009F1E1E" w:rsidRPr="00F32643" w:rsidRDefault="009F1E1E" w:rsidP="001003AC">
      <w:pPr>
        <w:pStyle w:val="Textoindependiente1"/>
        <w:tabs>
          <w:tab w:val="left" w:pos="567"/>
          <w:tab w:val="left" w:pos="720"/>
        </w:tabs>
        <w:adjustRightInd w:val="0"/>
        <w:textAlignment w:val="baseline"/>
        <w:rPr>
          <w:rFonts w:ascii="Verdana" w:hAnsi="Verdana" w:cs="Verdana"/>
          <w:color w:val="000000" w:themeColor="text1"/>
          <w:lang w:val="es-CR" w:eastAsia="es-CR"/>
        </w:rPr>
      </w:pPr>
    </w:p>
    <w:p w14:paraId="7C3B89B5" w14:textId="5BF04D73" w:rsidR="001003AC" w:rsidRPr="00F32643" w:rsidRDefault="001003AC" w:rsidP="009F1E1E">
      <w:pPr>
        <w:pStyle w:val="Ttulo1"/>
        <w:spacing w:before="0" w:after="0"/>
        <w:rPr>
          <w:color w:val="000000" w:themeColor="text1"/>
          <w:lang w:val="es-CR"/>
        </w:rPr>
      </w:pPr>
      <w:bookmarkStart w:id="35" w:name="_Toc48736672"/>
      <w:bookmarkStart w:id="36" w:name="_Toc57872373"/>
      <w:r w:rsidRPr="00F32643">
        <w:rPr>
          <w:color w:val="000000" w:themeColor="text1"/>
          <w:lang w:val="es-CR"/>
        </w:rPr>
        <w:t>I</w:t>
      </w:r>
      <w:r w:rsidRPr="00F32643">
        <w:rPr>
          <w:color w:val="000000" w:themeColor="text1"/>
          <w:lang w:val="es-CR"/>
        </w:rPr>
        <w:br/>
      </w: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r w:rsidRPr="00F32643">
        <w:rPr>
          <w:color w:val="000000" w:themeColor="text1"/>
          <w:lang w:val="es-CR"/>
        </w:rPr>
        <w:t>SOLICITUD DE INTERPRETACIÓN Y PROCEDIMIENTO ANTE LA CORTE</w:t>
      </w:r>
    </w:p>
    <w:p w14:paraId="131ED706" w14:textId="77777777" w:rsidR="001003AC" w:rsidRPr="00F32643" w:rsidRDefault="001003AC" w:rsidP="001003AC">
      <w:pPr>
        <w:pStyle w:val="Sinespaciado"/>
        <w:tabs>
          <w:tab w:val="left" w:pos="567"/>
        </w:tabs>
        <w:contextualSpacing/>
        <w:jc w:val="both"/>
        <w:rPr>
          <w:rFonts w:ascii="Verdana" w:hAnsi="Verdana"/>
          <w:color w:val="000000" w:themeColor="text1"/>
          <w:sz w:val="20"/>
          <w:szCs w:val="20"/>
          <w:lang w:val="es-CR"/>
        </w:rPr>
      </w:pPr>
    </w:p>
    <w:p w14:paraId="212BB4CF" w14:textId="5752A69D" w:rsidR="001003AC" w:rsidRPr="00F32643" w:rsidRDefault="001003AC" w:rsidP="001003AC">
      <w:pPr>
        <w:pStyle w:val="PrrafodeSentencia"/>
        <w:rPr>
          <w:b/>
          <w:color w:val="000000" w:themeColor="text1"/>
          <w:spacing w:val="0"/>
          <w:szCs w:val="20"/>
        </w:rPr>
      </w:pPr>
      <w:r w:rsidRPr="00F32643">
        <w:rPr>
          <w:color w:val="000000" w:themeColor="text1"/>
          <w:spacing w:val="0"/>
          <w:szCs w:val="20"/>
        </w:rPr>
        <w:t xml:space="preserve">El </w:t>
      </w:r>
      <w:r w:rsidR="009F1E1E">
        <w:rPr>
          <w:color w:val="000000" w:themeColor="text1"/>
          <w:spacing w:val="0"/>
          <w:szCs w:val="20"/>
        </w:rPr>
        <w:t>21</w:t>
      </w:r>
      <w:r w:rsidR="00B31096" w:rsidRPr="00F32643">
        <w:rPr>
          <w:color w:val="000000" w:themeColor="text1"/>
          <w:spacing w:val="0"/>
          <w:szCs w:val="20"/>
        </w:rPr>
        <w:t xml:space="preserve"> de noviembre de 202</w:t>
      </w:r>
      <w:r w:rsidR="009F1E1E">
        <w:rPr>
          <w:color w:val="000000" w:themeColor="text1"/>
          <w:spacing w:val="0"/>
          <w:szCs w:val="20"/>
        </w:rPr>
        <w:t>2</w:t>
      </w:r>
      <w:r w:rsidRPr="00F32643">
        <w:rPr>
          <w:color w:val="000000" w:themeColor="text1"/>
          <w:spacing w:val="0"/>
          <w:szCs w:val="20"/>
        </w:rPr>
        <w:t xml:space="preserve"> la Corte Interamericana emitió la Sentencia en el presente caso, la cual fue notificada a las partes y a la Comisión Interamericana de Derechos Humanos (en adelante también </w:t>
      </w:r>
      <w:r w:rsidR="009F1E1E">
        <w:rPr>
          <w:color w:val="000000" w:themeColor="text1"/>
          <w:spacing w:val="0"/>
          <w:szCs w:val="20"/>
        </w:rPr>
        <w:t xml:space="preserve">“la Comisión Interamericana” o </w:t>
      </w:r>
      <w:r w:rsidRPr="00F32643">
        <w:rPr>
          <w:color w:val="000000" w:themeColor="text1"/>
          <w:spacing w:val="0"/>
          <w:szCs w:val="20"/>
        </w:rPr>
        <w:t xml:space="preserve">“la Comisión”) el </w:t>
      </w:r>
      <w:r w:rsidR="009F1E1E">
        <w:rPr>
          <w:color w:val="000000" w:themeColor="text1"/>
          <w:spacing w:val="0"/>
          <w:szCs w:val="20"/>
        </w:rPr>
        <w:t>31 de enero de 2023</w:t>
      </w:r>
      <w:r w:rsidRPr="00F32643">
        <w:rPr>
          <w:color w:val="000000" w:themeColor="text1"/>
          <w:spacing w:val="0"/>
          <w:szCs w:val="20"/>
        </w:rPr>
        <w:t>.</w:t>
      </w:r>
    </w:p>
    <w:p w14:paraId="24C42272" w14:textId="77777777" w:rsidR="001003AC" w:rsidRPr="00F32643" w:rsidRDefault="001003AC" w:rsidP="001003AC">
      <w:pPr>
        <w:rPr>
          <w:color w:val="000000" w:themeColor="text1"/>
          <w:lang w:val="es-CR" w:eastAsia="es-MX"/>
        </w:rPr>
      </w:pPr>
    </w:p>
    <w:p w14:paraId="136A4090" w14:textId="7F94BC92" w:rsidR="001003AC" w:rsidRPr="00F32643" w:rsidRDefault="001003AC" w:rsidP="001003AC">
      <w:pPr>
        <w:pStyle w:val="PrrafodeSentencia"/>
        <w:rPr>
          <w:color w:val="000000" w:themeColor="text1"/>
          <w:spacing w:val="0"/>
        </w:rPr>
      </w:pPr>
      <w:r w:rsidRPr="00F32643">
        <w:rPr>
          <w:color w:val="000000" w:themeColor="text1"/>
          <w:spacing w:val="0"/>
        </w:rPr>
        <w:t xml:space="preserve">El </w:t>
      </w:r>
      <w:r w:rsidR="009F1E1E">
        <w:rPr>
          <w:color w:val="000000" w:themeColor="text1"/>
          <w:spacing w:val="0"/>
        </w:rPr>
        <w:t>20 de febrero de 2023</w:t>
      </w:r>
      <w:r w:rsidRPr="00F32643">
        <w:rPr>
          <w:color w:val="000000" w:themeColor="text1"/>
          <w:spacing w:val="0"/>
        </w:rPr>
        <w:t xml:space="preserve"> el Estado sometió una solicitud de </w:t>
      </w:r>
      <w:r w:rsidR="001F0EE4" w:rsidRPr="00F32643">
        <w:rPr>
          <w:color w:val="000000" w:themeColor="text1"/>
          <w:spacing w:val="0"/>
        </w:rPr>
        <w:t xml:space="preserve">interpretación de la Sentencia. </w:t>
      </w:r>
      <w:r w:rsidR="00C01BEE">
        <w:rPr>
          <w:color w:val="000000" w:themeColor="text1"/>
          <w:spacing w:val="0"/>
        </w:rPr>
        <w:t>Paraguay</w:t>
      </w:r>
      <w:r w:rsidR="00EB6306" w:rsidRPr="00F32643">
        <w:rPr>
          <w:color w:val="000000" w:themeColor="text1"/>
          <w:spacing w:val="0"/>
        </w:rPr>
        <w:t xml:space="preserve"> solicitó </w:t>
      </w:r>
      <w:r w:rsidR="00C01BEE">
        <w:rPr>
          <w:color w:val="000000" w:themeColor="text1"/>
          <w:spacing w:val="0"/>
        </w:rPr>
        <w:t>“la rectificación de un error de cálculo realizado para la determinación del monto de dinero fijado en concepto de daño material”</w:t>
      </w:r>
      <w:r w:rsidR="00F46387" w:rsidRPr="00F32643">
        <w:rPr>
          <w:color w:val="000000" w:themeColor="text1"/>
          <w:spacing w:val="0"/>
        </w:rPr>
        <w:t>.</w:t>
      </w:r>
    </w:p>
    <w:p w14:paraId="6E3BA349" w14:textId="77777777" w:rsidR="001003AC" w:rsidRPr="00F32643" w:rsidRDefault="001003AC" w:rsidP="001003AC">
      <w:pPr>
        <w:rPr>
          <w:color w:val="000000" w:themeColor="text1"/>
          <w:lang w:val="es-CR" w:eastAsia="es-MX"/>
        </w:rPr>
      </w:pPr>
    </w:p>
    <w:p w14:paraId="00F41299" w14:textId="02D532F1" w:rsidR="001003AC" w:rsidRPr="00F32643" w:rsidRDefault="001003AC" w:rsidP="001003AC">
      <w:pPr>
        <w:pStyle w:val="PrrafodeSentencia"/>
        <w:rPr>
          <w:color w:val="000000" w:themeColor="text1"/>
          <w:spacing w:val="0"/>
        </w:rPr>
      </w:pPr>
      <w:r w:rsidRPr="00F32643">
        <w:rPr>
          <w:color w:val="000000" w:themeColor="text1"/>
          <w:spacing w:val="0"/>
        </w:rPr>
        <w:t xml:space="preserve">El </w:t>
      </w:r>
      <w:r w:rsidR="00C01BEE">
        <w:rPr>
          <w:color w:val="000000" w:themeColor="text1"/>
          <w:spacing w:val="0"/>
        </w:rPr>
        <w:t>5 de mayo de 2023</w:t>
      </w:r>
      <w:r w:rsidRPr="00F32643">
        <w:rPr>
          <w:color w:val="000000" w:themeColor="text1"/>
          <w:spacing w:val="0"/>
        </w:rPr>
        <w:t>, de conformidad con el artículo 68.2 del Reglamento y siguiendo instrucciones de la Presiden</w:t>
      </w:r>
      <w:r w:rsidR="00F11BA5" w:rsidRPr="00F32643">
        <w:rPr>
          <w:color w:val="000000" w:themeColor="text1"/>
          <w:spacing w:val="0"/>
        </w:rPr>
        <w:t>cia</w:t>
      </w:r>
      <w:r w:rsidRPr="00F32643">
        <w:rPr>
          <w:color w:val="000000" w:themeColor="text1"/>
          <w:spacing w:val="0"/>
        </w:rPr>
        <w:t xml:space="preserve"> de la Corte, la Secretaría de la Corte transmitió la referida solicitud de interpretación </w:t>
      </w:r>
      <w:r w:rsidR="00094257">
        <w:rPr>
          <w:color w:val="000000" w:themeColor="text1"/>
          <w:spacing w:val="0"/>
        </w:rPr>
        <w:t>a la representación</w:t>
      </w:r>
      <w:r w:rsidRPr="00F32643">
        <w:rPr>
          <w:color w:val="000000" w:themeColor="text1"/>
          <w:spacing w:val="0"/>
        </w:rPr>
        <w:t xml:space="preserve"> de la víctima (en adelante “</w:t>
      </w:r>
      <w:r w:rsidR="00F173B9">
        <w:rPr>
          <w:color w:val="000000" w:themeColor="text1"/>
          <w:spacing w:val="0"/>
        </w:rPr>
        <w:t>el</w:t>
      </w:r>
      <w:r w:rsidR="00F173B9" w:rsidRPr="00F32643">
        <w:rPr>
          <w:color w:val="000000" w:themeColor="text1"/>
          <w:spacing w:val="0"/>
        </w:rPr>
        <w:t xml:space="preserve"> </w:t>
      </w:r>
      <w:r w:rsidRPr="00F32643">
        <w:rPr>
          <w:color w:val="000000" w:themeColor="text1"/>
          <w:spacing w:val="0"/>
        </w:rPr>
        <w:t>representante”)</w:t>
      </w:r>
      <w:r w:rsidRPr="00F32643">
        <w:rPr>
          <w:rStyle w:val="Refdenotaalpie"/>
          <w:color w:val="000000" w:themeColor="text1"/>
          <w:spacing w:val="0"/>
        </w:rPr>
        <w:footnoteReference w:id="1"/>
      </w:r>
      <w:r w:rsidRPr="00F32643">
        <w:rPr>
          <w:color w:val="000000" w:themeColor="text1"/>
          <w:spacing w:val="0"/>
        </w:rPr>
        <w:t xml:space="preserve"> y a la Comisión</w:t>
      </w:r>
      <w:r w:rsidR="000054EB" w:rsidRPr="00F32643">
        <w:rPr>
          <w:color w:val="000000" w:themeColor="text1"/>
          <w:spacing w:val="0"/>
        </w:rPr>
        <w:t xml:space="preserve"> Interamericana</w:t>
      </w:r>
      <w:r w:rsidRPr="00F32643">
        <w:rPr>
          <w:color w:val="000000" w:themeColor="text1"/>
          <w:spacing w:val="0"/>
        </w:rPr>
        <w:t xml:space="preserve">, y les otorgó un plazo para que, a más tardar el </w:t>
      </w:r>
      <w:r w:rsidR="00C01BEE">
        <w:rPr>
          <w:color w:val="000000" w:themeColor="text1"/>
          <w:spacing w:val="0"/>
        </w:rPr>
        <w:t>19 de mayo de 2023</w:t>
      </w:r>
      <w:r w:rsidRPr="00F32643">
        <w:rPr>
          <w:color w:val="000000" w:themeColor="text1"/>
          <w:spacing w:val="0"/>
        </w:rPr>
        <w:t xml:space="preserve">, presentaran por escrito las observaciones que estimaran pertinentes. </w:t>
      </w:r>
      <w:r w:rsidR="008A18CE" w:rsidRPr="00F32643">
        <w:rPr>
          <w:color w:val="000000" w:themeColor="text1"/>
          <w:spacing w:val="0"/>
        </w:rPr>
        <w:t xml:space="preserve">El </w:t>
      </w:r>
      <w:r w:rsidR="00C01BEE">
        <w:rPr>
          <w:color w:val="000000" w:themeColor="text1"/>
          <w:spacing w:val="0"/>
        </w:rPr>
        <w:t>19 de mayo de 2023</w:t>
      </w:r>
      <w:r w:rsidRPr="00F32643">
        <w:rPr>
          <w:color w:val="000000" w:themeColor="text1"/>
          <w:spacing w:val="0"/>
        </w:rPr>
        <w:t xml:space="preserve"> </w:t>
      </w:r>
      <w:r w:rsidR="00F173B9">
        <w:rPr>
          <w:color w:val="000000" w:themeColor="text1"/>
          <w:spacing w:val="0"/>
        </w:rPr>
        <w:t>el</w:t>
      </w:r>
      <w:r w:rsidR="00F173B9" w:rsidRPr="00F32643">
        <w:rPr>
          <w:color w:val="000000" w:themeColor="text1"/>
          <w:spacing w:val="0"/>
        </w:rPr>
        <w:t xml:space="preserve"> </w:t>
      </w:r>
      <w:r w:rsidRPr="00F32643">
        <w:rPr>
          <w:color w:val="000000" w:themeColor="text1"/>
          <w:spacing w:val="0"/>
        </w:rPr>
        <w:t>representante y la Comisión remitieron sus</w:t>
      </w:r>
      <w:r w:rsidR="00EF5A05" w:rsidRPr="00F32643">
        <w:rPr>
          <w:color w:val="000000" w:themeColor="text1"/>
          <w:spacing w:val="0"/>
        </w:rPr>
        <w:t xml:space="preserve"> respectivas</w:t>
      </w:r>
      <w:r w:rsidRPr="00F32643">
        <w:rPr>
          <w:color w:val="000000" w:themeColor="text1"/>
          <w:spacing w:val="0"/>
        </w:rPr>
        <w:t xml:space="preserve"> observaciones.</w:t>
      </w:r>
    </w:p>
    <w:p w14:paraId="2E7A1A6D" w14:textId="77777777" w:rsidR="001003AC" w:rsidRPr="00F32643" w:rsidRDefault="001003AC" w:rsidP="001003AC">
      <w:pPr>
        <w:rPr>
          <w:color w:val="000000" w:themeColor="text1"/>
          <w:szCs w:val="20"/>
          <w:lang w:val="es-CR" w:eastAsia="es-MX"/>
        </w:rPr>
      </w:pPr>
    </w:p>
    <w:p w14:paraId="1D548CD6" w14:textId="77777777" w:rsidR="001003AC" w:rsidRPr="00F32643" w:rsidRDefault="001003AC" w:rsidP="001003AC">
      <w:pPr>
        <w:pStyle w:val="Ttulo1"/>
        <w:spacing w:before="0" w:after="0"/>
        <w:rPr>
          <w:color w:val="000000" w:themeColor="text1"/>
          <w:lang w:val="es-CR"/>
        </w:rPr>
      </w:pPr>
      <w:bookmarkStart w:id="37" w:name="_Toc424834680"/>
      <w:bookmarkStart w:id="38" w:name="_Toc427932786"/>
      <w:bookmarkStart w:id="39" w:name="_Toc431584603"/>
      <w:bookmarkStart w:id="40" w:name="_Toc434850391"/>
      <w:bookmarkStart w:id="41" w:name="_Toc469593448"/>
      <w:bookmarkStart w:id="42" w:name="_Toc469594431"/>
      <w:bookmarkStart w:id="43" w:name="_Toc469594533"/>
      <w:bookmarkStart w:id="44" w:name="_Toc469594796"/>
      <w:bookmarkStart w:id="45" w:name="_Toc469594899"/>
      <w:bookmarkStart w:id="46" w:name="_Toc469940915"/>
      <w:bookmarkStart w:id="47" w:name="_Toc4402699"/>
      <w:bookmarkStart w:id="48" w:name="_Toc4402938"/>
      <w:bookmarkStart w:id="49" w:name="_Toc8209825"/>
      <w:bookmarkStart w:id="50" w:name="_Toc48736673"/>
      <w:bookmarkStart w:id="51" w:name="_Toc57872374"/>
      <w:r w:rsidRPr="00F32643">
        <w:rPr>
          <w:color w:val="000000" w:themeColor="text1"/>
          <w:lang w:val="es-CR"/>
        </w:rPr>
        <w:t>II</w:t>
      </w:r>
      <w:bookmarkStart w:id="52" w:name="_Toc424833997"/>
      <w:bookmarkStart w:id="53" w:name="_Toc424834681"/>
      <w:bookmarkStart w:id="54" w:name="_Toc424834748"/>
      <w:bookmarkStart w:id="55" w:name="_Toc427342825"/>
      <w:bookmarkStart w:id="56" w:name="_Toc427663811"/>
      <w:bookmarkStart w:id="57" w:name="_Toc427932787"/>
      <w:bookmarkStart w:id="58" w:name="_Toc427943550"/>
      <w:bookmarkStart w:id="59" w:name="_Toc427943724"/>
      <w:bookmarkStart w:id="60" w:name="_Toc431584604"/>
      <w:bookmarkStart w:id="61" w:name="_Toc431584720"/>
      <w:bookmarkStart w:id="62" w:name="_Toc431585025"/>
      <w:bookmarkStart w:id="63" w:name="_Toc431646542"/>
      <w:bookmarkStart w:id="64" w:name="_Toc431834525"/>
      <w:bookmarkStart w:id="65" w:name="_Toc431834621"/>
      <w:bookmarkStart w:id="66" w:name="_Toc308537926"/>
      <w:bookmarkStart w:id="67" w:name="_Toc308538146"/>
      <w:bookmarkStart w:id="68" w:name="_Toc434849913"/>
      <w:bookmarkStart w:id="69" w:name="_Toc434850392"/>
      <w:bookmarkStart w:id="70" w:name="_Toc469594900"/>
      <w:bookmarkStart w:id="71" w:name="_Toc469664209"/>
      <w:bookmarkStart w:id="72" w:name="_Toc469664471"/>
      <w:bookmarkStart w:id="73" w:name="_Toc469940916"/>
      <w:bookmarkEnd w:id="37"/>
      <w:bookmarkEnd w:id="38"/>
      <w:bookmarkEnd w:id="39"/>
      <w:bookmarkEnd w:id="40"/>
      <w:bookmarkEnd w:id="41"/>
      <w:bookmarkEnd w:id="42"/>
      <w:bookmarkEnd w:id="43"/>
      <w:bookmarkEnd w:id="44"/>
      <w:bookmarkEnd w:id="45"/>
      <w:bookmarkEnd w:id="46"/>
      <w:r w:rsidRPr="00F32643">
        <w:rPr>
          <w:color w:val="000000" w:themeColor="text1"/>
          <w:lang w:val="es-CR"/>
        </w:rPr>
        <w:br/>
      </w:r>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r w:rsidRPr="00F32643">
        <w:rPr>
          <w:color w:val="000000" w:themeColor="text1"/>
          <w:lang w:val="es-CR"/>
        </w:rPr>
        <w:t>Competencia</w:t>
      </w:r>
    </w:p>
    <w:p w14:paraId="4FABA66D" w14:textId="77777777" w:rsidR="001003AC" w:rsidRPr="00F32643" w:rsidRDefault="001003AC" w:rsidP="001003AC">
      <w:pPr>
        <w:contextualSpacing/>
        <w:rPr>
          <w:color w:val="000000" w:themeColor="text1"/>
          <w:szCs w:val="20"/>
          <w:lang w:val="es-CR"/>
        </w:rPr>
      </w:pPr>
    </w:p>
    <w:p w14:paraId="071C7A08" w14:textId="77777777" w:rsidR="001003AC" w:rsidRPr="00F32643" w:rsidRDefault="001003AC" w:rsidP="001003AC">
      <w:pPr>
        <w:pStyle w:val="PrrafodeSentencia"/>
        <w:rPr>
          <w:color w:val="000000" w:themeColor="text1"/>
          <w:spacing w:val="0"/>
          <w:szCs w:val="20"/>
        </w:rPr>
      </w:pPr>
      <w:bookmarkStart w:id="74" w:name="_Ref308343867"/>
      <w:bookmarkStart w:id="75" w:name="_Ref357172044"/>
      <w:bookmarkStart w:id="76" w:name="_Ref464815038"/>
      <w:r w:rsidRPr="00F32643">
        <w:rPr>
          <w:color w:val="000000" w:themeColor="text1"/>
          <w:spacing w:val="0"/>
          <w:szCs w:val="20"/>
        </w:rPr>
        <w:t>El artículo 67 de la Convención Americana establece:</w:t>
      </w:r>
    </w:p>
    <w:p w14:paraId="6A823934" w14:textId="77777777" w:rsidR="001003AC" w:rsidRPr="00F32643" w:rsidRDefault="001003AC" w:rsidP="001003AC">
      <w:pPr>
        <w:rPr>
          <w:color w:val="000000" w:themeColor="text1"/>
          <w:lang w:val="es-CR" w:eastAsia="es-MX"/>
        </w:rPr>
      </w:pPr>
    </w:p>
    <w:p w14:paraId="20D977DA" w14:textId="77777777" w:rsidR="001003AC" w:rsidRPr="00F32643" w:rsidRDefault="001003AC" w:rsidP="001003AC">
      <w:pPr>
        <w:ind w:left="567" w:right="567"/>
        <w:rPr>
          <w:color w:val="000000" w:themeColor="text1"/>
          <w:sz w:val="18"/>
          <w:szCs w:val="18"/>
          <w:lang w:val="es-CR" w:eastAsia="es-MX"/>
        </w:rPr>
      </w:pPr>
      <w:r w:rsidRPr="00F32643">
        <w:rPr>
          <w:color w:val="000000" w:themeColor="text1"/>
          <w:sz w:val="18"/>
          <w:szCs w:val="18"/>
          <w:lang w:val="es-CR" w:eastAsia="es-MX"/>
        </w:rPr>
        <w:t>El fallo de la Corte será definitivo e inapelable. En caso de desacuerdo sobre el sentido o alcance del fallo, la Corte lo interpretará a solicitud de cualquiera de las partes, siempre que dicha solicitud se presente dentro de los noventa días a partir de la fecha de la notificación del fallo.</w:t>
      </w:r>
    </w:p>
    <w:p w14:paraId="51D7B89E" w14:textId="77777777" w:rsidR="001003AC" w:rsidRPr="00F32643" w:rsidRDefault="001003AC" w:rsidP="001003AC">
      <w:pPr>
        <w:pStyle w:val="PrrafodeSentencia"/>
        <w:numPr>
          <w:ilvl w:val="0"/>
          <w:numId w:val="0"/>
        </w:numPr>
        <w:rPr>
          <w:b/>
          <w:color w:val="000000" w:themeColor="text1"/>
          <w:spacing w:val="0"/>
          <w:szCs w:val="20"/>
        </w:rPr>
      </w:pPr>
      <w:r w:rsidRPr="00F32643">
        <w:rPr>
          <w:color w:val="000000" w:themeColor="text1"/>
          <w:spacing w:val="0"/>
          <w:szCs w:val="20"/>
        </w:rPr>
        <w:tab/>
      </w:r>
    </w:p>
    <w:bookmarkEnd w:id="74"/>
    <w:bookmarkEnd w:id="75"/>
    <w:bookmarkEnd w:id="76"/>
    <w:p w14:paraId="5BD257BE" w14:textId="0006BF6A" w:rsidR="001003AC" w:rsidRPr="00F32643" w:rsidRDefault="001003AC" w:rsidP="001003AC">
      <w:pPr>
        <w:pStyle w:val="PrrafodeSentencia"/>
        <w:rPr>
          <w:b/>
          <w:color w:val="000000" w:themeColor="text1"/>
          <w:spacing w:val="0"/>
          <w:szCs w:val="20"/>
        </w:rPr>
      </w:pPr>
      <w:r w:rsidRPr="00F32643">
        <w:rPr>
          <w:color w:val="000000" w:themeColor="text1"/>
          <w:spacing w:val="0"/>
          <w:szCs w:val="20"/>
        </w:rPr>
        <w:t xml:space="preserve">De conformidad con el artículo citado, la Corte Interamericana es competente para interpretar sus </w:t>
      </w:r>
      <w:r w:rsidR="00C66C83">
        <w:rPr>
          <w:color w:val="000000" w:themeColor="text1"/>
          <w:spacing w:val="0"/>
          <w:szCs w:val="20"/>
        </w:rPr>
        <w:t>F</w:t>
      </w:r>
      <w:r w:rsidRPr="00F32643">
        <w:rPr>
          <w:color w:val="000000" w:themeColor="text1"/>
          <w:spacing w:val="0"/>
          <w:szCs w:val="20"/>
        </w:rPr>
        <w:t>allos. Para realizar el examen de las solicitudes de interpretación y resolver lo que a este respecto corresponda, este Tribunal debe tener, si es posible, la misma composición que tenía al dictar la Sentencia respectiva, de acuerdo con el artículo 68.3 del Reglamento. En esta ocasión, la Corte está integrada por los mismos Jueces que dictaron la Sentencia cuya interpretación ha sido solicitada.</w:t>
      </w:r>
    </w:p>
    <w:p w14:paraId="2F7D05C4" w14:textId="77777777" w:rsidR="001003AC" w:rsidRPr="00F32643" w:rsidRDefault="001003AC" w:rsidP="001003AC">
      <w:pPr>
        <w:rPr>
          <w:color w:val="000000" w:themeColor="text1"/>
          <w:lang w:val="es-CR" w:eastAsia="es-MX"/>
        </w:rPr>
      </w:pPr>
    </w:p>
    <w:p w14:paraId="6A52FFB3" w14:textId="77777777" w:rsidR="001003AC" w:rsidRPr="00F32643" w:rsidRDefault="001003AC" w:rsidP="001003AC">
      <w:pPr>
        <w:pStyle w:val="Ttulo1"/>
        <w:spacing w:before="0" w:after="0"/>
        <w:rPr>
          <w:snapToGrid w:val="0"/>
          <w:color w:val="000000" w:themeColor="text1"/>
          <w:szCs w:val="20"/>
          <w:lang w:val="es-CR"/>
        </w:rPr>
      </w:pPr>
      <w:bookmarkStart w:id="77" w:name="_Toc424834682"/>
      <w:bookmarkStart w:id="78" w:name="_Toc427932788"/>
      <w:bookmarkStart w:id="79" w:name="_Toc431584605"/>
      <w:bookmarkStart w:id="80" w:name="_Toc434850393"/>
      <w:bookmarkStart w:id="81" w:name="_Toc469593450"/>
      <w:bookmarkStart w:id="82" w:name="_Toc469594433"/>
      <w:bookmarkStart w:id="83" w:name="_Toc469594535"/>
      <w:bookmarkStart w:id="84" w:name="_Toc469594798"/>
      <w:bookmarkStart w:id="85" w:name="_Toc469594901"/>
      <w:bookmarkStart w:id="86" w:name="_Toc469940917"/>
      <w:bookmarkStart w:id="87" w:name="_Toc4402700"/>
      <w:bookmarkStart w:id="88" w:name="_Toc4402939"/>
      <w:bookmarkStart w:id="89" w:name="_Toc8209826"/>
      <w:bookmarkStart w:id="90" w:name="_Toc48736674"/>
      <w:bookmarkStart w:id="91" w:name="_Toc57872375"/>
      <w:r w:rsidRPr="00F32643">
        <w:rPr>
          <w:snapToGrid w:val="0"/>
          <w:color w:val="000000" w:themeColor="text1"/>
          <w:szCs w:val="20"/>
          <w:lang w:val="es-CR"/>
        </w:rPr>
        <w:t>III</w:t>
      </w:r>
      <w:bookmarkStart w:id="92" w:name="_Toc375062724"/>
      <w:bookmarkStart w:id="93" w:name="_Toc375140874"/>
      <w:bookmarkStart w:id="94" w:name="_Toc375504833"/>
      <w:bookmarkStart w:id="95" w:name="_Toc375560907"/>
      <w:bookmarkStart w:id="96" w:name="_Toc395213493"/>
      <w:bookmarkStart w:id="97" w:name="_Toc396514850"/>
      <w:bookmarkStart w:id="98" w:name="_Toc396515126"/>
      <w:bookmarkStart w:id="99" w:name="_Toc402039405"/>
      <w:bookmarkStart w:id="100" w:name="_Toc403670648"/>
      <w:bookmarkStart w:id="101" w:name="_Toc403671384"/>
      <w:bookmarkStart w:id="102" w:name="_Toc405774576"/>
      <w:bookmarkStart w:id="103" w:name="_Toc405857779"/>
      <w:bookmarkStart w:id="104" w:name="_Toc424833999"/>
      <w:bookmarkStart w:id="105" w:name="_Toc424834683"/>
      <w:bookmarkStart w:id="106" w:name="_Toc424834750"/>
      <w:bookmarkStart w:id="107" w:name="_Toc427234538"/>
      <w:bookmarkStart w:id="108" w:name="_Toc427342827"/>
      <w:bookmarkStart w:id="109" w:name="_Toc427663813"/>
      <w:bookmarkStart w:id="110" w:name="_Toc427932789"/>
      <w:bookmarkStart w:id="111" w:name="_Toc427943552"/>
      <w:bookmarkStart w:id="112" w:name="_Toc427943726"/>
      <w:bookmarkStart w:id="113" w:name="_Toc431584606"/>
      <w:bookmarkStart w:id="114" w:name="_Toc431584722"/>
      <w:bookmarkStart w:id="115" w:name="_Toc431585027"/>
      <w:bookmarkStart w:id="116" w:name="_Toc431646544"/>
      <w:bookmarkStart w:id="117" w:name="_Toc431834623"/>
      <w:bookmarkStart w:id="118" w:name="_Toc308537928"/>
      <w:bookmarkStart w:id="119" w:name="_Toc308538148"/>
      <w:bookmarkStart w:id="120" w:name="_Toc434849915"/>
      <w:bookmarkStart w:id="121" w:name="_Toc434850394"/>
      <w:bookmarkStart w:id="122" w:name="_Toc469594902"/>
      <w:bookmarkStart w:id="123" w:name="_Toc469664211"/>
      <w:bookmarkStart w:id="124" w:name="_Toc469664473"/>
      <w:bookmarkStart w:id="125" w:name="_Toc469940918"/>
      <w:bookmarkEnd w:id="77"/>
      <w:bookmarkEnd w:id="78"/>
      <w:bookmarkEnd w:id="79"/>
      <w:bookmarkEnd w:id="80"/>
      <w:bookmarkEnd w:id="81"/>
      <w:bookmarkEnd w:id="82"/>
      <w:bookmarkEnd w:id="83"/>
      <w:bookmarkEnd w:id="84"/>
      <w:bookmarkEnd w:id="85"/>
      <w:bookmarkEnd w:id="86"/>
      <w:r w:rsidRPr="00F32643">
        <w:rPr>
          <w:snapToGrid w:val="0"/>
          <w:color w:val="000000" w:themeColor="text1"/>
          <w:szCs w:val="20"/>
          <w:lang w:val="es-CR"/>
        </w:rPr>
        <w:br/>
      </w:r>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r w:rsidRPr="00F32643">
        <w:rPr>
          <w:snapToGrid w:val="0"/>
          <w:color w:val="000000" w:themeColor="text1"/>
          <w:szCs w:val="20"/>
          <w:lang w:val="es-CR"/>
        </w:rPr>
        <w:t>Admisibilidad</w:t>
      </w:r>
    </w:p>
    <w:p w14:paraId="0D286B85" w14:textId="77777777" w:rsidR="001003AC" w:rsidRPr="00F32643" w:rsidRDefault="001003AC" w:rsidP="001003AC">
      <w:pPr>
        <w:rPr>
          <w:color w:val="000000" w:themeColor="text1"/>
          <w:lang w:val="es-CR"/>
        </w:rPr>
      </w:pPr>
    </w:p>
    <w:p w14:paraId="4D92C9D5" w14:textId="784CB620" w:rsidR="001003AC" w:rsidRPr="00C66C83" w:rsidRDefault="001003AC" w:rsidP="001003AC">
      <w:pPr>
        <w:pStyle w:val="PrrafodeSentencia"/>
        <w:rPr>
          <w:color w:val="000000" w:themeColor="text1"/>
          <w:spacing w:val="0"/>
          <w:szCs w:val="20"/>
        </w:rPr>
      </w:pPr>
      <w:r w:rsidRPr="00F32643">
        <w:rPr>
          <w:color w:val="000000" w:themeColor="text1"/>
          <w:spacing w:val="0"/>
          <w:szCs w:val="20"/>
        </w:rPr>
        <w:t>Corresponde a la Corte verificar si la solicitud presentada por el Estado cumple con los requisitos establecidos en las normas aplicables a una solicitud de interpretación de Sentencia, a saber, el artículo 67 de la Convención anteriormente citado, y el artículo 68 del Reglamento</w:t>
      </w:r>
      <w:r w:rsidR="00976776" w:rsidRPr="00F32643">
        <w:rPr>
          <w:rStyle w:val="Refdenotaalpie"/>
          <w:color w:val="000000" w:themeColor="text1"/>
          <w:spacing w:val="0"/>
        </w:rPr>
        <w:footnoteReference w:id="2"/>
      </w:r>
      <w:r w:rsidRPr="00F32643">
        <w:rPr>
          <w:color w:val="000000" w:themeColor="text1"/>
          <w:spacing w:val="0"/>
          <w:szCs w:val="20"/>
        </w:rPr>
        <w:t xml:space="preserve">. </w:t>
      </w:r>
      <w:r w:rsidR="00E00B37" w:rsidRPr="00F32643">
        <w:rPr>
          <w:color w:val="000000" w:themeColor="text1"/>
          <w:spacing w:val="0"/>
          <w:szCs w:val="20"/>
        </w:rPr>
        <w:t>Asimismo, el artículo 31.3 del Reglamento establece que “[c]</w:t>
      </w:r>
      <w:proofErr w:type="spellStart"/>
      <w:r w:rsidR="00E00B37" w:rsidRPr="00F32643">
        <w:rPr>
          <w:color w:val="000000" w:themeColor="text1"/>
          <w:spacing w:val="0"/>
          <w:szCs w:val="20"/>
        </w:rPr>
        <w:t>ontra</w:t>
      </w:r>
      <w:proofErr w:type="spellEnd"/>
      <w:r w:rsidR="00E00B37" w:rsidRPr="00F32643">
        <w:rPr>
          <w:color w:val="000000" w:themeColor="text1"/>
          <w:spacing w:val="0"/>
          <w:szCs w:val="20"/>
        </w:rPr>
        <w:t xml:space="preserve"> las sentencias y resoluciones de la Corte no procede ningún medio de impugnación”.</w:t>
      </w:r>
    </w:p>
    <w:p w14:paraId="1355D5C3" w14:textId="47A8BA8C" w:rsidR="001003AC" w:rsidRPr="008C2DF9" w:rsidRDefault="00B32A4F" w:rsidP="008C2DF9">
      <w:pPr>
        <w:pStyle w:val="PrrafodeSentencia"/>
        <w:rPr>
          <w:color w:val="000000" w:themeColor="text1"/>
          <w:spacing w:val="0"/>
        </w:rPr>
      </w:pPr>
      <w:r w:rsidRPr="00F32643">
        <w:rPr>
          <w:color w:val="000000" w:themeColor="text1"/>
          <w:spacing w:val="0"/>
        </w:rPr>
        <w:lastRenderedPageBreak/>
        <w:t xml:space="preserve">La Corte nota que las partes fueron notificadas de la Sentencia el </w:t>
      </w:r>
      <w:r w:rsidR="00C66C83">
        <w:rPr>
          <w:color w:val="000000" w:themeColor="text1"/>
          <w:spacing w:val="0"/>
        </w:rPr>
        <w:t>31 de enero de 2023</w:t>
      </w:r>
      <w:r w:rsidR="00370AE5" w:rsidRPr="00F32643">
        <w:rPr>
          <w:color w:val="000000" w:themeColor="text1"/>
          <w:spacing w:val="0"/>
        </w:rPr>
        <w:t xml:space="preserve"> y el Estado presentó su solicitud </w:t>
      </w:r>
      <w:r w:rsidR="00370AE5" w:rsidRPr="008C2DF9">
        <w:rPr>
          <w:color w:val="000000" w:themeColor="text1"/>
          <w:spacing w:val="0"/>
        </w:rPr>
        <w:t xml:space="preserve">el </w:t>
      </w:r>
      <w:r w:rsidR="00C66C83" w:rsidRPr="008C2DF9">
        <w:rPr>
          <w:color w:val="000000" w:themeColor="text1"/>
          <w:spacing w:val="0"/>
        </w:rPr>
        <w:t>20 de febrero de ese mismo año</w:t>
      </w:r>
      <w:r w:rsidR="00370AE5" w:rsidRPr="008C2DF9">
        <w:rPr>
          <w:color w:val="000000" w:themeColor="text1"/>
          <w:spacing w:val="0"/>
        </w:rPr>
        <w:t>, dentro del plazo</w:t>
      </w:r>
      <w:r w:rsidR="00CD1852" w:rsidRPr="008C2DF9">
        <w:rPr>
          <w:color w:val="000000" w:themeColor="text1"/>
          <w:spacing w:val="0"/>
        </w:rPr>
        <w:t xml:space="preserve"> de 90 días</w:t>
      </w:r>
      <w:r w:rsidR="00370AE5" w:rsidRPr="008C2DF9">
        <w:rPr>
          <w:color w:val="000000" w:themeColor="text1"/>
          <w:spacing w:val="0"/>
        </w:rPr>
        <w:t xml:space="preserve"> establecido en el artículo 67 de la Convención. Por lo tanto, la solicitud es admisible en lo que se refiere </w:t>
      </w:r>
      <w:r w:rsidR="00DE0683" w:rsidRPr="008C2DF9">
        <w:rPr>
          <w:color w:val="000000" w:themeColor="text1"/>
          <w:spacing w:val="0"/>
        </w:rPr>
        <w:t xml:space="preserve">al plazo </w:t>
      </w:r>
      <w:r w:rsidR="00C66C83" w:rsidRPr="008C2DF9">
        <w:rPr>
          <w:color w:val="000000" w:themeColor="text1"/>
          <w:spacing w:val="0"/>
        </w:rPr>
        <w:t>de su presentación</w:t>
      </w:r>
      <w:r w:rsidR="00DE0683" w:rsidRPr="008C2DF9">
        <w:rPr>
          <w:color w:val="000000" w:themeColor="text1"/>
          <w:spacing w:val="0"/>
        </w:rPr>
        <w:t xml:space="preserve">. En cuanto a los demás requisitos, la Corte </w:t>
      </w:r>
      <w:r w:rsidR="005519A8" w:rsidRPr="008C2DF9">
        <w:rPr>
          <w:color w:val="000000" w:themeColor="text1"/>
          <w:spacing w:val="0"/>
        </w:rPr>
        <w:t xml:space="preserve">realizará el análisis respectivo en el </w:t>
      </w:r>
      <w:r w:rsidR="00C66C83" w:rsidRPr="008C2DF9">
        <w:rPr>
          <w:color w:val="000000" w:themeColor="text1"/>
          <w:spacing w:val="0"/>
        </w:rPr>
        <w:t>siguiente</w:t>
      </w:r>
      <w:r w:rsidR="001A54FC" w:rsidRPr="008C2DF9">
        <w:rPr>
          <w:color w:val="000000" w:themeColor="text1"/>
          <w:spacing w:val="0"/>
        </w:rPr>
        <w:t xml:space="preserve"> capítulo.</w:t>
      </w:r>
    </w:p>
    <w:p w14:paraId="5EF64419" w14:textId="77777777" w:rsidR="001003AC" w:rsidRPr="00F32643" w:rsidRDefault="001003AC" w:rsidP="001003AC">
      <w:pPr>
        <w:rPr>
          <w:color w:val="000000" w:themeColor="text1"/>
          <w:lang w:val="es-CR" w:eastAsia="es-MX"/>
        </w:rPr>
      </w:pPr>
    </w:p>
    <w:p w14:paraId="1F3C75BA" w14:textId="77777777" w:rsidR="001003AC" w:rsidRPr="00F32643" w:rsidRDefault="001003AC" w:rsidP="001003AC">
      <w:pPr>
        <w:rPr>
          <w:color w:val="000000" w:themeColor="text1"/>
          <w:lang w:val="es-CR" w:eastAsia="es-MX"/>
        </w:rPr>
      </w:pPr>
    </w:p>
    <w:p w14:paraId="6D7D24AD" w14:textId="77777777" w:rsidR="001003AC" w:rsidRPr="00F32643" w:rsidRDefault="001003AC" w:rsidP="001003AC">
      <w:pPr>
        <w:pStyle w:val="Ttulo1"/>
        <w:spacing w:before="0" w:after="0"/>
        <w:rPr>
          <w:color w:val="000000" w:themeColor="text1"/>
          <w:lang w:val="es-CR"/>
        </w:rPr>
      </w:pPr>
      <w:bookmarkStart w:id="126" w:name="_Toc4402708"/>
      <w:bookmarkStart w:id="127" w:name="_Toc4402947"/>
      <w:bookmarkStart w:id="128" w:name="_Toc8209834"/>
      <w:bookmarkStart w:id="129" w:name="_Toc48736675"/>
      <w:bookmarkStart w:id="130" w:name="_Toc57872376"/>
      <w:r w:rsidRPr="00F32643">
        <w:rPr>
          <w:color w:val="000000" w:themeColor="text1"/>
          <w:lang w:val="es-CR"/>
        </w:rPr>
        <w:t>IV</w:t>
      </w:r>
      <w:r w:rsidRPr="00F32643">
        <w:rPr>
          <w:color w:val="000000" w:themeColor="text1"/>
          <w:lang w:val="es-CR"/>
        </w:rPr>
        <w:br/>
      </w:r>
      <w:bookmarkEnd w:id="126"/>
      <w:bookmarkEnd w:id="127"/>
      <w:bookmarkEnd w:id="128"/>
      <w:bookmarkEnd w:id="129"/>
      <w:bookmarkEnd w:id="130"/>
      <w:r w:rsidRPr="00F32643">
        <w:rPr>
          <w:color w:val="000000" w:themeColor="text1"/>
          <w:lang w:val="es-CR"/>
        </w:rPr>
        <w:t>Análisis de la procedencia de la solicitud de interpretación</w:t>
      </w:r>
    </w:p>
    <w:p w14:paraId="4438B367" w14:textId="77777777" w:rsidR="00F5392D" w:rsidRDefault="00F5392D" w:rsidP="00F5392D">
      <w:pPr>
        <w:rPr>
          <w:lang w:val="es-CR"/>
        </w:rPr>
      </w:pPr>
    </w:p>
    <w:p w14:paraId="30A40517" w14:textId="77777777" w:rsidR="001156F9" w:rsidRPr="00F32643" w:rsidRDefault="001156F9" w:rsidP="001156F9">
      <w:pPr>
        <w:pStyle w:val="PrrafodeSentencia"/>
        <w:rPr>
          <w:color w:val="000000" w:themeColor="text1"/>
          <w:spacing w:val="0"/>
        </w:rPr>
      </w:pPr>
      <w:r w:rsidRPr="00F32643">
        <w:rPr>
          <w:color w:val="000000" w:themeColor="text1"/>
          <w:spacing w:val="0"/>
        </w:rPr>
        <w:t xml:space="preserve">Este Tribunal analizará la solicitud </w:t>
      </w:r>
      <w:r>
        <w:rPr>
          <w:color w:val="000000" w:themeColor="text1"/>
          <w:spacing w:val="0"/>
        </w:rPr>
        <w:t xml:space="preserve">presentada por </w:t>
      </w:r>
      <w:r w:rsidRPr="00F32643">
        <w:rPr>
          <w:color w:val="000000" w:themeColor="text1"/>
          <w:spacing w:val="0"/>
        </w:rPr>
        <w:t>el Estado para determinar si, de acuerdo con la normativa y con los estándares desarrollados en su jurisprudencia, procede o no aclarar el sentido o alcance</w:t>
      </w:r>
      <w:r>
        <w:rPr>
          <w:color w:val="000000" w:themeColor="text1"/>
          <w:spacing w:val="0"/>
        </w:rPr>
        <w:t xml:space="preserve"> de algún punto de la Sentencia</w:t>
      </w:r>
      <w:r w:rsidRPr="00F32643">
        <w:rPr>
          <w:color w:val="000000" w:themeColor="text1"/>
          <w:spacing w:val="0"/>
        </w:rPr>
        <w:t>.</w:t>
      </w:r>
    </w:p>
    <w:p w14:paraId="1F6422D1" w14:textId="77777777" w:rsidR="001156F9" w:rsidRPr="00F32643" w:rsidRDefault="001156F9" w:rsidP="001156F9">
      <w:pPr>
        <w:rPr>
          <w:color w:val="000000" w:themeColor="text1"/>
          <w:lang w:val="es-CR" w:eastAsia="es-MX"/>
        </w:rPr>
      </w:pPr>
    </w:p>
    <w:p w14:paraId="5F986F23" w14:textId="77777777" w:rsidR="001156F9" w:rsidRPr="00F32643" w:rsidRDefault="001156F9" w:rsidP="001156F9">
      <w:pPr>
        <w:pStyle w:val="PrrafodeSentencia"/>
        <w:rPr>
          <w:color w:val="000000" w:themeColor="text1"/>
          <w:spacing w:val="0"/>
        </w:rPr>
      </w:pPr>
      <w:r w:rsidRPr="00F32643">
        <w:rPr>
          <w:color w:val="000000" w:themeColor="text1"/>
          <w:spacing w:val="0"/>
        </w:rPr>
        <w:t xml:space="preserve">La Corte ha señalado que una solicitud de interpretación de </w:t>
      </w:r>
      <w:r>
        <w:rPr>
          <w:color w:val="000000" w:themeColor="text1"/>
          <w:spacing w:val="0"/>
        </w:rPr>
        <w:t>S</w:t>
      </w:r>
      <w:r w:rsidRPr="00F32643">
        <w:rPr>
          <w:color w:val="000000" w:themeColor="text1"/>
          <w:spacing w:val="0"/>
        </w:rPr>
        <w:t xml:space="preserve">entencia </w:t>
      </w:r>
      <w:r>
        <w:rPr>
          <w:color w:val="000000" w:themeColor="text1"/>
          <w:spacing w:val="0"/>
        </w:rPr>
        <w:t xml:space="preserve">o de rectificación de error </w:t>
      </w:r>
      <w:r w:rsidRPr="00F32643">
        <w:rPr>
          <w:color w:val="000000" w:themeColor="text1"/>
          <w:spacing w:val="0"/>
        </w:rPr>
        <w:t xml:space="preserve">no puede utilizarse como medio de impugnación de la decisión cuya interpretación se requiere. Dicha solicitud tiene como objeto, exclusivamente, determinar el sentido de un fallo cuando alguna de las partes sostiene que el texto de sus puntos resolutivos o de sus consideraciones carece de claridad o precisión, siempre y cuando esas consideraciones incidan en dicha parte resolutiva. Por lo tanto, no se puede solicitar la modificación o anulación de la </w:t>
      </w:r>
      <w:r>
        <w:rPr>
          <w:color w:val="000000" w:themeColor="text1"/>
          <w:spacing w:val="0"/>
        </w:rPr>
        <w:t>S</w:t>
      </w:r>
      <w:r w:rsidRPr="00F32643">
        <w:rPr>
          <w:color w:val="000000" w:themeColor="text1"/>
          <w:spacing w:val="0"/>
        </w:rPr>
        <w:t>entencia respectiva a través de una solicitud de interpretación</w:t>
      </w:r>
      <w:r w:rsidRPr="00F32643">
        <w:rPr>
          <w:rStyle w:val="Refdenotaalpie"/>
          <w:color w:val="000000" w:themeColor="text1"/>
          <w:spacing w:val="0"/>
        </w:rPr>
        <w:footnoteReference w:id="3"/>
      </w:r>
      <w:r w:rsidRPr="00F32643">
        <w:rPr>
          <w:color w:val="000000" w:themeColor="text1"/>
          <w:spacing w:val="0"/>
        </w:rPr>
        <w:t xml:space="preserve">. </w:t>
      </w:r>
    </w:p>
    <w:p w14:paraId="75EC68EE" w14:textId="77777777" w:rsidR="001156F9" w:rsidRPr="00F32643" w:rsidRDefault="001156F9" w:rsidP="001156F9">
      <w:pPr>
        <w:rPr>
          <w:color w:val="000000" w:themeColor="text1"/>
          <w:lang w:val="es-CR" w:eastAsia="es-MX"/>
        </w:rPr>
      </w:pPr>
    </w:p>
    <w:p w14:paraId="09825CCA" w14:textId="77777777" w:rsidR="001156F9" w:rsidRPr="00F32643" w:rsidRDefault="001156F9" w:rsidP="001156F9">
      <w:pPr>
        <w:pStyle w:val="PrrafodeSentencia"/>
        <w:rPr>
          <w:color w:val="000000" w:themeColor="text1"/>
          <w:spacing w:val="0"/>
        </w:rPr>
      </w:pPr>
      <w:r w:rsidRPr="00F32643">
        <w:rPr>
          <w:color w:val="000000" w:themeColor="text1"/>
          <w:spacing w:val="0"/>
        </w:rPr>
        <w:t>Adicionalmente, la Corte ha sostenido la improcedencia de utilizar una solicitud de interpretación</w:t>
      </w:r>
      <w:r>
        <w:rPr>
          <w:color w:val="000000" w:themeColor="text1"/>
          <w:spacing w:val="0"/>
        </w:rPr>
        <w:t xml:space="preserve"> o de rectificación de error</w:t>
      </w:r>
      <w:r w:rsidRPr="00F32643">
        <w:rPr>
          <w:color w:val="000000" w:themeColor="text1"/>
          <w:spacing w:val="0"/>
        </w:rPr>
        <w:t xml:space="preserve"> para someter consideraciones sobre cuestiones de hecho y de derecho que ya fueron planteadas en su oportunidad procesal y sobre las cuales la Corte ya adoptó una decisión</w:t>
      </w:r>
      <w:r w:rsidRPr="00F32643">
        <w:rPr>
          <w:rStyle w:val="Refdenotaalpie"/>
          <w:color w:val="000000" w:themeColor="text1"/>
          <w:spacing w:val="0"/>
        </w:rPr>
        <w:footnoteReference w:id="4"/>
      </w:r>
      <w:r w:rsidRPr="00F32643">
        <w:rPr>
          <w:color w:val="000000" w:themeColor="text1"/>
          <w:spacing w:val="0"/>
        </w:rPr>
        <w:t>, así como para pretender que la Corte valore nuevamente cuestiones que ya han sido resueltas en la Sentencia</w:t>
      </w:r>
      <w:r w:rsidRPr="00F32643">
        <w:rPr>
          <w:rStyle w:val="Refdenotaalpie"/>
          <w:color w:val="000000" w:themeColor="text1"/>
          <w:spacing w:val="0"/>
        </w:rPr>
        <w:footnoteReference w:id="5"/>
      </w:r>
      <w:r w:rsidRPr="00F32643">
        <w:rPr>
          <w:color w:val="000000" w:themeColor="text1"/>
          <w:spacing w:val="0"/>
        </w:rPr>
        <w:t>. De igual manera, por esta vía tampoco se puede intentar que se amplíe el alcance de una medida de reparación ordenada oportunamente</w:t>
      </w:r>
      <w:r w:rsidRPr="00F32643">
        <w:rPr>
          <w:rStyle w:val="Refdenotaalpie"/>
          <w:color w:val="000000" w:themeColor="text1"/>
          <w:spacing w:val="0"/>
        </w:rPr>
        <w:footnoteReference w:id="6"/>
      </w:r>
      <w:r w:rsidRPr="00F32643">
        <w:rPr>
          <w:color w:val="000000" w:themeColor="text1"/>
          <w:spacing w:val="0"/>
        </w:rPr>
        <w:t>.</w:t>
      </w:r>
    </w:p>
    <w:p w14:paraId="263EE550" w14:textId="77777777" w:rsidR="001156F9" w:rsidRPr="00F5392D" w:rsidRDefault="001156F9" w:rsidP="00F5392D">
      <w:pPr>
        <w:rPr>
          <w:lang w:val="es-CR"/>
        </w:rPr>
      </w:pPr>
    </w:p>
    <w:p w14:paraId="1F566DEE" w14:textId="08132381" w:rsidR="001003AC" w:rsidRPr="00F32643" w:rsidRDefault="001003AC" w:rsidP="00F5392D">
      <w:pPr>
        <w:pStyle w:val="Ttulo3"/>
        <w:spacing w:before="0" w:after="0"/>
        <w:ind w:left="567"/>
        <w:rPr>
          <w:color w:val="000000" w:themeColor="text1"/>
          <w:lang w:val="es-CR"/>
        </w:rPr>
      </w:pPr>
      <w:bookmarkStart w:id="131" w:name="_Toc57872378"/>
      <w:r w:rsidRPr="00F32643">
        <w:rPr>
          <w:color w:val="000000" w:themeColor="text1"/>
          <w:lang w:val="es-CR"/>
        </w:rPr>
        <w:t>1. Argumentos de las partes y de la Comisión</w:t>
      </w:r>
      <w:bookmarkEnd w:id="131"/>
    </w:p>
    <w:p w14:paraId="51C4046C" w14:textId="77777777" w:rsidR="001003AC" w:rsidRPr="00F32643" w:rsidRDefault="001003AC" w:rsidP="001003AC">
      <w:pPr>
        <w:rPr>
          <w:color w:val="000000" w:themeColor="text1"/>
          <w:lang w:val="es-CR"/>
        </w:rPr>
      </w:pPr>
    </w:p>
    <w:p w14:paraId="67EA8F94" w14:textId="4CCCF2A3" w:rsidR="001003AC" w:rsidRPr="00F32643" w:rsidRDefault="001003AC" w:rsidP="001003AC">
      <w:pPr>
        <w:pStyle w:val="PrrafodeSentencia"/>
        <w:rPr>
          <w:b/>
          <w:color w:val="000000" w:themeColor="text1"/>
          <w:spacing w:val="0"/>
          <w:szCs w:val="20"/>
        </w:rPr>
      </w:pPr>
      <w:r w:rsidRPr="00F32643">
        <w:rPr>
          <w:color w:val="000000" w:themeColor="text1"/>
          <w:spacing w:val="0"/>
          <w:szCs w:val="20"/>
        </w:rPr>
        <w:t xml:space="preserve">El </w:t>
      </w:r>
      <w:r w:rsidRPr="00F32643">
        <w:rPr>
          <w:b/>
          <w:i/>
          <w:color w:val="000000" w:themeColor="text1"/>
          <w:spacing w:val="0"/>
          <w:szCs w:val="20"/>
        </w:rPr>
        <w:t xml:space="preserve">Estado </w:t>
      </w:r>
      <w:r w:rsidRPr="00F32643">
        <w:rPr>
          <w:color w:val="000000" w:themeColor="text1"/>
          <w:spacing w:val="0"/>
          <w:szCs w:val="20"/>
        </w:rPr>
        <w:t>solicitó una</w:t>
      </w:r>
      <w:r w:rsidR="00623A1C">
        <w:rPr>
          <w:color w:val="000000" w:themeColor="text1"/>
          <w:spacing w:val="0"/>
          <w:szCs w:val="20"/>
        </w:rPr>
        <w:t xml:space="preserve"> “rectificación de un error de cálculo realizado para la determinación del monto de dinero fijado en concepto de daño material”</w:t>
      </w:r>
      <w:r w:rsidR="0062430B" w:rsidRPr="00F32643">
        <w:rPr>
          <w:color w:val="000000" w:themeColor="text1"/>
          <w:spacing w:val="0"/>
          <w:szCs w:val="20"/>
        </w:rPr>
        <w:t>.</w:t>
      </w:r>
      <w:r w:rsidR="00623A1C">
        <w:rPr>
          <w:color w:val="000000" w:themeColor="text1"/>
          <w:spacing w:val="0"/>
          <w:szCs w:val="20"/>
        </w:rPr>
        <w:t xml:space="preserve"> Al respecto, indicó que la Corte para determinar el monto fijado en la Sentencia, “lo que hizo fue considerar todos los salarios percibidos por el señor Nissen </w:t>
      </w:r>
      <w:proofErr w:type="spellStart"/>
      <w:r w:rsidR="00623A1C">
        <w:rPr>
          <w:color w:val="000000" w:themeColor="text1"/>
          <w:spacing w:val="0"/>
          <w:szCs w:val="20"/>
        </w:rPr>
        <w:t>Pessolani</w:t>
      </w:r>
      <w:proofErr w:type="spellEnd"/>
      <w:r w:rsidR="00623A1C">
        <w:rPr>
          <w:color w:val="000000" w:themeColor="text1"/>
          <w:spacing w:val="0"/>
          <w:szCs w:val="20"/>
        </w:rPr>
        <w:t xml:space="preserve"> provenientes del sector público en el periodo señalado, ciñéndose de la información contenida en el informe […] emanado de la Dirección General de Asuntos Jurídicos de la Secretaría de la </w:t>
      </w:r>
      <w:r w:rsidR="00623A1C">
        <w:rPr>
          <w:color w:val="000000" w:themeColor="text1"/>
          <w:spacing w:val="0"/>
          <w:szCs w:val="20"/>
        </w:rPr>
        <w:lastRenderedPageBreak/>
        <w:t>Función Pública”</w:t>
      </w:r>
      <w:r w:rsidR="00C41702" w:rsidRPr="00C41702">
        <w:t xml:space="preserve"> </w:t>
      </w:r>
      <w:r w:rsidR="00C41702" w:rsidRPr="00C41702">
        <w:rPr>
          <w:color w:val="000000" w:themeColor="text1"/>
          <w:spacing w:val="0"/>
          <w:szCs w:val="20"/>
        </w:rPr>
        <w:t xml:space="preserve">de </w:t>
      </w:r>
      <w:r w:rsidR="00C41702">
        <w:rPr>
          <w:color w:val="000000" w:themeColor="text1"/>
          <w:spacing w:val="0"/>
          <w:szCs w:val="20"/>
        </w:rPr>
        <w:t xml:space="preserve">fecha </w:t>
      </w:r>
      <w:r w:rsidR="00C41702" w:rsidRPr="00C41702">
        <w:rPr>
          <w:color w:val="000000" w:themeColor="text1"/>
          <w:spacing w:val="0"/>
          <w:szCs w:val="20"/>
        </w:rPr>
        <w:t>20 de septiembre de 2021</w:t>
      </w:r>
      <w:r w:rsidR="00623A1C">
        <w:rPr>
          <w:color w:val="000000" w:themeColor="text1"/>
          <w:spacing w:val="0"/>
          <w:szCs w:val="20"/>
        </w:rPr>
        <w:t xml:space="preserve">. </w:t>
      </w:r>
      <w:r w:rsidR="00C41702">
        <w:rPr>
          <w:color w:val="000000" w:themeColor="text1"/>
          <w:spacing w:val="0"/>
          <w:szCs w:val="20"/>
        </w:rPr>
        <w:t xml:space="preserve">Sin embargo, el Estado alegó que “se ha omitido considerar los salarios percibidos por el señor Nissen </w:t>
      </w:r>
      <w:proofErr w:type="spellStart"/>
      <w:r w:rsidR="00C41702">
        <w:rPr>
          <w:color w:val="000000" w:themeColor="text1"/>
          <w:spacing w:val="0"/>
          <w:szCs w:val="20"/>
        </w:rPr>
        <w:t>Pessolani</w:t>
      </w:r>
      <w:proofErr w:type="spellEnd"/>
      <w:r w:rsidR="00C41702">
        <w:rPr>
          <w:color w:val="000000" w:themeColor="text1"/>
          <w:spacing w:val="0"/>
          <w:szCs w:val="20"/>
        </w:rPr>
        <w:t xml:space="preserve"> desde septiembre de 2021 hasta noviembre de 2022”</w:t>
      </w:r>
      <w:r w:rsidR="00FC061E">
        <w:rPr>
          <w:color w:val="000000" w:themeColor="text1"/>
          <w:spacing w:val="0"/>
          <w:szCs w:val="20"/>
        </w:rPr>
        <w:t xml:space="preserve"> y que estos montos deberían ser </w:t>
      </w:r>
      <w:r w:rsidR="005661DB">
        <w:rPr>
          <w:color w:val="000000" w:themeColor="text1"/>
          <w:spacing w:val="0"/>
          <w:szCs w:val="20"/>
        </w:rPr>
        <w:t xml:space="preserve">deducidos de la indemnización otorgada al señor Nissen </w:t>
      </w:r>
      <w:proofErr w:type="spellStart"/>
      <w:r w:rsidR="005661DB">
        <w:rPr>
          <w:color w:val="000000" w:themeColor="text1"/>
          <w:spacing w:val="0"/>
          <w:szCs w:val="20"/>
        </w:rPr>
        <w:t>Pessolani</w:t>
      </w:r>
      <w:proofErr w:type="spellEnd"/>
      <w:r w:rsidR="00C41702">
        <w:rPr>
          <w:color w:val="000000" w:themeColor="text1"/>
          <w:spacing w:val="0"/>
          <w:szCs w:val="20"/>
        </w:rPr>
        <w:t xml:space="preserve">. De manera que, solicitó “la rectificación del monto de 243.000 USD$ consignado a favor del señor Nissen </w:t>
      </w:r>
      <w:proofErr w:type="spellStart"/>
      <w:r w:rsidR="00C41702">
        <w:rPr>
          <w:color w:val="000000" w:themeColor="text1"/>
          <w:spacing w:val="0"/>
          <w:szCs w:val="20"/>
        </w:rPr>
        <w:t>Pessolani</w:t>
      </w:r>
      <w:proofErr w:type="spellEnd"/>
      <w:r w:rsidR="00C41702">
        <w:rPr>
          <w:color w:val="000000" w:themeColor="text1"/>
          <w:spacing w:val="0"/>
          <w:szCs w:val="20"/>
        </w:rPr>
        <w:t xml:space="preserve"> […], debiendo quedar establecido en 225.921,80 USD$”. </w:t>
      </w:r>
    </w:p>
    <w:p w14:paraId="38C2E70E" w14:textId="77777777" w:rsidR="001003AC" w:rsidRPr="00F32643" w:rsidRDefault="001003AC" w:rsidP="001003AC">
      <w:pPr>
        <w:rPr>
          <w:color w:val="000000" w:themeColor="text1"/>
          <w:lang w:val="es-CR" w:eastAsia="es-MX"/>
        </w:rPr>
      </w:pPr>
    </w:p>
    <w:p w14:paraId="2826DC5A" w14:textId="0C543FDD" w:rsidR="001003AC" w:rsidRPr="001F0A8D" w:rsidRDefault="00CD1486" w:rsidP="001F0A8D">
      <w:pPr>
        <w:pStyle w:val="PrrafodeSentencia"/>
      </w:pPr>
      <w:r>
        <w:t>El</w:t>
      </w:r>
      <w:r w:rsidRPr="00F32643">
        <w:t xml:space="preserve"> </w:t>
      </w:r>
      <w:r w:rsidR="001003AC" w:rsidRPr="00F32643">
        <w:rPr>
          <w:b/>
          <w:i/>
        </w:rPr>
        <w:t>representante</w:t>
      </w:r>
      <w:r w:rsidR="00FD6607" w:rsidRPr="00F32643">
        <w:t xml:space="preserve"> </w:t>
      </w:r>
      <w:r w:rsidR="00ED2B2D" w:rsidRPr="00F32643">
        <w:t>argument</w:t>
      </w:r>
      <w:r>
        <w:t>ó</w:t>
      </w:r>
      <w:r w:rsidR="00ED2B2D" w:rsidRPr="00F32643">
        <w:t xml:space="preserve"> que</w:t>
      </w:r>
      <w:r w:rsidR="00C41702">
        <w:t xml:space="preserve"> “</w:t>
      </w:r>
      <w:r w:rsidR="00FF59FA" w:rsidRPr="00FF59FA">
        <w:rPr>
          <w:color w:val="000000" w:themeColor="text1"/>
          <w:spacing w:val="0"/>
        </w:rPr>
        <w:t>cualquier monto que la Corte haya</w:t>
      </w:r>
      <w:r w:rsidR="00FF59FA">
        <w:rPr>
          <w:color w:val="000000" w:themeColor="text1"/>
          <w:spacing w:val="0"/>
        </w:rPr>
        <w:t xml:space="preserve"> </w:t>
      </w:r>
      <w:r w:rsidR="00FF59FA" w:rsidRPr="00FF59FA">
        <w:rPr>
          <w:color w:val="000000" w:themeColor="text1"/>
          <w:spacing w:val="0"/>
        </w:rPr>
        <w:t xml:space="preserve">ordenado pagar a la víctima como indemnización, </w:t>
      </w:r>
      <w:r w:rsidR="00FF59FA">
        <w:rPr>
          <w:color w:val="000000" w:themeColor="text1"/>
          <w:spacing w:val="0"/>
        </w:rPr>
        <w:t>[…]</w:t>
      </w:r>
      <w:r w:rsidR="00FF59FA" w:rsidRPr="00FF59FA">
        <w:rPr>
          <w:color w:val="000000" w:themeColor="text1"/>
          <w:spacing w:val="0"/>
        </w:rPr>
        <w:t xml:space="preserve"> debe ser</w:t>
      </w:r>
      <w:r w:rsidR="00FF59FA">
        <w:rPr>
          <w:color w:val="000000" w:themeColor="text1"/>
          <w:spacing w:val="0"/>
        </w:rPr>
        <w:t xml:space="preserve"> </w:t>
      </w:r>
      <w:r w:rsidR="00FF59FA" w:rsidRPr="00FF59FA">
        <w:rPr>
          <w:color w:val="000000" w:themeColor="text1"/>
          <w:spacing w:val="0"/>
        </w:rPr>
        <w:t>interpretado como un importe que la misma Corte consideró justo;</w:t>
      </w:r>
      <w:r w:rsidR="00FF59FA">
        <w:rPr>
          <w:color w:val="000000" w:themeColor="text1"/>
          <w:spacing w:val="0"/>
        </w:rPr>
        <w:t xml:space="preserve"> </w:t>
      </w:r>
      <w:r w:rsidR="00FF59FA" w:rsidRPr="00FF59FA">
        <w:rPr>
          <w:color w:val="000000" w:themeColor="text1"/>
          <w:spacing w:val="0"/>
        </w:rPr>
        <w:t>independientemente de que el número en cuestión haya surgido o no de la estricta</w:t>
      </w:r>
      <w:r w:rsidR="00FF59FA">
        <w:rPr>
          <w:color w:val="000000" w:themeColor="text1"/>
          <w:spacing w:val="0"/>
        </w:rPr>
        <w:t xml:space="preserve"> </w:t>
      </w:r>
      <w:r w:rsidR="00FF59FA" w:rsidRPr="00FF59FA">
        <w:rPr>
          <w:color w:val="000000" w:themeColor="text1"/>
          <w:spacing w:val="0"/>
        </w:rPr>
        <w:t>aplicación de algún mecanismo matemático</w:t>
      </w:r>
      <w:r w:rsidR="00FF59FA">
        <w:rPr>
          <w:color w:val="000000" w:themeColor="text1"/>
          <w:spacing w:val="0"/>
        </w:rPr>
        <w:t>”</w:t>
      </w:r>
      <w:r w:rsidR="0070676F" w:rsidRPr="00F32643">
        <w:t>.</w:t>
      </w:r>
      <w:r w:rsidR="00FF59FA">
        <w:t xml:space="preserve"> Añadieron que el Estado</w:t>
      </w:r>
      <w:r w:rsidR="001F0A8D">
        <w:t xml:space="preserve"> adjunta</w:t>
      </w:r>
      <w:r w:rsidR="00FF59FA">
        <w:t xml:space="preserve"> “nuevas pruebas de recientes remuneraciones […] que no habían sido incorporadas al expediente y que […], al no existir en autos, no fueron consideradas en la fecha de la sentencia”. </w:t>
      </w:r>
      <w:r w:rsidR="001F0A8D">
        <w:t xml:space="preserve">Asimismo, </w:t>
      </w:r>
      <w:r>
        <w:t xml:space="preserve">sostuvo </w:t>
      </w:r>
      <w:r w:rsidR="001F0A8D">
        <w:t>que “</w:t>
      </w:r>
      <w:r w:rsidR="001F0A8D" w:rsidRPr="001F0A8D">
        <w:t xml:space="preserve">los datos proveídos por el Estado incluyeron en algunos casos supuestos </w:t>
      </w:r>
      <w:r w:rsidR="001F0A8D">
        <w:t>‘</w:t>
      </w:r>
      <w:r w:rsidR="001F0A8D" w:rsidRPr="001F0A8D">
        <w:t>salarios</w:t>
      </w:r>
      <w:r w:rsidR="001F0A8D">
        <w:t xml:space="preserve">’ </w:t>
      </w:r>
      <w:r w:rsidR="001F0A8D" w:rsidRPr="001F0A8D">
        <w:t xml:space="preserve">superpuestos en el tiempo, y en </w:t>
      </w:r>
      <w:r w:rsidR="008C2DF9" w:rsidRPr="001F0A8D">
        <w:t>otras remuneraciones percibidas simultáneamente</w:t>
      </w:r>
      <w:r w:rsidR="001F0A8D" w:rsidRPr="001F0A8D">
        <w:t xml:space="preserve"> en</w:t>
      </w:r>
      <w:r w:rsidR="001F0A8D">
        <w:t xml:space="preserve"> </w:t>
      </w:r>
      <w:r w:rsidR="001F0A8D" w:rsidRPr="001F0A8D">
        <w:t xml:space="preserve">distintas Instituciones; inclusive confundiendo </w:t>
      </w:r>
      <w:r w:rsidR="001F0A8D">
        <w:t>‘</w:t>
      </w:r>
      <w:r w:rsidR="001F0A8D" w:rsidRPr="001F0A8D">
        <w:t>salarios</w:t>
      </w:r>
      <w:r w:rsidR="001F0A8D">
        <w:t>’</w:t>
      </w:r>
      <w:r w:rsidR="001F0A8D" w:rsidRPr="001F0A8D">
        <w:t xml:space="preserve"> con Honorarios Profesionales</w:t>
      </w:r>
      <w:r w:rsidR="001F0A8D">
        <w:t>”, y que “un consultor […] no es un empleado público”. Por lo expuesto, solicit</w:t>
      </w:r>
      <w:r>
        <w:t>ó</w:t>
      </w:r>
      <w:r w:rsidR="001F0A8D">
        <w:t xml:space="preserve"> que “</w:t>
      </w:r>
      <w:r w:rsidR="001F0A8D" w:rsidRPr="001F0A8D">
        <w:t>se tomen</w:t>
      </w:r>
      <w:r w:rsidR="001F0A8D">
        <w:t xml:space="preserve"> </w:t>
      </w:r>
      <w:r w:rsidR="001F0A8D" w:rsidRPr="001F0A8D">
        <w:t>en consideración también</w:t>
      </w:r>
      <w:r w:rsidR="001F0A8D">
        <w:t xml:space="preserve"> […] </w:t>
      </w:r>
      <w:r w:rsidR="001F0A8D" w:rsidRPr="001F0A8D">
        <w:t>las inconsistencias y duplicaciones</w:t>
      </w:r>
      <w:r w:rsidR="001F0A8D">
        <w:t xml:space="preserve"> </w:t>
      </w:r>
      <w:r w:rsidR="001F0A8D" w:rsidRPr="001F0A8D">
        <w:t xml:space="preserve">contenidas en </w:t>
      </w:r>
      <w:r w:rsidR="001F0A8D">
        <w:t>[los]</w:t>
      </w:r>
      <w:r w:rsidR="001F0A8D" w:rsidRPr="001F0A8D">
        <w:t xml:space="preserve"> anexos; y que consecuentemente se revierta el descuento de los</w:t>
      </w:r>
      <w:r w:rsidR="001F0A8D">
        <w:t xml:space="preserve"> </w:t>
      </w:r>
      <w:r w:rsidR="001F0A8D" w:rsidRPr="001F0A8D">
        <w:t>montos de honorarios profesionales por consultoría independiente que</w:t>
      </w:r>
      <w:r w:rsidR="001F0A8D">
        <w:t xml:space="preserve"> </w:t>
      </w:r>
      <w:r w:rsidR="001F0A8D" w:rsidRPr="001F0A8D">
        <w:t>no correspondían excluir de la indemnización por daño material</w:t>
      </w:r>
      <w:r w:rsidR="001F0A8D">
        <w:t xml:space="preserve">”. </w:t>
      </w:r>
    </w:p>
    <w:p w14:paraId="7AD1626D" w14:textId="4DB9F113" w:rsidR="00704038" w:rsidRPr="00F32643" w:rsidRDefault="00704038" w:rsidP="00704038">
      <w:pPr>
        <w:rPr>
          <w:color w:val="000000" w:themeColor="text1"/>
          <w:lang w:val="es-CR" w:eastAsia="es-MX"/>
        </w:rPr>
      </w:pPr>
    </w:p>
    <w:p w14:paraId="607C35F8" w14:textId="3524C96D" w:rsidR="00704038" w:rsidRPr="00F0242D" w:rsidRDefault="00704038" w:rsidP="00F0242D">
      <w:pPr>
        <w:pStyle w:val="PrrafodeSentencia"/>
        <w:rPr>
          <w:color w:val="000000" w:themeColor="text1"/>
        </w:rPr>
      </w:pPr>
      <w:r w:rsidRPr="00F32643">
        <w:rPr>
          <w:color w:val="000000" w:themeColor="text1"/>
          <w:spacing w:val="0"/>
        </w:rPr>
        <w:t xml:space="preserve">La </w:t>
      </w:r>
      <w:r w:rsidRPr="00F32643">
        <w:rPr>
          <w:b/>
          <w:i/>
          <w:color w:val="000000" w:themeColor="text1"/>
          <w:spacing w:val="0"/>
        </w:rPr>
        <w:t xml:space="preserve">Comisión </w:t>
      </w:r>
      <w:r w:rsidR="00DE043C" w:rsidRPr="00F32643">
        <w:rPr>
          <w:color w:val="000000" w:themeColor="text1"/>
          <w:spacing w:val="0"/>
        </w:rPr>
        <w:t>observó que</w:t>
      </w:r>
      <w:r w:rsidR="00F0242D">
        <w:rPr>
          <w:color w:val="000000" w:themeColor="text1"/>
          <w:spacing w:val="0"/>
        </w:rPr>
        <w:t xml:space="preserve"> el Estado pretende “</w:t>
      </w:r>
      <w:r w:rsidR="00F0242D" w:rsidRPr="00F0242D">
        <w:rPr>
          <w:color w:val="000000" w:themeColor="text1"/>
        </w:rPr>
        <w:t>que la Corte recalcule el monto de la indemnización</w:t>
      </w:r>
      <w:r w:rsidR="00F0242D">
        <w:rPr>
          <w:color w:val="000000" w:themeColor="text1"/>
        </w:rPr>
        <w:t xml:space="preserve"> </w:t>
      </w:r>
      <w:r w:rsidR="00F0242D" w:rsidRPr="00F0242D">
        <w:rPr>
          <w:color w:val="000000" w:themeColor="text1"/>
        </w:rPr>
        <w:t>otorgada a la víctima por concepto de daño material, sobre la base de información que no estuvo al</w:t>
      </w:r>
      <w:r w:rsidR="00F0242D">
        <w:rPr>
          <w:color w:val="000000" w:themeColor="text1"/>
        </w:rPr>
        <w:t xml:space="preserve"> </w:t>
      </w:r>
      <w:r w:rsidR="00F0242D" w:rsidRPr="00F0242D">
        <w:rPr>
          <w:color w:val="000000" w:themeColor="text1"/>
          <w:spacing w:val="0"/>
        </w:rPr>
        <w:t>alcance de la Corte a momento de emitir la sentencia del presente asunto</w:t>
      </w:r>
      <w:r w:rsidR="00F0242D">
        <w:rPr>
          <w:color w:val="000000" w:themeColor="text1"/>
          <w:spacing w:val="0"/>
        </w:rPr>
        <w:t>”</w:t>
      </w:r>
      <w:r w:rsidR="0060336E" w:rsidRPr="00F0242D">
        <w:rPr>
          <w:color w:val="000000" w:themeColor="text1"/>
          <w:spacing w:val="0"/>
        </w:rPr>
        <w:t>.</w:t>
      </w:r>
      <w:r w:rsidR="00F0242D">
        <w:rPr>
          <w:color w:val="000000" w:themeColor="text1"/>
          <w:spacing w:val="0"/>
        </w:rPr>
        <w:t xml:space="preserve"> En consecuencia, “</w:t>
      </w:r>
      <w:proofErr w:type="spellStart"/>
      <w:r w:rsidR="00F0242D" w:rsidRPr="00F0242D">
        <w:rPr>
          <w:color w:val="000000" w:themeColor="text1"/>
        </w:rPr>
        <w:t>consider</w:t>
      </w:r>
      <w:proofErr w:type="spellEnd"/>
      <w:r w:rsidR="00F0242D">
        <w:rPr>
          <w:color w:val="000000" w:themeColor="text1"/>
        </w:rPr>
        <w:t>[</w:t>
      </w:r>
      <w:proofErr w:type="spellStart"/>
      <w:r w:rsidR="00F0242D">
        <w:rPr>
          <w:color w:val="000000" w:themeColor="text1"/>
        </w:rPr>
        <w:t>ó</w:t>
      </w:r>
      <w:proofErr w:type="spellEnd"/>
      <w:r w:rsidR="00F0242D">
        <w:rPr>
          <w:color w:val="000000" w:themeColor="text1"/>
        </w:rPr>
        <w:t>]</w:t>
      </w:r>
      <w:r w:rsidR="00F0242D" w:rsidRPr="00F0242D">
        <w:rPr>
          <w:color w:val="000000" w:themeColor="text1"/>
        </w:rPr>
        <w:t xml:space="preserve"> que corresponde</w:t>
      </w:r>
      <w:r w:rsidR="00F0242D">
        <w:rPr>
          <w:color w:val="000000" w:themeColor="text1"/>
        </w:rPr>
        <w:t xml:space="preserve"> </w:t>
      </w:r>
      <w:r w:rsidR="00F0242D" w:rsidRPr="00F0242D">
        <w:rPr>
          <w:color w:val="000000" w:themeColor="text1"/>
          <w:spacing w:val="0"/>
        </w:rPr>
        <w:t>a la Corte analizar la validez de dicha información y, decidir en consecuencia</w:t>
      </w:r>
      <w:r w:rsidR="00F0242D">
        <w:rPr>
          <w:color w:val="000000" w:themeColor="text1"/>
          <w:spacing w:val="0"/>
        </w:rPr>
        <w:t>”.</w:t>
      </w:r>
    </w:p>
    <w:p w14:paraId="75E0417B" w14:textId="77777777" w:rsidR="001003AC" w:rsidRPr="00F32643" w:rsidRDefault="001003AC" w:rsidP="001003AC">
      <w:pPr>
        <w:rPr>
          <w:color w:val="000000" w:themeColor="text1"/>
          <w:lang w:val="es-CR" w:eastAsia="es-MX"/>
        </w:rPr>
      </w:pPr>
    </w:p>
    <w:p w14:paraId="373D1541" w14:textId="5F502407" w:rsidR="001003AC" w:rsidRPr="00F32643" w:rsidRDefault="001003AC" w:rsidP="00F5392D">
      <w:pPr>
        <w:pStyle w:val="Ttulo3"/>
        <w:spacing w:before="0" w:after="0"/>
        <w:ind w:left="567"/>
        <w:rPr>
          <w:color w:val="000000" w:themeColor="text1"/>
          <w:lang w:val="es-CR" w:eastAsia="es-MX"/>
        </w:rPr>
      </w:pPr>
      <w:bookmarkStart w:id="132" w:name="_Toc57872379"/>
      <w:r w:rsidRPr="00F32643">
        <w:rPr>
          <w:color w:val="000000" w:themeColor="text1"/>
          <w:lang w:val="es-CR" w:eastAsia="es-MX"/>
        </w:rPr>
        <w:t>2. Consideraciones de la Corte</w:t>
      </w:r>
      <w:bookmarkEnd w:id="132"/>
    </w:p>
    <w:p w14:paraId="7F038F83" w14:textId="77777777" w:rsidR="00A0274A" w:rsidRPr="00FC061E" w:rsidRDefault="00A0274A" w:rsidP="00FC061E">
      <w:pPr>
        <w:rPr>
          <w:lang w:val="es-CR"/>
        </w:rPr>
      </w:pPr>
    </w:p>
    <w:p w14:paraId="28B604DA" w14:textId="29BCABAB" w:rsidR="001003AC" w:rsidRDefault="00195F29" w:rsidP="00195F29">
      <w:pPr>
        <w:pStyle w:val="PrrafodeSentencia"/>
      </w:pPr>
      <w:r>
        <w:t>En lo que concierne la medida de indemnización ordenada en la Sentencia y que es objeto de la solicitud de interpretación por parte del Estado, est</w:t>
      </w:r>
      <w:r w:rsidR="00B708BF">
        <w:t>a</w:t>
      </w:r>
      <w:r>
        <w:t xml:space="preserve"> </w:t>
      </w:r>
      <w:r w:rsidR="00B708BF">
        <w:rPr>
          <w:b/>
          <w:bCs/>
          <w:i/>
          <w:iCs/>
        </w:rPr>
        <w:t>Corte</w:t>
      </w:r>
      <w:r>
        <w:t xml:space="preserve"> recuerda que respecto al daño material consideró lo siguiente</w:t>
      </w:r>
      <w:r w:rsidR="0063132C">
        <w:t>:</w:t>
      </w:r>
    </w:p>
    <w:p w14:paraId="17D62E53" w14:textId="77777777" w:rsidR="0063132C" w:rsidRDefault="0063132C" w:rsidP="0063132C">
      <w:pPr>
        <w:rPr>
          <w:lang w:val="es-CR" w:eastAsia="es-MX"/>
        </w:rPr>
      </w:pPr>
    </w:p>
    <w:p w14:paraId="500D09E3" w14:textId="1B75CBE1" w:rsidR="0063132C" w:rsidRPr="0063132C" w:rsidRDefault="0063132C" w:rsidP="0063132C">
      <w:pPr>
        <w:ind w:left="567" w:right="567"/>
        <w:rPr>
          <w:sz w:val="18"/>
          <w:szCs w:val="18"/>
          <w:lang w:val="es-CR" w:eastAsia="es-MX"/>
        </w:rPr>
      </w:pPr>
      <w:r w:rsidRPr="0063132C">
        <w:rPr>
          <w:sz w:val="18"/>
          <w:szCs w:val="18"/>
          <w:lang w:val="es-CR" w:eastAsia="es-MX"/>
        </w:rPr>
        <w:t xml:space="preserve">El representante presentó a lo largo del proceso internacional varias pretensiones en materia de compensación por daño material, que incluyen diferentes formas de calcular los salarios caídos, con montos que varían entre los USD$ 397.257 y los USD$4.443.048. Esta Corte determinó que la destitución del señor Nissen </w:t>
      </w:r>
      <w:proofErr w:type="spellStart"/>
      <w:r w:rsidRPr="0063132C">
        <w:rPr>
          <w:sz w:val="18"/>
          <w:szCs w:val="18"/>
          <w:lang w:val="es-CR" w:eastAsia="es-MX"/>
        </w:rPr>
        <w:t>Pessolani</w:t>
      </w:r>
      <w:proofErr w:type="spellEnd"/>
      <w:r w:rsidRPr="0063132C">
        <w:rPr>
          <w:sz w:val="18"/>
          <w:szCs w:val="18"/>
          <w:lang w:val="es-CR" w:eastAsia="es-MX"/>
        </w:rPr>
        <w:t xml:space="preserve"> fue arbitraria, por lo que le corresponde percibir salarios caídos. De acuerdo con el representante y con la prueba presentada por el Estado, el salario mensual del señor Nissen </w:t>
      </w:r>
      <w:proofErr w:type="spellStart"/>
      <w:r w:rsidRPr="0063132C">
        <w:rPr>
          <w:sz w:val="18"/>
          <w:szCs w:val="18"/>
          <w:lang w:val="es-CR" w:eastAsia="es-MX"/>
        </w:rPr>
        <w:t>Pessolani</w:t>
      </w:r>
      <w:proofErr w:type="spellEnd"/>
      <w:r w:rsidRPr="0063132C">
        <w:rPr>
          <w:sz w:val="18"/>
          <w:szCs w:val="18"/>
          <w:lang w:val="es-CR" w:eastAsia="es-MX"/>
        </w:rPr>
        <w:t xml:space="preserve"> como Agente Fiscal era, al momento de su destitución, de 11.503.600 guaraníes (once millones quinientos tres mil seiscientos guaraníes)144. Se tuvo por demostrado que el señor </w:t>
      </w:r>
      <w:proofErr w:type="spellStart"/>
      <w:r w:rsidRPr="0063132C">
        <w:rPr>
          <w:sz w:val="18"/>
          <w:szCs w:val="18"/>
          <w:lang w:val="es-CR" w:eastAsia="es-MX"/>
        </w:rPr>
        <w:t>Pessolani</w:t>
      </w:r>
      <w:proofErr w:type="spellEnd"/>
      <w:r w:rsidRPr="0063132C">
        <w:rPr>
          <w:sz w:val="18"/>
          <w:szCs w:val="18"/>
          <w:lang w:val="es-CR" w:eastAsia="es-MX"/>
        </w:rPr>
        <w:t xml:space="preserve"> fue destituido el 16 de junio de 2004. Sin embargo, de acuerdo con la declaración de la esposa de la víctima durante la audiencia pública, luego de su destitución “trabajó en el Ministerio de Obras Públicas, en donde él crea una Unidad de Asuntos Internos. Después trabajó en la ESSAP unos meses y de ahí fue comisionado a una Secretaría Anticorrupción y hoy en día que trabaja para la SENATUR”. Asimismo, el Estado, en sus anexos a la Contestación remitió Informe de la Dirección General de Asuntos Jurídicos de la Secretaría de la Función Pública en donde se establecieron las funciones, categorías, cargos y remuneraciones percibidas por el señor Nissen </w:t>
      </w:r>
      <w:proofErr w:type="spellStart"/>
      <w:r w:rsidRPr="0063132C">
        <w:rPr>
          <w:sz w:val="18"/>
          <w:szCs w:val="18"/>
          <w:lang w:val="es-CR" w:eastAsia="es-MX"/>
        </w:rPr>
        <w:t>Pessolani</w:t>
      </w:r>
      <w:proofErr w:type="spellEnd"/>
      <w:r w:rsidRPr="0063132C">
        <w:rPr>
          <w:sz w:val="18"/>
          <w:szCs w:val="18"/>
          <w:lang w:val="es-CR" w:eastAsia="es-MX"/>
        </w:rPr>
        <w:t xml:space="preserve"> en el sector público entre los años 2003 a la fecha. De esta forma, para el cálculo de los salarios caídos se deberán excluir estos períodos durante las cuales el señor Nissen </w:t>
      </w:r>
      <w:proofErr w:type="spellStart"/>
      <w:r w:rsidRPr="0063132C">
        <w:rPr>
          <w:sz w:val="18"/>
          <w:szCs w:val="18"/>
          <w:lang w:val="es-CR" w:eastAsia="es-MX"/>
        </w:rPr>
        <w:t>Pessolani</w:t>
      </w:r>
      <w:proofErr w:type="spellEnd"/>
      <w:r w:rsidRPr="0063132C">
        <w:rPr>
          <w:sz w:val="18"/>
          <w:szCs w:val="18"/>
          <w:lang w:val="es-CR" w:eastAsia="es-MX"/>
        </w:rPr>
        <w:t xml:space="preserve"> ejerció un empleo remunerado en el sector público. Por consiguiente, únicamente se tendrán en cuenta los períodos comprendidos entre su destitución (el 16 de junio de 2004), y la fecha </w:t>
      </w:r>
      <w:r w:rsidRPr="0063132C">
        <w:rPr>
          <w:sz w:val="18"/>
          <w:szCs w:val="18"/>
          <w:lang w:val="es-CR" w:eastAsia="es-MX"/>
        </w:rPr>
        <w:lastRenderedPageBreak/>
        <w:t>de emisión de esta Sentencia, descontando los montos que ya ha percibido por parte del Estado por trabajos ejercidos en el Sector Público. De esta manera, se ordena el pago de la suma de USD$ 243.000,00 (doscientos cuarenta y tres mil dólares de los Estados Unidos de América) por concepto de daño material</w:t>
      </w:r>
      <w:r w:rsidR="00CC170B">
        <w:rPr>
          <w:rStyle w:val="Refdenotaalpie"/>
          <w:lang w:val="es-CR" w:eastAsia="es-MX"/>
        </w:rPr>
        <w:footnoteReference w:id="7"/>
      </w:r>
      <w:r w:rsidRPr="0063132C">
        <w:rPr>
          <w:sz w:val="18"/>
          <w:szCs w:val="18"/>
          <w:lang w:val="es-CR" w:eastAsia="es-MX"/>
        </w:rPr>
        <w:t>.</w:t>
      </w:r>
    </w:p>
    <w:p w14:paraId="0D16015F" w14:textId="77777777" w:rsidR="0063132C" w:rsidRDefault="0063132C" w:rsidP="0063132C">
      <w:pPr>
        <w:rPr>
          <w:lang w:val="es-CR" w:eastAsia="es-MX"/>
        </w:rPr>
      </w:pPr>
    </w:p>
    <w:p w14:paraId="54B84A08" w14:textId="23FDB89F" w:rsidR="0063132C" w:rsidRDefault="0063132C" w:rsidP="0063132C">
      <w:pPr>
        <w:pStyle w:val="PrrafodeSentencia"/>
      </w:pPr>
      <w:r>
        <w:t xml:space="preserve">De la misma manera, en la nota al pie de página 145 se detallaron los montos que el señor Nissen </w:t>
      </w:r>
      <w:proofErr w:type="spellStart"/>
      <w:r>
        <w:t>Pessolani</w:t>
      </w:r>
      <w:proofErr w:type="spellEnd"/>
      <w:r>
        <w:t xml:space="preserve"> había percibido por concepto de salarios o remuneraciones en el sector público, sobre la base de la información presentada por el Estado:</w:t>
      </w:r>
    </w:p>
    <w:p w14:paraId="1F50CA45" w14:textId="77777777" w:rsidR="0063132C" w:rsidRDefault="0063132C" w:rsidP="0063132C">
      <w:pPr>
        <w:rPr>
          <w:lang w:val="es-CR" w:eastAsia="es-MX"/>
        </w:rPr>
      </w:pPr>
    </w:p>
    <w:p w14:paraId="36FE5D91" w14:textId="7C483026" w:rsidR="0063132C" w:rsidRDefault="0063132C" w:rsidP="0063132C">
      <w:pPr>
        <w:ind w:left="567" w:right="567"/>
        <w:rPr>
          <w:sz w:val="18"/>
          <w:szCs w:val="18"/>
          <w:lang w:val="es-CR" w:eastAsia="es-MX"/>
        </w:rPr>
      </w:pPr>
      <w:r w:rsidRPr="0063132C">
        <w:rPr>
          <w:sz w:val="18"/>
          <w:szCs w:val="18"/>
          <w:lang w:val="es-CR" w:eastAsia="es-MX"/>
        </w:rPr>
        <w:t xml:space="preserve">De acuerdo con el Informe DGAJ No. 114/2021 </w:t>
      </w:r>
      <w:bookmarkStart w:id="133" w:name="_Hlk148431662"/>
      <w:r w:rsidRPr="0063132C">
        <w:rPr>
          <w:sz w:val="18"/>
          <w:szCs w:val="18"/>
          <w:lang w:val="es-CR" w:eastAsia="es-MX"/>
        </w:rPr>
        <w:t>de la Dirección General de Asuntos Jurídicos</w:t>
      </w:r>
      <w:bookmarkEnd w:id="133"/>
      <w:r w:rsidRPr="0063132C">
        <w:rPr>
          <w:sz w:val="18"/>
          <w:szCs w:val="18"/>
          <w:lang w:val="es-CR" w:eastAsia="es-MX"/>
        </w:rPr>
        <w:t xml:space="preserve">, de 20 de septiembre de 2021 (expediente de prueba, folios 4159 a 4169), el señor </w:t>
      </w:r>
      <w:proofErr w:type="spellStart"/>
      <w:r w:rsidRPr="0063132C">
        <w:rPr>
          <w:sz w:val="18"/>
          <w:szCs w:val="18"/>
          <w:lang w:val="es-CR" w:eastAsia="es-MX"/>
        </w:rPr>
        <w:t>Pessolani</w:t>
      </w:r>
      <w:proofErr w:type="spellEnd"/>
      <w:r w:rsidRPr="0063132C">
        <w:rPr>
          <w:sz w:val="18"/>
          <w:szCs w:val="18"/>
          <w:lang w:val="es-CR" w:eastAsia="es-MX"/>
        </w:rPr>
        <w:t xml:space="preserve"> ha recibido los siguientes montos por concepto de salarios o remuneraciones en el sector público: - Ministerio de Obras Públicas y Comunicaciones: 164.851.200 guaraníes durante los años 2008, 2010, 2011 y 2012. - Presidencia de la República: 81.644.920 guaraníes correspondiente a los años 2019 a 2021. - Ministerio de Obras Públicas y Comunicaciones: 296.792.400 guaraníes correspondiente los años 2010 a 2011. - ESSAP: 60.011.024 guaraníes correspondientes a los años 2012 a 2103. - Secretaría Nacional de Turismo: 236.770.268 guaraníes correspondientes a los años 2019 a 2021. Para un total de 840,069,812 guaraníes. De esta forma si a la pretensión del señor Nissen </w:t>
      </w:r>
      <w:proofErr w:type="spellStart"/>
      <w:r w:rsidRPr="0063132C">
        <w:rPr>
          <w:sz w:val="18"/>
          <w:szCs w:val="18"/>
          <w:lang w:val="es-CR" w:eastAsia="es-MX"/>
        </w:rPr>
        <w:t>Pessolani</w:t>
      </w:r>
      <w:proofErr w:type="spellEnd"/>
      <w:r w:rsidRPr="0063132C">
        <w:rPr>
          <w:sz w:val="18"/>
          <w:szCs w:val="18"/>
          <w:lang w:val="es-CR" w:eastAsia="es-MX"/>
        </w:rPr>
        <w:t xml:space="preserve"> de pago de salarios caídos (por 2,582,170,600 guaraníes) le restamos estas sumas pagadas por el Estado, quedamos con la suma de 1,742,100,788 guaraníes, lo que correspondería a USD$ 243.000,00 (doscientos cuarenta y tres mil dólares de los Estados Unidos de América)</w:t>
      </w:r>
      <w:r w:rsidR="00CC170B">
        <w:rPr>
          <w:rStyle w:val="Refdenotaalpie"/>
          <w:lang w:val="es-CR" w:eastAsia="es-MX"/>
        </w:rPr>
        <w:footnoteReference w:id="8"/>
      </w:r>
      <w:r w:rsidRPr="0063132C">
        <w:rPr>
          <w:sz w:val="18"/>
          <w:szCs w:val="18"/>
          <w:lang w:val="es-CR" w:eastAsia="es-MX"/>
        </w:rPr>
        <w:t>.</w:t>
      </w:r>
    </w:p>
    <w:p w14:paraId="38C182F7" w14:textId="77777777" w:rsidR="0063132C" w:rsidRDefault="0063132C" w:rsidP="0063132C">
      <w:pPr>
        <w:ind w:left="567" w:right="567"/>
        <w:rPr>
          <w:sz w:val="18"/>
          <w:szCs w:val="18"/>
          <w:lang w:val="es-CR" w:eastAsia="es-MX"/>
        </w:rPr>
      </w:pPr>
    </w:p>
    <w:p w14:paraId="0AC73CBF" w14:textId="5B1004A9" w:rsidR="00A57BF3" w:rsidRDefault="0063132C" w:rsidP="0063132C">
      <w:pPr>
        <w:pStyle w:val="PrrafodeSentencia"/>
      </w:pPr>
      <w:r>
        <w:t>Al realizar estos cálculos</w:t>
      </w:r>
      <w:r w:rsidR="002F048C">
        <w:t>,</w:t>
      </w:r>
      <w:r>
        <w:t xml:space="preserve"> la Corte tomó en cuenta la prueba presentada por las partes que había sido admitida en el proceso y que había sido objeto de contradictorio. En su solicitud de </w:t>
      </w:r>
      <w:r w:rsidR="00CC170B">
        <w:t>“rectificación de error material”</w:t>
      </w:r>
      <w:r>
        <w:t xml:space="preserve">, el Estado alegó que el señor Nissen </w:t>
      </w:r>
      <w:proofErr w:type="spellStart"/>
      <w:r>
        <w:t>Pessolani</w:t>
      </w:r>
      <w:proofErr w:type="spellEnd"/>
      <w:r>
        <w:t xml:space="preserve"> ha seguido ejerciendo un empleo remunerado en el sector público</w:t>
      </w:r>
      <w:r w:rsidR="00A57BF3">
        <w:t xml:space="preserve"> y que</w:t>
      </w:r>
      <w:r w:rsidR="00505AD1">
        <w:t>,</w:t>
      </w:r>
      <w:r w:rsidR="00A57BF3">
        <w:t xml:space="preserve"> desde septiembre de 2021 hasta noviembre de 2022</w:t>
      </w:r>
      <w:r w:rsidR="00505AD1">
        <w:t>,</w:t>
      </w:r>
      <w:r w:rsidR="00A57BF3">
        <w:t xml:space="preserve"> ha percibido una suma de 89.809.412 guaraníes que debe ser descontada de la suma ordenada por concepto de salarios caídos. Para justificar este cálculo remiti</w:t>
      </w:r>
      <w:r w:rsidR="002F048C">
        <w:t>ó</w:t>
      </w:r>
      <w:r w:rsidR="00A57BF3">
        <w:t xml:space="preserve"> un oficio en donde present</w:t>
      </w:r>
      <w:r w:rsidR="002F048C">
        <w:t>ó</w:t>
      </w:r>
      <w:r w:rsidR="00A57BF3">
        <w:t xml:space="preserve"> una actualización del Informe </w:t>
      </w:r>
      <w:r w:rsidR="002F048C" w:rsidRPr="002F048C">
        <w:t>de la Dirección General de Asuntos Jurídicos</w:t>
      </w:r>
      <w:r w:rsidR="002F048C" w:rsidRPr="002F048C" w:rsidDel="002F048C">
        <w:t xml:space="preserve"> </w:t>
      </w:r>
      <w:r w:rsidR="002F048C">
        <w:t xml:space="preserve">(en adelante “Informe </w:t>
      </w:r>
      <w:r w:rsidR="00A57BF3">
        <w:t>DGAJ</w:t>
      </w:r>
      <w:r w:rsidR="002F048C">
        <w:t>”)</w:t>
      </w:r>
      <w:r w:rsidR="00A57BF3">
        <w:t xml:space="preserve"> que sirvió de base para el cálculo de las sumas percibidas.</w:t>
      </w:r>
    </w:p>
    <w:p w14:paraId="128DB8D8" w14:textId="77777777" w:rsidR="00A57BF3" w:rsidRPr="00A57BF3" w:rsidRDefault="00A57BF3" w:rsidP="00A57BF3">
      <w:pPr>
        <w:rPr>
          <w:lang w:val="es-CR" w:eastAsia="es-MX"/>
        </w:rPr>
      </w:pPr>
    </w:p>
    <w:p w14:paraId="528AC03E" w14:textId="4E7752CA" w:rsidR="0063132C" w:rsidRDefault="0063132C" w:rsidP="0063132C">
      <w:pPr>
        <w:pStyle w:val="PrrafodeSentencia"/>
      </w:pPr>
      <w:r>
        <w:t xml:space="preserve"> </w:t>
      </w:r>
      <w:r w:rsidR="00A57BF3">
        <w:t xml:space="preserve">La Corte advierte que la </w:t>
      </w:r>
      <w:r w:rsidR="00CC170B">
        <w:t>solicitud</w:t>
      </w:r>
      <w:r w:rsidR="00A57BF3">
        <w:t xml:space="preserve"> realizada por el Estado no corresponde</w:t>
      </w:r>
      <w:r w:rsidR="00CC170B">
        <w:t xml:space="preserve"> a una simple rectificación de </w:t>
      </w:r>
      <w:r w:rsidR="008C2DF9">
        <w:t xml:space="preserve">un </w:t>
      </w:r>
      <w:r w:rsidR="00CC170B">
        <w:t>error material ni</w:t>
      </w:r>
      <w:r w:rsidR="00A57BF3">
        <w:t xml:space="preserve"> a los supuestos de interpretación establecidos en el artículo 67 de la Convención, </w:t>
      </w:r>
      <w:r w:rsidR="002B4FDA">
        <w:t>sino que pretende que se modifique el monto del daño material determinado en la Sentencia</w:t>
      </w:r>
      <w:r w:rsidR="002B4FDA" w:rsidDel="002B4FDA">
        <w:t xml:space="preserve"> </w:t>
      </w:r>
      <w:r w:rsidR="00A57BF3">
        <w:t xml:space="preserve">sobre la base de nueva información que no fue puesta en conocimiento del Tribunal en los momentos procesales oportunos. Al respecto, </w:t>
      </w:r>
      <w:r w:rsidR="008A1CA6">
        <w:t xml:space="preserve">se recuerda que </w:t>
      </w:r>
      <w:r w:rsidR="00A57BF3">
        <w:t>el cálculo de los salarios caídos se realizó con la información presentada por el propio Estado en su escrito de contestación. Con su solicitud</w:t>
      </w:r>
      <w:r w:rsidR="00244646">
        <w:t>,</w:t>
      </w:r>
      <w:r w:rsidR="00A57BF3">
        <w:t xml:space="preserve"> el Estado pretende que se tome en cuenta información nueva, que no fue sometida al proceso de contradictorio y que no era del conocimiento de la Corte al momento de dictar la Sentencia. En efecto, de acuerdo con lo alegado por el representante existe controversia sobre la naturaleza de algunos de los montos presentados por el Estado en su actualización del Informe DGAJ, por lo que tomarlos en cuenta implicaría abrir </w:t>
      </w:r>
      <w:r w:rsidR="00244646">
        <w:t>el debate sobre un aspecto ya decidido por la Corte</w:t>
      </w:r>
      <w:r w:rsidR="00A57BF3">
        <w:t>, lo cual no es posible en esta etapa del procedimiento.</w:t>
      </w:r>
    </w:p>
    <w:p w14:paraId="391F2EFD" w14:textId="77777777" w:rsidR="008A63AF" w:rsidRDefault="008A63AF" w:rsidP="008A63AF">
      <w:pPr>
        <w:rPr>
          <w:lang w:val="es-CR" w:eastAsia="es-MX"/>
        </w:rPr>
      </w:pPr>
    </w:p>
    <w:p w14:paraId="2ACE6B76" w14:textId="072EDC07" w:rsidR="008A63AF" w:rsidRPr="008A63AF" w:rsidRDefault="00540B19" w:rsidP="008A63AF">
      <w:pPr>
        <w:pStyle w:val="PrrafodeSentencia"/>
      </w:pPr>
      <w:r>
        <w:lastRenderedPageBreak/>
        <w:t>Debido a</w:t>
      </w:r>
      <w:r w:rsidR="008A63AF">
        <w:t xml:space="preserve"> lo anterior, este Tribunal considera que la solicitud del Estado es improcedente.</w:t>
      </w:r>
    </w:p>
    <w:p w14:paraId="4C713854" w14:textId="77777777" w:rsidR="001003AC" w:rsidRPr="00F32643" w:rsidRDefault="001003AC" w:rsidP="001003AC">
      <w:pPr>
        <w:pStyle w:val="Ttulo1"/>
        <w:spacing w:before="0" w:after="0"/>
        <w:contextualSpacing/>
        <w:rPr>
          <w:color w:val="000000" w:themeColor="text1"/>
          <w:lang w:val="es-CR"/>
        </w:rPr>
      </w:pPr>
      <w:bookmarkStart w:id="134" w:name="_Toc50444514"/>
      <w:bookmarkStart w:id="135" w:name="_Toc52292075"/>
      <w:bookmarkStart w:id="136" w:name="_Toc54976322"/>
      <w:bookmarkStart w:id="137" w:name="_Toc54976374"/>
      <w:bookmarkStart w:id="138" w:name="_Toc55848951"/>
      <w:bookmarkStart w:id="139" w:name="_Toc57872383"/>
    </w:p>
    <w:p w14:paraId="2E8ABADE" w14:textId="77777777" w:rsidR="001003AC" w:rsidRPr="00F32643" w:rsidRDefault="001003AC" w:rsidP="001003AC">
      <w:pPr>
        <w:pStyle w:val="Ttulo1"/>
        <w:spacing w:before="0" w:after="0"/>
        <w:contextualSpacing/>
        <w:rPr>
          <w:color w:val="000000" w:themeColor="text1"/>
          <w:lang w:val="es-CR"/>
        </w:rPr>
      </w:pPr>
      <w:r w:rsidRPr="00F32643">
        <w:rPr>
          <w:color w:val="000000" w:themeColor="text1"/>
          <w:lang w:val="es-CR"/>
        </w:rPr>
        <w:t>V</w:t>
      </w:r>
      <w:bookmarkEnd w:id="134"/>
      <w:bookmarkEnd w:id="135"/>
      <w:bookmarkEnd w:id="136"/>
      <w:bookmarkEnd w:id="137"/>
      <w:bookmarkEnd w:id="138"/>
      <w:r w:rsidRPr="00F32643">
        <w:rPr>
          <w:color w:val="000000" w:themeColor="text1"/>
          <w:lang w:val="es-CR"/>
        </w:rPr>
        <w:br/>
      </w:r>
      <w:bookmarkEnd w:id="139"/>
      <w:r w:rsidRPr="00F32643">
        <w:rPr>
          <w:color w:val="000000" w:themeColor="text1"/>
          <w:lang w:val="es-CR"/>
        </w:rPr>
        <w:t>puntos resolutivos</w:t>
      </w:r>
    </w:p>
    <w:p w14:paraId="1B2FB403" w14:textId="77777777" w:rsidR="001003AC" w:rsidRPr="00F32643" w:rsidRDefault="001003AC" w:rsidP="001003AC">
      <w:pPr>
        <w:rPr>
          <w:color w:val="000000" w:themeColor="text1"/>
          <w:lang w:val="es-CR"/>
        </w:rPr>
      </w:pPr>
    </w:p>
    <w:p w14:paraId="10199702" w14:textId="77777777" w:rsidR="001003AC" w:rsidRPr="00F32643" w:rsidRDefault="001003AC" w:rsidP="001003AC">
      <w:pPr>
        <w:rPr>
          <w:color w:val="000000" w:themeColor="text1"/>
          <w:lang w:val="es-CR"/>
        </w:rPr>
      </w:pPr>
    </w:p>
    <w:p w14:paraId="40C2D8E1" w14:textId="77777777" w:rsidR="001003AC" w:rsidRPr="00F32643" w:rsidRDefault="001003AC" w:rsidP="001003AC">
      <w:pPr>
        <w:pStyle w:val="PrrafodeSentencia"/>
        <w:rPr>
          <w:b/>
          <w:color w:val="000000" w:themeColor="text1"/>
          <w:spacing w:val="0"/>
        </w:rPr>
      </w:pPr>
      <w:r w:rsidRPr="00F32643">
        <w:rPr>
          <w:color w:val="000000" w:themeColor="text1"/>
          <w:spacing w:val="0"/>
        </w:rPr>
        <w:t xml:space="preserve">Por tanto, </w:t>
      </w:r>
    </w:p>
    <w:p w14:paraId="0E070F93" w14:textId="77777777" w:rsidR="001003AC" w:rsidRPr="00F32643" w:rsidRDefault="001003AC" w:rsidP="001003AC">
      <w:pPr>
        <w:rPr>
          <w:color w:val="000000" w:themeColor="text1"/>
          <w:lang w:val="es-CR" w:eastAsia="es-MX"/>
        </w:rPr>
      </w:pPr>
    </w:p>
    <w:p w14:paraId="3FED3A17" w14:textId="77777777" w:rsidR="001003AC" w:rsidRPr="00F32643" w:rsidRDefault="001003AC" w:rsidP="001003AC">
      <w:pPr>
        <w:pStyle w:val="Prrafodelista"/>
        <w:tabs>
          <w:tab w:val="left" w:pos="567"/>
        </w:tabs>
        <w:ind w:left="0"/>
        <w:rPr>
          <w:b/>
          <w:color w:val="000000" w:themeColor="text1"/>
          <w:szCs w:val="20"/>
          <w:lang w:val="es-CR"/>
        </w:rPr>
      </w:pPr>
      <w:r w:rsidRPr="00F32643">
        <w:rPr>
          <w:b/>
          <w:color w:val="000000" w:themeColor="text1"/>
          <w:szCs w:val="20"/>
          <w:lang w:val="es-CR"/>
        </w:rPr>
        <w:t xml:space="preserve">LA CORTE </w:t>
      </w:r>
    </w:p>
    <w:p w14:paraId="0ADA6D55" w14:textId="77777777" w:rsidR="001003AC" w:rsidRPr="00F32643" w:rsidRDefault="001003AC" w:rsidP="001003AC">
      <w:pPr>
        <w:pStyle w:val="Prrafodelista"/>
        <w:tabs>
          <w:tab w:val="left" w:pos="567"/>
        </w:tabs>
        <w:ind w:left="0"/>
        <w:rPr>
          <w:b/>
          <w:color w:val="000000" w:themeColor="text1"/>
          <w:szCs w:val="20"/>
          <w:lang w:val="es-CR"/>
        </w:rPr>
      </w:pPr>
    </w:p>
    <w:p w14:paraId="78A11BB5" w14:textId="77777777" w:rsidR="001003AC" w:rsidRPr="00F32643" w:rsidRDefault="001003AC" w:rsidP="001003AC">
      <w:pPr>
        <w:pStyle w:val="Prrafodelista"/>
        <w:tabs>
          <w:tab w:val="left" w:pos="567"/>
        </w:tabs>
        <w:ind w:left="0"/>
        <w:rPr>
          <w:b/>
          <w:color w:val="000000" w:themeColor="text1"/>
          <w:szCs w:val="20"/>
          <w:lang w:val="es-CR"/>
        </w:rPr>
      </w:pPr>
      <w:r w:rsidRPr="00F32643">
        <w:rPr>
          <w:b/>
          <w:color w:val="000000" w:themeColor="text1"/>
          <w:szCs w:val="20"/>
          <w:lang w:val="es-CR"/>
        </w:rPr>
        <w:t>DECIDE,</w:t>
      </w:r>
    </w:p>
    <w:p w14:paraId="57B0FA0B" w14:textId="77777777" w:rsidR="001003AC" w:rsidRPr="00F32643" w:rsidRDefault="001003AC" w:rsidP="001003AC">
      <w:pPr>
        <w:pStyle w:val="Prrafodelista"/>
        <w:tabs>
          <w:tab w:val="left" w:pos="567"/>
        </w:tabs>
        <w:ind w:left="0"/>
        <w:rPr>
          <w:b/>
          <w:color w:val="000000" w:themeColor="text1"/>
          <w:szCs w:val="20"/>
          <w:lang w:val="es-CR"/>
        </w:rPr>
      </w:pPr>
    </w:p>
    <w:p w14:paraId="3B756B9C" w14:textId="3E1608B1" w:rsidR="001003AC" w:rsidRPr="00F32643" w:rsidRDefault="001003AC" w:rsidP="001003AC">
      <w:pPr>
        <w:pStyle w:val="Prrafodelista"/>
        <w:tabs>
          <w:tab w:val="left" w:pos="567"/>
        </w:tabs>
        <w:ind w:left="0"/>
        <w:rPr>
          <w:color w:val="000000" w:themeColor="text1"/>
          <w:szCs w:val="20"/>
          <w:lang w:val="es-CR"/>
        </w:rPr>
      </w:pPr>
      <w:r w:rsidRPr="00F32643">
        <w:rPr>
          <w:color w:val="000000" w:themeColor="text1"/>
          <w:szCs w:val="20"/>
          <w:lang w:val="es-CR"/>
        </w:rPr>
        <w:t>Por</w:t>
      </w:r>
      <w:r w:rsidR="00C32737">
        <w:rPr>
          <w:color w:val="000000" w:themeColor="text1"/>
          <w:szCs w:val="20"/>
          <w:lang w:val="es-CR"/>
        </w:rPr>
        <w:t xml:space="preserve"> unanimidad:</w:t>
      </w:r>
    </w:p>
    <w:p w14:paraId="365F545A" w14:textId="77777777" w:rsidR="00D47E2E" w:rsidRPr="00F32643" w:rsidRDefault="00D47E2E" w:rsidP="001003AC">
      <w:pPr>
        <w:pStyle w:val="Prrafodelista"/>
        <w:tabs>
          <w:tab w:val="left" w:pos="567"/>
        </w:tabs>
        <w:ind w:left="0"/>
        <w:contextualSpacing w:val="0"/>
        <w:rPr>
          <w:color w:val="000000" w:themeColor="text1"/>
          <w:szCs w:val="20"/>
          <w:lang w:val="es-CR"/>
        </w:rPr>
      </w:pPr>
    </w:p>
    <w:p w14:paraId="7CEA9F57" w14:textId="2736A584" w:rsidR="001003AC" w:rsidRDefault="001003AC" w:rsidP="001003AC">
      <w:pPr>
        <w:pStyle w:val="Prrafodelista"/>
        <w:numPr>
          <w:ilvl w:val="0"/>
          <w:numId w:val="4"/>
        </w:numPr>
        <w:tabs>
          <w:tab w:val="left" w:pos="567"/>
        </w:tabs>
        <w:ind w:left="0" w:firstLine="0"/>
        <w:contextualSpacing w:val="0"/>
        <w:rPr>
          <w:color w:val="000000" w:themeColor="text1"/>
          <w:szCs w:val="20"/>
          <w:lang w:val="es-CR"/>
        </w:rPr>
      </w:pPr>
      <w:r w:rsidRPr="00F32643">
        <w:rPr>
          <w:color w:val="000000" w:themeColor="text1"/>
          <w:szCs w:val="20"/>
          <w:lang w:val="es-CR"/>
        </w:rPr>
        <w:t xml:space="preserve">Declarar admisible la solicitud de interpretación de la </w:t>
      </w:r>
      <w:r w:rsidR="005B39DF" w:rsidRPr="00F32643">
        <w:rPr>
          <w:color w:val="000000" w:themeColor="text1"/>
          <w:szCs w:val="20"/>
          <w:lang w:val="es-CR"/>
        </w:rPr>
        <w:t>Sentencia de Fondo</w:t>
      </w:r>
      <w:r w:rsidR="00D30A93" w:rsidRPr="00F32643">
        <w:rPr>
          <w:color w:val="000000" w:themeColor="text1"/>
          <w:szCs w:val="20"/>
          <w:lang w:val="es-CR"/>
        </w:rPr>
        <w:t>,</w:t>
      </w:r>
      <w:r w:rsidR="005B39DF" w:rsidRPr="00F32643">
        <w:rPr>
          <w:color w:val="000000" w:themeColor="text1"/>
          <w:szCs w:val="20"/>
          <w:lang w:val="es-CR"/>
        </w:rPr>
        <w:t xml:space="preserve"> Reparaciones</w:t>
      </w:r>
      <w:r w:rsidR="00D30A93" w:rsidRPr="00F32643">
        <w:rPr>
          <w:color w:val="000000" w:themeColor="text1"/>
          <w:szCs w:val="20"/>
          <w:lang w:val="es-CR"/>
        </w:rPr>
        <w:t xml:space="preserve"> y Costas</w:t>
      </w:r>
      <w:r w:rsidR="005B39DF" w:rsidRPr="00F32643">
        <w:rPr>
          <w:color w:val="000000" w:themeColor="text1"/>
          <w:szCs w:val="20"/>
          <w:lang w:val="es-CR"/>
        </w:rPr>
        <w:t xml:space="preserve"> en el caso </w:t>
      </w:r>
      <w:r w:rsidR="00026A0D">
        <w:rPr>
          <w:i/>
          <w:color w:val="000000" w:themeColor="text1"/>
          <w:szCs w:val="20"/>
          <w:lang w:val="es-CR"/>
        </w:rPr>
        <w:t xml:space="preserve">Nissen </w:t>
      </w:r>
      <w:proofErr w:type="spellStart"/>
      <w:r w:rsidR="00026A0D">
        <w:rPr>
          <w:i/>
          <w:color w:val="000000" w:themeColor="text1"/>
          <w:szCs w:val="20"/>
          <w:lang w:val="es-CR"/>
        </w:rPr>
        <w:t>Pessolani</w:t>
      </w:r>
      <w:proofErr w:type="spellEnd"/>
      <w:r w:rsidR="00026A0D">
        <w:rPr>
          <w:i/>
          <w:color w:val="000000" w:themeColor="text1"/>
          <w:szCs w:val="20"/>
          <w:lang w:val="es-CR"/>
        </w:rPr>
        <w:t xml:space="preserve"> Vs. Paraguay</w:t>
      </w:r>
      <w:r w:rsidR="005B39DF" w:rsidRPr="00F32643">
        <w:rPr>
          <w:i/>
          <w:color w:val="000000" w:themeColor="text1"/>
          <w:szCs w:val="20"/>
          <w:lang w:val="es-CR"/>
        </w:rPr>
        <w:t xml:space="preserve">, </w:t>
      </w:r>
      <w:r w:rsidR="005B39DF" w:rsidRPr="00F32643">
        <w:rPr>
          <w:iCs/>
          <w:color w:val="000000" w:themeColor="text1"/>
          <w:szCs w:val="20"/>
          <w:lang w:val="es-CR"/>
        </w:rPr>
        <w:t>presentada por el Estado</w:t>
      </w:r>
      <w:r w:rsidRPr="00F32643">
        <w:rPr>
          <w:color w:val="000000" w:themeColor="text1"/>
          <w:szCs w:val="20"/>
          <w:lang w:val="es-CR"/>
        </w:rPr>
        <w:t xml:space="preserve">, en los términos </w:t>
      </w:r>
      <w:r w:rsidR="00C32737">
        <w:rPr>
          <w:color w:val="000000" w:themeColor="text1"/>
          <w:szCs w:val="20"/>
          <w:lang w:val="es-CR"/>
        </w:rPr>
        <w:t>del párrafo 7</w:t>
      </w:r>
      <w:r w:rsidRPr="00F32643">
        <w:rPr>
          <w:color w:val="000000" w:themeColor="text1"/>
          <w:szCs w:val="20"/>
          <w:lang w:val="es-CR"/>
        </w:rPr>
        <w:t xml:space="preserve"> de la presente Sentencia de Interpretación.</w:t>
      </w:r>
    </w:p>
    <w:p w14:paraId="4C540898" w14:textId="77777777" w:rsidR="008A63AF" w:rsidRDefault="008A63AF" w:rsidP="008A63AF">
      <w:pPr>
        <w:pStyle w:val="Prrafodelista"/>
        <w:tabs>
          <w:tab w:val="left" w:pos="567"/>
        </w:tabs>
        <w:ind w:left="0"/>
        <w:contextualSpacing w:val="0"/>
        <w:rPr>
          <w:color w:val="000000" w:themeColor="text1"/>
          <w:szCs w:val="20"/>
          <w:lang w:val="es-CR"/>
        </w:rPr>
      </w:pPr>
    </w:p>
    <w:p w14:paraId="4387C0DF" w14:textId="0634E567" w:rsidR="008A63AF" w:rsidRPr="00F32643" w:rsidRDefault="008A63AF" w:rsidP="001003AC">
      <w:pPr>
        <w:pStyle w:val="Prrafodelista"/>
        <w:numPr>
          <w:ilvl w:val="0"/>
          <w:numId w:val="4"/>
        </w:numPr>
        <w:tabs>
          <w:tab w:val="left" w:pos="567"/>
        </w:tabs>
        <w:ind w:left="0" w:firstLine="0"/>
        <w:contextualSpacing w:val="0"/>
        <w:rPr>
          <w:color w:val="000000" w:themeColor="text1"/>
          <w:szCs w:val="20"/>
          <w:lang w:val="es-CR"/>
        </w:rPr>
      </w:pPr>
      <w:r>
        <w:rPr>
          <w:color w:val="000000" w:themeColor="text1"/>
          <w:szCs w:val="20"/>
          <w:lang w:val="es-CR"/>
        </w:rPr>
        <w:t xml:space="preserve">Desestimar por improcedente la solicitud </w:t>
      </w:r>
      <w:r w:rsidR="00D33BD3">
        <w:rPr>
          <w:color w:val="000000" w:themeColor="text1"/>
          <w:szCs w:val="20"/>
          <w:lang w:val="es-CR"/>
        </w:rPr>
        <w:t xml:space="preserve">de </w:t>
      </w:r>
      <w:r w:rsidR="000E34F1">
        <w:rPr>
          <w:color w:val="000000" w:themeColor="text1"/>
          <w:szCs w:val="20"/>
          <w:lang w:val="es-CR"/>
        </w:rPr>
        <w:t xml:space="preserve">interpretación de la Sentencia de </w:t>
      </w:r>
      <w:r w:rsidR="000E34F1" w:rsidRPr="000E34F1">
        <w:rPr>
          <w:color w:val="000000" w:themeColor="text1"/>
          <w:szCs w:val="20"/>
          <w:lang w:val="es-CR"/>
        </w:rPr>
        <w:t xml:space="preserve">Fondo, Reparaciones y Costas en el caso </w:t>
      </w:r>
      <w:r w:rsidR="000E34F1" w:rsidRPr="000E34F1">
        <w:rPr>
          <w:i/>
          <w:iCs/>
          <w:color w:val="000000" w:themeColor="text1"/>
          <w:szCs w:val="20"/>
          <w:lang w:val="es-CR"/>
        </w:rPr>
        <w:t xml:space="preserve">Nissen </w:t>
      </w:r>
      <w:proofErr w:type="spellStart"/>
      <w:r w:rsidR="000E34F1" w:rsidRPr="000E34F1">
        <w:rPr>
          <w:i/>
          <w:iCs/>
          <w:color w:val="000000" w:themeColor="text1"/>
          <w:szCs w:val="20"/>
          <w:lang w:val="es-CR"/>
        </w:rPr>
        <w:t>Pessolani</w:t>
      </w:r>
      <w:proofErr w:type="spellEnd"/>
      <w:r w:rsidR="000E34F1" w:rsidRPr="000E34F1">
        <w:rPr>
          <w:i/>
          <w:iCs/>
          <w:color w:val="000000" w:themeColor="text1"/>
          <w:szCs w:val="20"/>
          <w:lang w:val="es-CR"/>
        </w:rPr>
        <w:t xml:space="preserve"> Vs. Paraguay</w:t>
      </w:r>
      <w:r w:rsidR="000E34F1">
        <w:rPr>
          <w:i/>
          <w:iCs/>
          <w:color w:val="000000" w:themeColor="text1"/>
          <w:szCs w:val="20"/>
          <w:lang w:val="es-CR"/>
        </w:rPr>
        <w:t>,</w:t>
      </w:r>
      <w:r w:rsidR="000E34F1" w:rsidRPr="000E34F1">
        <w:rPr>
          <w:color w:val="000000" w:themeColor="text1"/>
          <w:szCs w:val="20"/>
          <w:lang w:val="es-CR"/>
        </w:rPr>
        <w:t xml:space="preserve"> </w:t>
      </w:r>
      <w:r>
        <w:rPr>
          <w:color w:val="000000" w:themeColor="text1"/>
          <w:szCs w:val="20"/>
          <w:lang w:val="es-CR"/>
        </w:rPr>
        <w:t xml:space="preserve">presentada por el Estado, en los términos de los párrafos </w:t>
      </w:r>
      <w:r w:rsidR="003E5EA9">
        <w:rPr>
          <w:color w:val="000000" w:themeColor="text1"/>
          <w:szCs w:val="20"/>
          <w:lang w:val="es-CR"/>
        </w:rPr>
        <w:t>11 a 18</w:t>
      </w:r>
      <w:r>
        <w:rPr>
          <w:color w:val="000000" w:themeColor="text1"/>
          <w:szCs w:val="20"/>
          <w:lang w:val="es-CR"/>
        </w:rPr>
        <w:t xml:space="preserve"> de la presente Sentencia de Interpretación.</w:t>
      </w:r>
    </w:p>
    <w:p w14:paraId="1FA3BE31" w14:textId="77777777" w:rsidR="001003AC" w:rsidRPr="00F32643" w:rsidRDefault="001003AC" w:rsidP="001003AC">
      <w:pPr>
        <w:pStyle w:val="Prrafodelista"/>
        <w:tabs>
          <w:tab w:val="left" w:pos="567"/>
        </w:tabs>
        <w:ind w:left="0"/>
        <w:contextualSpacing w:val="0"/>
        <w:rPr>
          <w:color w:val="000000" w:themeColor="text1"/>
          <w:szCs w:val="20"/>
          <w:lang w:val="es-CR"/>
        </w:rPr>
      </w:pPr>
    </w:p>
    <w:p w14:paraId="2CF09130" w14:textId="23F1411A" w:rsidR="00AB409C" w:rsidRDefault="001003AC" w:rsidP="00F5392D">
      <w:pPr>
        <w:pStyle w:val="Prrafodelista"/>
        <w:numPr>
          <w:ilvl w:val="0"/>
          <w:numId w:val="4"/>
        </w:numPr>
        <w:tabs>
          <w:tab w:val="left" w:pos="567"/>
        </w:tabs>
        <w:ind w:left="0" w:firstLine="0"/>
        <w:contextualSpacing w:val="0"/>
        <w:rPr>
          <w:color w:val="000000" w:themeColor="text1"/>
          <w:szCs w:val="20"/>
          <w:lang w:val="es-CR"/>
        </w:rPr>
      </w:pPr>
      <w:r w:rsidRPr="00F32643">
        <w:rPr>
          <w:color w:val="000000" w:themeColor="text1"/>
          <w:szCs w:val="20"/>
          <w:lang w:val="es-CR"/>
        </w:rPr>
        <w:t>Disponer que la Secretaría de la Corte notifique la presente Sentencia de Interpretación a la República de</w:t>
      </w:r>
      <w:r w:rsidR="00F5392D">
        <w:rPr>
          <w:color w:val="000000" w:themeColor="text1"/>
          <w:szCs w:val="20"/>
          <w:lang w:val="es-CR"/>
        </w:rPr>
        <w:t>l Paraguay</w:t>
      </w:r>
      <w:r w:rsidRPr="00F32643">
        <w:rPr>
          <w:color w:val="000000" w:themeColor="text1"/>
          <w:szCs w:val="20"/>
          <w:lang w:val="es-CR"/>
        </w:rPr>
        <w:t>, al representante de la víctima y a la Comisión Interamericana de Derechos Humanos.</w:t>
      </w:r>
    </w:p>
    <w:p w14:paraId="1E4C4133" w14:textId="77777777" w:rsidR="003E5EA9" w:rsidRPr="003E5EA9" w:rsidRDefault="003E5EA9" w:rsidP="003E5EA9">
      <w:pPr>
        <w:pStyle w:val="Prrafodelista"/>
        <w:rPr>
          <w:color w:val="000000" w:themeColor="text1"/>
          <w:szCs w:val="20"/>
          <w:lang w:val="es-CR"/>
        </w:rPr>
      </w:pPr>
    </w:p>
    <w:p w14:paraId="49B9CF0B" w14:textId="77777777" w:rsidR="00DB2FF2" w:rsidRDefault="00DB2FF2" w:rsidP="003E5EA9">
      <w:pPr>
        <w:pStyle w:val="Prrafodelista"/>
        <w:tabs>
          <w:tab w:val="left" w:pos="567"/>
        </w:tabs>
        <w:ind w:left="0"/>
        <w:contextualSpacing w:val="0"/>
        <w:rPr>
          <w:color w:val="000000" w:themeColor="text1"/>
          <w:szCs w:val="20"/>
          <w:lang w:val="es-CR"/>
        </w:rPr>
      </w:pPr>
    </w:p>
    <w:p w14:paraId="18188C62" w14:textId="77777777" w:rsidR="00DB2FF2" w:rsidRDefault="00DB2FF2" w:rsidP="003E5EA9">
      <w:pPr>
        <w:pStyle w:val="Prrafodelista"/>
        <w:tabs>
          <w:tab w:val="left" w:pos="567"/>
        </w:tabs>
        <w:ind w:left="0"/>
        <w:contextualSpacing w:val="0"/>
        <w:rPr>
          <w:color w:val="000000" w:themeColor="text1"/>
          <w:szCs w:val="20"/>
          <w:lang w:val="es-CR"/>
        </w:rPr>
      </w:pPr>
    </w:p>
    <w:p w14:paraId="041A2B26" w14:textId="77777777" w:rsidR="00DB2FF2" w:rsidRDefault="00DB2FF2" w:rsidP="003E5EA9">
      <w:pPr>
        <w:pStyle w:val="Prrafodelista"/>
        <w:tabs>
          <w:tab w:val="left" w:pos="567"/>
        </w:tabs>
        <w:ind w:left="0"/>
        <w:contextualSpacing w:val="0"/>
        <w:rPr>
          <w:color w:val="000000" w:themeColor="text1"/>
          <w:szCs w:val="20"/>
          <w:lang w:val="es-CR"/>
        </w:rPr>
      </w:pPr>
    </w:p>
    <w:p w14:paraId="493D7047" w14:textId="77777777" w:rsidR="00DB2FF2" w:rsidRDefault="00DB2FF2" w:rsidP="003E5EA9">
      <w:pPr>
        <w:pStyle w:val="Prrafodelista"/>
        <w:tabs>
          <w:tab w:val="left" w:pos="567"/>
        </w:tabs>
        <w:ind w:left="0"/>
        <w:contextualSpacing w:val="0"/>
        <w:rPr>
          <w:color w:val="000000" w:themeColor="text1"/>
          <w:szCs w:val="20"/>
          <w:lang w:val="es-CR"/>
        </w:rPr>
      </w:pPr>
    </w:p>
    <w:p w14:paraId="59B5CDB7" w14:textId="77777777" w:rsidR="00DB2FF2" w:rsidRDefault="00DB2FF2" w:rsidP="003E5EA9">
      <w:pPr>
        <w:pStyle w:val="Prrafodelista"/>
        <w:tabs>
          <w:tab w:val="left" w:pos="567"/>
        </w:tabs>
        <w:ind w:left="0"/>
        <w:contextualSpacing w:val="0"/>
        <w:rPr>
          <w:color w:val="000000" w:themeColor="text1"/>
          <w:szCs w:val="20"/>
          <w:lang w:val="es-CR"/>
        </w:rPr>
      </w:pPr>
    </w:p>
    <w:p w14:paraId="108B6390" w14:textId="77777777" w:rsidR="00DB2FF2" w:rsidRDefault="00DB2FF2" w:rsidP="003E5EA9">
      <w:pPr>
        <w:pStyle w:val="Prrafodelista"/>
        <w:tabs>
          <w:tab w:val="left" w:pos="567"/>
        </w:tabs>
        <w:ind w:left="0"/>
        <w:contextualSpacing w:val="0"/>
        <w:rPr>
          <w:color w:val="000000" w:themeColor="text1"/>
          <w:szCs w:val="20"/>
          <w:lang w:val="es-CR"/>
        </w:rPr>
      </w:pPr>
    </w:p>
    <w:p w14:paraId="53653260" w14:textId="77777777" w:rsidR="00DB2FF2" w:rsidRDefault="00DB2FF2" w:rsidP="003E5EA9">
      <w:pPr>
        <w:pStyle w:val="Prrafodelista"/>
        <w:tabs>
          <w:tab w:val="left" w:pos="567"/>
        </w:tabs>
        <w:ind w:left="0"/>
        <w:contextualSpacing w:val="0"/>
        <w:rPr>
          <w:color w:val="000000" w:themeColor="text1"/>
          <w:szCs w:val="20"/>
          <w:lang w:val="es-CR"/>
        </w:rPr>
      </w:pPr>
    </w:p>
    <w:p w14:paraId="006CA876" w14:textId="77777777" w:rsidR="00DB2FF2" w:rsidRDefault="00DB2FF2" w:rsidP="003E5EA9">
      <w:pPr>
        <w:pStyle w:val="Prrafodelista"/>
        <w:tabs>
          <w:tab w:val="left" w:pos="567"/>
        </w:tabs>
        <w:ind w:left="0"/>
        <w:contextualSpacing w:val="0"/>
        <w:rPr>
          <w:color w:val="000000" w:themeColor="text1"/>
          <w:szCs w:val="20"/>
          <w:lang w:val="es-CR"/>
        </w:rPr>
      </w:pPr>
    </w:p>
    <w:p w14:paraId="5F016CE1" w14:textId="77777777" w:rsidR="00DB2FF2" w:rsidRDefault="00DB2FF2" w:rsidP="003E5EA9">
      <w:pPr>
        <w:pStyle w:val="Prrafodelista"/>
        <w:tabs>
          <w:tab w:val="left" w:pos="567"/>
        </w:tabs>
        <w:ind w:left="0"/>
        <w:contextualSpacing w:val="0"/>
        <w:rPr>
          <w:color w:val="000000" w:themeColor="text1"/>
          <w:szCs w:val="20"/>
          <w:lang w:val="es-CR"/>
        </w:rPr>
      </w:pPr>
    </w:p>
    <w:p w14:paraId="1F9DFF39" w14:textId="77777777" w:rsidR="00DB2FF2" w:rsidRDefault="00DB2FF2" w:rsidP="003E5EA9">
      <w:pPr>
        <w:pStyle w:val="Prrafodelista"/>
        <w:tabs>
          <w:tab w:val="left" w:pos="567"/>
        </w:tabs>
        <w:ind w:left="0"/>
        <w:contextualSpacing w:val="0"/>
        <w:rPr>
          <w:color w:val="000000" w:themeColor="text1"/>
          <w:szCs w:val="20"/>
          <w:lang w:val="es-CR"/>
        </w:rPr>
      </w:pPr>
    </w:p>
    <w:p w14:paraId="528BF708" w14:textId="77777777" w:rsidR="00DB2FF2" w:rsidRDefault="00DB2FF2" w:rsidP="003E5EA9">
      <w:pPr>
        <w:pStyle w:val="Prrafodelista"/>
        <w:tabs>
          <w:tab w:val="left" w:pos="567"/>
        </w:tabs>
        <w:ind w:left="0"/>
        <w:contextualSpacing w:val="0"/>
        <w:rPr>
          <w:color w:val="000000" w:themeColor="text1"/>
          <w:szCs w:val="20"/>
          <w:lang w:val="es-CR"/>
        </w:rPr>
      </w:pPr>
    </w:p>
    <w:p w14:paraId="71C1EDC6" w14:textId="77777777" w:rsidR="00DB2FF2" w:rsidRDefault="00DB2FF2" w:rsidP="003E5EA9">
      <w:pPr>
        <w:pStyle w:val="Prrafodelista"/>
        <w:tabs>
          <w:tab w:val="left" w:pos="567"/>
        </w:tabs>
        <w:ind w:left="0"/>
        <w:contextualSpacing w:val="0"/>
        <w:rPr>
          <w:color w:val="000000" w:themeColor="text1"/>
          <w:szCs w:val="20"/>
          <w:lang w:val="es-CR"/>
        </w:rPr>
      </w:pPr>
    </w:p>
    <w:p w14:paraId="1DA46E8E" w14:textId="77777777" w:rsidR="00DB2FF2" w:rsidRDefault="00DB2FF2" w:rsidP="003E5EA9">
      <w:pPr>
        <w:pStyle w:val="Prrafodelista"/>
        <w:tabs>
          <w:tab w:val="left" w:pos="567"/>
        </w:tabs>
        <w:ind w:left="0"/>
        <w:contextualSpacing w:val="0"/>
        <w:rPr>
          <w:color w:val="000000" w:themeColor="text1"/>
          <w:szCs w:val="20"/>
          <w:lang w:val="es-CR"/>
        </w:rPr>
      </w:pPr>
    </w:p>
    <w:p w14:paraId="402D56A6" w14:textId="77777777" w:rsidR="00DB2FF2" w:rsidRDefault="00DB2FF2" w:rsidP="003E5EA9">
      <w:pPr>
        <w:pStyle w:val="Prrafodelista"/>
        <w:tabs>
          <w:tab w:val="left" w:pos="567"/>
        </w:tabs>
        <w:ind w:left="0"/>
        <w:contextualSpacing w:val="0"/>
        <w:rPr>
          <w:color w:val="000000" w:themeColor="text1"/>
          <w:szCs w:val="20"/>
          <w:lang w:val="es-CR"/>
        </w:rPr>
      </w:pPr>
    </w:p>
    <w:p w14:paraId="1490F69D" w14:textId="77777777" w:rsidR="00DB2FF2" w:rsidRDefault="00DB2FF2" w:rsidP="003E5EA9">
      <w:pPr>
        <w:pStyle w:val="Prrafodelista"/>
        <w:tabs>
          <w:tab w:val="left" w:pos="567"/>
        </w:tabs>
        <w:ind w:left="0"/>
        <w:contextualSpacing w:val="0"/>
        <w:rPr>
          <w:color w:val="000000" w:themeColor="text1"/>
          <w:szCs w:val="20"/>
          <w:lang w:val="es-CR"/>
        </w:rPr>
      </w:pPr>
    </w:p>
    <w:p w14:paraId="0C3DD7CF" w14:textId="77777777" w:rsidR="00DB2FF2" w:rsidRDefault="00DB2FF2" w:rsidP="003E5EA9">
      <w:pPr>
        <w:pStyle w:val="Prrafodelista"/>
        <w:tabs>
          <w:tab w:val="left" w:pos="567"/>
        </w:tabs>
        <w:ind w:left="0"/>
        <w:contextualSpacing w:val="0"/>
        <w:rPr>
          <w:color w:val="000000" w:themeColor="text1"/>
          <w:szCs w:val="20"/>
          <w:lang w:val="es-CR"/>
        </w:rPr>
      </w:pPr>
    </w:p>
    <w:p w14:paraId="26FA2A7E" w14:textId="77777777" w:rsidR="00DB2FF2" w:rsidRDefault="00DB2FF2" w:rsidP="003E5EA9">
      <w:pPr>
        <w:pStyle w:val="Prrafodelista"/>
        <w:tabs>
          <w:tab w:val="left" w:pos="567"/>
        </w:tabs>
        <w:ind w:left="0"/>
        <w:contextualSpacing w:val="0"/>
        <w:rPr>
          <w:color w:val="000000" w:themeColor="text1"/>
          <w:szCs w:val="20"/>
          <w:lang w:val="es-CR"/>
        </w:rPr>
      </w:pPr>
    </w:p>
    <w:p w14:paraId="4A31005B" w14:textId="77777777" w:rsidR="00DB2FF2" w:rsidRDefault="00DB2FF2" w:rsidP="003E5EA9">
      <w:pPr>
        <w:pStyle w:val="Prrafodelista"/>
        <w:tabs>
          <w:tab w:val="left" w:pos="567"/>
        </w:tabs>
        <w:ind w:left="0"/>
        <w:contextualSpacing w:val="0"/>
        <w:rPr>
          <w:color w:val="000000" w:themeColor="text1"/>
          <w:szCs w:val="20"/>
          <w:lang w:val="es-CR"/>
        </w:rPr>
      </w:pPr>
    </w:p>
    <w:p w14:paraId="5241979C" w14:textId="77777777" w:rsidR="00DB2FF2" w:rsidRDefault="00DB2FF2" w:rsidP="003E5EA9">
      <w:pPr>
        <w:pStyle w:val="Prrafodelista"/>
        <w:tabs>
          <w:tab w:val="left" w:pos="567"/>
        </w:tabs>
        <w:ind w:left="0"/>
        <w:contextualSpacing w:val="0"/>
        <w:rPr>
          <w:color w:val="000000" w:themeColor="text1"/>
          <w:szCs w:val="20"/>
          <w:lang w:val="es-CR"/>
        </w:rPr>
      </w:pPr>
    </w:p>
    <w:p w14:paraId="051C1A88" w14:textId="77777777" w:rsidR="00DB2FF2" w:rsidRDefault="00DB2FF2" w:rsidP="003E5EA9">
      <w:pPr>
        <w:pStyle w:val="Prrafodelista"/>
        <w:tabs>
          <w:tab w:val="left" w:pos="567"/>
        </w:tabs>
        <w:ind w:left="0"/>
        <w:contextualSpacing w:val="0"/>
        <w:rPr>
          <w:color w:val="000000" w:themeColor="text1"/>
          <w:szCs w:val="20"/>
          <w:lang w:val="es-CR"/>
        </w:rPr>
      </w:pPr>
    </w:p>
    <w:p w14:paraId="05315783" w14:textId="77777777" w:rsidR="00DB2FF2" w:rsidRDefault="00DB2FF2" w:rsidP="003E5EA9">
      <w:pPr>
        <w:pStyle w:val="Prrafodelista"/>
        <w:tabs>
          <w:tab w:val="left" w:pos="567"/>
        </w:tabs>
        <w:ind w:left="0"/>
        <w:contextualSpacing w:val="0"/>
        <w:rPr>
          <w:color w:val="000000" w:themeColor="text1"/>
          <w:szCs w:val="20"/>
          <w:lang w:val="es-CR"/>
        </w:rPr>
      </w:pPr>
    </w:p>
    <w:p w14:paraId="2E7E15AA" w14:textId="77777777" w:rsidR="00DB2FF2" w:rsidRDefault="00DB2FF2" w:rsidP="003E5EA9">
      <w:pPr>
        <w:pStyle w:val="Prrafodelista"/>
        <w:tabs>
          <w:tab w:val="left" w:pos="567"/>
        </w:tabs>
        <w:ind w:left="0"/>
        <w:contextualSpacing w:val="0"/>
        <w:rPr>
          <w:color w:val="000000" w:themeColor="text1"/>
          <w:szCs w:val="20"/>
          <w:lang w:val="es-CR"/>
        </w:rPr>
      </w:pPr>
    </w:p>
    <w:p w14:paraId="694EC9D9" w14:textId="77777777" w:rsidR="00DB2FF2" w:rsidRDefault="00DB2FF2" w:rsidP="003E5EA9">
      <w:pPr>
        <w:pStyle w:val="Prrafodelista"/>
        <w:tabs>
          <w:tab w:val="left" w:pos="567"/>
        </w:tabs>
        <w:ind w:left="0"/>
        <w:contextualSpacing w:val="0"/>
        <w:rPr>
          <w:color w:val="000000" w:themeColor="text1"/>
          <w:szCs w:val="20"/>
          <w:lang w:val="es-CR"/>
        </w:rPr>
      </w:pPr>
    </w:p>
    <w:p w14:paraId="49D19490" w14:textId="77777777" w:rsidR="00DB2FF2" w:rsidRPr="00DB2FF2" w:rsidRDefault="00DB2FF2" w:rsidP="00DB2FF2">
      <w:pPr>
        <w:tabs>
          <w:tab w:val="left" w:pos="567"/>
        </w:tabs>
        <w:spacing w:before="240" w:after="240"/>
        <w:rPr>
          <w:szCs w:val="20"/>
          <w:lang w:val="es-ES"/>
        </w:rPr>
      </w:pPr>
      <w:r w:rsidRPr="00DB2FF2">
        <w:rPr>
          <w:szCs w:val="20"/>
          <w:lang w:val="pt-BR"/>
        </w:rPr>
        <w:lastRenderedPageBreak/>
        <w:t xml:space="preserve">Corte IDH. </w:t>
      </w:r>
      <w:r w:rsidRPr="00DB2FF2">
        <w:rPr>
          <w:i/>
          <w:szCs w:val="20"/>
          <w:lang w:val="pt-BR"/>
        </w:rPr>
        <w:t xml:space="preserve">Caso Nissen </w:t>
      </w:r>
      <w:proofErr w:type="spellStart"/>
      <w:r w:rsidRPr="00DB2FF2">
        <w:rPr>
          <w:i/>
          <w:szCs w:val="20"/>
          <w:lang w:val="pt-BR"/>
        </w:rPr>
        <w:t>Pessolani</w:t>
      </w:r>
      <w:proofErr w:type="spellEnd"/>
      <w:r w:rsidRPr="00DB2FF2">
        <w:rPr>
          <w:i/>
          <w:szCs w:val="20"/>
          <w:lang w:val="pt-BR"/>
        </w:rPr>
        <w:t xml:space="preserve"> Vs. </w:t>
      </w:r>
      <w:r w:rsidRPr="00DB2FF2">
        <w:rPr>
          <w:i/>
          <w:szCs w:val="20"/>
          <w:lang w:val="es-ES"/>
        </w:rPr>
        <w:t xml:space="preserve">Paraguay. Interpretación de la Sentencia de Fondo, Reparaciones y Costas. </w:t>
      </w:r>
      <w:r w:rsidRPr="00DB2FF2">
        <w:rPr>
          <w:szCs w:val="20"/>
          <w:lang w:val="es-ES"/>
        </w:rPr>
        <w:t>Sentencia de 30 de agosto de 2023. Sentencia adoptada en San José, Costa Rica.</w:t>
      </w:r>
    </w:p>
    <w:p w14:paraId="083D34A1" w14:textId="77777777" w:rsidR="00DB2FF2" w:rsidRPr="00DB2FF2" w:rsidRDefault="00DB2FF2" w:rsidP="00DB2FF2">
      <w:pPr>
        <w:jc w:val="center"/>
        <w:rPr>
          <w:rFonts w:eastAsia="Batang" w:cs="Times"/>
          <w:szCs w:val="20"/>
          <w:lang w:val="es-ES"/>
        </w:rPr>
      </w:pPr>
    </w:p>
    <w:p w14:paraId="2F18AF93" w14:textId="77777777" w:rsidR="00DB2FF2" w:rsidRPr="00DB2FF2" w:rsidRDefault="00DB2FF2" w:rsidP="00DB2FF2">
      <w:pPr>
        <w:jc w:val="center"/>
        <w:rPr>
          <w:rFonts w:eastAsia="Batang" w:cs="Times"/>
          <w:szCs w:val="20"/>
          <w:lang w:val="es-ES"/>
        </w:rPr>
      </w:pPr>
    </w:p>
    <w:p w14:paraId="61145EE3" w14:textId="77777777" w:rsidR="00DB2FF2" w:rsidRPr="00DB2FF2" w:rsidRDefault="00DB2FF2" w:rsidP="00DB2FF2">
      <w:pPr>
        <w:jc w:val="center"/>
        <w:rPr>
          <w:rFonts w:eastAsia="Batang" w:cs="Times"/>
          <w:szCs w:val="20"/>
          <w:lang w:val="es-ES"/>
        </w:rPr>
      </w:pPr>
    </w:p>
    <w:p w14:paraId="6589050D" w14:textId="77777777" w:rsidR="00DB2FF2" w:rsidRPr="00DB2FF2" w:rsidRDefault="00DB2FF2" w:rsidP="00DB2FF2">
      <w:pPr>
        <w:jc w:val="center"/>
        <w:rPr>
          <w:rFonts w:eastAsia="Batang" w:cs="Times"/>
          <w:szCs w:val="20"/>
          <w:lang w:val="es-ES"/>
        </w:rPr>
      </w:pPr>
    </w:p>
    <w:p w14:paraId="5493B4B7" w14:textId="77777777" w:rsidR="00DB2FF2" w:rsidRPr="00DB2FF2" w:rsidRDefault="00DB2FF2" w:rsidP="00DB2FF2">
      <w:pPr>
        <w:jc w:val="center"/>
        <w:rPr>
          <w:rFonts w:eastAsia="Batang" w:cs="Times"/>
          <w:szCs w:val="20"/>
          <w:lang w:val="es-ES"/>
        </w:rPr>
      </w:pPr>
    </w:p>
    <w:p w14:paraId="4188A706" w14:textId="77777777" w:rsidR="00DB2FF2" w:rsidRPr="00DB2FF2" w:rsidRDefault="00DB2FF2" w:rsidP="00DB2FF2">
      <w:pPr>
        <w:jc w:val="center"/>
        <w:rPr>
          <w:rFonts w:eastAsia="Batang" w:cs="Times"/>
          <w:szCs w:val="20"/>
          <w:lang w:val="es-ES"/>
        </w:rPr>
      </w:pPr>
      <w:r w:rsidRPr="00DB2FF2">
        <w:rPr>
          <w:rFonts w:eastAsia="Batang" w:cs="Times"/>
          <w:szCs w:val="20"/>
          <w:lang w:val="es-ES"/>
        </w:rPr>
        <w:t>Ricardo C. Pérez Manrique</w:t>
      </w:r>
    </w:p>
    <w:p w14:paraId="327C6327" w14:textId="77777777" w:rsidR="00DB2FF2" w:rsidRPr="00DB2FF2" w:rsidRDefault="00DB2FF2" w:rsidP="00DB2FF2">
      <w:pPr>
        <w:jc w:val="center"/>
        <w:rPr>
          <w:rFonts w:eastAsia="Batang" w:cs="Times"/>
          <w:szCs w:val="20"/>
          <w:lang w:val="es-ES"/>
        </w:rPr>
      </w:pPr>
      <w:r w:rsidRPr="00DB2FF2">
        <w:rPr>
          <w:rFonts w:eastAsia="Batang" w:cs="Times"/>
          <w:szCs w:val="20"/>
          <w:lang w:val="es-ES"/>
        </w:rPr>
        <w:t>Presidente</w:t>
      </w:r>
    </w:p>
    <w:p w14:paraId="68F49E11" w14:textId="77777777" w:rsidR="00DB2FF2" w:rsidRPr="00DB2FF2" w:rsidRDefault="00DB2FF2" w:rsidP="00DB2FF2">
      <w:pPr>
        <w:rPr>
          <w:rFonts w:eastAsia="Batang" w:cs="Times"/>
          <w:szCs w:val="20"/>
          <w:lang w:val="es-ES"/>
        </w:rPr>
      </w:pPr>
    </w:p>
    <w:p w14:paraId="0B60D649" w14:textId="77777777" w:rsidR="00DB2FF2" w:rsidRPr="00DB2FF2" w:rsidRDefault="00DB2FF2" w:rsidP="00DB2FF2">
      <w:pPr>
        <w:rPr>
          <w:rFonts w:eastAsia="Batang" w:cs="Times"/>
          <w:szCs w:val="20"/>
          <w:lang w:val="es-ES"/>
        </w:rPr>
      </w:pPr>
    </w:p>
    <w:p w14:paraId="1D095569" w14:textId="77777777" w:rsidR="00DB2FF2" w:rsidRPr="00DB2FF2" w:rsidRDefault="00DB2FF2" w:rsidP="00DB2FF2">
      <w:pPr>
        <w:rPr>
          <w:rFonts w:eastAsia="Batang" w:cs="Times"/>
          <w:szCs w:val="20"/>
          <w:lang w:val="es-ES"/>
        </w:rPr>
      </w:pPr>
    </w:p>
    <w:p w14:paraId="0A1E5B0A" w14:textId="77777777" w:rsidR="00DB2FF2" w:rsidRPr="00DB2FF2" w:rsidRDefault="00DB2FF2" w:rsidP="00DB2FF2">
      <w:pPr>
        <w:rPr>
          <w:rFonts w:eastAsia="Batang" w:cs="Times"/>
          <w:szCs w:val="20"/>
          <w:lang w:val="es-ES"/>
        </w:rPr>
      </w:pPr>
    </w:p>
    <w:p w14:paraId="49974375" w14:textId="77777777" w:rsidR="00DB2FF2" w:rsidRPr="00DB2FF2" w:rsidRDefault="00DB2FF2" w:rsidP="00DB2FF2">
      <w:pPr>
        <w:rPr>
          <w:rFonts w:eastAsia="Batang" w:cs="Times"/>
          <w:szCs w:val="20"/>
          <w:lang w:val="es-ES"/>
        </w:rPr>
      </w:pPr>
    </w:p>
    <w:p w14:paraId="4B03BB84" w14:textId="77777777" w:rsidR="00DB2FF2" w:rsidRPr="00DB2FF2" w:rsidRDefault="00DB2FF2" w:rsidP="00DB2FF2">
      <w:pPr>
        <w:rPr>
          <w:rFonts w:eastAsia="Batang" w:cs="Times"/>
          <w:szCs w:val="20"/>
          <w:lang w:val="es-ES"/>
        </w:rPr>
      </w:pPr>
      <w:r w:rsidRPr="00DB2FF2">
        <w:rPr>
          <w:rFonts w:eastAsia="Batang" w:cs="Times"/>
          <w:szCs w:val="20"/>
          <w:lang w:val="es-ES"/>
        </w:rPr>
        <w:t>Eduardo Ferrer Mac-</w:t>
      </w:r>
      <w:proofErr w:type="spellStart"/>
      <w:r w:rsidRPr="00DB2FF2">
        <w:rPr>
          <w:rFonts w:eastAsia="Batang" w:cs="Times"/>
          <w:szCs w:val="20"/>
          <w:lang w:val="es-ES"/>
        </w:rPr>
        <w:t>Gregor</w:t>
      </w:r>
      <w:proofErr w:type="spellEnd"/>
      <w:r w:rsidRPr="00DB2FF2">
        <w:rPr>
          <w:rFonts w:eastAsia="Batang" w:cs="Times"/>
          <w:szCs w:val="20"/>
          <w:lang w:val="es-ES"/>
        </w:rPr>
        <w:t xml:space="preserve"> </w:t>
      </w:r>
      <w:proofErr w:type="spellStart"/>
      <w:r w:rsidRPr="00DB2FF2">
        <w:rPr>
          <w:rFonts w:eastAsia="Batang" w:cs="Times"/>
          <w:szCs w:val="20"/>
          <w:lang w:val="es-ES"/>
        </w:rPr>
        <w:t>Poisot</w:t>
      </w:r>
      <w:proofErr w:type="spellEnd"/>
      <w:r w:rsidRPr="00DB2FF2">
        <w:rPr>
          <w:rFonts w:eastAsia="Batang" w:cs="Times"/>
          <w:szCs w:val="20"/>
          <w:lang w:val="es-ES"/>
        </w:rPr>
        <w:tab/>
      </w:r>
      <w:r w:rsidRPr="00DB2FF2">
        <w:rPr>
          <w:rFonts w:eastAsia="Batang" w:cs="Times"/>
          <w:szCs w:val="20"/>
          <w:lang w:val="es-ES"/>
        </w:rPr>
        <w:tab/>
      </w:r>
      <w:r w:rsidRPr="00DB2FF2">
        <w:rPr>
          <w:rFonts w:eastAsia="Batang" w:cs="Times"/>
          <w:szCs w:val="20"/>
          <w:lang w:val="es-ES"/>
        </w:rPr>
        <w:tab/>
      </w:r>
      <w:r w:rsidRPr="00DB2FF2">
        <w:rPr>
          <w:rFonts w:eastAsia="Batang" w:cs="Times"/>
          <w:szCs w:val="20"/>
          <w:lang w:val="es-ES"/>
        </w:rPr>
        <w:tab/>
        <w:t xml:space="preserve"> Humberto Antonio Sierra Porto</w:t>
      </w:r>
    </w:p>
    <w:p w14:paraId="693D92E3" w14:textId="77777777" w:rsidR="00DB2FF2" w:rsidRPr="00DB2FF2" w:rsidRDefault="00DB2FF2" w:rsidP="00DB2FF2">
      <w:pPr>
        <w:rPr>
          <w:rFonts w:eastAsia="Batang" w:cs="Times"/>
          <w:szCs w:val="20"/>
          <w:lang w:val="es-ES"/>
        </w:rPr>
      </w:pPr>
    </w:p>
    <w:p w14:paraId="7A3909CB" w14:textId="77777777" w:rsidR="00DB2FF2" w:rsidRPr="00DB2FF2" w:rsidRDefault="00DB2FF2" w:rsidP="00DB2FF2">
      <w:pPr>
        <w:rPr>
          <w:rFonts w:eastAsia="Batang" w:cs="Times"/>
          <w:szCs w:val="20"/>
          <w:lang w:val="es-ES"/>
        </w:rPr>
      </w:pPr>
    </w:p>
    <w:p w14:paraId="7939B032" w14:textId="77777777" w:rsidR="00DB2FF2" w:rsidRPr="00DB2FF2" w:rsidRDefault="00DB2FF2" w:rsidP="00DB2FF2">
      <w:pPr>
        <w:rPr>
          <w:rFonts w:eastAsia="Batang" w:cs="Times"/>
          <w:szCs w:val="20"/>
          <w:lang w:val="es-ES"/>
        </w:rPr>
      </w:pPr>
    </w:p>
    <w:p w14:paraId="35296D52" w14:textId="77777777" w:rsidR="00DB2FF2" w:rsidRPr="00DB2FF2" w:rsidRDefault="00DB2FF2" w:rsidP="00DB2FF2">
      <w:pPr>
        <w:rPr>
          <w:rFonts w:eastAsia="Batang" w:cs="Times"/>
          <w:szCs w:val="20"/>
          <w:lang w:val="es-ES"/>
        </w:rPr>
      </w:pPr>
    </w:p>
    <w:p w14:paraId="11539FB5" w14:textId="77777777" w:rsidR="00DB2FF2" w:rsidRPr="00DB2FF2" w:rsidRDefault="00DB2FF2" w:rsidP="00DB2FF2">
      <w:pPr>
        <w:rPr>
          <w:rFonts w:eastAsia="Batang" w:cs="Times"/>
          <w:szCs w:val="20"/>
          <w:lang w:val="es-ES"/>
        </w:rPr>
      </w:pPr>
    </w:p>
    <w:p w14:paraId="5022B014" w14:textId="77777777" w:rsidR="00DB2FF2" w:rsidRPr="00DB2FF2" w:rsidRDefault="00DB2FF2" w:rsidP="00DB2FF2">
      <w:pPr>
        <w:rPr>
          <w:rFonts w:eastAsia="Batang" w:cs="Times"/>
          <w:szCs w:val="20"/>
          <w:lang w:val="es-ES"/>
        </w:rPr>
      </w:pPr>
      <w:r w:rsidRPr="00DB2FF2">
        <w:rPr>
          <w:rFonts w:eastAsia="Times" w:cs="Times"/>
          <w:szCs w:val="20"/>
          <w:lang w:val="es-CR"/>
        </w:rPr>
        <w:t>Nancy Hernández López</w:t>
      </w:r>
      <w:r w:rsidRPr="00DB2FF2">
        <w:rPr>
          <w:rFonts w:eastAsia="Batang" w:cs="Times"/>
          <w:szCs w:val="20"/>
          <w:lang w:val="es-CR"/>
        </w:rPr>
        <w:tab/>
      </w:r>
      <w:r w:rsidRPr="00DB2FF2">
        <w:rPr>
          <w:rFonts w:eastAsia="Batang" w:cs="Times"/>
          <w:szCs w:val="20"/>
          <w:lang w:val="es-CR"/>
        </w:rPr>
        <w:tab/>
      </w:r>
      <w:r w:rsidRPr="00DB2FF2">
        <w:rPr>
          <w:rFonts w:eastAsia="Batang" w:cs="Times"/>
          <w:szCs w:val="20"/>
          <w:lang w:val="es-CR"/>
        </w:rPr>
        <w:tab/>
      </w:r>
      <w:r w:rsidRPr="00DB2FF2">
        <w:rPr>
          <w:rFonts w:eastAsia="Batang" w:cs="Times"/>
          <w:szCs w:val="20"/>
          <w:lang w:val="es-CR"/>
        </w:rPr>
        <w:tab/>
      </w:r>
      <w:r w:rsidRPr="00DB2FF2">
        <w:rPr>
          <w:rFonts w:eastAsia="Batang" w:cs="Times"/>
          <w:szCs w:val="20"/>
          <w:lang w:val="es-CR"/>
        </w:rPr>
        <w:tab/>
      </w:r>
      <w:r w:rsidRPr="00DB2FF2">
        <w:rPr>
          <w:rFonts w:eastAsia="Batang" w:cs="Times"/>
          <w:szCs w:val="20"/>
          <w:lang w:val="es-CR"/>
        </w:rPr>
        <w:tab/>
      </w:r>
      <w:r w:rsidRPr="00DB2FF2">
        <w:rPr>
          <w:rFonts w:eastAsia="Batang" w:cs="Times"/>
          <w:szCs w:val="20"/>
          <w:lang w:val="es-CR"/>
        </w:rPr>
        <w:tab/>
        <w:t xml:space="preserve"> Verónica</w:t>
      </w:r>
      <w:r w:rsidRPr="00DB2FF2">
        <w:rPr>
          <w:rFonts w:eastAsia="Batang" w:cs="Times"/>
          <w:szCs w:val="20"/>
          <w:lang w:val="es-ES"/>
        </w:rPr>
        <w:t xml:space="preserve"> Gómez</w:t>
      </w:r>
    </w:p>
    <w:p w14:paraId="5DC9DA7D" w14:textId="77777777" w:rsidR="00DB2FF2" w:rsidRPr="00DB2FF2" w:rsidRDefault="00DB2FF2" w:rsidP="00DB2FF2">
      <w:pPr>
        <w:rPr>
          <w:rFonts w:eastAsia="Batang" w:cs="Times"/>
          <w:szCs w:val="20"/>
          <w:lang w:val="es-ES"/>
        </w:rPr>
      </w:pPr>
    </w:p>
    <w:p w14:paraId="23CFC47B" w14:textId="77777777" w:rsidR="00DB2FF2" w:rsidRPr="00DB2FF2" w:rsidRDefault="00DB2FF2" w:rsidP="00DB2FF2">
      <w:pPr>
        <w:rPr>
          <w:rFonts w:eastAsia="Batang" w:cs="Times"/>
          <w:szCs w:val="20"/>
          <w:lang w:val="es-ES"/>
        </w:rPr>
      </w:pPr>
    </w:p>
    <w:p w14:paraId="74B158B4" w14:textId="77777777" w:rsidR="00DB2FF2" w:rsidRPr="00DB2FF2" w:rsidRDefault="00DB2FF2" w:rsidP="00DB2FF2">
      <w:pPr>
        <w:rPr>
          <w:rFonts w:eastAsia="Batang" w:cs="Times"/>
          <w:szCs w:val="20"/>
          <w:lang w:val="es-ES"/>
        </w:rPr>
      </w:pPr>
    </w:p>
    <w:p w14:paraId="52A4F02B" w14:textId="77777777" w:rsidR="00DB2FF2" w:rsidRPr="00DB2FF2" w:rsidRDefault="00DB2FF2" w:rsidP="00DB2FF2">
      <w:pPr>
        <w:rPr>
          <w:rFonts w:eastAsia="Batang" w:cs="Times"/>
          <w:szCs w:val="20"/>
          <w:lang w:val="es-ES"/>
        </w:rPr>
      </w:pPr>
    </w:p>
    <w:p w14:paraId="1C9E885A" w14:textId="77777777" w:rsidR="00DB2FF2" w:rsidRPr="00DB2FF2" w:rsidRDefault="00DB2FF2" w:rsidP="00DB2FF2">
      <w:pPr>
        <w:rPr>
          <w:rFonts w:eastAsia="Batang" w:cs="Times"/>
          <w:szCs w:val="20"/>
          <w:lang w:val="es-ES"/>
        </w:rPr>
      </w:pPr>
    </w:p>
    <w:p w14:paraId="08E1994C" w14:textId="77777777" w:rsidR="00DB2FF2" w:rsidRPr="00DB2FF2" w:rsidRDefault="00DB2FF2" w:rsidP="00DB2FF2">
      <w:pPr>
        <w:tabs>
          <w:tab w:val="center" w:pos="4419"/>
        </w:tabs>
        <w:jc w:val="left"/>
        <w:rPr>
          <w:rFonts w:eastAsia="Batang" w:cs="Times"/>
          <w:szCs w:val="20"/>
          <w:lang w:val="es-ES"/>
        </w:rPr>
      </w:pPr>
      <w:r w:rsidRPr="00DB2FF2">
        <w:rPr>
          <w:rFonts w:eastAsia="Batang" w:cs="Times"/>
          <w:szCs w:val="20"/>
          <w:lang w:val="es-ES"/>
        </w:rPr>
        <w:t>Patricia Pérez Goldberg</w:t>
      </w:r>
      <w:r w:rsidRPr="00DB2FF2">
        <w:rPr>
          <w:rFonts w:eastAsia="Batang" w:cs="Times"/>
          <w:szCs w:val="20"/>
          <w:lang w:val="es-ES"/>
        </w:rPr>
        <w:tab/>
      </w:r>
      <w:r w:rsidRPr="00DB2FF2">
        <w:rPr>
          <w:rFonts w:eastAsia="Batang" w:cs="Times"/>
          <w:szCs w:val="20"/>
          <w:lang w:val="es-ES"/>
        </w:rPr>
        <w:tab/>
      </w:r>
      <w:r w:rsidRPr="00DB2FF2">
        <w:rPr>
          <w:rFonts w:eastAsia="Batang" w:cs="Times"/>
          <w:szCs w:val="20"/>
          <w:lang w:val="es-ES"/>
        </w:rPr>
        <w:tab/>
      </w:r>
      <w:r w:rsidRPr="00DB2FF2">
        <w:rPr>
          <w:rFonts w:eastAsia="Batang" w:cs="Times"/>
          <w:szCs w:val="20"/>
          <w:lang w:val="es-ES"/>
        </w:rPr>
        <w:tab/>
        <w:t xml:space="preserve">     Rodrigo Mudrovitsch</w:t>
      </w:r>
    </w:p>
    <w:p w14:paraId="51C2BFB7" w14:textId="77777777" w:rsidR="00DB2FF2" w:rsidRPr="00DB2FF2" w:rsidRDefault="00DB2FF2" w:rsidP="00DB2FF2">
      <w:pPr>
        <w:rPr>
          <w:rFonts w:eastAsia="Batang" w:cs="Times"/>
          <w:szCs w:val="20"/>
          <w:lang w:val="es-ES"/>
        </w:rPr>
      </w:pPr>
    </w:p>
    <w:p w14:paraId="3741B7C8" w14:textId="77777777" w:rsidR="00DB2FF2" w:rsidRPr="00DB2FF2" w:rsidRDefault="00DB2FF2" w:rsidP="00DB2FF2">
      <w:pPr>
        <w:rPr>
          <w:rFonts w:eastAsia="Batang" w:cs="Times"/>
          <w:szCs w:val="20"/>
          <w:lang w:val="es-ES"/>
        </w:rPr>
      </w:pPr>
    </w:p>
    <w:p w14:paraId="6F344780" w14:textId="77777777" w:rsidR="00DB2FF2" w:rsidRPr="00DB2FF2" w:rsidRDefault="00DB2FF2" w:rsidP="00DB2FF2">
      <w:pPr>
        <w:tabs>
          <w:tab w:val="left" w:pos="3945"/>
        </w:tabs>
        <w:rPr>
          <w:rFonts w:eastAsia="Times" w:cs="Times"/>
          <w:szCs w:val="20"/>
          <w:lang w:val="es-ES"/>
        </w:rPr>
      </w:pPr>
    </w:p>
    <w:p w14:paraId="43A7DD28" w14:textId="77777777" w:rsidR="00DB2FF2" w:rsidRPr="00DB2FF2" w:rsidRDefault="00DB2FF2" w:rsidP="00DB2FF2">
      <w:pPr>
        <w:tabs>
          <w:tab w:val="left" w:pos="3945"/>
        </w:tabs>
        <w:rPr>
          <w:rFonts w:eastAsia="Times" w:cs="Times"/>
          <w:szCs w:val="20"/>
          <w:lang w:val="es-ES"/>
        </w:rPr>
      </w:pPr>
    </w:p>
    <w:p w14:paraId="19DC117D" w14:textId="77777777" w:rsidR="00DB2FF2" w:rsidRPr="00DB2FF2" w:rsidRDefault="00DB2FF2" w:rsidP="00DB2FF2">
      <w:pPr>
        <w:rPr>
          <w:rFonts w:eastAsia="Times" w:cs="Times"/>
          <w:szCs w:val="20"/>
          <w:lang w:val="es-ES"/>
        </w:rPr>
      </w:pPr>
    </w:p>
    <w:p w14:paraId="2A97A69A" w14:textId="77777777" w:rsidR="00DB2FF2" w:rsidRPr="00DB2FF2" w:rsidRDefault="00DB2FF2" w:rsidP="00DB2FF2">
      <w:pPr>
        <w:jc w:val="center"/>
        <w:rPr>
          <w:rFonts w:eastAsia="Times" w:cs="Times"/>
          <w:szCs w:val="20"/>
          <w:lang w:val="es-ES"/>
        </w:rPr>
      </w:pPr>
      <w:r w:rsidRPr="00DB2FF2">
        <w:rPr>
          <w:rFonts w:eastAsia="Times" w:cs="Times"/>
          <w:szCs w:val="20"/>
          <w:lang w:val="es-ES"/>
        </w:rPr>
        <w:t>Romina I. Sijniensky</w:t>
      </w:r>
    </w:p>
    <w:p w14:paraId="16DF32A5" w14:textId="77777777" w:rsidR="00DB2FF2" w:rsidRPr="00DB2FF2" w:rsidRDefault="00DB2FF2" w:rsidP="00DB2FF2">
      <w:pPr>
        <w:jc w:val="center"/>
        <w:rPr>
          <w:rFonts w:eastAsia="Times" w:cs="Times"/>
          <w:szCs w:val="20"/>
          <w:lang w:val="es-CR"/>
        </w:rPr>
      </w:pPr>
      <w:r w:rsidRPr="00DB2FF2">
        <w:rPr>
          <w:rFonts w:eastAsia="Times" w:cs="Times"/>
          <w:szCs w:val="20"/>
          <w:lang w:val="es-CR"/>
        </w:rPr>
        <w:t>Secretaria Adjunta</w:t>
      </w:r>
    </w:p>
    <w:p w14:paraId="0BA6AF79" w14:textId="77777777" w:rsidR="00DB2FF2" w:rsidRPr="00DB2FF2" w:rsidRDefault="00DB2FF2" w:rsidP="00DB2FF2">
      <w:pPr>
        <w:rPr>
          <w:rFonts w:eastAsia="Times" w:cs="Times"/>
          <w:szCs w:val="20"/>
          <w:lang w:val="es-CR"/>
        </w:rPr>
      </w:pPr>
    </w:p>
    <w:p w14:paraId="14A66C08" w14:textId="77777777" w:rsidR="00DB2FF2" w:rsidRPr="00DB2FF2" w:rsidRDefault="00DB2FF2" w:rsidP="00DB2FF2">
      <w:pPr>
        <w:rPr>
          <w:rFonts w:eastAsia="Times" w:cs="Times"/>
          <w:szCs w:val="20"/>
          <w:lang w:val="es-CR"/>
        </w:rPr>
      </w:pPr>
    </w:p>
    <w:p w14:paraId="4F8B35CA" w14:textId="77777777" w:rsidR="00DB2FF2" w:rsidRPr="00DB2FF2" w:rsidRDefault="00DB2FF2" w:rsidP="00DB2FF2">
      <w:pPr>
        <w:rPr>
          <w:rFonts w:eastAsia="Times" w:cs="Times"/>
          <w:szCs w:val="20"/>
          <w:lang w:val="es-CR"/>
        </w:rPr>
      </w:pPr>
    </w:p>
    <w:p w14:paraId="2A9B59C8" w14:textId="77777777" w:rsidR="00DB2FF2" w:rsidRPr="00DB2FF2" w:rsidRDefault="00DB2FF2" w:rsidP="00DB2FF2">
      <w:pPr>
        <w:rPr>
          <w:rFonts w:eastAsia="Times" w:cs="Times"/>
          <w:szCs w:val="20"/>
          <w:lang w:val="es-CR"/>
        </w:rPr>
      </w:pPr>
      <w:r w:rsidRPr="00DB2FF2">
        <w:rPr>
          <w:rFonts w:eastAsia="Times" w:cs="Times"/>
          <w:szCs w:val="20"/>
          <w:lang w:val="es-CR"/>
        </w:rPr>
        <w:t>Comuníquese y ejecútese,</w:t>
      </w:r>
    </w:p>
    <w:p w14:paraId="24D00781" w14:textId="77777777" w:rsidR="00DB2FF2" w:rsidRPr="00DB2FF2" w:rsidRDefault="00DB2FF2" w:rsidP="00DB2FF2">
      <w:pPr>
        <w:rPr>
          <w:rFonts w:eastAsia="Times" w:cs="Times"/>
          <w:szCs w:val="20"/>
          <w:lang w:val="es-CR"/>
        </w:rPr>
      </w:pPr>
    </w:p>
    <w:p w14:paraId="5BBC9C08" w14:textId="77777777" w:rsidR="00DB2FF2" w:rsidRPr="00DB2FF2" w:rsidRDefault="00DB2FF2" w:rsidP="00DB2FF2">
      <w:pPr>
        <w:rPr>
          <w:rFonts w:eastAsia="Times" w:cs="Times"/>
          <w:szCs w:val="20"/>
          <w:lang w:val="es-CR"/>
        </w:rPr>
      </w:pPr>
    </w:p>
    <w:p w14:paraId="6DBAB346" w14:textId="77777777" w:rsidR="00DB2FF2" w:rsidRPr="00DB2FF2" w:rsidRDefault="00DB2FF2" w:rsidP="00DB2FF2">
      <w:pPr>
        <w:rPr>
          <w:rFonts w:eastAsia="Times" w:cs="Times"/>
          <w:szCs w:val="20"/>
          <w:lang w:val="es-CR"/>
        </w:rPr>
      </w:pPr>
    </w:p>
    <w:p w14:paraId="2E7C7280" w14:textId="77777777" w:rsidR="00DB2FF2" w:rsidRPr="00DB2FF2" w:rsidRDefault="00DB2FF2" w:rsidP="00DB2FF2">
      <w:pPr>
        <w:rPr>
          <w:rFonts w:eastAsia="Times" w:cs="Times"/>
          <w:szCs w:val="20"/>
          <w:lang w:val="es-CR"/>
        </w:rPr>
      </w:pPr>
    </w:p>
    <w:p w14:paraId="77416BE4" w14:textId="77777777" w:rsidR="00DB2FF2" w:rsidRPr="00DB2FF2" w:rsidRDefault="00DB2FF2" w:rsidP="00DB2FF2">
      <w:pPr>
        <w:ind w:left="5664"/>
        <w:jc w:val="center"/>
        <w:rPr>
          <w:rFonts w:eastAsia="Batang" w:cs="Times"/>
          <w:szCs w:val="20"/>
          <w:lang w:val="es-CR"/>
        </w:rPr>
      </w:pPr>
      <w:r w:rsidRPr="00DB2FF2">
        <w:rPr>
          <w:rFonts w:eastAsia="Batang" w:cs="Times"/>
          <w:szCs w:val="20"/>
          <w:lang w:val="es-CR"/>
        </w:rPr>
        <w:t>Ricardo C. Pérez Manrique</w:t>
      </w:r>
    </w:p>
    <w:p w14:paraId="23D51067" w14:textId="77777777" w:rsidR="00DB2FF2" w:rsidRPr="00DB2FF2" w:rsidRDefault="00DB2FF2" w:rsidP="00DB2FF2">
      <w:pPr>
        <w:ind w:left="6372"/>
        <w:jc w:val="left"/>
        <w:rPr>
          <w:rFonts w:eastAsia="Batang" w:cs="Times"/>
          <w:szCs w:val="20"/>
          <w:lang w:val="es-CR"/>
        </w:rPr>
      </w:pPr>
      <w:r w:rsidRPr="00DB2FF2">
        <w:rPr>
          <w:rFonts w:eastAsia="Batang" w:cs="Times"/>
          <w:szCs w:val="20"/>
          <w:lang w:val="es-CR"/>
        </w:rPr>
        <w:t xml:space="preserve">     Presidente</w:t>
      </w:r>
    </w:p>
    <w:p w14:paraId="3FE2FB96" w14:textId="77777777" w:rsidR="00DB2FF2" w:rsidRPr="00DB2FF2" w:rsidRDefault="00DB2FF2" w:rsidP="00DB2FF2">
      <w:pPr>
        <w:rPr>
          <w:rFonts w:eastAsia="Times" w:cs="Times"/>
          <w:szCs w:val="20"/>
          <w:lang w:val="es-CR"/>
        </w:rPr>
      </w:pPr>
    </w:p>
    <w:p w14:paraId="01DA7DDE" w14:textId="77777777" w:rsidR="00DB2FF2" w:rsidRPr="00DB2FF2" w:rsidRDefault="00DB2FF2" w:rsidP="00DB2FF2">
      <w:pPr>
        <w:rPr>
          <w:rFonts w:eastAsia="Times" w:cs="Times"/>
          <w:szCs w:val="20"/>
          <w:lang w:val="es-CR"/>
        </w:rPr>
      </w:pPr>
    </w:p>
    <w:p w14:paraId="361B4EFE" w14:textId="77777777" w:rsidR="00DB2FF2" w:rsidRPr="00DB2FF2" w:rsidRDefault="00DB2FF2" w:rsidP="00DB2FF2">
      <w:pPr>
        <w:rPr>
          <w:rFonts w:eastAsia="Times" w:cs="Times"/>
          <w:szCs w:val="20"/>
          <w:lang w:val="es-CR"/>
        </w:rPr>
      </w:pPr>
    </w:p>
    <w:p w14:paraId="50B23998" w14:textId="77777777" w:rsidR="00DB2FF2" w:rsidRPr="00DB2FF2" w:rsidRDefault="00DB2FF2" w:rsidP="00DB2FF2">
      <w:pPr>
        <w:rPr>
          <w:rFonts w:eastAsia="Times" w:cs="Times"/>
          <w:szCs w:val="20"/>
          <w:lang w:val="es-CR"/>
        </w:rPr>
      </w:pPr>
    </w:p>
    <w:p w14:paraId="60586C76" w14:textId="77777777" w:rsidR="00DB2FF2" w:rsidRPr="00DB2FF2" w:rsidRDefault="00DB2FF2" w:rsidP="00DB2FF2">
      <w:pPr>
        <w:jc w:val="left"/>
        <w:rPr>
          <w:rFonts w:eastAsia="Times" w:cs="Times"/>
          <w:szCs w:val="20"/>
          <w:lang w:val="pt-BR"/>
        </w:rPr>
      </w:pPr>
      <w:r w:rsidRPr="00DB2FF2">
        <w:rPr>
          <w:rFonts w:eastAsia="Times" w:cs="Times"/>
          <w:szCs w:val="20"/>
          <w:lang w:val="pt-BR"/>
        </w:rPr>
        <w:t>Romina I. Sijniensky</w:t>
      </w:r>
    </w:p>
    <w:p w14:paraId="3B45C874" w14:textId="77777777" w:rsidR="00DB2FF2" w:rsidRPr="00DB2FF2" w:rsidRDefault="00DB2FF2" w:rsidP="00DB2FF2">
      <w:pPr>
        <w:jc w:val="left"/>
        <w:rPr>
          <w:rFonts w:eastAsia="Times" w:cs="Times"/>
          <w:szCs w:val="20"/>
          <w:lang w:val="es-CR"/>
        </w:rPr>
      </w:pPr>
      <w:r w:rsidRPr="00DB2FF2">
        <w:rPr>
          <w:rFonts w:eastAsia="Times" w:cs="Times"/>
          <w:szCs w:val="20"/>
          <w:lang w:val="es-CR"/>
        </w:rPr>
        <w:t xml:space="preserve"> Secretaria Adjunta</w:t>
      </w:r>
    </w:p>
    <w:p w14:paraId="09859040" w14:textId="77777777" w:rsidR="00DB2FF2" w:rsidRDefault="00DB2FF2" w:rsidP="003E5EA9">
      <w:pPr>
        <w:pStyle w:val="Prrafodelista"/>
        <w:tabs>
          <w:tab w:val="left" w:pos="567"/>
        </w:tabs>
        <w:ind w:left="0"/>
        <w:contextualSpacing w:val="0"/>
        <w:rPr>
          <w:color w:val="000000" w:themeColor="text1"/>
          <w:szCs w:val="20"/>
          <w:lang w:val="es-CR"/>
        </w:rPr>
      </w:pPr>
    </w:p>
    <w:sectPr w:rsidR="00DB2FF2" w:rsidSect="006568E9">
      <w:footerReference w:type="default" r:id="rId8"/>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AFC22D" w14:textId="77777777" w:rsidR="00A51362" w:rsidRDefault="00A51362" w:rsidP="001003AC">
      <w:r>
        <w:separator/>
      </w:r>
    </w:p>
  </w:endnote>
  <w:endnote w:type="continuationSeparator" w:id="0">
    <w:p w14:paraId="339A540A" w14:textId="77777777" w:rsidR="00A51362" w:rsidRDefault="00A51362" w:rsidP="001003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Palatino-Italic">
    <w:altName w:val="Malgun Gothic Semilight"/>
    <w:charset w:val="4D"/>
    <w:family w:val="auto"/>
    <w:pitch w:val="variable"/>
    <w:sig w:usb0="A00002FF" w:usb1="7800205A" w:usb2="14600000" w:usb3="00000000" w:csb0="00000193" w:csb1="00000000"/>
  </w:font>
  <w:font w:name="New York">
    <w:panose1 w:val="020405030605060203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Verdana Bold">
    <w:altName w:val="Times New Roman"/>
    <w:charset w:val="00"/>
    <w:family w:val="auto"/>
    <w:pitch w:val="variable"/>
    <w:sig w:usb0="00000001"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4915199"/>
      <w:docPartObj>
        <w:docPartGallery w:val="Page Numbers (Bottom of Page)"/>
        <w:docPartUnique/>
      </w:docPartObj>
    </w:sdtPr>
    <w:sdtContent>
      <w:p w14:paraId="6502FADB" w14:textId="52D133C2" w:rsidR="00EE5492" w:rsidRDefault="00EE5492">
        <w:pPr>
          <w:pStyle w:val="Piedepgina"/>
          <w:jc w:val="center"/>
        </w:pPr>
        <w:r>
          <w:fldChar w:fldCharType="begin"/>
        </w:r>
        <w:r>
          <w:instrText>PAGE   \* MERGEFORMAT</w:instrText>
        </w:r>
        <w:r>
          <w:fldChar w:fldCharType="separate"/>
        </w:r>
        <w:r>
          <w:rPr>
            <w:lang w:val="es-ES"/>
          </w:rPr>
          <w:t>2</w:t>
        </w:r>
        <w:r>
          <w:fldChar w:fldCharType="end"/>
        </w:r>
      </w:p>
    </w:sdtContent>
  </w:sdt>
  <w:p w14:paraId="5ED386DC" w14:textId="77777777" w:rsidR="00EE5492" w:rsidRDefault="00EE54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DF3F4" w14:textId="77777777" w:rsidR="00A51362" w:rsidRDefault="00A51362" w:rsidP="001003AC">
      <w:r>
        <w:separator/>
      </w:r>
    </w:p>
  </w:footnote>
  <w:footnote w:type="continuationSeparator" w:id="0">
    <w:p w14:paraId="15CA7FF7" w14:textId="77777777" w:rsidR="00A51362" w:rsidRDefault="00A51362" w:rsidP="001003AC">
      <w:r>
        <w:continuationSeparator/>
      </w:r>
    </w:p>
  </w:footnote>
  <w:footnote w:id="1">
    <w:p w14:paraId="049E5C3B" w14:textId="1F1F0467" w:rsidR="001003AC" w:rsidRPr="003F0D73" w:rsidRDefault="001003AC" w:rsidP="001934D9">
      <w:pPr>
        <w:pStyle w:val="Textonotapie"/>
        <w:spacing w:before="0" w:after="0"/>
      </w:pPr>
      <w:r>
        <w:rPr>
          <w:rStyle w:val="Refdenotaalpie"/>
        </w:rPr>
        <w:footnoteRef/>
      </w:r>
      <w:r>
        <w:t xml:space="preserve"> </w:t>
      </w:r>
      <w:r>
        <w:tab/>
        <w:t>L</w:t>
      </w:r>
      <w:r w:rsidR="00C01BEE">
        <w:t>a representación legal de la víctima es ejercida por Jacinto Santa María</w:t>
      </w:r>
      <w:r>
        <w:t>.</w:t>
      </w:r>
    </w:p>
  </w:footnote>
  <w:footnote w:id="2">
    <w:p w14:paraId="659B49DA" w14:textId="7D091B30" w:rsidR="00976776" w:rsidRPr="00976776" w:rsidRDefault="00976776" w:rsidP="001934D9">
      <w:pPr>
        <w:pStyle w:val="Textonotapie"/>
        <w:spacing w:before="0" w:after="0"/>
        <w:rPr>
          <w:lang w:val="es-MX"/>
        </w:rPr>
      </w:pPr>
      <w:r>
        <w:rPr>
          <w:rStyle w:val="Refdenotaalpie"/>
        </w:rPr>
        <w:footnoteRef/>
      </w:r>
      <w:r>
        <w:t xml:space="preserve"> </w:t>
      </w:r>
      <w:r w:rsidR="004E73CD">
        <w:rPr>
          <w:lang w:val="es-MX"/>
        </w:rPr>
        <w:tab/>
      </w:r>
      <w:r w:rsidR="004E73CD">
        <w:t>Dicho artículo dispone, en lo pertinente: “1. La solicitud de interpretación a que se refiere el artículo 67 de la Convención podrá promoverse en relación con las sentencias de excepciones preliminares, fondo o reparaciones y costas y se presentará en la Secretaría de la Corte indicándose en ella, con precisión, las cuestiones relativas al sentido o alcance de la sentencia cuya interpretación se pida. […] 4. La solicitud de interpretación no suspenderá la ejecución de la sentencia. 5. La Corte determinará el procedimiento que se seguirá y resolverá mediante una sentencia”.</w:t>
      </w:r>
    </w:p>
  </w:footnote>
  <w:footnote w:id="3">
    <w:p w14:paraId="32702E26" w14:textId="77777777" w:rsidR="001156F9" w:rsidRPr="005935E7" w:rsidRDefault="001156F9" w:rsidP="001156F9">
      <w:pPr>
        <w:pStyle w:val="Textonotapie"/>
        <w:spacing w:before="0" w:after="0"/>
        <w:rPr>
          <w:lang w:val="es-MX"/>
        </w:rPr>
      </w:pPr>
      <w:r>
        <w:rPr>
          <w:rStyle w:val="Refdenotaalpie"/>
        </w:rPr>
        <w:footnoteRef/>
      </w:r>
      <w:r>
        <w:t xml:space="preserve"> </w:t>
      </w:r>
      <w:r>
        <w:rPr>
          <w:lang w:val="es-MX"/>
        </w:rPr>
        <w:tab/>
      </w:r>
      <w:r w:rsidRPr="005935E7">
        <w:rPr>
          <w:i/>
          <w:lang w:val="es-MX"/>
        </w:rPr>
        <w:t>Cfr.</w:t>
      </w:r>
      <w:r w:rsidRPr="005935E7">
        <w:rPr>
          <w:lang w:val="es-MX"/>
        </w:rPr>
        <w:t xml:space="preserve"> </w:t>
      </w:r>
      <w:r w:rsidRPr="005935E7">
        <w:rPr>
          <w:i/>
          <w:lang w:val="es-MX"/>
        </w:rPr>
        <w:t>Caso Loayza Tamayo Vs. Perú.</w:t>
      </w:r>
      <w:r w:rsidRPr="005935E7">
        <w:rPr>
          <w:lang w:val="es-MX"/>
        </w:rPr>
        <w:t xml:space="preserve"> </w:t>
      </w:r>
      <w:r w:rsidRPr="00AB0465">
        <w:rPr>
          <w:i/>
          <w:lang w:val="es-MX"/>
        </w:rPr>
        <w:t>Interpretación de la Sentencia de Fondo</w:t>
      </w:r>
      <w:r>
        <w:rPr>
          <w:lang w:val="es-MX"/>
        </w:rPr>
        <w:t xml:space="preserve">. Resolución de la Corte </w:t>
      </w:r>
      <w:r w:rsidRPr="005935E7">
        <w:rPr>
          <w:lang w:val="es-MX"/>
        </w:rPr>
        <w:t>de 8 de marz</w:t>
      </w:r>
      <w:r>
        <w:rPr>
          <w:lang w:val="es-MX"/>
        </w:rPr>
        <w:t xml:space="preserve">o de 1998. Serie C No. 47, párr. </w:t>
      </w:r>
      <w:r w:rsidRPr="005935E7">
        <w:rPr>
          <w:lang w:val="es-MX"/>
        </w:rPr>
        <w:t>16, y</w:t>
      </w:r>
      <w:r>
        <w:rPr>
          <w:lang w:val="es-MX"/>
        </w:rPr>
        <w:t xml:space="preserve"> </w:t>
      </w:r>
      <w:r>
        <w:rPr>
          <w:i/>
          <w:lang w:val="es-MX"/>
        </w:rPr>
        <w:t xml:space="preserve">Caso Federación Nacional de Trabajadores Marítimos y Portuarios (FEMAPOR) Vs. Perú. </w:t>
      </w:r>
      <w:r w:rsidRPr="00AB0465">
        <w:rPr>
          <w:i/>
          <w:lang w:val="es-MX"/>
        </w:rPr>
        <w:t xml:space="preserve">Interpretación de la Sentencia de </w:t>
      </w:r>
      <w:r>
        <w:rPr>
          <w:i/>
          <w:lang w:val="es-MX"/>
        </w:rPr>
        <w:t xml:space="preserve">Excepciones Preliminares, </w:t>
      </w:r>
      <w:r w:rsidRPr="00AB0465">
        <w:rPr>
          <w:i/>
          <w:lang w:val="es-MX"/>
        </w:rPr>
        <w:t>Fondo</w:t>
      </w:r>
      <w:r>
        <w:rPr>
          <w:i/>
          <w:lang w:val="es-MX"/>
        </w:rPr>
        <w:t xml:space="preserve"> y</w:t>
      </w:r>
      <w:r w:rsidRPr="00AB0465">
        <w:rPr>
          <w:i/>
          <w:lang w:val="es-MX"/>
        </w:rPr>
        <w:t xml:space="preserve"> Reparaciones</w:t>
      </w:r>
      <w:r>
        <w:rPr>
          <w:lang w:val="es-MX"/>
        </w:rPr>
        <w:t>. Sentencia de 21 de noviembre de 2033. Serie C No. 480, párr. 10.</w:t>
      </w:r>
    </w:p>
  </w:footnote>
  <w:footnote w:id="4">
    <w:p w14:paraId="14A7379B" w14:textId="77777777" w:rsidR="001156F9" w:rsidRPr="00583FA6" w:rsidRDefault="001156F9" w:rsidP="001156F9">
      <w:pPr>
        <w:pStyle w:val="Textonotapie"/>
        <w:spacing w:before="0" w:after="0"/>
        <w:rPr>
          <w:i/>
          <w:lang w:val="es-MX"/>
        </w:rPr>
      </w:pPr>
      <w:r>
        <w:rPr>
          <w:rStyle w:val="Refdenotaalpie"/>
        </w:rPr>
        <w:footnoteRef/>
      </w:r>
      <w:r>
        <w:t xml:space="preserve"> </w:t>
      </w:r>
      <w:r>
        <w:rPr>
          <w:lang w:val="es-MX"/>
        </w:rPr>
        <w:tab/>
      </w:r>
      <w:r>
        <w:rPr>
          <w:i/>
          <w:lang w:val="es-MX"/>
        </w:rPr>
        <w:t xml:space="preserve">Cfr. </w:t>
      </w:r>
      <w:r w:rsidRPr="005935E7">
        <w:rPr>
          <w:i/>
          <w:lang w:val="es-MX"/>
        </w:rPr>
        <w:t>Caso Loayza Tamayo Vs. Perú.</w:t>
      </w:r>
      <w:r w:rsidRPr="005935E7">
        <w:rPr>
          <w:lang w:val="es-MX"/>
        </w:rPr>
        <w:t xml:space="preserve"> </w:t>
      </w:r>
      <w:r w:rsidRPr="00AB0465">
        <w:rPr>
          <w:i/>
          <w:lang w:val="es-MX"/>
        </w:rPr>
        <w:t xml:space="preserve">Interpretación de la Sentencia de Reparaciones y </w:t>
      </w:r>
      <w:r>
        <w:rPr>
          <w:i/>
          <w:lang w:val="es-MX"/>
        </w:rPr>
        <w:t>Costas</w:t>
      </w:r>
      <w:r>
        <w:rPr>
          <w:lang w:val="es-MX"/>
        </w:rPr>
        <w:t xml:space="preserve">, </w:t>
      </w:r>
      <w:r>
        <w:rPr>
          <w:i/>
          <w:iCs/>
          <w:lang w:val="es-MX"/>
        </w:rPr>
        <w:t>supra</w:t>
      </w:r>
      <w:r>
        <w:rPr>
          <w:lang w:val="es-MX"/>
        </w:rPr>
        <w:t>, párr. 15</w:t>
      </w:r>
      <w:r w:rsidRPr="005935E7">
        <w:rPr>
          <w:lang w:val="es-MX"/>
        </w:rPr>
        <w:t>, y</w:t>
      </w:r>
      <w:r>
        <w:rPr>
          <w:lang w:val="es-MX"/>
        </w:rPr>
        <w:t xml:space="preserve"> </w:t>
      </w:r>
      <w:r>
        <w:rPr>
          <w:i/>
          <w:lang w:val="es-MX"/>
        </w:rPr>
        <w:t>Caso</w:t>
      </w:r>
      <w:r w:rsidRPr="00AD1C70">
        <w:rPr>
          <w:i/>
          <w:lang w:val="es-MX"/>
        </w:rPr>
        <w:t xml:space="preserve"> Federación Nacional de Trabajadores Marítimos y Portuarios (FEMAPOR) Vs. Perú</w:t>
      </w:r>
      <w:r>
        <w:rPr>
          <w:i/>
          <w:lang w:val="es-MX"/>
        </w:rPr>
        <w:t xml:space="preserve">. </w:t>
      </w:r>
      <w:r w:rsidRPr="00AB0465">
        <w:rPr>
          <w:i/>
          <w:lang w:val="es-MX"/>
        </w:rPr>
        <w:t xml:space="preserve">Interpretación de la Sentencia de </w:t>
      </w:r>
      <w:r>
        <w:rPr>
          <w:i/>
          <w:lang w:val="es-MX"/>
        </w:rPr>
        <w:t xml:space="preserve">Excepciones Preliminares, </w:t>
      </w:r>
      <w:r w:rsidRPr="00AB0465">
        <w:rPr>
          <w:i/>
          <w:lang w:val="es-MX"/>
        </w:rPr>
        <w:t>Fondo</w:t>
      </w:r>
      <w:r>
        <w:rPr>
          <w:i/>
          <w:lang w:val="es-MX"/>
        </w:rPr>
        <w:t xml:space="preserve"> y</w:t>
      </w:r>
      <w:r w:rsidRPr="00AB0465">
        <w:rPr>
          <w:i/>
          <w:lang w:val="es-MX"/>
        </w:rPr>
        <w:t xml:space="preserve"> Reparaciones</w:t>
      </w:r>
      <w:r>
        <w:rPr>
          <w:lang w:val="es-MX"/>
        </w:rPr>
        <w:t xml:space="preserve">, </w:t>
      </w:r>
      <w:r w:rsidRPr="00E46828">
        <w:rPr>
          <w:i/>
          <w:iCs/>
          <w:lang w:val="es-MX"/>
        </w:rPr>
        <w:t>supra</w:t>
      </w:r>
      <w:r>
        <w:rPr>
          <w:lang w:val="es-MX"/>
        </w:rPr>
        <w:t>, párr. 11.</w:t>
      </w:r>
    </w:p>
  </w:footnote>
  <w:footnote w:id="5">
    <w:p w14:paraId="6E0CF9F1" w14:textId="77777777" w:rsidR="001156F9" w:rsidRPr="008E5E23" w:rsidRDefault="001156F9" w:rsidP="001156F9">
      <w:pPr>
        <w:pStyle w:val="Textonotapie"/>
        <w:spacing w:before="0" w:after="0"/>
        <w:rPr>
          <w:lang w:val="es-MX"/>
        </w:rPr>
      </w:pPr>
      <w:r>
        <w:rPr>
          <w:rStyle w:val="Refdenotaalpie"/>
        </w:rPr>
        <w:footnoteRef/>
      </w:r>
      <w:r>
        <w:t xml:space="preserve"> </w:t>
      </w:r>
      <w:r>
        <w:rPr>
          <w:lang w:val="es-MX"/>
        </w:rPr>
        <w:tab/>
      </w:r>
      <w:r>
        <w:rPr>
          <w:i/>
          <w:lang w:val="es-MX"/>
        </w:rPr>
        <w:t xml:space="preserve">Cfr. Caso Salvador Chiriboga Vs. Ecuador. </w:t>
      </w:r>
      <w:r w:rsidRPr="00AB0465">
        <w:rPr>
          <w:i/>
          <w:lang w:val="es-MX"/>
        </w:rPr>
        <w:t>Interpretación de la Sentencia de Reparaciones y Costas</w:t>
      </w:r>
      <w:r>
        <w:rPr>
          <w:lang w:val="es-MX"/>
        </w:rPr>
        <w:t xml:space="preserve">. Sentencia de 29 de agosto de 2011. Serie C No. 230, párr. 30 y </w:t>
      </w:r>
      <w:r w:rsidRPr="00AD1C70">
        <w:rPr>
          <w:i/>
          <w:lang w:val="es-MX"/>
        </w:rPr>
        <w:t>Caso Federación Nacional de Trabajadores Marítimos y Portuarios (FEMAPOR) Vs. Perú. Interpretación de la Sentencia de Excepciones Preliminares, Fondo y Reparaciones</w:t>
      </w:r>
      <w:r>
        <w:rPr>
          <w:lang w:val="es-MX"/>
        </w:rPr>
        <w:t xml:space="preserve">, </w:t>
      </w:r>
      <w:r w:rsidRPr="00E46828">
        <w:rPr>
          <w:i/>
          <w:iCs/>
          <w:lang w:val="es-MX"/>
        </w:rPr>
        <w:t>supra,</w:t>
      </w:r>
      <w:r>
        <w:rPr>
          <w:lang w:val="es-MX"/>
        </w:rPr>
        <w:t xml:space="preserve"> párr. 11.</w:t>
      </w:r>
    </w:p>
  </w:footnote>
  <w:footnote w:id="6">
    <w:p w14:paraId="02DD7B14" w14:textId="77777777" w:rsidR="001156F9" w:rsidRPr="008E5E23" w:rsidRDefault="001156F9" w:rsidP="001156F9">
      <w:pPr>
        <w:pStyle w:val="Textonotapie"/>
        <w:spacing w:before="0" w:after="0"/>
        <w:rPr>
          <w:lang w:val="es-MX"/>
        </w:rPr>
      </w:pPr>
      <w:r>
        <w:rPr>
          <w:rStyle w:val="Refdenotaalpie"/>
        </w:rPr>
        <w:footnoteRef/>
      </w:r>
      <w:r>
        <w:t xml:space="preserve"> </w:t>
      </w:r>
      <w:r>
        <w:rPr>
          <w:lang w:val="es-MX"/>
        </w:rPr>
        <w:tab/>
      </w:r>
      <w:r>
        <w:rPr>
          <w:i/>
          <w:lang w:val="es-MX"/>
        </w:rPr>
        <w:t xml:space="preserve">Cfr. Caso Escher y otros Vs. Brasil. </w:t>
      </w:r>
      <w:r w:rsidRPr="00AB0465">
        <w:rPr>
          <w:i/>
          <w:lang w:val="es-MX"/>
        </w:rPr>
        <w:t>Interpretación de la Sentencia de Excepciones Preliminares, Fondo, Reparaciones y Costas</w:t>
      </w:r>
      <w:r>
        <w:rPr>
          <w:lang w:val="es-MX"/>
        </w:rPr>
        <w:t xml:space="preserve">. Sentencia de 20 de noviembre de 2009. Serie C No. 208, párr. 11, y </w:t>
      </w:r>
      <w:r w:rsidRPr="00AD1C70">
        <w:rPr>
          <w:i/>
          <w:lang w:val="es-MX"/>
        </w:rPr>
        <w:t>Caso Federación Nacional de Trabajadores Marítimos y Portuarios (FEMAPOR) Vs. Perú. Interpretación de la Sentencia de Excepciones Preliminares, Fondo y Reparaciones</w:t>
      </w:r>
      <w:r>
        <w:rPr>
          <w:lang w:val="es-MX"/>
        </w:rPr>
        <w:t xml:space="preserve">, </w:t>
      </w:r>
      <w:r w:rsidRPr="00E46828">
        <w:rPr>
          <w:i/>
          <w:iCs/>
          <w:lang w:val="es-MX"/>
        </w:rPr>
        <w:t>supra,</w:t>
      </w:r>
      <w:r>
        <w:rPr>
          <w:lang w:val="es-MX"/>
        </w:rPr>
        <w:t xml:space="preserve"> párr. 11.</w:t>
      </w:r>
    </w:p>
  </w:footnote>
  <w:footnote w:id="7">
    <w:p w14:paraId="111B26FF" w14:textId="136DF477" w:rsidR="00CC170B" w:rsidRPr="00CC170B" w:rsidRDefault="00CC170B">
      <w:pPr>
        <w:pStyle w:val="Textonotapie"/>
      </w:pPr>
      <w:r>
        <w:rPr>
          <w:rStyle w:val="Refdenotaalpie"/>
        </w:rPr>
        <w:footnoteRef/>
      </w:r>
      <w:r w:rsidRPr="00D5647D">
        <w:rPr>
          <w:lang w:val="es-MX"/>
        </w:rPr>
        <w:t xml:space="preserve"> </w:t>
      </w:r>
      <w:r w:rsidRPr="00D5647D">
        <w:rPr>
          <w:lang w:val="es-MX"/>
        </w:rPr>
        <w:tab/>
      </w:r>
      <w:r w:rsidRPr="00D5647D">
        <w:rPr>
          <w:i/>
          <w:iCs/>
          <w:lang w:val="es-MX"/>
        </w:rPr>
        <w:t xml:space="preserve">Caso Nissen </w:t>
      </w:r>
      <w:proofErr w:type="spellStart"/>
      <w:r w:rsidRPr="00D5647D">
        <w:rPr>
          <w:i/>
          <w:iCs/>
          <w:lang w:val="es-MX"/>
        </w:rPr>
        <w:t>Pessolani</w:t>
      </w:r>
      <w:proofErr w:type="spellEnd"/>
      <w:r w:rsidRPr="00D5647D">
        <w:rPr>
          <w:i/>
          <w:iCs/>
          <w:lang w:val="es-MX"/>
        </w:rPr>
        <w:t xml:space="preserve"> Vs. Paraguay. </w:t>
      </w:r>
      <w:r w:rsidRPr="008A63AF">
        <w:rPr>
          <w:i/>
          <w:iCs/>
        </w:rPr>
        <w:t>Fondo, Reparaciones y Costas.</w:t>
      </w:r>
      <w:r w:rsidRPr="00CC170B">
        <w:t xml:space="preserve"> Sentencia de 21 de noviembre de 2022. Serie C No. 477</w:t>
      </w:r>
      <w:r>
        <w:t>, párr. 127.</w:t>
      </w:r>
    </w:p>
  </w:footnote>
  <w:footnote w:id="8">
    <w:p w14:paraId="786C2779" w14:textId="647F158F" w:rsidR="00CC170B" w:rsidRPr="00CC170B" w:rsidRDefault="00CC170B">
      <w:pPr>
        <w:pStyle w:val="Textonotapie"/>
        <w:rPr>
          <w:lang w:val="es-MX"/>
        </w:rPr>
      </w:pPr>
      <w:r>
        <w:rPr>
          <w:rStyle w:val="Refdenotaalpie"/>
        </w:rPr>
        <w:footnoteRef/>
      </w:r>
      <w:r>
        <w:t xml:space="preserve"> </w:t>
      </w:r>
      <w:r>
        <w:rPr>
          <w:lang w:val="es-MX"/>
        </w:rPr>
        <w:tab/>
      </w:r>
      <w:r w:rsidR="008A63AF" w:rsidRPr="008A63AF">
        <w:rPr>
          <w:i/>
          <w:iCs/>
          <w:lang w:val="es-CR"/>
        </w:rPr>
        <w:t xml:space="preserve">Caso Nissen </w:t>
      </w:r>
      <w:proofErr w:type="spellStart"/>
      <w:r w:rsidR="008A63AF" w:rsidRPr="008A63AF">
        <w:rPr>
          <w:i/>
          <w:iCs/>
          <w:lang w:val="es-CR"/>
        </w:rPr>
        <w:t>Pessolani</w:t>
      </w:r>
      <w:proofErr w:type="spellEnd"/>
      <w:r w:rsidR="008A63AF" w:rsidRPr="008A63AF">
        <w:rPr>
          <w:i/>
          <w:iCs/>
          <w:lang w:val="es-CR"/>
        </w:rPr>
        <w:t xml:space="preserve"> Vs. Paraguay. </w:t>
      </w:r>
      <w:r w:rsidR="008A63AF" w:rsidRPr="008A63AF">
        <w:rPr>
          <w:i/>
          <w:iCs/>
        </w:rPr>
        <w:t>Fondo, Reparaciones y Costas.</w:t>
      </w:r>
      <w:r w:rsidR="008A63AF" w:rsidRPr="00CC170B">
        <w:t xml:space="preserve"> Sentencia de 21 de noviembre de 2022. Serie C No. 477</w:t>
      </w:r>
      <w:r w:rsidR="008A63AF">
        <w:t>, nota 145.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B66"/>
    <w:multiLevelType w:val="hybridMultilevel"/>
    <w:tmpl w:val="3830D59E"/>
    <w:lvl w:ilvl="0" w:tplc="4E2A0C4C">
      <w:start w:val="1"/>
      <w:numFmt w:val="decimal"/>
      <w:pStyle w:val="PrrafodeSentencia"/>
      <w:lvlText w:val="%1."/>
      <w:lvlJc w:val="left"/>
      <w:pPr>
        <w:ind w:left="8015" w:hanging="360"/>
      </w:pPr>
      <w:rPr>
        <w:rFonts w:ascii="Verdana" w:hAnsi="Verdana" w:hint="default"/>
        <w:b w:val="0"/>
        <w:i w:val="0"/>
        <w:strike w:val="0"/>
        <w:dstrike w:val="0"/>
        <w:color w:val="auto"/>
        <w:sz w:val="20"/>
        <w:szCs w:val="20"/>
        <w:u w:val="none"/>
        <w:effect w:val="none"/>
        <w:vertAlign w:val="baseline"/>
        <w:lang w:val="es-CR"/>
      </w:rPr>
    </w:lvl>
    <w:lvl w:ilvl="1" w:tplc="CEA4ED48">
      <w:start w:val="1"/>
      <w:numFmt w:val="upp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 w15:restartNumberingAfterBreak="0">
    <w:nsid w:val="102F13C8"/>
    <w:multiLevelType w:val="hybridMultilevel"/>
    <w:tmpl w:val="650610C4"/>
    <w:lvl w:ilvl="0" w:tplc="87901404">
      <w:start w:val="1"/>
      <w:numFmt w:val="decimal"/>
      <w:lvlText w:val="%1."/>
      <w:lvlJc w:val="left"/>
      <w:pPr>
        <w:ind w:left="930" w:hanging="57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13376654"/>
    <w:multiLevelType w:val="hybridMultilevel"/>
    <w:tmpl w:val="E4AC591A"/>
    <w:lvl w:ilvl="0" w:tplc="25742612">
      <w:start w:val="1"/>
      <w:numFmt w:val="upperLetter"/>
      <w:pStyle w:val="Ttulo2"/>
      <w:lvlText w:val="%1."/>
      <w:lvlJc w:val="left"/>
      <w:pPr>
        <w:ind w:left="927"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1343122824">
    <w:abstractNumId w:val="0"/>
  </w:num>
  <w:num w:numId="2" w16cid:durableId="1467775949">
    <w:abstractNumId w:val="2"/>
  </w:num>
  <w:num w:numId="3" w16cid:durableId="725683392">
    <w:abstractNumId w:val="2"/>
    <w:lvlOverride w:ilvl="0">
      <w:startOverride w:val="1"/>
    </w:lvlOverride>
  </w:num>
  <w:num w:numId="4" w16cid:durableId="1155609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3AC"/>
    <w:rsid w:val="00000A6C"/>
    <w:rsid w:val="00004760"/>
    <w:rsid w:val="000054EB"/>
    <w:rsid w:val="0000644E"/>
    <w:rsid w:val="0000767E"/>
    <w:rsid w:val="00014D8B"/>
    <w:rsid w:val="00021447"/>
    <w:rsid w:val="0002357D"/>
    <w:rsid w:val="0002689D"/>
    <w:rsid w:val="00026A0D"/>
    <w:rsid w:val="00031A8C"/>
    <w:rsid w:val="00033C0B"/>
    <w:rsid w:val="000353C0"/>
    <w:rsid w:val="00037D87"/>
    <w:rsid w:val="000415BC"/>
    <w:rsid w:val="00042516"/>
    <w:rsid w:val="00046E2D"/>
    <w:rsid w:val="00050D95"/>
    <w:rsid w:val="000544B9"/>
    <w:rsid w:val="000610BE"/>
    <w:rsid w:val="00064B3A"/>
    <w:rsid w:val="000662C3"/>
    <w:rsid w:val="00067780"/>
    <w:rsid w:val="000710CB"/>
    <w:rsid w:val="00073D3B"/>
    <w:rsid w:val="000770CD"/>
    <w:rsid w:val="00083C1D"/>
    <w:rsid w:val="000850AD"/>
    <w:rsid w:val="00086DEA"/>
    <w:rsid w:val="00094257"/>
    <w:rsid w:val="000954A0"/>
    <w:rsid w:val="00097B99"/>
    <w:rsid w:val="000A0C95"/>
    <w:rsid w:val="000A3D84"/>
    <w:rsid w:val="000B1727"/>
    <w:rsid w:val="000B312C"/>
    <w:rsid w:val="000B5DC5"/>
    <w:rsid w:val="000C216D"/>
    <w:rsid w:val="000D17CB"/>
    <w:rsid w:val="000D24EC"/>
    <w:rsid w:val="000E34F1"/>
    <w:rsid w:val="000E6B5A"/>
    <w:rsid w:val="000E6D0B"/>
    <w:rsid w:val="000F765F"/>
    <w:rsid w:val="001003AC"/>
    <w:rsid w:val="00106D76"/>
    <w:rsid w:val="001079F7"/>
    <w:rsid w:val="00111F1E"/>
    <w:rsid w:val="00113E18"/>
    <w:rsid w:val="001156F9"/>
    <w:rsid w:val="00116BCE"/>
    <w:rsid w:val="00117304"/>
    <w:rsid w:val="00125F2B"/>
    <w:rsid w:val="00126570"/>
    <w:rsid w:val="00130E83"/>
    <w:rsid w:val="001312BD"/>
    <w:rsid w:val="00131E63"/>
    <w:rsid w:val="00134DB1"/>
    <w:rsid w:val="00142AFB"/>
    <w:rsid w:val="00145263"/>
    <w:rsid w:val="00145611"/>
    <w:rsid w:val="0014779C"/>
    <w:rsid w:val="00147F12"/>
    <w:rsid w:val="00150B6B"/>
    <w:rsid w:val="00153640"/>
    <w:rsid w:val="00153EE5"/>
    <w:rsid w:val="00155F70"/>
    <w:rsid w:val="00156BA8"/>
    <w:rsid w:val="001637EE"/>
    <w:rsid w:val="00165F76"/>
    <w:rsid w:val="00172EFD"/>
    <w:rsid w:val="0017786E"/>
    <w:rsid w:val="00180CF6"/>
    <w:rsid w:val="00181988"/>
    <w:rsid w:val="00191D10"/>
    <w:rsid w:val="001934D9"/>
    <w:rsid w:val="00195F29"/>
    <w:rsid w:val="0019669B"/>
    <w:rsid w:val="001A3F05"/>
    <w:rsid w:val="001A3FD5"/>
    <w:rsid w:val="001A54FC"/>
    <w:rsid w:val="001A6909"/>
    <w:rsid w:val="001B080D"/>
    <w:rsid w:val="001B0BEF"/>
    <w:rsid w:val="001B240D"/>
    <w:rsid w:val="001B347E"/>
    <w:rsid w:val="001B3E37"/>
    <w:rsid w:val="001B6932"/>
    <w:rsid w:val="001B6997"/>
    <w:rsid w:val="001E22F3"/>
    <w:rsid w:val="001E6DD1"/>
    <w:rsid w:val="001F08C8"/>
    <w:rsid w:val="001F0A8D"/>
    <w:rsid w:val="001F0EE4"/>
    <w:rsid w:val="001F17B5"/>
    <w:rsid w:val="001F4A44"/>
    <w:rsid w:val="001F5BA7"/>
    <w:rsid w:val="002046B7"/>
    <w:rsid w:val="002134A7"/>
    <w:rsid w:val="002149FC"/>
    <w:rsid w:val="00223E03"/>
    <w:rsid w:val="00226B2A"/>
    <w:rsid w:val="00235EB4"/>
    <w:rsid w:val="00237F1E"/>
    <w:rsid w:val="00244646"/>
    <w:rsid w:val="00244FFC"/>
    <w:rsid w:val="00247549"/>
    <w:rsid w:val="002505B6"/>
    <w:rsid w:val="00254323"/>
    <w:rsid w:val="002554E4"/>
    <w:rsid w:val="0025576F"/>
    <w:rsid w:val="00267E7C"/>
    <w:rsid w:val="00272CBE"/>
    <w:rsid w:val="00276BB5"/>
    <w:rsid w:val="00277A54"/>
    <w:rsid w:val="00281220"/>
    <w:rsid w:val="00282ADB"/>
    <w:rsid w:val="00283434"/>
    <w:rsid w:val="00285B91"/>
    <w:rsid w:val="00287B35"/>
    <w:rsid w:val="002908D9"/>
    <w:rsid w:val="002912D7"/>
    <w:rsid w:val="002916E1"/>
    <w:rsid w:val="00293DE8"/>
    <w:rsid w:val="00293F8C"/>
    <w:rsid w:val="00294205"/>
    <w:rsid w:val="002A09A2"/>
    <w:rsid w:val="002A387E"/>
    <w:rsid w:val="002B1DDB"/>
    <w:rsid w:val="002B4FDA"/>
    <w:rsid w:val="002B63EF"/>
    <w:rsid w:val="002B73F0"/>
    <w:rsid w:val="002C1DD8"/>
    <w:rsid w:val="002D76B7"/>
    <w:rsid w:val="002F048C"/>
    <w:rsid w:val="002F50ED"/>
    <w:rsid w:val="002F6532"/>
    <w:rsid w:val="002F74C9"/>
    <w:rsid w:val="00310A1C"/>
    <w:rsid w:val="0031241B"/>
    <w:rsid w:val="003145F0"/>
    <w:rsid w:val="00321197"/>
    <w:rsid w:val="00323C1E"/>
    <w:rsid w:val="0032536E"/>
    <w:rsid w:val="003254C9"/>
    <w:rsid w:val="00325C9A"/>
    <w:rsid w:val="003318B6"/>
    <w:rsid w:val="00331EB8"/>
    <w:rsid w:val="00332372"/>
    <w:rsid w:val="003326E4"/>
    <w:rsid w:val="00333E23"/>
    <w:rsid w:val="003367B8"/>
    <w:rsid w:val="00342C61"/>
    <w:rsid w:val="0035598B"/>
    <w:rsid w:val="003562C3"/>
    <w:rsid w:val="003568A9"/>
    <w:rsid w:val="003607EB"/>
    <w:rsid w:val="00362C5F"/>
    <w:rsid w:val="00366CEC"/>
    <w:rsid w:val="00370AE5"/>
    <w:rsid w:val="00372016"/>
    <w:rsid w:val="003755D0"/>
    <w:rsid w:val="00382627"/>
    <w:rsid w:val="00385B61"/>
    <w:rsid w:val="003A31C0"/>
    <w:rsid w:val="003A452B"/>
    <w:rsid w:val="003B0DDD"/>
    <w:rsid w:val="003B3C52"/>
    <w:rsid w:val="003B4A09"/>
    <w:rsid w:val="003B60FD"/>
    <w:rsid w:val="003B611D"/>
    <w:rsid w:val="003C3098"/>
    <w:rsid w:val="003C4311"/>
    <w:rsid w:val="003D310C"/>
    <w:rsid w:val="003D42CC"/>
    <w:rsid w:val="003D7E13"/>
    <w:rsid w:val="003E5EA9"/>
    <w:rsid w:val="003F059C"/>
    <w:rsid w:val="003F1528"/>
    <w:rsid w:val="003F3FBB"/>
    <w:rsid w:val="00401F4E"/>
    <w:rsid w:val="004043F6"/>
    <w:rsid w:val="00404707"/>
    <w:rsid w:val="00411BF4"/>
    <w:rsid w:val="00412EBD"/>
    <w:rsid w:val="00417AE3"/>
    <w:rsid w:val="00421893"/>
    <w:rsid w:val="0042247C"/>
    <w:rsid w:val="0042401D"/>
    <w:rsid w:val="004240E9"/>
    <w:rsid w:val="00426FD1"/>
    <w:rsid w:val="004426E0"/>
    <w:rsid w:val="0046106D"/>
    <w:rsid w:val="00461CAF"/>
    <w:rsid w:val="00463C78"/>
    <w:rsid w:val="00465030"/>
    <w:rsid w:val="00481E9A"/>
    <w:rsid w:val="004832BB"/>
    <w:rsid w:val="00493657"/>
    <w:rsid w:val="004A12CB"/>
    <w:rsid w:val="004A414D"/>
    <w:rsid w:val="004A5099"/>
    <w:rsid w:val="004B430D"/>
    <w:rsid w:val="004B4E5C"/>
    <w:rsid w:val="004B584E"/>
    <w:rsid w:val="004B5AC4"/>
    <w:rsid w:val="004B633B"/>
    <w:rsid w:val="004C0146"/>
    <w:rsid w:val="004C0F26"/>
    <w:rsid w:val="004C2AFD"/>
    <w:rsid w:val="004D3011"/>
    <w:rsid w:val="004D7114"/>
    <w:rsid w:val="004D7AC2"/>
    <w:rsid w:val="004E2831"/>
    <w:rsid w:val="004E2ECB"/>
    <w:rsid w:val="004E56EB"/>
    <w:rsid w:val="004E66F1"/>
    <w:rsid w:val="004E73CD"/>
    <w:rsid w:val="004F1F25"/>
    <w:rsid w:val="00505AD1"/>
    <w:rsid w:val="00505C04"/>
    <w:rsid w:val="00506034"/>
    <w:rsid w:val="00520419"/>
    <w:rsid w:val="00521AA4"/>
    <w:rsid w:val="005230D2"/>
    <w:rsid w:val="00524A30"/>
    <w:rsid w:val="00524D4F"/>
    <w:rsid w:val="00531C04"/>
    <w:rsid w:val="00532A7A"/>
    <w:rsid w:val="00540B19"/>
    <w:rsid w:val="00544DEF"/>
    <w:rsid w:val="005465DC"/>
    <w:rsid w:val="0055083A"/>
    <w:rsid w:val="005519A8"/>
    <w:rsid w:val="005661DB"/>
    <w:rsid w:val="005703A2"/>
    <w:rsid w:val="0057249E"/>
    <w:rsid w:val="005743DA"/>
    <w:rsid w:val="00574989"/>
    <w:rsid w:val="00575EB9"/>
    <w:rsid w:val="00576347"/>
    <w:rsid w:val="005868DC"/>
    <w:rsid w:val="00594C8B"/>
    <w:rsid w:val="005973CE"/>
    <w:rsid w:val="005A18FB"/>
    <w:rsid w:val="005A2875"/>
    <w:rsid w:val="005A2D73"/>
    <w:rsid w:val="005A3058"/>
    <w:rsid w:val="005A7BC1"/>
    <w:rsid w:val="005B0DF8"/>
    <w:rsid w:val="005B0EF6"/>
    <w:rsid w:val="005B1965"/>
    <w:rsid w:val="005B215E"/>
    <w:rsid w:val="005B25B6"/>
    <w:rsid w:val="005B39DF"/>
    <w:rsid w:val="005C3DC9"/>
    <w:rsid w:val="005C7188"/>
    <w:rsid w:val="005D21BC"/>
    <w:rsid w:val="005D5301"/>
    <w:rsid w:val="005D6C3D"/>
    <w:rsid w:val="005E0884"/>
    <w:rsid w:val="005E26AB"/>
    <w:rsid w:val="005E492E"/>
    <w:rsid w:val="005F144C"/>
    <w:rsid w:val="005F49EA"/>
    <w:rsid w:val="006005AE"/>
    <w:rsid w:val="0060336E"/>
    <w:rsid w:val="00603C52"/>
    <w:rsid w:val="00605D5D"/>
    <w:rsid w:val="00616447"/>
    <w:rsid w:val="006169AD"/>
    <w:rsid w:val="0062353D"/>
    <w:rsid w:val="00623A1C"/>
    <w:rsid w:val="0062430B"/>
    <w:rsid w:val="0063132C"/>
    <w:rsid w:val="00634671"/>
    <w:rsid w:val="00635630"/>
    <w:rsid w:val="0063664B"/>
    <w:rsid w:val="00642B76"/>
    <w:rsid w:val="006536D6"/>
    <w:rsid w:val="0065412B"/>
    <w:rsid w:val="006568E9"/>
    <w:rsid w:val="00657F08"/>
    <w:rsid w:val="00661218"/>
    <w:rsid w:val="0066144D"/>
    <w:rsid w:val="006636AD"/>
    <w:rsid w:val="00667247"/>
    <w:rsid w:val="00667570"/>
    <w:rsid w:val="0067065C"/>
    <w:rsid w:val="006753AA"/>
    <w:rsid w:val="00681642"/>
    <w:rsid w:val="00684230"/>
    <w:rsid w:val="00684B4F"/>
    <w:rsid w:val="006873B6"/>
    <w:rsid w:val="00687697"/>
    <w:rsid w:val="006879FE"/>
    <w:rsid w:val="00693E5E"/>
    <w:rsid w:val="00694F9B"/>
    <w:rsid w:val="006A3E39"/>
    <w:rsid w:val="006B2681"/>
    <w:rsid w:val="006B327D"/>
    <w:rsid w:val="006B56D3"/>
    <w:rsid w:val="006B57AD"/>
    <w:rsid w:val="006B7D3C"/>
    <w:rsid w:val="006D63DF"/>
    <w:rsid w:val="006E7C77"/>
    <w:rsid w:val="006F227A"/>
    <w:rsid w:val="006F2A5D"/>
    <w:rsid w:val="006F4437"/>
    <w:rsid w:val="00700690"/>
    <w:rsid w:val="00704038"/>
    <w:rsid w:val="0070676F"/>
    <w:rsid w:val="00720082"/>
    <w:rsid w:val="0072220B"/>
    <w:rsid w:val="00726236"/>
    <w:rsid w:val="00756116"/>
    <w:rsid w:val="00767513"/>
    <w:rsid w:val="00770EB6"/>
    <w:rsid w:val="007744AB"/>
    <w:rsid w:val="007750C3"/>
    <w:rsid w:val="00775DDA"/>
    <w:rsid w:val="00785265"/>
    <w:rsid w:val="00790F64"/>
    <w:rsid w:val="00793852"/>
    <w:rsid w:val="007A775B"/>
    <w:rsid w:val="007C5A91"/>
    <w:rsid w:val="007D1C8C"/>
    <w:rsid w:val="007D5909"/>
    <w:rsid w:val="007E12DF"/>
    <w:rsid w:val="007E78AF"/>
    <w:rsid w:val="007F52E2"/>
    <w:rsid w:val="00804157"/>
    <w:rsid w:val="008060C9"/>
    <w:rsid w:val="00812C68"/>
    <w:rsid w:val="0081384C"/>
    <w:rsid w:val="00817E3F"/>
    <w:rsid w:val="00820A59"/>
    <w:rsid w:val="008211CB"/>
    <w:rsid w:val="008322CE"/>
    <w:rsid w:val="0083550E"/>
    <w:rsid w:val="00843B00"/>
    <w:rsid w:val="00844A88"/>
    <w:rsid w:val="0084586D"/>
    <w:rsid w:val="0085324B"/>
    <w:rsid w:val="00853C01"/>
    <w:rsid w:val="00856D83"/>
    <w:rsid w:val="00876FDF"/>
    <w:rsid w:val="0088005A"/>
    <w:rsid w:val="0088024A"/>
    <w:rsid w:val="00881DED"/>
    <w:rsid w:val="00882491"/>
    <w:rsid w:val="008873BD"/>
    <w:rsid w:val="008A04A7"/>
    <w:rsid w:val="008A18CE"/>
    <w:rsid w:val="008A1CA6"/>
    <w:rsid w:val="008A3362"/>
    <w:rsid w:val="008A63AF"/>
    <w:rsid w:val="008B4BCA"/>
    <w:rsid w:val="008C2168"/>
    <w:rsid w:val="008C2DF9"/>
    <w:rsid w:val="008C3CBF"/>
    <w:rsid w:val="008C7275"/>
    <w:rsid w:val="008D44DD"/>
    <w:rsid w:val="008D690D"/>
    <w:rsid w:val="008E2E8B"/>
    <w:rsid w:val="008E7CEF"/>
    <w:rsid w:val="008F204D"/>
    <w:rsid w:val="008F26B2"/>
    <w:rsid w:val="008F3DAA"/>
    <w:rsid w:val="008F7D15"/>
    <w:rsid w:val="009045F7"/>
    <w:rsid w:val="00910C3A"/>
    <w:rsid w:val="00915EAD"/>
    <w:rsid w:val="009263D5"/>
    <w:rsid w:val="009411A3"/>
    <w:rsid w:val="00954236"/>
    <w:rsid w:val="00954FCE"/>
    <w:rsid w:val="00956B56"/>
    <w:rsid w:val="009649CD"/>
    <w:rsid w:val="009659EF"/>
    <w:rsid w:val="00972159"/>
    <w:rsid w:val="00973234"/>
    <w:rsid w:val="0097496B"/>
    <w:rsid w:val="00976776"/>
    <w:rsid w:val="009857A4"/>
    <w:rsid w:val="009975E6"/>
    <w:rsid w:val="009A1495"/>
    <w:rsid w:val="009C16CD"/>
    <w:rsid w:val="009C2931"/>
    <w:rsid w:val="009C5870"/>
    <w:rsid w:val="009D3D0B"/>
    <w:rsid w:val="009D45F2"/>
    <w:rsid w:val="009E1705"/>
    <w:rsid w:val="009E7C92"/>
    <w:rsid w:val="009E7E90"/>
    <w:rsid w:val="009F1033"/>
    <w:rsid w:val="009F1E1E"/>
    <w:rsid w:val="00A0274A"/>
    <w:rsid w:val="00A0643F"/>
    <w:rsid w:val="00A0659B"/>
    <w:rsid w:val="00A168E6"/>
    <w:rsid w:val="00A21C43"/>
    <w:rsid w:val="00A25370"/>
    <w:rsid w:val="00A26963"/>
    <w:rsid w:val="00A44799"/>
    <w:rsid w:val="00A4677E"/>
    <w:rsid w:val="00A51362"/>
    <w:rsid w:val="00A57BF3"/>
    <w:rsid w:val="00A62224"/>
    <w:rsid w:val="00A62A62"/>
    <w:rsid w:val="00A63155"/>
    <w:rsid w:val="00A7317D"/>
    <w:rsid w:val="00A7635B"/>
    <w:rsid w:val="00A76636"/>
    <w:rsid w:val="00A8293C"/>
    <w:rsid w:val="00A83760"/>
    <w:rsid w:val="00A850D8"/>
    <w:rsid w:val="00AA4673"/>
    <w:rsid w:val="00AA6872"/>
    <w:rsid w:val="00AB283C"/>
    <w:rsid w:val="00AB2AE1"/>
    <w:rsid w:val="00AB409C"/>
    <w:rsid w:val="00AB73E6"/>
    <w:rsid w:val="00AC4A3D"/>
    <w:rsid w:val="00AD1C70"/>
    <w:rsid w:val="00AD7219"/>
    <w:rsid w:val="00AE012D"/>
    <w:rsid w:val="00AF244A"/>
    <w:rsid w:val="00AF4B5A"/>
    <w:rsid w:val="00AF7D59"/>
    <w:rsid w:val="00B026E4"/>
    <w:rsid w:val="00B03018"/>
    <w:rsid w:val="00B061D5"/>
    <w:rsid w:val="00B127AC"/>
    <w:rsid w:val="00B132EB"/>
    <w:rsid w:val="00B14922"/>
    <w:rsid w:val="00B14B69"/>
    <w:rsid w:val="00B31096"/>
    <w:rsid w:val="00B327DF"/>
    <w:rsid w:val="00B32A4F"/>
    <w:rsid w:val="00B366EC"/>
    <w:rsid w:val="00B47632"/>
    <w:rsid w:val="00B50F39"/>
    <w:rsid w:val="00B5290F"/>
    <w:rsid w:val="00B52DC6"/>
    <w:rsid w:val="00B5427E"/>
    <w:rsid w:val="00B572CB"/>
    <w:rsid w:val="00B5757E"/>
    <w:rsid w:val="00B60F78"/>
    <w:rsid w:val="00B66DEE"/>
    <w:rsid w:val="00B707C3"/>
    <w:rsid w:val="00B708BF"/>
    <w:rsid w:val="00B732E9"/>
    <w:rsid w:val="00B75ECF"/>
    <w:rsid w:val="00B81731"/>
    <w:rsid w:val="00B834A9"/>
    <w:rsid w:val="00B83BB2"/>
    <w:rsid w:val="00B83EF5"/>
    <w:rsid w:val="00B84011"/>
    <w:rsid w:val="00B86846"/>
    <w:rsid w:val="00B87167"/>
    <w:rsid w:val="00B91BFC"/>
    <w:rsid w:val="00BA2992"/>
    <w:rsid w:val="00BA49B7"/>
    <w:rsid w:val="00BA5154"/>
    <w:rsid w:val="00BA7143"/>
    <w:rsid w:val="00BA75BC"/>
    <w:rsid w:val="00BA7962"/>
    <w:rsid w:val="00BB1602"/>
    <w:rsid w:val="00BB3D31"/>
    <w:rsid w:val="00BC0C91"/>
    <w:rsid w:val="00BC0F9D"/>
    <w:rsid w:val="00BD4237"/>
    <w:rsid w:val="00BD5FE2"/>
    <w:rsid w:val="00BE0161"/>
    <w:rsid w:val="00BE0CB2"/>
    <w:rsid w:val="00BE19D5"/>
    <w:rsid w:val="00BE211D"/>
    <w:rsid w:val="00BE601F"/>
    <w:rsid w:val="00BF1620"/>
    <w:rsid w:val="00C01525"/>
    <w:rsid w:val="00C01BEE"/>
    <w:rsid w:val="00C04293"/>
    <w:rsid w:val="00C04D82"/>
    <w:rsid w:val="00C077D7"/>
    <w:rsid w:val="00C15928"/>
    <w:rsid w:val="00C248E7"/>
    <w:rsid w:val="00C32737"/>
    <w:rsid w:val="00C337B3"/>
    <w:rsid w:val="00C40FC0"/>
    <w:rsid w:val="00C41702"/>
    <w:rsid w:val="00C41815"/>
    <w:rsid w:val="00C4407D"/>
    <w:rsid w:val="00C46038"/>
    <w:rsid w:val="00C4667A"/>
    <w:rsid w:val="00C52581"/>
    <w:rsid w:val="00C52ED4"/>
    <w:rsid w:val="00C53174"/>
    <w:rsid w:val="00C53D71"/>
    <w:rsid w:val="00C60431"/>
    <w:rsid w:val="00C610BC"/>
    <w:rsid w:val="00C620D1"/>
    <w:rsid w:val="00C64034"/>
    <w:rsid w:val="00C66C83"/>
    <w:rsid w:val="00C67854"/>
    <w:rsid w:val="00C724AE"/>
    <w:rsid w:val="00C748FA"/>
    <w:rsid w:val="00C817DB"/>
    <w:rsid w:val="00C833CC"/>
    <w:rsid w:val="00C932CE"/>
    <w:rsid w:val="00C93DE5"/>
    <w:rsid w:val="00CA183D"/>
    <w:rsid w:val="00CB775B"/>
    <w:rsid w:val="00CC170B"/>
    <w:rsid w:val="00CC574E"/>
    <w:rsid w:val="00CD1117"/>
    <w:rsid w:val="00CD1486"/>
    <w:rsid w:val="00CD1852"/>
    <w:rsid w:val="00CD3F91"/>
    <w:rsid w:val="00CD752B"/>
    <w:rsid w:val="00CE0469"/>
    <w:rsid w:val="00D12465"/>
    <w:rsid w:val="00D12CD7"/>
    <w:rsid w:val="00D228A7"/>
    <w:rsid w:val="00D23727"/>
    <w:rsid w:val="00D238D7"/>
    <w:rsid w:val="00D30A93"/>
    <w:rsid w:val="00D31668"/>
    <w:rsid w:val="00D31C6A"/>
    <w:rsid w:val="00D33BD3"/>
    <w:rsid w:val="00D37966"/>
    <w:rsid w:val="00D4492A"/>
    <w:rsid w:val="00D45EEE"/>
    <w:rsid w:val="00D469AB"/>
    <w:rsid w:val="00D47E2E"/>
    <w:rsid w:val="00D53888"/>
    <w:rsid w:val="00D55618"/>
    <w:rsid w:val="00D5647D"/>
    <w:rsid w:val="00D61A15"/>
    <w:rsid w:val="00D6558A"/>
    <w:rsid w:val="00D66DC2"/>
    <w:rsid w:val="00D73AA2"/>
    <w:rsid w:val="00D84DD1"/>
    <w:rsid w:val="00D95AD0"/>
    <w:rsid w:val="00D95F2E"/>
    <w:rsid w:val="00DB26FA"/>
    <w:rsid w:val="00DB2FF2"/>
    <w:rsid w:val="00DB541B"/>
    <w:rsid w:val="00DB7617"/>
    <w:rsid w:val="00DC1FBC"/>
    <w:rsid w:val="00DD2700"/>
    <w:rsid w:val="00DD4DCF"/>
    <w:rsid w:val="00DE043C"/>
    <w:rsid w:val="00DE0675"/>
    <w:rsid w:val="00DE0683"/>
    <w:rsid w:val="00DE561D"/>
    <w:rsid w:val="00DE56D1"/>
    <w:rsid w:val="00DF2CD4"/>
    <w:rsid w:val="00E00B37"/>
    <w:rsid w:val="00E022D3"/>
    <w:rsid w:val="00E10F7D"/>
    <w:rsid w:val="00E23B71"/>
    <w:rsid w:val="00E339EA"/>
    <w:rsid w:val="00E35453"/>
    <w:rsid w:val="00E41CC5"/>
    <w:rsid w:val="00E42289"/>
    <w:rsid w:val="00E440E2"/>
    <w:rsid w:val="00E45B4E"/>
    <w:rsid w:val="00E46828"/>
    <w:rsid w:val="00E559F8"/>
    <w:rsid w:val="00E647D3"/>
    <w:rsid w:val="00E65334"/>
    <w:rsid w:val="00E67EE6"/>
    <w:rsid w:val="00E70BEC"/>
    <w:rsid w:val="00E96FB8"/>
    <w:rsid w:val="00EA038C"/>
    <w:rsid w:val="00EA17EA"/>
    <w:rsid w:val="00EA332B"/>
    <w:rsid w:val="00EA47AF"/>
    <w:rsid w:val="00EA70DC"/>
    <w:rsid w:val="00EB00AE"/>
    <w:rsid w:val="00EB1B24"/>
    <w:rsid w:val="00EB6306"/>
    <w:rsid w:val="00EC6EC0"/>
    <w:rsid w:val="00ED2B2D"/>
    <w:rsid w:val="00ED52DE"/>
    <w:rsid w:val="00ED6451"/>
    <w:rsid w:val="00EE2A1E"/>
    <w:rsid w:val="00EE2B80"/>
    <w:rsid w:val="00EE32D4"/>
    <w:rsid w:val="00EE5492"/>
    <w:rsid w:val="00EE59EB"/>
    <w:rsid w:val="00EE6670"/>
    <w:rsid w:val="00EF0018"/>
    <w:rsid w:val="00EF0030"/>
    <w:rsid w:val="00EF122E"/>
    <w:rsid w:val="00EF5A05"/>
    <w:rsid w:val="00F00E7B"/>
    <w:rsid w:val="00F0242D"/>
    <w:rsid w:val="00F045FB"/>
    <w:rsid w:val="00F11BA5"/>
    <w:rsid w:val="00F13225"/>
    <w:rsid w:val="00F14521"/>
    <w:rsid w:val="00F173B9"/>
    <w:rsid w:val="00F23BAC"/>
    <w:rsid w:val="00F264AA"/>
    <w:rsid w:val="00F324A6"/>
    <w:rsid w:val="00F32643"/>
    <w:rsid w:val="00F3741A"/>
    <w:rsid w:val="00F377C6"/>
    <w:rsid w:val="00F46387"/>
    <w:rsid w:val="00F5392D"/>
    <w:rsid w:val="00F54452"/>
    <w:rsid w:val="00F56A80"/>
    <w:rsid w:val="00F62F5F"/>
    <w:rsid w:val="00F63E8F"/>
    <w:rsid w:val="00F63FF1"/>
    <w:rsid w:val="00F747EE"/>
    <w:rsid w:val="00F762DD"/>
    <w:rsid w:val="00F82A21"/>
    <w:rsid w:val="00F84637"/>
    <w:rsid w:val="00F85AAB"/>
    <w:rsid w:val="00F91349"/>
    <w:rsid w:val="00FA33B2"/>
    <w:rsid w:val="00FB1A6D"/>
    <w:rsid w:val="00FB2679"/>
    <w:rsid w:val="00FB2828"/>
    <w:rsid w:val="00FB3D18"/>
    <w:rsid w:val="00FB7912"/>
    <w:rsid w:val="00FC061E"/>
    <w:rsid w:val="00FC1F89"/>
    <w:rsid w:val="00FD659A"/>
    <w:rsid w:val="00FD6607"/>
    <w:rsid w:val="00FE221B"/>
    <w:rsid w:val="00FE4F73"/>
    <w:rsid w:val="00FE5812"/>
    <w:rsid w:val="00FF1CB6"/>
    <w:rsid w:val="00FF59F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E2C7A9"/>
  <w15:chartTrackingRefBased/>
  <w15:docId w15:val="{9CC3236D-50C4-45CE-ADA5-2B4BC89F5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A5D"/>
    <w:pPr>
      <w:spacing w:after="0" w:line="240" w:lineRule="auto"/>
      <w:jc w:val="both"/>
    </w:pPr>
    <w:rPr>
      <w:rFonts w:ascii="Verdana" w:eastAsia="Times New Roman" w:hAnsi="Verdana" w:cs="Times New Roman"/>
      <w:sz w:val="20"/>
      <w:szCs w:val="24"/>
      <w:lang w:val="en-US"/>
    </w:rPr>
  </w:style>
  <w:style w:type="paragraph" w:styleId="Ttulo1">
    <w:name w:val="heading 1"/>
    <w:basedOn w:val="Normal"/>
    <w:next w:val="Normal"/>
    <w:link w:val="Ttulo1Car"/>
    <w:uiPriority w:val="9"/>
    <w:qFormat/>
    <w:rsid w:val="001003AC"/>
    <w:pPr>
      <w:keepNext/>
      <w:keepLines/>
      <w:spacing w:before="120" w:after="240"/>
      <w:jc w:val="center"/>
      <w:outlineLvl w:val="0"/>
    </w:pPr>
    <w:rPr>
      <w:rFonts w:eastAsiaTheme="majorEastAsia" w:cstheme="majorBidi"/>
      <w:b/>
      <w:bCs/>
      <w:caps/>
      <w:szCs w:val="28"/>
    </w:rPr>
  </w:style>
  <w:style w:type="paragraph" w:styleId="Ttulo2">
    <w:name w:val="heading 2"/>
    <w:basedOn w:val="Prrafodelista"/>
    <w:next w:val="Normal"/>
    <w:link w:val="Ttulo2Car"/>
    <w:qFormat/>
    <w:rsid w:val="001003AC"/>
    <w:pPr>
      <w:numPr>
        <w:numId w:val="2"/>
      </w:numPr>
      <w:tabs>
        <w:tab w:val="left" w:pos="567"/>
        <w:tab w:val="left" w:pos="993"/>
      </w:tabs>
      <w:spacing w:before="240" w:after="120"/>
      <w:ind w:left="924" w:hanging="357"/>
      <w:outlineLvl w:val="1"/>
    </w:pPr>
    <w:rPr>
      <w:b/>
      <w:i/>
      <w:szCs w:val="20"/>
      <w:lang w:val="es-CR"/>
    </w:rPr>
  </w:style>
  <w:style w:type="paragraph" w:styleId="Ttulo3">
    <w:name w:val="heading 3"/>
    <w:basedOn w:val="Prrafodelista"/>
    <w:next w:val="Normal"/>
    <w:link w:val="Ttulo3Car"/>
    <w:qFormat/>
    <w:rsid w:val="001003AC"/>
    <w:pPr>
      <w:tabs>
        <w:tab w:val="left" w:pos="567"/>
      </w:tabs>
      <w:spacing w:before="120" w:after="120"/>
      <w:ind w:left="1418"/>
      <w:outlineLvl w:val="2"/>
    </w:pPr>
    <w:rPr>
      <w: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03AC"/>
    <w:rPr>
      <w:rFonts w:ascii="Verdana" w:eastAsiaTheme="majorEastAsia" w:hAnsi="Verdana" w:cstheme="majorBidi"/>
      <w:b/>
      <w:bCs/>
      <w:caps/>
      <w:sz w:val="20"/>
      <w:szCs w:val="28"/>
      <w:lang w:val="en-US"/>
    </w:rPr>
  </w:style>
  <w:style w:type="character" w:customStyle="1" w:styleId="Ttulo2Car">
    <w:name w:val="Título 2 Car"/>
    <w:basedOn w:val="Fuentedeprrafopredeter"/>
    <w:link w:val="Ttulo2"/>
    <w:rsid w:val="001003AC"/>
    <w:rPr>
      <w:rFonts w:ascii="Verdana" w:eastAsia="Times New Roman" w:hAnsi="Verdana" w:cs="Times New Roman"/>
      <w:b/>
      <w:i/>
      <w:sz w:val="20"/>
      <w:szCs w:val="20"/>
    </w:rPr>
  </w:style>
  <w:style w:type="character" w:customStyle="1" w:styleId="Ttulo3Car">
    <w:name w:val="Título 3 Car"/>
    <w:basedOn w:val="Fuentedeprrafopredeter"/>
    <w:link w:val="Ttulo3"/>
    <w:rsid w:val="001003AC"/>
    <w:rPr>
      <w:rFonts w:ascii="Verdana" w:eastAsia="Times New Roman" w:hAnsi="Verdana" w:cs="Times New Roman"/>
      <w:i/>
      <w:sz w:val="20"/>
      <w:szCs w:val="24"/>
      <w:lang w:val="es-CO"/>
    </w:rPr>
  </w:style>
  <w:style w:type="character" w:styleId="Refdenotaalpie">
    <w:name w:val="footnote reference"/>
    <w:aliases w:val="Footnotes refss,Texto de nota al pie,Appel note de bas de page,Footnote number,referencia nota al pie,BVI fnr,f,Ref. de nota al pie.,Footnote symbol,Footnote,4_G,16 Point,Superscript 6 Point,Texto nota al pie,Ref,de nota al pie,norma"/>
    <w:link w:val="FootnotesrefssChar1Char"/>
    <w:uiPriority w:val="99"/>
    <w:qFormat/>
    <w:rsid w:val="001003AC"/>
    <w:rPr>
      <w:rFonts w:ascii="Verdana" w:hAnsi="Verdana"/>
      <w:sz w:val="20"/>
      <w:szCs w:val="20"/>
      <w:vertAlign w:val="superscript"/>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TextonotapieCar"/>
    <w:unhideWhenUsed/>
    <w:qFormat/>
    <w:rsid w:val="001003AC"/>
    <w:pPr>
      <w:tabs>
        <w:tab w:val="left" w:pos="567"/>
      </w:tabs>
      <w:spacing w:before="120" w:after="120"/>
    </w:pPr>
    <w:rPr>
      <w:sz w:val="16"/>
      <w:szCs w:val="20"/>
      <w:lang w:val="es-ES_tradnl" w:eastAsia="es-ES"/>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Fuentedeprrafopredeter"/>
    <w:link w:val="Textonotapie"/>
    <w:qFormat/>
    <w:rsid w:val="001003AC"/>
    <w:rPr>
      <w:rFonts w:ascii="Verdana" w:eastAsia="Times New Roman" w:hAnsi="Verdana" w:cs="Times New Roman"/>
      <w:sz w:val="16"/>
      <w:szCs w:val="20"/>
      <w:lang w:val="es-ES_tradnl" w:eastAsia="es-ES"/>
    </w:rPr>
  </w:style>
  <w:style w:type="paragraph" w:customStyle="1" w:styleId="PrrafodeSentencia">
    <w:name w:val="*. Párrafo de Sentencia"/>
    <w:basedOn w:val="Normal"/>
    <w:next w:val="Normal"/>
    <w:link w:val="PrrafodeSentenciaChar"/>
    <w:qFormat/>
    <w:rsid w:val="001003AC"/>
    <w:pPr>
      <w:numPr>
        <w:numId w:val="1"/>
      </w:numPr>
      <w:tabs>
        <w:tab w:val="left" w:pos="567"/>
      </w:tabs>
      <w:ind w:left="0" w:firstLine="0"/>
    </w:pPr>
    <w:rPr>
      <w:rFonts w:eastAsia="Batang" w:cstheme="minorBidi"/>
      <w:spacing w:val="-4"/>
      <w:szCs w:val="22"/>
      <w:lang w:val="es-CR" w:eastAsia="es-MX"/>
    </w:rPr>
  </w:style>
  <w:style w:type="character" w:customStyle="1" w:styleId="PrrafodeSentenciaChar">
    <w:name w:val="*. Párrafo de Sentencia Char"/>
    <w:link w:val="PrrafodeSentencia"/>
    <w:locked/>
    <w:rsid w:val="001003AC"/>
    <w:rPr>
      <w:rFonts w:ascii="Verdana" w:eastAsia="Batang" w:hAnsi="Verdana"/>
      <w:spacing w:val="-4"/>
      <w:sz w:val="20"/>
      <w:lang w:eastAsia="es-MX"/>
    </w:rPr>
  </w:style>
  <w:style w:type="paragraph" w:styleId="Prrafodelista">
    <w:name w:val="List Paragraph"/>
    <w:aliases w:val="Párrafo de lista1,List Paragraph1,Colorful List - Accent 11,List Paragraph11,List Paragraph2,Lista vistosa - Énfasis 11,Subtle Emphasis1,Footnote1,Parrafos"/>
    <w:basedOn w:val="Normal"/>
    <w:link w:val="PrrafodelistaCar"/>
    <w:qFormat/>
    <w:rsid w:val="001003AC"/>
    <w:pPr>
      <w:ind w:left="720"/>
      <w:contextualSpacing/>
    </w:pPr>
  </w:style>
  <w:style w:type="paragraph" w:styleId="Textocomentario">
    <w:name w:val="annotation text"/>
    <w:basedOn w:val="Normal"/>
    <w:link w:val="TextocomentarioCar"/>
    <w:uiPriority w:val="99"/>
    <w:unhideWhenUsed/>
    <w:rsid w:val="001003AC"/>
    <w:rPr>
      <w:szCs w:val="20"/>
    </w:rPr>
  </w:style>
  <w:style w:type="character" w:customStyle="1" w:styleId="TextocomentarioCar">
    <w:name w:val="Texto comentario Car"/>
    <w:basedOn w:val="Fuentedeprrafopredeter"/>
    <w:link w:val="Textocomentario"/>
    <w:uiPriority w:val="99"/>
    <w:rsid w:val="001003AC"/>
    <w:rPr>
      <w:rFonts w:ascii="Verdana" w:eastAsia="Times New Roman" w:hAnsi="Verdana" w:cs="Times New Roman"/>
      <w:sz w:val="20"/>
      <w:szCs w:val="20"/>
      <w:lang w:val="en-US"/>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link w:val="Refdenotaalpie"/>
    <w:uiPriority w:val="99"/>
    <w:qFormat/>
    <w:rsid w:val="001003AC"/>
    <w:pPr>
      <w:spacing w:after="160" w:line="240" w:lineRule="exact"/>
    </w:pPr>
    <w:rPr>
      <w:rFonts w:eastAsiaTheme="minorHAnsi" w:cstheme="minorBidi"/>
      <w:szCs w:val="20"/>
      <w:vertAlign w:val="superscript"/>
      <w:lang w:val="es-CR"/>
    </w:rPr>
  </w:style>
  <w:style w:type="character" w:customStyle="1" w:styleId="PrrafodelistaCar">
    <w:name w:val="Párrafo de lista Car"/>
    <w:aliases w:val="Párrafo de lista1 Car,List Paragraph1 Car,Colorful List - Accent 11 Car,List Paragraph11 Car,List Paragraph2 Car,Lista vistosa - Énfasis 11 Car,Subtle Emphasis1 Car,Footnote1 Car,Parrafos Car"/>
    <w:link w:val="Prrafodelista"/>
    <w:locked/>
    <w:rsid w:val="001003AC"/>
    <w:rPr>
      <w:rFonts w:ascii="Verdana" w:eastAsia="Times New Roman" w:hAnsi="Verdana" w:cs="Times New Roman"/>
      <w:sz w:val="20"/>
      <w:szCs w:val="24"/>
      <w:lang w:val="en-US"/>
    </w:rPr>
  </w:style>
  <w:style w:type="paragraph" w:customStyle="1" w:styleId="Footnotes">
    <w:name w:val="**. Footnotes"/>
    <w:basedOn w:val="Textonotapie"/>
    <w:link w:val="FootnotesChar"/>
    <w:autoRedefine/>
    <w:qFormat/>
    <w:rsid w:val="0031241B"/>
    <w:pPr>
      <w:tabs>
        <w:tab w:val="clear" w:pos="567"/>
        <w:tab w:val="left" w:pos="426"/>
      </w:tabs>
      <w:spacing w:before="0" w:after="0"/>
    </w:pPr>
    <w:rPr>
      <w:rFonts w:cs="Palatino-Italic"/>
      <w:iCs/>
      <w:spacing w:val="-4"/>
      <w:szCs w:val="16"/>
      <w:lang w:val="es-ES" w:eastAsia="en-US" w:bidi="en-US"/>
    </w:rPr>
  </w:style>
  <w:style w:type="character" w:customStyle="1" w:styleId="FootnotesChar">
    <w:name w:val="**. Footnotes Char"/>
    <w:basedOn w:val="Fuentedeprrafopredeter"/>
    <w:link w:val="Footnotes"/>
    <w:rsid w:val="0031241B"/>
    <w:rPr>
      <w:rFonts w:ascii="Verdana" w:eastAsia="Times New Roman" w:hAnsi="Verdana" w:cs="Palatino-Italic"/>
      <w:iCs/>
      <w:spacing w:val="-4"/>
      <w:sz w:val="16"/>
      <w:szCs w:val="16"/>
      <w:lang w:val="es-ES" w:bidi="en-US"/>
    </w:rPr>
  </w:style>
  <w:style w:type="character" w:styleId="Textoennegrita">
    <w:name w:val="Strong"/>
    <w:aliases w:val="Heading 2.1"/>
    <w:basedOn w:val="Fuentedeprrafopredeter"/>
    <w:uiPriority w:val="22"/>
    <w:qFormat/>
    <w:rsid w:val="001003AC"/>
    <w:rPr>
      <w:b/>
      <w:bCs/>
    </w:rPr>
  </w:style>
  <w:style w:type="paragraph" w:styleId="Ttulo">
    <w:name w:val="Title"/>
    <w:basedOn w:val="Ttulo1"/>
    <w:next w:val="Normal"/>
    <w:link w:val="TtuloCar"/>
    <w:qFormat/>
    <w:rsid w:val="001003AC"/>
    <w:pPr>
      <w:keepNext w:val="0"/>
      <w:keepLines w:val="0"/>
      <w:tabs>
        <w:tab w:val="center" w:pos="4320"/>
        <w:tab w:val="right" w:pos="8640"/>
      </w:tabs>
      <w:spacing w:before="240"/>
    </w:pPr>
    <w:rPr>
      <w:rFonts w:eastAsia="Times New Roman" w:cs="Times New Roman"/>
      <w:bCs w:val="0"/>
      <w:caps w:val="0"/>
      <w:sz w:val="22"/>
      <w:szCs w:val="20"/>
      <w:lang w:val="es-CR" w:eastAsia="es-ES"/>
    </w:rPr>
  </w:style>
  <w:style w:type="character" w:customStyle="1" w:styleId="TtuloCar">
    <w:name w:val="Título Car"/>
    <w:basedOn w:val="Fuentedeprrafopredeter"/>
    <w:link w:val="Ttulo"/>
    <w:rsid w:val="001003AC"/>
    <w:rPr>
      <w:rFonts w:ascii="Verdana" w:eastAsia="Times New Roman" w:hAnsi="Verdana" w:cs="Times New Roman"/>
      <w:b/>
      <w:szCs w:val="20"/>
      <w:lang w:eastAsia="es-ES"/>
    </w:rPr>
  </w:style>
  <w:style w:type="paragraph" w:customStyle="1" w:styleId="Textoindependiente1">
    <w:name w:val="Texto independiente1"/>
    <w:basedOn w:val="Normal"/>
    <w:rsid w:val="001003AC"/>
    <w:pPr>
      <w:widowControl w:val="0"/>
    </w:pPr>
    <w:rPr>
      <w:rFonts w:ascii="New York" w:hAnsi="New York"/>
      <w:szCs w:val="20"/>
      <w:lang w:val="es-ES_tradnl"/>
    </w:rPr>
  </w:style>
  <w:style w:type="paragraph" w:styleId="Sinespaciado">
    <w:name w:val="No Spacing"/>
    <w:uiPriority w:val="1"/>
    <w:qFormat/>
    <w:rsid w:val="001003AC"/>
    <w:pPr>
      <w:spacing w:after="0" w:line="240" w:lineRule="auto"/>
    </w:pPr>
    <w:rPr>
      <w:rFonts w:ascii="Times New Roman" w:eastAsia="Times New Roman" w:hAnsi="Times New Roman" w:cs="Times New Roman"/>
      <w:sz w:val="24"/>
      <w:szCs w:val="24"/>
      <w:lang w:val="es-MX"/>
    </w:rPr>
  </w:style>
  <w:style w:type="paragraph" w:customStyle="1" w:styleId="citaindirecta">
    <w:name w:val="cita indirecta"/>
    <w:basedOn w:val="Normal"/>
    <w:uiPriority w:val="99"/>
    <w:rsid w:val="001003AC"/>
    <w:pPr>
      <w:ind w:left="708"/>
    </w:pPr>
    <w:rPr>
      <w:szCs w:val="20"/>
      <w:lang w:val="es-ES_tradnl" w:eastAsia="es-MX"/>
    </w:rPr>
  </w:style>
  <w:style w:type="character" w:styleId="Refdecomentario">
    <w:name w:val="annotation reference"/>
    <w:basedOn w:val="Fuentedeprrafopredeter"/>
    <w:uiPriority w:val="99"/>
    <w:semiHidden/>
    <w:unhideWhenUsed/>
    <w:rsid w:val="00325C9A"/>
    <w:rPr>
      <w:sz w:val="16"/>
      <w:szCs w:val="16"/>
    </w:rPr>
  </w:style>
  <w:style w:type="paragraph" w:styleId="Asuntodelcomentario">
    <w:name w:val="annotation subject"/>
    <w:basedOn w:val="Textocomentario"/>
    <w:next w:val="Textocomentario"/>
    <w:link w:val="AsuntodelcomentarioCar"/>
    <w:uiPriority w:val="99"/>
    <w:semiHidden/>
    <w:unhideWhenUsed/>
    <w:rsid w:val="00325C9A"/>
    <w:rPr>
      <w:b/>
      <w:bCs/>
    </w:rPr>
  </w:style>
  <w:style w:type="character" w:customStyle="1" w:styleId="AsuntodelcomentarioCar">
    <w:name w:val="Asunto del comentario Car"/>
    <w:basedOn w:val="TextocomentarioCar"/>
    <w:link w:val="Asuntodelcomentario"/>
    <w:uiPriority w:val="99"/>
    <w:semiHidden/>
    <w:rsid w:val="00325C9A"/>
    <w:rPr>
      <w:rFonts w:ascii="Verdana" w:eastAsia="Times New Roman" w:hAnsi="Verdana" w:cs="Times New Roman"/>
      <w:b/>
      <w:bCs/>
      <w:sz w:val="20"/>
      <w:szCs w:val="20"/>
      <w:lang w:val="en-US"/>
    </w:rPr>
  </w:style>
  <w:style w:type="paragraph" w:styleId="Revisin">
    <w:name w:val="Revision"/>
    <w:hidden/>
    <w:uiPriority w:val="99"/>
    <w:semiHidden/>
    <w:rsid w:val="008C3CBF"/>
    <w:pPr>
      <w:spacing w:after="0" w:line="240" w:lineRule="auto"/>
    </w:pPr>
    <w:rPr>
      <w:rFonts w:ascii="Verdana" w:eastAsia="Times New Roman" w:hAnsi="Verdana" w:cs="Times New Roman"/>
      <w:sz w:val="20"/>
      <w:szCs w:val="24"/>
      <w:lang w:val="en-US"/>
    </w:rPr>
  </w:style>
  <w:style w:type="paragraph" w:styleId="Encabezado">
    <w:name w:val="header"/>
    <w:basedOn w:val="Normal"/>
    <w:link w:val="EncabezadoCar"/>
    <w:uiPriority w:val="99"/>
    <w:unhideWhenUsed/>
    <w:rsid w:val="00EE5492"/>
    <w:pPr>
      <w:tabs>
        <w:tab w:val="center" w:pos="4419"/>
        <w:tab w:val="right" w:pos="8838"/>
      </w:tabs>
    </w:pPr>
  </w:style>
  <w:style w:type="character" w:customStyle="1" w:styleId="EncabezadoCar">
    <w:name w:val="Encabezado Car"/>
    <w:basedOn w:val="Fuentedeprrafopredeter"/>
    <w:link w:val="Encabezado"/>
    <w:uiPriority w:val="99"/>
    <w:rsid w:val="00EE5492"/>
    <w:rPr>
      <w:rFonts w:ascii="Verdana" w:eastAsia="Times New Roman" w:hAnsi="Verdana" w:cs="Times New Roman"/>
      <w:sz w:val="20"/>
      <w:szCs w:val="24"/>
      <w:lang w:val="en-US"/>
    </w:rPr>
  </w:style>
  <w:style w:type="paragraph" w:styleId="Piedepgina">
    <w:name w:val="footer"/>
    <w:basedOn w:val="Normal"/>
    <w:link w:val="PiedepginaCar"/>
    <w:uiPriority w:val="99"/>
    <w:unhideWhenUsed/>
    <w:rsid w:val="00EE5492"/>
    <w:pPr>
      <w:tabs>
        <w:tab w:val="center" w:pos="4419"/>
        <w:tab w:val="right" w:pos="8838"/>
      </w:tabs>
    </w:pPr>
  </w:style>
  <w:style w:type="character" w:customStyle="1" w:styleId="PiedepginaCar">
    <w:name w:val="Pie de página Car"/>
    <w:basedOn w:val="Fuentedeprrafopredeter"/>
    <w:link w:val="Piedepgina"/>
    <w:uiPriority w:val="99"/>
    <w:rsid w:val="00EE5492"/>
    <w:rPr>
      <w:rFonts w:ascii="Verdana" w:eastAsia="Times New Roman" w:hAnsi="Verdana" w:cs="Times New Roman"/>
      <w:sz w:val="20"/>
      <w:szCs w:val="24"/>
      <w:lang w:val="en-US"/>
    </w:rPr>
  </w:style>
  <w:style w:type="paragraph" w:styleId="HTMLconformatoprevio">
    <w:name w:val="HTML Preformatted"/>
    <w:basedOn w:val="Normal"/>
    <w:link w:val="HTMLconformatoprevioCar"/>
    <w:uiPriority w:val="99"/>
    <w:semiHidden/>
    <w:unhideWhenUsed/>
    <w:rsid w:val="001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Cs w:val="20"/>
      <w:lang w:val="es-CR" w:eastAsia="es-CR"/>
    </w:rPr>
  </w:style>
  <w:style w:type="character" w:customStyle="1" w:styleId="HTMLconformatoprevioCar">
    <w:name w:val="HTML con formato previo Car"/>
    <w:basedOn w:val="Fuentedeprrafopredeter"/>
    <w:link w:val="HTMLconformatoprevio"/>
    <w:uiPriority w:val="99"/>
    <w:semiHidden/>
    <w:rsid w:val="001A6909"/>
    <w:rPr>
      <w:rFonts w:ascii="Courier New" w:eastAsia="Times New Roman" w:hAnsi="Courier New" w:cs="Courier New"/>
      <w:sz w:val="20"/>
      <w:szCs w:val="20"/>
      <w:lang w:eastAsia="es-CR"/>
    </w:rPr>
  </w:style>
  <w:style w:type="character" w:styleId="Nmerodelnea">
    <w:name w:val="line number"/>
    <w:basedOn w:val="Fuentedeprrafopredeter"/>
    <w:uiPriority w:val="99"/>
    <w:semiHidden/>
    <w:unhideWhenUsed/>
    <w:rsid w:val="00A731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1904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E5CEC-9F09-47C0-8EAD-8AAB2977FA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2332</Words>
  <Characters>12830</Characters>
  <Application>Microsoft Office Word</Application>
  <DocSecurity>0</DocSecurity>
  <Lines>106</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3</cp:revision>
  <cp:lastPrinted>2023-10-18T17:10:00Z</cp:lastPrinted>
  <dcterms:created xsi:type="dcterms:W3CDTF">2023-10-18T17:10:00Z</dcterms:created>
  <dcterms:modified xsi:type="dcterms:W3CDTF">2023-10-18T17:11:00Z</dcterms:modified>
</cp:coreProperties>
</file>