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FAC073" w14:textId="77777777" w:rsidR="007251C5" w:rsidRPr="00D13792" w:rsidRDefault="007251C5" w:rsidP="00EC148C">
      <w:pPr>
        <w:spacing w:line="240" w:lineRule="auto"/>
        <w:rPr>
          <w:rFonts w:eastAsia="Calibri" w:cs="Calibri"/>
          <w:b/>
          <w:spacing w:val="-2"/>
          <w:sz w:val="20"/>
          <w:szCs w:val="20"/>
        </w:rPr>
      </w:pPr>
    </w:p>
    <w:p w14:paraId="67B5B3F9" w14:textId="77777777" w:rsidR="000033C7" w:rsidRPr="00D13792" w:rsidRDefault="000033C7" w:rsidP="00EC148C">
      <w:pPr>
        <w:spacing w:line="240" w:lineRule="auto"/>
        <w:jc w:val="center"/>
        <w:rPr>
          <w:rFonts w:eastAsia="Calibri" w:cs="Calibri"/>
          <w:b/>
          <w:spacing w:val="-2"/>
          <w:sz w:val="20"/>
          <w:szCs w:val="20"/>
        </w:rPr>
      </w:pPr>
    </w:p>
    <w:p w14:paraId="40C63A23" w14:textId="77777777" w:rsidR="002D2FB1" w:rsidRPr="00D13792" w:rsidRDefault="002D2FB1" w:rsidP="00EC148C">
      <w:pPr>
        <w:spacing w:line="240" w:lineRule="auto"/>
        <w:jc w:val="center"/>
        <w:rPr>
          <w:rFonts w:eastAsia="Calibri" w:cs="Calibri"/>
          <w:b/>
          <w:spacing w:val="-2"/>
          <w:sz w:val="20"/>
          <w:szCs w:val="20"/>
        </w:rPr>
      </w:pPr>
    </w:p>
    <w:p w14:paraId="0FB13306" w14:textId="77777777" w:rsidR="00D32B0A" w:rsidRPr="00D13792" w:rsidRDefault="00D32B0A" w:rsidP="00EC148C">
      <w:pPr>
        <w:spacing w:line="240" w:lineRule="auto"/>
        <w:jc w:val="center"/>
        <w:rPr>
          <w:rFonts w:eastAsia="Calibri" w:cs="Calibri"/>
          <w:b/>
          <w:spacing w:val="-2"/>
          <w:sz w:val="20"/>
          <w:szCs w:val="20"/>
        </w:rPr>
      </w:pPr>
    </w:p>
    <w:p w14:paraId="1BFF2CA5" w14:textId="77777777" w:rsidR="00D32B0A" w:rsidRPr="00D13792" w:rsidRDefault="00D32B0A" w:rsidP="00EC148C">
      <w:pPr>
        <w:spacing w:line="240" w:lineRule="auto"/>
        <w:jc w:val="center"/>
        <w:rPr>
          <w:rFonts w:eastAsia="Calibri" w:cs="Calibri"/>
          <w:b/>
          <w:spacing w:val="-2"/>
          <w:sz w:val="20"/>
          <w:szCs w:val="20"/>
        </w:rPr>
      </w:pPr>
    </w:p>
    <w:p w14:paraId="27608A03" w14:textId="77777777" w:rsidR="006A0E1C" w:rsidRPr="00D13792" w:rsidRDefault="006A0E1C" w:rsidP="006A0E1C">
      <w:pPr>
        <w:spacing w:line="240" w:lineRule="auto"/>
        <w:jc w:val="center"/>
        <w:rPr>
          <w:rFonts w:eastAsia="Calibri" w:cs="Calibri"/>
          <w:b/>
          <w:spacing w:val="-2"/>
          <w:sz w:val="20"/>
          <w:szCs w:val="20"/>
        </w:rPr>
      </w:pPr>
      <w:r w:rsidRPr="00D13792">
        <w:rPr>
          <w:rFonts w:eastAsia="Calibri" w:cs="Calibri"/>
          <w:b/>
          <w:spacing w:val="-2"/>
          <w:sz w:val="20"/>
          <w:szCs w:val="20"/>
        </w:rPr>
        <w:t>CORTE INTERAMERICANA DE DERECHOS HUMANOS</w:t>
      </w:r>
    </w:p>
    <w:p w14:paraId="3D9B6749" w14:textId="77777777" w:rsidR="006A0E1C" w:rsidRPr="00D13792" w:rsidRDefault="006A0E1C" w:rsidP="006A0E1C">
      <w:pPr>
        <w:tabs>
          <w:tab w:val="left" w:pos="720"/>
        </w:tabs>
        <w:spacing w:line="240" w:lineRule="auto"/>
        <w:jc w:val="center"/>
        <w:rPr>
          <w:rFonts w:eastAsia="Calibri" w:cs="Verdana"/>
          <w:b/>
          <w:bCs/>
          <w:caps/>
          <w:snapToGrid w:val="0"/>
          <w:spacing w:val="-2"/>
          <w:sz w:val="20"/>
          <w:szCs w:val="20"/>
          <w:lang w:eastAsia="es-ES"/>
        </w:rPr>
      </w:pPr>
    </w:p>
    <w:p w14:paraId="0DD63F54" w14:textId="77777777" w:rsidR="006A0E1C" w:rsidRPr="00D13792" w:rsidRDefault="006A0E1C" w:rsidP="006A0E1C">
      <w:pPr>
        <w:tabs>
          <w:tab w:val="left" w:pos="720"/>
        </w:tabs>
        <w:spacing w:line="240" w:lineRule="auto"/>
        <w:jc w:val="center"/>
        <w:rPr>
          <w:rFonts w:eastAsia="Calibri" w:cs="Verdana"/>
          <w:b/>
          <w:bCs/>
          <w:caps/>
          <w:snapToGrid w:val="0"/>
          <w:spacing w:val="-2"/>
          <w:sz w:val="20"/>
          <w:szCs w:val="20"/>
          <w:lang w:eastAsia="es-ES"/>
        </w:rPr>
      </w:pPr>
    </w:p>
    <w:p w14:paraId="6F482AE4" w14:textId="77777777" w:rsidR="006A0E1C" w:rsidRPr="00D13792" w:rsidRDefault="006A0E1C" w:rsidP="006A0E1C">
      <w:pPr>
        <w:tabs>
          <w:tab w:val="left" w:pos="720"/>
        </w:tabs>
        <w:spacing w:line="240" w:lineRule="auto"/>
        <w:jc w:val="center"/>
        <w:rPr>
          <w:rFonts w:eastAsia="Calibri" w:cs="Calibri"/>
          <w:b/>
          <w:spacing w:val="-2"/>
          <w:sz w:val="20"/>
          <w:szCs w:val="20"/>
        </w:rPr>
      </w:pPr>
      <w:r w:rsidRPr="00D13792">
        <w:rPr>
          <w:rFonts w:eastAsia="Calibri" w:cs="Calibri"/>
          <w:b/>
          <w:spacing w:val="-2"/>
          <w:sz w:val="20"/>
          <w:szCs w:val="20"/>
        </w:rPr>
        <w:t>CASO MIEMBROS DE LA ALDEA CHICHUPAC Y COMUNIDADES VECINAS DEL MUNICIPIO DE RABINAL VS. GUATEMALA</w:t>
      </w:r>
    </w:p>
    <w:p w14:paraId="3EA26191" w14:textId="77777777" w:rsidR="006A0E1C" w:rsidRPr="00D13792" w:rsidRDefault="006A0E1C" w:rsidP="006A0E1C">
      <w:pPr>
        <w:tabs>
          <w:tab w:val="left" w:pos="720"/>
        </w:tabs>
        <w:spacing w:line="240" w:lineRule="auto"/>
        <w:jc w:val="center"/>
        <w:rPr>
          <w:rFonts w:eastAsia="Calibri" w:cs="Verdana"/>
          <w:b/>
          <w:bCs/>
          <w:snapToGrid w:val="0"/>
          <w:spacing w:val="-2"/>
          <w:sz w:val="20"/>
          <w:szCs w:val="20"/>
          <w:lang w:eastAsia="es-ES"/>
        </w:rPr>
      </w:pPr>
      <w:r w:rsidRPr="00D13792">
        <w:rPr>
          <w:rFonts w:eastAsia="Calibri" w:cs="Verdana"/>
          <w:b/>
          <w:bCs/>
          <w:snapToGrid w:val="0"/>
          <w:spacing w:val="-2"/>
          <w:sz w:val="20"/>
          <w:szCs w:val="20"/>
          <w:lang w:eastAsia="es-ES"/>
        </w:rPr>
        <w:t>SENTENCIA DE 30 DE NOVIEMBRE DE 2016</w:t>
      </w:r>
    </w:p>
    <w:p w14:paraId="7685D183" w14:textId="77777777" w:rsidR="006A0E1C" w:rsidRPr="00D13792" w:rsidRDefault="006A0E1C" w:rsidP="006A0E1C">
      <w:pPr>
        <w:tabs>
          <w:tab w:val="left" w:pos="720"/>
        </w:tabs>
        <w:spacing w:line="240" w:lineRule="auto"/>
        <w:jc w:val="center"/>
        <w:rPr>
          <w:rFonts w:eastAsia="Calibri" w:cs="Verdana"/>
          <w:b/>
          <w:bCs/>
          <w:caps/>
          <w:snapToGrid w:val="0"/>
          <w:spacing w:val="-2"/>
          <w:sz w:val="20"/>
          <w:szCs w:val="20"/>
          <w:lang w:eastAsia="es-ES"/>
        </w:rPr>
      </w:pPr>
    </w:p>
    <w:p w14:paraId="06C386A1" w14:textId="77777777" w:rsidR="006A0E1C" w:rsidRPr="00D13792" w:rsidRDefault="006A0E1C" w:rsidP="006A0E1C">
      <w:pPr>
        <w:tabs>
          <w:tab w:val="left" w:pos="720"/>
        </w:tabs>
        <w:spacing w:line="240" w:lineRule="auto"/>
        <w:jc w:val="center"/>
        <w:rPr>
          <w:rFonts w:eastAsia="Calibri" w:cs="Verdana"/>
          <w:b/>
          <w:bCs/>
          <w:caps/>
          <w:snapToGrid w:val="0"/>
          <w:spacing w:val="-2"/>
          <w:sz w:val="20"/>
          <w:szCs w:val="20"/>
          <w:lang w:eastAsia="es-ES"/>
        </w:rPr>
      </w:pPr>
      <w:r w:rsidRPr="00D13792">
        <w:rPr>
          <w:rFonts w:eastAsia="Calibri" w:cs="Verdana"/>
          <w:b/>
          <w:bCs/>
          <w:i/>
          <w:iCs/>
          <w:snapToGrid w:val="0"/>
          <w:spacing w:val="-2"/>
          <w:sz w:val="20"/>
          <w:szCs w:val="20"/>
          <w:lang w:eastAsia="es-ES"/>
        </w:rPr>
        <w:t>(Excepciones Preliminares, Fondo, Reparaciones y Costas)</w:t>
      </w:r>
    </w:p>
    <w:p w14:paraId="161081AB" w14:textId="77777777" w:rsidR="006A0E1C" w:rsidRPr="00D13792" w:rsidRDefault="006A0E1C" w:rsidP="006A0E1C">
      <w:pPr>
        <w:tabs>
          <w:tab w:val="left" w:pos="720"/>
        </w:tabs>
        <w:spacing w:line="240" w:lineRule="auto"/>
        <w:rPr>
          <w:rFonts w:eastAsia="Calibri" w:cs="Verdana"/>
          <w:b/>
          <w:bCs/>
          <w:smallCaps/>
          <w:spacing w:val="-2"/>
          <w:sz w:val="20"/>
          <w:szCs w:val="20"/>
        </w:rPr>
      </w:pPr>
    </w:p>
    <w:p w14:paraId="124B32EC" w14:textId="77777777" w:rsidR="006A0E1C" w:rsidRPr="00D13792" w:rsidRDefault="006A0E1C" w:rsidP="006A0E1C">
      <w:pPr>
        <w:tabs>
          <w:tab w:val="left" w:pos="720"/>
        </w:tabs>
        <w:spacing w:line="240" w:lineRule="auto"/>
        <w:rPr>
          <w:rFonts w:eastAsia="Calibri" w:cs="Verdana"/>
          <w:b/>
          <w:bCs/>
          <w:smallCaps/>
          <w:spacing w:val="-2"/>
          <w:sz w:val="20"/>
          <w:szCs w:val="20"/>
        </w:rPr>
      </w:pPr>
    </w:p>
    <w:p w14:paraId="69ED4B3E" w14:textId="77777777" w:rsidR="006A0E1C" w:rsidRPr="00D13792" w:rsidRDefault="006A0E1C" w:rsidP="006A0E1C">
      <w:pPr>
        <w:tabs>
          <w:tab w:val="left" w:pos="720"/>
        </w:tabs>
        <w:spacing w:line="240" w:lineRule="auto"/>
        <w:rPr>
          <w:rFonts w:eastAsia="Calibri" w:cs="Verdana"/>
          <w:spacing w:val="-2"/>
          <w:sz w:val="20"/>
          <w:szCs w:val="20"/>
        </w:rPr>
      </w:pPr>
    </w:p>
    <w:p w14:paraId="4F6C7C9D" w14:textId="77777777" w:rsidR="006A0E1C" w:rsidRPr="00D13792" w:rsidRDefault="006A0E1C" w:rsidP="006A0E1C">
      <w:pPr>
        <w:tabs>
          <w:tab w:val="left" w:pos="720"/>
        </w:tabs>
        <w:spacing w:line="240" w:lineRule="auto"/>
        <w:rPr>
          <w:rFonts w:eastAsia="Calibri" w:cs="Verdana"/>
          <w:i/>
          <w:iCs/>
          <w:spacing w:val="-2"/>
          <w:sz w:val="20"/>
          <w:szCs w:val="20"/>
        </w:rPr>
      </w:pPr>
      <w:r w:rsidRPr="00D13792">
        <w:rPr>
          <w:rFonts w:eastAsia="Calibri" w:cs="Verdana"/>
          <w:spacing w:val="-2"/>
          <w:sz w:val="20"/>
          <w:szCs w:val="20"/>
        </w:rPr>
        <w:t>En el caso</w:t>
      </w:r>
      <w:r w:rsidRPr="00D13792">
        <w:rPr>
          <w:rFonts w:eastAsia="Calibri" w:cs="Verdana"/>
          <w:i/>
          <w:iCs/>
          <w:spacing w:val="-2"/>
          <w:sz w:val="20"/>
          <w:szCs w:val="20"/>
        </w:rPr>
        <w:t xml:space="preserve"> Miembros de la Aldea Chichupac y Comunidades Vecinas del Municipio de Rabinal,</w:t>
      </w:r>
    </w:p>
    <w:p w14:paraId="0FF56CE1" w14:textId="77777777" w:rsidR="006A0E1C" w:rsidRPr="00D13792" w:rsidRDefault="006A0E1C" w:rsidP="006A0E1C">
      <w:pPr>
        <w:tabs>
          <w:tab w:val="left" w:pos="720"/>
        </w:tabs>
        <w:spacing w:line="240" w:lineRule="auto"/>
        <w:rPr>
          <w:rFonts w:eastAsia="Calibri" w:cs="Verdana"/>
          <w:spacing w:val="-2"/>
          <w:sz w:val="20"/>
          <w:szCs w:val="20"/>
        </w:rPr>
      </w:pPr>
    </w:p>
    <w:p w14:paraId="555E9F0C"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la Corte Interamericana de Derechos Humanos (en adelante la “Corte Interamericana”, la “Corte” o el “Tribunal”), integrada por los siguientes jueces:</w:t>
      </w:r>
    </w:p>
    <w:p w14:paraId="2A0868C0" w14:textId="77777777" w:rsidR="006A0E1C" w:rsidRPr="00D13792" w:rsidRDefault="006A0E1C" w:rsidP="006A0E1C">
      <w:pPr>
        <w:tabs>
          <w:tab w:val="left" w:pos="720"/>
        </w:tabs>
        <w:spacing w:line="240" w:lineRule="auto"/>
        <w:rPr>
          <w:rFonts w:eastAsia="Calibri" w:cs="Verdana"/>
          <w:spacing w:val="-2"/>
          <w:sz w:val="20"/>
          <w:szCs w:val="20"/>
        </w:rPr>
      </w:pPr>
    </w:p>
    <w:p w14:paraId="1FA75BFA" w14:textId="77777777" w:rsidR="006A0E1C" w:rsidRPr="00D149F7" w:rsidRDefault="006A0E1C" w:rsidP="006A0E1C">
      <w:pPr>
        <w:tabs>
          <w:tab w:val="left" w:pos="720"/>
        </w:tabs>
        <w:spacing w:line="240" w:lineRule="auto"/>
        <w:rPr>
          <w:rFonts w:eastAsia="Calibri" w:cs="Verdana"/>
          <w:spacing w:val="-2"/>
          <w:sz w:val="20"/>
          <w:szCs w:val="20"/>
          <w:lang w:val="pt-BR"/>
        </w:rPr>
      </w:pPr>
      <w:r w:rsidRPr="00D149F7">
        <w:rPr>
          <w:rFonts w:eastAsia="Calibri" w:cs="Verdana"/>
          <w:spacing w:val="-2"/>
          <w:sz w:val="20"/>
          <w:szCs w:val="20"/>
          <w:lang w:val="pt-BR"/>
        </w:rPr>
        <w:t>Roberto F. Caldas, Presidente;</w:t>
      </w:r>
    </w:p>
    <w:p w14:paraId="72805192" w14:textId="77777777" w:rsidR="006A0E1C" w:rsidRPr="00D149F7" w:rsidRDefault="006A0E1C" w:rsidP="006A0E1C">
      <w:pPr>
        <w:tabs>
          <w:tab w:val="left" w:pos="720"/>
        </w:tabs>
        <w:spacing w:line="240" w:lineRule="auto"/>
        <w:rPr>
          <w:rFonts w:eastAsia="Calibri" w:cs="Verdana"/>
          <w:spacing w:val="-2"/>
          <w:sz w:val="20"/>
          <w:szCs w:val="20"/>
          <w:lang w:val="pt-BR"/>
        </w:rPr>
      </w:pPr>
      <w:r w:rsidRPr="00D149F7">
        <w:rPr>
          <w:rFonts w:eastAsia="Calibri" w:cs="Verdana"/>
          <w:spacing w:val="-2"/>
          <w:sz w:val="20"/>
          <w:szCs w:val="20"/>
          <w:lang w:val="pt-BR"/>
        </w:rPr>
        <w:t>Eduardo Ferrer Mac-Gregor Poisot, Vicepresidente;</w:t>
      </w:r>
    </w:p>
    <w:p w14:paraId="3FC64061"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 xml:space="preserve">Eduardo Vio Grossi, Juez, </w:t>
      </w:r>
    </w:p>
    <w:p w14:paraId="33A0AA46"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 xml:space="preserve">Humberto Antonio Sierra Porto, Juez; </w:t>
      </w:r>
    </w:p>
    <w:p w14:paraId="35B0FB86"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Elizabeth Odio Benito; Jueza;</w:t>
      </w:r>
    </w:p>
    <w:p w14:paraId="61AE1114"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Eugenio Raúl Zaffaroni, Juez, y</w:t>
      </w:r>
    </w:p>
    <w:p w14:paraId="6DD21E74"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L. Patricio Pazmiño Freire, Juez;</w:t>
      </w:r>
    </w:p>
    <w:p w14:paraId="30E74173" w14:textId="77777777" w:rsidR="006A0E1C" w:rsidRPr="00D13792" w:rsidRDefault="006A0E1C" w:rsidP="006A0E1C">
      <w:pPr>
        <w:tabs>
          <w:tab w:val="left" w:pos="720"/>
        </w:tabs>
        <w:spacing w:line="240" w:lineRule="auto"/>
        <w:rPr>
          <w:rFonts w:eastAsia="Calibri" w:cs="Verdana"/>
          <w:spacing w:val="-2"/>
          <w:sz w:val="20"/>
          <w:szCs w:val="20"/>
        </w:rPr>
      </w:pPr>
    </w:p>
    <w:p w14:paraId="32C6B59D"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presentes además,</w:t>
      </w:r>
    </w:p>
    <w:p w14:paraId="0C3223E7" w14:textId="77777777" w:rsidR="006A0E1C" w:rsidRPr="00D13792" w:rsidRDefault="006A0E1C" w:rsidP="006A0E1C">
      <w:pPr>
        <w:tabs>
          <w:tab w:val="left" w:pos="720"/>
        </w:tabs>
        <w:spacing w:line="240" w:lineRule="auto"/>
        <w:rPr>
          <w:rFonts w:eastAsia="Calibri" w:cs="Verdana"/>
          <w:spacing w:val="-2"/>
          <w:sz w:val="20"/>
          <w:szCs w:val="20"/>
        </w:rPr>
      </w:pPr>
    </w:p>
    <w:p w14:paraId="7A97FC8D"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 xml:space="preserve">Pablo Saavedra Alessandri, Secretario, y </w:t>
      </w:r>
    </w:p>
    <w:p w14:paraId="33C0B0CC"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lang w:eastAsia="es-MX"/>
        </w:rPr>
        <w:t>Emilia Segares Rodríguez, Secretaria Adjunta,</w:t>
      </w:r>
    </w:p>
    <w:p w14:paraId="024B5A74" w14:textId="77777777" w:rsidR="006A0E1C" w:rsidRPr="00D13792" w:rsidRDefault="006A0E1C" w:rsidP="006A0E1C">
      <w:pPr>
        <w:tabs>
          <w:tab w:val="left" w:pos="720"/>
        </w:tabs>
        <w:spacing w:line="240" w:lineRule="auto"/>
        <w:rPr>
          <w:rFonts w:eastAsia="Calibri" w:cs="Verdana"/>
          <w:spacing w:val="-2"/>
          <w:sz w:val="20"/>
          <w:szCs w:val="20"/>
        </w:rPr>
      </w:pPr>
    </w:p>
    <w:p w14:paraId="1FD9CD8A" w14:textId="77777777" w:rsidR="006A0E1C" w:rsidRPr="00D13792" w:rsidRDefault="006A0E1C" w:rsidP="006A0E1C">
      <w:pPr>
        <w:tabs>
          <w:tab w:val="left" w:pos="720"/>
        </w:tabs>
        <w:spacing w:line="240" w:lineRule="auto"/>
        <w:rPr>
          <w:rFonts w:eastAsia="Calibri" w:cs="Verdana"/>
          <w:spacing w:val="-2"/>
          <w:sz w:val="20"/>
          <w:szCs w:val="20"/>
        </w:rPr>
      </w:pPr>
      <w:r w:rsidRPr="00D13792">
        <w:rPr>
          <w:rFonts w:eastAsia="Calibri" w:cs="Verdana"/>
          <w:spacing w:val="-2"/>
          <w:sz w:val="20"/>
          <w:szCs w:val="20"/>
        </w:rPr>
        <w:t>de conformidad con los artículos 62.3 y 63.1 de la Convención Americana sobre Derechos Humanos (en adelante “la Convención Americana” o “la Convención”) y con los artículos 31, 32, 42, 65 y 67 del Reglamento de la Corte (en adelante “el Reglamento” o “Reglamento de la Corte”), dicta la presente Sentencia que se estructura en el siguiente orden:</w:t>
      </w:r>
    </w:p>
    <w:p w14:paraId="01AEDFDC" w14:textId="77777777" w:rsidR="006A0E1C" w:rsidRPr="00D13792" w:rsidRDefault="006A0E1C" w:rsidP="006A0E1C">
      <w:pPr>
        <w:tabs>
          <w:tab w:val="left" w:pos="720"/>
        </w:tabs>
        <w:spacing w:line="240" w:lineRule="auto"/>
        <w:rPr>
          <w:rFonts w:eastAsia="Calibri" w:cs="Verdana"/>
          <w:spacing w:val="-2"/>
          <w:sz w:val="20"/>
          <w:szCs w:val="20"/>
        </w:rPr>
      </w:pPr>
    </w:p>
    <w:p w14:paraId="2CCEB24C" w14:textId="77777777" w:rsidR="006A0E1C" w:rsidRPr="00D13792" w:rsidRDefault="006A0E1C" w:rsidP="006A0E1C">
      <w:pPr>
        <w:pStyle w:val="Heading1"/>
        <w:rPr>
          <w:lang w:val="es-CR"/>
        </w:rPr>
      </w:pPr>
      <w:bookmarkStart w:id="0" w:name="_Toc373093233"/>
      <w:bookmarkStart w:id="1" w:name="_Toc373350045"/>
      <w:bookmarkStart w:id="2" w:name="_Toc375560891"/>
      <w:bookmarkStart w:id="3" w:name="_Toc401931877"/>
      <w:bookmarkStart w:id="4" w:name="_Toc428369976"/>
      <w:bookmarkStart w:id="5" w:name="_Ref305145750"/>
      <w:r w:rsidRPr="00D13792">
        <w:rPr>
          <w:lang w:val="es-CR"/>
        </w:rPr>
        <w:br w:type="page"/>
      </w:r>
    </w:p>
    <w:p w14:paraId="109ACA02" w14:textId="77777777" w:rsidR="006A0E1C" w:rsidRPr="00D13792" w:rsidRDefault="006A0E1C" w:rsidP="006A0E1C">
      <w:pPr>
        <w:rPr>
          <w:lang w:eastAsia="es-ES"/>
        </w:rPr>
      </w:pPr>
    </w:p>
    <w:p w14:paraId="1D446248" w14:textId="77777777" w:rsidR="006A0E1C" w:rsidRPr="00D13792" w:rsidRDefault="006A0E1C" w:rsidP="006A0E1C">
      <w:pPr>
        <w:pStyle w:val="TOCHeading"/>
        <w:jc w:val="center"/>
        <w:rPr>
          <w:rFonts w:ascii="Verdana" w:hAnsi="Verdana"/>
          <w:color w:val="auto"/>
          <w:sz w:val="20"/>
          <w:lang w:val="es-CR"/>
        </w:rPr>
      </w:pPr>
      <w:r w:rsidRPr="00D13792">
        <w:rPr>
          <w:rFonts w:ascii="Verdana" w:hAnsi="Verdana"/>
          <w:color w:val="auto"/>
          <w:sz w:val="20"/>
          <w:lang w:val="es-CR"/>
        </w:rPr>
        <w:t>TABLA DE CONTENIDO</w:t>
      </w:r>
    </w:p>
    <w:p w14:paraId="637B166E" w14:textId="5506D425" w:rsidR="006A0E1C" w:rsidRPr="00D13792" w:rsidRDefault="006A0E1C" w:rsidP="006A0E1C">
      <w:pPr>
        <w:pStyle w:val="TOC1"/>
        <w:rPr>
          <w:rFonts w:asciiTheme="minorHAnsi" w:eastAsiaTheme="minorEastAsia" w:hAnsiTheme="minorHAnsi" w:cstheme="minorBidi"/>
          <w:sz w:val="22"/>
          <w:szCs w:val="22"/>
          <w:lang w:val="es-CR"/>
        </w:rPr>
      </w:pPr>
      <w:r w:rsidRPr="00D13792">
        <w:rPr>
          <w:lang w:val="es-CR"/>
        </w:rPr>
        <w:fldChar w:fldCharType="begin"/>
      </w:r>
      <w:r w:rsidRPr="00D13792">
        <w:rPr>
          <w:lang w:val="es-CR"/>
        </w:rPr>
        <w:instrText xml:space="preserve"> TOC \o "1-3" \h \z \u </w:instrText>
      </w:r>
      <w:r w:rsidRPr="00D13792">
        <w:rPr>
          <w:lang w:val="es-CR"/>
        </w:rPr>
        <w:fldChar w:fldCharType="separate"/>
      </w:r>
      <w:hyperlink w:anchor="_Toc469669987" w:history="1">
        <w:r w:rsidRPr="00D13792">
          <w:rPr>
            <w:rStyle w:val="Hyperlink"/>
            <w:lang w:val="es-CR"/>
          </w:rPr>
          <w:t>I. INTRODUCCIÓN DE LA CAUSA Y OBJETO DE LA CONTROVERSIA</w:t>
        </w:r>
        <w:r w:rsidRPr="00D13792">
          <w:rPr>
            <w:webHidden/>
            <w:lang w:val="es-CR"/>
          </w:rPr>
          <w:tab/>
        </w:r>
        <w:r w:rsidRPr="00D13792">
          <w:rPr>
            <w:webHidden/>
            <w:lang w:val="es-CR"/>
          </w:rPr>
          <w:fldChar w:fldCharType="begin"/>
        </w:r>
        <w:r w:rsidRPr="00D13792">
          <w:rPr>
            <w:webHidden/>
            <w:lang w:val="es-CR"/>
          </w:rPr>
          <w:instrText xml:space="preserve"> PAGEREF _Toc469669987 \h </w:instrText>
        </w:r>
        <w:r w:rsidRPr="00D13792">
          <w:rPr>
            <w:webHidden/>
            <w:lang w:val="es-CR"/>
          </w:rPr>
        </w:r>
        <w:r w:rsidRPr="00D13792">
          <w:rPr>
            <w:webHidden/>
            <w:lang w:val="es-CR"/>
          </w:rPr>
          <w:fldChar w:fldCharType="separate"/>
        </w:r>
        <w:r w:rsidR="00D041DD">
          <w:rPr>
            <w:webHidden/>
            <w:lang w:val="es-CR"/>
          </w:rPr>
          <w:t>5</w:t>
        </w:r>
        <w:r w:rsidRPr="00D13792">
          <w:rPr>
            <w:webHidden/>
            <w:lang w:val="es-CR"/>
          </w:rPr>
          <w:fldChar w:fldCharType="end"/>
        </w:r>
      </w:hyperlink>
    </w:p>
    <w:p w14:paraId="04187599" w14:textId="242086C7" w:rsidR="006A0E1C" w:rsidRPr="00D13792" w:rsidRDefault="00D041DD" w:rsidP="006A0E1C">
      <w:pPr>
        <w:pStyle w:val="TOC1"/>
        <w:rPr>
          <w:rFonts w:asciiTheme="minorHAnsi" w:eastAsiaTheme="minorEastAsia" w:hAnsiTheme="minorHAnsi" w:cstheme="minorBidi"/>
          <w:sz w:val="22"/>
          <w:szCs w:val="22"/>
          <w:lang w:val="es-CR"/>
        </w:rPr>
      </w:pPr>
      <w:hyperlink w:anchor="_Toc469669988" w:history="1">
        <w:r w:rsidR="006A0E1C" w:rsidRPr="00D13792">
          <w:rPr>
            <w:rStyle w:val="Hyperlink"/>
            <w:lang w:val="es-CR"/>
          </w:rPr>
          <w:t>II. PROCEDIMIENTO ANTE LA CORTE</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_Toc469669988 \h </w:instrText>
        </w:r>
        <w:r w:rsidR="006A0E1C" w:rsidRPr="00D13792">
          <w:rPr>
            <w:webHidden/>
            <w:lang w:val="es-CR"/>
          </w:rPr>
        </w:r>
        <w:r w:rsidR="006A0E1C" w:rsidRPr="00D13792">
          <w:rPr>
            <w:webHidden/>
            <w:lang w:val="es-CR"/>
          </w:rPr>
          <w:fldChar w:fldCharType="separate"/>
        </w:r>
        <w:r>
          <w:rPr>
            <w:webHidden/>
            <w:lang w:val="es-CR"/>
          </w:rPr>
          <w:t>6</w:t>
        </w:r>
        <w:r w:rsidR="006A0E1C" w:rsidRPr="00D13792">
          <w:rPr>
            <w:webHidden/>
            <w:lang w:val="es-CR"/>
          </w:rPr>
          <w:fldChar w:fldCharType="end"/>
        </w:r>
      </w:hyperlink>
    </w:p>
    <w:p w14:paraId="396416D2" w14:textId="292A37AF" w:rsidR="006A0E1C" w:rsidRPr="00D13792" w:rsidRDefault="00D041DD" w:rsidP="006A0E1C">
      <w:pPr>
        <w:pStyle w:val="TOC1"/>
        <w:rPr>
          <w:rFonts w:asciiTheme="minorHAnsi" w:eastAsiaTheme="minorEastAsia" w:hAnsiTheme="minorHAnsi" w:cstheme="minorBidi"/>
          <w:sz w:val="22"/>
          <w:szCs w:val="22"/>
          <w:lang w:val="es-CR"/>
        </w:rPr>
      </w:pPr>
      <w:hyperlink w:anchor="_Toc469669989" w:history="1">
        <w:r w:rsidR="006A0E1C" w:rsidRPr="00D13792">
          <w:rPr>
            <w:rStyle w:val="Hyperlink"/>
            <w:lang w:val="es-CR"/>
          </w:rPr>
          <w:t>III. COMPETENCIA</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_Toc469669989 \h </w:instrText>
        </w:r>
        <w:r w:rsidR="006A0E1C" w:rsidRPr="00D13792">
          <w:rPr>
            <w:webHidden/>
            <w:lang w:val="es-CR"/>
          </w:rPr>
        </w:r>
        <w:r w:rsidR="006A0E1C" w:rsidRPr="00D13792">
          <w:rPr>
            <w:webHidden/>
            <w:lang w:val="es-CR"/>
          </w:rPr>
          <w:fldChar w:fldCharType="separate"/>
        </w:r>
        <w:r>
          <w:rPr>
            <w:webHidden/>
            <w:lang w:val="es-CR"/>
          </w:rPr>
          <w:t>8</w:t>
        </w:r>
        <w:r w:rsidR="006A0E1C" w:rsidRPr="00D13792">
          <w:rPr>
            <w:webHidden/>
            <w:lang w:val="es-CR"/>
          </w:rPr>
          <w:fldChar w:fldCharType="end"/>
        </w:r>
      </w:hyperlink>
    </w:p>
    <w:p w14:paraId="4FCC3E85" w14:textId="48B04366" w:rsidR="006A0E1C" w:rsidRPr="00D13792" w:rsidRDefault="006A0E1C" w:rsidP="006A0E1C">
      <w:pPr>
        <w:pStyle w:val="TOC1"/>
        <w:rPr>
          <w:rFonts w:asciiTheme="minorHAnsi" w:eastAsiaTheme="minorEastAsia" w:hAnsiTheme="minorHAnsi" w:cstheme="minorBidi"/>
          <w:sz w:val="22"/>
          <w:szCs w:val="22"/>
          <w:lang w:val="es-CR"/>
        </w:rPr>
      </w:pPr>
      <w:r w:rsidRPr="00D13792">
        <w:rPr>
          <w:rStyle w:val="Hyperlink"/>
          <w:color w:val="000000" w:themeColor="text1"/>
          <w:u w:val="none"/>
          <w:lang w:val="es-CR"/>
        </w:rPr>
        <w:t xml:space="preserve">IV. </w:t>
      </w:r>
      <w:hyperlink w:anchor="_Toc469669991" w:history="1">
        <w:r w:rsidRPr="00D13792">
          <w:rPr>
            <w:rStyle w:val="Hyperlink"/>
            <w:lang w:val="es-CR"/>
          </w:rPr>
          <w:t>EXCEPCIONES PRELIMINARES</w:t>
        </w:r>
        <w:r w:rsidRPr="00D13792">
          <w:rPr>
            <w:webHidden/>
            <w:lang w:val="es-CR"/>
          </w:rPr>
          <w:tab/>
        </w:r>
        <w:r w:rsidRPr="00D13792">
          <w:rPr>
            <w:webHidden/>
            <w:lang w:val="es-CR"/>
          </w:rPr>
          <w:fldChar w:fldCharType="begin"/>
        </w:r>
        <w:r w:rsidRPr="00D13792">
          <w:rPr>
            <w:webHidden/>
            <w:lang w:val="es-CR"/>
          </w:rPr>
          <w:instrText xml:space="preserve"> PAGEREF _Toc469669991 \h </w:instrText>
        </w:r>
        <w:r w:rsidRPr="00D13792">
          <w:rPr>
            <w:webHidden/>
            <w:lang w:val="es-CR"/>
          </w:rPr>
        </w:r>
        <w:r w:rsidRPr="00D13792">
          <w:rPr>
            <w:webHidden/>
            <w:lang w:val="es-CR"/>
          </w:rPr>
          <w:fldChar w:fldCharType="separate"/>
        </w:r>
        <w:r w:rsidR="00D041DD">
          <w:rPr>
            <w:webHidden/>
            <w:lang w:val="es-CR"/>
          </w:rPr>
          <w:t>8</w:t>
        </w:r>
        <w:r w:rsidRPr="00D13792">
          <w:rPr>
            <w:webHidden/>
            <w:lang w:val="es-CR"/>
          </w:rPr>
          <w:fldChar w:fldCharType="end"/>
        </w:r>
      </w:hyperlink>
    </w:p>
    <w:p w14:paraId="6987520D" w14:textId="51F03C21" w:rsidR="006A0E1C" w:rsidRPr="00D13792" w:rsidRDefault="00D041DD" w:rsidP="006A0E1C">
      <w:pPr>
        <w:pStyle w:val="TOC2"/>
        <w:rPr>
          <w:rFonts w:asciiTheme="minorHAnsi" w:eastAsiaTheme="minorEastAsia" w:hAnsiTheme="minorHAnsi" w:cstheme="minorBidi"/>
          <w:noProof/>
          <w:sz w:val="22"/>
          <w:szCs w:val="22"/>
        </w:rPr>
      </w:pPr>
      <w:hyperlink w:anchor="_Toc469669992" w:history="1">
        <w:r w:rsidR="006A0E1C" w:rsidRPr="00D13792">
          <w:rPr>
            <w:rStyle w:val="Hyperlink"/>
            <w:rFonts w:eastAsia="Batang"/>
            <w:noProof/>
          </w:rPr>
          <w:t>A. Excepción de falta de competencia ratione temporis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_Toc469669992 \h </w:instrText>
        </w:r>
        <w:r w:rsidR="006A0E1C" w:rsidRPr="00D13792">
          <w:rPr>
            <w:noProof/>
            <w:webHidden/>
          </w:rPr>
        </w:r>
        <w:r w:rsidR="006A0E1C" w:rsidRPr="00D13792">
          <w:rPr>
            <w:noProof/>
            <w:webHidden/>
          </w:rPr>
          <w:fldChar w:fldCharType="separate"/>
        </w:r>
        <w:r>
          <w:rPr>
            <w:noProof/>
            <w:webHidden/>
          </w:rPr>
          <w:t>9</w:t>
        </w:r>
        <w:r w:rsidR="006A0E1C" w:rsidRPr="00D13792">
          <w:rPr>
            <w:noProof/>
            <w:webHidden/>
          </w:rPr>
          <w:fldChar w:fldCharType="end"/>
        </w:r>
      </w:hyperlink>
    </w:p>
    <w:p w14:paraId="07639F7B" w14:textId="0DC12E63" w:rsidR="006A0E1C" w:rsidRPr="00D13792" w:rsidRDefault="00D041DD" w:rsidP="006A0E1C">
      <w:pPr>
        <w:pStyle w:val="TOC2"/>
        <w:rPr>
          <w:rFonts w:asciiTheme="minorHAnsi" w:eastAsiaTheme="minorEastAsia" w:hAnsiTheme="minorHAnsi" w:cstheme="minorBidi"/>
          <w:noProof/>
          <w:sz w:val="22"/>
          <w:szCs w:val="22"/>
        </w:rPr>
      </w:pPr>
      <w:hyperlink w:anchor="_Toc469669993" w:history="1">
        <w:r w:rsidR="006A0E1C" w:rsidRPr="00D13792">
          <w:rPr>
            <w:rStyle w:val="Hyperlink"/>
            <w:rFonts w:eastAsia="ヒラギノ角ゴ Pro W3"/>
            <w:noProof/>
          </w:rPr>
          <w:t>B. Excepción de falta de competencia ratione materiae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_Toc469669993 \h </w:instrText>
        </w:r>
        <w:r w:rsidR="006A0E1C" w:rsidRPr="00D13792">
          <w:rPr>
            <w:noProof/>
            <w:webHidden/>
          </w:rPr>
        </w:r>
        <w:r w:rsidR="006A0E1C" w:rsidRPr="00D13792">
          <w:rPr>
            <w:noProof/>
            <w:webHidden/>
          </w:rPr>
          <w:fldChar w:fldCharType="separate"/>
        </w:r>
        <w:r>
          <w:rPr>
            <w:noProof/>
            <w:webHidden/>
          </w:rPr>
          <w:t>12</w:t>
        </w:r>
        <w:r w:rsidR="006A0E1C" w:rsidRPr="00D13792">
          <w:rPr>
            <w:noProof/>
            <w:webHidden/>
          </w:rPr>
          <w:fldChar w:fldCharType="end"/>
        </w:r>
      </w:hyperlink>
    </w:p>
    <w:p w14:paraId="13E9F499" w14:textId="46265A19"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69994" w:history="1">
        <w:r w:rsidR="006A0E1C" w:rsidRPr="00D13792">
          <w:rPr>
            <w:rStyle w:val="Hyperlink"/>
            <w:rFonts w:eastAsia="ヒラギノ角ゴ Pro W3"/>
            <w:noProof/>
          </w:rPr>
          <w:t>B.1. Alegada falta de competencia de la Corte para conocer de supuestas violaciones a la CIDFP, a la Convención de Belém do Pará y a la Convención para la Prevención y la Sanción del Delito de Genocidio</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_Toc469669994 \h </w:instrText>
        </w:r>
        <w:r w:rsidR="006A0E1C" w:rsidRPr="00D13792">
          <w:rPr>
            <w:noProof/>
            <w:webHidden/>
          </w:rPr>
        </w:r>
        <w:r w:rsidR="006A0E1C" w:rsidRPr="00D13792">
          <w:rPr>
            <w:noProof/>
            <w:webHidden/>
          </w:rPr>
          <w:fldChar w:fldCharType="separate"/>
        </w:r>
        <w:r>
          <w:rPr>
            <w:noProof/>
            <w:webHidden/>
          </w:rPr>
          <w:t>12</w:t>
        </w:r>
        <w:r w:rsidR="006A0E1C" w:rsidRPr="00D13792">
          <w:rPr>
            <w:noProof/>
            <w:webHidden/>
          </w:rPr>
          <w:fldChar w:fldCharType="end"/>
        </w:r>
      </w:hyperlink>
    </w:p>
    <w:p w14:paraId="11594CEE" w14:textId="6EE08DBA"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69995" w:history="1">
        <w:r w:rsidR="006A0E1C" w:rsidRPr="00D13792">
          <w:rPr>
            <w:rStyle w:val="Hyperlink"/>
            <w:rFonts w:eastAsia="ヒラギノ角ゴ Pro W3"/>
            <w:noProof/>
          </w:rPr>
          <w:t>B.2. Alegada falta de competencia para determinar la comisión de delitos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_Toc469669995 \h </w:instrText>
        </w:r>
        <w:r w:rsidR="006A0E1C" w:rsidRPr="00D13792">
          <w:rPr>
            <w:noProof/>
            <w:webHidden/>
          </w:rPr>
        </w:r>
        <w:r w:rsidR="006A0E1C" w:rsidRPr="00D13792">
          <w:rPr>
            <w:noProof/>
            <w:webHidden/>
          </w:rPr>
          <w:fldChar w:fldCharType="separate"/>
        </w:r>
        <w:r>
          <w:rPr>
            <w:noProof/>
            <w:webHidden/>
          </w:rPr>
          <w:t>14</w:t>
        </w:r>
        <w:r w:rsidR="006A0E1C" w:rsidRPr="00D13792">
          <w:rPr>
            <w:noProof/>
            <w:webHidden/>
          </w:rPr>
          <w:fldChar w:fldCharType="end"/>
        </w:r>
      </w:hyperlink>
    </w:p>
    <w:p w14:paraId="29E8F48B" w14:textId="10B975F5"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69996" w:history="1">
        <w:r w:rsidR="006A0E1C" w:rsidRPr="00D13792">
          <w:rPr>
            <w:rStyle w:val="Hyperlink"/>
            <w:rFonts w:eastAsia="ヒラギノ角ゴ Pro W3"/>
            <w:noProof/>
          </w:rPr>
          <w:t>B.3. Alegada falta de competencia para decretar la invalidez de la amnistía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_Toc469669996 \h </w:instrText>
        </w:r>
        <w:r w:rsidR="006A0E1C" w:rsidRPr="00D13792">
          <w:rPr>
            <w:noProof/>
            <w:webHidden/>
          </w:rPr>
        </w:r>
        <w:r w:rsidR="006A0E1C" w:rsidRPr="00D13792">
          <w:rPr>
            <w:noProof/>
            <w:webHidden/>
          </w:rPr>
          <w:fldChar w:fldCharType="separate"/>
        </w:r>
        <w:r>
          <w:rPr>
            <w:noProof/>
            <w:webHidden/>
          </w:rPr>
          <w:t>14</w:t>
        </w:r>
        <w:r w:rsidR="006A0E1C" w:rsidRPr="00D13792">
          <w:rPr>
            <w:noProof/>
            <w:webHidden/>
          </w:rPr>
          <w:fldChar w:fldCharType="end"/>
        </w:r>
      </w:hyperlink>
    </w:p>
    <w:p w14:paraId="68FA472B" w14:textId="2A5F38C3" w:rsidR="006A0E1C" w:rsidRPr="00D13792" w:rsidRDefault="00D041DD" w:rsidP="006A0E1C">
      <w:pPr>
        <w:pStyle w:val="TOC2"/>
        <w:rPr>
          <w:rFonts w:asciiTheme="minorHAnsi" w:eastAsiaTheme="minorEastAsia" w:hAnsiTheme="minorHAnsi" w:cstheme="minorBidi"/>
          <w:noProof/>
          <w:sz w:val="22"/>
          <w:szCs w:val="22"/>
        </w:rPr>
      </w:pPr>
      <w:hyperlink w:anchor="_Toc469669997" w:history="1">
        <w:r w:rsidR="006A0E1C" w:rsidRPr="00D13792">
          <w:rPr>
            <w:rStyle w:val="Hyperlink"/>
            <w:rFonts w:eastAsia="ヒラギノ角ゴ Pro W3"/>
            <w:noProof/>
          </w:rPr>
          <w:t>C. Excepción de falta de agotamiento de recursos internos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_Toc469669997 \h </w:instrText>
        </w:r>
        <w:r w:rsidR="006A0E1C" w:rsidRPr="00D13792">
          <w:rPr>
            <w:noProof/>
            <w:webHidden/>
          </w:rPr>
        </w:r>
        <w:r w:rsidR="006A0E1C" w:rsidRPr="00D13792">
          <w:rPr>
            <w:noProof/>
            <w:webHidden/>
          </w:rPr>
          <w:fldChar w:fldCharType="separate"/>
        </w:r>
        <w:r>
          <w:rPr>
            <w:noProof/>
            <w:webHidden/>
          </w:rPr>
          <w:t>15</w:t>
        </w:r>
        <w:r w:rsidR="006A0E1C" w:rsidRPr="00D13792">
          <w:rPr>
            <w:noProof/>
            <w:webHidden/>
          </w:rPr>
          <w:fldChar w:fldCharType="end"/>
        </w:r>
      </w:hyperlink>
    </w:p>
    <w:p w14:paraId="6489322F" w14:textId="0E64E759" w:rsidR="006A0E1C" w:rsidRPr="00D13792" w:rsidRDefault="00D041DD" w:rsidP="006A0E1C">
      <w:pPr>
        <w:pStyle w:val="TOC2"/>
        <w:rPr>
          <w:rFonts w:asciiTheme="minorHAnsi" w:eastAsiaTheme="minorEastAsia" w:hAnsiTheme="minorHAnsi" w:cstheme="minorBidi"/>
          <w:noProof/>
          <w:sz w:val="22"/>
          <w:szCs w:val="22"/>
        </w:rPr>
      </w:pPr>
      <w:hyperlink w:anchor="_Toc469669999" w:history="1">
        <w:r w:rsidR="006A0E1C" w:rsidRPr="00D13792">
          <w:rPr>
            <w:rStyle w:val="Hyperlink"/>
            <w:rFonts w:eastAsia="ヒラギノ角ゴ Pro W3"/>
            <w:noProof/>
          </w:rPr>
          <w:t>D. Excepción de “carencia de la facultad para presentar otra reclamación por los mismos hechos”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_Toc469669999 \h </w:instrText>
        </w:r>
        <w:r w:rsidR="006A0E1C" w:rsidRPr="00D13792">
          <w:rPr>
            <w:noProof/>
            <w:webHidden/>
          </w:rPr>
        </w:r>
        <w:r w:rsidR="006A0E1C" w:rsidRPr="00D13792">
          <w:rPr>
            <w:noProof/>
            <w:webHidden/>
          </w:rPr>
          <w:fldChar w:fldCharType="separate"/>
        </w:r>
        <w:r>
          <w:rPr>
            <w:noProof/>
            <w:webHidden/>
          </w:rPr>
          <w:t>17</w:t>
        </w:r>
        <w:r w:rsidR="006A0E1C" w:rsidRPr="00D13792">
          <w:rPr>
            <w:noProof/>
            <w:webHidden/>
          </w:rPr>
          <w:fldChar w:fldCharType="end"/>
        </w:r>
      </w:hyperlink>
    </w:p>
    <w:p w14:paraId="7E570EAF" w14:textId="75739E1A" w:rsidR="006A0E1C" w:rsidRPr="00D13792" w:rsidRDefault="00D041DD" w:rsidP="006A0E1C">
      <w:pPr>
        <w:pStyle w:val="TOC1"/>
        <w:rPr>
          <w:rFonts w:asciiTheme="minorHAnsi" w:eastAsiaTheme="minorEastAsia" w:hAnsiTheme="minorHAnsi" w:cstheme="minorBidi"/>
          <w:sz w:val="22"/>
          <w:szCs w:val="22"/>
          <w:lang w:val="es-CR"/>
        </w:rPr>
      </w:pPr>
      <w:hyperlink w:anchor="_Toc469670001" w:history="1">
        <w:r w:rsidR="006A0E1C" w:rsidRPr="00D13792">
          <w:rPr>
            <w:rStyle w:val="Hyperlink"/>
            <w:lang w:val="es-CR"/>
          </w:rPr>
          <w:t>V. RECONOCIMIENTO PARCIAL DE RESPONSABILIDAD</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_Toc469670001 \h </w:instrText>
        </w:r>
        <w:r w:rsidR="006A0E1C" w:rsidRPr="00D13792">
          <w:rPr>
            <w:webHidden/>
            <w:lang w:val="es-CR"/>
          </w:rPr>
        </w:r>
        <w:r w:rsidR="006A0E1C" w:rsidRPr="00D13792">
          <w:rPr>
            <w:webHidden/>
            <w:lang w:val="es-CR"/>
          </w:rPr>
          <w:fldChar w:fldCharType="separate"/>
        </w:r>
        <w:r>
          <w:rPr>
            <w:webHidden/>
            <w:lang w:val="es-CR"/>
          </w:rPr>
          <w:t>18</w:t>
        </w:r>
        <w:r w:rsidR="006A0E1C" w:rsidRPr="00D13792">
          <w:rPr>
            <w:webHidden/>
            <w:lang w:val="es-CR"/>
          </w:rPr>
          <w:fldChar w:fldCharType="end"/>
        </w:r>
      </w:hyperlink>
    </w:p>
    <w:p w14:paraId="6CDB5911" w14:textId="65D3E692" w:rsidR="006A0E1C" w:rsidRPr="00D13792" w:rsidRDefault="00D041DD" w:rsidP="006A0E1C">
      <w:pPr>
        <w:pStyle w:val="TOC2"/>
        <w:rPr>
          <w:rFonts w:asciiTheme="minorHAnsi" w:eastAsiaTheme="minorEastAsia" w:hAnsiTheme="minorHAnsi" w:cstheme="minorBidi"/>
          <w:noProof/>
          <w:sz w:val="22"/>
          <w:szCs w:val="22"/>
        </w:rPr>
      </w:pPr>
      <w:hyperlink w:anchor="_Toc469670002" w:history="1">
        <w:r w:rsidR="006A0E1C" w:rsidRPr="00D13792">
          <w:rPr>
            <w:rStyle w:val="Hyperlink"/>
            <w:rFonts w:eastAsia="ヒラギノ角ゴ Pro W3"/>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Reconocimiento parcial de responsabilidad del Estado y observaciones de la Comisión y de los representantes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_Toc469670002 \h </w:instrText>
        </w:r>
        <w:r w:rsidR="006A0E1C" w:rsidRPr="00D13792">
          <w:rPr>
            <w:noProof/>
            <w:webHidden/>
          </w:rPr>
        </w:r>
        <w:r w:rsidR="006A0E1C" w:rsidRPr="00D13792">
          <w:rPr>
            <w:noProof/>
            <w:webHidden/>
          </w:rPr>
          <w:fldChar w:fldCharType="separate"/>
        </w:r>
        <w:r>
          <w:rPr>
            <w:noProof/>
            <w:webHidden/>
          </w:rPr>
          <w:t>18</w:t>
        </w:r>
        <w:r w:rsidR="006A0E1C" w:rsidRPr="00D13792">
          <w:rPr>
            <w:noProof/>
            <w:webHidden/>
          </w:rPr>
          <w:fldChar w:fldCharType="end"/>
        </w:r>
      </w:hyperlink>
    </w:p>
    <w:p w14:paraId="35F4C701" w14:textId="21EDF3DA" w:rsidR="006A0E1C" w:rsidRPr="00D13792" w:rsidRDefault="00D041DD" w:rsidP="006A0E1C">
      <w:pPr>
        <w:pStyle w:val="TOC2"/>
        <w:rPr>
          <w:rFonts w:asciiTheme="minorHAnsi" w:eastAsiaTheme="minorEastAsia" w:hAnsiTheme="minorHAnsi" w:cstheme="minorBidi"/>
          <w:noProof/>
          <w:sz w:val="22"/>
          <w:szCs w:val="22"/>
        </w:rPr>
      </w:pPr>
      <w:hyperlink w:anchor="_Toc469670003" w:history="1">
        <w:r w:rsidR="006A0E1C" w:rsidRPr="00D13792">
          <w:rPr>
            <w:rStyle w:val="Hyperlink"/>
            <w:rFonts w:eastAsia="ヒラギノ角ゴ Pro W3"/>
            <w:noProof/>
          </w:rPr>
          <w:t>B.</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Consideraciones de la Corte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_Toc469670003 \h </w:instrText>
        </w:r>
        <w:r w:rsidR="006A0E1C" w:rsidRPr="00D13792">
          <w:rPr>
            <w:noProof/>
            <w:webHidden/>
          </w:rPr>
        </w:r>
        <w:r w:rsidR="006A0E1C" w:rsidRPr="00D13792">
          <w:rPr>
            <w:noProof/>
            <w:webHidden/>
          </w:rPr>
          <w:fldChar w:fldCharType="separate"/>
        </w:r>
        <w:r>
          <w:rPr>
            <w:noProof/>
            <w:webHidden/>
          </w:rPr>
          <w:t>18</w:t>
        </w:r>
        <w:r w:rsidR="006A0E1C" w:rsidRPr="00D13792">
          <w:rPr>
            <w:noProof/>
            <w:webHidden/>
          </w:rPr>
          <w:fldChar w:fldCharType="end"/>
        </w:r>
      </w:hyperlink>
    </w:p>
    <w:p w14:paraId="0A834583" w14:textId="58BB9083" w:rsidR="006A0E1C" w:rsidRPr="00D13792" w:rsidRDefault="00D041DD" w:rsidP="006A0E1C">
      <w:pPr>
        <w:pStyle w:val="TOC1"/>
        <w:rPr>
          <w:rFonts w:asciiTheme="minorHAnsi" w:eastAsiaTheme="minorEastAsia" w:hAnsiTheme="minorHAnsi" w:cstheme="minorBidi"/>
          <w:sz w:val="22"/>
          <w:szCs w:val="22"/>
          <w:lang w:val="es-CR"/>
        </w:rPr>
      </w:pPr>
      <w:hyperlink w:anchor="_Toc469670004" w:history="1">
        <w:r w:rsidR="006A0E1C" w:rsidRPr="00D13792">
          <w:rPr>
            <w:rStyle w:val="Hyperlink"/>
            <w:lang w:val="es-CR"/>
          </w:rPr>
          <w:t>VI. CONSIDERACIÓN PREVIA</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_Toc469670004 \h </w:instrText>
        </w:r>
        <w:r w:rsidR="006A0E1C" w:rsidRPr="00D13792">
          <w:rPr>
            <w:webHidden/>
            <w:lang w:val="es-CR"/>
          </w:rPr>
        </w:r>
        <w:r w:rsidR="006A0E1C" w:rsidRPr="00D13792">
          <w:rPr>
            <w:webHidden/>
            <w:lang w:val="es-CR"/>
          </w:rPr>
          <w:fldChar w:fldCharType="separate"/>
        </w:r>
        <w:r>
          <w:rPr>
            <w:webHidden/>
            <w:lang w:val="es-CR"/>
          </w:rPr>
          <w:t>19</w:t>
        </w:r>
        <w:r w:rsidR="006A0E1C" w:rsidRPr="00D13792">
          <w:rPr>
            <w:webHidden/>
            <w:lang w:val="es-CR"/>
          </w:rPr>
          <w:fldChar w:fldCharType="end"/>
        </w:r>
      </w:hyperlink>
    </w:p>
    <w:p w14:paraId="690E6564" w14:textId="5C6410C5" w:rsidR="006A0E1C" w:rsidRPr="00D13792" w:rsidRDefault="00D041DD" w:rsidP="006A0E1C">
      <w:pPr>
        <w:pStyle w:val="TOC2"/>
        <w:rPr>
          <w:rFonts w:asciiTheme="minorHAnsi" w:eastAsiaTheme="minorEastAsia" w:hAnsiTheme="minorHAnsi" w:cstheme="minorBidi"/>
          <w:noProof/>
          <w:sz w:val="22"/>
          <w:szCs w:val="22"/>
        </w:rPr>
      </w:pPr>
      <w:hyperlink w:anchor="_Toc469670005" w:history="1">
        <w:r w:rsidR="006A0E1C" w:rsidRPr="00D13792">
          <w:rPr>
            <w:rStyle w:val="Hyperlink"/>
            <w:rFonts w:eastAsia="ヒラギノ角ゴ Pro W3"/>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Argumentos de la Comisión y de las partes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_Toc469670005 \h </w:instrText>
        </w:r>
        <w:r w:rsidR="006A0E1C" w:rsidRPr="00D13792">
          <w:rPr>
            <w:noProof/>
            <w:webHidden/>
          </w:rPr>
        </w:r>
        <w:r w:rsidR="006A0E1C" w:rsidRPr="00D13792">
          <w:rPr>
            <w:noProof/>
            <w:webHidden/>
          </w:rPr>
          <w:fldChar w:fldCharType="separate"/>
        </w:r>
        <w:r>
          <w:rPr>
            <w:noProof/>
            <w:webHidden/>
          </w:rPr>
          <w:t>19</w:t>
        </w:r>
        <w:r w:rsidR="006A0E1C" w:rsidRPr="00D13792">
          <w:rPr>
            <w:noProof/>
            <w:webHidden/>
          </w:rPr>
          <w:fldChar w:fldCharType="end"/>
        </w:r>
      </w:hyperlink>
    </w:p>
    <w:p w14:paraId="68548D02" w14:textId="206E1E43" w:rsidR="006A0E1C" w:rsidRPr="00D13792" w:rsidRDefault="00D041DD" w:rsidP="006A0E1C">
      <w:pPr>
        <w:pStyle w:val="TOC2"/>
        <w:rPr>
          <w:rFonts w:asciiTheme="minorHAnsi" w:eastAsiaTheme="minorEastAsia" w:hAnsiTheme="minorHAnsi" w:cstheme="minorBidi"/>
          <w:noProof/>
          <w:sz w:val="22"/>
          <w:szCs w:val="22"/>
        </w:rPr>
      </w:pPr>
      <w:hyperlink w:anchor="_Toc469670006" w:history="1">
        <w:r w:rsidR="006A0E1C" w:rsidRPr="00D13792">
          <w:rPr>
            <w:rStyle w:val="Hyperlink"/>
            <w:rFonts w:eastAsia="ヒラギノ角ゴ Pro W3"/>
            <w:noProof/>
          </w:rPr>
          <w:t>B.</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Consideraciones de la Corte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_Toc469670006 \h </w:instrText>
        </w:r>
        <w:r w:rsidR="006A0E1C" w:rsidRPr="00D13792">
          <w:rPr>
            <w:noProof/>
            <w:webHidden/>
          </w:rPr>
        </w:r>
        <w:r w:rsidR="006A0E1C" w:rsidRPr="00D13792">
          <w:rPr>
            <w:noProof/>
            <w:webHidden/>
          </w:rPr>
          <w:fldChar w:fldCharType="separate"/>
        </w:r>
        <w:r>
          <w:rPr>
            <w:noProof/>
            <w:webHidden/>
          </w:rPr>
          <w:t>20</w:t>
        </w:r>
        <w:r w:rsidR="006A0E1C" w:rsidRPr="00D13792">
          <w:rPr>
            <w:noProof/>
            <w:webHidden/>
          </w:rPr>
          <w:fldChar w:fldCharType="end"/>
        </w:r>
      </w:hyperlink>
    </w:p>
    <w:p w14:paraId="0EB28435" w14:textId="7A5FB4D5" w:rsidR="006A0E1C" w:rsidRPr="00D13792" w:rsidRDefault="00D041DD" w:rsidP="006A0E1C">
      <w:pPr>
        <w:pStyle w:val="TOC1"/>
        <w:rPr>
          <w:rFonts w:asciiTheme="minorHAnsi" w:eastAsiaTheme="minorEastAsia" w:hAnsiTheme="minorHAnsi" w:cstheme="minorBidi"/>
          <w:sz w:val="22"/>
          <w:szCs w:val="22"/>
          <w:lang w:val="es-CR"/>
        </w:rPr>
      </w:pPr>
      <w:hyperlink w:anchor="_Toc469670007" w:history="1">
        <w:r w:rsidR="006A0E1C" w:rsidRPr="00D13792">
          <w:rPr>
            <w:rStyle w:val="Hyperlink"/>
            <w:lang w:val="es-CR"/>
          </w:rPr>
          <w:t>VII. PRUEBA</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_Toc469670007 \h </w:instrText>
        </w:r>
        <w:r w:rsidR="006A0E1C" w:rsidRPr="00D13792">
          <w:rPr>
            <w:webHidden/>
            <w:lang w:val="es-CR"/>
          </w:rPr>
        </w:r>
        <w:r w:rsidR="006A0E1C" w:rsidRPr="00D13792">
          <w:rPr>
            <w:webHidden/>
            <w:lang w:val="es-CR"/>
          </w:rPr>
          <w:fldChar w:fldCharType="separate"/>
        </w:r>
        <w:r>
          <w:rPr>
            <w:webHidden/>
            <w:lang w:val="es-CR"/>
          </w:rPr>
          <w:t>21</w:t>
        </w:r>
        <w:r w:rsidR="006A0E1C" w:rsidRPr="00D13792">
          <w:rPr>
            <w:webHidden/>
            <w:lang w:val="es-CR"/>
          </w:rPr>
          <w:fldChar w:fldCharType="end"/>
        </w:r>
      </w:hyperlink>
    </w:p>
    <w:p w14:paraId="7186B01B" w14:textId="2C3131F7" w:rsidR="006A0E1C" w:rsidRPr="00D13792" w:rsidRDefault="00D041DD" w:rsidP="006A0E1C">
      <w:pPr>
        <w:pStyle w:val="TOC2"/>
        <w:rPr>
          <w:rFonts w:asciiTheme="minorHAnsi" w:eastAsiaTheme="minorEastAsia" w:hAnsiTheme="minorHAnsi" w:cstheme="minorBidi"/>
          <w:noProof/>
          <w:sz w:val="22"/>
          <w:szCs w:val="22"/>
        </w:rPr>
      </w:pPr>
      <w:hyperlink w:anchor="_Toc469670008" w:history="1">
        <w:r w:rsidR="006A0E1C" w:rsidRPr="00D13792">
          <w:rPr>
            <w:rStyle w:val="Hyperlink"/>
            <w:rFonts w:eastAsia="ヒラギノ角ゴ Pro W3"/>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Prueba documental, testimonial y pericial</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_Toc469670008 \h </w:instrText>
        </w:r>
        <w:r w:rsidR="006A0E1C" w:rsidRPr="00D13792">
          <w:rPr>
            <w:noProof/>
            <w:webHidden/>
          </w:rPr>
        </w:r>
        <w:r w:rsidR="006A0E1C" w:rsidRPr="00D13792">
          <w:rPr>
            <w:noProof/>
            <w:webHidden/>
          </w:rPr>
          <w:fldChar w:fldCharType="separate"/>
        </w:r>
        <w:r>
          <w:rPr>
            <w:noProof/>
            <w:webHidden/>
          </w:rPr>
          <w:t>21</w:t>
        </w:r>
        <w:r w:rsidR="006A0E1C" w:rsidRPr="00D13792">
          <w:rPr>
            <w:noProof/>
            <w:webHidden/>
          </w:rPr>
          <w:fldChar w:fldCharType="end"/>
        </w:r>
      </w:hyperlink>
    </w:p>
    <w:p w14:paraId="571EE741" w14:textId="75E8D410" w:rsidR="006A0E1C" w:rsidRPr="00D13792" w:rsidRDefault="00D041DD" w:rsidP="006A0E1C">
      <w:pPr>
        <w:pStyle w:val="TOC2"/>
        <w:rPr>
          <w:rFonts w:asciiTheme="minorHAnsi" w:eastAsiaTheme="minorEastAsia" w:hAnsiTheme="minorHAnsi" w:cstheme="minorBidi"/>
          <w:noProof/>
          <w:sz w:val="22"/>
          <w:szCs w:val="22"/>
        </w:rPr>
      </w:pPr>
      <w:hyperlink w:anchor="_Toc469670009" w:history="1">
        <w:r w:rsidR="006A0E1C" w:rsidRPr="00D13792">
          <w:rPr>
            <w:rStyle w:val="Hyperlink"/>
            <w:rFonts w:eastAsia="ヒラギノ角ゴ Pro W3"/>
            <w:noProof/>
          </w:rPr>
          <w:t>B.</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Admisión de la prueba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_Toc469670009 \h </w:instrText>
        </w:r>
        <w:r w:rsidR="006A0E1C" w:rsidRPr="00D13792">
          <w:rPr>
            <w:noProof/>
            <w:webHidden/>
          </w:rPr>
        </w:r>
        <w:r w:rsidR="006A0E1C" w:rsidRPr="00D13792">
          <w:rPr>
            <w:noProof/>
            <w:webHidden/>
          </w:rPr>
          <w:fldChar w:fldCharType="separate"/>
        </w:r>
        <w:r>
          <w:rPr>
            <w:noProof/>
            <w:webHidden/>
          </w:rPr>
          <w:t>22</w:t>
        </w:r>
        <w:r w:rsidR="006A0E1C" w:rsidRPr="00D13792">
          <w:rPr>
            <w:noProof/>
            <w:webHidden/>
          </w:rPr>
          <w:fldChar w:fldCharType="end"/>
        </w:r>
      </w:hyperlink>
    </w:p>
    <w:p w14:paraId="579A94BC" w14:textId="59F71169" w:rsidR="006A0E1C" w:rsidRPr="00D13792" w:rsidRDefault="00D041DD" w:rsidP="006A0E1C">
      <w:pPr>
        <w:pStyle w:val="TOC2"/>
        <w:rPr>
          <w:rFonts w:asciiTheme="minorHAnsi" w:eastAsiaTheme="minorEastAsia" w:hAnsiTheme="minorHAnsi" w:cstheme="minorBidi"/>
          <w:noProof/>
          <w:sz w:val="22"/>
          <w:szCs w:val="22"/>
        </w:rPr>
      </w:pPr>
      <w:hyperlink w:anchor="_Toc469670010" w:history="1">
        <w:r w:rsidR="006A0E1C" w:rsidRPr="00D13792">
          <w:rPr>
            <w:rStyle w:val="Hyperlink"/>
            <w:rFonts w:eastAsia="ヒラギノ角ゴ Pro W3"/>
            <w:noProof/>
          </w:rPr>
          <w:t>C.</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Valoración de la prueba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_Toc469670010 \h </w:instrText>
        </w:r>
        <w:r w:rsidR="006A0E1C" w:rsidRPr="00D13792">
          <w:rPr>
            <w:noProof/>
            <w:webHidden/>
          </w:rPr>
        </w:r>
        <w:r w:rsidR="006A0E1C" w:rsidRPr="00D13792">
          <w:rPr>
            <w:noProof/>
            <w:webHidden/>
          </w:rPr>
          <w:fldChar w:fldCharType="separate"/>
        </w:r>
        <w:r>
          <w:rPr>
            <w:noProof/>
            <w:webHidden/>
          </w:rPr>
          <w:t>23</w:t>
        </w:r>
        <w:r w:rsidR="006A0E1C" w:rsidRPr="00D13792">
          <w:rPr>
            <w:noProof/>
            <w:webHidden/>
          </w:rPr>
          <w:fldChar w:fldCharType="end"/>
        </w:r>
      </w:hyperlink>
    </w:p>
    <w:p w14:paraId="6048CE41" w14:textId="6DA92D2E" w:rsidR="006A0E1C" w:rsidRPr="00D13792" w:rsidRDefault="00D041DD" w:rsidP="006A0E1C">
      <w:pPr>
        <w:pStyle w:val="TOC1"/>
        <w:rPr>
          <w:rFonts w:asciiTheme="minorHAnsi" w:eastAsiaTheme="minorEastAsia" w:hAnsiTheme="minorHAnsi" w:cstheme="minorBidi"/>
          <w:sz w:val="22"/>
          <w:szCs w:val="22"/>
          <w:lang w:val="es-CR"/>
        </w:rPr>
      </w:pPr>
      <w:hyperlink w:anchor="_Toc469670011" w:history="1">
        <w:r w:rsidR="006A0E1C" w:rsidRPr="00D13792">
          <w:rPr>
            <w:rStyle w:val="Hyperlink"/>
            <w:lang w:val="es-CR"/>
          </w:rPr>
          <w:t>VIII. HECHOS</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_Toc469670011 \h </w:instrText>
        </w:r>
        <w:r w:rsidR="006A0E1C" w:rsidRPr="00D13792">
          <w:rPr>
            <w:webHidden/>
            <w:lang w:val="es-CR"/>
          </w:rPr>
        </w:r>
        <w:r w:rsidR="006A0E1C" w:rsidRPr="00D13792">
          <w:rPr>
            <w:webHidden/>
            <w:lang w:val="es-CR"/>
          </w:rPr>
          <w:fldChar w:fldCharType="separate"/>
        </w:r>
        <w:r>
          <w:rPr>
            <w:webHidden/>
            <w:lang w:val="es-CR"/>
          </w:rPr>
          <w:t>24</w:t>
        </w:r>
        <w:r w:rsidR="006A0E1C" w:rsidRPr="00D13792">
          <w:rPr>
            <w:webHidden/>
            <w:lang w:val="es-CR"/>
          </w:rPr>
          <w:fldChar w:fldCharType="end"/>
        </w:r>
      </w:hyperlink>
    </w:p>
    <w:p w14:paraId="641D8B46" w14:textId="73D6FF39" w:rsidR="006A0E1C" w:rsidRPr="00D13792" w:rsidRDefault="00D041DD" w:rsidP="006A0E1C">
      <w:pPr>
        <w:pStyle w:val="TOC2"/>
        <w:rPr>
          <w:rFonts w:asciiTheme="minorHAnsi" w:eastAsiaTheme="minorEastAsia" w:hAnsiTheme="minorHAnsi" w:cstheme="minorBidi"/>
          <w:noProof/>
          <w:sz w:val="22"/>
          <w:szCs w:val="22"/>
        </w:rPr>
      </w:pPr>
      <w:hyperlink w:anchor="_Toc469670012" w:history="1">
        <w:r w:rsidR="006A0E1C" w:rsidRPr="00D13792">
          <w:rPr>
            <w:rStyle w:val="Hyperlink"/>
            <w:rFonts w:eastAsia="ヒラギノ角ゴ Pro W3"/>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Antecedentes del caso</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_Toc469670012 \h </w:instrText>
        </w:r>
        <w:r w:rsidR="006A0E1C" w:rsidRPr="00D13792">
          <w:rPr>
            <w:noProof/>
            <w:webHidden/>
          </w:rPr>
        </w:r>
        <w:r w:rsidR="006A0E1C" w:rsidRPr="00D13792">
          <w:rPr>
            <w:noProof/>
            <w:webHidden/>
          </w:rPr>
          <w:fldChar w:fldCharType="separate"/>
        </w:r>
        <w:r>
          <w:rPr>
            <w:noProof/>
            <w:webHidden/>
          </w:rPr>
          <w:t>25</w:t>
        </w:r>
        <w:r w:rsidR="006A0E1C" w:rsidRPr="00D13792">
          <w:rPr>
            <w:noProof/>
            <w:webHidden/>
          </w:rPr>
          <w:fldChar w:fldCharType="end"/>
        </w:r>
      </w:hyperlink>
    </w:p>
    <w:p w14:paraId="5C74D957" w14:textId="131FFA5D" w:rsidR="006A0E1C" w:rsidRPr="00D13792" w:rsidRDefault="00D041DD" w:rsidP="006A0E1C">
      <w:pPr>
        <w:pStyle w:val="TOC2"/>
        <w:rPr>
          <w:rFonts w:asciiTheme="minorHAnsi" w:eastAsiaTheme="minorEastAsia" w:hAnsiTheme="minorHAnsi" w:cstheme="minorBidi"/>
          <w:noProof/>
          <w:sz w:val="22"/>
          <w:szCs w:val="22"/>
        </w:rPr>
      </w:pPr>
      <w:hyperlink w:anchor="_Toc469670013" w:history="1">
        <w:r w:rsidR="006A0E1C" w:rsidRPr="00D13792">
          <w:rPr>
            <w:rStyle w:val="Hyperlink"/>
            <w:rFonts w:eastAsia="ヒラギノ角ゴ Pro W3"/>
            <w:noProof/>
          </w:rPr>
          <w:t>B.</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La aldea Chichupac y comunidades vecinas del municipio de Rabinal</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_Toc469670013 \h </w:instrText>
        </w:r>
        <w:r w:rsidR="006A0E1C" w:rsidRPr="00D13792">
          <w:rPr>
            <w:noProof/>
            <w:webHidden/>
          </w:rPr>
        </w:r>
        <w:r w:rsidR="006A0E1C" w:rsidRPr="00D13792">
          <w:rPr>
            <w:noProof/>
            <w:webHidden/>
          </w:rPr>
          <w:fldChar w:fldCharType="separate"/>
        </w:r>
        <w:r>
          <w:rPr>
            <w:noProof/>
            <w:webHidden/>
          </w:rPr>
          <w:t>28</w:t>
        </w:r>
        <w:r w:rsidR="006A0E1C" w:rsidRPr="00D13792">
          <w:rPr>
            <w:noProof/>
            <w:webHidden/>
          </w:rPr>
          <w:fldChar w:fldCharType="end"/>
        </w:r>
      </w:hyperlink>
    </w:p>
    <w:p w14:paraId="09C2C171" w14:textId="0EA8F13F"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14" w:history="1">
        <w:r w:rsidR="006A0E1C" w:rsidRPr="00D13792">
          <w:rPr>
            <w:rStyle w:val="Hyperlink"/>
            <w:rFonts w:eastAsia="ヒラギノ角ゴ Pro W3"/>
            <w:bCs/>
            <w:iCs/>
            <w:noProof/>
          </w:rPr>
          <w:t xml:space="preserve">B.1. </w:t>
        </w:r>
        <w:r w:rsidR="006A0E1C" w:rsidRPr="00D13792">
          <w:rPr>
            <w:rStyle w:val="Hyperlink"/>
            <w:rFonts w:eastAsia="ヒラギノ角ゴ Pro W3"/>
            <w:noProof/>
          </w:rPr>
          <w:t>Ejecución de Juan Alvarado Grave, Mateo Grave y Pedro Depaz Ciprián, y desaparición de Pedro Siana entre el 23 y 24 de agosto de 1981</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_Toc469670014 \h </w:instrText>
        </w:r>
        <w:r w:rsidR="006A0E1C" w:rsidRPr="00D13792">
          <w:rPr>
            <w:noProof/>
            <w:webHidden/>
          </w:rPr>
        </w:r>
        <w:r w:rsidR="006A0E1C" w:rsidRPr="00D13792">
          <w:rPr>
            <w:noProof/>
            <w:webHidden/>
          </w:rPr>
          <w:fldChar w:fldCharType="separate"/>
        </w:r>
        <w:r>
          <w:rPr>
            <w:noProof/>
            <w:webHidden/>
          </w:rPr>
          <w:t>28</w:t>
        </w:r>
        <w:r w:rsidR="006A0E1C" w:rsidRPr="00D13792">
          <w:rPr>
            <w:noProof/>
            <w:webHidden/>
          </w:rPr>
          <w:fldChar w:fldCharType="end"/>
        </w:r>
      </w:hyperlink>
    </w:p>
    <w:p w14:paraId="0F83AF92" w14:textId="4849605C"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15" w:history="1">
        <w:r w:rsidR="006A0E1C" w:rsidRPr="00D13792">
          <w:rPr>
            <w:rStyle w:val="Hyperlink"/>
            <w:rFonts w:eastAsia="ヒラギノ角ゴ Pro W3"/>
            <w:bCs/>
            <w:iCs/>
            <w:noProof/>
          </w:rPr>
          <w:t xml:space="preserve">B.2. </w:t>
        </w:r>
        <w:r w:rsidR="006A0E1C" w:rsidRPr="00D13792">
          <w:rPr>
            <w:rStyle w:val="Hyperlink"/>
            <w:rFonts w:eastAsia="ヒラギノ角ゴ Pro W3"/>
            <w:noProof/>
          </w:rPr>
          <w:t>Ejecución de tres miembros de la familia Alvarado y tres miembros de la familia Reyes el 1 de enero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_Toc469670015 \h </w:instrText>
        </w:r>
        <w:r w:rsidR="006A0E1C" w:rsidRPr="00D13792">
          <w:rPr>
            <w:noProof/>
            <w:webHidden/>
          </w:rPr>
        </w:r>
        <w:r w:rsidR="006A0E1C" w:rsidRPr="00D13792">
          <w:rPr>
            <w:noProof/>
            <w:webHidden/>
          </w:rPr>
          <w:fldChar w:fldCharType="separate"/>
        </w:r>
        <w:r>
          <w:rPr>
            <w:noProof/>
            <w:webHidden/>
          </w:rPr>
          <w:t>29</w:t>
        </w:r>
        <w:r w:rsidR="006A0E1C" w:rsidRPr="00D13792">
          <w:rPr>
            <w:noProof/>
            <w:webHidden/>
          </w:rPr>
          <w:fldChar w:fldCharType="end"/>
        </w:r>
      </w:hyperlink>
    </w:p>
    <w:p w14:paraId="49F32B43" w14:textId="770D9785"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16" w:history="1">
        <w:r w:rsidR="006A0E1C" w:rsidRPr="00D13792">
          <w:rPr>
            <w:rStyle w:val="Hyperlink"/>
            <w:rFonts w:eastAsia="ヒラギノ角ゴ Pro W3"/>
            <w:bCs/>
            <w:iCs/>
            <w:noProof/>
          </w:rPr>
          <w:t xml:space="preserve">B.3. </w:t>
        </w:r>
        <w:r w:rsidR="006A0E1C" w:rsidRPr="00D13792">
          <w:rPr>
            <w:rStyle w:val="Hyperlink"/>
            <w:rFonts w:eastAsia="ヒラギノ角ゴ Pro W3"/>
            <w:noProof/>
          </w:rPr>
          <w:t>Detención de Ciriaco Galiego López y desaparición de Lorenzo Depaz Siprian desde el 8 de enero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_Toc469670016 \h </w:instrText>
        </w:r>
        <w:r w:rsidR="006A0E1C" w:rsidRPr="00D13792">
          <w:rPr>
            <w:noProof/>
            <w:webHidden/>
          </w:rPr>
        </w:r>
        <w:r w:rsidR="006A0E1C" w:rsidRPr="00D13792">
          <w:rPr>
            <w:noProof/>
            <w:webHidden/>
          </w:rPr>
          <w:fldChar w:fldCharType="separate"/>
        </w:r>
        <w:r>
          <w:rPr>
            <w:noProof/>
            <w:webHidden/>
          </w:rPr>
          <w:t>29</w:t>
        </w:r>
        <w:r w:rsidR="006A0E1C" w:rsidRPr="00D13792">
          <w:rPr>
            <w:noProof/>
            <w:webHidden/>
          </w:rPr>
          <w:fldChar w:fldCharType="end"/>
        </w:r>
      </w:hyperlink>
    </w:p>
    <w:p w14:paraId="10CF7E29" w14:textId="0110ED6B"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17" w:history="1">
        <w:r w:rsidR="006A0E1C" w:rsidRPr="00D13792">
          <w:rPr>
            <w:rStyle w:val="Hyperlink"/>
            <w:rFonts w:eastAsia="ヒラギノ角ゴ Pro W3"/>
            <w:noProof/>
          </w:rPr>
          <w:t>B.4. Masacre de la Clínica de la aldea Chichupac el 8 de enero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_Toc469670017 \h </w:instrText>
        </w:r>
        <w:r w:rsidR="006A0E1C" w:rsidRPr="00D13792">
          <w:rPr>
            <w:noProof/>
            <w:webHidden/>
          </w:rPr>
        </w:r>
        <w:r w:rsidR="006A0E1C" w:rsidRPr="00D13792">
          <w:rPr>
            <w:noProof/>
            <w:webHidden/>
          </w:rPr>
          <w:fldChar w:fldCharType="separate"/>
        </w:r>
        <w:r>
          <w:rPr>
            <w:noProof/>
            <w:webHidden/>
          </w:rPr>
          <w:t>30</w:t>
        </w:r>
        <w:r w:rsidR="006A0E1C" w:rsidRPr="00D13792">
          <w:rPr>
            <w:noProof/>
            <w:webHidden/>
          </w:rPr>
          <w:fldChar w:fldCharType="end"/>
        </w:r>
      </w:hyperlink>
    </w:p>
    <w:p w14:paraId="0327B60D" w14:textId="5EE6BDD3"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18" w:history="1">
        <w:r w:rsidR="006A0E1C" w:rsidRPr="00D13792">
          <w:rPr>
            <w:rStyle w:val="Hyperlink"/>
            <w:rFonts w:eastAsia="ヒラギノ角ゴ Pro W3"/>
            <w:bCs/>
            <w:iCs/>
            <w:noProof/>
          </w:rPr>
          <w:t xml:space="preserve">B.5. Violación sexual de </w:t>
        </w:r>
        <w:r w:rsidR="006A0E1C" w:rsidRPr="00D13792">
          <w:rPr>
            <w:rStyle w:val="Hyperlink"/>
            <w:rFonts w:eastAsia="ヒラギノ角ゴ Pro W3" w:cs="Arial"/>
            <w:noProof/>
          </w:rPr>
          <w:t>Máxima Emiliana García Valey el 8 de enero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_Toc469670018 \h </w:instrText>
        </w:r>
        <w:r w:rsidR="006A0E1C" w:rsidRPr="00D13792">
          <w:rPr>
            <w:noProof/>
            <w:webHidden/>
          </w:rPr>
        </w:r>
        <w:r w:rsidR="006A0E1C" w:rsidRPr="00D13792">
          <w:rPr>
            <w:noProof/>
            <w:webHidden/>
          </w:rPr>
          <w:fldChar w:fldCharType="separate"/>
        </w:r>
        <w:r>
          <w:rPr>
            <w:noProof/>
            <w:webHidden/>
          </w:rPr>
          <w:t>31</w:t>
        </w:r>
        <w:r w:rsidR="006A0E1C" w:rsidRPr="00D13792">
          <w:rPr>
            <w:noProof/>
            <w:webHidden/>
          </w:rPr>
          <w:fldChar w:fldCharType="end"/>
        </w:r>
      </w:hyperlink>
    </w:p>
    <w:p w14:paraId="257FCB52" w14:textId="7724A2DF"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19" w:history="1">
        <w:r w:rsidR="006A0E1C" w:rsidRPr="00D13792">
          <w:rPr>
            <w:rStyle w:val="Hyperlink"/>
            <w:rFonts w:eastAsia="ヒラギノ角ゴ Pro W3"/>
            <w:bCs/>
            <w:noProof/>
          </w:rPr>
          <w:t>B.6. Violencia imperante en la zona, desplazamiento de los habitantes</w:t>
        </w:r>
        <w:r w:rsidR="006A0E1C" w:rsidRPr="00D13792">
          <w:rPr>
            <w:rStyle w:val="Hyperlink"/>
            <w:rFonts w:eastAsia="ヒラギノ角ゴ Pro W3"/>
            <w:noProof/>
          </w:rPr>
          <w:t>, destrucción de las comunidades y la aldea modelo o la colonia en Chichupac</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_Toc469670019 \h </w:instrText>
        </w:r>
        <w:r w:rsidR="006A0E1C" w:rsidRPr="00D13792">
          <w:rPr>
            <w:noProof/>
            <w:webHidden/>
          </w:rPr>
        </w:r>
        <w:r w:rsidR="006A0E1C" w:rsidRPr="00D13792">
          <w:rPr>
            <w:noProof/>
            <w:webHidden/>
          </w:rPr>
          <w:fldChar w:fldCharType="separate"/>
        </w:r>
        <w:r>
          <w:rPr>
            <w:noProof/>
            <w:webHidden/>
          </w:rPr>
          <w:t>31</w:t>
        </w:r>
        <w:r w:rsidR="006A0E1C" w:rsidRPr="00D13792">
          <w:rPr>
            <w:noProof/>
            <w:webHidden/>
          </w:rPr>
          <w:fldChar w:fldCharType="end"/>
        </w:r>
      </w:hyperlink>
    </w:p>
    <w:p w14:paraId="32A7BDEB" w14:textId="55A1102C"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0" w:history="1">
        <w:r w:rsidR="006A0E1C" w:rsidRPr="00D13792">
          <w:rPr>
            <w:rStyle w:val="Hyperlink"/>
            <w:rFonts w:eastAsia="ヒラギノ角ゴ Pro W3"/>
            <w:bCs/>
            <w:iCs/>
            <w:noProof/>
          </w:rPr>
          <w:t>B.7.</w:t>
        </w:r>
        <w:r w:rsidR="006A0E1C" w:rsidRPr="00D13792">
          <w:rPr>
            <w:rStyle w:val="Hyperlink"/>
            <w:rFonts w:eastAsia="ヒラギノ角ゴ Pro W3" w:cs="Arial"/>
            <w:noProof/>
          </w:rPr>
          <w:t xml:space="preserve"> Desaparición e identificación de Hugo García</w:t>
        </w:r>
        <w:r w:rsidR="006A0E1C" w:rsidRPr="00D13792">
          <w:rPr>
            <w:rStyle w:val="Hyperlink"/>
            <w:rFonts w:eastAsia="ヒラギノ角ゴ Pro W3"/>
            <w:iCs/>
            <w:noProof/>
          </w:rPr>
          <w:t xml:space="preserve"> </w:t>
        </w:r>
        <w:r w:rsidR="006A0E1C" w:rsidRPr="00D13792">
          <w:rPr>
            <w:rStyle w:val="Hyperlink"/>
            <w:rFonts w:eastAsia="ヒラギノ角ゴ Pro W3" w:cs="Arial"/>
            <w:noProof/>
          </w:rPr>
          <w:t xml:space="preserve">Depaz, Abraham Alvarado, Manuel de Jesús Alarcón Morente y </w:t>
        </w:r>
        <w:r w:rsidR="006A0E1C" w:rsidRPr="00D13792">
          <w:rPr>
            <w:rStyle w:val="Hyperlink"/>
            <w:rFonts w:eastAsia="Arial" w:cs="Arial"/>
            <w:noProof/>
          </w:rPr>
          <w:t xml:space="preserve">Edmundo </w:t>
        </w:r>
        <w:r w:rsidR="006A0E1C" w:rsidRPr="00D13792">
          <w:rPr>
            <w:rStyle w:val="Hyperlink"/>
            <w:rFonts w:eastAsia="ヒラギノ角ゴ Pro W3" w:cs="Arial"/>
            <w:noProof/>
          </w:rPr>
          <w:t xml:space="preserve">Alarcón Morente, desaparición de Adrián García Manuel y </w:t>
        </w:r>
        <w:r w:rsidR="006A0E1C" w:rsidRPr="00D13792">
          <w:rPr>
            <w:rStyle w:val="Hyperlink"/>
            <w:rFonts w:eastAsia="ヒラギノ角ゴ Pro W3"/>
            <w:noProof/>
          </w:rPr>
          <w:t>Leonardo Cahuec González</w:t>
        </w:r>
        <w:r w:rsidR="006A0E1C" w:rsidRPr="00D13792">
          <w:rPr>
            <w:rStyle w:val="Hyperlink"/>
            <w:rFonts w:eastAsia="ヒラギノ角ゴ Pro W3"/>
            <w:iCs/>
            <w:noProof/>
          </w:rPr>
          <w:t xml:space="preserve">, </w:t>
        </w:r>
        <w:r w:rsidR="006A0E1C" w:rsidRPr="00D13792">
          <w:rPr>
            <w:rStyle w:val="Hyperlink"/>
            <w:rFonts w:eastAsia="ヒラギノ角ゴ Pro W3" w:cs="Arial"/>
            <w:noProof/>
          </w:rPr>
          <w:t xml:space="preserve">y </w:t>
        </w:r>
        <w:r w:rsidR="006A0E1C" w:rsidRPr="00D13792">
          <w:rPr>
            <w:rStyle w:val="Hyperlink"/>
            <w:rFonts w:eastAsia="ヒラギノ角ゴ Pro W3"/>
            <w:noProof/>
          </w:rPr>
          <w:t xml:space="preserve">detención de Miguel Chen Tahuico </w:t>
        </w:r>
        <w:r w:rsidR="006A0E1C" w:rsidRPr="00D13792">
          <w:rPr>
            <w:rStyle w:val="Hyperlink"/>
            <w:rFonts w:eastAsia="ヒラギノ角ゴ Pro W3" w:cs="Arial"/>
            <w:noProof/>
          </w:rPr>
          <w:t>el 18 de enero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_Toc469670020 \h </w:instrText>
        </w:r>
        <w:r w:rsidR="006A0E1C" w:rsidRPr="00D13792">
          <w:rPr>
            <w:noProof/>
            <w:webHidden/>
          </w:rPr>
        </w:r>
        <w:r w:rsidR="006A0E1C" w:rsidRPr="00D13792">
          <w:rPr>
            <w:noProof/>
            <w:webHidden/>
          </w:rPr>
          <w:fldChar w:fldCharType="separate"/>
        </w:r>
        <w:r>
          <w:rPr>
            <w:noProof/>
            <w:webHidden/>
          </w:rPr>
          <w:t>33</w:t>
        </w:r>
        <w:r w:rsidR="006A0E1C" w:rsidRPr="00D13792">
          <w:rPr>
            <w:noProof/>
            <w:webHidden/>
          </w:rPr>
          <w:fldChar w:fldCharType="end"/>
        </w:r>
      </w:hyperlink>
    </w:p>
    <w:p w14:paraId="682DA288" w14:textId="6AB21184"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1" w:history="1">
        <w:r w:rsidR="006A0E1C" w:rsidRPr="00D13792">
          <w:rPr>
            <w:rStyle w:val="Hyperlink"/>
            <w:rFonts w:eastAsia="ヒラギノ角ゴ Pro W3"/>
            <w:bCs/>
            <w:iCs/>
            <w:noProof/>
          </w:rPr>
          <w:t>B.8.</w:t>
        </w:r>
        <w:r w:rsidR="006A0E1C" w:rsidRPr="00D13792">
          <w:rPr>
            <w:rStyle w:val="Hyperlink"/>
            <w:rFonts w:eastAsia="ヒラギノ角ゴ Pro W3"/>
            <w:iCs/>
            <w:noProof/>
          </w:rPr>
          <w:t xml:space="preserve"> </w:t>
        </w:r>
        <w:r w:rsidR="006A0E1C" w:rsidRPr="00D13792">
          <w:rPr>
            <w:rStyle w:val="Hyperlink"/>
            <w:rFonts w:eastAsia="ヒラギノ角ゴ Pro W3"/>
            <w:noProof/>
          </w:rPr>
          <w:t>Desaparición de Juan Mendoza Alvarado y José Cruz Mendoza Sucup desde el 31 de enero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_Toc469670021 \h </w:instrText>
        </w:r>
        <w:r w:rsidR="006A0E1C" w:rsidRPr="00D13792">
          <w:rPr>
            <w:noProof/>
            <w:webHidden/>
          </w:rPr>
        </w:r>
        <w:r w:rsidR="006A0E1C" w:rsidRPr="00D13792">
          <w:rPr>
            <w:noProof/>
            <w:webHidden/>
          </w:rPr>
          <w:fldChar w:fldCharType="separate"/>
        </w:r>
        <w:r>
          <w:rPr>
            <w:noProof/>
            <w:webHidden/>
          </w:rPr>
          <w:t>35</w:t>
        </w:r>
        <w:r w:rsidR="006A0E1C" w:rsidRPr="00D13792">
          <w:rPr>
            <w:noProof/>
            <w:webHidden/>
          </w:rPr>
          <w:fldChar w:fldCharType="end"/>
        </w:r>
      </w:hyperlink>
    </w:p>
    <w:p w14:paraId="39C12428" w14:textId="3E69B851"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2" w:history="1">
        <w:r w:rsidR="006A0E1C" w:rsidRPr="00D13792">
          <w:rPr>
            <w:rStyle w:val="Hyperlink"/>
            <w:rFonts w:eastAsia="ヒラギノ角ゴ Pro W3"/>
            <w:bCs/>
            <w:iCs/>
            <w:noProof/>
          </w:rPr>
          <w:t>B.9.</w:t>
        </w:r>
        <w:r w:rsidR="006A0E1C" w:rsidRPr="00D13792">
          <w:rPr>
            <w:rStyle w:val="Hyperlink"/>
            <w:rFonts w:eastAsia="ヒラギノ角ゴ Pro W3"/>
            <w:iCs/>
            <w:noProof/>
          </w:rPr>
          <w:t xml:space="preserve"> </w:t>
        </w:r>
        <w:r w:rsidR="006A0E1C" w:rsidRPr="00D13792">
          <w:rPr>
            <w:rStyle w:val="Hyperlink"/>
            <w:rFonts w:eastAsia="ヒラギノ角ゴ Pro W3"/>
            <w:noProof/>
          </w:rPr>
          <w:t>Desaparición de María Concepción Chen Sic y Casimiro Siana desde el 12 de febrero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_Toc469670022 \h </w:instrText>
        </w:r>
        <w:r w:rsidR="006A0E1C" w:rsidRPr="00D13792">
          <w:rPr>
            <w:noProof/>
            <w:webHidden/>
          </w:rPr>
        </w:r>
        <w:r w:rsidR="006A0E1C" w:rsidRPr="00D13792">
          <w:rPr>
            <w:noProof/>
            <w:webHidden/>
          </w:rPr>
          <w:fldChar w:fldCharType="separate"/>
        </w:r>
        <w:r>
          <w:rPr>
            <w:noProof/>
            <w:webHidden/>
          </w:rPr>
          <w:t>35</w:t>
        </w:r>
        <w:r w:rsidR="006A0E1C" w:rsidRPr="00D13792">
          <w:rPr>
            <w:noProof/>
            <w:webHidden/>
          </w:rPr>
          <w:fldChar w:fldCharType="end"/>
        </w:r>
      </w:hyperlink>
    </w:p>
    <w:p w14:paraId="4194E9D3" w14:textId="7DFA0A3A"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3" w:history="1">
        <w:r w:rsidR="006A0E1C" w:rsidRPr="00D13792">
          <w:rPr>
            <w:rStyle w:val="Hyperlink"/>
            <w:rFonts w:eastAsia="ヒラギノ角ゴ Pro W3"/>
            <w:bCs/>
            <w:iCs/>
            <w:noProof/>
          </w:rPr>
          <w:t xml:space="preserve">B.10. </w:t>
        </w:r>
        <w:r w:rsidR="006A0E1C" w:rsidRPr="00D13792">
          <w:rPr>
            <w:rStyle w:val="Hyperlink"/>
            <w:rFonts w:eastAsia="ヒラギノ角ゴ Pro W3"/>
            <w:noProof/>
          </w:rPr>
          <w:t>Ejecución de Andrea Osorio Galeano el 19 de febrero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_Toc469670023 \h </w:instrText>
        </w:r>
        <w:r w:rsidR="006A0E1C" w:rsidRPr="00D13792">
          <w:rPr>
            <w:noProof/>
            <w:webHidden/>
          </w:rPr>
        </w:r>
        <w:r w:rsidR="006A0E1C" w:rsidRPr="00D13792">
          <w:rPr>
            <w:noProof/>
            <w:webHidden/>
          </w:rPr>
          <w:fldChar w:fldCharType="separate"/>
        </w:r>
        <w:r>
          <w:rPr>
            <w:noProof/>
            <w:webHidden/>
          </w:rPr>
          <w:t>35</w:t>
        </w:r>
        <w:r w:rsidR="006A0E1C" w:rsidRPr="00D13792">
          <w:rPr>
            <w:noProof/>
            <w:webHidden/>
          </w:rPr>
          <w:fldChar w:fldCharType="end"/>
        </w:r>
      </w:hyperlink>
    </w:p>
    <w:p w14:paraId="08DB0E96" w14:textId="2120CB21"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4" w:history="1">
        <w:r w:rsidR="006A0E1C" w:rsidRPr="00D13792">
          <w:rPr>
            <w:rStyle w:val="Hyperlink"/>
            <w:rFonts w:eastAsia="ヒラギノ角ゴ Pro W3"/>
            <w:bCs/>
            <w:iCs/>
            <w:noProof/>
          </w:rPr>
          <w:t xml:space="preserve">B.11. </w:t>
        </w:r>
        <w:r w:rsidR="006A0E1C" w:rsidRPr="00D13792">
          <w:rPr>
            <w:rStyle w:val="Hyperlink"/>
            <w:rFonts w:eastAsia="ヒラギノ角ゴ Pro W3"/>
            <w:noProof/>
          </w:rPr>
          <w:t>Ejecución de Elías Milián González y Amelia Milián Morales el 23 de marzo y 20 de abril de 1982</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_Toc469670024 \h </w:instrText>
        </w:r>
        <w:r w:rsidR="006A0E1C" w:rsidRPr="00D13792">
          <w:rPr>
            <w:noProof/>
            <w:webHidden/>
          </w:rPr>
        </w:r>
        <w:r w:rsidR="006A0E1C" w:rsidRPr="00D13792">
          <w:rPr>
            <w:noProof/>
            <w:webHidden/>
          </w:rPr>
          <w:fldChar w:fldCharType="separate"/>
        </w:r>
        <w:r>
          <w:rPr>
            <w:noProof/>
            <w:webHidden/>
          </w:rPr>
          <w:t>35</w:t>
        </w:r>
        <w:r w:rsidR="006A0E1C" w:rsidRPr="00D13792">
          <w:rPr>
            <w:noProof/>
            <w:webHidden/>
          </w:rPr>
          <w:fldChar w:fldCharType="end"/>
        </w:r>
      </w:hyperlink>
    </w:p>
    <w:p w14:paraId="56CB362E" w14:textId="3FF114E1"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5" w:history="1">
        <w:r w:rsidR="006A0E1C" w:rsidRPr="00D13792">
          <w:rPr>
            <w:rStyle w:val="Hyperlink"/>
            <w:rFonts w:eastAsia="ヒラギノ角ゴ Pro W3"/>
            <w:bCs/>
            <w:iCs/>
            <w:noProof/>
          </w:rPr>
          <w:t>B.12. V</w:t>
        </w:r>
        <w:r w:rsidR="006A0E1C" w:rsidRPr="00D13792">
          <w:rPr>
            <w:rStyle w:val="Hyperlink"/>
            <w:rFonts w:eastAsia="ヒラギノ角ゴ Pro W3"/>
            <w:noProof/>
          </w:rPr>
          <w:t>iolación sexual y ejecución de Gregoria Valey lxtecoc el 22 de noviembre de 1982</w:t>
        </w:r>
        <w:r w:rsidR="006A0E1C" w:rsidRPr="00D13792">
          <w:rPr>
            <w:noProof/>
            <w:webHidden/>
          </w:rPr>
          <w:lastRenderedPageBreak/>
          <w:tab/>
        </w:r>
        <w:r w:rsidR="006A0E1C" w:rsidRPr="00D13792">
          <w:rPr>
            <w:noProof/>
            <w:webHidden/>
          </w:rPr>
          <w:fldChar w:fldCharType="begin"/>
        </w:r>
        <w:r w:rsidR="006A0E1C" w:rsidRPr="00D13792">
          <w:rPr>
            <w:noProof/>
            <w:webHidden/>
          </w:rPr>
          <w:instrText xml:space="preserve"> PAGEREF _Toc469670025 \h </w:instrText>
        </w:r>
        <w:r w:rsidR="006A0E1C" w:rsidRPr="00D13792">
          <w:rPr>
            <w:noProof/>
            <w:webHidden/>
          </w:rPr>
        </w:r>
        <w:r w:rsidR="006A0E1C" w:rsidRPr="00D13792">
          <w:rPr>
            <w:noProof/>
            <w:webHidden/>
          </w:rPr>
          <w:fldChar w:fldCharType="separate"/>
        </w:r>
        <w:r>
          <w:rPr>
            <w:noProof/>
            <w:webHidden/>
          </w:rPr>
          <w:t>36</w:t>
        </w:r>
        <w:r w:rsidR="006A0E1C" w:rsidRPr="00D13792">
          <w:rPr>
            <w:noProof/>
            <w:webHidden/>
          </w:rPr>
          <w:fldChar w:fldCharType="end"/>
        </w:r>
      </w:hyperlink>
    </w:p>
    <w:p w14:paraId="4CEA6A90" w14:textId="02F65C8B"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6" w:history="1">
        <w:r w:rsidR="006A0E1C" w:rsidRPr="00D13792">
          <w:rPr>
            <w:rStyle w:val="Hyperlink"/>
            <w:rFonts w:eastAsia="ヒラギノ角ゴ Pro W3"/>
            <w:bCs/>
            <w:iCs/>
            <w:noProof/>
          </w:rPr>
          <w:t xml:space="preserve">B.13. </w:t>
        </w:r>
        <w:r w:rsidR="006A0E1C" w:rsidRPr="00D13792">
          <w:rPr>
            <w:rStyle w:val="Hyperlink"/>
            <w:rFonts w:eastAsia="ヒラギノ角ゴ Pro W3"/>
            <w:noProof/>
          </w:rPr>
          <w:t>Desaparición de Juan Pérez Sic desde el 15 de</w:t>
        </w:r>
        <w:r w:rsidR="006A0E1C" w:rsidRPr="00D13792">
          <w:rPr>
            <w:rStyle w:val="Hyperlink"/>
            <w:rFonts w:eastAsia="ヒラギノ角ゴ Pro W3"/>
            <w:bCs/>
            <w:iCs/>
            <w:noProof/>
          </w:rPr>
          <w:t xml:space="preserve"> </w:t>
        </w:r>
        <w:r w:rsidR="006A0E1C" w:rsidRPr="00D13792">
          <w:rPr>
            <w:rStyle w:val="Hyperlink"/>
            <w:rFonts w:eastAsia="ヒラギノ角ゴ Pro W3"/>
            <w:noProof/>
          </w:rPr>
          <w:t>noviembre de 1981</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_Toc469670026 \h </w:instrText>
        </w:r>
        <w:r w:rsidR="006A0E1C" w:rsidRPr="00D13792">
          <w:rPr>
            <w:noProof/>
            <w:webHidden/>
          </w:rPr>
        </w:r>
        <w:r w:rsidR="006A0E1C" w:rsidRPr="00D13792">
          <w:rPr>
            <w:noProof/>
            <w:webHidden/>
          </w:rPr>
          <w:fldChar w:fldCharType="separate"/>
        </w:r>
        <w:r>
          <w:rPr>
            <w:noProof/>
            <w:webHidden/>
          </w:rPr>
          <w:t>36</w:t>
        </w:r>
        <w:r w:rsidR="006A0E1C" w:rsidRPr="00D13792">
          <w:rPr>
            <w:noProof/>
            <w:webHidden/>
          </w:rPr>
          <w:fldChar w:fldCharType="end"/>
        </w:r>
      </w:hyperlink>
    </w:p>
    <w:p w14:paraId="5806E6B6" w14:textId="4C1D2E1A"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7" w:history="1">
        <w:r w:rsidR="006A0E1C" w:rsidRPr="00D13792">
          <w:rPr>
            <w:rStyle w:val="Hyperlink"/>
            <w:rFonts w:eastAsia="ヒラギノ角ゴ Pro W3"/>
            <w:bCs/>
            <w:iCs/>
            <w:noProof/>
          </w:rPr>
          <w:t xml:space="preserve">B.14. </w:t>
        </w:r>
        <w:r w:rsidR="006A0E1C" w:rsidRPr="00D13792">
          <w:rPr>
            <w:rStyle w:val="Hyperlink"/>
            <w:rFonts w:eastAsia="ヒラギノ角ゴ Pro W3"/>
            <w:noProof/>
          </w:rPr>
          <w:t>Desaparición de ocho personas desde el 26 de</w:t>
        </w:r>
        <w:r w:rsidR="006A0E1C" w:rsidRPr="00D13792">
          <w:rPr>
            <w:rStyle w:val="Hyperlink"/>
            <w:rFonts w:eastAsia="ヒラギノ角ゴ Pro W3"/>
            <w:bCs/>
            <w:iCs/>
            <w:noProof/>
          </w:rPr>
          <w:t xml:space="preserve"> </w:t>
        </w:r>
        <w:r w:rsidR="006A0E1C" w:rsidRPr="00D13792">
          <w:rPr>
            <w:rStyle w:val="Hyperlink"/>
            <w:rFonts w:eastAsia="ヒラギノ角ゴ Pro W3"/>
            <w:noProof/>
          </w:rPr>
          <w:t>noviembre de 1982 y detención de Napoleón García De Paz ese mismo día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_Toc469670027 \h </w:instrText>
        </w:r>
        <w:r w:rsidR="006A0E1C" w:rsidRPr="00D13792">
          <w:rPr>
            <w:noProof/>
            <w:webHidden/>
          </w:rPr>
        </w:r>
        <w:r w:rsidR="006A0E1C" w:rsidRPr="00D13792">
          <w:rPr>
            <w:noProof/>
            <w:webHidden/>
          </w:rPr>
          <w:fldChar w:fldCharType="separate"/>
        </w:r>
        <w:r>
          <w:rPr>
            <w:noProof/>
            <w:webHidden/>
          </w:rPr>
          <w:t>37</w:t>
        </w:r>
        <w:r w:rsidR="006A0E1C" w:rsidRPr="00D13792">
          <w:rPr>
            <w:noProof/>
            <w:webHidden/>
          </w:rPr>
          <w:fldChar w:fldCharType="end"/>
        </w:r>
      </w:hyperlink>
    </w:p>
    <w:p w14:paraId="1BCDAA23" w14:textId="0D2F7A24"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8" w:history="1">
        <w:r w:rsidR="006A0E1C" w:rsidRPr="00D13792">
          <w:rPr>
            <w:rStyle w:val="Hyperlink"/>
            <w:rFonts w:eastAsia="ヒラギノ角ゴ Pro W3"/>
            <w:bCs/>
            <w:iCs/>
            <w:noProof/>
          </w:rPr>
          <w:t xml:space="preserve">B.15. </w:t>
        </w:r>
        <w:r w:rsidR="006A0E1C" w:rsidRPr="00D13792">
          <w:rPr>
            <w:rStyle w:val="Hyperlink"/>
            <w:rFonts w:eastAsia="ヒラギノ角ゴ Pro W3"/>
            <w:noProof/>
          </w:rPr>
          <w:t>Ejecución de ocho personas el 2 de marzo de 1983</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_Toc469670028 \h </w:instrText>
        </w:r>
        <w:r w:rsidR="006A0E1C" w:rsidRPr="00D13792">
          <w:rPr>
            <w:noProof/>
            <w:webHidden/>
          </w:rPr>
        </w:r>
        <w:r w:rsidR="006A0E1C" w:rsidRPr="00D13792">
          <w:rPr>
            <w:noProof/>
            <w:webHidden/>
          </w:rPr>
          <w:fldChar w:fldCharType="separate"/>
        </w:r>
        <w:r>
          <w:rPr>
            <w:noProof/>
            <w:webHidden/>
          </w:rPr>
          <w:t>37</w:t>
        </w:r>
        <w:r w:rsidR="006A0E1C" w:rsidRPr="00D13792">
          <w:rPr>
            <w:noProof/>
            <w:webHidden/>
          </w:rPr>
          <w:fldChar w:fldCharType="end"/>
        </w:r>
      </w:hyperlink>
    </w:p>
    <w:p w14:paraId="3C04C846" w14:textId="104F7C39"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29" w:history="1">
        <w:r w:rsidR="006A0E1C" w:rsidRPr="00D13792">
          <w:rPr>
            <w:rStyle w:val="Hyperlink"/>
            <w:rFonts w:eastAsia="ヒラギノ角ゴ Pro W3"/>
            <w:bCs/>
            <w:iCs/>
            <w:noProof/>
          </w:rPr>
          <w:t xml:space="preserve">B.16. </w:t>
        </w:r>
        <w:r w:rsidR="006A0E1C" w:rsidRPr="00D13792">
          <w:rPr>
            <w:rStyle w:val="Hyperlink"/>
            <w:rFonts w:eastAsia="ヒラギノ角ゴ Pro W3"/>
            <w:noProof/>
          </w:rPr>
          <w:t>Fallecimiento del niño Antonio Chen Mendoza en marzo de</w:t>
        </w:r>
        <w:r w:rsidR="006A0E1C" w:rsidRPr="00D13792">
          <w:rPr>
            <w:rStyle w:val="Hyperlink"/>
            <w:rFonts w:eastAsia="ヒラギノ角ゴ Pro W3"/>
            <w:bCs/>
            <w:iCs/>
            <w:noProof/>
          </w:rPr>
          <w:t xml:space="preserve"> </w:t>
        </w:r>
        <w:r w:rsidR="006A0E1C" w:rsidRPr="00D13792">
          <w:rPr>
            <w:rStyle w:val="Hyperlink"/>
            <w:rFonts w:eastAsia="ヒラギノ角ゴ Pro W3"/>
            <w:noProof/>
          </w:rPr>
          <w:t>1983</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_Toc469670029 \h </w:instrText>
        </w:r>
        <w:r w:rsidR="006A0E1C" w:rsidRPr="00D13792">
          <w:rPr>
            <w:noProof/>
            <w:webHidden/>
          </w:rPr>
        </w:r>
        <w:r w:rsidR="006A0E1C" w:rsidRPr="00D13792">
          <w:rPr>
            <w:noProof/>
            <w:webHidden/>
          </w:rPr>
          <w:fldChar w:fldCharType="separate"/>
        </w:r>
        <w:r>
          <w:rPr>
            <w:noProof/>
            <w:webHidden/>
          </w:rPr>
          <w:t>38</w:t>
        </w:r>
        <w:r w:rsidR="006A0E1C" w:rsidRPr="00D13792">
          <w:rPr>
            <w:noProof/>
            <w:webHidden/>
          </w:rPr>
          <w:fldChar w:fldCharType="end"/>
        </w:r>
      </w:hyperlink>
    </w:p>
    <w:p w14:paraId="1E83EAD1" w14:textId="1B2A30C8"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30" w:history="1">
        <w:r w:rsidR="006A0E1C" w:rsidRPr="00D13792">
          <w:rPr>
            <w:rStyle w:val="Hyperlink"/>
            <w:rFonts w:eastAsia="ヒラギノ角ゴ Pro W3"/>
            <w:noProof/>
          </w:rPr>
          <w:t>B.17. Ejecución de los hermanos Eusebia y José León Grave García el 22 de octubre de 1983</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_Toc469670030 \h </w:instrText>
        </w:r>
        <w:r w:rsidR="006A0E1C" w:rsidRPr="00D13792">
          <w:rPr>
            <w:noProof/>
            <w:webHidden/>
          </w:rPr>
        </w:r>
        <w:r w:rsidR="006A0E1C" w:rsidRPr="00D13792">
          <w:rPr>
            <w:noProof/>
            <w:webHidden/>
          </w:rPr>
          <w:fldChar w:fldCharType="separate"/>
        </w:r>
        <w:r>
          <w:rPr>
            <w:noProof/>
            <w:webHidden/>
          </w:rPr>
          <w:t>38</w:t>
        </w:r>
        <w:r w:rsidR="006A0E1C" w:rsidRPr="00D13792">
          <w:rPr>
            <w:noProof/>
            <w:webHidden/>
          </w:rPr>
          <w:fldChar w:fldCharType="end"/>
        </w:r>
      </w:hyperlink>
    </w:p>
    <w:p w14:paraId="45D40F0B" w14:textId="1AE33C6B"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31" w:history="1">
        <w:r w:rsidR="006A0E1C" w:rsidRPr="00D13792">
          <w:rPr>
            <w:rStyle w:val="Hyperlink"/>
            <w:rFonts w:eastAsia="ヒラギノ角ゴ Pro W3"/>
            <w:iCs/>
            <w:noProof/>
          </w:rPr>
          <w:t xml:space="preserve">B.18. </w:t>
        </w:r>
        <w:r w:rsidR="006A0E1C" w:rsidRPr="00D13792">
          <w:rPr>
            <w:rStyle w:val="Hyperlink"/>
            <w:rFonts w:eastAsia="ヒラギノ角ゴ Pro W3" w:cs="Arial"/>
            <w:noProof/>
          </w:rPr>
          <w:t>Situación</w:t>
        </w:r>
        <w:r w:rsidR="006A0E1C" w:rsidRPr="00D13792">
          <w:rPr>
            <w:rStyle w:val="Hyperlink"/>
            <w:rFonts w:eastAsia="ヒラギノ角ゴ Pro W3"/>
            <w:noProof/>
          </w:rPr>
          <w:t xml:space="preserve"> </w:t>
        </w:r>
        <w:r w:rsidR="006A0E1C" w:rsidRPr="00D13792">
          <w:rPr>
            <w:rStyle w:val="Hyperlink"/>
            <w:rFonts w:eastAsia="ヒラギノ角ゴ Pro W3" w:cs="Arial"/>
            <w:noProof/>
          </w:rPr>
          <w:t>de Juana García Depaz a partir del 22 de octubre de 1983 y trabajos forzosos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_Toc469670031 \h </w:instrText>
        </w:r>
        <w:r w:rsidR="006A0E1C" w:rsidRPr="00D13792">
          <w:rPr>
            <w:noProof/>
            <w:webHidden/>
          </w:rPr>
        </w:r>
        <w:r w:rsidR="006A0E1C" w:rsidRPr="00D13792">
          <w:rPr>
            <w:noProof/>
            <w:webHidden/>
          </w:rPr>
          <w:fldChar w:fldCharType="separate"/>
        </w:r>
        <w:r>
          <w:rPr>
            <w:noProof/>
            <w:webHidden/>
          </w:rPr>
          <w:t>38</w:t>
        </w:r>
        <w:r w:rsidR="006A0E1C" w:rsidRPr="00D13792">
          <w:rPr>
            <w:noProof/>
            <w:webHidden/>
          </w:rPr>
          <w:fldChar w:fldCharType="end"/>
        </w:r>
      </w:hyperlink>
    </w:p>
    <w:p w14:paraId="7351FEE5" w14:textId="604A6069"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32" w:history="1">
        <w:r w:rsidR="006A0E1C" w:rsidRPr="00D13792">
          <w:rPr>
            <w:rStyle w:val="Hyperlink"/>
            <w:rFonts w:eastAsia="ヒラギノ角ゴ Pro W3"/>
            <w:bCs/>
            <w:iCs/>
            <w:noProof/>
          </w:rPr>
          <w:t>B.19.</w:t>
        </w:r>
        <w:r w:rsidR="006A0E1C" w:rsidRPr="00D13792">
          <w:rPr>
            <w:rStyle w:val="Hyperlink"/>
            <w:rFonts w:eastAsia="ヒラギノ角ゴ Pro W3"/>
            <w:noProof/>
          </w:rPr>
          <w:t xml:space="preserve"> Ejecución de Medardo Juárez García el 31 de agosto de 1983 o 1984</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_Toc469670032 \h </w:instrText>
        </w:r>
        <w:r w:rsidR="006A0E1C" w:rsidRPr="00D13792">
          <w:rPr>
            <w:noProof/>
            <w:webHidden/>
          </w:rPr>
        </w:r>
        <w:r w:rsidR="006A0E1C" w:rsidRPr="00D13792">
          <w:rPr>
            <w:noProof/>
            <w:webHidden/>
          </w:rPr>
          <w:fldChar w:fldCharType="separate"/>
        </w:r>
        <w:r>
          <w:rPr>
            <w:noProof/>
            <w:webHidden/>
          </w:rPr>
          <w:t>39</w:t>
        </w:r>
        <w:r w:rsidR="006A0E1C" w:rsidRPr="00D13792">
          <w:rPr>
            <w:noProof/>
            <w:webHidden/>
          </w:rPr>
          <w:fldChar w:fldCharType="end"/>
        </w:r>
      </w:hyperlink>
    </w:p>
    <w:p w14:paraId="2BAC9898" w14:textId="5898B7F5"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33" w:history="1">
        <w:r w:rsidR="006A0E1C" w:rsidRPr="00D13792">
          <w:rPr>
            <w:rStyle w:val="Hyperlink"/>
            <w:rFonts w:eastAsia="ヒラギノ角ゴ Pro W3"/>
            <w:bCs/>
            <w:iCs/>
            <w:noProof/>
          </w:rPr>
          <w:t>B.20.</w:t>
        </w:r>
        <w:r w:rsidR="006A0E1C" w:rsidRPr="00D13792">
          <w:rPr>
            <w:rStyle w:val="Hyperlink"/>
            <w:rFonts w:eastAsia="ヒラギノ角ゴ Pro W3" w:cs="Arial"/>
            <w:noProof/>
          </w:rPr>
          <w:t xml:space="preserve"> Desaparición de </w:t>
        </w:r>
        <w:r w:rsidR="006A0E1C" w:rsidRPr="00D13792">
          <w:rPr>
            <w:rStyle w:val="Hyperlink"/>
            <w:rFonts w:eastAsia="ヒラギノ角ゴ Pro W3"/>
            <w:noProof/>
          </w:rPr>
          <w:t xml:space="preserve">Marcelo Sic Chen desde </w:t>
        </w:r>
        <w:r w:rsidR="006A0E1C" w:rsidRPr="00D13792">
          <w:rPr>
            <w:rStyle w:val="Hyperlink"/>
            <w:rFonts w:eastAsia="ヒラギノ角ゴ Pro W3"/>
            <w:bCs/>
            <w:noProof/>
          </w:rPr>
          <w:t>diciembre de 1984</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_Toc469670033 \h </w:instrText>
        </w:r>
        <w:r w:rsidR="006A0E1C" w:rsidRPr="00D13792">
          <w:rPr>
            <w:noProof/>
            <w:webHidden/>
          </w:rPr>
        </w:r>
        <w:r w:rsidR="006A0E1C" w:rsidRPr="00D13792">
          <w:rPr>
            <w:noProof/>
            <w:webHidden/>
          </w:rPr>
          <w:fldChar w:fldCharType="separate"/>
        </w:r>
        <w:r>
          <w:rPr>
            <w:noProof/>
            <w:webHidden/>
          </w:rPr>
          <w:t>39</w:t>
        </w:r>
        <w:r w:rsidR="006A0E1C" w:rsidRPr="00D13792">
          <w:rPr>
            <w:noProof/>
            <w:webHidden/>
          </w:rPr>
          <w:fldChar w:fldCharType="end"/>
        </w:r>
      </w:hyperlink>
    </w:p>
    <w:p w14:paraId="1766CD5F" w14:textId="2EB6B8F9"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34" w:history="1">
        <w:r w:rsidR="006A0E1C" w:rsidRPr="00D13792">
          <w:rPr>
            <w:rStyle w:val="Hyperlink"/>
            <w:rFonts w:eastAsia="ヒラギノ角ゴ Pro W3"/>
            <w:bCs/>
            <w:iCs/>
            <w:noProof/>
          </w:rPr>
          <w:t>B.21.</w:t>
        </w:r>
        <w:r w:rsidR="006A0E1C" w:rsidRPr="00D13792">
          <w:rPr>
            <w:rStyle w:val="Hyperlink"/>
            <w:rFonts w:eastAsia="ヒラギノ角ゴ Pro W3" w:cs="Arial"/>
            <w:noProof/>
          </w:rPr>
          <w:t xml:space="preserve"> Ejecución de </w:t>
        </w:r>
        <w:r w:rsidR="006A0E1C" w:rsidRPr="00D13792">
          <w:rPr>
            <w:rStyle w:val="Hyperlink"/>
            <w:rFonts w:eastAsia="ヒラギノ角ゴ Pro W3"/>
            <w:noProof/>
          </w:rPr>
          <w:t xml:space="preserve">Silvestre Sic y Raymunda Corazón </w:t>
        </w:r>
        <w:r w:rsidR="006A0E1C" w:rsidRPr="00D13792">
          <w:rPr>
            <w:rStyle w:val="Hyperlink"/>
            <w:rFonts w:eastAsia="ヒラギノ角ゴ Pro W3" w:cs="Arial"/>
            <w:noProof/>
          </w:rPr>
          <w:t xml:space="preserve">el </w:t>
        </w:r>
        <w:r w:rsidR="006A0E1C" w:rsidRPr="00D13792">
          <w:rPr>
            <w:rStyle w:val="Hyperlink"/>
            <w:rFonts w:eastAsia="ヒラギノ角ゴ Pro W3"/>
            <w:noProof/>
          </w:rPr>
          <w:t>20 de diciembre de 1984</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_Toc469670034 \h </w:instrText>
        </w:r>
        <w:r w:rsidR="006A0E1C" w:rsidRPr="00D13792">
          <w:rPr>
            <w:noProof/>
            <w:webHidden/>
          </w:rPr>
        </w:r>
        <w:r w:rsidR="006A0E1C" w:rsidRPr="00D13792">
          <w:rPr>
            <w:noProof/>
            <w:webHidden/>
          </w:rPr>
          <w:fldChar w:fldCharType="separate"/>
        </w:r>
        <w:r>
          <w:rPr>
            <w:noProof/>
            <w:webHidden/>
          </w:rPr>
          <w:t>39</w:t>
        </w:r>
        <w:r w:rsidR="006A0E1C" w:rsidRPr="00D13792">
          <w:rPr>
            <w:noProof/>
            <w:webHidden/>
          </w:rPr>
          <w:fldChar w:fldCharType="end"/>
        </w:r>
      </w:hyperlink>
    </w:p>
    <w:p w14:paraId="5DE17A4B" w14:textId="45022726"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35" w:history="1">
        <w:r w:rsidR="006A0E1C" w:rsidRPr="00D13792">
          <w:rPr>
            <w:rStyle w:val="Hyperlink"/>
            <w:rFonts w:eastAsia="ヒラギノ角ゴ Pro W3"/>
            <w:bCs/>
            <w:iCs/>
            <w:noProof/>
          </w:rPr>
          <w:t>B.22.</w:t>
        </w:r>
        <w:r w:rsidR="006A0E1C" w:rsidRPr="00D13792">
          <w:rPr>
            <w:rStyle w:val="Hyperlink"/>
            <w:rFonts w:eastAsia="ヒラギノ角ゴ Pro W3"/>
            <w:noProof/>
          </w:rPr>
          <w:t xml:space="preserve"> Ejecución de Efraín García de Paz el </w:t>
        </w:r>
        <w:r w:rsidR="006A0E1C" w:rsidRPr="00D13792">
          <w:rPr>
            <w:rStyle w:val="Hyperlink"/>
            <w:rFonts w:eastAsia="ヒラギノ角ゴ Pro W3"/>
            <w:bCs/>
            <w:noProof/>
          </w:rPr>
          <w:t>17 de agosto de 1986</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_Toc469670035 \h </w:instrText>
        </w:r>
        <w:r w:rsidR="006A0E1C" w:rsidRPr="00D13792">
          <w:rPr>
            <w:noProof/>
            <w:webHidden/>
          </w:rPr>
        </w:r>
        <w:r w:rsidR="006A0E1C" w:rsidRPr="00D13792">
          <w:rPr>
            <w:noProof/>
            <w:webHidden/>
          </w:rPr>
          <w:fldChar w:fldCharType="separate"/>
        </w:r>
        <w:r>
          <w:rPr>
            <w:noProof/>
            <w:webHidden/>
          </w:rPr>
          <w:t>40</w:t>
        </w:r>
        <w:r w:rsidR="006A0E1C" w:rsidRPr="00D13792">
          <w:rPr>
            <w:noProof/>
            <w:webHidden/>
          </w:rPr>
          <w:fldChar w:fldCharType="end"/>
        </w:r>
      </w:hyperlink>
    </w:p>
    <w:p w14:paraId="2E1D85B6" w14:textId="12444F7E" w:rsidR="006A0E1C" w:rsidRPr="00D13792" w:rsidRDefault="00D041DD" w:rsidP="006A0E1C">
      <w:pPr>
        <w:pStyle w:val="TOC2"/>
        <w:rPr>
          <w:rFonts w:asciiTheme="minorHAnsi" w:eastAsiaTheme="minorEastAsia" w:hAnsiTheme="minorHAnsi" w:cstheme="minorBidi"/>
          <w:noProof/>
          <w:sz w:val="22"/>
          <w:szCs w:val="22"/>
        </w:rPr>
      </w:pPr>
      <w:hyperlink w:anchor="_Toc469670036" w:history="1">
        <w:r w:rsidR="006A0E1C" w:rsidRPr="00D13792">
          <w:rPr>
            <w:rStyle w:val="Hyperlink"/>
            <w:rFonts w:eastAsia="ヒラギノ角ゴ Pro W3"/>
            <w:noProof/>
          </w:rPr>
          <w:t>C. Investigaciones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_Toc469670036 \h </w:instrText>
        </w:r>
        <w:r w:rsidR="006A0E1C" w:rsidRPr="00D13792">
          <w:rPr>
            <w:noProof/>
            <w:webHidden/>
          </w:rPr>
        </w:r>
        <w:r w:rsidR="006A0E1C" w:rsidRPr="00D13792">
          <w:rPr>
            <w:noProof/>
            <w:webHidden/>
          </w:rPr>
          <w:fldChar w:fldCharType="separate"/>
        </w:r>
        <w:r>
          <w:rPr>
            <w:noProof/>
            <w:webHidden/>
          </w:rPr>
          <w:t>40</w:t>
        </w:r>
        <w:r w:rsidR="006A0E1C" w:rsidRPr="00D13792">
          <w:rPr>
            <w:noProof/>
            <w:webHidden/>
          </w:rPr>
          <w:fldChar w:fldCharType="end"/>
        </w:r>
      </w:hyperlink>
    </w:p>
    <w:p w14:paraId="3D9F5143" w14:textId="5E4BFDC8" w:rsidR="006A0E1C" w:rsidRPr="00D13792" w:rsidRDefault="006A0E1C" w:rsidP="006A0E1C">
      <w:pPr>
        <w:pStyle w:val="TOC1"/>
        <w:rPr>
          <w:rFonts w:asciiTheme="minorHAnsi" w:eastAsiaTheme="minorEastAsia" w:hAnsiTheme="minorHAnsi" w:cstheme="minorBidi"/>
          <w:sz w:val="22"/>
          <w:szCs w:val="22"/>
          <w:lang w:val="es-CR"/>
        </w:rPr>
      </w:pPr>
      <w:r w:rsidRPr="00D13792">
        <w:rPr>
          <w:rStyle w:val="Hyperlink"/>
          <w:color w:val="auto"/>
          <w:u w:val="none"/>
          <w:lang w:val="es-CR"/>
        </w:rPr>
        <w:t xml:space="preserve">IX. </w:t>
      </w:r>
      <w:hyperlink w:anchor="_Toc469670038" w:history="1">
        <w:r w:rsidRPr="00D13792">
          <w:rPr>
            <w:rStyle w:val="Hyperlink"/>
            <w:color w:val="auto"/>
            <w:u w:val="none"/>
            <w:lang w:val="es-CR"/>
          </w:rPr>
          <w:t>FONDO</w:t>
        </w:r>
        <w:r w:rsidRPr="00D13792">
          <w:rPr>
            <w:webHidden/>
            <w:lang w:val="es-CR"/>
          </w:rPr>
          <w:tab/>
        </w:r>
        <w:r w:rsidRPr="00D13792">
          <w:rPr>
            <w:webHidden/>
            <w:lang w:val="es-CR"/>
          </w:rPr>
          <w:fldChar w:fldCharType="begin"/>
        </w:r>
        <w:r w:rsidRPr="00D13792">
          <w:rPr>
            <w:webHidden/>
            <w:lang w:val="es-CR"/>
          </w:rPr>
          <w:instrText xml:space="preserve"> PAGEREF _Toc469670038 \h </w:instrText>
        </w:r>
        <w:r w:rsidRPr="00D13792">
          <w:rPr>
            <w:webHidden/>
            <w:lang w:val="es-CR"/>
          </w:rPr>
        </w:r>
        <w:r w:rsidRPr="00D13792">
          <w:rPr>
            <w:webHidden/>
            <w:lang w:val="es-CR"/>
          </w:rPr>
          <w:fldChar w:fldCharType="separate"/>
        </w:r>
        <w:r w:rsidR="00D041DD">
          <w:rPr>
            <w:webHidden/>
            <w:lang w:val="es-CR"/>
          </w:rPr>
          <w:t>42</w:t>
        </w:r>
        <w:r w:rsidRPr="00D13792">
          <w:rPr>
            <w:webHidden/>
            <w:lang w:val="es-CR"/>
          </w:rPr>
          <w:fldChar w:fldCharType="end"/>
        </w:r>
      </w:hyperlink>
    </w:p>
    <w:p w14:paraId="23FD4F62" w14:textId="3BD102DC" w:rsidR="006A0E1C" w:rsidRPr="00D13792" w:rsidRDefault="006A0E1C" w:rsidP="006A0E1C">
      <w:pPr>
        <w:pStyle w:val="TOC1"/>
        <w:rPr>
          <w:rFonts w:asciiTheme="minorHAnsi" w:eastAsiaTheme="minorEastAsia" w:hAnsiTheme="minorHAnsi" w:cstheme="minorBidi"/>
          <w:sz w:val="22"/>
          <w:szCs w:val="22"/>
          <w:lang w:val="es-CR"/>
        </w:rPr>
      </w:pPr>
      <w:r w:rsidRPr="00D13792">
        <w:rPr>
          <w:rStyle w:val="Hyperlink"/>
          <w:color w:val="auto"/>
          <w:u w:val="none"/>
          <w:lang w:val="es-CR"/>
        </w:rPr>
        <w:t xml:space="preserve">IX.I. </w:t>
      </w:r>
      <w:hyperlink w:anchor="_Toc469670040" w:history="1">
        <w:r w:rsidRPr="00D13792">
          <w:rPr>
            <w:rStyle w:val="Hyperlink"/>
            <w:color w:val="auto"/>
            <w:u w:val="none"/>
            <w:lang w:val="es-CR"/>
          </w:rPr>
          <w:t>DERECHOS A LA LIBERTAD PERSONAL, INTEGRIDAD PERSONAL, VIDA Y RECONOCIMIENTO DE LA PERSONALIDAD JURÍDICA DE LAS VÍCTIMAS DE DESAPARICIÓN FORZADA, ASÍ COMO DERECHOS A LA INTEGRIDAD PERSONAL Y A LA PROTECCIÓN A LA FAMILIA DE SUS FAMILIARES</w:t>
        </w:r>
        <w:r w:rsidRPr="00D13792">
          <w:rPr>
            <w:webHidden/>
            <w:lang w:val="es-CR"/>
          </w:rPr>
          <w:tab/>
        </w:r>
        <w:r w:rsidRPr="00D13792">
          <w:rPr>
            <w:webHidden/>
            <w:lang w:val="es-CR"/>
          </w:rPr>
          <w:fldChar w:fldCharType="begin"/>
        </w:r>
        <w:r w:rsidRPr="00D13792">
          <w:rPr>
            <w:webHidden/>
            <w:lang w:val="es-CR"/>
          </w:rPr>
          <w:instrText xml:space="preserve"> PAGEREF _Toc469670040 \h </w:instrText>
        </w:r>
        <w:r w:rsidRPr="00D13792">
          <w:rPr>
            <w:webHidden/>
            <w:lang w:val="es-CR"/>
          </w:rPr>
        </w:r>
        <w:r w:rsidRPr="00D13792">
          <w:rPr>
            <w:webHidden/>
            <w:lang w:val="es-CR"/>
          </w:rPr>
          <w:fldChar w:fldCharType="separate"/>
        </w:r>
        <w:r w:rsidR="00D041DD">
          <w:rPr>
            <w:webHidden/>
            <w:lang w:val="es-CR"/>
          </w:rPr>
          <w:t>42</w:t>
        </w:r>
        <w:r w:rsidRPr="00D13792">
          <w:rPr>
            <w:webHidden/>
            <w:lang w:val="es-CR"/>
          </w:rPr>
          <w:fldChar w:fldCharType="end"/>
        </w:r>
      </w:hyperlink>
    </w:p>
    <w:p w14:paraId="47DB267D" w14:textId="0BAE8669" w:rsidR="006A0E1C" w:rsidRPr="00D13792" w:rsidRDefault="00D041DD" w:rsidP="006A0E1C">
      <w:pPr>
        <w:pStyle w:val="TOC2"/>
        <w:rPr>
          <w:rFonts w:asciiTheme="minorHAnsi" w:eastAsiaTheme="minorEastAsia" w:hAnsiTheme="minorHAnsi" w:cstheme="minorBidi"/>
          <w:noProof/>
          <w:sz w:val="22"/>
          <w:szCs w:val="22"/>
        </w:rPr>
      </w:pPr>
      <w:hyperlink w:anchor="_Toc469670041" w:history="1">
        <w:r w:rsidR="006A0E1C" w:rsidRPr="00D13792">
          <w:rPr>
            <w:rStyle w:val="Hyperlink"/>
            <w:rFonts w:eastAsia="ヒラギノ角ゴ Pro W3"/>
            <w:bCs/>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Argumentos de la Comisión y de las partes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_Toc469670041 \h </w:instrText>
        </w:r>
        <w:r w:rsidR="006A0E1C" w:rsidRPr="00D13792">
          <w:rPr>
            <w:noProof/>
            <w:webHidden/>
          </w:rPr>
        </w:r>
        <w:r w:rsidR="006A0E1C" w:rsidRPr="00D13792">
          <w:rPr>
            <w:noProof/>
            <w:webHidden/>
          </w:rPr>
          <w:fldChar w:fldCharType="separate"/>
        </w:r>
        <w:r>
          <w:rPr>
            <w:noProof/>
            <w:webHidden/>
          </w:rPr>
          <w:t>42</w:t>
        </w:r>
        <w:r w:rsidR="006A0E1C" w:rsidRPr="00D13792">
          <w:rPr>
            <w:noProof/>
            <w:webHidden/>
          </w:rPr>
          <w:fldChar w:fldCharType="end"/>
        </w:r>
      </w:hyperlink>
    </w:p>
    <w:p w14:paraId="3D60529E" w14:textId="2E43D347" w:rsidR="006A0E1C" w:rsidRPr="00D13792" w:rsidRDefault="00D041DD" w:rsidP="006A0E1C">
      <w:pPr>
        <w:pStyle w:val="TOC2"/>
        <w:rPr>
          <w:rFonts w:asciiTheme="minorHAnsi" w:eastAsiaTheme="minorEastAsia" w:hAnsiTheme="minorHAnsi" w:cstheme="minorBidi"/>
          <w:noProof/>
          <w:sz w:val="22"/>
          <w:szCs w:val="22"/>
        </w:rPr>
      </w:pPr>
      <w:hyperlink w:anchor="_Toc469670042" w:history="1">
        <w:r w:rsidR="006A0E1C" w:rsidRPr="00D13792">
          <w:rPr>
            <w:rStyle w:val="Hyperlink"/>
            <w:rFonts w:eastAsia="ヒラギノ角ゴ Pro W3"/>
            <w:noProof/>
          </w:rPr>
          <w:t>B.</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Consideraciones de la Corte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_Toc469670042 \h </w:instrText>
        </w:r>
        <w:r w:rsidR="006A0E1C" w:rsidRPr="00D13792">
          <w:rPr>
            <w:noProof/>
            <w:webHidden/>
          </w:rPr>
        </w:r>
        <w:r w:rsidR="006A0E1C" w:rsidRPr="00D13792">
          <w:rPr>
            <w:noProof/>
            <w:webHidden/>
          </w:rPr>
          <w:fldChar w:fldCharType="separate"/>
        </w:r>
        <w:r>
          <w:rPr>
            <w:noProof/>
            <w:webHidden/>
          </w:rPr>
          <w:t>44</w:t>
        </w:r>
        <w:r w:rsidR="006A0E1C" w:rsidRPr="00D13792">
          <w:rPr>
            <w:noProof/>
            <w:webHidden/>
          </w:rPr>
          <w:fldChar w:fldCharType="end"/>
        </w:r>
      </w:hyperlink>
    </w:p>
    <w:p w14:paraId="334E3CA2" w14:textId="3EFBD249"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43" w:history="1">
        <w:r w:rsidR="006A0E1C" w:rsidRPr="00D13792">
          <w:rPr>
            <w:rStyle w:val="Hyperlink"/>
            <w:rFonts w:eastAsia="ヒラギノ角ゴ Pro W3"/>
            <w:noProof/>
          </w:rPr>
          <w:t>B.1. Determinación de la ocurrencia de las alegadas desapariciones forzadas y su permanencia en el tiempo</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_Toc469670043 \h </w:instrText>
        </w:r>
        <w:r w:rsidR="006A0E1C" w:rsidRPr="00D13792">
          <w:rPr>
            <w:noProof/>
            <w:webHidden/>
          </w:rPr>
        </w:r>
        <w:r w:rsidR="006A0E1C" w:rsidRPr="00D13792">
          <w:rPr>
            <w:noProof/>
            <w:webHidden/>
          </w:rPr>
          <w:fldChar w:fldCharType="separate"/>
        </w:r>
        <w:r>
          <w:rPr>
            <w:noProof/>
            <w:webHidden/>
          </w:rPr>
          <w:t>46</w:t>
        </w:r>
        <w:r w:rsidR="006A0E1C" w:rsidRPr="00D13792">
          <w:rPr>
            <w:noProof/>
            <w:webHidden/>
          </w:rPr>
          <w:fldChar w:fldCharType="end"/>
        </w:r>
      </w:hyperlink>
    </w:p>
    <w:p w14:paraId="5B78E665" w14:textId="088DC74D"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44" w:history="1">
        <w:r w:rsidR="006A0E1C" w:rsidRPr="00D13792">
          <w:rPr>
            <w:rStyle w:val="Hyperlink"/>
            <w:rFonts w:eastAsia="ヒラギノ角ゴ Pro W3"/>
            <w:noProof/>
          </w:rPr>
          <w:t>B.2. Violaciones de los artículos 7, 5.1, 5.2, 4.1 y 3 de la Convención Americana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_Toc469670044 \h </w:instrText>
        </w:r>
        <w:r w:rsidR="006A0E1C" w:rsidRPr="00D13792">
          <w:rPr>
            <w:noProof/>
            <w:webHidden/>
          </w:rPr>
        </w:r>
        <w:r w:rsidR="006A0E1C" w:rsidRPr="00D13792">
          <w:rPr>
            <w:noProof/>
            <w:webHidden/>
          </w:rPr>
          <w:fldChar w:fldCharType="separate"/>
        </w:r>
        <w:r>
          <w:rPr>
            <w:noProof/>
            <w:webHidden/>
          </w:rPr>
          <w:t>53</w:t>
        </w:r>
        <w:r w:rsidR="006A0E1C" w:rsidRPr="00D13792">
          <w:rPr>
            <w:noProof/>
            <w:webHidden/>
          </w:rPr>
          <w:fldChar w:fldCharType="end"/>
        </w:r>
      </w:hyperlink>
    </w:p>
    <w:p w14:paraId="482B9ED6" w14:textId="697E26B4"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45" w:history="1">
        <w:r w:rsidR="006A0E1C" w:rsidRPr="00D13792">
          <w:rPr>
            <w:rStyle w:val="Hyperlink"/>
            <w:rFonts w:eastAsia="ヒラギノ角ゴ Pro W3"/>
            <w:noProof/>
          </w:rPr>
          <w:t>B.3. Derecho a la integridad personal y a la protección a la familia en perjuicio de los familiares de las víctimas de desaparición forzada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_Toc469670045 \h </w:instrText>
        </w:r>
        <w:r w:rsidR="006A0E1C" w:rsidRPr="00D13792">
          <w:rPr>
            <w:noProof/>
            <w:webHidden/>
          </w:rPr>
        </w:r>
        <w:r w:rsidR="006A0E1C" w:rsidRPr="00D13792">
          <w:rPr>
            <w:noProof/>
            <w:webHidden/>
          </w:rPr>
          <w:fldChar w:fldCharType="separate"/>
        </w:r>
        <w:r>
          <w:rPr>
            <w:noProof/>
            <w:webHidden/>
          </w:rPr>
          <w:t>55</w:t>
        </w:r>
        <w:r w:rsidR="006A0E1C" w:rsidRPr="00D13792">
          <w:rPr>
            <w:noProof/>
            <w:webHidden/>
          </w:rPr>
          <w:fldChar w:fldCharType="end"/>
        </w:r>
      </w:hyperlink>
    </w:p>
    <w:p w14:paraId="4C795208" w14:textId="363D74F6" w:rsidR="006A0E1C" w:rsidRPr="00D13792" w:rsidRDefault="006A0E1C" w:rsidP="006A0E1C">
      <w:pPr>
        <w:pStyle w:val="TOC1"/>
        <w:rPr>
          <w:rFonts w:asciiTheme="minorHAnsi" w:eastAsiaTheme="minorEastAsia" w:hAnsiTheme="minorHAnsi" w:cstheme="minorBidi"/>
          <w:sz w:val="22"/>
          <w:szCs w:val="22"/>
          <w:lang w:val="es-CR"/>
        </w:rPr>
      </w:pPr>
      <w:r w:rsidRPr="00D13792">
        <w:rPr>
          <w:rStyle w:val="Hyperlink"/>
          <w:color w:val="auto"/>
          <w:u w:val="none"/>
          <w:lang w:val="es-CR"/>
        </w:rPr>
        <w:t xml:space="preserve">IX.II </w:t>
      </w:r>
      <w:hyperlink w:anchor="_Toc469670047" w:history="1">
        <w:r w:rsidRPr="00D13792">
          <w:rPr>
            <w:rStyle w:val="Hyperlink"/>
            <w:color w:val="auto"/>
            <w:u w:val="none"/>
            <w:lang w:val="es-CR"/>
          </w:rPr>
          <w:t>DERECHO DE CIRCULACIÓN Y RESIDENCIA</w:t>
        </w:r>
        <w:r w:rsidRPr="00D13792">
          <w:rPr>
            <w:webHidden/>
            <w:lang w:val="es-CR"/>
          </w:rPr>
          <w:tab/>
        </w:r>
        <w:r w:rsidRPr="00D13792">
          <w:rPr>
            <w:webHidden/>
            <w:lang w:val="es-CR"/>
          </w:rPr>
          <w:fldChar w:fldCharType="begin"/>
        </w:r>
        <w:r w:rsidRPr="00D13792">
          <w:rPr>
            <w:webHidden/>
            <w:lang w:val="es-CR"/>
          </w:rPr>
          <w:instrText xml:space="preserve"> PAGEREF _Toc469670047 \h </w:instrText>
        </w:r>
        <w:r w:rsidRPr="00D13792">
          <w:rPr>
            <w:webHidden/>
            <w:lang w:val="es-CR"/>
          </w:rPr>
        </w:r>
        <w:r w:rsidRPr="00D13792">
          <w:rPr>
            <w:webHidden/>
            <w:lang w:val="es-CR"/>
          </w:rPr>
          <w:fldChar w:fldCharType="separate"/>
        </w:r>
        <w:r w:rsidR="00D041DD">
          <w:rPr>
            <w:webHidden/>
            <w:lang w:val="es-CR"/>
          </w:rPr>
          <w:t>56</w:t>
        </w:r>
        <w:r w:rsidRPr="00D13792">
          <w:rPr>
            <w:webHidden/>
            <w:lang w:val="es-CR"/>
          </w:rPr>
          <w:fldChar w:fldCharType="end"/>
        </w:r>
      </w:hyperlink>
    </w:p>
    <w:p w14:paraId="654CD206" w14:textId="5F2986CD" w:rsidR="006A0E1C" w:rsidRPr="00D13792" w:rsidRDefault="00D041DD" w:rsidP="006A0E1C">
      <w:pPr>
        <w:pStyle w:val="TOC2"/>
        <w:rPr>
          <w:rFonts w:asciiTheme="minorHAnsi" w:eastAsiaTheme="minorEastAsia" w:hAnsiTheme="minorHAnsi" w:cstheme="minorBidi"/>
          <w:noProof/>
          <w:sz w:val="22"/>
          <w:szCs w:val="22"/>
        </w:rPr>
      </w:pPr>
      <w:hyperlink w:anchor="_Toc469670048" w:history="1">
        <w:r w:rsidR="006A0E1C" w:rsidRPr="00D13792">
          <w:rPr>
            <w:rStyle w:val="Hyperlink"/>
            <w:rFonts w:eastAsia="Times"/>
            <w:caps/>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Times"/>
            <w:noProof/>
          </w:rPr>
          <w:t>Argumentos de la Comisión y de las partes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_Toc469670048 \h </w:instrText>
        </w:r>
        <w:r w:rsidR="006A0E1C" w:rsidRPr="00D13792">
          <w:rPr>
            <w:noProof/>
            <w:webHidden/>
          </w:rPr>
        </w:r>
        <w:r w:rsidR="006A0E1C" w:rsidRPr="00D13792">
          <w:rPr>
            <w:noProof/>
            <w:webHidden/>
          </w:rPr>
          <w:fldChar w:fldCharType="separate"/>
        </w:r>
        <w:r>
          <w:rPr>
            <w:noProof/>
            <w:webHidden/>
          </w:rPr>
          <w:t>56</w:t>
        </w:r>
        <w:r w:rsidR="006A0E1C" w:rsidRPr="00D13792">
          <w:rPr>
            <w:noProof/>
            <w:webHidden/>
          </w:rPr>
          <w:fldChar w:fldCharType="end"/>
        </w:r>
      </w:hyperlink>
    </w:p>
    <w:p w14:paraId="4F221735" w14:textId="4F70DD13" w:rsidR="006A0E1C" w:rsidRPr="00D13792" w:rsidRDefault="00D041DD" w:rsidP="006A0E1C">
      <w:pPr>
        <w:pStyle w:val="TOC2"/>
        <w:rPr>
          <w:rFonts w:asciiTheme="minorHAnsi" w:eastAsiaTheme="minorEastAsia" w:hAnsiTheme="minorHAnsi" w:cstheme="minorBidi"/>
          <w:noProof/>
          <w:sz w:val="22"/>
          <w:szCs w:val="22"/>
        </w:rPr>
      </w:pPr>
      <w:hyperlink w:anchor="_Toc469670049" w:history="1">
        <w:r w:rsidR="006A0E1C" w:rsidRPr="00D13792">
          <w:rPr>
            <w:rStyle w:val="Hyperlink"/>
            <w:rFonts w:eastAsia="Calibri"/>
            <w:noProof/>
            <w:lang w:eastAsia="en-US"/>
          </w:rPr>
          <w:t>B.</w:t>
        </w:r>
        <w:r w:rsidR="006A0E1C" w:rsidRPr="00D13792">
          <w:rPr>
            <w:rFonts w:asciiTheme="minorHAnsi" w:eastAsiaTheme="minorEastAsia" w:hAnsiTheme="minorHAnsi" w:cstheme="minorBidi"/>
            <w:noProof/>
            <w:sz w:val="22"/>
            <w:szCs w:val="22"/>
          </w:rPr>
          <w:tab/>
        </w:r>
        <w:r w:rsidR="006A0E1C" w:rsidRPr="00D13792">
          <w:rPr>
            <w:rStyle w:val="Hyperlink"/>
            <w:rFonts w:eastAsia="Times"/>
            <w:noProof/>
          </w:rPr>
          <w:t>Consideraciones</w:t>
        </w:r>
        <w:r w:rsidR="006A0E1C" w:rsidRPr="00D13792">
          <w:rPr>
            <w:rStyle w:val="Hyperlink"/>
            <w:rFonts w:eastAsia="Calibri"/>
            <w:noProof/>
            <w:lang w:eastAsia="en-US"/>
          </w:rPr>
          <w:t xml:space="preserve"> de la Corte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_Toc469670049 \h </w:instrText>
        </w:r>
        <w:r w:rsidR="006A0E1C" w:rsidRPr="00D13792">
          <w:rPr>
            <w:noProof/>
            <w:webHidden/>
          </w:rPr>
        </w:r>
        <w:r w:rsidR="006A0E1C" w:rsidRPr="00D13792">
          <w:rPr>
            <w:noProof/>
            <w:webHidden/>
          </w:rPr>
          <w:fldChar w:fldCharType="separate"/>
        </w:r>
        <w:r>
          <w:rPr>
            <w:noProof/>
            <w:webHidden/>
          </w:rPr>
          <w:t>57</w:t>
        </w:r>
        <w:r w:rsidR="006A0E1C" w:rsidRPr="00D13792">
          <w:rPr>
            <w:noProof/>
            <w:webHidden/>
          </w:rPr>
          <w:fldChar w:fldCharType="end"/>
        </w:r>
      </w:hyperlink>
    </w:p>
    <w:p w14:paraId="69E11CBA" w14:textId="588E4B06"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50" w:history="1">
        <w:r w:rsidR="006A0E1C" w:rsidRPr="00D13792">
          <w:rPr>
            <w:rStyle w:val="Hyperlink"/>
            <w:rFonts w:eastAsia="ヒラギノ角ゴ Pro W3"/>
            <w:noProof/>
          </w:rPr>
          <w:t>B.1. Imposibilidad de retorno de los miembros de la aldea Chichupac y comunidades vecinas del municipio de Rabinal</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_Toc469670050 \h </w:instrText>
        </w:r>
        <w:r w:rsidR="006A0E1C" w:rsidRPr="00D13792">
          <w:rPr>
            <w:noProof/>
            <w:webHidden/>
          </w:rPr>
        </w:r>
        <w:r w:rsidR="006A0E1C" w:rsidRPr="00D13792">
          <w:rPr>
            <w:noProof/>
            <w:webHidden/>
          </w:rPr>
          <w:fldChar w:fldCharType="separate"/>
        </w:r>
        <w:r>
          <w:rPr>
            <w:noProof/>
            <w:webHidden/>
          </w:rPr>
          <w:t>59</w:t>
        </w:r>
        <w:r w:rsidR="006A0E1C" w:rsidRPr="00D13792">
          <w:rPr>
            <w:noProof/>
            <w:webHidden/>
          </w:rPr>
          <w:fldChar w:fldCharType="end"/>
        </w:r>
      </w:hyperlink>
    </w:p>
    <w:p w14:paraId="7C17E88E" w14:textId="05D79B25"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51" w:history="1">
        <w:r w:rsidR="006A0E1C" w:rsidRPr="00D13792">
          <w:rPr>
            <w:rStyle w:val="Hyperlink"/>
            <w:rFonts w:eastAsia="Batang" w:cs="Times"/>
            <w:noProof/>
          </w:rPr>
          <w:t xml:space="preserve">B.2. Ausencia de </w:t>
        </w:r>
        <w:r w:rsidR="006A0E1C" w:rsidRPr="00D13792">
          <w:rPr>
            <w:rStyle w:val="Hyperlink"/>
            <w:rFonts w:eastAsia="ヒラギノ角ゴ Pro W3"/>
            <w:noProof/>
          </w:rPr>
          <w:t>medidas adoptadas por el Estado para revertir los efectos del desplazamiento</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_Toc469670051 \h </w:instrText>
        </w:r>
        <w:r w:rsidR="006A0E1C" w:rsidRPr="00D13792">
          <w:rPr>
            <w:noProof/>
            <w:webHidden/>
          </w:rPr>
        </w:r>
        <w:r w:rsidR="006A0E1C" w:rsidRPr="00D13792">
          <w:rPr>
            <w:noProof/>
            <w:webHidden/>
          </w:rPr>
          <w:fldChar w:fldCharType="separate"/>
        </w:r>
        <w:r>
          <w:rPr>
            <w:noProof/>
            <w:webHidden/>
          </w:rPr>
          <w:t>61</w:t>
        </w:r>
        <w:r w:rsidR="006A0E1C" w:rsidRPr="00D13792">
          <w:rPr>
            <w:noProof/>
            <w:webHidden/>
          </w:rPr>
          <w:fldChar w:fldCharType="end"/>
        </w:r>
      </w:hyperlink>
    </w:p>
    <w:p w14:paraId="3C417963" w14:textId="0E5A8672"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52" w:history="1">
        <w:r w:rsidR="006A0E1C" w:rsidRPr="00D13792">
          <w:rPr>
            <w:rStyle w:val="Hyperlink"/>
            <w:rFonts w:eastAsia="ヒラギノ角ゴ Pro W3"/>
            <w:noProof/>
          </w:rPr>
          <w:t>B.3. Impactos del desplazamiento y la omisión de garantizar medidas de retorno en los miembros de la aldea Chichupac y comunidades vecinas de Rabinal</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_Toc469670052 \h </w:instrText>
        </w:r>
        <w:r w:rsidR="006A0E1C" w:rsidRPr="00D13792">
          <w:rPr>
            <w:noProof/>
            <w:webHidden/>
          </w:rPr>
        </w:r>
        <w:r w:rsidR="006A0E1C" w:rsidRPr="00D13792">
          <w:rPr>
            <w:noProof/>
            <w:webHidden/>
          </w:rPr>
          <w:fldChar w:fldCharType="separate"/>
        </w:r>
        <w:r>
          <w:rPr>
            <w:noProof/>
            <w:webHidden/>
          </w:rPr>
          <w:t>62</w:t>
        </w:r>
        <w:r w:rsidR="006A0E1C" w:rsidRPr="00D13792">
          <w:rPr>
            <w:noProof/>
            <w:webHidden/>
          </w:rPr>
          <w:fldChar w:fldCharType="end"/>
        </w:r>
      </w:hyperlink>
    </w:p>
    <w:p w14:paraId="36DA90B9" w14:textId="72A0F24B"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53" w:history="1">
        <w:r w:rsidR="006A0E1C" w:rsidRPr="00D13792">
          <w:rPr>
            <w:rStyle w:val="Hyperlink"/>
            <w:rFonts w:eastAsia="ヒラギノ角ゴ Pro W3"/>
            <w:noProof/>
          </w:rPr>
          <w:t>B.4. Conclusión</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_Toc469670053 \h </w:instrText>
        </w:r>
        <w:r w:rsidR="006A0E1C" w:rsidRPr="00D13792">
          <w:rPr>
            <w:noProof/>
            <w:webHidden/>
          </w:rPr>
        </w:r>
        <w:r w:rsidR="006A0E1C" w:rsidRPr="00D13792">
          <w:rPr>
            <w:noProof/>
            <w:webHidden/>
          </w:rPr>
          <w:fldChar w:fldCharType="separate"/>
        </w:r>
        <w:r>
          <w:rPr>
            <w:noProof/>
            <w:webHidden/>
          </w:rPr>
          <w:t>66</w:t>
        </w:r>
        <w:r w:rsidR="006A0E1C" w:rsidRPr="00D13792">
          <w:rPr>
            <w:noProof/>
            <w:webHidden/>
          </w:rPr>
          <w:fldChar w:fldCharType="end"/>
        </w:r>
      </w:hyperlink>
    </w:p>
    <w:p w14:paraId="79EEE72A" w14:textId="6B9808D1" w:rsidR="006A0E1C" w:rsidRPr="00D13792" w:rsidRDefault="006A0E1C" w:rsidP="006A0E1C">
      <w:pPr>
        <w:pStyle w:val="TOC1"/>
        <w:rPr>
          <w:rFonts w:asciiTheme="minorHAnsi" w:eastAsiaTheme="minorEastAsia" w:hAnsiTheme="minorHAnsi" w:cstheme="minorBidi"/>
          <w:sz w:val="22"/>
          <w:szCs w:val="22"/>
          <w:lang w:val="es-CR"/>
        </w:rPr>
      </w:pPr>
      <w:r w:rsidRPr="00D13792">
        <w:rPr>
          <w:rStyle w:val="Hyperlink"/>
          <w:color w:val="000000" w:themeColor="text1"/>
          <w:u w:val="none"/>
          <w:lang w:val="es-CR"/>
        </w:rPr>
        <w:t xml:space="preserve">IX.III </w:t>
      </w:r>
      <w:hyperlink w:anchor="_Toc469670055" w:history="1">
        <w:r w:rsidRPr="00D13792">
          <w:rPr>
            <w:rStyle w:val="Hyperlink"/>
            <w:color w:val="000000" w:themeColor="text1"/>
            <w:u w:val="none"/>
            <w:lang w:val="es-CR"/>
          </w:rPr>
          <w:t>GARANTÍAS Y PROTECCIÓN JUDICIALES DE LA CONVENCIÓN AMERICANA, e INCUMPLIMIENTO DE LOS ARTÍCULOS I.B DE LA CONVENCIÓN INTERAMERICANA SOBRE DESAPARICIÓN FORZADA DE PERSONAS, 1, 6 Y 8 DE LA CONVENCIÓN INTERAMERICANA PARA PREVENIR Y SANCIONAR LA TORTURA, Y 7.B DE LA CONVENCIÓN INTERAMERICANA PARA PREVENIR, SANCIONAR Y ERRADICAR LA VIOLENCIA CONTRA LA MUJER</w:t>
        </w:r>
        <w:r w:rsidRPr="00D13792">
          <w:rPr>
            <w:webHidden/>
            <w:lang w:val="es-CR"/>
          </w:rPr>
          <w:tab/>
        </w:r>
        <w:r w:rsidRPr="00D13792">
          <w:rPr>
            <w:webHidden/>
            <w:lang w:val="es-CR"/>
          </w:rPr>
          <w:fldChar w:fldCharType="begin"/>
        </w:r>
        <w:r w:rsidRPr="00D13792">
          <w:rPr>
            <w:webHidden/>
            <w:lang w:val="es-CR"/>
          </w:rPr>
          <w:instrText xml:space="preserve"> PAGEREF _Toc469670055 \h </w:instrText>
        </w:r>
        <w:r w:rsidRPr="00D13792">
          <w:rPr>
            <w:webHidden/>
            <w:lang w:val="es-CR"/>
          </w:rPr>
        </w:r>
        <w:r w:rsidRPr="00D13792">
          <w:rPr>
            <w:webHidden/>
            <w:lang w:val="es-CR"/>
          </w:rPr>
          <w:fldChar w:fldCharType="separate"/>
        </w:r>
        <w:r w:rsidR="00D041DD">
          <w:rPr>
            <w:webHidden/>
            <w:lang w:val="es-CR"/>
          </w:rPr>
          <w:t>68</w:t>
        </w:r>
        <w:r w:rsidRPr="00D13792">
          <w:rPr>
            <w:webHidden/>
            <w:lang w:val="es-CR"/>
          </w:rPr>
          <w:fldChar w:fldCharType="end"/>
        </w:r>
      </w:hyperlink>
    </w:p>
    <w:p w14:paraId="5D272DEB" w14:textId="3CEBC930" w:rsidR="006A0E1C" w:rsidRPr="00D13792" w:rsidRDefault="00D041DD" w:rsidP="006A0E1C">
      <w:pPr>
        <w:pStyle w:val="TOC2"/>
        <w:rPr>
          <w:rFonts w:asciiTheme="minorHAnsi" w:eastAsiaTheme="minorEastAsia" w:hAnsiTheme="minorHAnsi" w:cstheme="minorBidi"/>
          <w:noProof/>
          <w:sz w:val="22"/>
          <w:szCs w:val="22"/>
        </w:rPr>
      </w:pPr>
      <w:hyperlink w:anchor="_Toc469670056" w:history="1">
        <w:r w:rsidR="006A0E1C" w:rsidRPr="00D13792">
          <w:rPr>
            <w:rStyle w:val="Hyperlink"/>
            <w:rFonts w:eastAsia="ヒラギノ角ゴ Pro W3"/>
            <w:noProof/>
          </w:rPr>
          <w:t>A.</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noProof/>
          </w:rPr>
          <w:t>Alegatos de la Comisión y las partes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_Toc469670056 \h </w:instrText>
        </w:r>
        <w:r w:rsidR="006A0E1C" w:rsidRPr="00D13792">
          <w:rPr>
            <w:noProof/>
            <w:webHidden/>
          </w:rPr>
        </w:r>
        <w:r w:rsidR="006A0E1C" w:rsidRPr="00D13792">
          <w:rPr>
            <w:noProof/>
            <w:webHidden/>
          </w:rPr>
          <w:fldChar w:fldCharType="separate"/>
        </w:r>
        <w:r>
          <w:rPr>
            <w:noProof/>
            <w:webHidden/>
          </w:rPr>
          <w:t>68</w:t>
        </w:r>
        <w:r w:rsidR="006A0E1C" w:rsidRPr="00D13792">
          <w:rPr>
            <w:noProof/>
            <w:webHidden/>
          </w:rPr>
          <w:fldChar w:fldCharType="end"/>
        </w:r>
      </w:hyperlink>
    </w:p>
    <w:p w14:paraId="43196D5B" w14:textId="4BBAD7A0" w:rsidR="006A0E1C" w:rsidRPr="00D13792" w:rsidRDefault="00D041DD" w:rsidP="006A0E1C">
      <w:pPr>
        <w:pStyle w:val="TOC2"/>
        <w:rPr>
          <w:rFonts w:asciiTheme="minorHAnsi" w:eastAsiaTheme="minorEastAsia" w:hAnsiTheme="minorHAnsi" w:cstheme="minorBidi"/>
          <w:noProof/>
          <w:sz w:val="22"/>
          <w:szCs w:val="22"/>
        </w:rPr>
      </w:pPr>
      <w:hyperlink w:anchor="_Toc469670057" w:history="1">
        <w:r w:rsidR="006A0E1C" w:rsidRPr="00D13792">
          <w:rPr>
            <w:rStyle w:val="Hyperlink"/>
            <w:rFonts w:eastAsia="ヒラギノ角ゴ Pro W3" w:cs="Arial"/>
            <w:noProof/>
            <w:lang w:eastAsia="es-ES"/>
          </w:rPr>
          <w:t>B.</w:t>
        </w:r>
        <w:r w:rsidR="006A0E1C" w:rsidRPr="00D13792">
          <w:rPr>
            <w:rFonts w:asciiTheme="minorHAnsi" w:eastAsiaTheme="minorEastAsia" w:hAnsiTheme="minorHAnsi" w:cstheme="minorBidi"/>
            <w:noProof/>
            <w:sz w:val="22"/>
            <w:szCs w:val="22"/>
          </w:rPr>
          <w:tab/>
        </w:r>
        <w:r w:rsidR="006A0E1C" w:rsidRPr="00D13792">
          <w:rPr>
            <w:rStyle w:val="Hyperlink"/>
            <w:rFonts w:eastAsia="ヒラギノ角ゴ Pro W3" w:cs="Arial"/>
            <w:noProof/>
            <w:lang w:eastAsia="es-ES"/>
          </w:rPr>
          <w:t>Consideraciones de la Corte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_Toc469670057 \h </w:instrText>
        </w:r>
        <w:r w:rsidR="006A0E1C" w:rsidRPr="00D13792">
          <w:rPr>
            <w:noProof/>
            <w:webHidden/>
          </w:rPr>
        </w:r>
        <w:r w:rsidR="006A0E1C" w:rsidRPr="00D13792">
          <w:rPr>
            <w:noProof/>
            <w:webHidden/>
          </w:rPr>
          <w:fldChar w:fldCharType="separate"/>
        </w:r>
        <w:r>
          <w:rPr>
            <w:noProof/>
            <w:webHidden/>
          </w:rPr>
          <w:t>69</w:t>
        </w:r>
        <w:r w:rsidR="006A0E1C" w:rsidRPr="00D13792">
          <w:rPr>
            <w:noProof/>
            <w:webHidden/>
          </w:rPr>
          <w:fldChar w:fldCharType="end"/>
        </w:r>
      </w:hyperlink>
    </w:p>
    <w:p w14:paraId="418525DC" w14:textId="41298AAF"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58" w:history="1">
        <w:r w:rsidR="006A0E1C" w:rsidRPr="00D13792">
          <w:rPr>
            <w:rStyle w:val="Hyperlink"/>
            <w:rFonts w:eastAsia="ヒラギノ角ゴ Pro W3"/>
            <w:noProof/>
          </w:rPr>
          <w:t>B.1. Falta de debida diligencia y obstaculización</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_Toc469670058 \h </w:instrText>
        </w:r>
        <w:r w:rsidR="006A0E1C" w:rsidRPr="00D13792">
          <w:rPr>
            <w:noProof/>
            <w:webHidden/>
          </w:rPr>
        </w:r>
        <w:r w:rsidR="006A0E1C" w:rsidRPr="00D13792">
          <w:rPr>
            <w:noProof/>
            <w:webHidden/>
          </w:rPr>
          <w:fldChar w:fldCharType="separate"/>
        </w:r>
        <w:r>
          <w:rPr>
            <w:noProof/>
            <w:webHidden/>
          </w:rPr>
          <w:t>72</w:t>
        </w:r>
        <w:r w:rsidR="006A0E1C" w:rsidRPr="00D13792">
          <w:rPr>
            <w:noProof/>
            <w:webHidden/>
          </w:rPr>
          <w:fldChar w:fldCharType="end"/>
        </w:r>
      </w:hyperlink>
    </w:p>
    <w:p w14:paraId="2C0A2EAF" w14:textId="0E8921BA"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59" w:history="1">
        <w:r w:rsidR="006A0E1C" w:rsidRPr="00D13792">
          <w:rPr>
            <w:rStyle w:val="Hyperlink"/>
            <w:rFonts w:eastAsia="ヒラギノ角ゴ Pro W3"/>
            <w:noProof/>
          </w:rPr>
          <w:t>B.2. Falta de investigación de graves violaciones de derechos humanos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_Toc469670059 \h </w:instrText>
        </w:r>
        <w:r w:rsidR="006A0E1C" w:rsidRPr="00D13792">
          <w:rPr>
            <w:noProof/>
            <w:webHidden/>
          </w:rPr>
        </w:r>
        <w:r w:rsidR="006A0E1C" w:rsidRPr="00D13792">
          <w:rPr>
            <w:noProof/>
            <w:webHidden/>
          </w:rPr>
          <w:fldChar w:fldCharType="separate"/>
        </w:r>
        <w:r>
          <w:rPr>
            <w:noProof/>
            <w:webHidden/>
          </w:rPr>
          <w:t>82</w:t>
        </w:r>
        <w:r w:rsidR="006A0E1C" w:rsidRPr="00D13792">
          <w:rPr>
            <w:noProof/>
            <w:webHidden/>
          </w:rPr>
          <w:fldChar w:fldCharType="end"/>
        </w:r>
      </w:hyperlink>
    </w:p>
    <w:p w14:paraId="1DADA72C" w14:textId="470192DF"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60" w:history="1">
        <w:r w:rsidR="006A0E1C" w:rsidRPr="00D13792">
          <w:rPr>
            <w:rStyle w:val="Hyperlink"/>
            <w:rFonts w:eastAsia="ヒラギノ角ゴ Pro W3"/>
            <w:noProof/>
          </w:rPr>
          <w:t>B.3. Derecho a conocer la verdad y plazo razonable</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_Toc469670060 \h </w:instrText>
        </w:r>
        <w:r w:rsidR="006A0E1C" w:rsidRPr="00D13792">
          <w:rPr>
            <w:noProof/>
            <w:webHidden/>
          </w:rPr>
        </w:r>
        <w:r w:rsidR="006A0E1C" w:rsidRPr="00D13792">
          <w:rPr>
            <w:noProof/>
            <w:webHidden/>
          </w:rPr>
          <w:fldChar w:fldCharType="separate"/>
        </w:r>
        <w:r>
          <w:rPr>
            <w:noProof/>
            <w:webHidden/>
          </w:rPr>
          <w:t>87</w:t>
        </w:r>
        <w:r w:rsidR="006A0E1C" w:rsidRPr="00D13792">
          <w:rPr>
            <w:noProof/>
            <w:webHidden/>
          </w:rPr>
          <w:fldChar w:fldCharType="end"/>
        </w:r>
      </w:hyperlink>
    </w:p>
    <w:p w14:paraId="29F31449" w14:textId="3292366B" w:rsidR="006A0E1C" w:rsidRPr="00D13792" w:rsidRDefault="00D041DD" w:rsidP="006A0E1C">
      <w:pPr>
        <w:pStyle w:val="TOC3"/>
        <w:tabs>
          <w:tab w:val="right" w:leader="dot" w:pos="9638"/>
        </w:tabs>
        <w:rPr>
          <w:rFonts w:asciiTheme="minorHAnsi" w:eastAsiaTheme="minorEastAsia" w:hAnsiTheme="minorHAnsi" w:cstheme="minorBidi"/>
          <w:noProof/>
          <w:sz w:val="22"/>
          <w:szCs w:val="22"/>
        </w:rPr>
      </w:pPr>
      <w:hyperlink w:anchor="_Toc469670061" w:history="1">
        <w:r w:rsidR="006A0E1C" w:rsidRPr="00D13792">
          <w:rPr>
            <w:rStyle w:val="Hyperlink"/>
            <w:rFonts w:eastAsia="ヒラギノ角ゴ Pro W3"/>
            <w:noProof/>
          </w:rPr>
          <w:t>B.4. Conclusiones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_Toc469670061 \h </w:instrText>
        </w:r>
        <w:r w:rsidR="006A0E1C" w:rsidRPr="00D13792">
          <w:rPr>
            <w:noProof/>
            <w:webHidden/>
          </w:rPr>
        </w:r>
        <w:r w:rsidR="006A0E1C" w:rsidRPr="00D13792">
          <w:rPr>
            <w:noProof/>
            <w:webHidden/>
          </w:rPr>
          <w:fldChar w:fldCharType="separate"/>
        </w:r>
        <w:r>
          <w:rPr>
            <w:noProof/>
            <w:webHidden/>
          </w:rPr>
          <w:t>88</w:t>
        </w:r>
        <w:r w:rsidR="006A0E1C" w:rsidRPr="00D13792">
          <w:rPr>
            <w:noProof/>
            <w:webHidden/>
          </w:rPr>
          <w:fldChar w:fldCharType="end"/>
        </w:r>
      </w:hyperlink>
    </w:p>
    <w:p w14:paraId="6D5DEB11" w14:textId="2B280278" w:rsidR="006A0E1C" w:rsidRPr="00D13792" w:rsidRDefault="00D041DD" w:rsidP="006A0E1C">
      <w:pPr>
        <w:pStyle w:val="TOC1"/>
        <w:rPr>
          <w:rFonts w:asciiTheme="minorHAnsi" w:eastAsiaTheme="minorEastAsia" w:hAnsiTheme="minorHAnsi" w:cstheme="minorBidi"/>
          <w:sz w:val="22"/>
          <w:szCs w:val="22"/>
          <w:lang w:val="es-CR"/>
        </w:rPr>
      </w:pPr>
      <w:hyperlink w:anchor="_Toc469670062" w:history="1">
        <w:r w:rsidR="006A0E1C" w:rsidRPr="00D13792">
          <w:rPr>
            <w:rStyle w:val="Hyperlink"/>
            <w:rFonts w:eastAsia="MS ????" w:cs="Verdana"/>
            <w:bCs/>
            <w:caps/>
            <w:snapToGrid w:val="0"/>
            <w:spacing w:val="-2"/>
            <w:lang w:val="es-CR" w:eastAsia="es-ES"/>
          </w:rPr>
          <w:t>X REPARACIONES</w:t>
        </w:r>
        <w:r w:rsidR="006A0E1C" w:rsidRPr="00D13792">
          <w:rPr>
            <w:rStyle w:val="Hyperlink"/>
            <w:rFonts w:eastAsia="Batang"/>
            <w:bCs/>
            <w:kern w:val="32"/>
            <w:lang w:val="es-CR" w:eastAsia="en-US"/>
          </w:rPr>
          <w:t xml:space="preserve"> (Aplicación del artículo 63.1 de la Convención Americana)</w:t>
        </w:r>
        <w:r w:rsidR="006A0E1C" w:rsidRPr="00D13792">
          <w:rPr>
            <w:webHidden/>
            <w:lang w:val="es-CR"/>
          </w:rPr>
          <w:tab/>
        </w:r>
        <w:r w:rsidR="006A0E1C" w:rsidRPr="00D13792">
          <w:rPr>
            <w:webHidden/>
            <w:lang w:val="es-CR"/>
          </w:rPr>
          <w:fldChar w:fldCharType="begin"/>
        </w:r>
        <w:r w:rsidR="006A0E1C" w:rsidRPr="00D13792">
          <w:rPr>
            <w:webHidden/>
            <w:lang w:val="es-CR"/>
          </w:rPr>
          <w:instrText xml:space="preserve"> PAGEREF _Toc469670062 \h </w:instrText>
        </w:r>
        <w:r w:rsidR="006A0E1C" w:rsidRPr="00D13792">
          <w:rPr>
            <w:webHidden/>
            <w:lang w:val="es-CR"/>
          </w:rPr>
        </w:r>
        <w:r w:rsidR="006A0E1C" w:rsidRPr="00D13792">
          <w:rPr>
            <w:webHidden/>
            <w:lang w:val="es-CR"/>
          </w:rPr>
          <w:fldChar w:fldCharType="separate"/>
        </w:r>
        <w:r>
          <w:rPr>
            <w:webHidden/>
            <w:lang w:val="es-CR"/>
          </w:rPr>
          <w:t>89</w:t>
        </w:r>
        <w:r w:rsidR="006A0E1C" w:rsidRPr="00D13792">
          <w:rPr>
            <w:webHidden/>
            <w:lang w:val="es-CR"/>
          </w:rPr>
          <w:fldChar w:fldCharType="end"/>
        </w:r>
      </w:hyperlink>
    </w:p>
    <w:p w14:paraId="470FCE02" w14:textId="6F968C3D" w:rsidR="006A0E1C" w:rsidRPr="00D13792" w:rsidRDefault="00D041DD" w:rsidP="006A0E1C">
      <w:pPr>
        <w:pStyle w:val="TOC2"/>
        <w:rPr>
          <w:rFonts w:asciiTheme="minorHAnsi" w:eastAsiaTheme="minorEastAsia" w:hAnsiTheme="minorHAnsi" w:cstheme="minorBidi"/>
          <w:noProof/>
          <w:sz w:val="22"/>
          <w:szCs w:val="22"/>
        </w:rPr>
      </w:pPr>
      <w:hyperlink w:anchor="_Toc469670063" w:history="1">
        <w:r w:rsidR="006A0E1C" w:rsidRPr="00D13792">
          <w:rPr>
            <w:rStyle w:val="Hyperlink"/>
            <w:rFonts w:eastAsia="MS Mincho"/>
            <w:noProof/>
          </w:rPr>
          <w:t>A. Parte Lesionada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_Toc469670063 \h </w:instrText>
        </w:r>
        <w:r w:rsidR="006A0E1C" w:rsidRPr="00D13792">
          <w:rPr>
            <w:noProof/>
            <w:webHidden/>
          </w:rPr>
        </w:r>
        <w:r w:rsidR="006A0E1C" w:rsidRPr="00D13792">
          <w:rPr>
            <w:noProof/>
            <w:webHidden/>
          </w:rPr>
          <w:fldChar w:fldCharType="separate"/>
        </w:r>
        <w:r>
          <w:rPr>
            <w:noProof/>
            <w:webHidden/>
          </w:rPr>
          <w:t>90</w:t>
        </w:r>
        <w:r w:rsidR="006A0E1C" w:rsidRPr="00D13792">
          <w:rPr>
            <w:noProof/>
            <w:webHidden/>
          </w:rPr>
          <w:fldChar w:fldCharType="end"/>
        </w:r>
      </w:hyperlink>
    </w:p>
    <w:p w14:paraId="445EECAE" w14:textId="71A08672" w:rsidR="006A0E1C" w:rsidRPr="00D13792" w:rsidRDefault="00D041DD" w:rsidP="006A0E1C">
      <w:pPr>
        <w:pStyle w:val="TOC2"/>
        <w:rPr>
          <w:rFonts w:asciiTheme="minorHAnsi" w:eastAsiaTheme="minorEastAsia" w:hAnsiTheme="minorHAnsi" w:cstheme="minorBidi"/>
          <w:noProof/>
          <w:sz w:val="22"/>
          <w:szCs w:val="22"/>
        </w:rPr>
      </w:pPr>
      <w:hyperlink w:anchor="_Toc469670064" w:history="1">
        <w:r w:rsidR="006A0E1C" w:rsidRPr="00D13792">
          <w:rPr>
            <w:rStyle w:val="Hyperlink"/>
            <w:rFonts w:eastAsia="MS Mincho"/>
            <w:noProof/>
          </w:rPr>
          <w:t>B. Programa Nacional de Resarcimiento</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_Toc469670064 \h </w:instrText>
        </w:r>
        <w:r w:rsidR="006A0E1C" w:rsidRPr="00D13792">
          <w:rPr>
            <w:noProof/>
            <w:webHidden/>
          </w:rPr>
        </w:r>
        <w:r w:rsidR="006A0E1C" w:rsidRPr="00D13792">
          <w:rPr>
            <w:noProof/>
            <w:webHidden/>
          </w:rPr>
          <w:fldChar w:fldCharType="separate"/>
        </w:r>
        <w:r>
          <w:rPr>
            <w:noProof/>
            <w:webHidden/>
          </w:rPr>
          <w:t>91</w:t>
        </w:r>
        <w:r w:rsidR="006A0E1C" w:rsidRPr="00D13792">
          <w:rPr>
            <w:noProof/>
            <w:webHidden/>
          </w:rPr>
          <w:fldChar w:fldCharType="end"/>
        </w:r>
      </w:hyperlink>
    </w:p>
    <w:p w14:paraId="08AAB3C5" w14:textId="1BDD478D" w:rsidR="006A0E1C" w:rsidRPr="00D13792" w:rsidRDefault="00D041DD" w:rsidP="006A0E1C">
      <w:pPr>
        <w:pStyle w:val="TOC2"/>
        <w:rPr>
          <w:rFonts w:asciiTheme="minorHAnsi" w:eastAsiaTheme="minorEastAsia" w:hAnsiTheme="minorHAnsi" w:cstheme="minorBidi"/>
          <w:noProof/>
          <w:sz w:val="22"/>
          <w:szCs w:val="22"/>
        </w:rPr>
      </w:pPr>
      <w:hyperlink w:anchor="_Toc469670065" w:history="1">
        <w:r w:rsidR="006A0E1C" w:rsidRPr="00D13792">
          <w:rPr>
            <w:rStyle w:val="Hyperlink"/>
            <w:rFonts w:eastAsia="MS Mincho"/>
            <w:noProof/>
          </w:rPr>
          <w:t>C. Obligación de investigar los hechos e identificar, juzgar y, en su caso, sancionar a los responsables, así como de determinar el paradero de las víctimas desaparecidas, y recuperar e identificar las personas inhumadas en fosas clandestinas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_Toc469670065 \h </w:instrText>
        </w:r>
        <w:r w:rsidR="006A0E1C" w:rsidRPr="00D13792">
          <w:rPr>
            <w:noProof/>
            <w:webHidden/>
          </w:rPr>
        </w:r>
        <w:r w:rsidR="006A0E1C" w:rsidRPr="00D13792">
          <w:rPr>
            <w:noProof/>
            <w:webHidden/>
          </w:rPr>
          <w:fldChar w:fldCharType="separate"/>
        </w:r>
        <w:r>
          <w:rPr>
            <w:noProof/>
            <w:webHidden/>
          </w:rPr>
          <w:t>93</w:t>
        </w:r>
        <w:r w:rsidR="006A0E1C" w:rsidRPr="00D13792">
          <w:rPr>
            <w:noProof/>
            <w:webHidden/>
          </w:rPr>
          <w:fldChar w:fldCharType="end"/>
        </w:r>
      </w:hyperlink>
    </w:p>
    <w:p w14:paraId="17BF36E7" w14:textId="343F3A1F" w:rsidR="006A0E1C" w:rsidRPr="00D13792" w:rsidRDefault="00D041DD" w:rsidP="006A0E1C">
      <w:pPr>
        <w:pStyle w:val="TOC2"/>
        <w:rPr>
          <w:rFonts w:asciiTheme="minorHAnsi" w:eastAsiaTheme="minorEastAsia" w:hAnsiTheme="minorHAnsi" w:cstheme="minorBidi"/>
          <w:noProof/>
          <w:sz w:val="22"/>
          <w:szCs w:val="22"/>
        </w:rPr>
      </w:pPr>
      <w:hyperlink w:anchor="_Toc469670066" w:history="1">
        <w:r w:rsidR="006A0E1C" w:rsidRPr="00D13792">
          <w:rPr>
            <w:rStyle w:val="Hyperlink"/>
            <w:rFonts w:eastAsia="MS Mincho"/>
            <w:noProof/>
          </w:rPr>
          <w:t>D. Medidas de restitución, rehabilitación, satisfacción y garantías de no repetición</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_Toc469670066 \h </w:instrText>
        </w:r>
        <w:r w:rsidR="006A0E1C" w:rsidRPr="00D13792">
          <w:rPr>
            <w:noProof/>
            <w:webHidden/>
          </w:rPr>
        </w:r>
        <w:r w:rsidR="006A0E1C" w:rsidRPr="00D13792">
          <w:rPr>
            <w:noProof/>
            <w:webHidden/>
          </w:rPr>
          <w:fldChar w:fldCharType="separate"/>
        </w:r>
        <w:r>
          <w:rPr>
            <w:noProof/>
            <w:webHidden/>
          </w:rPr>
          <w:t>98</w:t>
        </w:r>
        <w:r w:rsidR="006A0E1C" w:rsidRPr="00D13792">
          <w:rPr>
            <w:noProof/>
            <w:webHidden/>
          </w:rPr>
          <w:fldChar w:fldCharType="end"/>
        </w:r>
      </w:hyperlink>
    </w:p>
    <w:p w14:paraId="1DAA0773" w14:textId="01101764" w:rsidR="006A0E1C" w:rsidRPr="00D13792" w:rsidRDefault="00D041DD" w:rsidP="006A0E1C">
      <w:pPr>
        <w:pStyle w:val="TOC2"/>
        <w:ind w:left="450"/>
        <w:rPr>
          <w:rFonts w:asciiTheme="minorHAnsi" w:eastAsiaTheme="minorEastAsia" w:hAnsiTheme="minorHAnsi" w:cstheme="minorBidi"/>
          <w:noProof/>
          <w:sz w:val="22"/>
          <w:szCs w:val="22"/>
        </w:rPr>
      </w:pPr>
      <w:hyperlink w:anchor="_Toc469670067" w:history="1">
        <w:r w:rsidR="006A0E1C" w:rsidRPr="00D13792">
          <w:rPr>
            <w:rStyle w:val="Hyperlink"/>
            <w:rFonts w:eastAsia="Batang" w:cs="Times"/>
            <w:noProof/>
            <w:lang w:eastAsia="en-US"/>
          </w:rPr>
          <w:t>D.1. Medida de restitución</w:t>
        </w:r>
        <w:r w:rsidR="006A0E1C" w:rsidRPr="00D13792">
          <w:rPr>
            <w:rStyle w:val="Hyperlink"/>
            <w:rFonts w:eastAsia="MS Mincho"/>
            <w:noProof/>
          </w:rPr>
          <w:t>: Garantizar el retorno a su lugar de origen de las víctimas que aún se encuentran desplazadas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_Toc469670067 \h </w:instrText>
        </w:r>
        <w:r w:rsidR="006A0E1C" w:rsidRPr="00D13792">
          <w:rPr>
            <w:noProof/>
            <w:webHidden/>
          </w:rPr>
        </w:r>
        <w:r w:rsidR="006A0E1C" w:rsidRPr="00D13792">
          <w:rPr>
            <w:noProof/>
            <w:webHidden/>
          </w:rPr>
          <w:fldChar w:fldCharType="separate"/>
        </w:r>
        <w:r>
          <w:rPr>
            <w:noProof/>
            <w:webHidden/>
          </w:rPr>
          <w:t>98</w:t>
        </w:r>
        <w:r w:rsidR="006A0E1C" w:rsidRPr="00D13792">
          <w:rPr>
            <w:noProof/>
            <w:webHidden/>
          </w:rPr>
          <w:fldChar w:fldCharType="end"/>
        </w:r>
      </w:hyperlink>
    </w:p>
    <w:p w14:paraId="1EEC7DDA" w14:textId="6FCB92C4" w:rsidR="006A0E1C" w:rsidRPr="00D13792" w:rsidRDefault="00D041DD" w:rsidP="006A0E1C">
      <w:pPr>
        <w:pStyle w:val="TOC2"/>
        <w:ind w:left="450"/>
        <w:rPr>
          <w:rFonts w:asciiTheme="minorHAnsi" w:eastAsiaTheme="minorEastAsia" w:hAnsiTheme="minorHAnsi" w:cstheme="minorBidi"/>
          <w:noProof/>
          <w:sz w:val="22"/>
          <w:szCs w:val="22"/>
        </w:rPr>
      </w:pPr>
      <w:hyperlink w:anchor="_Toc469670068" w:history="1">
        <w:r w:rsidR="006A0E1C" w:rsidRPr="00D13792">
          <w:rPr>
            <w:rStyle w:val="Hyperlink"/>
            <w:rFonts w:eastAsia="Calibri"/>
            <w:noProof/>
          </w:rPr>
          <w:t xml:space="preserve">D.2. Medidas de rehabilitación: </w:t>
        </w:r>
        <w:r w:rsidR="006A0E1C" w:rsidRPr="00D13792">
          <w:rPr>
            <w:rStyle w:val="Hyperlink"/>
            <w:rFonts w:eastAsia="Batang"/>
            <w:noProof/>
          </w:rPr>
          <w:t>Atención médica, psicológica o psiquiátrica a las víctimas…..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_Toc469670068 \h </w:instrText>
        </w:r>
        <w:r w:rsidR="006A0E1C" w:rsidRPr="00D13792">
          <w:rPr>
            <w:noProof/>
            <w:webHidden/>
          </w:rPr>
        </w:r>
        <w:r w:rsidR="006A0E1C" w:rsidRPr="00D13792">
          <w:rPr>
            <w:noProof/>
            <w:webHidden/>
          </w:rPr>
          <w:fldChar w:fldCharType="separate"/>
        </w:r>
        <w:r>
          <w:rPr>
            <w:noProof/>
            <w:webHidden/>
          </w:rPr>
          <w:t>98</w:t>
        </w:r>
        <w:r w:rsidR="006A0E1C" w:rsidRPr="00D13792">
          <w:rPr>
            <w:noProof/>
            <w:webHidden/>
          </w:rPr>
          <w:fldChar w:fldCharType="end"/>
        </w:r>
      </w:hyperlink>
    </w:p>
    <w:p w14:paraId="71A4DB13" w14:textId="405D8D6E" w:rsidR="006A0E1C" w:rsidRPr="00D13792" w:rsidRDefault="00D041DD" w:rsidP="006A0E1C">
      <w:pPr>
        <w:pStyle w:val="TOC2"/>
        <w:ind w:left="450"/>
        <w:rPr>
          <w:rFonts w:asciiTheme="minorHAnsi" w:eastAsiaTheme="minorEastAsia" w:hAnsiTheme="minorHAnsi" w:cstheme="minorBidi"/>
          <w:noProof/>
          <w:sz w:val="22"/>
          <w:szCs w:val="22"/>
        </w:rPr>
      </w:pPr>
      <w:hyperlink w:anchor="_Toc469670069" w:history="1">
        <w:r w:rsidR="006A0E1C" w:rsidRPr="00D13792">
          <w:rPr>
            <w:rStyle w:val="Hyperlink"/>
            <w:rFonts w:eastAsia="Calibri"/>
            <w:noProof/>
          </w:rPr>
          <w:t>D.3. Medidas de satisfacción</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_Toc469670069 \h </w:instrText>
        </w:r>
        <w:r w:rsidR="006A0E1C" w:rsidRPr="00D13792">
          <w:rPr>
            <w:noProof/>
            <w:webHidden/>
          </w:rPr>
        </w:r>
        <w:r w:rsidR="006A0E1C" w:rsidRPr="00D13792">
          <w:rPr>
            <w:noProof/>
            <w:webHidden/>
          </w:rPr>
          <w:fldChar w:fldCharType="separate"/>
        </w:r>
        <w:r>
          <w:rPr>
            <w:noProof/>
            <w:webHidden/>
          </w:rPr>
          <w:t>100</w:t>
        </w:r>
        <w:r w:rsidR="006A0E1C" w:rsidRPr="00D13792">
          <w:rPr>
            <w:noProof/>
            <w:webHidden/>
          </w:rPr>
          <w:fldChar w:fldCharType="end"/>
        </w:r>
      </w:hyperlink>
    </w:p>
    <w:p w14:paraId="5C7561A9" w14:textId="1F3186CD" w:rsidR="006A0E1C" w:rsidRPr="00D13792" w:rsidRDefault="00D041DD" w:rsidP="006A0E1C">
      <w:pPr>
        <w:pStyle w:val="TOC2"/>
        <w:ind w:left="990"/>
        <w:rPr>
          <w:rFonts w:asciiTheme="minorHAnsi" w:eastAsiaTheme="minorEastAsia" w:hAnsiTheme="minorHAnsi" w:cstheme="minorBidi"/>
          <w:noProof/>
          <w:sz w:val="22"/>
          <w:szCs w:val="22"/>
        </w:rPr>
      </w:pPr>
      <w:hyperlink w:anchor="_Toc469670070" w:history="1">
        <w:r w:rsidR="006A0E1C" w:rsidRPr="00D13792">
          <w:rPr>
            <w:rStyle w:val="Hyperlink"/>
            <w:rFonts w:eastAsia="Batang" w:cs="Times"/>
            <w:noProof/>
            <w:lang w:eastAsia="en-US"/>
          </w:rPr>
          <w:t xml:space="preserve">D.3.1. Acto </w:t>
        </w:r>
        <w:r w:rsidR="006A0E1C" w:rsidRPr="00D13792">
          <w:rPr>
            <w:rStyle w:val="Hyperlink"/>
            <w:rFonts w:eastAsia="Calibri"/>
            <w:noProof/>
          </w:rPr>
          <w:t>público</w:t>
        </w:r>
        <w:r w:rsidR="006A0E1C" w:rsidRPr="00D13792">
          <w:rPr>
            <w:rStyle w:val="Hyperlink"/>
            <w:rFonts w:eastAsia="Batang" w:cs="Times"/>
            <w:noProof/>
            <w:lang w:eastAsia="en-US"/>
          </w:rPr>
          <w:t xml:space="preserve"> de reconocimiento de responsabilidad</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_Toc469670070 \h </w:instrText>
        </w:r>
        <w:r w:rsidR="006A0E1C" w:rsidRPr="00D13792">
          <w:rPr>
            <w:noProof/>
            <w:webHidden/>
          </w:rPr>
        </w:r>
        <w:r w:rsidR="006A0E1C" w:rsidRPr="00D13792">
          <w:rPr>
            <w:noProof/>
            <w:webHidden/>
          </w:rPr>
          <w:fldChar w:fldCharType="separate"/>
        </w:r>
        <w:r>
          <w:rPr>
            <w:noProof/>
            <w:webHidden/>
          </w:rPr>
          <w:t>100</w:t>
        </w:r>
        <w:r w:rsidR="006A0E1C" w:rsidRPr="00D13792">
          <w:rPr>
            <w:noProof/>
            <w:webHidden/>
          </w:rPr>
          <w:fldChar w:fldCharType="end"/>
        </w:r>
      </w:hyperlink>
    </w:p>
    <w:p w14:paraId="1E3070AE" w14:textId="73479558" w:rsidR="006A0E1C" w:rsidRPr="00D13792" w:rsidRDefault="00D041DD" w:rsidP="006A0E1C">
      <w:pPr>
        <w:pStyle w:val="TOC2"/>
        <w:ind w:left="990"/>
        <w:rPr>
          <w:rFonts w:asciiTheme="minorHAnsi" w:eastAsiaTheme="minorEastAsia" w:hAnsiTheme="minorHAnsi" w:cstheme="minorBidi"/>
          <w:noProof/>
          <w:sz w:val="22"/>
          <w:szCs w:val="22"/>
        </w:rPr>
      </w:pPr>
      <w:hyperlink w:anchor="_Toc469670071" w:history="1">
        <w:r w:rsidR="006A0E1C" w:rsidRPr="00D13792">
          <w:rPr>
            <w:rStyle w:val="Hyperlink"/>
            <w:rFonts w:eastAsia="Calibri"/>
            <w:noProof/>
          </w:rPr>
          <w:t>D.3.2. Publicación de la Sentencia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_Toc469670071 \h </w:instrText>
        </w:r>
        <w:r w:rsidR="006A0E1C" w:rsidRPr="00D13792">
          <w:rPr>
            <w:noProof/>
            <w:webHidden/>
          </w:rPr>
        </w:r>
        <w:r w:rsidR="006A0E1C" w:rsidRPr="00D13792">
          <w:rPr>
            <w:noProof/>
            <w:webHidden/>
          </w:rPr>
          <w:fldChar w:fldCharType="separate"/>
        </w:r>
        <w:r>
          <w:rPr>
            <w:noProof/>
            <w:webHidden/>
          </w:rPr>
          <w:t>101</w:t>
        </w:r>
        <w:r w:rsidR="006A0E1C" w:rsidRPr="00D13792">
          <w:rPr>
            <w:noProof/>
            <w:webHidden/>
          </w:rPr>
          <w:fldChar w:fldCharType="end"/>
        </w:r>
      </w:hyperlink>
    </w:p>
    <w:p w14:paraId="435F8659" w14:textId="5BDAEE87" w:rsidR="006A0E1C" w:rsidRPr="00D13792" w:rsidRDefault="00D041DD" w:rsidP="006A0E1C">
      <w:pPr>
        <w:pStyle w:val="TOC2"/>
        <w:ind w:left="450"/>
        <w:rPr>
          <w:rFonts w:asciiTheme="minorHAnsi" w:eastAsiaTheme="minorEastAsia" w:hAnsiTheme="minorHAnsi" w:cstheme="minorBidi"/>
          <w:noProof/>
          <w:sz w:val="22"/>
          <w:szCs w:val="22"/>
        </w:rPr>
      </w:pPr>
      <w:hyperlink w:anchor="_Toc469670072" w:history="1">
        <w:r w:rsidR="006A0E1C" w:rsidRPr="00D13792">
          <w:rPr>
            <w:rStyle w:val="Hyperlink"/>
            <w:rFonts w:eastAsia="Calibri"/>
            <w:noProof/>
          </w:rPr>
          <w:t>D.4. Garantías de no repetición</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_Toc469670072 \h </w:instrText>
        </w:r>
        <w:r w:rsidR="006A0E1C" w:rsidRPr="00D13792">
          <w:rPr>
            <w:noProof/>
            <w:webHidden/>
          </w:rPr>
        </w:r>
        <w:r w:rsidR="006A0E1C" w:rsidRPr="00D13792">
          <w:rPr>
            <w:noProof/>
            <w:webHidden/>
          </w:rPr>
          <w:fldChar w:fldCharType="separate"/>
        </w:r>
        <w:r>
          <w:rPr>
            <w:noProof/>
            <w:webHidden/>
          </w:rPr>
          <w:t>101</w:t>
        </w:r>
        <w:r w:rsidR="006A0E1C" w:rsidRPr="00D13792">
          <w:rPr>
            <w:noProof/>
            <w:webHidden/>
          </w:rPr>
          <w:fldChar w:fldCharType="end"/>
        </w:r>
      </w:hyperlink>
    </w:p>
    <w:p w14:paraId="42B1D495" w14:textId="3166F60B" w:rsidR="006A0E1C" w:rsidRPr="00D13792" w:rsidRDefault="00D041DD" w:rsidP="006A0E1C">
      <w:pPr>
        <w:pStyle w:val="TOC2"/>
        <w:ind w:left="990"/>
        <w:rPr>
          <w:rFonts w:asciiTheme="minorHAnsi" w:eastAsiaTheme="minorEastAsia" w:hAnsiTheme="minorHAnsi" w:cstheme="minorBidi"/>
          <w:noProof/>
          <w:sz w:val="22"/>
          <w:szCs w:val="22"/>
        </w:rPr>
      </w:pPr>
      <w:hyperlink w:anchor="_Toc469670073" w:history="1">
        <w:r w:rsidR="006A0E1C" w:rsidRPr="00D13792">
          <w:rPr>
            <w:rStyle w:val="Hyperlink"/>
            <w:rFonts w:eastAsia="Calibri"/>
            <w:noProof/>
          </w:rPr>
          <w:t>D.4.1. Formación de los miembros del Ejército de Guatemala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_Toc469670073 \h </w:instrText>
        </w:r>
        <w:r w:rsidR="006A0E1C" w:rsidRPr="00D13792">
          <w:rPr>
            <w:noProof/>
            <w:webHidden/>
          </w:rPr>
        </w:r>
        <w:r w:rsidR="006A0E1C" w:rsidRPr="00D13792">
          <w:rPr>
            <w:noProof/>
            <w:webHidden/>
          </w:rPr>
          <w:fldChar w:fldCharType="separate"/>
        </w:r>
        <w:r>
          <w:rPr>
            <w:noProof/>
            <w:webHidden/>
          </w:rPr>
          <w:t>101</w:t>
        </w:r>
        <w:r w:rsidR="006A0E1C" w:rsidRPr="00D13792">
          <w:rPr>
            <w:noProof/>
            <w:webHidden/>
          </w:rPr>
          <w:fldChar w:fldCharType="end"/>
        </w:r>
      </w:hyperlink>
    </w:p>
    <w:p w14:paraId="3B352036" w14:textId="6B140B31" w:rsidR="006A0E1C" w:rsidRPr="00D13792" w:rsidRDefault="00D041DD" w:rsidP="006A0E1C">
      <w:pPr>
        <w:pStyle w:val="TOC2"/>
        <w:ind w:left="990"/>
        <w:rPr>
          <w:rFonts w:asciiTheme="minorHAnsi" w:eastAsiaTheme="minorEastAsia" w:hAnsiTheme="minorHAnsi" w:cstheme="minorBidi"/>
          <w:noProof/>
          <w:sz w:val="22"/>
          <w:szCs w:val="22"/>
        </w:rPr>
      </w:pPr>
      <w:hyperlink w:anchor="_Toc469670074" w:history="1">
        <w:r w:rsidR="006A0E1C" w:rsidRPr="00D13792">
          <w:rPr>
            <w:rStyle w:val="Hyperlink"/>
            <w:rFonts w:eastAsia="Calibri"/>
            <w:noProof/>
          </w:rPr>
          <w:t>D.4.2. Fortalecimiento de la capacidad del poder judicial y del ministerio público de investigar los hechos y sancionar a los responsables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_Toc469670074 \h </w:instrText>
        </w:r>
        <w:r w:rsidR="006A0E1C" w:rsidRPr="00D13792">
          <w:rPr>
            <w:noProof/>
            <w:webHidden/>
          </w:rPr>
        </w:r>
        <w:r w:rsidR="006A0E1C" w:rsidRPr="00D13792">
          <w:rPr>
            <w:noProof/>
            <w:webHidden/>
          </w:rPr>
          <w:fldChar w:fldCharType="separate"/>
        </w:r>
        <w:r>
          <w:rPr>
            <w:noProof/>
            <w:webHidden/>
          </w:rPr>
          <w:t>102</w:t>
        </w:r>
        <w:r w:rsidR="006A0E1C" w:rsidRPr="00D13792">
          <w:rPr>
            <w:noProof/>
            <w:webHidden/>
          </w:rPr>
          <w:fldChar w:fldCharType="end"/>
        </w:r>
      </w:hyperlink>
    </w:p>
    <w:p w14:paraId="0021876C" w14:textId="07CD309A" w:rsidR="006A0E1C" w:rsidRPr="00D13792" w:rsidRDefault="00D041DD" w:rsidP="006A0E1C">
      <w:pPr>
        <w:pStyle w:val="TOC2"/>
        <w:ind w:left="990"/>
        <w:rPr>
          <w:rFonts w:asciiTheme="minorHAnsi" w:eastAsiaTheme="minorEastAsia" w:hAnsiTheme="minorHAnsi" w:cstheme="minorBidi"/>
          <w:noProof/>
          <w:sz w:val="22"/>
          <w:szCs w:val="22"/>
        </w:rPr>
      </w:pPr>
      <w:hyperlink w:anchor="_Toc469670075" w:history="1">
        <w:r w:rsidR="006A0E1C" w:rsidRPr="00D13792">
          <w:rPr>
            <w:rStyle w:val="Hyperlink"/>
            <w:rFonts w:eastAsia="Calibri"/>
            <w:noProof/>
          </w:rPr>
          <w:t>D.4.3. Programa educativo en materia de no discriminación</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_Toc469670075 \h </w:instrText>
        </w:r>
        <w:r w:rsidR="006A0E1C" w:rsidRPr="00D13792">
          <w:rPr>
            <w:noProof/>
            <w:webHidden/>
          </w:rPr>
        </w:r>
        <w:r w:rsidR="006A0E1C" w:rsidRPr="00D13792">
          <w:rPr>
            <w:noProof/>
            <w:webHidden/>
          </w:rPr>
          <w:fldChar w:fldCharType="separate"/>
        </w:r>
        <w:r>
          <w:rPr>
            <w:noProof/>
            <w:webHidden/>
          </w:rPr>
          <w:t>103</w:t>
        </w:r>
        <w:r w:rsidR="006A0E1C" w:rsidRPr="00D13792">
          <w:rPr>
            <w:noProof/>
            <w:webHidden/>
          </w:rPr>
          <w:fldChar w:fldCharType="end"/>
        </w:r>
      </w:hyperlink>
    </w:p>
    <w:p w14:paraId="2154D882" w14:textId="31429227" w:rsidR="006A0E1C" w:rsidRPr="00D13792" w:rsidRDefault="00D041DD" w:rsidP="006A0E1C">
      <w:pPr>
        <w:pStyle w:val="TOC2"/>
        <w:ind w:left="990"/>
        <w:rPr>
          <w:rFonts w:asciiTheme="minorHAnsi" w:eastAsiaTheme="minorEastAsia" w:hAnsiTheme="minorHAnsi" w:cstheme="minorBidi"/>
          <w:noProof/>
          <w:sz w:val="22"/>
          <w:szCs w:val="22"/>
        </w:rPr>
      </w:pPr>
      <w:hyperlink w:anchor="_Toc469670076" w:history="1">
        <w:r w:rsidR="006A0E1C" w:rsidRPr="00D13792">
          <w:rPr>
            <w:rStyle w:val="Hyperlink"/>
            <w:rFonts w:eastAsia="Calibri"/>
            <w:noProof/>
          </w:rPr>
          <w:t>D.4.4. Fortalecimiento de los mecanismos contra la discriminación racial y étnica</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_Toc469670076 \h </w:instrText>
        </w:r>
        <w:r w:rsidR="006A0E1C" w:rsidRPr="00D13792">
          <w:rPr>
            <w:noProof/>
            <w:webHidden/>
          </w:rPr>
        </w:r>
        <w:r w:rsidR="006A0E1C" w:rsidRPr="00D13792">
          <w:rPr>
            <w:noProof/>
            <w:webHidden/>
          </w:rPr>
          <w:fldChar w:fldCharType="separate"/>
        </w:r>
        <w:r>
          <w:rPr>
            <w:noProof/>
            <w:webHidden/>
          </w:rPr>
          <w:t>104</w:t>
        </w:r>
        <w:r w:rsidR="006A0E1C" w:rsidRPr="00D13792">
          <w:rPr>
            <w:noProof/>
            <w:webHidden/>
          </w:rPr>
          <w:fldChar w:fldCharType="end"/>
        </w:r>
      </w:hyperlink>
    </w:p>
    <w:p w14:paraId="4F02B564" w14:textId="753ECDD5" w:rsidR="006A0E1C" w:rsidRPr="00D13792" w:rsidRDefault="00D041DD" w:rsidP="006A0E1C">
      <w:pPr>
        <w:pStyle w:val="TOC2"/>
        <w:rPr>
          <w:rFonts w:asciiTheme="minorHAnsi" w:eastAsiaTheme="minorEastAsia" w:hAnsiTheme="minorHAnsi" w:cstheme="minorBidi"/>
          <w:noProof/>
          <w:sz w:val="22"/>
          <w:szCs w:val="22"/>
        </w:rPr>
      </w:pPr>
      <w:hyperlink w:anchor="_Toc469670077" w:history="1">
        <w:r w:rsidR="006A0E1C" w:rsidRPr="00D13792">
          <w:rPr>
            <w:rStyle w:val="Hyperlink"/>
            <w:rFonts w:eastAsia="MS Mincho"/>
            <w:noProof/>
          </w:rPr>
          <w:t>E. Indemnización Compensatoria: Daño material e inmaterial</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_Toc469670077 \h </w:instrText>
        </w:r>
        <w:r w:rsidR="006A0E1C" w:rsidRPr="00D13792">
          <w:rPr>
            <w:noProof/>
            <w:webHidden/>
          </w:rPr>
        </w:r>
        <w:r w:rsidR="006A0E1C" w:rsidRPr="00D13792">
          <w:rPr>
            <w:noProof/>
            <w:webHidden/>
          </w:rPr>
          <w:fldChar w:fldCharType="separate"/>
        </w:r>
        <w:r>
          <w:rPr>
            <w:noProof/>
            <w:webHidden/>
          </w:rPr>
          <w:t>104</w:t>
        </w:r>
        <w:r w:rsidR="006A0E1C" w:rsidRPr="00D13792">
          <w:rPr>
            <w:noProof/>
            <w:webHidden/>
          </w:rPr>
          <w:fldChar w:fldCharType="end"/>
        </w:r>
      </w:hyperlink>
    </w:p>
    <w:p w14:paraId="35F58E1A" w14:textId="00ABA029" w:rsidR="006A0E1C" w:rsidRPr="00D13792" w:rsidRDefault="00D041DD" w:rsidP="006A0E1C">
      <w:pPr>
        <w:pStyle w:val="TOC2"/>
        <w:rPr>
          <w:rFonts w:asciiTheme="minorHAnsi" w:eastAsiaTheme="minorEastAsia" w:hAnsiTheme="minorHAnsi" w:cstheme="minorBidi"/>
          <w:noProof/>
          <w:sz w:val="22"/>
          <w:szCs w:val="22"/>
        </w:rPr>
      </w:pPr>
      <w:hyperlink w:anchor="_Toc469670078" w:history="1">
        <w:r w:rsidR="006A0E1C" w:rsidRPr="00D13792">
          <w:rPr>
            <w:rStyle w:val="Hyperlink"/>
            <w:rFonts w:eastAsia="MS Mincho"/>
            <w:noProof/>
          </w:rPr>
          <w:t>F. Costas y gastos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_Toc469670078 \h </w:instrText>
        </w:r>
        <w:r w:rsidR="006A0E1C" w:rsidRPr="00D13792">
          <w:rPr>
            <w:noProof/>
            <w:webHidden/>
          </w:rPr>
        </w:r>
        <w:r w:rsidR="006A0E1C" w:rsidRPr="00D13792">
          <w:rPr>
            <w:noProof/>
            <w:webHidden/>
          </w:rPr>
          <w:fldChar w:fldCharType="separate"/>
        </w:r>
        <w:r>
          <w:rPr>
            <w:noProof/>
            <w:webHidden/>
          </w:rPr>
          <w:t>107</w:t>
        </w:r>
        <w:r w:rsidR="006A0E1C" w:rsidRPr="00D13792">
          <w:rPr>
            <w:noProof/>
            <w:webHidden/>
          </w:rPr>
          <w:fldChar w:fldCharType="end"/>
        </w:r>
      </w:hyperlink>
    </w:p>
    <w:p w14:paraId="28594DF1" w14:textId="58B34862" w:rsidR="006A0E1C" w:rsidRPr="00D13792" w:rsidRDefault="00D041DD" w:rsidP="006A0E1C">
      <w:pPr>
        <w:pStyle w:val="TOC2"/>
        <w:rPr>
          <w:rFonts w:asciiTheme="minorHAnsi" w:eastAsiaTheme="minorEastAsia" w:hAnsiTheme="minorHAnsi" w:cstheme="minorBidi"/>
          <w:noProof/>
          <w:sz w:val="22"/>
          <w:szCs w:val="22"/>
        </w:rPr>
      </w:pPr>
      <w:hyperlink w:anchor="_Toc469670079" w:history="1">
        <w:r w:rsidR="006A0E1C" w:rsidRPr="00D13792">
          <w:rPr>
            <w:rStyle w:val="Hyperlink"/>
            <w:rFonts w:eastAsia="MS Mincho"/>
            <w:noProof/>
          </w:rPr>
          <w:t>G. Modalidad de cumplimiento de los pagos ordenados</w:t>
        </w:r>
        <w:r w:rsidR="006A0E1C" w:rsidRPr="00D13792">
          <w:rPr>
            <w:noProof/>
            <w:webHidden/>
          </w:rPr>
          <w:tab/>
        </w:r>
        <w:r w:rsidR="006A0E1C" w:rsidRPr="00D13792">
          <w:rPr>
            <w:noProof/>
            <w:webHidden/>
          </w:rPr>
          <w:fldChar w:fldCharType="begin"/>
        </w:r>
        <w:r w:rsidR="006A0E1C" w:rsidRPr="00D13792">
          <w:rPr>
            <w:noProof/>
            <w:webHidden/>
          </w:rPr>
          <w:instrText xml:space="preserve"> PAGEREF _Toc469670079 \h </w:instrText>
        </w:r>
        <w:r w:rsidR="006A0E1C" w:rsidRPr="00D13792">
          <w:rPr>
            <w:noProof/>
            <w:webHidden/>
          </w:rPr>
        </w:r>
        <w:r w:rsidR="006A0E1C" w:rsidRPr="00D13792">
          <w:rPr>
            <w:noProof/>
            <w:webHidden/>
          </w:rPr>
          <w:fldChar w:fldCharType="separate"/>
        </w:r>
        <w:r>
          <w:rPr>
            <w:noProof/>
            <w:webHidden/>
          </w:rPr>
          <w:t>108</w:t>
        </w:r>
        <w:r w:rsidR="006A0E1C" w:rsidRPr="00D13792">
          <w:rPr>
            <w:noProof/>
            <w:webHidden/>
          </w:rPr>
          <w:fldChar w:fldCharType="end"/>
        </w:r>
      </w:hyperlink>
    </w:p>
    <w:p w14:paraId="050FEFDF" w14:textId="4406C639" w:rsidR="006A0E1C" w:rsidRPr="00D13792" w:rsidRDefault="006A0E1C" w:rsidP="006A0E1C">
      <w:pPr>
        <w:pStyle w:val="TOC1"/>
        <w:rPr>
          <w:rFonts w:asciiTheme="minorHAnsi" w:eastAsiaTheme="minorEastAsia" w:hAnsiTheme="minorHAnsi" w:cstheme="minorBidi"/>
          <w:sz w:val="22"/>
          <w:szCs w:val="22"/>
          <w:lang w:val="es-CR"/>
        </w:rPr>
      </w:pPr>
      <w:r w:rsidRPr="00D13792">
        <w:rPr>
          <w:rStyle w:val="Hyperlink"/>
          <w:color w:val="000000" w:themeColor="text1"/>
          <w:u w:val="none"/>
          <w:lang w:val="es-CR"/>
        </w:rPr>
        <w:t xml:space="preserve">XI </w:t>
      </w:r>
      <w:hyperlink w:anchor="_Toc469670081" w:history="1">
        <w:r w:rsidRPr="00D13792">
          <w:rPr>
            <w:rStyle w:val="Hyperlink"/>
            <w:color w:val="000000" w:themeColor="text1"/>
            <w:u w:val="none"/>
            <w:lang w:val="es-CR"/>
          </w:rPr>
          <w:t>PUNTOS RESOLUTIVOS</w:t>
        </w:r>
        <w:r w:rsidRPr="00D13792">
          <w:rPr>
            <w:webHidden/>
            <w:lang w:val="es-CR"/>
          </w:rPr>
          <w:tab/>
        </w:r>
        <w:r w:rsidRPr="00D13792">
          <w:rPr>
            <w:webHidden/>
            <w:lang w:val="es-CR"/>
          </w:rPr>
          <w:fldChar w:fldCharType="begin"/>
        </w:r>
        <w:r w:rsidRPr="00D13792">
          <w:rPr>
            <w:webHidden/>
            <w:lang w:val="es-CR"/>
          </w:rPr>
          <w:instrText xml:space="preserve"> PAGEREF _Toc469670081 \h </w:instrText>
        </w:r>
        <w:r w:rsidRPr="00D13792">
          <w:rPr>
            <w:webHidden/>
            <w:lang w:val="es-CR"/>
          </w:rPr>
        </w:r>
        <w:r w:rsidRPr="00D13792">
          <w:rPr>
            <w:webHidden/>
            <w:lang w:val="es-CR"/>
          </w:rPr>
          <w:fldChar w:fldCharType="separate"/>
        </w:r>
        <w:r w:rsidR="00D041DD">
          <w:rPr>
            <w:webHidden/>
            <w:lang w:val="es-CR"/>
          </w:rPr>
          <w:t>109</w:t>
        </w:r>
        <w:r w:rsidRPr="00D13792">
          <w:rPr>
            <w:webHidden/>
            <w:lang w:val="es-CR"/>
          </w:rPr>
          <w:fldChar w:fldCharType="end"/>
        </w:r>
      </w:hyperlink>
    </w:p>
    <w:p w14:paraId="4F71DEE8" w14:textId="77777777" w:rsidR="006A0E1C" w:rsidRPr="00D13792" w:rsidRDefault="006A0E1C" w:rsidP="006A0E1C">
      <w:pPr>
        <w:spacing w:line="240" w:lineRule="auto"/>
        <w:jc w:val="center"/>
        <w:rPr>
          <w:b/>
          <w:bCs/>
          <w:noProof/>
        </w:rPr>
      </w:pPr>
      <w:r w:rsidRPr="00D13792">
        <w:rPr>
          <w:b/>
          <w:bCs/>
          <w:noProof/>
        </w:rPr>
        <w:fldChar w:fldCharType="end"/>
      </w:r>
    </w:p>
    <w:p w14:paraId="5E813A27" w14:textId="77777777" w:rsidR="006A0E1C" w:rsidRPr="00D13792" w:rsidRDefault="006A0E1C" w:rsidP="006A0E1C">
      <w:pPr>
        <w:widowControl/>
        <w:adjustRightInd/>
        <w:spacing w:line="240" w:lineRule="auto"/>
        <w:jc w:val="left"/>
        <w:textAlignment w:val="auto"/>
        <w:rPr>
          <w:b/>
          <w:bCs/>
          <w:noProof/>
        </w:rPr>
      </w:pPr>
      <w:r w:rsidRPr="00D13792">
        <w:rPr>
          <w:b/>
          <w:bCs/>
          <w:noProof/>
        </w:rPr>
        <w:br w:type="page"/>
      </w:r>
    </w:p>
    <w:p w14:paraId="1EA0DC23" w14:textId="77777777" w:rsidR="006A0E1C" w:rsidRPr="00D13792" w:rsidRDefault="006A0E1C" w:rsidP="006A0E1C">
      <w:pPr>
        <w:pStyle w:val="Heading1"/>
        <w:rPr>
          <w:lang w:val="es-CR"/>
        </w:rPr>
      </w:pPr>
      <w:bookmarkStart w:id="6" w:name="_Toc469669987"/>
      <w:r w:rsidRPr="00D13792">
        <w:rPr>
          <w:lang w:val="es-CR"/>
        </w:rPr>
        <w:lastRenderedPageBreak/>
        <w:t>I</w:t>
      </w:r>
      <w:bookmarkStart w:id="7" w:name="_Toc375062709"/>
      <w:bookmarkStart w:id="8" w:name="_Toc375140859"/>
      <w:bookmarkStart w:id="9" w:name="_Toc375504818"/>
      <w:bookmarkStart w:id="10" w:name="_Toc375560892"/>
      <w:bookmarkEnd w:id="0"/>
      <w:bookmarkEnd w:id="1"/>
      <w:bookmarkEnd w:id="2"/>
      <w:r w:rsidRPr="00D13792">
        <w:rPr>
          <w:lang w:val="es-CR"/>
        </w:rPr>
        <w:br/>
        <w:t>INTRODUCCIÓN DE LA CAUSA Y OBJETO DE LA CONTROVERSIA</w:t>
      </w:r>
      <w:bookmarkEnd w:id="3"/>
      <w:bookmarkEnd w:id="4"/>
      <w:bookmarkEnd w:id="6"/>
      <w:bookmarkEnd w:id="7"/>
      <w:bookmarkEnd w:id="8"/>
      <w:bookmarkEnd w:id="9"/>
      <w:bookmarkEnd w:id="10"/>
    </w:p>
    <w:p w14:paraId="1C29E8C2" w14:textId="77777777" w:rsidR="006A0E1C" w:rsidRPr="00D13792" w:rsidRDefault="006A0E1C" w:rsidP="006A0E1C">
      <w:pPr>
        <w:tabs>
          <w:tab w:val="left" w:pos="720"/>
        </w:tabs>
        <w:spacing w:line="240" w:lineRule="auto"/>
        <w:rPr>
          <w:rFonts w:eastAsia="Calibri" w:cs="Verdana"/>
          <w:spacing w:val="-2"/>
          <w:sz w:val="20"/>
          <w:szCs w:val="20"/>
          <w:lang w:eastAsia="es-ES"/>
        </w:rPr>
      </w:pPr>
    </w:p>
    <w:p w14:paraId="0ED31D3E" w14:textId="77777777" w:rsidR="006A0E1C" w:rsidRPr="00D13792" w:rsidRDefault="006A0E1C" w:rsidP="006A0E1C">
      <w:pPr>
        <w:numPr>
          <w:ilvl w:val="0"/>
          <w:numId w:val="6"/>
        </w:numPr>
        <w:tabs>
          <w:tab w:val="left" w:pos="567"/>
        </w:tabs>
        <w:spacing w:line="240" w:lineRule="auto"/>
        <w:ind w:right="4"/>
        <w:rPr>
          <w:rFonts w:eastAsia="Calibri" w:cs="Verdana"/>
          <w:spacing w:val="-2"/>
          <w:sz w:val="20"/>
          <w:szCs w:val="20"/>
        </w:rPr>
      </w:pPr>
      <w:bookmarkStart w:id="11" w:name="_Ref374884888"/>
      <w:r w:rsidRPr="00D13792">
        <w:rPr>
          <w:rFonts w:eastAsia="Calibri" w:cs="Verdana"/>
          <w:i/>
          <w:iCs/>
          <w:spacing w:val="-2"/>
          <w:sz w:val="20"/>
          <w:szCs w:val="20"/>
        </w:rPr>
        <w:t>El caso sometido a la Corte.</w:t>
      </w:r>
      <w:r w:rsidRPr="00D13792">
        <w:rPr>
          <w:rFonts w:eastAsia="Calibri" w:cs="Verdana"/>
          <w:spacing w:val="-2"/>
          <w:sz w:val="20"/>
          <w:szCs w:val="20"/>
        </w:rPr>
        <w:t xml:space="preserve"> – El 5 de agosto de 2014, de conformidad con lo dispuesto en los artículos 51 y 61 de la Convención Americana y el artículo 35 del Reglamento de la Corte, la Comisión Interamericana de Derechos Humanos (en adelante “la Comisión Interamericana” o “la Comisión”) sometió a la jurisdicción de la Corte Interamericana el caso </w:t>
      </w:r>
      <w:r w:rsidRPr="00D13792">
        <w:rPr>
          <w:rFonts w:eastAsia="Calibri" w:cs="Verdana"/>
          <w:i/>
          <w:spacing w:val="-2"/>
          <w:sz w:val="20"/>
          <w:szCs w:val="20"/>
        </w:rPr>
        <w:t>Miembros de la Aldea de Chichupac y Comunidades Vecinas del Municipio de Rabinal</w:t>
      </w:r>
      <w:r w:rsidRPr="00D13792">
        <w:rPr>
          <w:rFonts w:eastAsia="Calibri" w:cs="Verdana"/>
          <w:spacing w:val="-2"/>
          <w:sz w:val="20"/>
          <w:szCs w:val="20"/>
        </w:rPr>
        <w:t xml:space="preserve"> </w:t>
      </w:r>
      <w:r w:rsidRPr="00D13792">
        <w:rPr>
          <w:rFonts w:eastAsia="Calibri" w:cs="Verdana"/>
          <w:i/>
          <w:iCs/>
          <w:spacing w:val="-2"/>
          <w:sz w:val="20"/>
          <w:szCs w:val="20"/>
        </w:rPr>
        <w:t xml:space="preserve">contra el Estado de Guatemala </w:t>
      </w:r>
      <w:r w:rsidRPr="00D13792">
        <w:rPr>
          <w:rFonts w:eastAsia="Calibri" w:cs="Verdana"/>
          <w:spacing w:val="-2"/>
          <w:sz w:val="20"/>
          <w:szCs w:val="20"/>
        </w:rPr>
        <w:t>(en adelante “el Estado” o “Guatemala”)</w:t>
      </w:r>
      <w:r w:rsidRPr="00D13792">
        <w:rPr>
          <w:rFonts w:eastAsia="Calibri" w:cs="Verdana"/>
          <w:i/>
          <w:iCs/>
          <w:spacing w:val="-2"/>
          <w:sz w:val="20"/>
          <w:szCs w:val="20"/>
        </w:rPr>
        <w:t>.</w:t>
      </w:r>
      <w:r w:rsidRPr="00D13792">
        <w:rPr>
          <w:rFonts w:eastAsia="Calibri" w:cs="Verdana"/>
          <w:bCs/>
          <w:spacing w:val="-2"/>
          <w:sz w:val="20"/>
          <w:szCs w:val="20"/>
        </w:rPr>
        <w:t xml:space="preserve"> </w:t>
      </w:r>
      <w:r w:rsidRPr="00D13792">
        <w:rPr>
          <w:rFonts w:eastAsia="Calibri" w:cs="Verdana"/>
          <w:spacing w:val="-2"/>
          <w:sz w:val="20"/>
          <w:szCs w:val="20"/>
        </w:rPr>
        <w:t>El caso se refiere a la presunta ejecución de una masacre en la aldea Chichupac el 8 de enero de 1982, así como a alegadas ejecuciones extrajudiciales, torturas, desapariciones forzadas, violaciones sexuales, omisiones de auxilio, detenciones ilegales, desplazamiento forzado y trabajos forzados “cometid[o]s en perjuicio de los indígenas maya achí de la aldea Chichupac y comunidades vecinas […] del municipio de Rabinal, a través de una serie de actos entre 1981 y 1986”. Según la Comisión, los hechos del caso se enmarcan “dentro de una política de Estado, con fundamento en la doctrina de seguridad nacional y el concepto de enemigo interno, destinada a eliminar la supuesta base social de grupos insurgentes de la época”.</w:t>
      </w:r>
      <w:r w:rsidRPr="00D13792">
        <w:rPr>
          <w:rFonts w:eastAsia="Calibri" w:cs="Verdana"/>
          <w:b/>
          <w:spacing w:val="-2"/>
          <w:sz w:val="20"/>
          <w:szCs w:val="20"/>
        </w:rPr>
        <w:t xml:space="preserve"> </w:t>
      </w:r>
      <w:r w:rsidRPr="00D13792">
        <w:rPr>
          <w:rFonts w:eastAsia="Calibri" w:cs="Verdana"/>
          <w:spacing w:val="-2"/>
          <w:sz w:val="20"/>
          <w:szCs w:val="20"/>
        </w:rPr>
        <w:t>Adicionalmente, el caso versa sobre la alegada falta de esclarecimiento judicial de los hechos, sanción de todos los responsables y reparación de las presuntas víctimas, así como sobre el presunto</w:t>
      </w:r>
      <w:r w:rsidRPr="00D13792">
        <w:rPr>
          <w:sz w:val="20"/>
          <w:szCs w:val="20"/>
        </w:rPr>
        <w:t xml:space="preserve"> genocidio contra el pueblo indígena maya en Guatemala</w:t>
      </w:r>
      <w:bookmarkEnd w:id="11"/>
      <w:r w:rsidRPr="00D13792">
        <w:rPr>
          <w:sz w:val="20"/>
          <w:szCs w:val="20"/>
        </w:rPr>
        <w:t xml:space="preserve">. </w:t>
      </w:r>
    </w:p>
    <w:p w14:paraId="541580EE" w14:textId="77777777" w:rsidR="006A0E1C" w:rsidRPr="00D13792" w:rsidRDefault="006A0E1C" w:rsidP="006A0E1C">
      <w:pPr>
        <w:tabs>
          <w:tab w:val="left" w:pos="567"/>
        </w:tabs>
        <w:spacing w:line="240" w:lineRule="auto"/>
        <w:ind w:right="4"/>
        <w:rPr>
          <w:rFonts w:eastAsia="Calibri" w:cs="Verdana"/>
          <w:spacing w:val="-2"/>
          <w:sz w:val="20"/>
          <w:szCs w:val="20"/>
        </w:rPr>
      </w:pPr>
    </w:p>
    <w:p w14:paraId="58000725" w14:textId="77777777" w:rsidR="006A0E1C" w:rsidRPr="00D13792" w:rsidRDefault="006A0E1C" w:rsidP="006A0E1C">
      <w:pPr>
        <w:numPr>
          <w:ilvl w:val="0"/>
          <w:numId w:val="6"/>
        </w:numPr>
        <w:tabs>
          <w:tab w:val="left" w:pos="567"/>
        </w:tabs>
        <w:spacing w:line="240" w:lineRule="auto"/>
        <w:ind w:right="4"/>
        <w:rPr>
          <w:rFonts w:eastAsia="Calibri" w:cs="Verdana"/>
          <w:spacing w:val="-2"/>
          <w:sz w:val="20"/>
          <w:szCs w:val="20"/>
        </w:rPr>
      </w:pPr>
      <w:r w:rsidRPr="00D13792">
        <w:rPr>
          <w:rFonts w:eastAsia="Calibri" w:cs="Verdana"/>
          <w:i/>
          <w:iCs/>
          <w:spacing w:val="-2"/>
          <w:sz w:val="20"/>
          <w:szCs w:val="20"/>
        </w:rPr>
        <w:t xml:space="preserve">Trámite ante la Comisión. </w:t>
      </w:r>
      <w:r w:rsidRPr="00D13792">
        <w:rPr>
          <w:rFonts w:eastAsia="Calibri" w:cs="Verdana"/>
          <w:spacing w:val="-2"/>
          <w:sz w:val="20"/>
          <w:szCs w:val="20"/>
        </w:rPr>
        <w:t>– El trámite ante la Comisión fue el siguiente:</w:t>
      </w:r>
    </w:p>
    <w:p w14:paraId="141F0ABC" w14:textId="77777777" w:rsidR="006A0E1C" w:rsidRPr="00D13792" w:rsidRDefault="006A0E1C" w:rsidP="006A0E1C">
      <w:pPr>
        <w:tabs>
          <w:tab w:val="left" w:pos="567"/>
        </w:tabs>
        <w:spacing w:line="240" w:lineRule="auto"/>
        <w:ind w:right="4"/>
        <w:rPr>
          <w:rFonts w:eastAsia="Calibri" w:cs="Verdana"/>
          <w:spacing w:val="-2"/>
          <w:sz w:val="12"/>
          <w:szCs w:val="20"/>
        </w:rPr>
      </w:pPr>
    </w:p>
    <w:p w14:paraId="05EB7E2E" w14:textId="77777777" w:rsidR="006A0E1C" w:rsidRPr="00D13792" w:rsidRDefault="006A0E1C" w:rsidP="006A0E1C">
      <w:pPr>
        <w:numPr>
          <w:ilvl w:val="1"/>
          <w:numId w:val="6"/>
        </w:numPr>
        <w:tabs>
          <w:tab w:val="clear" w:pos="1080"/>
          <w:tab w:val="left" w:pos="0"/>
          <w:tab w:val="num" w:pos="540"/>
        </w:tabs>
        <w:spacing w:line="240" w:lineRule="auto"/>
        <w:ind w:left="540"/>
        <w:rPr>
          <w:rFonts w:eastAsia="Calibri" w:cs="Verdana"/>
          <w:spacing w:val="-2"/>
          <w:sz w:val="20"/>
          <w:szCs w:val="20"/>
        </w:rPr>
      </w:pPr>
      <w:bookmarkStart w:id="12" w:name="_Ref357063312"/>
      <w:r w:rsidRPr="00D13792">
        <w:rPr>
          <w:rFonts w:eastAsia="Calibri" w:cs="Verdana"/>
          <w:i/>
          <w:iCs/>
          <w:spacing w:val="-2"/>
          <w:sz w:val="20"/>
          <w:szCs w:val="20"/>
        </w:rPr>
        <w:t xml:space="preserve">Petición. – </w:t>
      </w:r>
      <w:r w:rsidRPr="00D13792">
        <w:rPr>
          <w:rFonts w:cs="Tahoma"/>
          <w:spacing w:val="-2"/>
          <w:sz w:val="20"/>
          <w:szCs w:val="20"/>
        </w:rPr>
        <w:t>La petición inicial ante la Comisión fue presentada el 13 de diciembre de 2007 por la Asociación Bufete Jurídico Popular.</w:t>
      </w:r>
      <w:bookmarkEnd w:id="12"/>
    </w:p>
    <w:p w14:paraId="365460CF" w14:textId="77777777" w:rsidR="006A0E1C" w:rsidRPr="00D13792" w:rsidRDefault="006A0E1C" w:rsidP="006A0E1C">
      <w:pPr>
        <w:tabs>
          <w:tab w:val="left" w:pos="0"/>
          <w:tab w:val="num" w:pos="540"/>
          <w:tab w:val="num" w:pos="851"/>
        </w:tabs>
        <w:spacing w:line="240" w:lineRule="auto"/>
        <w:ind w:left="540" w:hanging="283"/>
        <w:rPr>
          <w:rFonts w:eastAsia="Calibri" w:cs="Verdana"/>
          <w:spacing w:val="-2"/>
          <w:sz w:val="12"/>
          <w:szCs w:val="20"/>
        </w:rPr>
      </w:pPr>
    </w:p>
    <w:p w14:paraId="5E12C495" w14:textId="77777777" w:rsidR="006A0E1C" w:rsidRPr="00D13792" w:rsidRDefault="006A0E1C" w:rsidP="006A0E1C">
      <w:pPr>
        <w:numPr>
          <w:ilvl w:val="1"/>
          <w:numId w:val="6"/>
        </w:numPr>
        <w:tabs>
          <w:tab w:val="clear" w:pos="1080"/>
          <w:tab w:val="left" w:pos="0"/>
          <w:tab w:val="num" w:pos="540"/>
        </w:tabs>
        <w:spacing w:line="240" w:lineRule="auto"/>
        <w:ind w:left="540"/>
        <w:rPr>
          <w:rFonts w:eastAsia="Calibri" w:cs="Verdana"/>
          <w:spacing w:val="-2"/>
          <w:sz w:val="20"/>
          <w:szCs w:val="20"/>
        </w:rPr>
      </w:pPr>
      <w:r w:rsidRPr="00D13792">
        <w:rPr>
          <w:rFonts w:eastAsia="Calibri" w:cs="Verdana"/>
          <w:i/>
          <w:iCs/>
          <w:spacing w:val="-2"/>
          <w:sz w:val="20"/>
          <w:szCs w:val="20"/>
        </w:rPr>
        <w:t>Informe de Admisibilidad. -</w:t>
      </w:r>
      <w:r w:rsidRPr="00D13792">
        <w:rPr>
          <w:rFonts w:eastAsia="Calibri" w:cs="Verdana"/>
          <w:spacing w:val="-2"/>
          <w:sz w:val="20"/>
          <w:szCs w:val="20"/>
        </w:rPr>
        <w:t xml:space="preserve"> El 1 de noviembre de 2010 la Comisión aprobó el Informe de Admisibilidad No. 144/10</w:t>
      </w:r>
      <w:r w:rsidRPr="00D13792">
        <w:rPr>
          <w:rStyle w:val="FootnoteReference"/>
          <w:rFonts w:eastAsia="Calibri" w:cs="Verdana"/>
          <w:spacing w:val="-2"/>
          <w:sz w:val="20"/>
          <w:szCs w:val="20"/>
        </w:rPr>
        <w:footnoteReference w:id="2"/>
      </w:r>
      <w:r w:rsidRPr="00D13792">
        <w:rPr>
          <w:rFonts w:eastAsia="Calibri" w:cs="Verdana"/>
          <w:spacing w:val="-2"/>
          <w:sz w:val="20"/>
          <w:szCs w:val="20"/>
        </w:rPr>
        <w:t xml:space="preserve">. </w:t>
      </w:r>
    </w:p>
    <w:p w14:paraId="110C6ABD" w14:textId="77777777" w:rsidR="006A0E1C" w:rsidRPr="00D13792" w:rsidRDefault="006A0E1C" w:rsidP="006A0E1C">
      <w:pPr>
        <w:tabs>
          <w:tab w:val="num" w:pos="540"/>
          <w:tab w:val="num" w:pos="851"/>
        </w:tabs>
        <w:spacing w:line="240" w:lineRule="auto"/>
        <w:ind w:left="540" w:hanging="283"/>
        <w:rPr>
          <w:rFonts w:eastAsia="Calibri" w:cs="Verdana"/>
          <w:i/>
          <w:iCs/>
          <w:spacing w:val="-2"/>
          <w:sz w:val="12"/>
          <w:szCs w:val="20"/>
        </w:rPr>
      </w:pPr>
    </w:p>
    <w:p w14:paraId="246789A3" w14:textId="77777777" w:rsidR="006A0E1C" w:rsidRPr="00D13792" w:rsidRDefault="006A0E1C" w:rsidP="006A0E1C">
      <w:pPr>
        <w:numPr>
          <w:ilvl w:val="1"/>
          <w:numId w:val="6"/>
        </w:numPr>
        <w:tabs>
          <w:tab w:val="clear" w:pos="1080"/>
          <w:tab w:val="left" w:pos="0"/>
          <w:tab w:val="num" w:pos="540"/>
        </w:tabs>
        <w:spacing w:line="240" w:lineRule="auto"/>
        <w:ind w:left="540"/>
        <w:rPr>
          <w:rFonts w:eastAsia="Calibri" w:cs="Verdana"/>
          <w:spacing w:val="-2"/>
          <w:sz w:val="20"/>
          <w:szCs w:val="20"/>
        </w:rPr>
      </w:pPr>
      <w:r w:rsidRPr="00D13792">
        <w:rPr>
          <w:rFonts w:eastAsia="Calibri" w:cs="Verdana"/>
          <w:i/>
          <w:iCs/>
          <w:spacing w:val="-2"/>
          <w:sz w:val="20"/>
          <w:szCs w:val="20"/>
        </w:rPr>
        <w:t xml:space="preserve">Informe de Fondo. – </w:t>
      </w:r>
      <w:r w:rsidRPr="00D13792">
        <w:rPr>
          <w:rFonts w:eastAsia="Calibri" w:cs="Verdana"/>
          <w:iCs/>
          <w:spacing w:val="-2"/>
          <w:sz w:val="20"/>
          <w:szCs w:val="20"/>
        </w:rPr>
        <w:t>El</w:t>
      </w:r>
      <w:r w:rsidRPr="00D13792">
        <w:rPr>
          <w:rFonts w:eastAsia="Calibri" w:cs="Verdana"/>
          <w:i/>
          <w:iCs/>
          <w:spacing w:val="-2"/>
          <w:sz w:val="20"/>
          <w:szCs w:val="20"/>
        </w:rPr>
        <w:t xml:space="preserve"> </w:t>
      </w:r>
      <w:r w:rsidRPr="00D13792">
        <w:rPr>
          <w:rFonts w:eastAsia="Calibri" w:cs="Verdana"/>
          <w:spacing w:val="-2"/>
          <w:sz w:val="20"/>
          <w:szCs w:val="20"/>
        </w:rPr>
        <w:t>2 de abril de 2014 la Comisión aprobó el Informe de Fondo No. 6/14</w:t>
      </w:r>
      <w:r w:rsidRPr="00D13792">
        <w:rPr>
          <w:rStyle w:val="FootnoteReference"/>
          <w:rFonts w:eastAsia="Calibri" w:cs="Verdana"/>
          <w:spacing w:val="-2"/>
          <w:sz w:val="20"/>
          <w:szCs w:val="20"/>
        </w:rPr>
        <w:footnoteReference w:id="3"/>
      </w:r>
      <w:r w:rsidRPr="00D13792">
        <w:rPr>
          <w:rFonts w:eastAsia="Calibri" w:cs="Verdana"/>
          <w:b/>
          <w:spacing w:val="-2"/>
          <w:sz w:val="20"/>
          <w:szCs w:val="20"/>
        </w:rPr>
        <w:t xml:space="preserve"> </w:t>
      </w:r>
      <w:r w:rsidRPr="00D13792">
        <w:rPr>
          <w:rFonts w:eastAsia="Calibri" w:cs="Verdana"/>
          <w:spacing w:val="-2"/>
          <w:sz w:val="20"/>
          <w:szCs w:val="20"/>
        </w:rPr>
        <w:t>conforme al artículo 50 de la Convención (en adelante “el Informe de Fondo”),</w:t>
      </w:r>
      <w:r w:rsidRPr="00D13792">
        <w:rPr>
          <w:rFonts w:eastAsia="Calibri" w:cs="Verdana"/>
          <w:b/>
          <w:bCs/>
          <w:spacing w:val="-2"/>
          <w:sz w:val="20"/>
          <w:szCs w:val="20"/>
        </w:rPr>
        <w:t xml:space="preserve"> </w:t>
      </w:r>
      <w:r w:rsidRPr="00D13792">
        <w:rPr>
          <w:rFonts w:eastAsia="Calibri" w:cs="Verdana"/>
          <w:spacing w:val="-2"/>
          <w:sz w:val="20"/>
          <w:szCs w:val="20"/>
        </w:rPr>
        <w:t>en el cual llegó a una serie de conclusiones y formuló varias recomendaciones al Estado:</w:t>
      </w:r>
    </w:p>
    <w:p w14:paraId="3317F5CD" w14:textId="77777777" w:rsidR="006A0E1C" w:rsidRPr="00D13792" w:rsidRDefault="006A0E1C" w:rsidP="006A0E1C">
      <w:pPr>
        <w:tabs>
          <w:tab w:val="num" w:pos="540"/>
          <w:tab w:val="left" w:pos="567"/>
          <w:tab w:val="num" w:pos="851"/>
        </w:tabs>
        <w:spacing w:line="240" w:lineRule="auto"/>
        <w:ind w:left="540"/>
        <w:rPr>
          <w:rFonts w:eastAsia="Calibri" w:cs="Verdana"/>
          <w:spacing w:val="-2"/>
          <w:sz w:val="14"/>
          <w:szCs w:val="20"/>
        </w:rPr>
      </w:pPr>
    </w:p>
    <w:p w14:paraId="393D8D2B" w14:textId="77777777" w:rsidR="006A0E1C" w:rsidRPr="00D13792" w:rsidRDefault="006A0E1C" w:rsidP="006A0E1C">
      <w:pPr>
        <w:numPr>
          <w:ilvl w:val="2"/>
          <w:numId w:val="0"/>
        </w:numPr>
        <w:tabs>
          <w:tab w:val="num" w:pos="540"/>
          <w:tab w:val="num" w:pos="851"/>
        </w:tabs>
        <w:spacing w:line="240" w:lineRule="auto"/>
        <w:ind w:left="540" w:right="6"/>
        <w:rPr>
          <w:sz w:val="20"/>
          <w:szCs w:val="20"/>
        </w:rPr>
      </w:pPr>
      <w:r w:rsidRPr="00D13792">
        <w:rPr>
          <w:rFonts w:eastAsia="Batang" w:cs="Verdana"/>
          <w:i/>
          <w:iCs/>
          <w:spacing w:val="-2"/>
          <w:sz w:val="20"/>
          <w:szCs w:val="20"/>
        </w:rPr>
        <w:t xml:space="preserve">Conclusiones. - </w:t>
      </w:r>
      <w:r w:rsidRPr="00D13792">
        <w:rPr>
          <w:sz w:val="20"/>
          <w:szCs w:val="20"/>
        </w:rPr>
        <w:t xml:space="preserve">La Comisión concluyó que el Estado era responsable por la violación de los derechos establecidos en los artículos 3, 4, 5, 7, 8, 11, 12, 16, 17, 19, 21, 22, 23, 24 y 25 de la Convención Americana, en relación con las obligaciones establecidas en el artículo 1.1 del mismo instrumento; del artículo I de la Convención Interamericana sobre Desaparición Forzada de Personas, y del artículo 7 de la Convención Interamericana para Prevenir, Sancionar y Erradicar la Violencia contra la Mujer, en perjuicio de las presuntas víctimas del presente caso. </w:t>
      </w:r>
    </w:p>
    <w:p w14:paraId="095D8058" w14:textId="77777777" w:rsidR="006A0E1C" w:rsidRPr="00D13792" w:rsidRDefault="006A0E1C" w:rsidP="006A0E1C">
      <w:pPr>
        <w:numPr>
          <w:ilvl w:val="2"/>
          <w:numId w:val="0"/>
        </w:numPr>
        <w:tabs>
          <w:tab w:val="num" w:pos="540"/>
          <w:tab w:val="num" w:pos="851"/>
        </w:tabs>
        <w:spacing w:line="240" w:lineRule="auto"/>
        <w:ind w:left="540" w:right="6"/>
        <w:rPr>
          <w:rFonts w:eastAsia="Batang" w:cs="Verdana"/>
          <w:spacing w:val="-2"/>
          <w:sz w:val="12"/>
          <w:szCs w:val="20"/>
        </w:rPr>
      </w:pPr>
    </w:p>
    <w:p w14:paraId="63115BA6" w14:textId="77777777" w:rsidR="006A0E1C" w:rsidRPr="00D13792" w:rsidRDefault="006A0E1C" w:rsidP="006A0E1C">
      <w:pPr>
        <w:numPr>
          <w:ilvl w:val="2"/>
          <w:numId w:val="0"/>
        </w:numPr>
        <w:tabs>
          <w:tab w:val="num" w:pos="540"/>
          <w:tab w:val="num" w:pos="851"/>
        </w:tabs>
        <w:spacing w:line="240" w:lineRule="auto"/>
        <w:ind w:left="540" w:right="6"/>
        <w:rPr>
          <w:rFonts w:eastAsia="Batang" w:cs="Verdana"/>
          <w:spacing w:val="-2"/>
          <w:sz w:val="20"/>
          <w:szCs w:val="20"/>
        </w:rPr>
      </w:pPr>
      <w:r w:rsidRPr="00D13792">
        <w:rPr>
          <w:rFonts w:eastAsia="Batang" w:cs="Verdana"/>
          <w:i/>
          <w:iCs/>
          <w:spacing w:val="-2"/>
          <w:sz w:val="20"/>
          <w:szCs w:val="20"/>
        </w:rPr>
        <w:t xml:space="preserve">Recomendaciones. - </w:t>
      </w:r>
      <w:r w:rsidRPr="00D13792">
        <w:rPr>
          <w:rFonts w:eastAsia="Batang" w:cs="Verdana"/>
          <w:spacing w:val="-2"/>
          <w:sz w:val="20"/>
          <w:szCs w:val="20"/>
        </w:rPr>
        <w:t>En consecuencia, la Comisión hizo al Estado las siguientes recomendaciones:</w:t>
      </w:r>
      <w:r w:rsidRPr="00D13792">
        <w:rPr>
          <w:rFonts w:eastAsia="Calibri" w:cs="Verdana"/>
          <w:b/>
          <w:spacing w:val="-2"/>
          <w:sz w:val="20"/>
          <w:szCs w:val="20"/>
        </w:rPr>
        <w:t xml:space="preserve"> </w:t>
      </w:r>
    </w:p>
    <w:p w14:paraId="2BF5EB8A" w14:textId="77777777" w:rsidR="006A0E1C" w:rsidRPr="00D13792" w:rsidRDefault="006A0E1C" w:rsidP="006A0E1C">
      <w:pPr>
        <w:numPr>
          <w:ilvl w:val="2"/>
          <w:numId w:val="0"/>
        </w:numPr>
        <w:spacing w:line="240" w:lineRule="auto"/>
        <w:ind w:left="1276" w:right="6"/>
        <w:rPr>
          <w:rFonts w:eastAsia="Batang" w:cs="Verdana"/>
          <w:spacing w:val="-2"/>
          <w:sz w:val="12"/>
          <w:szCs w:val="20"/>
        </w:rPr>
      </w:pPr>
    </w:p>
    <w:p w14:paraId="1459C6C1" w14:textId="77777777" w:rsidR="006A0E1C" w:rsidRPr="00D13792" w:rsidRDefault="006A0E1C" w:rsidP="006A0E1C">
      <w:pPr>
        <w:pStyle w:val="ColorfulShading-Accent31"/>
        <w:numPr>
          <w:ilvl w:val="0"/>
          <w:numId w:val="5"/>
        </w:numPr>
        <w:spacing w:line="240" w:lineRule="auto"/>
        <w:ind w:left="540" w:firstLine="0"/>
        <w:rPr>
          <w:rFonts w:eastAsia="Calibri" w:cs="Arial"/>
          <w:spacing w:val="-2"/>
          <w:sz w:val="16"/>
          <w:lang w:val="es-CR" w:eastAsia="en-US"/>
        </w:rPr>
      </w:pPr>
      <w:r w:rsidRPr="00D13792">
        <w:rPr>
          <w:rFonts w:eastAsia="Calibri" w:cs="Arial"/>
          <w:spacing w:val="-2"/>
          <w:sz w:val="16"/>
          <w:lang w:val="es-CR" w:eastAsia="en-US"/>
        </w:rPr>
        <w:t xml:space="preserve"> Reparar adecuadamente en el ámbito individual y colectivo las violaciones de derechos humanos declaradas en el presente informe en el aspecto material, moral y cultural, incluyendo una justa compensación, el establecimiento y difusión de la verdad histórica de los hechos, la recuperación de la memoria de las víctimas fallecidas y desaparecidas, la implementación de un programa de atención psicosocial culturalmente adecuado a los sobrevivientes y familiares de las víctimas ejecutadas y desaparecidas. Las reparaciones de carácter colectivo deberán ser plenamente consensuadas con los sobrevivientes de la aldea Chichupac y comunidades vecinas con la finalidad de reestablecer su vida comunitaria como parte del pueblo maya achí, y el particular vínculo con sus tierras.</w:t>
      </w:r>
    </w:p>
    <w:p w14:paraId="532AA7BD" w14:textId="77777777" w:rsidR="006A0E1C" w:rsidRPr="00D13792" w:rsidRDefault="006A0E1C" w:rsidP="006A0E1C">
      <w:pPr>
        <w:pStyle w:val="ColorfulShading-Accent31"/>
        <w:spacing w:line="240" w:lineRule="auto"/>
        <w:ind w:left="540"/>
        <w:rPr>
          <w:rFonts w:eastAsia="Calibri" w:cs="Arial"/>
          <w:spacing w:val="-2"/>
          <w:sz w:val="12"/>
          <w:lang w:val="es-CR" w:eastAsia="en-US"/>
        </w:rPr>
      </w:pPr>
    </w:p>
    <w:p w14:paraId="2671DE65" w14:textId="77777777" w:rsidR="006A0E1C" w:rsidRPr="00D13792" w:rsidRDefault="006A0E1C" w:rsidP="006A0E1C">
      <w:pPr>
        <w:pStyle w:val="ColorfulShading-Accent31"/>
        <w:numPr>
          <w:ilvl w:val="0"/>
          <w:numId w:val="5"/>
        </w:numPr>
        <w:spacing w:line="240" w:lineRule="auto"/>
        <w:ind w:left="540" w:firstLine="0"/>
        <w:rPr>
          <w:rFonts w:eastAsia="Calibri" w:cs="Arial"/>
          <w:spacing w:val="-2"/>
          <w:sz w:val="16"/>
          <w:lang w:val="es-CR" w:eastAsia="en-US"/>
        </w:rPr>
      </w:pPr>
      <w:r w:rsidRPr="00D13792">
        <w:rPr>
          <w:rFonts w:eastAsia="Calibri" w:cs="Arial"/>
          <w:spacing w:val="-2"/>
          <w:sz w:val="16"/>
          <w:lang w:val="es-CR" w:eastAsia="en-US"/>
        </w:rPr>
        <w:t xml:space="preserve"> Establecer un mecanismo que permita en la mayor medida posible, la identificación completa de las víctimas ejecutadas en el presente caso y proveer lo necesario para dar continuidad a la identificación y devolución de los </w:t>
      </w:r>
      <w:r w:rsidRPr="00D13792">
        <w:rPr>
          <w:rFonts w:eastAsia="Calibri" w:cs="Arial"/>
          <w:spacing w:val="-2"/>
          <w:sz w:val="16"/>
          <w:lang w:val="es-CR" w:eastAsia="en-US"/>
        </w:rPr>
        <w:lastRenderedPageBreak/>
        <w:t>restos mortales de dichas víctimas.</w:t>
      </w:r>
    </w:p>
    <w:p w14:paraId="796D8F45" w14:textId="77777777" w:rsidR="006A0E1C" w:rsidRPr="00D13792" w:rsidRDefault="006A0E1C" w:rsidP="006A0E1C">
      <w:pPr>
        <w:pStyle w:val="ColorfulShading-Accent31"/>
        <w:spacing w:line="240" w:lineRule="auto"/>
        <w:ind w:left="540"/>
        <w:rPr>
          <w:rFonts w:eastAsia="Calibri" w:cs="Arial"/>
          <w:spacing w:val="-2"/>
          <w:sz w:val="12"/>
          <w:lang w:val="es-CR" w:eastAsia="en-US"/>
        </w:rPr>
      </w:pPr>
    </w:p>
    <w:p w14:paraId="7B1E4E50" w14:textId="77777777" w:rsidR="006A0E1C" w:rsidRPr="00D13792" w:rsidRDefault="006A0E1C" w:rsidP="006A0E1C">
      <w:pPr>
        <w:pStyle w:val="ColorfulShading-Accent31"/>
        <w:numPr>
          <w:ilvl w:val="0"/>
          <w:numId w:val="5"/>
        </w:numPr>
        <w:spacing w:line="240" w:lineRule="auto"/>
        <w:ind w:left="540" w:firstLine="0"/>
        <w:rPr>
          <w:rFonts w:eastAsia="Calibri" w:cs="Arial"/>
          <w:spacing w:val="-2"/>
          <w:sz w:val="16"/>
          <w:lang w:val="es-CR" w:eastAsia="en-US"/>
        </w:rPr>
      </w:pPr>
      <w:r w:rsidRPr="00D13792">
        <w:rPr>
          <w:rFonts w:eastAsia="Calibri" w:cs="Arial"/>
          <w:spacing w:val="-2"/>
          <w:sz w:val="16"/>
          <w:lang w:val="es-CR" w:eastAsia="en-US"/>
        </w:rPr>
        <w:t xml:space="preserve"> Establecer un mecanismo que permita la determinación de las personas desaparecidas en las masacres, así como respecto de las sobrevivientes de las mismas.</w:t>
      </w:r>
    </w:p>
    <w:p w14:paraId="54AF43D4" w14:textId="77777777" w:rsidR="006A0E1C" w:rsidRPr="00D13792" w:rsidRDefault="006A0E1C" w:rsidP="006A0E1C">
      <w:pPr>
        <w:pStyle w:val="MediumGrid1-Accent21"/>
        <w:spacing w:line="240" w:lineRule="auto"/>
        <w:ind w:left="540"/>
        <w:rPr>
          <w:rFonts w:eastAsia="Calibri" w:cs="Arial"/>
          <w:spacing w:val="-2"/>
          <w:sz w:val="12"/>
          <w:szCs w:val="20"/>
          <w:lang w:eastAsia="en-US"/>
        </w:rPr>
      </w:pPr>
    </w:p>
    <w:p w14:paraId="62CA0417" w14:textId="77777777" w:rsidR="006A0E1C" w:rsidRPr="00D13792" w:rsidRDefault="006A0E1C" w:rsidP="006A0E1C">
      <w:pPr>
        <w:pStyle w:val="ColorfulShading-Accent31"/>
        <w:numPr>
          <w:ilvl w:val="0"/>
          <w:numId w:val="5"/>
        </w:numPr>
        <w:spacing w:line="240" w:lineRule="auto"/>
        <w:ind w:left="540" w:firstLine="0"/>
        <w:rPr>
          <w:rFonts w:eastAsia="Calibri" w:cs="Arial"/>
          <w:spacing w:val="-2"/>
          <w:sz w:val="16"/>
          <w:lang w:val="es-CR" w:eastAsia="en-US"/>
        </w:rPr>
      </w:pPr>
      <w:r w:rsidRPr="00D13792">
        <w:rPr>
          <w:rFonts w:eastAsia="Calibri" w:cs="Arial"/>
          <w:spacing w:val="-2"/>
          <w:sz w:val="16"/>
          <w:lang w:val="es-CR" w:eastAsia="en-US"/>
        </w:rPr>
        <w:t xml:space="preserve"> Localizar y entregar a la familia los restos mortales de las víctimas desaparecidas. </w:t>
      </w:r>
    </w:p>
    <w:p w14:paraId="7B0BCBA8" w14:textId="77777777" w:rsidR="006A0E1C" w:rsidRPr="00D13792" w:rsidRDefault="006A0E1C" w:rsidP="006A0E1C">
      <w:pPr>
        <w:pStyle w:val="MediumGrid1-Accent21"/>
        <w:spacing w:line="240" w:lineRule="auto"/>
        <w:ind w:left="540"/>
        <w:rPr>
          <w:rFonts w:eastAsia="Calibri" w:cs="Arial"/>
          <w:spacing w:val="-2"/>
          <w:sz w:val="12"/>
          <w:szCs w:val="20"/>
          <w:lang w:eastAsia="en-US"/>
        </w:rPr>
      </w:pPr>
    </w:p>
    <w:p w14:paraId="0E90DC0D" w14:textId="77777777" w:rsidR="006A0E1C" w:rsidRPr="00D13792" w:rsidRDefault="006A0E1C" w:rsidP="006A0E1C">
      <w:pPr>
        <w:pStyle w:val="ColorfulShading-Accent31"/>
        <w:widowControl/>
        <w:numPr>
          <w:ilvl w:val="0"/>
          <w:numId w:val="5"/>
        </w:numPr>
        <w:autoSpaceDE w:val="0"/>
        <w:autoSpaceDN w:val="0"/>
        <w:spacing w:line="240" w:lineRule="auto"/>
        <w:ind w:left="540" w:firstLine="0"/>
        <w:textAlignment w:val="auto"/>
        <w:rPr>
          <w:rFonts w:eastAsia="Calibri" w:cs="Arial"/>
          <w:spacing w:val="-2"/>
          <w:sz w:val="16"/>
          <w:lang w:val="es-CR" w:eastAsia="en-US"/>
        </w:rPr>
      </w:pPr>
      <w:r w:rsidRPr="00D13792">
        <w:rPr>
          <w:rFonts w:eastAsia="Calibri" w:cs="Arial"/>
          <w:spacing w:val="-2"/>
          <w:sz w:val="16"/>
          <w:lang w:val="es-CR" w:eastAsia="en-US"/>
        </w:rPr>
        <w:t xml:space="preserve"> Establecer un mecanismo que facilite la identificación completa de los familiares de las víctimas ejecutadas y desaparecidas, de manera que puedan ser beneficiarios de las reparaciones.</w:t>
      </w:r>
    </w:p>
    <w:p w14:paraId="6656A77A" w14:textId="77777777" w:rsidR="006A0E1C" w:rsidRPr="00D13792" w:rsidRDefault="006A0E1C" w:rsidP="006A0E1C">
      <w:pPr>
        <w:pStyle w:val="MediumGrid1-Accent21"/>
        <w:spacing w:line="240" w:lineRule="auto"/>
        <w:ind w:left="540"/>
        <w:rPr>
          <w:rFonts w:eastAsia="Calibri" w:cs="Arial"/>
          <w:spacing w:val="-2"/>
          <w:sz w:val="12"/>
          <w:szCs w:val="20"/>
          <w:lang w:eastAsia="en-US"/>
        </w:rPr>
      </w:pPr>
    </w:p>
    <w:p w14:paraId="2563DB79" w14:textId="77777777" w:rsidR="006A0E1C" w:rsidRPr="00D13792" w:rsidRDefault="006A0E1C" w:rsidP="006A0E1C">
      <w:pPr>
        <w:pStyle w:val="ColorfulShading-Accent31"/>
        <w:widowControl/>
        <w:numPr>
          <w:ilvl w:val="0"/>
          <w:numId w:val="5"/>
        </w:numPr>
        <w:autoSpaceDE w:val="0"/>
        <w:autoSpaceDN w:val="0"/>
        <w:spacing w:line="240" w:lineRule="auto"/>
        <w:ind w:left="540" w:firstLine="0"/>
        <w:textAlignment w:val="auto"/>
        <w:rPr>
          <w:rFonts w:eastAsia="Calibri" w:cs="Arial"/>
          <w:spacing w:val="-2"/>
          <w:sz w:val="16"/>
          <w:lang w:val="es-CR" w:eastAsia="en-US"/>
        </w:rPr>
      </w:pPr>
      <w:r w:rsidRPr="00D13792">
        <w:rPr>
          <w:rFonts w:eastAsia="Calibri" w:cs="Arial"/>
          <w:spacing w:val="-2"/>
          <w:sz w:val="16"/>
          <w:lang w:val="es-CR" w:eastAsia="en-US"/>
        </w:rPr>
        <w:t xml:space="preserve"> Llevar a cabo, concluir y reabrir, según corresponda, los procedimientos internos relacionados con las violaciones de derechos humanos declaradas en el presente informe y conducir las investigaciones de manera imparcial, efectiva y dentro de un plazo razonable con el objeto de esclarecer hechos en forma completa, identificar a los autores intelectuales y materiales e imponer las sanciones que correspondan.</w:t>
      </w:r>
    </w:p>
    <w:p w14:paraId="02E776DF" w14:textId="77777777" w:rsidR="006A0E1C" w:rsidRPr="00D13792" w:rsidRDefault="006A0E1C" w:rsidP="006A0E1C">
      <w:pPr>
        <w:pStyle w:val="MediumGrid1-Accent21"/>
        <w:spacing w:line="240" w:lineRule="auto"/>
        <w:ind w:left="540"/>
        <w:rPr>
          <w:rFonts w:eastAsia="Calibri" w:cs="Arial"/>
          <w:spacing w:val="-2"/>
          <w:sz w:val="12"/>
          <w:szCs w:val="20"/>
          <w:lang w:eastAsia="en-US"/>
        </w:rPr>
      </w:pPr>
    </w:p>
    <w:p w14:paraId="04C7E830" w14:textId="77777777" w:rsidR="006A0E1C" w:rsidRPr="00D13792" w:rsidRDefault="006A0E1C" w:rsidP="006A0E1C">
      <w:pPr>
        <w:pStyle w:val="ColorfulShading-Accent31"/>
        <w:widowControl/>
        <w:numPr>
          <w:ilvl w:val="0"/>
          <w:numId w:val="5"/>
        </w:numPr>
        <w:autoSpaceDE w:val="0"/>
        <w:autoSpaceDN w:val="0"/>
        <w:spacing w:line="240" w:lineRule="auto"/>
        <w:ind w:left="540" w:firstLine="0"/>
        <w:textAlignment w:val="auto"/>
        <w:rPr>
          <w:rFonts w:eastAsia="Calibri" w:cs="Arial"/>
          <w:spacing w:val="-2"/>
          <w:sz w:val="16"/>
          <w:lang w:val="es-CR" w:eastAsia="en-US"/>
        </w:rPr>
      </w:pPr>
      <w:r w:rsidRPr="00D13792">
        <w:rPr>
          <w:rFonts w:eastAsia="Calibri" w:cs="Arial"/>
          <w:spacing w:val="-2"/>
          <w:sz w:val="16"/>
          <w:lang w:val="es-CR" w:eastAsia="en-US"/>
        </w:rPr>
        <w:t xml:space="preserve"> Fortalecer la capacidad del poder judicial de investigar de forma adecuada y eficiente los hechos y sancionar a los responsables incluso con los recursos materiales y técnicos necesarios para asegurar el correcto desarrollo de los procesos.</w:t>
      </w:r>
    </w:p>
    <w:p w14:paraId="04231C23" w14:textId="77777777" w:rsidR="006A0E1C" w:rsidRPr="00D13792" w:rsidRDefault="006A0E1C" w:rsidP="006A0E1C">
      <w:pPr>
        <w:pStyle w:val="MediumGrid1-Accent21"/>
        <w:spacing w:line="240" w:lineRule="auto"/>
        <w:ind w:left="540"/>
        <w:rPr>
          <w:rFonts w:eastAsia="Calibri" w:cs="Arial"/>
          <w:spacing w:val="-2"/>
          <w:sz w:val="12"/>
          <w:szCs w:val="20"/>
          <w:lang w:eastAsia="en-US"/>
        </w:rPr>
      </w:pPr>
    </w:p>
    <w:p w14:paraId="51FB12A4" w14:textId="77777777" w:rsidR="006A0E1C" w:rsidRPr="00D13792" w:rsidRDefault="006A0E1C" w:rsidP="006A0E1C">
      <w:pPr>
        <w:pStyle w:val="ColorfulShading-Accent31"/>
        <w:widowControl/>
        <w:numPr>
          <w:ilvl w:val="0"/>
          <w:numId w:val="5"/>
        </w:numPr>
        <w:autoSpaceDE w:val="0"/>
        <w:autoSpaceDN w:val="0"/>
        <w:spacing w:line="240" w:lineRule="auto"/>
        <w:ind w:left="540" w:firstLine="0"/>
        <w:textAlignment w:val="auto"/>
        <w:rPr>
          <w:rFonts w:eastAsia="Calibri" w:cs="Arial"/>
          <w:spacing w:val="-2"/>
          <w:sz w:val="16"/>
          <w:lang w:val="es-CR" w:eastAsia="en-US"/>
        </w:rPr>
      </w:pPr>
      <w:r w:rsidRPr="00D13792">
        <w:rPr>
          <w:rFonts w:eastAsia="Calibri" w:cs="Arial"/>
          <w:spacing w:val="-2"/>
          <w:sz w:val="16"/>
          <w:lang w:val="es-CR" w:eastAsia="en-US"/>
        </w:rPr>
        <w:t xml:space="preserve"> Disponer las medidas administrativas, disciplinarias o penales correspondientes frente a las acciones u omisiones de los funcionarios estatales que han contribuido a la denegación de justicia e impunidad en la que se encuentran los hechos del caso o que participaron en medidas para obstaculizar los procesos destinados a identificar y sancionar a los responsables.</w:t>
      </w:r>
    </w:p>
    <w:p w14:paraId="28070768" w14:textId="77777777" w:rsidR="006A0E1C" w:rsidRPr="00D13792" w:rsidRDefault="006A0E1C" w:rsidP="006A0E1C">
      <w:pPr>
        <w:pStyle w:val="MediumGrid1-Accent21"/>
        <w:spacing w:line="240" w:lineRule="auto"/>
        <w:ind w:left="540"/>
        <w:rPr>
          <w:rFonts w:eastAsia="Calibri" w:cs="Arial"/>
          <w:spacing w:val="-2"/>
          <w:sz w:val="12"/>
          <w:szCs w:val="20"/>
          <w:lang w:eastAsia="en-US"/>
        </w:rPr>
      </w:pPr>
    </w:p>
    <w:p w14:paraId="30B3EDF5" w14:textId="77777777" w:rsidR="006A0E1C" w:rsidRPr="00D13792" w:rsidRDefault="006A0E1C" w:rsidP="006A0E1C">
      <w:pPr>
        <w:pStyle w:val="ColorfulShading-Accent31"/>
        <w:widowControl/>
        <w:numPr>
          <w:ilvl w:val="0"/>
          <w:numId w:val="5"/>
        </w:numPr>
        <w:autoSpaceDE w:val="0"/>
        <w:autoSpaceDN w:val="0"/>
        <w:spacing w:line="240" w:lineRule="auto"/>
        <w:ind w:left="540" w:firstLine="0"/>
        <w:textAlignment w:val="auto"/>
        <w:rPr>
          <w:rFonts w:eastAsia="Calibri" w:cs="Arial"/>
          <w:spacing w:val="-2"/>
          <w:sz w:val="16"/>
          <w:lang w:val="es-CR" w:eastAsia="en-US"/>
        </w:rPr>
      </w:pPr>
      <w:r w:rsidRPr="00D13792">
        <w:rPr>
          <w:rFonts w:eastAsia="Calibri" w:cs="Arial"/>
          <w:spacing w:val="-2"/>
          <w:sz w:val="16"/>
          <w:lang w:val="es-CR" w:eastAsia="en-US"/>
        </w:rPr>
        <w:t xml:space="preserve"> Adoptar las medidas necesarias para evitar que en el futuro se produzcan hechos similares, conforme al deber de prevención y garantía de los derechos humanos reconocidos en la Convención Americana. En particular, implementar programas permanentes de derechos humanos y derecho internacional humanitario en las escuelas de formación de las Fuerzas Armadas.</w:t>
      </w:r>
    </w:p>
    <w:p w14:paraId="01BCAD4B" w14:textId="77777777" w:rsidR="006A0E1C" w:rsidRPr="00D13792" w:rsidRDefault="006A0E1C" w:rsidP="006A0E1C">
      <w:pPr>
        <w:pStyle w:val="ColorfulShading-Accent31"/>
        <w:widowControl/>
        <w:autoSpaceDE w:val="0"/>
        <w:autoSpaceDN w:val="0"/>
        <w:spacing w:line="240" w:lineRule="auto"/>
        <w:ind w:left="1418" w:hanging="284"/>
        <w:textAlignment w:val="auto"/>
        <w:rPr>
          <w:rFonts w:eastAsia="Calibri" w:cs="Arial"/>
          <w:spacing w:val="-2"/>
          <w:sz w:val="16"/>
          <w:lang w:val="es-CR" w:eastAsia="en-US"/>
        </w:rPr>
      </w:pPr>
    </w:p>
    <w:p w14:paraId="3E50CF31" w14:textId="77777777" w:rsidR="006A0E1C" w:rsidRPr="00D13792" w:rsidRDefault="006A0E1C" w:rsidP="006A0E1C">
      <w:pPr>
        <w:numPr>
          <w:ilvl w:val="1"/>
          <w:numId w:val="6"/>
        </w:numPr>
        <w:tabs>
          <w:tab w:val="clear" w:pos="1080"/>
          <w:tab w:val="left" w:pos="0"/>
          <w:tab w:val="num" w:pos="540"/>
        </w:tabs>
        <w:spacing w:line="240" w:lineRule="auto"/>
        <w:ind w:left="540"/>
        <w:rPr>
          <w:rFonts w:eastAsia="Calibri" w:cs="Verdana"/>
          <w:spacing w:val="-2"/>
          <w:sz w:val="20"/>
          <w:szCs w:val="20"/>
        </w:rPr>
      </w:pPr>
      <w:r w:rsidRPr="00D13792">
        <w:rPr>
          <w:rFonts w:eastAsia="Calibri" w:cs="Verdana"/>
          <w:i/>
          <w:iCs/>
          <w:spacing w:val="-2"/>
          <w:sz w:val="20"/>
          <w:szCs w:val="20"/>
        </w:rPr>
        <w:t xml:space="preserve">Notificación al Estado. </w:t>
      </w:r>
      <w:r w:rsidRPr="00D13792">
        <w:rPr>
          <w:rFonts w:eastAsia="Calibri" w:cs="Verdana"/>
          <w:spacing w:val="-2"/>
          <w:sz w:val="20"/>
          <w:szCs w:val="20"/>
        </w:rPr>
        <w:t xml:space="preserve">- El Informe de Fondo fue notificado al Estado el 5 de mayo de 2014, otorgándosele un plazo de dos meses para informar sobre el cumplimiento de las recomendaciones. Guatemala presentó un informe mediante el cual “indicó en términos generales la existencia del Programa Nacional de Resarcimiento y el funcionamiento del Instituto Nacional de Ciencias Forenses, sin precisar los mecanismos concretos implementados para reparar a las víctimas, sobrevivientes y familiares del presente caso, así como lograr la identificación de los restos mortales. […I]ndicó que las [investigaciones] continuarían e invocó la Ley de Reconciliación Nacional, precisando que el Estado no puede desconocer el marco normativo interno. [Según la Comisión, e]l Estado no solicitó una prórroga para cumplir con las recomendaciones”. </w:t>
      </w:r>
    </w:p>
    <w:p w14:paraId="3D296671" w14:textId="77777777" w:rsidR="006A0E1C" w:rsidRPr="00D13792" w:rsidRDefault="006A0E1C" w:rsidP="006A0E1C">
      <w:pPr>
        <w:tabs>
          <w:tab w:val="left" w:pos="0"/>
          <w:tab w:val="num" w:pos="567"/>
        </w:tabs>
        <w:spacing w:line="240" w:lineRule="auto"/>
        <w:ind w:left="851" w:hanging="283"/>
        <w:rPr>
          <w:rFonts w:eastAsia="Calibri" w:cs="Verdana"/>
          <w:spacing w:val="-2"/>
          <w:sz w:val="12"/>
          <w:szCs w:val="20"/>
        </w:rPr>
      </w:pPr>
    </w:p>
    <w:p w14:paraId="784BCD25" w14:textId="77777777" w:rsidR="006A0E1C" w:rsidRPr="00D13792" w:rsidRDefault="006A0E1C" w:rsidP="006A0E1C">
      <w:pPr>
        <w:numPr>
          <w:ilvl w:val="1"/>
          <w:numId w:val="6"/>
        </w:numPr>
        <w:tabs>
          <w:tab w:val="clear" w:pos="1080"/>
          <w:tab w:val="left" w:pos="0"/>
          <w:tab w:val="num" w:pos="540"/>
        </w:tabs>
        <w:spacing w:line="240" w:lineRule="auto"/>
        <w:ind w:left="540"/>
        <w:rPr>
          <w:rFonts w:eastAsia="Calibri" w:cs="Verdana"/>
          <w:spacing w:val="-2"/>
          <w:sz w:val="20"/>
          <w:szCs w:val="20"/>
        </w:rPr>
      </w:pPr>
      <w:r w:rsidRPr="00D13792">
        <w:rPr>
          <w:rFonts w:eastAsia="Calibri" w:cs="Verdana"/>
          <w:i/>
          <w:iCs/>
          <w:spacing w:val="-2"/>
          <w:sz w:val="20"/>
          <w:szCs w:val="20"/>
        </w:rPr>
        <w:t>Sometimiento a la Corte. –</w:t>
      </w:r>
      <w:r w:rsidRPr="00D13792">
        <w:rPr>
          <w:rFonts w:eastAsia="Calibri" w:cs="Verdana"/>
          <w:spacing w:val="-2"/>
          <w:sz w:val="20"/>
          <w:szCs w:val="20"/>
        </w:rPr>
        <w:t xml:space="preserve"> El 5 de agosto de 2014 la Comisión</w:t>
      </w:r>
      <w:r w:rsidRPr="00D13792">
        <w:rPr>
          <w:rFonts w:eastAsia="Calibri" w:cs="Verdana"/>
          <w:spacing w:val="-2"/>
          <w:sz w:val="20"/>
          <w:szCs w:val="20"/>
          <w:lang w:eastAsia="es-ES"/>
        </w:rPr>
        <w:t xml:space="preserve"> sometió el caso a la Corte “por la necesidad de obtención de justicia […] ante la falta de cumplimiento de las </w:t>
      </w:r>
      <w:r w:rsidRPr="00D13792">
        <w:rPr>
          <w:rFonts w:eastAsia="Calibri" w:cs="Verdana"/>
          <w:spacing w:val="-2"/>
          <w:sz w:val="20"/>
          <w:szCs w:val="20"/>
        </w:rPr>
        <w:t>recomendaciones</w:t>
      </w:r>
      <w:r w:rsidRPr="00D13792">
        <w:rPr>
          <w:rFonts w:eastAsia="Calibri" w:cs="Verdana"/>
          <w:spacing w:val="-2"/>
          <w:sz w:val="20"/>
          <w:szCs w:val="20"/>
          <w:lang w:eastAsia="es-ES"/>
        </w:rPr>
        <w:t>”. Designó como delegados al Comisionado James Cavallaro y al entonces Secretario Ejecutivo, Emilio Álvarez Icaza L</w:t>
      </w:r>
      <w:r w:rsidRPr="00D13792">
        <w:rPr>
          <w:rStyle w:val="FootnoteReference"/>
          <w:rFonts w:eastAsia="Calibri" w:cs="Verdana"/>
          <w:spacing w:val="-2"/>
          <w:sz w:val="20"/>
          <w:szCs w:val="20"/>
          <w:lang w:eastAsia="es-ES"/>
        </w:rPr>
        <w:footnoteReference w:id="4"/>
      </w:r>
      <w:r w:rsidRPr="00D13792">
        <w:rPr>
          <w:rFonts w:eastAsia="Calibri" w:cs="Verdana"/>
          <w:spacing w:val="-2"/>
          <w:sz w:val="20"/>
          <w:szCs w:val="20"/>
          <w:lang w:eastAsia="es-ES"/>
        </w:rPr>
        <w:t xml:space="preserve">., y </w:t>
      </w:r>
      <w:r w:rsidRPr="00D13792">
        <w:rPr>
          <w:rFonts w:eastAsia="Calibri" w:cs="Verdana"/>
          <w:spacing w:val="-2"/>
          <w:sz w:val="20"/>
          <w:szCs w:val="20"/>
        </w:rPr>
        <w:t>como asesores legales a Elizabeth Abi-Mershed, Secretaria Ejecutiva Adjunta, y a Silvia Serrano Guzmán y Erick Acuña Pereda, abogados de la Secretaría Ejecutiva</w:t>
      </w:r>
      <w:bookmarkEnd w:id="5"/>
      <w:r w:rsidRPr="00D13792">
        <w:rPr>
          <w:rFonts w:eastAsia="Calibri" w:cs="Verdana"/>
          <w:spacing w:val="-2"/>
          <w:sz w:val="20"/>
          <w:szCs w:val="20"/>
        </w:rPr>
        <w:t xml:space="preserve">. </w:t>
      </w:r>
    </w:p>
    <w:p w14:paraId="0F0A0B51" w14:textId="77777777" w:rsidR="006A0E1C" w:rsidRPr="00D13792" w:rsidRDefault="006A0E1C" w:rsidP="006A0E1C">
      <w:pPr>
        <w:pStyle w:val="Heading1"/>
        <w:rPr>
          <w:lang w:val="es-CR"/>
        </w:rPr>
      </w:pPr>
    </w:p>
    <w:p w14:paraId="0F60D41B" w14:textId="77777777" w:rsidR="006A0E1C" w:rsidRPr="00D13792" w:rsidRDefault="006A0E1C" w:rsidP="006A0E1C">
      <w:pPr>
        <w:pStyle w:val="Heading1"/>
        <w:rPr>
          <w:lang w:val="es-CR"/>
        </w:rPr>
      </w:pPr>
      <w:bookmarkStart w:id="13" w:name="_Toc372568229"/>
      <w:bookmarkStart w:id="14" w:name="_Toc373093235"/>
      <w:bookmarkStart w:id="15" w:name="_Toc373350047"/>
      <w:bookmarkStart w:id="16" w:name="_Toc375560893"/>
      <w:bookmarkStart w:id="17" w:name="_Toc401931878"/>
      <w:bookmarkStart w:id="18" w:name="_Toc428369977"/>
      <w:bookmarkStart w:id="19" w:name="_Toc469669988"/>
      <w:r w:rsidRPr="00D13792">
        <w:rPr>
          <w:lang w:val="es-CR"/>
        </w:rPr>
        <w:t>II</w:t>
      </w:r>
      <w:bookmarkStart w:id="20" w:name="_Toc375062711"/>
      <w:bookmarkStart w:id="21" w:name="_Toc375140861"/>
      <w:bookmarkStart w:id="22" w:name="_Toc375504820"/>
      <w:bookmarkStart w:id="23" w:name="_Toc375560894"/>
      <w:bookmarkEnd w:id="13"/>
      <w:bookmarkEnd w:id="14"/>
      <w:bookmarkEnd w:id="15"/>
      <w:bookmarkEnd w:id="16"/>
      <w:r w:rsidRPr="00D13792">
        <w:rPr>
          <w:lang w:val="es-CR"/>
        </w:rPr>
        <w:br/>
        <w:t>PROCEDIMIENTO ANTE LA CORTE</w:t>
      </w:r>
      <w:bookmarkEnd w:id="17"/>
      <w:bookmarkEnd w:id="18"/>
      <w:bookmarkEnd w:id="19"/>
      <w:bookmarkEnd w:id="20"/>
      <w:bookmarkEnd w:id="21"/>
      <w:bookmarkEnd w:id="22"/>
      <w:bookmarkEnd w:id="23"/>
    </w:p>
    <w:p w14:paraId="10B5D3B2" w14:textId="77777777" w:rsidR="006A0E1C" w:rsidRPr="00D13792" w:rsidRDefault="006A0E1C" w:rsidP="006A0E1C">
      <w:pPr>
        <w:pStyle w:val="Default"/>
        <w:jc w:val="both"/>
        <w:rPr>
          <w:color w:val="auto"/>
          <w:spacing w:val="-2"/>
          <w:sz w:val="16"/>
          <w:szCs w:val="20"/>
        </w:rPr>
      </w:pPr>
      <w:bookmarkStart w:id="24" w:name="_Ref305145760"/>
      <w:bookmarkStart w:id="25" w:name="_Ref343193232"/>
      <w:bookmarkStart w:id="26" w:name="_Ref354764277"/>
      <w:bookmarkStart w:id="27" w:name="_Ref292815256"/>
      <w:bookmarkStart w:id="28" w:name="_Ref303533128"/>
    </w:p>
    <w:p w14:paraId="2A871CDF" w14:textId="77777777" w:rsidR="006A0E1C" w:rsidRPr="00D13792" w:rsidRDefault="006A0E1C" w:rsidP="006A0E1C">
      <w:pPr>
        <w:numPr>
          <w:ilvl w:val="0"/>
          <w:numId w:val="6"/>
        </w:numPr>
        <w:tabs>
          <w:tab w:val="left" w:pos="567"/>
        </w:tabs>
        <w:spacing w:line="240" w:lineRule="auto"/>
        <w:ind w:right="4"/>
        <w:rPr>
          <w:spacing w:val="-2"/>
          <w:sz w:val="20"/>
          <w:szCs w:val="20"/>
        </w:rPr>
      </w:pPr>
      <w:bookmarkStart w:id="29" w:name="_Ref375074590"/>
      <w:r w:rsidRPr="00D13792">
        <w:rPr>
          <w:i/>
          <w:iCs/>
          <w:spacing w:val="-2"/>
          <w:sz w:val="20"/>
          <w:szCs w:val="20"/>
        </w:rPr>
        <w:t xml:space="preserve">Notificación al Estado y a los representantes. - </w:t>
      </w:r>
      <w:r w:rsidRPr="00D13792">
        <w:rPr>
          <w:spacing w:val="-2"/>
          <w:sz w:val="20"/>
          <w:szCs w:val="20"/>
        </w:rPr>
        <w:t>El sometimiento del caso fue notificado al Estado el 17 de octubre de 2014 y a los representantes de las presuntas víctimas</w:t>
      </w:r>
      <w:r w:rsidRPr="00D13792">
        <w:rPr>
          <w:rStyle w:val="FootnoteReference"/>
          <w:spacing w:val="-2"/>
          <w:sz w:val="20"/>
          <w:szCs w:val="20"/>
        </w:rPr>
        <w:footnoteReference w:id="5"/>
      </w:r>
      <w:r w:rsidRPr="00D13792">
        <w:rPr>
          <w:spacing w:val="-2"/>
          <w:sz w:val="20"/>
          <w:szCs w:val="20"/>
        </w:rPr>
        <w:t xml:space="preserve"> (en adelante también “los representantes”)</w:t>
      </w:r>
      <w:bookmarkEnd w:id="29"/>
      <w:r w:rsidRPr="00D13792">
        <w:rPr>
          <w:spacing w:val="-2"/>
          <w:sz w:val="20"/>
          <w:szCs w:val="20"/>
        </w:rPr>
        <w:t xml:space="preserve"> el 30 de octubre de 2014. </w:t>
      </w:r>
      <w:bookmarkStart w:id="30" w:name="_Ref303528952"/>
      <w:bookmarkStart w:id="31" w:name="_Ref313874640"/>
      <w:bookmarkEnd w:id="24"/>
    </w:p>
    <w:p w14:paraId="1C6B5C3F" w14:textId="77777777" w:rsidR="006A0E1C" w:rsidRPr="00D13792" w:rsidRDefault="006A0E1C" w:rsidP="006A0E1C">
      <w:pPr>
        <w:pStyle w:val="Default"/>
        <w:jc w:val="both"/>
        <w:rPr>
          <w:color w:val="auto"/>
          <w:spacing w:val="-2"/>
          <w:sz w:val="16"/>
          <w:szCs w:val="20"/>
        </w:rPr>
      </w:pPr>
    </w:p>
    <w:p w14:paraId="5DBEB06E" w14:textId="77777777" w:rsidR="006A0E1C" w:rsidRPr="00D13792" w:rsidRDefault="006A0E1C" w:rsidP="006A0E1C">
      <w:pPr>
        <w:numPr>
          <w:ilvl w:val="0"/>
          <w:numId w:val="6"/>
        </w:numPr>
        <w:tabs>
          <w:tab w:val="left" w:pos="567"/>
        </w:tabs>
        <w:spacing w:line="240" w:lineRule="auto"/>
        <w:ind w:right="4"/>
        <w:rPr>
          <w:spacing w:val="-2"/>
          <w:sz w:val="20"/>
          <w:szCs w:val="20"/>
        </w:rPr>
      </w:pPr>
      <w:bookmarkStart w:id="32" w:name="_Ref374884896"/>
      <w:bookmarkStart w:id="33" w:name="_Ref367870867"/>
      <w:r w:rsidRPr="00D13792">
        <w:rPr>
          <w:i/>
          <w:iCs/>
          <w:spacing w:val="-2"/>
          <w:sz w:val="20"/>
          <w:szCs w:val="20"/>
        </w:rPr>
        <w:t xml:space="preserve">Escrito de solicitudes, argumentos y pruebas. - </w:t>
      </w:r>
      <w:r w:rsidRPr="00D13792">
        <w:rPr>
          <w:spacing w:val="-2"/>
          <w:sz w:val="20"/>
          <w:szCs w:val="20"/>
        </w:rPr>
        <w:t xml:space="preserve">El 5 de enero de 2015 los representantes presentaron su escrito de solicitudes, argumentos y pruebas (en adelante “escrito de solicitudes </w:t>
      </w:r>
      <w:r w:rsidRPr="00D13792">
        <w:rPr>
          <w:spacing w:val="-2"/>
          <w:sz w:val="20"/>
          <w:szCs w:val="20"/>
        </w:rPr>
        <w:lastRenderedPageBreak/>
        <w:t xml:space="preserve">y argumentos”), conforme a los artículos 25 y 40 del Reglamento de la Corte. </w:t>
      </w:r>
      <w:bookmarkStart w:id="34" w:name="_Ref303528956"/>
      <w:bookmarkStart w:id="35" w:name="_Ref313874647"/>
      <w:bookmarkEnd w:id="25"/>
      <w:bookmarkEnd w:id="26"/>
      <w:bookmarkEnd w:id="30"/>
      <w:bookmarkEnd w:id="31"/>
      <w:bookmarkEnd w:id="32"/>
      <w:bookmarkEnd w:id="33"/>
      <w:r w:rsidRPr="00D13792">
        <w:rPr>
          <w:spacing w:val="-2"/>
          <w:sz w:val="20"/>
          <w:szCs w:val="20"/>
        </w:rPr>
        <w:t xml:space="preserve">En dicho escrito alegaron la violación de los artículos 3, 4, 5, 6, 7, 8, 11, 12, 16, 19, 21, 22, 24 y 25 de la Convención, en relación con el artículo 1.1 de la misma, así como del artículo I de la Convención Interamericana sobre Desaparición Forzada de Personas y el artículo 7 </w:t>
      </w:r>
      <w:r w:rsidRPr="00D13792">
        <w:rPr>
          <w:sz w:val="20"/>
          <w:szCs w:val="20"/>
        </w:rPr>
        <w:t>de la Convención Interamericana para Prevenir, Sancionar y Erradicar la Violencia contra la Mujer. Además</w:t>
      </w:r>
      <w:r w:rsidRPr="00D13792">
        <w:rPr>
          <w:spacing w:val="-2"/>
          <w:sz w:val="20"/>
          <w:szCs w:val="20"/>
        </w:rPr>
        <w:t xml:space="preserve">, solicitaron “la inclusión del listado de 97 familias” que se anexó. </w:t>
      </w:r>
      <w:bookmarkStart w:id="36" w:name="_Ref343193237"/>
      <w:bookmarkStart w:id="37" w:name="_Ref334975428"/>
      <w:bookmarkStart w:id="38" w:name="_Ref351393893"/>
      <w:r w:rsidRPr="00D13792">
        <w:rPr>
          <w:spacing w:val="-2"/>
          <w:sz w:val="16"/>
          <w:szCs w:val="20"/>
        </w:rPr>
        <w:t xml:space="preserve"> </w:t>
      </w:r>
    </w:p>
    <w:p w14:paraId="77835A1A" w14:textId="77777777" w:rsidR="006A0E1C" w:rsidRPr="00D13792" w:rsidRDefault="006A0E1C" w:rsidP="006A0E1C">
      <w:pPr>
        <w:pStyle w:val="MediumGrid1-Accent21"/>
        <w:spacing w:line="240" w:lineRule="auto"/>
        <w:ind w:left="0"/>
        <w:rPr>
          <w:i/>
          <w:spacing w:val="-2"/>
          <w:sz w:val="16"/>
          <w:szCs w:val="20"/>
        </w:rPr>
      </w:pPr>
    </w:p>
    <w:p w14:paraId="0524981A" w14:textId="77777777" w:rsidR="006A0E1C" w:rsidRPr="00D13792" w:rsidRDefault="006A0E1C" w:rsidP="006A0E1C">
      <w:pPr>
        <w:numPr>
          <w:ilvl w:val="0"/>
          <w:numId w:val="6"/>
        </w:numPr>
        <w:tabs>
          <w:tab w:val="left" w:pos="567"/>
        </w:tabs>
        <w:spacing w:line="240" w:lineRule="auto"/>
        <w:ind w:right="4"/>
        <w:rPr>
          <w:b/>
          <w:bCs/>
          <w:spacing w:val="-2"/>
          <w:sz w:val="20"/>
          <w:szCs w:val="20"/>
          <w:u w:val="single"/>
        </w:rPr>
      </w:pPr>
      <w:r w:rsidRPr="00D13792">
        <w:rPr>
          <w:i/>
          <w:spacing w:val="-2"/>
          <w:sz w:val="20"/>
          <w:szCs w:val="20"/>
        </w:rPr>
        <w:t>Escrito de contestación</w:t>
      </w:r>
      <w:r w:rsidRPr="00D13792">
        <w:rPr>
          <w:spacing w:val="-2"/>
          <w:sz w:val="20"/>
          <w:szCs w:val="20"/>
        </w:rPr>
        <w:t xml:space="preserve">. – El 23 de abril de 2015 el Estado presentó ante la Corte su escrito de excepciones preliminares, contestación al sometimiento del caso por parte de la Comisión y de observaciones al escrito de solicitudes y argumentos (en adelante “contestación”). En dicho escrito </w:t>
      </w:r>
      <w:r w:rsidRPr="00D13792">
        <w:rPr>
          <w:spacing w:val="-2"/>
          <w:sz w:val="20"/>
          <w:szCs w:val="20"/>
          <w:lang w:eastAsia="es-ES"/>
        </w:rPr>
        <w:t xml:space="preserve">interpuso cuatro excepciones preliminares. El 23 de octubre de 2015, el Estado designó como Agentes </w:t>
      </w:r>
      <w:r w:rsidRPr="00D13792">
        <w:rPr>
          <w:spacing w:val="-2"/>
          <w:sz w:val="20"/>
          <w:szCs w:val="20"/>
        </w:rPr>
        <w:t xml:space="preserve">para el presente caso </w:t>
      </w:r>
      <w:r w:rsidRPr="00D13792">
        <w:rPr>
          <w:spacing w:val="-2"/>
          <w:sz w:val="20"/>
          <w:szCs w:val="20"/>
          <w:lang w:eastAsia="es-ES"/>
        </w:rPr>
        <w:t>al señor Rodrigo José Villagrán Sandoval y a la señora Steffany Rebeca Vásquez Barillas.</w:t>
      </w:r>
      <w:bookmarkStart w:id="39" w:name="_Ref292292567"/>
      <w:bookmarkStart w:id="40" w:name="_Ref292700362"/>
      <w:bookmarkEnd w:id="27"/>
      <w:bookmarkEnd w:id="34"/>
      <w:bookmarkEnd w:id="35"/>
      <w:bookmarkEnd w:id="36"/>
      <w:bookmarkEnd w:id="37"/>
      <w:bookmarkEnd w:id="38"/>
      <w:r w:rsidRPr="00D13792">
        <w:rPr>
          <w:spacing w:val="-2"/>
          <w:sz w:val="20"/>
          <w:szCs w:val="20"/>
          <w:lang w:eastAsia="es-ES"/>
        </w:rPr>
        <w:t xml:space="preserve"> Posteriormente, el 13 de abril de 2016 el Estado designó al señor Carlos Rafael Asturias Ruiz y a la señora Steffany Rebeca Vásquez Barillas como Agentes.</w:t>
      </w:r>
    </w:p>
    <w:p w14:paraId="67EBCC46" w14:textId="77777777" w:rsidR="006A0E1C" w:rsidRPr="00D13792" w:rsidRDefault="006A0E1C" w:rsidP="006A0E1C">
      <w:pPr>
        <w:pStyle w:val="MediumGrid1-Accent21"/>
        <w:spacing w:line="240" w:lineRule="auto"/>
        <w:rPr>
          <w:i/>
          <w:spacing w:val="-2"/>
          <w:sz w:val="16"/>
          <w:szCs w:val="20"/>
        </w:rPr>
      </w:pPr>
    </w:p>
    <w:p w14:paraId="5C08876C" w14:textId="77777777" w:rsidR="006A0E1C" w:rsidRPr="00D13792" w:rsidRDefault="006A0E1C" w:rsidP="006A0E1C">
      <w:pPr>
        <w:numPr>
          <w:ilvl w:val="0"/>
          <w:numId w:val="6"/>
        </w:numPr>
        <w:tabs>
          <w:tab w:val="left" w:pos="567"/>
        </w:tabs>
        <w:spacing w:line="240" w:lineRule="auto"/>
        <w:ind w:right="4"/>
        <w:rPr>
          <w:b/>
          <w:bCs/>
          <w:spacing w:val="-2"/>
          <w:sz w:val="20"/>
          <w:szCs w:val="20"/>
          <w:u w:val="single"/>
        </w:rPr>
      </w:pPr>
      <w:r w:rsidRPr="00D13792">
        <w:rPr>
          <w:i/>
          <w:spacing w:val="-2"/>
          <w:sz w:val="20"/>
          <w:szCs w:val="20"/>
        </w:rPr>
        <w:t>Observaciones a las excepciones preliminares</w:t>
      </w:r>
      <w:r w:rsidRPr="00D13792">
        <w:rPr>
          <w:spacing w:val="-2"/>
          <w:sz w:val="20"/>
          <w:szCs w:val="20"/>
        </w:rPr>
        <w:t xml:space="preserve">. – El 25 de junio de 2015 los representantes y la Comisión Interamericana presentaron sus observaciones a las excepciones preliminares interpuestas por el Estado.  </w:t>
      </w:r>
      <w:bookmarkStart w:id="41" w:name="_Ref336443781"/>
      <w:bookmarkStart w:id="42" w:name="_Ref343193354"/>
      <w:bookmarkStart w:id="43" w:name="_Ref374885387"/>
      <w:bookmarkStart w:id="44" w:name="_Ref367194812"/>
    </w:p>
    <w:p w14:paraId="4E402CF3" w14:textId="77777777" w:rsidR="006A0E1C" w:rsidRPr="00D13792" w:rsidRDefault="006A0E1C" w:rsidP="006A0E1C">
      <w:pPr>
        <w:pStyle w:val="MediumGrid1-Accent21"/>
        <w:spacing w:line="240" w:lineRule="auto"/>
        <w:rPr>
          <w:i/>
          <w:spacing w:val="-2"/>
          <w:sz w:val="16"/>
          <w:szCs w:val="20"/>
        </w:rPr>
      </w:pPr>
    </w:p>
    <w:p w14:paraId="0F0943A4" w14:textId="77777777" w:rsidR="006A0E1C" w:rsidRPr="00D13792" w:rsidRDefault="006A0E1C" w:rsidP="006A0E1C">
      <w:pPr>
        <w:numPr>
          <w:ilvl w:val="0"/>
          <w:numId w:val="6"/>
        </w:numPr>
        <w:tabs>
          <w:tab w:val="left" w:pos="567"/>
        </w:tabs>
        <w:spacing w:line="240" w:lineRule="auto"/>
        <w:ind w:right="4"/>
        <w:rPr>
          <w:sz w:val="20"/>
          <w:szCs w:val="20"/>
        </w:rPr>
      </w:pPr>
      <w:r w:rsidRPr="00D13792">
        <w:rPr>
          <w:bCs/>
          <w:i/>
          <w:spacing w:val="-2"/>
          <w:sz w:val="20"/>
          <w:szCs w:val="20"/>
        </w:rPr>
        <w:t xml:space="preserve">Otros escritos presentados por las partes y la Comisión. – </w:t>
      </w:r>
      <w:r w:rsidRPr="00D13792">
        <w:rPr>
          <w:sz w:val="20"/>
          <w:szCs w:val="20"/>
        </w:rPr>
        <w:t>El 30 de julio de 2015 el Estado remitió un escrito titulado “Postura del Estado de Guatemala en relación con la inclusión de nuevas víctimas en el Caso […]”. Mediante nota de Secretaría de 4 de agosto de 2015 se solicitó a los representantes y a la Comisión presentar las observaciones que estimaran pertinentes al mencionado escrito del Estado. El 30 de agosto de 2015 los representantes remitieron las observaciones solicitadas. El 31 de agosto de 2015 la Comisión remitió las observaciones solicitadas junto con su lista definitiva de declarantes ofrecidos para la audiencia pública. Finalmente, el 19 de abril de 2016 los representantes remitieron 212 certificados de nacimientos, defunciones y matrimonios de presuntas víctimas que habrían sufrido desplazamiento forzado, persecución y desarraigo.</w:t>
      </w:r>
    </w:p>
    <w:p w14:paraId="7174AA7D" w14:textId="77777777" w:rsidR="006A0E1C" w:rsidRPr="00D13792" w:rsidRDefault="006A0E1C" w:rsidP="006A0E1C">
      <w:pPr>
        <w:pStyle w:val="ListParagraph"/>
        <w:autoSpaceDE w:val="0"/>
        <w:autoSpaceDN w:val="0"/>
        <w:adjustRightInd w:val="0"/>
        <w:spacing w:after="0" w:line="240" w:lineRule="auto"/>
        <w:ind w:left="1080"/>
        <w:jc w:val="both"/>
        <w:rPr>
          <w:rFonts w:ascii="Verdana" w:hAnsi="Verdana"/>
          <w:sz w:val="16"/>
          <w:szCs w:val="20"/>
          <w:lang w:val="es-CR"/>
        </w:rPr>
      </w:pPr>
    </w:p>
    <w:p w14:paraId="23BD7B4B" w14:textId="77777777" w:rsidR="006A0E1C" w:rsidRPr="00D13792" w:rsidRDefault="006A0E1C" w:rsidP="006A0E1C">
      <w:pPr>
        <w:numPr>
          <w:ilvl w:val="0"/>
          <w:numId w:val="6"/>
        </w:numPr>
        <w:tabs>
          <w:tab w:val="left" w:pos="567"/>
        </w:tabs>
        <w:spacing w:line="240" w:lineRule="auto"/>
        <w:ind w:right="4"/>
        <w:rPr>
          <w:b/>
          <w:bCs/>
          <w:spacing w:val="-2"/>
          <w:sz w:val="20"/>
          <w:szCs w:val="20"/>
          <w:u w:val="single"/>
        </w:rPr>
      </w:pPr>
      <w:r w:rsidRPr="00D13792">
        <w:rPr>
          <w:i/>
          <w:spacing w:val="-2"/>
          <w:sz w:val="20"/>
          <w:szCs w:val="20"/>
        </w:rPr>
        <w:t>Audiencia pública. –</w:t>
      </w:r>
      <w:r w:rsidRPr="00D13792">
        <w:rPr>
          <w:spacing w:val="-2"/>
          <w:sz w:val="20"/>
          <w:szCs w:val="20"/>
        </w:rPr>
        <w:t xml:space="preserve"> </w:t>
      </w:r>
      <w:bookmarkStart w:id="45" w:name="_Ref343195764"/>
      <w:bookmarkStart w:id="46" w:name="_Ref354147731"/>
      <w:bookmarkEnd w:id="41"/>
      <w:bookmarkEnd w:id="42"/>
      <w:bookmarkEnd w:id="43"/>
      <w:bookmarkEnd w:id="44"/>
      <w:r w:rsidRPr="00D13792">
        <w:rPr>
          <w:spacing w:val="-2"/>
          <w:sz w:val="20"/>
          <w:szCs w:val="20"/>
        </w:rPr>
        <w:t>Mediante Resolución del Presidente de la Corte de 28 de marzo de 2016</w:t>
      </w:r>
      <w:r w:rsidRPr="00D13792">
        <w:rPr>
          <w:rStyle w:val="FootnoteReference"/>
          <w:spacing w:val="-2"/>
          <w:sz w:val="20"/>
          <w:szCs w:val="20"/>
        </w:rPr>
        <w:footnoteReference w:id="6"/>
      </w:r>
      <w:r w:rsidRPr="00D13792">
        <w:rPr>
          <w:spacing w:val="-2"/>
          <w:sz w:val="20"/>
          <w:szCs w:val="20"/>
        </w:rPr>
        <w:t>, se convocó a las partes y a la Comisión a una audiencia pública que fue celebrada el 28 de abril de 2016, durante el 114º Período Ordinario de Sesiones de la Corte en la sede del Tribunal</w:t>
      </w:r>
      <w:r w:rsidRPr="00D13792">
        <w:rPr>
          <w:rStyle w:val="FootnoteReference"/>
          <w:spacing w:val="-2"/>
          <w:sz w:val="20"/>
          <w:szCs w:val="20"/>
        </w:rPr>
        <w:footnoteReference w:id="7"/>
      </w:r>
      <w:r w:rsidRPr="00D13792">
        <w:rPr>
          <w:spacing w:val="-2"/>
          <w:sz w:val="20"/>
          <w:szCs w:val="20"/>
        </w:rPr>
        <w:t>. En la audiencia se recibieron las declaraciones de las presuntas víctimas Juana García Depaz y Napoleón García De Paz</w:t>
      </w:r>
      <w:r w:rsidRPr="00D13792">
        <w:rPr>
          <w:sz w:val="20"/>
          <w:szCs w:val="20"/>
        </w:rPr>
        <w:t xml:space="preserve"> (o Napoleón García Depaz o Napoleón García de Páz)</w:t>
      </w:r>
      <w:r w:rsidRPr="00D13792">
        <w:rPr>
          <w:spacing w:val="-2"/>
          <w:sz w:val="20"/>
          <w:szCs w:val="20"/>
        </w:rPr>
        <w:t xml:space="preserve">, y del perito Luis Raúl Francisco Salvadó Cardoza, propuestos por los representantes, así como del perito Cristián Alejandro Correa Montt, propuesto por la Comisión. También se recibieron las observaciones y alegatos finales orales de la Comisión, los representantes y el Estado, respectivamente. Asimismo, en dicha Resolución se ordenó recibir las declaraciones rendidas ante fedatario público (affidávit) de una presunta víctima y dos peritos propuestos por los representantes, un perito propuesto por la Comisión y tres peritos propuestos por el Estado. </w:t>
      </w:r>
      <w:r w:rsidRPr="00D13792">
        <w:rPr>
          <w:sz w:val="20"/>
          <w:szCs w:val="20"/>
        </w:rPr>
        <w:t xml:space="preserve">Mediante comunicación de 11 de abril de 2016, el Estado desistió de la presentación de prueba testimonial y pericial. </w:t>
      </w:r>
    </w:p>
    <w:bookmarkEnd w:id="45"/>
    <w:bookmarkEnd w:id="46"/>
    <w:p w14:paraId="372FA5B8" w14:textId="77777777" w:rsidR="006A0E1C" w:rsidRPr="00D13792" w:rsidRDefault="006A0E1C" w:rsidP="006A0E1C">
      <w:pPr>
        <w:pStyle w:val="MediumGrid1-Accent21"/>
        <w:spacing w:line="240" w:lineRule="auto"/>
        <w:rPr>
          <w:b/>
          <w:bCs/>
          <w:sz w:val="16"/>
          <w:szCs w:val="20"/>
        </w:rPr>
      </w:pPr>
    </w:p>
    <w:p w14:paraId="39F54389" w14:textId="77777777" w:rsidR="006A0E1C" w:rsidRPr="00D13792" w:rsidRDefault="006A0E1C" w:rsidP="006A0E1C">
      <w:pPr>
        <w:numPr>
          <w:ilvl w:val="0"/>
          <w:numId w:val="6"/>
        </w:numPr>
        <w:tabs>
          <w:tab w:val="left" w:pos="567"/>
        </w:tabs>
        <w:spacing w:line="240" w:lineRule="auto"/>
        <w:ind w:right="4"/>
        <w:rPr>
          <w:rFonts w:eastAsia="Calibri" w:cs="Verdana"/>
          <w:sz w:val="20"/>
          <w:szCs w:val="20"/>
          <w:lang w:eastAsia="en-US"/>
        </w:rPr>
      </w:pPr>
      <w:bookmarkStart w:id="47" w:name="_Ref374886052"/>
      <w:bookmarkStart w:id="48" w:name="_Ref368677486"/>
      <w:r w:rsidRPr="00D13792">
        <w:rPr>
          <w:i/>
          <w:sz w:val="20"/>
          <w:szCs w:val="20"/>
        </w:rPr>
        <w:t xml:space="preserve">Amici curiae. – </w:t>
      </w:r>
      <w:r w:rsidRPr="00D13792">
        <w:rPr>
          <w:sz w:val="20"/>
          <w:szCs w:val="20"/>
        </w:rPr>
        <w:t xml:space="preserve">La Corte recibió los </w:t>
      </w:r>
      <w:r w:rsidRPr="00D13792">
        <w:rPr>
          <w:i/>
          <w:sz w:val="20"/>
          <w:szCs w:val="20"/>
        </w:rPr>
        <w:t>amici curiae</w:t>
      </w:r>
      <w:r w:rsidRPr="00D13792">
        <w:rPr>
          <w:sz w:val="20"/>
          <w:szCs w:val="20"/>
        </w:rPr>
        <w:t xml:space="preserve"> de: i) Alejandro Valencia Villa el 3 de mayo de 2016, sobre la Ley de Reconciliación Nacional, las amnistías y los delitos políticos en Guatemala; ii) Impunity Watch el 11 de mayo de 2016, sobre la presunta competencia de la </w:t>
      </w:r>
      <w:r w:rsidRPr="00D13792">
        <w:rPr>
          <w:sz w:val="20"/>
          <w:szCs w:val="20"/>
        </w:rPr>
        <w:lastRenderedPageBreak/>
        <w:t xml:space="preserve">Corte para pronunciarse sobre una alegada violación de la Convención para la Prevención y la Sanción del Delito de Genocidio y otros tratados que protegen los derechos de los pueblos indígenas, la alegada carencia de competencia del Tribunal para decretar la invalidez de la Ley de Reconciliación Nacional, así como la reparación individual y colectiva en el presente caso; iii) el </w:t>
      </w:r>
      <w:r w:rsidRPr="00D13792">
        <w:rPr>
          <w:i/>
          <w:sz w:val="20"/>
          <w:szCs w:val="20"/>
        </w:rPr>
        <w:t>Due Process of Law Foundation</w:t>
      </w:r>
      <w:r w:rsidRPr="00D13792">
        <w:rPr>
          <w:sz w:val="20"/>
          <w:szCs w:val="20"/>
        </w:rPr>
        <w:t xml:space="preserve"> el 12 de mayo de 2016, sobre la “especial gravedad” y “carácter prolongado” del desplazamiento forzado; iv) la señora Léa Réus el 12 de mayo de 2016, sobre la eventual reparación integral en el presente caso; v) Profesores del </w:t>
      </w:r>
      <w:r w:rsidRPr="00D13792">
        <w:rPr>
          <w:rFonts w:eastAsia="Calibri" w:cs="Verdana"/>
          <w:sz w:val="20"/>
          <w:szCs w:val="20"/>
          <w:lang w:eastAsia="en-US"/>
        </w:rPr>
        <w:t xml:space="preserve">Departamento de Estudios Sociopolíticos y Jurídicos y de la Coordinación Docente de Derecho Constitucional y Derechos Humanos, así como </w:t>
      </w:r>
      <w:r w:rsidRPr="00D13792">
        <w:rPr>
          <w:sz w:val="20"/>
          <w:szCs w:val="20"/>
        </w:rPr>
        <w:t>estudiantes de la Licenciatura de Derecho del Instituto Tecnológico y Estudios Superiores de Occidente (ITESO) el 13 de mayo de 2016, sobre la eventual reparación integral en el presente caso, y vi)</w:t>
      </w:r>
      <w:r w:rsidRPr="00D13792">
        <w:rPr>
          <w:rFonts w:eastAsia="Calibri" w:cs="BookAntiqua"/>
          <w:sz w:val="36"/>
          <w:szCs w:val="36"/>
          <w:lang w:eastAsia="es-EC"/>
        </w:rPr>
        <w:t xml:space="preserve"> </w:t>
      </w:r>
      <w:r w:rsidRPr="00D13792">
        <w:rPr>
          <w:sz w:val="20"/>
          <w:szCs w:val="20"/>
        </w:rPr>
        <w:t xml:space="preserve">Santiago Medina Villarreal y la Corporación para la Defensa y Promoción de los Derechos Humanos REINICIAR el 13 de mayo de 2016, sobre la alegada excepción preliminar </w:t>
      </w:r>
      <w:r w:rsidRPr="00D13792">
        <w:rPr>
          <w:i/>
          <w:sz w:val="20"/>
          <w:szCs w:val="20"/>
        </w:rPr>
        <w:t>ratione temporis</w:t>
      </w:r>
      <w:r w:rsidRPr="00D13792">
        <w:rPr>
          <w:sz w:val="20"/>
          <w:szCs w:val="20"/>
        </w:rPr>
        <w:t xml:space="preserve"> interpuesta por el Estado de Guatemala, la utilización de categorías penales para determinar violaciones de derechos humanos y los alegados actos y prácticas genocidas contra del pueblo maya achí.</w:t>
      </w:r>
    </w:p>
    <w:p w14:paraId="112CA162" w14:textId="77777777" w:rsidR="006A0E1C" w:rsidRPr="00D13792" w:rsidRDefault="006A0E1C" w:rsidP="006A0E1C">
      <w:pPr>
        <w:spacing w:line="240" w:lineRule="auto"/>
        <w:jc w:val="center"/>
        <w:rPr>
          <w:sz w:val="16"/>
          <w:szCs w:val="20"/>
        </w:rPr>
      </w:pPr>
    </w:p>
    <w:p w14:paraId="7837F26E" w14:textId="77777777" w:rsidR="006A0E1C" w:rsidRPr="00D13792" w:rsidRDefault="006A0E1C" w:rsidP="006A0E1C">
      <w:pPr>
        <w:numPr>
          <w:ilvl w:val="0"/>
          <w:numId w:val="6"/>
        </w:numPr>
        <w:tabs>
          <w:tab w:val="left" w:pos="567"/>
        </w:tabs>
        <w:spacing w:line="240" w:lineRule="auto"/>
        <w:ind w:right="4"/>
        <w:rPr>
          <w:b/>
          <w:spacing w:val="-2"/>
          <w:sz w:val="20"/>
          <w:szCs w:val="20"/>
        </w:rPr>
      </w:pPr>
      <w:r w:rsidRPr="00D13792">
        <w:rPr>
          <w:i/>
          <w:sz w:val="20"/>
          <w:szCs w:val="20"/>
        </w:rPr>
        <w:t xml:space="preserve">Alegatos y observaciones finales escritos. – </w:t>
      </w:r>
      <w:r w:rsidRPr="00D13792">
        <w:rPr>
          <w:sz w:val="20"/>
          <w:szCs w:val="20"/>
        </w:rPr>
        <w:t>La Corte recibió los alegatos y las observaciones finales escritas de los representantes, el Estado y la Comisión, respectivamente, el 30 de mayo</w:t>
      </w:r>
      <w:r w:rsidRPr="00D13792">
        <w:rPr>
          <w:spacing w:val="-2"/>
          <w:sz w:val="20"/>
          <w:szCs w:val="20"/>
        </w:rPr>
        <w:t xml:space="preserve"> de 2016. En su escrito, el Estado remitió una “Propuesta a un Acuerdo de Solución”. Además, los días 31 de mayo y 2 de junio de 2016 los representantes remitieron documentos solicitados como prueba para mejor resolver, así como una lista general de víctimas y de certificados que establecerían su identidad.</w:t>
      </w:r>
    </w:p>
    <w:p w14:paraId="155C7141" w14:textId="77777777" w:rsidR="006A0E1C" w:rsidRPr="00D13792" w:rsidRDefault="006A0E1C" w:rsidP="006A0E1C">
      <w:pPr>
        <w:tabs>
          <w:tab w:val="left" w:pos="567"/>
        </w:tabs>
        <w:spacing w:line="240" w:lineRule="auto"/>
        <w:ind w:right="4"/>
        <w:rPr>
          <w:spacing w:val="-2"/>
          <w:sz w:val="16"/>
          <w:szCs w:val="20"/>
        </w:rPr>
      </w:pPr>
    </w:p>
    <w:p w14:paraId="167197DE" w14:textId="77777777" w:rsidR="006A0E1C" w:rsidRPr="00D13792" w:rsidRDefault="006A0E1C" w:rsidP="006A0E1C">
      <w:pPr>
        <w:numPr>
          <w:ilvl w:val="0"/>
          <w:numId w:val="6"/>
        </w:numPr>
        <w:tabs>
          <w:tab w:val="left" w:pos="567"/>
        </w:tabs>
        <w:spacing w:line="240" w:lineRule="auto"/>
        <w:ind w:right="4"/>
        <w:rPr>
          <w:spacing w:val="-2"/>
          <w:sz w:val="20"/>
          <w:szCs w:val="20"/>
        </w:rPr>
      </w:pPr>
      <w:r w:rsidRPr="00D13792">
        <w:rPr>
          <w:i/>
          <w:spacing w:val="-2"/>
          <w:sz w:val="20"/>
          <w:szCs w:val="20"/>
        </w:rPr>
        <w:t xml:space="preserve">Observaciones </w:t>
      </w:r>
      <w:bookmarkEnd w:id="47"/>
      <w:bookmarkEnd w:id="48"/>
      <w:r w:rsidRPr="00D13792">
        <w:rPr>
          <w:i/>
          <w:spacing w:val="-2"/>
          <w:sz w:val="20"/>
          <w:szCs w:val="20"/>
        </w:rPr>
        <w:t>de los representantes, el Estado y la Comisión. -</w:t>
      </w:r>
      <w:r w:rsidRPr="00D13792">
        <w:rPr>
          <w:spacing w:val="-2"/>
          <w:sz w:val="20"/>
          <w:szCs w:val="20"/>
        </w:rPr>
        <w:t xml:space="preserve"> El 20 de junio de 2016 los representantes remitieron dos escritos mediante los cuales señalaron que no tenían observaciones a los anexos remitidos por el Estado junto con sus alegatos finales escritos y que no aceptaban el acuerdo propuesto. La Comisión presentó sus observaciones al acuerdo propuesto el 28 de junio de 2016, de forma extemporánea.  </w:t>
      </w:r>
    </w:p>
    <w:p w14:paraId="1EDBDD8B" w14:textId="77777777" w:rsidR="006A0E1C" w:rsidRPr="00D13792" w:rsidRDefault="006A0E1C" w:rsidP="006A0E1C">
      <w:pPr>
        <w:pStyle w:val="MediumGrid1-Accent21"/>
        <w:spacing w:line="240" w:lineRule="auto"/>
        <w:rPr>
          <w:spacing w:val="-2"/>
          <w:sz w:val="16"/>
          <w:szCs w:val="20"/>
        </w:rPr>
      </w:pPr>
    </w:p>
    <w:p w14:paraId="73CED251" w14:textId="77777777" w:rsidR="006A0E1C" w:rsidRPr="00D13792" w:rsidRDefault="006A0E1C" w:rsidP="006A0E1C">
      <w:pPr>
        <w:numPr>
          <w:ilvl w:val="0"/>
          <w:numId w:val="6"/>
        </w:numPr>
        <w:tabs>
          <w:tab w:val="left" w:pos="567"/>
        </w:tabs>
        <w:spacing w:line="240" w:lineRule="auto"/>
        <w:ind w:right="4"/>
        <w:rPr>
          <w:spacing w:val="-2"/>
          <w:sz w:val="20"/>
          <w:szCs w:val="20"/>
        </w:rPr>
      </w:pPr>
      <w:r w:rsidRPr="00D13792">
        <w:rPr>
          <w:i/>
          <w:spacing w:val="-2"/>
          <w:sz w:val="20"/>
          <w:szCs w:val="20"/>
        </w:rPr>
        <w:t xml:space="preserve">Deliberación del presente caso. - </w:t>
      </w:r>
      <w:r w:rsidRPr="00D13792">
        <w:rPr>
          <w:spacing w:val="-2"/>
          <w:sz w:val="20"/>
          <w:szCs w:val="20"/>
        </w:rPr>
        <w:t>La Corte inició la deliberación de la presente Sentencia el 25 de noviembre de 2016.</w:t>
      </w:r>
    </w:p>
    <w:bookmarkEnd w:id="28"/>
    <w:bookmarkEnd w:id="39"/>
    <w:bookmarkEnd w:id="40"/>
    <w:p w14:paraId="60676FCD" w14:textId="77777777" w:rsidR="006A0E1C" w:rsidRPr="00D13792" w:rsidRDefault="006A0E1C" w:rsidP="006A0E1C">
      <w:pPr>
        <w:tabs>
          <w:tab w:val="left" w:pos="567"/>
        </w:tabs>
        <w:autoSpaceDE w:val="0"/>
        <w:autoSpaceDN w:val="0"/>
        <w:spacing w:line="240" w:lineRule="auto"/>
        <w:rPr>
          <w:rFonts w:eastAsia="Calibri" w:cs="Verdana"/>
          <w:spacing w:val="-2"/>
          <w:sz w:val="16"/>
          <w:szCs w:val="20"/>
        </w:rPr>
      </w:pPr>
    </w:p>
    <w:p w14:paraId="7B38E768" w14:textId="77777777" w:rsidR="006A0E1C" w:rsidRPr="00D13792" w:rsidRDefault="006A0E1C" w:rsidP="006A0E1C">
      <w:pPr>
        <w:pStyle w:val="Heading1"/>
        <w:rPr>
          <w:lang w:val="es-CR"/>
        </w:rPr>
      </w:pPr>
      <w:bookmarkStart w:id="49" w:name="_Toc373093237"/>
      <w:bookmarkStart w:id="50" w:name="_Toc373350049"/>
      <w:bookmarkStart w:id="51" w:name="_Toc375560895"/>
      <w:bookmarkStart w:id="52" w:name="_Toc401931879"/>
      <w:bookmarkStart w:id="53" w:name="_Toc428369978"/>
      <w:bookmarkStart w:id="54" w:name="_Toc469669989"/>
      <w:r w:rsidRPr="00D13792">
        <w:rPr>
          <w:lang w:val="es-CR"/>
        </w:rPr>
        <w:t>III</w:t>
      </w:r>
      <w:bookmarkStart w:id="55" w:name="_Toc375062724"/>
      <w:bookmarkStart w:id="56" w:name="_Toc375140874"/>
      <w:bookmarkStart w:id="57" w:name="_Toc375504833"/>
      <w:bookmarkStart w:id="58" w:name="_Toc375560907"/>
      <w:bookmarkEnd w:id="49"/>
      <w:bookmarkEnd w:id="50"/>
      <w:bookmarkEnd w:id="51"/>
      <w:r w:rsidRPr="00D13792">
        <w:rPr>
          <w:lang w:val="es-CR"/>
        </w:rPr>
        <w:br/>
        <w:t>COMPETENCIA</w:t>
      </w:r>
      <w:bookmarkEnd w:id="52"/>
      <w:bookmarkEnd w:id="53"/>
      <w:bookmarkEnd w:id="54"/>
      <w:bookmarkEnd w:id="55"/>
      <w:bookmarkEnd w:id="56"/>
      <w:bookmarkEnd w:id="57"/>
      <w:bookmarkEnd w:id="58"/>
    </w:p>
    <w:p w14:paraId="51127C1D" w14:textId="77777777" w:rsidR="006A0E1C" w:rsidRPr="00D13792" w:rsidRDefault="006A0E1C" w:rsidP="006A0E1C">
      <w:pPr>
        <w:tabs>
          <w:tab w:val="left" w:pos="567"/>
          <w:tab w:val="left" w:pos="720"/>
        </w:tabs>
        <w:spacing w:line="240" w:lineRule="auto"/>
        <w:rPr>
          <w:rFonts w:eastAsia="Calibri" w:cs="Verdana"/>
          <w:b/>
          <w:bCs/>
          <w:spacing w:val="-2"/>
          <w:sz w:val="16"/>
          <w:szCs w:val="20"/>
        </w:rPr>
      </w:pPr>
    </w:p>
    <w:p w14:paraId="4D303DC6" w14:textId="77777777" w:rsidR="006A0E1C" w:rsidRPr="00D13792" w:rsidRDefault="006A0E1C" w:rsidP="006A0E1C">
      <w:pPr>
        <w:numPr>
          <w:ilvl w:val="0"/>
          <w:numId w:val="6"/>
        </w:numPr>
        <w:tabs>
          <w:tab w:val="left" w:pos="567"/>
        </w:tabs>
        <w:spacing w:line="240" w:lineRule="auto"/>
        <w:ind w:right="4"/>
        <w:rPr>
          <w:rFonts w:eastAsia="Calibri" w:cs="Verdana"/>
          <w:spacing w:val="-2"/>
          <w:sz w:val="20"/>
          <w:szCs w:val="20"/>
          <w:lang w:eastAsia="en-US"/>
        </w:rPr>
      </w:pPr>
      <w:bookmarkStart w:id="59" w:name="_Toc372568233"/>
      <w:bookmarkStart w:id="60" w:name="_Toc373093242"/>
      <w:bookmarkStart w:id="61" w:name="_Toc373350053"/>
      <w:bookmarkStart w:id="62" w:name="_Toc375560899"/>
      <w:bookmarkStart w:id="63" w:name="_Toc401931880"/>
      <w:r w:rsidRPr="00D13792">
        <w:rPr>
          <w:rFonts w:eastAsia="Calibri" w:cs="Verdana"/>
          <w:spacing w:val="-2"/>
          <w:sz w:val="20"/>
          <w:szCs w:val="20"/>
          <w:lang w:eastAsia="en-US"/>
        </w:rPr>
        <w:t>La Corte Interamericana es competente, en los términos del artículo 62.3 de la Convención Americana, para conocer el presente caso, debido a que Guatemala es Estado Parte de la Convención Americana desde el 25 de mayo de 1978 y reconoció la competencia contenciosa de la Corte el 9 de marzo de 1987</w:t>
      </w:r>
      <w:r w:rsidRPr="00D13792">
        <w:rPr>
          <w:rStyle w:val="FootnoteReference"/>
          <w:sz w:val="20"/>
          <w:szCs w:val="20"/>
        </w:rPr>
        <w:footnoteReference w:id="8"/>
      </w:r>
      <w:r w:rsidRPr="00D13792">
        <w:rPr>
          <w:rFonts w:eastAsia="Calibri" w:cs="Verdana"/>
          <w:spacing w:val="-2"/>
          <w:sz w:val="20"/>
          <w:szCs w:val="20"/>
          <w:lang w:eastAsia="en-US"/>
        </w:rPr>
        <w:t xml:space="preserve">. </w:t>
      </w:r>
    </w:p>
    <w:p w14:paraId="4EBEBB95" w14:textId="77777777" w:rsidR="006A0E1C" w:rsidRPr="00D13792" w:rsidRDefault="006A0E1C" w:rsidP="006A0E1C">
      <w:pPr>
        <w:widowControl/>
        <w:tabs>
          <w:tab w:val="left" w:pos="567"/>
        </w:tabs>
        <w:autoSpaceDE w:val="0"/>
        <w:autoSpaceDN w:val="0"/>
        <w:spacing w:line="240" w:lineRule="auto"/>
        <w:textAlignment w:val="auto"/>
        <w:rPr>
          <w:rFonts w:eastAsia="Calibri" w:cs="Verdana"/>
          <w:spacing w:val="-2"/>
          <w:sz w:val="20"/>
          <w:szCs w:val="20"/>
          <w:lang w:eastAsia="en-US"/>
        </w:rPr>
      </w:pPr>
    </w:p>
    <w:p w14:paraId="062F1721" w14:textId="77777777" w:rsidR="006A0E1C" w:rsidRPr="00D13792" w:rsidRDefault="006A0E1C" w:rsidP="006A0E1C">
      <w:pPr>
        <w:pStyle w:val="Heading1"/>
        <w:rPr>
          <w:lang w:val="es-CR"/>
        </w:rPr>
      </w:pPr>
      <w:bookmarkStart w:id="64" w:name="_Toc469669990"/>
      <w:r w:rsidRPr="00D13792">
        <w:rPr>
          <w:lang w:val="es-CR"/>
        </w:rPr>
        <w:t>IV</w:t>
      </w:r>
      <w:bookmarkEnd w:id="64"/>
    </w:p>
    <w:p w14:paraId="5796F1DA" w14:textId="77777777" w:rsidR="006A0E1C" w:rsidRPr="00D13792" w:rsidRDefault="006A0E1C" w:rsidP="006A0E1C">
      <w:pPr>
        <w:pStyle w:val="Heading1"/>
        <w:rPr>
          <w:lang w:val="es-CR"/>
        </w:rPr>
      </w:pPr>
      <w:bookmarkStart w:id="65" w:name="_Toc469669991"/>
      <w:r w:rsidRPr="00D13792">
        <w:rPr>
          <w:lang w:val="es-CR"/>
        </w:rPr>
        <w:t>EXCEPCIONES PRELIMINARES</w:t>
      </w:r>
      <w:bookmarkEnd w:id="65"/>
    </w:p>
    <w:p w14:paraId="54C9201F" w14:textId="77777777" w:rsidR="006A0E1C" w:rsidRPr="00D13792" w:rsidRDefault="006A0E1C" w:rsidP="006A0E1C">
      <w:pPr>
        <w:widowControl/>
        <w:tabs>
          <w:tab w:val="left" w:pos="540"/>
        </w:tabs>
        <w:autoSpaceDE w:val="0"/>
        <w:autoSpaceDN w:val="0"/>
        <w:spacing w:line="240" w:lineRule="auto"/>
        <w:contextualSpacing/>
        <w:textAlignment w:val="auto"/>
        <w:rPr>
          <w:rFonts w:eastAsia="Batang" w:cs="Arial"/>
          <w:iCs/>
          <w:spacing w:val="-2"/>
          <w:sz w:val="16"/>
          <w:szCs w:val="20"/>
          <w:lang w:eastAsia="en-US"/>
        </w:rPr>
      </w:pPr>
    </w:p>
    <w:p w14:paraId="42E21CA1" w14:textId="77777777" w:rsidR="006A0E1C" w:rsidRPr="00D13792" w:rsidRDefault="006A0E1C" w:rsidP="006A0E1C">
      <w:pPr>
        <w:numPr>
          <w:ilvl w:val="0"/>
          <w:numId w:val="6"/>
        </w:numPr>
        <w:tabs>
          <w:tab w:val="left" w:pos="567"/>
        </w:tabs>
        <w:spacing w:line="240" w:lineRule="auto"/>
        <w:ind w:right="4"/>
        <w:rPr>
          <w:rFonts w:eastAsia="Batang" w:cs="Arial"/>
          <w:b/>
          <w:iCs/>
          <w:spacing w:val="-2"/>
          <w:sz w:val="20"/>
          <w:szCs w:val="20"/>
          <w:lang w:eastAsia="en-US"/>
        </w:rPr>
      </w:pPr>
      <w:r w:rsidRPr="00D13792">
        <w:rPr>
          <w:rFonts w:eastAsia="Batang" w:cs="Arial"/>
          <w:iCs/>
          <w:spacing w:val="-2"/>
          <w:sz w:val="20"/>
          <w:szCs w:val="20"/>
          <w:lang w:eastAsia="en-US"/>
        </w:rPr>
        <w:t xml:space="preserve">El Estado presentó en su escrito de contestación las siguientes excepciones preliminares: A) falta de competencia </w:t>
      </w:r>
      <w:r w:rsidRPr="00D13792">
        <w:rPr>
          <w:rFonts w:eastAsia="Batang" w:cs="Arial"/>
          <w:i/>
          <w:iCs/>
          <w:spacing w:val="-2"/>
          <w:sz w:val="20"/>
          <w:szCs w:val="20"/>
          <w:lang w:eastAsia="en-US"/>
        </w:rPr>
        <w:t>ratione temporis</w:t>
      </w:r>
      <w:r w:rsidRPr="00D13792">
        <w:rPr>
          <w:rFonts w:eastAsia="Batang" w:cs="Arial"/>
          <w:iCs/>
          <w:spacing w:val="-2"/>
          <w:sz w:val="20"/>
          <w:szCs w:val="20"/>
          <w:lang w:eastAsia="en-US"/>
        </w:rPr>
        <w:t xml:space="preserve">; B) falta de competencia </w:t>
      </w:r>
      <w:r w:rsidRPr="00D13792">
        <w:rPr>
          <w:rFonts w:eastAsia="Batang" w:cs="Arial"/>
          <w:i/>
          <w:iCs/>
          <w:spacing w:val="-2"/>
          <w:sz w:val="20"/>
          <w:szCs w:val="20"/>
          <w:lang w:eastAsia="en-US"/>
        </w:rPr>
        <w:t>ratione materiae</w:t>
      </w:r>
      <w:r w:rsidRPr="00D13792">
        <w:rPr>
          <w:rFonts w:eastAsia="Batang" w:cs="Arial"/>
          <w:iCs/>
          <w:spacing w:val="-2"/>
          <w:sz w:val="20"/>
          <w:szCs w:val="20"/>
          <w:lang w:eastAsia="en-US"/>
        </w:rPr>
        <w:t>; C) falta de agotamiento de recursos internos, y D) “</w:t>
      </w:r>
      <w:r w:rsidRPr="00D13792">
        <w:rPr>
          <w:rFonts w:eastAsia="Calibri"/>
          <w:bCs/>
          <w:sz w:val="20"/>
          <w:szCs w:val="20"/>
          <w:lang w:eastAsia="en-US"/>
        </w:rPr>
        <w:t xml:space="preserve">carencia de la facultad para presentar otra reclamación </w:t>
      </w:r>
      <w:r w:rsidRPr="00D13792">
        <w:rPr>
          <w:rFonts w:eastAsia="Calibri"/>
          <w:bCs/>
          <w:sz w:val="20"/>
          <w:szCs w:val="20"/>
          <w:lang w:eastAsia="en-US"/>
        </w:rPr>
        <w:lastRenderedPageBreak/>
        <w:t xml:space="preserve">en contra del Estado de Guatemala por los mismos hechos”. </w:t>
      </w:r>
    </w:p>
    <w:p w14:paraId="77711E62" w14:textId="77777777" w:rsidR="006A0E1C" w:rsidRPr="00D13792" w:rsidRDefault="006A0E1C" w:rsidP="006A0E1C">
      <w:pPr>
        <w:pStyle w:val="Heading2"/>
        <w:rPr>
          <w:rFonts w:eastAsia="Batang"/>
          <w:lang w:val="es-CR"/>
        </w:rPr>
      </w:pPr>
    </w:p>
    <w:p w14:paraId="49A783E5" w14:textId="77777777" w:rsidR="006A0E1C" w:rsidRPr="00D13792" w:rsidRDefault="006A0E1C" w:rsidP="006A0E1C">
      <w:pPr>
        <w:pStyle w:val="Heading2"/>
        <w:rPr>
          <w:rFonts w:eastAsia="Batang"/>
          <w:lang w:val="es-CR"/>
        </w:rPr>
      </w:pPr>
      <w:bookmarkStart w:id="66" w:name="_Toc469669992"/>
      <w:r w:rsidRPr="00D13792">
        <w:rPr>
          <w:rFonts w:eastAsia="Batang"/>
          <w:lang w:val="es-CR"/>
        </w:rPr>
        <w:t>A. Excepción de falta de competencia ratione temporis</w:t>
      </w:r>
      <w:bookmarkEnd w:id="66"/>
    </w:p>
    <w:p w14:paraId="3A7BD06B" w14:textId="77777777" w:rsidR="006A0E1C" w:rsidRPr="00D13792" w:rsidRDefault="006A0E1C" w:rsidP="006A0E1C">
      <w:pPr>
        <w:widowControl/>
        <w:tabs>
          <w:tab w:val="left" w:pos="567"/>
        </w:tabs>
        <w:autoSpaceDE w:val="0"/>
        <w:autoSpaceDN w:val="0"/>
        <w:adjustRightInd/>
        <w:spacing w:line="240" w:lineRule="auto"/>
        <w:contextualSpacing/>
        <w:textAlignment w:val="auto"/>
        <w:rPr>
          <w:rFonts w:eastAsia="Batang" w:cs="Arial"/>
          <w:b/>
          <w:iCs/>
          <w:spacing w:val="-2"/>
          <w:sz w:val="16"/>
          <w:szCs w:val="20"/>
          <w:lang w:eastAsia="en-US"/>
        </w:rPr>
      </w:pPr>
    </w:p>
    <w:p w14:paraId="3AF765C0" w14:textId="77777777" w:rsidR="006A0E1C" w:rsidRPr="00D13792" w:rsidRDefault="006A0E1C" w:rsidP="006A0E1C">
      <w:pPr>
        <w:pStyle w:val="Heading4"/>
        <w:ind w:left="0" w:firstLine="0"/>
        <w:rPr>
          <w:lang w:val="es-CR"/>
        </w:rPr>
      </w:pPr>
      <w:r w:rsidRPr="00D13792">
        <w:rPr>
          <w:rFonts w:eastAsia="Batang"/>
          <w:lang w:val="es-CR"/>
        </w:rPr>
        <w:t xml:space="preserve">A.1. </w:t>
      </w:r>
      <w:r w:rsidRPr="00D13792">
        <w:rPr>
          <w:lang w:val="es-CR"/>
        </w:rPr>
        <w:t>Argumentos de la Comisión y de las partes</w:t>
      </w:r>
    </w:p>
    <w:p w14:paraId="4007382A" w14:textId="77777777" w:rsidR="006A0E1C" w:rsidRPr="00D13792" w:rsidRDefault="006A0E1C" w:rsidP="006A0E1C">
      <w:pPr>
        <w:tabs>
          <w:tab w:val="left" w:pos="720"/>
        </w:tabs>
        <w:spacing w:line="240" w:lineRule="auto"/>
        <w:rPr>
          <w:bCs/>
          <w:i/>
          <w:sz w:val="20"/>
          <w:szCs w:val="20"/>
        </w:rPr>
      </w:pPr>
    </w:p>
    <w:p w14:paraId="70026CAF" w14:textId="77777777" w:rsidR="006A0E1C" w:rsidRPr="00D13792" w:rsidRDefault="006A0E1C" w:rsidP="006A0E1C">
      <w:pPr>
        <w:numPr>
          <w:ilvl w:val="0"/>
          <w:numId w:val="6"/>
        </w:numPr>
        <w:tabs>
          <w:tab w:val="left" w:pos="567"/>
        </w:tabs>
        <w:spacing w:line="240" w:lineRule="auto"/>
        <w:ind w:right="4"/>
        <w:rPr>
          <w:rFonts w:eastAsia="Calibri" w:cs="Verdana"/>
          <w:spacing w:val="-2"/>
          <w:sz w:val="20"/>
          <w:szCs w:val="20"/>
        </w:rPr>
      </w:pPr>
      <w:r w:rsidRPr="00D13792">
        <w:rPr>
          <w:sz w:val="20"/>
          <w:szCs w:val="20"/>
        </w:rPr>
        <w:t xml:space="preserve">El </w:t>
      </w:r>
      <w:r w:rsidRPr="00D13792">
        <w:rPr>
          <w:b/>
          <w:i/>
          <w:sz w:val="20"/>
          <w:szCs w:val="20"/>
        </w:rPr>
        <w:t>Estado</w:t>
      </w:r>
      <w:r w:rsidRPr="00D13792">
        <w:rPr>
          <w:sz w:val="20"/>
          <w:szCs w:val="20"/>
        </w:rPr>
        <w:t xml:space="preserve"> interpuso la excepción de falta de competencia </w:t>
      </w:r>
      <w:r w:rsidRPr="00D13792">
        <w:rPr>
          <w:i/>
          <w:sz w:val="20"/>
          <w:szCs w:val="20"/>
        </w:rPr>
        <w:t>ratione temporis</w:t>
      </w:r>
      <w:r w:rsidRPr="00D13792">
        <w:rPr>
          <w:sz w:val="20"/>
          <w:szCs w:val="20"/>
        </w:rPr>
        <w:t>. Sostuvo que el 9 de marzo de 1987 “presentó una reserva por medio de la cual limit[ó] la competencia de la Corte […al conocimiento] de asuntos posteriores a la fecha en que dicha declaración [fue] presentada”. Indicó que la Corte “no puede extender su competencia temporal […] alegando [una] conducta continuada o permanente […], utilizando como base una excepción al principio de irretroactividad de los tratados”. Explicó la diferencia entre un delito continuado y uno permanente en su ordenamiento interno, y señaló que la desaparición forzada es un delito permanente, ya que es de ejecución instantánea pero sus efectos persisten en el tiempo. Por ello, “Guatemala no acepta” que los hechos del caso sean considerados como desapariciones forzadas, ya que se estaría modificando “la tipificación de dicha conducta de manera retroactiva […]”. Finalmente, el Estado alegó “que en ningún momento pretende negar los hechos, ni pretende negarle a las víctimas, las reparaciones que les pudieran corresponder</w:t>
      </w:r>
      <w:r w:rsidRPr="00D13792">
        <w:rPr>
          <w:rFonts w:eastAsia="Calibri"/>
          <w:sz w:val="20"/>
          <w:szCs w:val="20"/>
          <w:lang w:eastAsia="en-US"/>
        </w:rPr>
        <w:t xml:space="preserve"> por ser víctimas del enfrentamiento armado</w:t>
      </w:r>
      <w:r w:rsidRPr="00D13792">
        <w:rPr>
          <w:sz w:val="20"/>
          <w:szCs w:val="20"/>
        </w:rPr>
        <w:t xml:space="preserve">”. En este sentido, manifestó que “conoce sus obligaciones respecto a los hechos ocurridos en el enfrentamiento armado [y por esta razón creó el] Programa Nacional de Resarcimiento”, el cual tiene por finalidad brindar reparaciones “a las víctimas de violaciones a derechos humanos cometidas por el Estado [y] por la insurgencia”. Sin embargo, esto no significa que esté retirando “su reserva para que la Corte pueda conocer de dichos hechos”. </w:t>
      </w:r>
    </w:p>
    <w:p w14:paraId="28107614" w14:textId="77777777" w:rsidR="006A0E1C" w:rsidRPr="00D13792" w:rsidRDefault="006A0E1C" w:rsidP="006A0E1C">
      <w:pPr>
        <w:widowControl/>
        <w:autoSpaceDE w:val="0"/>
        <w:autoSpaceDN w:val="0"/>
        <w:spacing w:line="240" w:lineRule="auto"/>
        <w:textAlignment w:val="auto"/>
        <w:rPr>
          <w:sz w:val="20"/>
          <w:szCs w:val="20"/>
        </w:rPr>
      </w:pPr>
    </w:p>
    <w:p w14:paraId="1A8EA486" w14:textId="77777777" w:rsidR="006A0E1C" w:rsidRPr="00D13792" w:rsidRDefault="006A0E1C" w:rsidP="006A0E1C">
      <w:pPr>
        <w:numPr>
          <w:ilvl w:val="0"/>
          <w:numId w:val="6"/>
        </w:numPr>
        <w:tabs>
          <w:tab w:val="left" w:pos="567"/>
        </w:tabs>
        <w:spacing w:line="240" w:lineRule="auto"/>
        <w:ind w:right="4"/>
      </w:pPr>
      <w:r w:rsidRPr="00D13792">
        <w:rPr>
          <w:rFonts w:eastAsia="Calibri" w:cs="Verdana"/>
          <w:spacing w:val="-2"/>
          <w:sz w:val="20"/>
          <w:szCs w:val="20"/>
          <w:lang w:eastAsia="en-US"/>
        </w:rPr>
        <w:t xml:space="preserve">En su escrito de sometimiento del caso, la </w:t>
      </w:r>
      <w:r w:rsidRPr="00D13792">
        <w:rPr>
          <w:b/>
          <w:i/>
          <w:sz w:val="20"/>
          <w:szCs w:val="20"/>
        </w:rPr>
        <w:t>Comisión</w:t>
      </w:r>
      <w:r w:rsidRPr="00D13792">
        <w:rPr>
          <w:sz w:val="20"/>
          <w:szCs w:val="20"/>
        </w:rPr>
        <w:t xml:space="preserve"> señaló que “somete a la jurisdicción de la Corte las acciones y omisiones estatales ocurridas o que continuaron ocurriendo con posterioridad al 9 de marzo de 1987, fecha de aceptación de la competencia contenciosa de la Corte […] por parte del Estado”. Lo anterior, “sin perjuicio de que […] Guatemala acepte la competencia de la Corte para conocer la totalidad del presente caso, de conformidad con lo estipulado en el artículo 62.2 de la Convención”. Sin embargo, en su escrito de observaciones a las excepciones preliminares, la Comisión alegó que el reconocimiento de responsabilidad realizado por el Estado ante ella y reiterado en su contestación ante la Corte implica una renuncia a la limitación temporal de competencia efectuada por Guatemala, “otorgando así su consentimiento para que el Tribunal examine los hechos ocurridos y se pronuncie sobre las violaciones que se configuren al respecto”.</w:t>
      </w:r>
      <w:r w:rsidRPr="00D13792">
        <w:rPr>
          <w:rFonts w:eastAsia="Calibri"/>
          <w:b/>
          <w:sz w:val="20"/>
          <w:szCs w:val="20"/>
          <w:lang w:eastAsia="en-US"/>
        </w:rPr>
        <w:t xml:space="preserve"> </w:t>
      </w:r>
      <w:r w:rsidRPr="00D13792">
        <w:rPr>
          <w:rFonts w:eastAsia="Calibri"/>
          <w:sz w:val="20"/>
          <w:szCs w:val="20"/>
          <w:lang w:eastAsia="en-US"/>
        </w:rPr>
        <w:t>Durante la audiencia pública, la</w:t>
      </w:r>
      <w:r w:rsidRPr="00D13792">
        <w:t xml:space="preserve"> </w:t>
      </w:r>
      <w:r w:rsidRPr="00D13792">
        <w:rPr>
          <w:rFonts w:eastAsia="Calibri"/>
          <w:sz w:val="20"/>
          <w:szCs w:val="20"/>
          <w:lang w:eastAsia="en-US"/>
        </w:rPr>
        <w:t>Comisión también señaló “violaciones que tuvieron inicio de ejecución antes de la aceptación de la competencia de la Corte [pero] continuaron ocurriendo con posterioridad a dicha fecha”. Sostuvo además que las investigaciones internas fueron iniciadas con posterioridad al reconocimiento de competencia del Tribunal. Finalmente, manifestó que lo que interpuso el Estado no fue una “reserva”.</w:t>
      </w:r>
      <w:r w:rsidRPr="00D13792">
        <w:t xml:space="preserve"> </w:t>
      </w:r>
    </w:p>
    <w:p w14:paraId="6D4A788D" w14:textId="77777777" w:rsidR="006A0E1C" w:rsidRPr="00D13792" w:rsidRDefault="006A0E1C" w:rsidP="006A0E1C">
      <w:pPr>
        <w:tabs>
          <w:tab w:val="left" w:pos="567"/>
        </w:tabs>
        <w:spacing w:line="240" w:lineRule="auto"/>
        <w:ind w:right="4"/>
        <w:rPr>
          <w:sz w:val="20"/>
          <w:szCs w:val="20"/>
        </w:rPr>
      </w:pPr>
    </w:p>
    <w:p w14:paraId="5CFFAB3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su escrito de solicitudes y argumentos, los </w:t>
      </w:r>
      <w:r w:rsidRPr="00D13792">
        <w:rPr>
          <w:b/>
          <w:i/>
          <w:sz w:val="20"/>
          <w:szCs w:val="20"/>
        </w:rPr>
        <w:t>representantes</w:t>
      </w:r>
      <w:r w:rsidRPr="00D13792">
        <w:rPr>
          <w:sz w:val="20"/>
          <w:szCs w:val="20"/>
        </w:rPr>
        <w:t xml:space="preserve"> señalaron que “la Corte puede conocer los actos o hechos que hayan tenido lugar con posterioridad [al 9 de marzo de 1987…] y que hayan generado violaciones […] de ejecución instantánea y </w:t>
      </w:r>
      <w:r w:rsidRPr="00D13792">
        <w:rPr>
          <w:rFonts w:eastAsia="Calibri"/>
          <w:sz w:val="20"/>
          <w:szCs w:val="20"/>
          <w:lang w:eastAsia="en-US"/>
        </w:rPr>
        <w:t>continuada</w:t>
      </w:r>
      <w:r w:rsidRPr="00D13792">
        <w:rPr>
          <w:sz w:val="20"/>
          <w:szCs w:val="20"/>
        </w:rPr>
        <w:t xml:space="preserve"> o permanente”, y aquellas “de carácter continuado o permanente aunque el primer acto de ejecución haya tenido lugar antes de la fecha de reconocimiento”. Sin embargo, en su escrito de observaciones a las excepciones preliminares, señalaron que el reconocimiento de responsabilidad efectuado por el Estado ante la Comisión y reiterado en su contestación ante la Corte implica una renuncia a la limitación temporal de competencia. </w:t>
      </w:r>
    </w:p>
    <w:p w14:paraId="575734EA" w14:textId="77777777" w:rsidR="006A0E1C" w:rsidRPr="00D13792" w:rsidRDefault="006A0E1C" w:rsidP="006A0E1C">
      <w:pPr>
        <w:pStyle w:val="Heading3"/>
        <w:ind w:left="0"/>
        <w:rPr>
          <w:b w:val="0"/>
          <w:i/>
          <w:sz w:val="16"/>
          <w:lang w:val="es-CR"/>
        </w:rPr>
      </w:pPr>
    </w:p>
    <w:p w14:paraId="4795E51A" w14:textId="77777777" w:rsidR="006A0E1C" w:rsidRPr="00D13792" w:rsidRDefault="006A0E1C" w:rsidP="006A0E1C">
      <w:pPr>
        <w:pStyle w:val="Heading4"/>
        <w:ind w:left="0" w:firstLine="0"/>
        <w:rPr>
          <w:b/>
          <w:lang w:val="es-CR"/>
        </w:rPr>
      </w:pPr>
      <w:r w:rsidRPr="00D13792">
        <w:rPr>
          <w:lang w:val="es-CR"/>
        </w:rPr>
        <w:t>A.2. Consideraciones de la Corte</w:t>
      </w:r>
    </w:p>
    <w:p w14:paraId="5C82E618" w14:textId="77777777" w:rsidR="006A0E1C" w:rsidRPr="00D13792" w:rsidRDefault="006A0E1C" w:rsidP="006A0E1C">
      <w:pPr>
        <w:spacing w:line="240" w:lineRule="auto"/>
        <w:rPr>
          <w:sz w:val="16"/>
          <w:szCs w:val="20"/>
        </w:rPr>
      </w:pPr>
    </w:p>
    <w:p w14:paraId="24C203C8" w14:textId="77777777" w:rsidR="006A0E1C" w:rsidRPr="00D13792" w:rsidRDefault="006A0E1C" w:rsidP="006A0E1C">
      <w:pPr>
        <w:numPr>
          <w:ilvl w:val="0"/>
          <w:numId w:val="6"/>
        </w:numPr>
        <w:tabs>
          <w:tab w:val="left" w:pos="567"/>
        </w:tabs>
        <w:spacing w:line="240" w:lineRule="auto"/>
        <w:ind w:right="4"/>
        <w:rPr>
          <w:rFonts w:eastAsia="Batang" w:cs="Times"/>
          <w:sz w:val="20"/>
          <w:szCs w:val="20"/>
          <w:lang w:eastAsia="en-US"/>
        </w:rPr>
      </w:pPr>
      <w:r w:rsidRPr="00D13792">
        <w:rPr>
          <w:rFonts w:eastAsia="Batang" w:cs="Times"/>
          <w:sz w:val="20"/>
          <w:szCs w:val="20"/>
          <w:lang w:eastAsia="en-US"/>
        </w:rPr>
        <w:t xml:space="preserve">El Tribunal observa que el Estado pretende inhibir a la Corte del conocimiento de los hechos del caso que hayan </w:t>
      </w:r>
      <w:r w:rsidRPr="00D13792">
        <w:rPr>
          <w:sz w:val="20"/>
          <w:szCs w:val="20"/>
        </w:rPr>
        <w:t>sucedido</w:t>
      </w:r>
      <w:r w:rsidRPr="00D13792">
        <w:rPr>
          <w:rFonts w:eastAsia="Batang" w:cs="Times"/>
          <w:sz w:val="20"/>
          <w:szCs w:val="20"/>
          <w:lang w:eastAsia="en-US"/>
        </w:rPr>
        <w:t xml:space="preserve"> con anterioridad al 9 de marzo de 1987, fecha en que </w:t>
      </w:r>
      <w:r w:rsidRPr="00D13792">
        <w:rPr>
          <w:rFonts w:eastAsia="Batang" w:cs="Times"/>
          <w:sz w:val="20"/>
          <w:szCs w:val="20"/>
          <w:lang w:eastAsia="en-US"/>
        </w:rPr>
        <w:lastRenderedPageBreak/>
        <w:t xml:space="preserve">Guatemala aceptó la competencia contenciosa del Tribunal, así como de aquellos hechos de carácter continuo o permanente cuyo primer acto de ejecución haya tenido lugar antes de dicha fecha. Lo anterior, con base en que habría interpuesto una “reserva” </w:t>
      </w:r>
      <w:r w:rsidRPr="00D13792">
        <w:rPr>
          <w:sz w:val="20"/>
          <w:szCs w:val="20"/>
        </w:rPr>
        <w:t>por medio de la cual limitó la competencia temporal del Tribunal.</w:t>
      </w:r>
    </w:p>
    <w:p w14:paraId="4217DA0F" w14:textId="77777777" w:rsidR="006A0E1C" w:rsidRPr="00D13792" w:rsidRDefault="006A0E1C" w:rsidP="006A0E1C">
      <w:pPr>
        <w:tabs>
          <w:tab w:val="left" w:pos="567"/>
        </w:tabs>
        <w:spacing w:line="240" w:lineRule="auto"/>
        <w:ind w:right="4"/>
        <w:rPr>
          <w:rFonts w:eastAsia="Batang" w:cs="Times"/>
          <w:sz w:val="20"/>
          <w:szCs w:val="20"/>
          <w:lang w:eastAsia="en-US"/>
        </w:rPr>
      </w:pPr>
    </w:p>
    <w:p w14:paraId="28155974"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A efectos de determinar si tiene o no competencia para conocer un caso o un aspecto del mismo, el Tribunal debe tomar en consideración la fecha de reconocimiento de la competencia por parte del Estado, los términos en que el mismo se ha dado y el principio de irretroactividad, dispuesto en el artículo 28 de la Convención de Viena sobre el Derecho de los Tratados de 1969</w:t>
      </w:r>
      <w:r w:rsidRPr="00D13792">
        <w:rPr>
          <w:rStyle w:val="FootnoteReference"/>
          <w:sz w:val="20"/>
          <w:szCs w:val="20"/>
        </w:rPr>
        <w:footnoteReference w:id="9"/>
      </w:r>
      <w:r w:rsidRPr="00D13792">
        <w:rPr>
          <w:sz w:val="20"/>
          <w:szCs w:val="20"/>
        </w:rPr>
        <w:t xml:space="preserve">. En el presente caso, es claro que la Corte puede conocer de los actos o hechos que hayan tenido lugar con posterioridad a la fecha de dicho reconocimiento. </w:t>
      </w:r>
    </w:p>
    <w:p w14:paraId="56156F1C" w14:textId="77777777" w:rsidR="006A0E1C" w:rsidRPr="00D13792" w:rsidRDefault="006A0E1C" w:rsidP="006A0E1C">
      <w:pPr>
        <w:tabs>
          <w:tab w:val="left" w:pos="567"/>
        </w:tabs>
        <w:spacing w:line="240" w:lineRule="auto"/>
        <w:ind w:right="4"/>
        <w:rPr>
          <w:sz w:val="20"/>
          <w:szCs w:val="20"/>
        </w:rPr>
      </w:pPr>
    </w:p>
    <w:p w14:paraId="0F54795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Por otro lado, el Tribunal también tiene competencia para conocer de violaciones de derechos humanos de carácter continuo o permanente aunque el primer acto de ejecución haya tenido lugar antes de la fecha del reconocimiento de competencia contenciosa de la Corte, si dichas violaciones persisten con posterioridad a dicho reconocimiento, puesto que se continúan cometiendo</w:t>
      </w:r>
      <w:r w:rsidRPr="00D13792">
        <w:rPr>
          <w:sz w:val="20"/>
          <w:szCs w:val="20"/>
          <w:vertAlign w:val="superscript"/>
        </w:rPr>
        <w:footnoteReference w:id="10"/>
      </w:r>
      <w:r w:rsidRPr="00D13792">
        <w:rPr>
          <w:sz w:val="20"/>
          <w:szCs w:val="20"/>
        </w:rPr>
        <w:t xml:space="preserve">. Así, se recuerda al Estado que </w:t>
      </w:r>
      <w:r w:rsidRPr="00D13792">
        <w:rPr>
          <w:rFonts w:eastAsia="Calibri" w:cs="Arial"/>
          <w:sz w:val="20"/>
          <w:szCs w:val="20"/>
        </w:rPr>
        <w:t xml:space="preserve">dentro del ámbito de su jurisdicción, corresponde a la </w:t>
      </w:r>
      <w:r w:rsidRPr="00D13792">
        <w:rPr>
          <w:sz w:val="20"/>
          <w:szCs w:val="20"/>
        </w:rPr>
        <w:t>Corte</w:t>
      </w:r>
      <w:r w:rsidRPr="00D13792">
        <w:rPr>
          <w:rFonts w:eastAsia="Calibri" w:cs="Arial"/>
          <w:sz w:val="20"/>
          <w:szCs w:val="20"/>
        </w:rPr>
        <w:t xml:space="preserve"> Interamericana </w:t>
      </w:r>
      <w:r w:rsidRPr="00D13792">
        <w:rPr>
          <w:rFonts w:eastAsia="Calibri"/>
          <w:sz w:val="20"/>
          <w:szCs w:val="20"/>
        </w:rPr>
        <w:t xml:space="preserve">evaluar las acciones u omisiones de agentes </w:t>
      </w:r>
      <w:r w:rsidRPr="00D13792">
        <w:rPr>
          <w:sz w:val="20"/>
          <w:szCs w:val="20"/>
          <w:lang w:eastAsia="es-ES"/>
        </w:rPr>
        <w:t>estatales</w:t>
      </w:r>
      <w:r w:rsidRPr="00D13792">
        <w:rPr>
          <w:rFonts w:eastAsia="Calibri"/>
          <w:sz w:val="20"/>
          <w:szCs w:val="20"/>
        </w:rPr>
        <w:t xml:space="preserve"> en los casos ante ella, según la prueba presentada por las partes, y calificar las mismas de conformidad con la Convención </w:t>
      </w:r>
      <w:r w:rsidRPr="00D13792">
        <w:rPr>
          <w:rFonts w:eastAsia="Calibri" w:cs="Arial"/>
          <w:sz w:val="20"/>
          <w:szCs w:val="20"/>
        </w:rPr>
        <w:t>Americana</w:t>
      </w:r>
      <w:r w:rsidRPr="00D13792">
        <w:rPr>
          <w:rFonts w:eastAsia="Calibri"/>
          <w:sz w:val="20"/>
          <w:szCs w:val="20"/>
        </w:rPr>
        <w:t xml:space="preserve"> y demás tratados interamericanos que le otorgan competencia, a fin de determinar si el Estado ha incurrido en responsabilidad internacional. </w:t>
      </w:r>
      <w:r w:rsidRPr="00D13792">
        <w:rPr>
          <w:rFonts w:eastAsia="Calibri"/>
          <w:sz w:val="20"/>
          <w:szCs w:val="20"/>
          <w:u w:val="single"/>
        </w:rPr>
        <w:t xml:space="preserve"> </w:t>
      </w:r>
    </w:p>
    <w:p w14:paraId="36BEBA5F" w14:textId="77777777" w:rsidR="006A0E1C" w:rsidRPr="00D13792" w:rsidRDefault="006A0E1C" w:rsidP="006A0E1C">
      <w:pPr>
        <w:tabs>
          <w:tab w:val="left" w:pos="567"/>
        </w:tabs>
        <w:spacing w:line="240" w:lineRule="auto"/>
        <w:ind w:right="4"/>
        <w:rPr>
          <w:sz w:val="20"/>
          <w:szCs w:val="20"/>
        </w:rPr>
      </w:pPr>
    </w:p>
    <w:p w14:paraId="4E008CDA"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Finalmente, la Comisión y los representantes argumentaron que el Tribunal también tendría competencia para conocer los hechos del caso de ejecución instantánea acaecidos con anterioridad a la fecha del reconocimiento de la competencia contenciosa de la Corte, con base en que el reconocimiento de responsabilidad en el presente caso realizado por el Estado ante la Comisión y reiterado en su contestación ante la Corte implicaría una renuncia a la limitación temporal de competencia. </w:t>
      </w:r>
    </w:p>
    <w:p w14:paraId="062865D5" w14:textId="77777777" w:rsidR="006A0E1C" w:rsidRPr="00D13792" w:rsidRDefault="006A0E1C" w:rsidP="006A0E1C">
      <w:pPr>
        <w:tabs>
          <w:tab w:val="left" w:pos="567"/>
        </w:tabs>
        <w:spacing w:line="240" w:lineRule="auto"/>
        <w:ind w:right="4"/>
        <w:rPr>
          <w:sz w:val="20"/>
          <w:szCs w:val="20"/>
        </w:rPr>
      </w:pPr>
    </w:p>
    <w:p w14:paraId="56D75FAA"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el presente caso, Guatemala reconoció su responsabilidad internacional dentro del proceso ante la Comisión. Sin embargo, antes de que esta emitiera su Informe de Fondo, Guatemala también manifestó que “no reconoce la competencia </w:t>
      </w:r>
      <w:r w:rsidRPr="00D13792">
        <w:rPr>
          <w:i/>
          <w:sz w:val="20"/>
          <w:szCs w:val="20"/>
        </w:rPr>
        <w:t>ratione temporis</w:t>
      </w:r>
      <w:r w:rsidRPr="00D13792">
        <w:rPr>
          <w:sz w:val="20"/>
          <w:szCs w:val="20"/>
        </w:rPr>
        <w:t xml:space="preserve"> de la Corte Interamericana […] para conocer el Caso […]”</w:t>
      </w:r>
      <w:r w:rsidRPr="00D13792">
        <w:rPr>
          <w:rStyle w:val="FootnoteReference"/>
          <w:sz w:val="20"/>
          <w:szCs w:val="20"/>
        </w:rPr>
        <w:footnoteReference w:id="11"/>
      </w:r>
      <w:r w:rsidRPr="00D13792">
        <w:rPr>
          <w:sz w:val="20"/>
          <w:szCs w:val="20"/>
        </w:rPr>
        <w:t xml:space="preserve">. Así, al someter el caso ante el Tribunal, </w:t>
      </w:r>
      <w:r w:rsidRPr="00D13792">
        <w:rPr>
          <w:rFonts w:eastAsia="Batang" w:cs="Times"/>
          <w:sz w:val="20"/>
          <w:szCs w:val="20"/>
          <w:lang w:eastAsia="en-US"/>
        </w:rPr>
        <w:t>la Comisión únicamente puso en conocimiento de este, “</w:t>
      </w:r>
      <w:r w:rsidRPr="00D13792">
        <w:rPr>
          <w:sz w:val="20"/>
          <w:szCs w:val="20"/>
        </w:rPr>
        <w:t>las acciones y omisiones estatales ocurridas o que continuaron ocurriendo con posterioridad al 9 de marzo de 1987, fecha de aceptación de la competencia contenciosa de la Corte Interamericana […]”, “sin perjuicio de que […] Guatemala acepte la competencia de la Corte para conocer la totalidad del presente caso”. Ahora bien, en el trámite ante esta Corte, es decir, en la contestación, en la audiencia pública y en sus alegatos finales escritos, Guatemala adoptó una posición consistente con el reconocimiento de responsabilidad efectuado ante la Comisión, en sentido que no negó los hechos del caso. Asimismo, durante la audiencia pública reconoció su responsabilidad internacional por los artículos 8 y 25 de la Convención, en relación con las investigaciones iniciadas en el presente caso a partir del año 1993 (</w:t>
      </w:r>
      <w:r w:rsidRPr="00D13792">
        <w:rPr>
          <w:i/>
          <w:sz w:val="20"/>
          <w:szCs w:val="20"/>
        </w:rPr>
        <w:t xml:space="preserve">infra </w:t>
      </w:r>
      <w:r w:rsidRPr="00D13792">
        <w:rPr>
          <w:sz w:val="20"/>
          <w:szCs w:val="20"/>
        </w:rPr>
        <w:t xml:space="preserve">párr. 51). Sin embargo, en todo momento negó expresamente su consentimiento a que el Tribunal conociera los hechos </w:t>
      </w:r>
      <w:r w:rsidRPr="00D13792">
        <w:rPr>
          <w:rFonts w:eastAsia="Batang" w:cs="Times"/>
          <w:sz w:val="20"/>
          <w:szCs w:val="20"/>
        </w:rPr>
        <w:t xml:space="preserve">ocurridos con anterioridad a la fecha en que aceptó su competencia. </w:t>
      </w:r>
    </w:p>
    <w:p w14:paraId="1F7DDAF2" w14:textId="77777777" w:rsidR="006A0E1C" w:rsidRPr="00D13792" w:rsidRDefault="006A0E1C" w:rsidP="006A0E1C">
      <w:pPr>
        <w:tabs>
          <w:tab w:val="left" w:pos="567"/>
        </w:tabs>
        <w:spacing w:line="240" w:lineRule="auto"/>
        <w:ind w:right="4"/>
        <w:rPr>
          <w:sz w:val="20"/>
          <w:szCs w:val="20"/>
        </w:rPr>
      </w:pPr>
    </w:p>
    <w:p w14:paraId="3A4535C1"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Al respecto, la Corte considera que un Estado puede renunciar a una limitación temporal </w:t>
      </w:r>
      <w:r w:rsidRPr="00D13792">
        <w:rPr>
          <w:sz w:val="20"/>
          <w:szCs w:val="20"/>
        </w:rPr>
        <w:lastRenderedPageBreak/>
        <w:t>al ejercicio de su competencia de forma expresa o tácita, como por ejemplo, a través de un reconocimiento de responsabilidad internacional. Sin embargo, la voluntad del Estado de ser juzgado debe desprenderse claramente de su conducta procesal</w:t>
      </w:r>
      <w:r w:rsidRPr="00D13792">
        <w:rPr>
          <w:rStyle w:val="FootnoteReference"/>
          <w:sz w:val="20"/>
          <w:szCs w:val="20"/>
        </w:rPr>
        <w:footnoteReference w:id="12"/>
      </w:r>
      <w:r w:rsidRPr="00D13792">
        <w:rPr>
          <w:sz w:val="20"/>
          <w:szCs w:val="20"/>
        </w:rPr>
        <w:t>. En casos anteriores en que la Corte ha examinado la totalidad o alguna parte de los hechos ocurridos con anterioridad al reconocimiento de su competencia y se ha pronunciado sobre las violaciones que se configuraron al respecto, los Estados concernidos otorgaron al Tribunal, de forma expresa o tácita, su consentimiento para ello</w:t>
      </w:r>
      <w:r w:rsidRPr="00D13792">
        <w:rPr>
          <w:rStyle w:val="FootnoteReference"/>
          <w:sz w:val="20"/>
          <w:szCs w:val="20"/>
        </w:rPr>
        <w:footnoteReference w:id="13"/>
      </w:r>
      <w:r w:rsidRPr="00D13792">
        <w:rPr>
          <w:sz w:val="20"/>
          <w:szCs w:val="20"/>
        </w:rPr>
        <w:t xml:space="preserve">. </w:t>
      </w:r>
    </w:p>
    <w:p w14:paraId="0C2BFDAA" w14:textId="77777777" w:rsidR="006A0E1C" w:rsidRPr="00D13792" w:rsidRDefault="006A0E1C" w:rsidP="006A0E1C">
      <w:pPr>
        <w:tabs>
          <w:tab w:val="left" w:pos="567"/>
        </w:tabs>
        <w:spacing w:line="240" w:lineRule="auto"/>
        <w:ind w:right="4"/>
        <w:rPr>
          <w:b/>
          <w:sz w:val="20"/>
          <w:szCs w:val="20"/>
        </w:rPr>
      </w:pPr>
    </w:p>
    <w:p w14:paraId="0EAF205A"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cs="Arial"/>
          <w:sz w:val="20"/>
          <w:szCs w:val="20"/>
        </w:rPr>
        <w:t xml:space="preserve">En </w:t>
      </w:r>
      <w:r w:rsidRPr="00D13792">
        <w:rPr>
          <w:sz w:val="20"/>
          <w:szCs w:val="20"/>
        </w:rPr>
        <w:t>consecuencia</w:t>
      </w:r>
      <w:r w:rsidRPr="00D13792">
        <w:rPr>
          <w:rFonts w:cs="Arial"/>
          <w:sz w:val="20"/>
          <w:szCs w:val="20"/>
        </w:rPr>
        <w:t xml:space="preserve">, la Corte considera que en el presente caso no tiene competencia </w:t>
      </w:r>
      <w:r w:rsidRPr="00D13792">
        <w:rPr>
          <w:rFonts w:cs="Arial"/>
          <w:i/>
          <w:iCs/>
          <w:sz w:val="20"/>
          <w:szCs w:val="20"/>
        </w:rPr>
        <w:t xml:space="preserve">ratione temporis </w:t>
      </w:r>
      <w:r w:rsidRPr="00D13792">
        <w:rPr>
          <w:rFonts w:cs="Arial"/>
          <w:sz w:val="20"/>
          <w:szCs w:val="20"/>
        </w:rPr>
        <w:t>para declarar violaciones a la Convención Americana por las detenciones arbitrarias, torturas, ejecuciones extrajudiciales, violaciones sexuales y otras formas de violencia sexual, trabajos forzosos y destrucción y robos de propiedad presuntamente cometidos entre los años 1981 y 1986 en perjuicio de los habitantes indígenas mayas achí de la aldea Chichupac y comunidades vecinas, en lo cual lleva razón el Estado. No obstante, no le asiste la razón al Estado en cuanto a las consecuencias continuas o permanentes de estos hechos, sea que se trate de delitos instantáneos o permanentes conforme al derecho penal interno. Cualquiera sea la calificación penal interna, lo continuo es la violación a la Convención que se sigue cometiendo en la actualidad, toda vez que la infracción de que conoce esta Corte es la de derecho internacional actual, dado que no juzga penalmente a los funcionarios, sino al Estado por violación a la Convención</w:t>
      </w:r>
      <w:r w:rsidRPr="00D13792">
        <w:rPr>
          <w:rFonts w:cs="Arial"/>
          <w:sz w:val="20"/>
          <w:szCs w:val="20"/>
          <w:vertAlign w:val="superscript"/>
        </w:rPr>
        <w:footnoteReference w:id="14"/>
      </w:r>
      <w:r w:rsidRPr="00D13792">
        <w:rPr>
          <w:rFonts w:cs="Arial"/>
          <w:sz w:val="20"/>
          <w:szCs w:val="20"/>
        </w:rPr>
        <w:t xml:space="preserve">. En tal sentido, yerra el Estado en cuanto objeta la competencia de la Corte respecto de la alegada desaparición forzada y la alegada omisión por parte del Estado de implementar garantías de retorno o un reasentamiento voluntario a favor de aquellas personas que permanecieron desplazadas luego del 9 de marzo de 1987, fecha a partir de la cual el Estado reconoció la competencia de la Corte, como también respecto de su alegada omisión de diligencia investigadora frente a graves violaciones a los derechos humanos, por ende, tampoco respecto de la reparación de los hechos. En vista de lo anterior, este Tribunal acoge parcialmente la excepción preliminar de falta de competencia </w:t>
      </w:r>
      <w:r w:rsidRPr="00D13792">
        <w:rPr>
          <w:rFonts w:cs="Arial"/>
          <w:i/>
          <w:iCs/>
          <w:sz w:val="20"/>
          <w:szCs w:val="20"/>
        </w:rPr>
        <w:t>ratione temporis.</w:t>
      </w:r>
    </w:p>
    <w:p w14:paraId="6F78DC02" w14:textId="77777777" w:rsidR="006A0E1C" w:rsidRPr="00D13792" w:rsidRDefault="006A0E1C" w:rsidP="006A0E1C">
      <w:pPr>
        <w:spacing w:line="240" w:lineRule="auto"/>
        <w:rPr>
          <w:sz w:val="20"/>
          <w:szCs w:val="20"/>
        </w:rPr>
      </w:pPr>
    </w:p>
    <w:p w14:paraId="0A9D253A" w14:textId="77777777" w:rsidR="006A0E1C" w:rsidRPr="00D13792" w:rsidRDefault="006A0E1C" w:rsidP="006A0E1C">
      <w:pPr>
        <w:pStyle w:val="Heading2"/>
        <w:rPr>
          <w:lang w:val="es-CR"/>
        </w:rPr>
      </w:pPr>
      <w:bookmarkStart w:id="67" w:name="_Toc469669993"/>
      <w:r w:rsidRPr="00D13792">
        <w:rPr>
          <w:lang w:val="es-CR"/>
        </w:rPr>
        <w:lastRenderedPageBreak/>
        <w:t xml:space="preserve">B. Excepción de falta de competencia </w:t>
      </w:r>
      <w:r w:rsidRPr="00D13792">
        <w:rPr>
          <w:i w:val="0"/>
          <w:lang w:val="es-CR"/>
        </w:rPr>
        <w:t>ratione materiae</w:t>
      </w:r>
      <w:bookmarkEnd w:id="67"/>
    </w:p>
    <w:p w14:paraId="49A9D625" w14:textId="77777777" w:rsidR="006A0E1C" w:rsidRPr="00D13792" w:rsidRDefault="006A0E1C" w:rsidP="006A0E1C">
      <w:pPr>
        <w:tabs>
          <w:tab w:val="left" w:pos="720"/>
        </w:tabs>
        <w:spacing w:line="240" w:lineRule="auto"/>
        <w:rPr>
          <w:bCs/>
          <w:i/>
          <w:sz w:val="20"/>
          <w:szCs w:val="20"/>
        </w:rPr>
      </w:pPr>
    </w:p>
    <w:p w14:paraId="13892C8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Estado opuso una excepción de falta de competencia </w:t>
      </w:r>
      <w:r w:rsidRPr="00D13792">
        <w:rPr>
          <w:i/>
          <w:sz w:val="20"/>
          <w:szCs w:val="20"/>
        </w:rPr>
        <w:t>ratione materiae</w:t>
      </w:r>
      <w:r w:rsidRPr="00D13792">
        <w:rPr>
          <w:sz w:val="20"/>
          <w:szCs w:val="20"/>
        </w:rPr>
        <w:t xml:space="preserve"> con base en cuatro argumentos: 1) la alegada falta de competencia de la Corte para conocer de supuestas violaciones a la Convención Interamericana sobre Desaparición Forzada de Personas (CIDFP) y a la Convención Interamericana para Prevenir, Sancionar y Erradicar la Violencia contra la Mujer (“Convención de Belém do Pará”); 2) la alegada falta de competencia del Tribunal para determinar la comisión de delitos; 3) la alegada falta de competencia de la Corte en materia penal para pronunciarse sobre si hubo o no genocidio, así como para pronunciarse acerca de una violación a la Convención para la Prevención y la Sanción del Delito de Genocidio; y 4) la alegada falta de competencia del Tribunal para decretar la invalidez de la amnistía. A continuación, la Corte analizará los alegatos presentados por el Estado. El argumento 3) será analizado, según corresponda, junto con los argumentos 1) y 2).</w:t>
      </w:r>
    </w:p>
    <w:p w14:paraId="107CE2ED" w14:textId="77777777" w:rsidR="006A0E1C" w:rsidRPr="00D13792" w:rsidRDefault="006A0E1C" w:rsidP="006A0E1C">
      <w:pPr>
        <w:tabs>
          <w:tab w:val="left" w:pos="567"/>
        </w:tabs>
        <w:spacing w:line="240" w:lineRule="auto"/>
        <w:ind w:right="4"/>
        <w:rPr>
          <w:sz w:val="20"/>
          <w:szCs w:val="20"/>
        </w:rPr>
      </w:pPr>
    </w:p>
    <w:p w14:paraId="221A48F5" w14:textId="77777777" w:rsidR="006A0E1C" w:rsidRPr="00D13792" w:rsidRDefault="006A0E1C" w:rsidP="006A0E1C">
      <w:pPr>
        <w:pStyle w:val="Heading3"/>
        <w:ind w:left="0"/>
        <w:rPr>
          <w:i/>
          <w:lang w:val="es-CR"/>
        </w:rPr>
      </w:pPr>
      <w:bookmarkStart w:id="68" w:name="_Toc469669994"/>
      <w:r w:rsidRPr="00D13792">
        <w:rPr>
          <w:i/>
          <w:lang w:val="es-CR"/>
        </w:rPr>
        <w:t>B.1. Alegada falta de competencia de la Corte para conocer de supuestas violaciones a la CIDFP, a la Convención de Belém do Pará y a la Convención para la Prevención y la Sanción del Delito de Genocidio</w:t>
      </w:r>
      <w:bookmarkEnd w:id="68"/>
    </w:p>
    <w:p w14:paraId="656DB4F2" w14:textId="77777777" w:rsidR="006A0E1C" w:rsidRPr="00D13792" w:rsidRDefault="006A0E1C" w:rsidP="006A0E1C">
      <w:pPr>
        <w:tabs>
          <w:tab w:val="left" w:pos="567"/>
        </w:tabs>
        <w:spacing w:line="240" w:lineRule="auto"/>
        <w:ind w:right="4"/>
        <w:rPr>
          <w:sz w:val="16"/>
          <w:szCs w:val="20"/>
        </w:rPr>
      </w:pPr>
    </w:p>
    <w:p w14:paraId="3CC38EDE" w14:textId="77777777" w:rsidR="006A0E1C" w:rsidRPr="00D13792" w:rsidRDefault="006A0E1C" w:rsidP="006A0E1C">
      <w:pPr>
        <w:pStyle w:val="Heading4"/>
        <w:ind w:left="0" w:firstLine="0"/>
        <w:rPr>
          <w:lang w:val="es-CR"/>
        </w:rPr>
      </w:pPr>
      <w:r w:rsidRPr="00D13792">
        <w:rPr>
          <w:lang w:val="es-CR"/>
        </w:rPr>
        <w:t>B.1.1. Argumentos de la Comisión y de las partes</w:t>
      </w:r>
    </w:p>
    <w:p w14:paraId="354CA427" w14:textId="77777777" w:rsidR="006A0E1C" w:rsidRPr="00D13792" w:rsidRDefault="006A0E1C" w:rsidP="006A0E1C">
      <w:pPr>
        <w:tabs>
          <w:tab w:val="left" w:pos="567"/>
        </w:tabs>
        <w:spacing w:line="240" w:lineRule="auto"/>
        <w:ind w:right="4"/>
        <w:rPr>
          <w:i/>
          <w:sz w:val="16"/>
          <w:szCs w:val="20"/>
        </w:rPr>
      </w:pPr>
      <w:r w:rsidRPr="00D13792">
        <w:rPr>
          <w:i/>
          <w:sz w:val="20"/>
          <w:szCs w:val="20"/>
        </w:rPr>
        <w:t xml:space="preserve"> </w:t>
      </w:r>
    </w:p>
    <w:p w14:paraId="58424D46"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
          <w:i/>
          <w:sz w:val="20"/>
          <w:szCs w:val="20"/>
        </w:rPr>
        <w:t>Estado</w:t>
      </w:r>
      <w:r w:rsidRPr="00D13792">
        <w:rPr>
          <w:sz w:val="20"/>
          <w:szCs w:val="20"/>
        </w:rPr>
        <w:t xml:space="preserve"> indicó que “la Corte carece de la competencia para conocer de supuestas violaciones a la [CIDFP], y de la Convención [de] Belém do Pará, ya que Guatemala no ha reconocido su competencia para conocer de violaciones a dichas convenciones”. </w:t>
      </w:r>
      <w:r w:rsidRPr="00D13792">
        <w:rPr>
          <w:rFonts w:eastAsia="Calibri" w:cs="Verdana"/>
          <w:spacing w:val="-2"/>
          <w:sz w:val="20"/>
          <w:szCs w:val="20"/>
        </w:rPr>
        <w:t xml:space="preserve">Asimismo, sostuvo que la desaparición forzada no estaba tipificada como delito en Guatemala en la época de los hechos del caso, y que debe aplicar </w:t>
      </w:r>
      <w:r w:rsidRPr="00D13792">
        <w:rPr>
          <w:sz w:val="20"/>
          <w:szCs w:val="20"/>
        </w:rPr>
        <w:t>su legislación nacional según los principios de que sin ley no hay delito, proceso ni pena. Finalmente, sostuvo que ni la Corte ni la Comisión “pueden pronunciarse acerca de la violación a la Convención para la Prevención y la Sanción del Delito de Genocidio”.</w:t>
      </w:r>
      <w:r w:rsidRPr="00D13792">
        <w:rPr>
          <w:b/>
          <w:sz w:val="20"/>
          <w:szCs w:val="20"/>
        </w:rPr>
        <w:t xml:space="preserve"> </w:t>
      </w:r>
    </w:p>
    <w:p w14:paraId="029B5FDC" w14:textId="77777777" w:rsidR="006A0E1C" w:rsidRPr="00D13792" w:rsidRDefault="006A0E1C" w:rsidP="006A0E1C">
      <w:pPr>
        <w:tabs>
          <w:tab w:val="left" w:pos="567"/>
        </w:tabs>
        <w:spacing w:line="240" w:lineRule="auto"/>
        <w:ind w:right="4"/>
        <w:rPr>
          <w:sz w:val="20"/>
          <w:szCs w:val="20"/>
        </w:rPr>
      </w:pPr>
    </w:p>
    <w:p w14:paraId="1DB91DD7" w14:textId="77777777" w:rsidR="006A0E1C" w:rsidRPr="00D13792" w:rsidRDefault="006A0E1C" w:rsidP="006A0E1C">
      <w:pPr>
        <w:numPr>
          <w:ilvl w:val="0"/>
          <w:numId w:val="6"/>
        </w:numPr>
        <w:tabs>
          <w:tab w:val="left" w:pos="567"/>
        </w:tabs>
        <w:spacing w:line="240" w:lineRule="auto"/>
        <w:ind w:right="4"/>
        <w:rPr>
          <w:b/>
          <w:sz w:val="20"/>
          <w:szCs w:val="20"/>
        </w:rPr>
      </w:pPr>
      <w:r w:rsidRPr="00D13792">
        <w:rPr>
          <w:sz w:val="20"/>
          <w:szCs w:val="20"/>
        </w:rPr>
        <w:t xml:space="preserve">La </w:t>
      </w:r>
      <w:r w:rsidRPr="00D13792">
        <w:rPr>
          <w:b/>
          <w:i/>
          <w:sz w:val="20"/>
          <w:szCs w:val="20"/>
        </w:rPr>
        <w:t>Comisión</w:t>
      </w:r>
      <w:r w:rsidRPr="00D13792">
        <w:rPr>
          <w:sz w:val="20"/>
          <w:szCs w:val="20"/>
        </w:rPr>
        <w:t xml:space="preserve"> argumentó que en reiteradas ocasiones la Corte ha aplicado el artículo 7 de la Convención de Belém do Pará. Igualmente, señaló que la Corte ha reiterado de manera consistente que el artículo XIII de la CIDFP, en relación con el artículo 62 de la Convención Americana, fija la facultad de la Corte para conocer de los asuntos relacionados con el cumplimiento de los compromisos contraídos por los Estados Partes en aquel instrumento. Además, sostuvo que la determinación de la existencia o no de una desaparición forzada es un asunto de fondo, por lo que no corresponde pronunciarse de forma preliminar. </w:t>
      </w:r>
    </w:p>
    <w:p w14:paraId="61BA8D4F" w14:textId="77777777" w:rsidR="006A0E1C" w:rsidRPr="00D13792" w:rsidRDefault="006A0E1C" w:rsidP="006A0E1C">
      <w:pPr>
        <w:tabs>
          <w:tab w:val="left" w:pos="567"/>
        </w:tabs>
        <w:spacing w:line="240" w:lineRule="auto"/>
        <w:ind w:right="4"/>
        <w:rPr>
          <w:sz w:val="20"/>
          <w:szCs w:val="20"/>
        </w:rPr>
      </w:pPr>
    </w:p>
    <w:p w14:paraId="4CCBF62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Los </w:t>
      </w:r>
      <w:r w:rsidRPr="00D13792">
        <w:rPr>
          <w:b/>
          <w:i/>
          <w:sz w:val="20"/>
          <w:szCs w:val="20"/>
        </w:rPr>
        <w:t>representantes</w:t>
      </w:r>
      <w:r w:rsidRPr="00D13792">
        <w:rPr>
          <w:sz w:val="20"/>
          <w:szCs w:val="20"/>
        </w:rPr>
        <w:t xml:space="preserve"> indicaron que la Corte es competente de conocer la violación del artículo I de la CIDFP, así como del artículo 7 de la Convención de Belém do Pará, porque Guatemala ratificó la primera el 25 de febrero de 2000 y la segunda el 4 de abril de 1995. Por otra parte, argumentaron que debe interpretarse que la prohibición del genocidio es una extensión del derecho a la vida reconocido en la Convención Americana, tomando en cuenta “la norma de interpretación 29(c)” de dicho tratado, así como el hecho de que Guatemala ha ratificado la Convención para la Prevención y la Sanción del Delito de Genocidio. </w:t>
      </w:r>
    </w:p>
    <w:p w14:paraId="47AE0F14" w14:textId="77777777" w:rsidR="006A0E1C" w:rsidRPr="00D13792" w:rsidRDefault="006A0E1C" w:rsidP="006A0E1C">
      <w:pPr>
        <w:tabs>
          <w:tab w:val="left" w:pos="567"/>
        </w:tabs>
        <w:spacing w:line="240" w:lineRule="auto"/>
        <w:ind w:right="4"/>
        <w:rPr>
          <w:i/>
          <w:sz w:val="16"/>
          <w:szCs w:val="20"/>
        </w:rPr>
      </w:pPr>
    </w:p>
    <w:p w14:paraId="7B8549DA" w14:textId="77777777" w:rsidR="006A0E1C" w:rsidRPr="00D13792" w:rsidRDefault="006A0E1C" w:rsidP="006A0E1C">
      <w:pPr>
        <w:pStyle w:val="Heading4"/>
        <w:ind w:left="0" w:firstLine="0"/>
        <w:rPr>
          <w:lang w:val="es-CR"/>
        </w:rPr>
      </w:pPr>
      <w:r w:rsidRPr="00D13792">
        <w:rPr>
          <w:lang w:val="es-CR"/>
        </w:rPr>
        <w:t>B.1.2. Consideraciones de la Corte</w:t>
      </w:r>
    </w:p>
    <w:p w14:paraId="436F3D5C" w14:textId="77777777" w:rsidR="006A0E1C" w:rsidRPr="00D13792" w:rsidRDefault="006A0E1C" w:rsidP="006A0E1C">
      <w:pPr>
        <w:tabs>
          <w:tab w:val="left" w:pos="567"/>
        </w:tabs>
        <w:spacing w:line="240" w:lineRule="auto"/>
        <w:ind w:right="4"/>
        <w:rPr>
          <w:i/>
          <w:sz w:val="20"/>
          <w:szCs w:val="20"/>
        </w:rPr>
      </w:pPr>
    </w:p>
    <w:p w14:paraId="1D91D45B" w14:textId="77777777" w:rsidR="006A0E1C" w:rsidRPr="00D13792" w:rsidRDefault="006A0E1C" w:rsidP="006A0E1C">
      <w:pPr>
        <w:numPr>
          <w:ilvl w:val="0"/>
          <w:numId w:val="6"/>
        </w:numPr>
        <w:tabs>
          <w:tab w:val="left" w:pos="567"/>
          <w:tab w:val="num" w:pos="11028"/>
        </w:tabs>
        <w:spacing w:line="240" w:lineRule="auto"/>
        <w:ind w:right="4"/>
        <w:rPr>
          <w:sz w:val="20"/>
          <w:szCs w:val="20"/>
        </w:rPr>
      </w:pPr>
      <w:r w:rsidRPr="00D13792">
        <w:rPr>
          <w:rFonts w:eastAsia="Calibri"/>
          <w:spacing w:val="-2"/>
          <w:sz w:val="20"/>
          <w:szCs w:val="20"/>
          <w:lang w:eastAsia="en-US"/>
        </w:rPr>
        <w:t xml:space="preserve">En primer lugar, Guatemala depositó su instrumento de ratificación de la </w:t>
      </w:r>
      <w:r w:rsidRPr="00D13792">
        <w:rPr>
          <w:sz w:val="20"/>
          <w:szCs w:val="20"/>
        </w:rPr>
        <w:t xml:space="preserve">Convención Interamericana sobre Desaparición Forzada de Personas (CIDFP) en la Secretaría General de la OEA </w:t>
      </w:r>
      <w:r w:rsidRPr="00D13792">
        <w:rPr>
          <w:rFonts w:eastAsia="Calibri"/>
          <w:spacing w:val="-2"/>
          <w:sz w:val="20"/>
          <w:szCs w:val="20"/>
          <w:lang w:eastAsia="en-US"/>
        </w:rPr>
        <w:t xml:space="preserve">el </w:t>
      </w:r>
      <w:r w:rsidRPr="00D13792">
        <w:rPr>
          <w:sz w:val="20"/>
          <w:szCs w:val="20"/>
        </w:rPr>
        <w:t>25 de febrero de 2000, sin limitación a la competencia de la Corte ni reservas vigentes</w:t>
      </w:r>
      <w:r w:rsidRPr="00D13792">
        <w:rPr>
          <w:rStyle w:val="FootnoteReference"/>
          <w:spacing w:val="-2"/>
          <w:sz w:val="20"/>
          <w:szCs w:val="20"/>
          <w:lang w:eastAsia="en-US"/>
        </w:rPr>
        <w:footnoteReference w:id="15"/>
      </w:r>
      <w:r w:rsidRPr="00D13792">
        <w:rPr>
          <w:sz w:val="20"/>
          <w:szCs w:val="20"/>
        </w:rPr>
        <w:t xml:space="preserve">. </w:t>
      </w:r>
      <w:r w:rsidRPr="00D13792">
        <w:rPr>
          <w:spacing w:val="-2"/>
          <w:sz w:val="20"/>
          <w:szCs w:val="20"/>
        </w:rPr>
        <w:t>Esta Corte ha establecido de forma reiterada</w:t>
      </w:r>
      <w:r w:rsidRPr="00D13792">
        <w:rPr>
          <w:spacing w:val="-2"/>
          <w:sz w:val="20"/>
          <w:szCs w:val="20"/>
          <w:vertAlign w:val="superscript"/>
        </w:rPr>
        <w:footnoteReference w:id="16"/>
      </w:r>
      <w:r w:rsidRPr="00D13792">
        <w:rPr>
          <w:spacing w:val="-2"/>
          <w:sz w:val="20"/>
          <w:szCs w:val="20"/>
        </w:rPr>
        <w:t xml:space="preserve"> que el artículo XIII de la CIDFP</w:t>
      </w:r>
      <w:r w:rsidRPr="00D13792">
        <w:rPr>
          <w:rStyle w:val="FootnoteReference"/>
          <w:spacing w:val="-2"/>
          <w:sz w:val="20"/>
          <w:szCs w:val="20"/>
        </w:rPr>
        <w:footnoteReference w:id="17"/>
      </w:r>
      <w:r w:rsidRPr="00D13792">
        <w:rPr>
          <w:spacing w:val="-2"/>
          <w:sz w:val="20"/>
          <w:szCs w:val="20"/>
        </w:rPr>
        <w:t xml:space="preserve"> fija </w:t>
      </w:r>
      <w:r w:rsidRPr="00D13792">
        <w:rPr>
          <w:spacing w:val="-2"/>
          <w:sz w:val="20"/>
          <w:szCs w:val="20"/>
        </w:rPr>
        <w:lastRenderedPageBreak/>
        <w:t xml:space="preserve">la facultad del Tribunal para conocer de los asuntos relacionados con </w:t>
      </w:r>
      <w:r w:rsidRPr="00D13792">
        <w:rPr>
          <w:sz w:val="20"/>
          <w:szCs w:val="20"/>
        </w:rPr>
        <w:t>el</w:t>
      </w:r>
      <w:r w:rsidRPr="00D13792">
        <w:rPr>
          <w:spacing w:val="-2"/>
          <w:sz w:val="20"/>
          <w:szCs w:val="20"/>
        </w:rPr>
        <w:t xml:space="preserve"> cumplimiento de los compromisos contraídos por los Estados Partes a través de dicho instrumento. Por otra parte, la evaluación de si determinados hechos constituyeron desapariciones forzadas de conformidad con la Convención Americana y la CIDFP es un asunto de fondo, sobre el cual no corresponde pronunciarse de forma preliminar. Por tanto, la Corte desestima </w:t>
      </w:r>
      <w:r w:rsidRPr="00D13792">
        <w:rPr>
          <w:rFonts w:eastAsia="Calibri"/>
          <w:sz w:val="20"/>
          <w:szCs w:val="20"/>
        </w:rPr>
        <w:t>la</w:t>
      </w:r>
      <w:r w:rsidRPr="00D13792">
        <w:rPr>
          <w:rFonts w:eastAsia="Calibri"/>
          <w:b/>
          <w:sz w:val="20"/>
          <w:szCs w:val="20"/>
        </w:rPr>
        <w:t xml:space="preserve"> </w:t>
      </w:r>
      <w:r w:rsidRPr="00D13792">
        <w:rPr>
          <w:rFonts w:eastAsia="Calibri"/>
          <w:sz w:val="20"/>
          <w:szCs w:val="20"/>
        </w:rPr>
        <w:t>excepción preliminar</w:t>
      </w:r>
      <w:r w:rsidRPr="00D13792">
        <w:rPr>
          <w:rFonts w:eastAsia="Calibri"/>
          <w:b/>
          <w:sz w:val="20"/>
          <w:szCs w:val="20"/>
        </w:rPr>
        <w:t xml:space="preserve"> </w:t>
      </w:r>
      <w:r w:rsidRPr="00D13792">
        <w:rPr>
          <w:rFonts w:eastAsia="Calibri"/>
          <w:sz w:val="20"/>
          <w:szCs w:val="20"/>
        </w:rPr>
        <w:t>de falta de competencia de la Corte para conocer sobre alegadas violaciones de la CIDFP.</w:t>
      </w:r>
    </w:p>
    <w:p w14:paraId="7E8C6A0A" w14:textId="77777777" w:rsidR="006A0E1C" w:rsidRPr="00D13792" w:rsidRDefault="006A0E1C" w:rsidP="006A0E1C">
      <w:pPr>
        <w:tabs>
          <w:tab w:val="left" w:pos="567"/>
        </w:tabs>
        <w:spacing w:line="240" w:lineRule="auto"/>
        <w:ind w:right="4"/>
        <w:rPr>
          <w:sz w:val="20"/>
          <w:szCs w:val="20"/>
        </w:rPr>
      </w:pPr>
    </w:p>
    <w:p w14:paraId="6BCD10AB" w14:textId="77777777" w:rsidR="006A0E1C" w:rsidRPr="00D13792" w:rsidRDefault="006A0E1C" w:rsidP="006A0E1C">
      <w:pPr>
        <w:numPr>
          <w:ilvl w:val="0"/>
          <w:numId w:val="6"/>
        </w:numPr>
        <w:tabs>
          <w:tab w:val="left" w:pos="567"/>
        </w:tabs>
        <w:spacing w:line="240" w:lineRule="auto"/>
        <w:ind w:right="4"/>
        <w:rPr>
          <w:rFonts w:eastAsia="Calibri" w:cs="Arial"/>
          <w:sz w:val="20"/>
          <w:szCs w:val="20"/>
        </w:rPr>
      </w:pPr>
      <w:r w:rsidRPr="00D13792">
        <w:rPr>
          <w:sz w:val="20"/>
          <w:szCs w:val="20"/>
        </w:rPr>
        <w:t>En segundo lugar, el Estado</w:t>
      </w:r>
      <w:r w:rsidRPr="00D13792">
        <w:rPr>
          <w:rFonts w:eastAsia="Calibri" w:cs="Arial"/>
          <w:sz w:val="20"/>
          <w:szCs w:val="20"/>
        </w:rPr>
        <w:t xml:space="preserve"> ratificó </w:t>
      </w:r>
      <w:r w:rsidRPr="00D13792">
        <w:rPr>
          <w:rFonts w:eastAsia="Calibri"/>
          <w:sz w:val="20"/>
          <w:szCs w:val="20"/>
        </w:rPr>
        <w:t>la</w:t>
      </w:r>
      <w:r w:rsidRPr="00D13792">
        <w:rPr>
          <w:rFonts w:eastAsia="Calibri" w:cs="Arial"/>
          <w:sz w:val="20"/>
          <w:szCs w:val="20"/>
        </w:rPr>
        <w:t xml:space="preserve"> Convención de Belém do Pará el 4 de enero de 1995 sin reservas o limitaciones. Como ha indicado la Corte en los </w:t>
      </w:r>
      <w:r w:rsidRPr="00D13792">
        <w:rPr>
          <w:rFonts w:eastAsia="Calibri"/>
          <w:sz w:val="20"/>
          <w:szCs w:val="20"/>
        </w:rPr>
        <w:t xml:space="preserve">casos </w:t>
      </w:r>
      <w:r w:rsidRPr="00D13792">
        <w:rPr>
          <w:rFonts w:eastAsia="Calibri"/>
          <w:i/>
          <w:sz w:val="20"/>
          <w:szCs w:val="20"/>
        </w:rPr>
        <w:t>González y otras (“Campo Algodonero”) Vs. México</w:t>
      </w:r>
      <w:r w:rsidRPr="00D13792">
        <w:rPr>
          <w:rFonts w:eastAsia="Calibri" w:cs="Arial"/>
          <w:sz w:val="20"/>
          <w:szCs w:val="20"/>
        </w:rPr>
        <w:t xml:space="preserve">, </w:t>
      </w:r>
      <w:r w:rsidRPr="00D13792">
        <w:rPr>
          <w:rFonts w:eastAsia="Calibri"/>
          <w:i/>
          <w:sz w:val="20"/>
          <w:szCs w:val="20"/>
        </w:rPr>
        <w:t xml:space="preserve">Veliz Franco y otros Vs. Guatemala, </w:t>
      </w:r>
      <w:r w:rsidRPr="00D13792">
        <w:rPr>
          <w:i/>
          <w:sz w:val="20"/>
          <w:szCs w:val="20"/>
        </w:rPr>
        <w:t>Espinoza González Vs. Perú</w:t>
      </w:r>
      <w:r w:rsidRPr="00D13792">
        <w:rPr>
          <w:rFonts w:eastAsia="Calibri"/>
          <w:i/>
          <w:sz w:val="20"/>
          <w:szCs w:val="20"/>
        </w:rPr>
        <w:t>, y Claudina Velásquez Paiz y otros Vs. Guatemala,</w:t>
      </w:r>
      <w:r w:rsidRPr="00D13792">
        <w:rPr>
          <w:rFonts w:eastAsia="Calibri" w:cs="Arial"/>
          <w:sz w:val="20"/>
          <w:szCs w:val="20"/>
        </w:rPr>
        <w:t xml:space="preserve"> “el tenor literal del artículo 12 de la Convención Belém do Pará concede competencia a la Corte, al no exceptuar de su aplicación ninguna de las normas y requisitos de procedimiento para las comunicaciones individuales”</w:t>
      </w:r>
      <w:r w:rsidRPr="00D13792">
        <w:rPr>
          <w:rFonts w:eastAsia="Calibri" w:cs="Arial"/>
          <w:sz w:val="20"/>
          <w:szCs w:val="20"/>
          <w:vertAlign w:val="superscript"/>
        </w:rPr>
        <w:footnoteReference w:id="18"/>
      </w:r>
      <w:r w:rsidRPr="00D13792">
        <w:rPr>
          <w:rFonts w:eastAsia="Calibri" w:cs="Arial"/>
          <w:sz w:val="20"/>
          <w:szCs w:val="20"/>
        </w:rPr>
        <w:t xml:space="preserve">. </w:t>
      </w:r>
      <w:r w:rsidRPr="00D13792">
        <w:rPr>
          <w:rFonts w:eastAsia="Calibri"/>
          <w:sz w:val="20"/>
          <w:szCs w:val="20"/>
        </w:rPr>
        <w:t>Cabe destacar que en otros casos contenciosos contra Guatemala</w:t>
      </w:r>
      <w:r w:rsidRPr="00D13792">
        <w:rPr>
          <w:rFonts w:eastAsia="Calibri"/>
          <w:sz w:val="20"/>
          <w:szCs w:val="20"/>
          <w:vertAlign w:val="superscript"/>
        </w:rPr>
        <w:footnoteReference w:id="19"/>
      </w:r>
      <w:r w:rsidRPr="00D13792">
        <w:rPr>
          <w:rFonts w:eastAsia="Calibri"/>
          <w:sz w:val="20"/>
          <w:szCs w:val="20"/>
        </w:rPr>
        <w:t xml:space="preserve">, la Corte declaró la responsabilidad del Estado por la violación del artículo 7 de la Convención de Belém do Pará y no encuentra elementos que justifiquen apartarse de su jurisprudencia. </w:t>
      </w:r>
      <w:r w:rsidRPr="00D13792">
        <w:rPr>
          <w:rFonts w:eastAsia="Calibri" w:cs="Arial"/>
          <w:sz w:val="20"/>
          <w:szCs w:val="20"/>
        </w:rPr>
        <w:t>Por</w:t>
      </w:r>
      <w:r w:rsidRPr="00D13792">
        <w:rPr>
          <w:rFonts w:eastAsia="Calibri"/>
          <w:sz w:val="20"/>
          <w:szCs w:val="20"/>
        </w:rPr>
        <w:t xml:space="preserve"> lo tanto, la Corte desestima la excepción preliminar de falta de competencia de la Corte para conocer sobre el artículo 7 de la Convención de Belém do Pará.</w:t>
      </w:r>
    </w:p>
    <w:p w14:paraId="350566E2" w14:textId="77777777" w:rsidR="006A0E1C" w:rsidRPr="00D13792" w:rsidRDefault="006A0E1C" w:rsidP="006A0E1C">
      <w:pPr>
        <w:tabs>
          <w:tab w:val="left" w:pos="567"/>
        </w:tabs>
        <w:spacing w:line="240" w:lineRule="auto"/>
        <w:ind w:right="4"/>
        <w:rPr>
          <w:rFonts w:eastAsia="Calibri" w:cs="Arial"/>
          <w:sz w:val="20"/>
          <w:szCs w:val="20"/>
        </w:rPr>
      </w:pPr>
    </w:p>
    <w:p w14:paraId="2B48C232"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eastAsia="Calibri" w:cs="Arial"/>
          <w:sz w:val="20"/>
          <w:szCs w:val="20"/>
        </w:rPr>
        <w:t xml:space="preserve">En tercer lugar, la Corte nota que ni la Comisión ni los representantes han solicitado al Tribunal declarar una violación de </w:t>
      </w:r>
      <w:r w:rsidRPr="00D13792">
        <w:rPr>
          <w:sz w:val="20"/>
          <w:szCs w:val="20"/>
        </w:rPr>
        <w:t xml:space="preserve">la Convención para la Prevención y la Sanción del Delito de Genocidio (CPSDG). En consecuencia, </w:t>
      </w:r>
      <w:r w:rsidRPr="00D13792">
        <w:rPr>
          <w:rFonts w:eastAsia="Calibri"/>
          <w:sz w:val="20"/>
          <w:szCs w:val="20"/>
        </w:rPr>
        <w:t xml:space="preserve">la excepción preliminar de falta de competencia de la Corte para declarar violaciones </w:t>
      </w:r>
      <w:r w:rsidRPr="00D13792">
        <w:rPr>
          <w:sz w:val="20"/>
          <w:szCs w:val="20"/>
        </w:rPr>
        <w:t>de la CPSDG carece de objeto, por lo que es desestimada. Sin perjuicio de ello, como en otros casos, incluso contra Guatemala, la Corte considera útil y apropiado interpretar la Convención Americana, teniendo en cuenta otros tratados del derecho internacional humanitario</w:t>
      </w:r>
      <w:r w:rsidRPr="00D13792">
        <w:rPr>
          <w:sz w:val="20"/>
          <w:szCs w:val="20"/>
          <w:vertAlign w:val="superscript"/>
        </w:rPr>
        <w:footnoteReference w:id="20"/>
      </w:r>
      <w:r w:rsidRPr="00D13792">
        <w:rPr>
          <w:sz w:val="20"/>
          <w:szCs w:val="20"/>
        </w:rPr>
        <w:t xml:space="preserve"> y el derecho penal internacional</w:t>
      </w:r>
      <w:r w:rsidRPr="00D13792">
        <w:rPr>
          <w:sz w:val="20"/>
          <w:szCs w:val="20"/>
          <w:vertAlign w:val="superscript"/>
        </w:rPr>
        <w:footnoteReference w:id="21"/>
      </w:r>
      <w:r w:rsidRPr="00D13792">
        <w:rPr>
          <w:sz w:val="20"/>
          <w:szCs w:val="20"/>
        </w:rPr>
        <w:t xml:space="preserve">, habida consideración de su </w:t>
      </w:r>
      <w:r w:rsidRPr="00D13792">
        <w:rPr>
          <w:sz w:val="20"/>
          <w:szCs w:val="20"/>
        </w:rPr>
        <w:lastRenderedPageBreak/>
        <w:t>especificidad en la materia</w:t>
      </w:r>
      <w:r w:rsidRPr="00D13792">
        <w:rPr>
          <w:rStyle w:val="FootnoteReference"/>
          <w:sz w:val="20"/>
          <w:szCs w:val="20"/>
        </w:rPr>
        <w:footnoteReference w:id="22"/>
      </w:r>
      <w:r w:rsidRPr="00D13792">
        <w:rPr>
          <w:sz w:val="20"/>
          <w:szCs w:val="20"/>
        </w:rPr>
        <w:t xml:space="preserve">. </w:t>
      </w:r>
    </w:p>
    <w:p w14:paraId="214EC6B1" w14:textId="77777777" w:rsidR="006A0E1C" w:rsidRPr="00D13792" w:rsidRDefault="006A0E1C" w:rsidP="006A0E1C">
      <w:pPr>
        <w:tabs>
          <w:tab w:val="left" w:pos="567"/>
        </w:tabs>
        <w:spacing w:line="240" w:lineRule="auto"/>
        <w:ind w:right="4"/>
        <w:rPr>
          <w:sz w:val="16"/>
          <w:szCs w:val="20"/>
        </w:rPr>
      </w:pPr>
    </w:p>
    <w:p w14:paraId="66293590" w14:textId="77777777" w:rsidR="006A0E1C" w:rsidRPr="00D13792" w:rsidRDefault="006A0E1C" w:rsidP="006A0E1C">
      <w:pPr>
        <w:pStyle w:val="Heading3"/>
        <w:ind w:left="0"/>
        <w:rPr>
          <w:i/>
          <w:lang w:val="es-CR"/>
        </w:rPr>
      </w:pPr>
      <w:bookmarkStart w:id="69" w:name="_Toc469669995"/>
      <w:r w:rsidRPr="00D13792">
        <w:rPr>
          <w:i/>
          <w:lang w:val="es-CR"/>
        </w:rPr>
        <w:t>B.2. Alegada falta de competencia para determinar la comisión de delitos</w:t>
      </w:r>
      <w:bookmarkEnd w:id="69"/>
      <w:r w:rsidRPr="00D13792">
        <w:rPr>
          <w:i/>
          <w:lang w:val="es-CR"/>
        </w:rPr>
        <w:t xml:space="preserve"> </w:t>
      </w:r>
    </w:p>
    <w:p w14:paraId="55F8B72B" w14:textId="77777777" w:rsidR="006A0E1C" w:rsidRPr="00D13792" w:rsidRDefault="006A0E1C" w:rsidP="006A0E1C">
      <w:pPr>
        <w:pStyle w:val="Heading4"/>
        <w:rPr>
          <w:lang w:val="es-CR"/>
        </w:rPr>
      </w:pPr>
    </w:p>
    <w:p w14:paraId="4197CF01" w14:textId="77777777" w:rsidR="006A0E1C" w:rsidRPr="00D13792" w:rsidRDefault="006A0E1C" w:rsidP="006A0E1C">
      <w:pPr>
        <w:pStyle w:val="Heading4"/>
        <w:ind w:left="0" w:firstLine="0"/>
        <w:rPr>
          <w:lang w:val="es-CR"/>
        </w:rPr>
      </w:pPr>
      <w:r w:rsidRPr="00D13792">
        <w:rPr>
          <w:lang w:val="es-CR"/>
        </w:rPr>
        <w:t>B.2.1. Argumentos de la Comisión y de las partes</w:t>
      </w:r>
    </w:p>
    <w:p w14:paraId="77ED1FCB" w14:textId="77777777" w:rsidR="006A0E1C" w:rsidRPr="00D13792" w:rsidRDefault="006A0E1C" w:rsidP="006A0E1C">
      <w:pPr>
        <w:tabs>
          <w:tab w:val="left" w:pos="567"/>
        </w:tabs>
        <w:spacing w:line="240" w:lineRule="auto"/>
        <w:ind w:right="4"/>
        <w:rPr>
          <w:b/>
          <w:i/>
          <w:sz w:val="16"/>
          <w:szCs w:val="20"/>
        </w:rPr>
      </w:pPr>
    </w:p>
    <w:p w14:paraId="5EE9A50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
          <w:i/>
          <w:sz w:val="20"/>
          <w:szCs w:val="20"/>
        </w:rPr>
        <w:t>Estado</w:t>
      </w:r>
      <w:r w:rsidRPr="00D13792">
        <w:rPr>
          <w:sz w:val="20"/>
          <w:szCs w:val="20"/>
        </w:rPr>
        <w:t xml:space="preserve"> manifestó que ni “la Corte ni la Comisión pueden indicar que se cometieron delitos en el presente caso[,] ya que no son una Corte Penal ni tienen dicha competencia”. Así, solicitó a la Corte que “no señale al Estado por la comisión de delitos”. A modo de ejemplo, señaló que la </w:t>
      </w:r>
      <w:r w:rsidRPr="00D13792">
        <w:rPr>
          <w:rFonts w:eastAsia="Calibri" w:cs="Arial"/>
          <w:sz w:val="20"/>
          <w:szCs w:val="20"/>
        </w:rPr>
        <w:t>Comisión</w:t>
      </w:r>
      <w:r w:rsidRPr="00D13792">
        <w:rPr>
          <w:sz w:val="20"/>
          <w:szCs w:val="20"/>
        </w:rPr>
        <w:t xml:space="preserve"> se refirió de forma indebida a “homicidios, asesinatos, ejecuciones extrajudiciales, crimen de guerra, crimen de lesa humanidad, o genocidio […]”. </w:t>
      </w:r>
    </w:p>
    <w:p w14:paraId="446E0318" w14:textId="77777777" w:rsidR="006A0E1C" w:rsidRPr="00D13792" w:rsidRDefault="006A0E1C" w:rsidP="006A0E1C">
      <w:pPr>
        <w:tabs>
          <w:tab w:val="left" w:pos="567"/>
        </w:tabs>
        <w:spacing w:line="240" w:lineRule="auto"/>
        <w:ind w:right="4"/>
        <w:rPr>
          <w:sz w:val="20"/>
          <w:szCs w:val="20"/>
        </w:rPr>
      </w:pPr>
    </w:p>
    <w:p w14:paraId="4B7996F8"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La </w:t>
      </w:r>
      <w:r w:rsidRPr="00D13792">
        <w:rPr>
          <w:b/>
          <w:i/>
          <w:sz w:val="20"/>
          <w:szCs w:val="20"/>
        </w:rPr>
        <w:t>Comisión</w:t>
      </w:r>
      <w:r w:rsidRPr="00D13792">
        <w:rPr>
          <w:sz w:val="20"/>
          <w:szCs w:val="20"/>
        </w:rPr>
        <w:t xml:space="preserve"> sostuvo que “tanto la [Comisión] como la Corte han sido consistentes en indicar que su competencia no es de naturaleza penal, sino de naturaleza de supervisión del cumplimiento con las obligaciones libremente asumidos por los Estados partes”. Por otra parte, sostuvo que el argumento del Estado no constituye una excepción preliminar en tanto no pretende objetar la competencia de la Corte para conocer el caso.</w:t>
      </w:r>
      <w:r w:rsidRPr="00D13792">
        <w:rPr>
          <w:rFonts w:eastAsia="Calibri" w:cs="Verdana"/>
          <w:b/>
          <w:spacing w:val="-2"/>
          <w:sz w:val="20"/>
          <w:szCs w:val="20"/>
        </w:rPr>
        <w:t xml:space="preserve">  </w:t>
      </w:r>
    </w:p>
    <w:p w14:paraId="12A18D7A" w14:textId="77777777" w:rsidR="006A0E1C" w:rsidRPr="00D13792" w:rsidRDefault="006A0E1C" w:rsidP="006A0E1C">
      <w:pPr>
        <w:widowControl/>
        <w:autoSpaceDE w:val="0"/>
        <w:autoSpaceDN w:val="0"/>
        <w:spacing w:line="240" w:lineRule="auto"/>
        <w:textAlignment w:val="auto"/>
        <w:rPr>
          <w:sz w:val="20"/>
          <w:szCs w:val="20"/>
        </w:rPr>
      </w:pPr>
    </w:p>
    <w:p w14:paraId="5ABD2B94"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Los </w:t>
      </w:r>
      <w:r w:rsidRPr="00D13792">
        <w:rPr>
          <w:b/>
          <w:i/>
          <w:sz w:val="20"/>
          <w:szCs w:val="20"/>
        </w:rPr>
        <w:t>representantes</w:t>
      </w:r>
      <w:r w:rsidRPr="00D13792">
        <w:rPr>
          <w:sz w:val="20"/>
          <w:szCs w:val="20"/>
        </w:rPr>
        <w:t xml:space="preserve"> sostuvieron que “la desaparición forzada es una violación de derechos humanos […] que es de competencia de la Corte […] por constituir una violación múltiple y continuada de numerosos derechos reconocidos en la Convención […] y porque los actos constitutivos de desaparición forzada tienen carácter permanente mientras no se conozca el paradero de la víctima o se hallen sus restos”.</w:t>
      </w:r>
      <w:r w:rsidRPr="00D13792">
        <w:rPr>
          <w:b/>
          <w:sz w:val="20"/>
          <w:szCs w:val="20"/>
        </w:rPr>
        <w:t xml:space="preserve"> </w:t>
      </w:r>
      <w:r w:rsidRPr="00D13792">
        <w:rPr>
          <w:sz w:val="20"/>
          <w:szCs w:val="20"/>
        </w:rPr>
        <w:t>Asimismo, solicitaron a la Corte declarar que Guatemala aplicó una política de genocidio contra el pueblo maya achí de Rabinal y que existe una responsabilidad internacional agravada para el Estado que debe ser tomada en cuenta al momento de fijar las reparaciones, debido a que la “prohibición de genocidio debe ser una extensión del derecho a la vida […]”.</w:t>
      </w:r>
      <w:r w:rsidRPr="00D13792">
        <w:rPr>
          <w:b/>
          <w:sz w:val="20"/>
          <w:szCs w:val="20"/>
        </w:rPr>
        <w:t xml:space="preserve"> </w:t>
      </w:r>
    </w:p>
    <w:p w14:paraId="263DB7B1" w14:textId="77777777" w:rsidR="006A0E1C" w:rsidRPr="00D13792" w:rsidRDefault="006A0E1C" w:rsidP="006A0E1C">
      <w:pPr>
        <w:tabs>
          <w:tab w:val="left" w:pos="567"/>
        </w:tabs>
        <w:spacing w:line="240" w:lineRule="auto"/>
        <w:ind w:right="4"/>
        <w:rPr>
          <w:sz w:val="20"/>
          <w:szCs w:val="20"/>
        </w:rPr>
      </w:pPr>
    </w:p>
    <w:p w14:paraId="28BCBC7F" w14:textId="77777777" w:rsidR="006A0E1C" w:rsidRPr="00D13792" w:rsidRDefault="006A0E1C" w:rsidP="006A0E1C">
      <w:pPr>
        <w:pStyle w:val="Heading4"/>
        <w:ind w:left="0" w:firstLine="0"/>
        <w:rPr>
          <w:b/>
          <w:lang w:val="es-CR"/>
        </w:rPr>
      </w:pPr>
      <w:r w:rsidRPr="00D13792">
        <w:rPr>
          <w:lang w:val="es-CR"/>
        </w:rPr>
        <w:t>B.2.2. Consideraciones de la Corte</w:t>
      </w:r>
    </w:p>
    <w:p w14:paraId="6B981AA4" w14:textId="77777777" w:rsidR="006A0E1C" w:rsidRPr="00D13792" w:rsidRDefault="006A0E1C" w:rsidP="006A0E1C">
      <w:pPr>
        <w:tabs>
          <w:tab w:val="left" w:pos="567"/>
        </w:tabs>
        <w:spacing w:line="240" w:lineRule="auto"/>
        <w:ind w:right="4"/>
        <w:rPr>
          <w:sz w:val="20"/>
          <w:szCs w:val="20"/>
        </w:rPr>
      </w:pPr>
    </w:p>
    <w:p w14:paraId="454302DC" w14:textId="77777777" w:rsidR="006A0E1C" w:rsidRPr="00D13792" w:rsidRDefault="006A0E1C" w:rsidP="006A0E1C">
      <w:pPr>
        <w:numPr>
          <w:ilvl w:val="0"/>
          <w:numId w:val="6"/>
        </w:numPr>
        <w:tabs>
          <w:tab w:val="left" w:pos="567"/>
          <w:tab w:val="left" w:pos="5400"/>
        </w:tabs>
        <w:spacing w:line="240" w:lineRule="auto"/>
        <w:ind w:right="4"/>
        <w:rPr>
          <w:sz w:val="20"/>
          <w:szCs w:val="20"/>
        </w:rPr>
      </w:pPr>
      <w:r w:rsidRPr="00D13792">
        <w:rPr>
          <w:sz w:val="20"/>
          <w:szCs w:val="20"/>
        </w:rPr>
        <w:t xml:space="preserve">Este Tribunal ya aclaró que </w:t>
      </w:r>
      <w:r w:rsidRPr="00D13792">
        <w:rPr>
          <w:rFonts w:eastAsia="Calibri" w:cs="Arial"/>
          <w:sz w:val="20"/>
          <w:szCs w:val="20"/>
        </w:rPr>
        <w:t xml:space="preserve">dentro del ámbito de su jurisdicción, le corresponde </w:t>
      </w:r>
      <w:r w:rsidRPr="00D13792">
        <w:rPr>
          <w:rFonts w:eastAsia="Calibri"/>
          <w:sz w:val="20"/>
          <w:szCs w:val="20"/>
        </w:rPr>
        <w:t xml:space="preserve">evaluar las acciones u omisiones de agentes </w:t>
      </w:r>
      <w:r w:rsidRPr="00D13792">
        <w:rPr>
          <w:sz w:val="20"/>
          <w:szCs w:val="20"/>
          <w:lang w:eastAsia="es-ES"/>
        </w:rPr>
        <w:t>estatales</w:t>
      </w:r>
      <w:r w:rsidRPr="00D13792">
        <w:rPr>
          <w:rFonts w:eastAsia="Calibri"/>
          <w:sz w:val="20"/>
          <w:szCs w:val="20"/>
        </w:rPr>
        <w:t xml:space="preserve"> en los casos ante ella y calificar las mismas de conformidad con la Convención </w:t>
      </w:r>
      <w:r w:rsidRPr="00D13792">
        <w:rPr>
          <w:rFonts w:eastAsia="Calibri" w:cs="Arial"/>
          <w:sz w:val="20"/>
          <w:szCs w:val="20"/>
        </w:rPr>
        <w:t>Americana</w:t>
      </w:r>
      <w:r w:rsidRPr="00D13792">
        <w:rPr>
          <w:rFonts w:eastAsia="Calibri"/>
          <w:sz w:val="20"/>
          <w:szCs w:val="20"/>
        </w:rPr>
        <w:t xml:space="preserve"> y demás tratados interamericanos que le otorgan competencia. Para este ejercicio, también podrá tomar en cuenta otros instrumentos internacionales, habida cuenta de su especificidad en la materia. Además, a la Corte n</w:t>
      </w:r>
      <w:r w:rsidRPr="00D13792">
        <w:rPr>
          <w:rFonts w:cs="Arial"/>
          <w:sz w:val="20"/>
          <w:szCs w:val="20"/>
        </w:rPr>
        <w:t>o le corresponde analizar ni determinar responsabilidades individuales, cuya definición compete a los tribunales penales internos e internacionales (</w:t>
      </w:r>
      <w:r w:rsidRPr="00D13792">
        <w:rPr>
          <w:rFonts w:cs="Arial"/>
          <w:i/>
          <w:sz w:val="20"/>
          <w:szCs w:val="20"/>
        </w:rPr>
        <w:t xml:space="preserve">supra </w:t>
      </w:r>
      <w:r w:rsidRPr="00D13792">
        <w:rPr>
          <w:rFonts w:cs="Arial"/>
          <w:sz w:val="20"/>
          <w:szCs w:val="20"/>
        </w:rPr>
        <w:t xml:space="preserve">párr. 20). </w:t>
      </w:r>
      <w:r w:rsidRPr="00D13792">
        <w:rPr>
          <w:sz w:val="20"/>
          <w:szCs w:val="20"/>
        </w:rPr>
        <w:t>De este modo, la excepción preliminar interpuesta por el Estado en cuanto a la falta de competencia de la Corte para pronunciarse sobre delitos carece de fundamento, por lo que es desestimada.</w:t>
      </w:r>
    </w:p>
    <w:p w14:paraId="36D1805F" w14:textId="77777777" w:rsidR="006A0E1C" w:rsidRPr="00D13792" w:rsidRDefault="006A0E1C" w:rsidP="006A0E1C">
      <w:pPr>
        <w:tabs>
          <w:tab w:val="left" w:pos="567"/>
        </w:tabs>
        <w:spacing w:line="240" w:lineRule="auto"/>
        <w:ind w:right="4"/>
        <w:rPr>
          <w:sz w:val="20"/>
          <w:szCs w:val="20"/>
        </w:rPr>
      </w:pPr>
    </w:p>
    <w:p w14:paraId="1E369D2C" w14:textId="77777777" w:rsidR="006A0E1C" w:rsidRPr="00D13792" w:rsidRDefault="006A0E1C" w:rsidP="006A0E1C">
      <w:pPr>
        <w:pStyle w:val="Heading3"/>
        <w:ind w:left="0"/>
        <w:rPr>
          <w:i/>
          <w:lang w:val="es-CR"/>
        </w:rPr>
      </w:pPr>
      <w:bookmarkStart w:id="70" w:name="_Toc469669996"/>
      <w:r w:rsidRPr="00D13792">
        <w:rPr>
          <w:i/>
          <w:lang w:val="es-CR"/>
        </w:rPr>
        <w:t>B.3. Alegada falta de competencia para decretar la invalidez de la amnistía</w:t>
      </w:r>
      <w:bookmarkEnd w:id="70"/>
    </w:p>
    <w:p w14:paraId="3038609A" w14:textId="77777777" w:rsidR="006A0E1C" w:rsidRPr="00D13792" w:rsidRDefault="006A0E1C" w:rsidP="006A0E1C">
      <w:pPr>
        <w:pStyle w:val="Heading4"/>
        <w:rPr>
          <w:lang w:val="es-CR"/>
        </w:rPr>
      </w:pPr>
    </w:p>
    <w:p w14:paraId="7DDEAF96" w14:textId="77777777" w:rsidR="006A0E1C" w:rsidRPr="00D13792" w:rsidRDefault="006A0E1C" w:rsidP="006A0E1C">
      <w:pPr>
        <w:pStyle w:val="Heading4"/>
        <w:tabs>
          <w:tab w:val="left" w:pos="360"/>
        </w:tabs>
        <w:ind w:left="0" w:firstLine="0"/>
        <w:rPr>
          <w:lang w:val="es-CR"/>
        </w:rPr>
      </w:pPr>
      <w:r w:rsidRPr="00D13792">
        <w:rPr>
          <w:lang w:val="es-CR"/>
        </w:rPr>
        <w:t>B.3.1. Argumentos de la Comisión y de las partes</w:t>
      </w:r>
    </w:p>
    <w:p w14:paraId="6302FDCF" w14:textId="77777777" w:rsidR="006A0E1C" w:rsidRPr="00D13792" w:rsidRDefault="006A0E1C" w:rsidP="006A0E1C">
      <w:pPr>
        <w:widowControl/>
        <w:autoSpaceDE w:val="0"/>
        <w:autoSpaceDN w:val="0"/>
        <w:spacing w:line="240" w:lineRule="auto"/>
        <w:textAlignment w:val="auto"/>
        <w:rPr>
          <w:sz w:val="20"/>
          <w:szCs w:val="20"/>
        </w:rPr>
      </w:pPr>
    </w:p>
    <w:p w14:paraId="04CFD2D5" w14:textId="77777777" w:rsidR="006A0E1C" w:rsidRPr="00D13792" w:rsidRDefault="006A0E1C" w:rsidP="006A0E1C">
      <w:pPr>
        <w:numPr>
          <w:ilvl w:val="0"/>
          <w:numId w:val="6"/>
        </w:numPr>
        <w:tabs>
          <w:tab w:val="left" w:pos="567"/>
        </w:tabs>
        <w:spacing w:line="240" w:lineRule="auto"/>
        <w:ind w:right="4"/>
        <w:rPr>
          <w:rFonts w:eastAsia="Calibri"/>
          <w:sz w:val="20"/>
          <w:szCs w:val="20"/>
          <w:lang w:eastAsia="en-US"/>
        </w:rPr>
      </w:pPr>
      <w:r w:rsidRPr="00D13792">
        <w:rPr>
          <w:sz w:val="20"/>
          <w:szCs w:val="20"/>
        </w:rPr>
        <w:t xml:space="preserve">El </w:t>
      </w:r>
      <w:r w:rsidRPr="00D13792">
        <w:rPr>
          <w:b/>
          <w:i/>
          <w:sz w:val="20"/>
          <w:szCs w:val="20"/>
        </w:rPr>
        <w:t>Estado</w:t>
      </w:r>
      <w:r w:rsidRPr="00D13792">
        <w:rPr>
          <w:sz w:val="20"/>
          <w:szCs w:val="20"/>
        </w:rPr>
        <w:t xml:space="preserve"> indicó que la Corte carece de “competencia para decretar la invalidez de la amnistía” debido a que: i) esta fue promulgada por medio de la Ley de Reconciliación Nacional </w:t>
      </w:r>
      <w:r w:rsidRPr="00D13792">
        <w:rPr>
          <w:sz w:val="20"/>
          <w:szCs w:val="20"/>
        </w:rPr>
        <w:lastRenderedPageBreak/>
        <w:t xml:space="preserve">a fin de lograr una salida negociada al enfrentamiento armado interno; ii) la amnistía se negoció con la participaron de la mayoría de los sectores de la sociedad guatemalteca, y se tomaron en cuenta “los elementos de la verdad”, la creación de medidas de reparación a las víctimas y medidas de no repetición, así como las bases de incorporación de los grupos insurgentes a la vida del país; y iii) la amnistía en Guatemala no es una “auto amnistía” y no excluye los delitos más graves de trascendencia internacional. </w:t>
      </w:r>
      <w:r w:rsidRPr="00D13792">
        <w:rPr>
          <w:rFonts w:eastAsia="Calibri"/>
          <w:sz w:val="20"/>
          <w:szCs w:val="20"/>
          <w:lang w:eastAsia="en-US"/>
        </w:rPr>
        <w:t>De este modo, la amnistía promulgada en el caso de Guatemala sí cumpliría con los requisitos exigidos por la Corte para estar vigente</w:t>
      </w:r>
      <w:r w:rsidRPr="00D13792">
        <w:rPr>
          <w:rStyle w:val="FootnoteReference"/>
          <w:rFonts w:eastAsia="Calibri"/>
          <w:sz w:val="20"/>
          <w:szCs w:val="20"/>
          <w:lang w:eastAsia="en-US"/>
        </w:rPr>
        <w:footnoteReference w:id="23"/>
      </w:r>
      <w:r w:rsidRPr="00D13792">
        <w:rPr>
          <w:rFonts w:eastAsia="Calibri"/>
          <w:sz w:val="20"/>
          <w:szCs w:val="20"/>
          <w:lang w:eastAsia="en-US"/>
        </w:rPr>
        <w:t>.</w:t>
      </w:r>
      <w:r w:rsidRPr="00D13792">
        <w:rPr>
          <w:rFonts w:eastAsia="Calibri"/>
          <w:b/>
          <w:sz w:val="20"/>
          <w:szCs w:val="20"/>
          <w:lang w:eastAsia="en-US"/>
        </w:rPr>
        <w:t xml:space="preserve"> </w:t>
      </w:r>
    </w:p>
    <w:p w14:paraId="33D7E6AF" w14:textId="77777777" w:rsidR="006A0E1C" w:rsidRPr="00D13792" w:rsidRDefault="006A0E1C" w:rsidP="006A0E1C">
      <w:pPr>
        <w:widowControl/>
        <w:autoSpaceDE w:val="0"/>
        <w:autoSpaceDN w:val="0"/>
        <w:spacing w:line="240" w:lineRule="auto"/>
        <w:jc w:val="left"/>
        <w:textAlignment w:val="auto"/>
        <w:rPr>
          <w:rFonts w:eastAsia="Calibri"/>
          <w:sz w:val="20"/>
          <w:szCs w:val="20"/>
          <w:lang w:eastAsia="en-US"/>
        </w:rPr>
      </w:pPr>
    </w:p>
    <w:p w14:paraId="7CB98EFA"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La </w:t>
      </w:r>
      <w:r w:rsidRPr="00D13792">
        <w:rPr>
          <w:b/>
          <w:i/>
          <w:sz w:val="20"/>
          <w:szCs w:val="20"/>
        </w:rPr>
        <w:t>Comisión</w:t>
      </w:r>
      <w:r w:rsidRPr="00D13792">
        <w:rPr>
          <w:sz w:val="20"/>
          <w:szCs w:val="20"/>
        </w:rPr>
        <w:t xml:space="preserve"> resaltó que “según los términos de los artículos 1 y 2 de la Convención Americana, entre otros, es precisamente un componente indispensable de la competencia de la Corte el analizar hasta qué punto un Estado ha incorporado las garantías de dicho tratado en su normativa, políticas y prácticas”. </w:t>
      </w:r>
    </w:p>
    <w:p w14:paraId="75AF10FE" w14:textId="77777777" w:rsidR="006A0E1C" w:rsidRPr="00D13792" w:rsidRDefault="006A0E1C" w:rsidP="006A0E1C">
      <w:pPr>
        <w:tabs>
          <w:tab w:val="left" w:pos="567"/>
        </w:tabs>
        <w:spacing w:line="240" w:lineRule="auto"/>
        <w:ind w:right="4"/>
        <w:rPr>
          <w:sz w:val="20"/>
          <w:szCs w:val="20"/>
        </w:rPr>
      </w:pPr>
    </w:p>
    <w:p w14:paraId="582BC9FF"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Los </w:t>
      </w:r>
      <w:r w:rsidRPr="00D13792">
        <w:rPr>
          <w:b/>
          <w:i/>
          <w:sz w:val="20"/>
          <w:szCs w:val="20"/>
        </w:rPr>
        <w:t>representantes</w:t>
      </w:r>
      <w:r w:rsidRPr="00D13792">
        <w:rPr>
          <w:sz w:val="20"/>
          <w:szCs w:val="20"/>
        </w:rPr>
        <w:t xml:space="preserve"> sostuvieron que “la aplicación de las disposiciones de amnistía de la Ley de Reconciliación Nacional contravendría las obligaciones derivadas de la Convención Americana […] y en otros instrumentos internacionales e impedirían la investigación y sanción de los responsables de las violaciones graves de los derechos humanos”.</w:t>
      </w:r>
      <w:r w:rsidRPr="00D13792">
        <w:rPr>
          <w:rFonts w:eastAsia="Calibri" w:cs="Verdana"/>
          <w:b/>
          <w:spacing w:val="-2"/>
          <w:sz w:val="20"/>
          <w:szCs w:val="20"/>
        </w:rPr>
        <w:t xml:space="preserve"> </w:t>
      </w:r>
    </w:p>
    <w:p w14:paraId="22F120DE" w14:textId="77777777" w:rsidR="006A0E1C" w:rsidRPr="00D13792" w:rsidRDefault="006A0E1C" w:rsidP="006A0E1C">
      <w:pPr>
        <w:spacing w:line="240" w:lineRule="auto"/>
        <w:rPr>
          <w:sz w:val="20"/>
          <w:szCs w:val="20"/>
        </w:rPr>
      </w:pPr>
    </w:p>
    <w:p w14:paraId="1786A756" w14:textId="77777777" w:rsidR="006A0E1C" w:rsidRPr="00D13792" w:rsidRDefault="006A0E1C" w:rsidP="006A0E1C">
      <w:pPr>
        <w:spacing w:line="240" w:lineRule="auto"/>
        <w:rPr>
          <w:i/>
          <w:sz w:val="20"/>
          <w:szCs w:val="20"/>
        </w:rPr>
      </w:pPr>
      <w:r w:rsidRPr="00D13792">
        <w:rPr>
          <w:i/>
          <w:sz w:val="20"/>
          <w:szCs w:val="20"/>
        </w:rPr>
        <w:t>B.3.2. Consideraciones de la Corte</w:t>
      </w:r>
    </w:p>
    <w:p w14:paraId="23CE5B0C" w14:textId="77777777" w:rsidR="006A0E1C" w:rsidRPr="00D13792" w:rsidRDefault="006A0E1C" w:rsidP="006A0E1C">
      <w:pPr>
        <w:spacing w:line="240" w:lineRule="auto"/>
        <w:rPr>
          <w:sz w:val="20"/>
          <w:szCs w:val="20"/>
        </w:rPr>
      </w:pPr>
    </w:p>
    <w:p w14:paraId="3E8795CE" w14:textId="77777777" w:rsidR="006A0E1C" w:rsidRPr="00D13792" w:rsidRDefault="006A0E1C" w:rsidP="006A0E1C">
      <w:pPr>
        <w:numPr>
          <w:ilvl w:val="0"/>
          <w:numId w:val="6"/>
        </w:numPr>
        <w:tabs>
          <w:tab w:val="left" w:pos="0"/>
        </w:tabs>
        <w:spacing w:line="240" w:lineRule="auto"/>
        <w:ind w:right="4"/>
        <w:rPr>
          <w:sz w:val="20"/>
          <w:szCs w:val="20"/>
        </w:rPr>
      </w:pPr>
      <w:r w:rsidRPr="00D13792">
        <w:rPr>
          <w:sz w:val="20"/>
          <w:szCs w:val="20"/>
        </w:rPr>
        <w:t xml:space="preserve">La Corte recuerda que las excepciones preliminares son actuaciones del Estado que buscan, de manera previa, impedir el análisis del fondo de un caso. Consecuentemente, si estos planteamientos no pudieran ser considerados sin entrar a analizar previamente el fondo de un caso, no pueden ser analizados mediante una excepción preliminar. Al respecto, el análisis de la validez de una ley es una cuestión de fondo. Además, ni la Comisión ni los representantes han solicitado al Tribunal declarar la invalidez de la Ley de Reconciliación Nacional en sí misma, sino que cuestionan su posible aplicación en el presente caso. Por estas razones, la excepción preliminar interpuesta por el Estado en cuanto a la alegada falta de competencia de la Corte para pronunciarse sobre la invalidez de la Ley de Reconciliación Nacional es desestimada.  </w:t>
      </w:r>
    </w:p>
    <w:p w14:paraId="728ACD62" w14:textId="77777777" w:rsidR="006A0E1C" w:rsidRPr="00D13792" w:rsidRDefault="006A0E1C" w:rsidP="006A0E1C">
      <w:pPr>
        <w:spacing w:line="240" w:lineRule="auto"/>
        <w:rPr>
          <w:sz w:val="20"/>
          <w:szCs w:val="20"/>
        </w:rPr>
      </w:pPr>
    </w:p>
    <w:p w14:paraId="51F628BA" w14:textId="77777777" w:rsidR="006A0E1C" w:rsidRPr="00D13792" w:rsidRDefault="006A0E1C" w:rsidP="006A0E1C">
      <w:pPr>
        <w:pStyle w:val="Heading2"/>
        <w:rPr>
          <w:lang w:val="es-CR"/>
        </w:rPr>
      </w:pPr>
      <w:bookmarkStart w:id="71" w:name="_Toc469669997"/>
      <w:r w:rsidRPr="00D13792">
        <w:rPr>
          <w:lang w:val="es-CR"/>
        </w:rPr>
        <w:t>C. Excepción de falta de agotamiento de recursos internos</w:t>
      </w:r>
      <w:bookmarkEnd w:id="71"/>
    </w:p>
    <w:p w14:paraId="6B8558C9" w14:textId="77777777" w:rsidR="006A0E1C" w:rsidRPr="00D13792" w:rsidRDefault="006A0E1C" w:rsidP="006A0E1C">
      <w:pPr>
        <w:pStyle w:val="Heading4"/>
        <w:rPr>
          <w:lang w:val="es-CR" w:eastAsia="es-MX"/>
        </w:rPr>
      </w:pPr>
    </w:p>
    <w:p w14:paraId="75AC0277" w14:textId="77777777" w:rsidR="006A0E1C" w:rsidRPr="00D13792" w:rsidRDefault="006A0E1C" w:rsidP="006A0E1C">
      <w:pPr>
        <w:pStyle w:val="Heading4"/>
        <w:ind w:left="0" w:firstLine="0"/>
        <w:rPr>
          <w:b/>
          <w:lang w:val="es-CR"/>
        </w:rPr>
      </w:pPr>
      <w:r w:rsidRPr="00D13792">
        <w:rPr>
          <w:lang w:val="es-CR"/>
        </w:rPr>
        <w:t>C.1. Argumentos de la Comisión y de las partes</w:t>
      </w:r>
    </w:p>
    <w:p w14:paraId="62E77B5A" w14:textId="77777777" w:rsidR="006A0E1C" w:rsidRPr="00D13792" w:rsidRDefault="006A0E1C" w:rsidP="006A0E1C">
      <w:pPr>
        <w:tabs>
          <w:tab w:val="left" w:pos="720"/>
        </w:tabs>
        <w:spacing w:line="240" w:lineRule="auto"/>
        <w:rPr>
          <w:bCs/>
          <w:i/>
          <w:sz w:val="20"/>
          <w:szCs w:val="20"/>
        </w:rPr>
      </w:pPr>
    </w:p>
    <w:p w14:paraId="657409BA"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
          <w:i/>
          <w:sz w:val="20"/>
          <w:szCs w:val="20"/>
        </w:rPr>
        <w:t>Estado</w:t>
      </w:r>
      <w:r w:rsidRPr="00D13792">
        <w:rPr>
          <w:sz w:val="20"/>
          <w:szCs w:val="20"/>
        </w:rPr>
        <w:t xml:space="preserve"> presentó una excepción de falta de agotamiento de los recursos internos, argumentando que las presuntas víctimas no interpusieron el recurso de </w:t>
      </w:r>
      <w:r w:rsidRPr="00D13792">
        <w:rPr>
          <w:i/>
          <w:sz w:val="20"/>
          <w:szCs w:val="20"/>
        </w:rPr>
        <w:t xml:space="preserve">habeas corpus </w:t>
      </w:r>
      <w:r w:rsidRPr="00D13792">
        <w:rPr>
          <w:sz w:val="20"/>
          <w:szCs w:val="20"/>
        </w:rPr>
        <w:t xml:space="preserve">o exhibición personal en </w:t>
      </w:r>
      <w:r w:rsidRPr="00D13792">
        <w:rPr>
          <w:rFonts w:eastAsia="Batang" w:cs="Times"/>
          <w:sz w:val="20"/>
          <w:szCs w:val="20"/>
          <w:lang w:eastAsia="en-US"/>
        </w:rPr>
        <w:t>ninguno</w:t>
      </w:r>
      <w:r w:rsidRPr="00D13792">
        <w:rPr>
          <w:sz w:val="20"/>
          <w:szCs w:val="20"/>
        </w:rPr>
        <w:t xml:space="preserve"> de los casos de desapariciones o detenciones ilegales, ni acudieron al Programa Nacional de Resarcimiento (PNR), como recurso administrativo creado para brindar resarcimiento individual y/o colectivo a las víctimas civiles de violaciones a los derechos humanos ocurridas durante el enfrentamiento armado interno, que incluye el apoyo material y psicológico a las víctimas y sus familiares. </w:t>
      </w:r>
    </w:p>
    <w:p w14:paraId="2FA62333" w14:textId="77777777" w:rsidR="006A0E1C" w:rsidRPr="00D13792" w:rsidRDefault="006A0E1C" w:rsidP="006A0E1C">
      <w:pPr>
        <w:tabs>
          <w:tab w:val="left" w:pos="720"/>
        </w:tabs>
        <w:spacing w:line="240" w:lineRule="auto"/>
        <w:rPr>
          <w:sz w:val="20"/>
          <w:szCs w:val="20"/>
        </w:rPr>
      </w:pPr>
    </w:p>
    <w:p w14:paraId="13A13452"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La </w:t>
      </w:r>
      <w:r w:rsidRPr="00D13792">
        <w:rPr>
          <w:b/>
          <w:i/>
          <w:sz w:val="20"/>
          <w:szCs w:val="20"/>
        </w:rPr>
        <w:t>Comisión</w:t>
      </w:r>
      <w:r w:rsidRPr="00D13792">
        <w:rPr>
          <w:sz w:val="20"/>
          <w:szCs w:val="20"/>
        </w:rPr>
        <w:t xml:space="preserve"> argumentó que la presente excepción preliminar es extemporánea, ya que “en la etapa de admisibilidad el Estado no alegó que los dos recursos señalados en su contestación escrita debían haber sido agotado[s…]”. En la etapa de admisibilidad ante la Comisión, Guatemala únicamente alegó que “exist[ían] procesos penales pendientes”, y una vez “en la etapa de fondo el Estado alegó que un grupo de víctimas habrían recibido una indemnización por parte del PNR”. Luego de la emisión del Informe de Fondo, Guatemala “no precisó […] los montos que habrían recibido los familiares de las víctimas y su conexión con los </w:t>
      </w:r>
      <w:r w:rsidRPr="00D13792">
        <w:rPr>
          <w:sz w:val="20"/>
          <w:szCs w:val="20"/>
        </w:rPr>
        <w:lastRenderedPageBreak/>
        <w:t xml:space="preserve">hechos y violaciones declaradas […]”. En consecuencia, sostuvo que los argumentos del Estado sobre este punto no configuran una excepción preliminar y deben ser tomados en cuenta por la Corte al momento de determinar las reparaciones que correspondan”. </w:t>
      </w:r>
    </w:p>
    <w:p w14:paraId="2A60EAA2" w14:textId="77777777" w:rsidR="006A0E1C" w:rsidRPr="00D13792" w:rsidRDefault="006A0E1C" w:rsidP="006A0E1C">
      <w:pPr>
        <w:tabs>
          <w:tab w:val="left" w:pos="567"/>
        </w:tabs>
        <w:spacing w:line="240" w:lineRule="auto"/>
        <w:ind w:right="4"/>
        <w:rPr>
          <w:sz w:val="20"/>
          <w:szCs w:val="20"/>
        </w:rPr>
      </w:pPr>
      <w:r w:rsidRPr="00D13792">
        <w:rPr>
          <w:sz w:val="20"/>
          <w:szCs w:val="20"/>
        </w:rPr>
        <w:t xml:space="preserve"> </w:t>
      </w:r>
    </w:p>
    <w:p w14:paraId="63160F35"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Los </w:t>
      </w:r>
      <w:r w:rsidRPr="00D13792">
        <w:rPr>
          <w:b/>
          <w:i/>
          <w:sz w:val="20"/>
          <w:szCs w:val="20"/>
        </w:rPr>
        <w:t>representantes</w:t>
      </w:r>
      <w:r w:rsidRPr="00D13792">
        <w:rPr>
          <w:sz w:val="20"/>
          <w:szCs w:val="20"/>
        </w:rPr>
        <w:t xml:space="preserve"> indicaron que la excepción debe ser declarada “sin lugar […] porque la obligación de investigar </w:t>
      </w:r>
      <w:r w:rsidRPr="00D13792">
        <w:rPr>
          <w:i/>
          <w:sz w:val="20"/>
          <w:szCs w:val="20"/>
        </w:rPr>
        <w:t>ex officio</w:t>
      </w:r>
      <w:r w:rsidRPr="00D13792">
        <w:rPr>
          <w:sz w:val="20"/>
          <w:szCs w:val="20"/>
        </w:rPr>
        <w:t xml:space="preserve"> del Estado, es independiente de que se presente una denuncia […]”. Señalaron que los familiares de las presuntas víctimas son los que impulsaron las investigaciones; sin embargo, las autoridades no han esclarecido los hechos ni determinado el paradero de los desaparecidos. Además, señalaron que la excepción de no agotamiento de recursos internos debe plantearse en la etapa de admisibilidad ante la Comisión. </w:t>
      </w:r>
    </w:p>
    <w:p w14:paraId="60525398" w14:textId="77777777" w:rsidR="006A0E1C" w:rsidRPr="00D13792" w:rsidRDefault="006A0E1C" w:rsidP="006A0E1C">
      <w:pPr>
        <w:spacing w:line="240" w:lineRule="auto"/>
        <w:rPr>
          <w:sz w:val="20"/>
          <w:szCs w:val="20"/>
        </w:rPr>
      </w:pPr>
    </w:p>
    <w:p w14:paraId="515DEB46" w14:textId="77777777" w:rsidR="006A0E1C" w:rsidRPr="00D13792" w:rsidRDefault="006A0E1C" w:rsidP="006A0E1C">
      <w:pPr>
        <w:pStyle w:val="Heading3"/>
        <w:ind w:left="0"/>
        <w:rPr>
          <w:b w:val="0"/>
          <w:i/>
          <w:lang w:val="es-CR"/>
        </w:rPr>
      </w:pPr>
      <w:bookmarkStart w:id="72" w:name="_Toc469669998"/>
      <w:r w:rsidRPr="00D13792">
        <w:rPr>
          <w:b w:val="0"/>
          <w:i/>
          <w:lang w:val="es-CR"/>
        </w:rPr>
        <w:t>C.2. Consideraciones de la Corte</w:t>
      </w:r>
      <w:bookmarkEnd w:id="72"/>
    </w:p>
    <w:p w14:paraId="1B17BC57" w14:textId="77777777" w:rsidR="006A0E1C" w:rsidRPr="00D13792" w:rsidRDefault="006A0E1C" w:rsidP="006A0E1C">
      <w:pPr>
        <w:tabs>
          <w:tab w:val="left" w:pos="567"/>
        </w:tabs>
        <w:spacing w:line="240" w:lineRule="auto"/>
        <w:ind w:right="4"/>
        <w:rPr>
          <w:rFonts w:cs="Cambria"/>
          <w:i/>
          <w:sz w:val="20"/>
          <w:szCs w:val="20"/>
        </w:rPr>
      </w:pPr>
    </w:p>
    <w:p w14:paraId="78A11C42" w14:textId="77777777" w:rsidR="006A0E1C" w:rsidRPr="00D13792" w:rsidRDefault="006A0E1C" w:rsidP="006A0E1C">
      <w:pPr>
        <w:pStyle w:val="ListParagraph"/>
        <w:numPr>
          <w:ilvl w:val="0"/>
          <w:numId w:val="6"/>
        </w:numPr>
        <w:spacing w:after="0" w:line="240" w:lineRule="auto"/>
        <w:jc w:val="both"/>
        <w:rPr>
          <w:rFonts w:ascii="Verdana" w:hAnsi="Verdana" w:cs="Cambria"/>
          <w:sz w:val="20"/>
          <w:szCs w:val="20"/>
          <w:lang w:val="es-CR"/>
        </w:rPr>
      </w:pPr>
      <w:r w:rsidRPr="00D13792">
        <w:rPr>
          <w:rFonts w:ascii="Verdana" w:eastAsia="Batang" w:hAnsi="Verdana" w:cs="Times"/>
          <w:sz w:val="20"/>
          <w:szCs w:val="20"/>
          <w:lang w:val="es-CR" w:eastAsia="en-US"/>
        </w:rPr>
        <w:t xml:space="preserve">El artículo 46.1.a) de la Convención Americana dispone que para determinar la admisibilidad de una petición o comunicación presentada ante la Comisión Interamericana, de conformidad con los artículos 44 o 45 de la Convención, es necesario que se hayan interpuesto y agotado los </w:t>
      </w:r>
      <w:r w:rsidRPr="00D13792">
        <w:rPr>
          <w:rFonts w:ascii="Verdana" w:eastAsia="Calibri" w:hAnsi="Verdana" w:cs="TimesNewRomanPSMT"/>
          <w:sz w:val="20"/>
          <w:szCs w:val="20"/>
          <w:lang w:val="es-CR" w:eastAsia="en-US"/>
        </w:rPr>
        <w:t>recursos</w:t>
      </w:r>
      <w:r w:rsidRPr="00D13792">
        <w:rPr>
          <w:rFonts w:ascii="Verdana" w:eastAsia="Batang" w:hAnsi="Verdana" w:cs="Times"/>
          <w:sz w:val="20"/>
          <w:szCs w:val="20"/>
          <w:lang w:val="es-CR" w:eastAsia="en-US"/>
        </w:rPr>
        <w:t xml:space="preserve"> de la jurisdicción interna, conforme a los principios del Derecho Internacional generalmente reconocidos. En este sentido, la Corte ha sostenido que una objeción al ejercicio de su jurisdicción basada en la supuesta falta de agotamiento de los recursos internos debe ser presentada en el momento procesal oportuno, esto es, durante el procedimiento de admisibilidad ante la Comisión. </w:t>
      </w:r>
      <w:r w:rsidRPr="00D13792">
        <w:rPr>
          <w:rFonts w:ascii="Verdana" w:eastAsia="Verdana" w:hAnsi="Verdana" w:cs="Verdana"/>
          <w:sz w:val="20"/>
          <w:szCs w:val="20"/>
          <w:lang w:val="es-CR" w:eastAsia="en-US"/>
        </w:rPr>
        <w:t>Al</w:t>
      </w:r>
      <w:r w:rsidRPr="00D13792">
        <w:rPr>
          <w:rFonts w:ascii="Verdana" w:eastAsia="Verdana" w:hAnsi="Verdana" w:cs="Verdana"/>
          <w:spacing w:val="16"/>
          <w:sz w:val="20"/>
          <w:szCs w:val="20"/>
          <w:lang w:val="es-CR" w:eastAsia="en-US"/>
        </w:rPr>
        <w:t xml:space="preserve"> </w:t>
      </w:r>
      <w:r w:rsidRPr="00D13792">
        <w:rPr>
          <w:rFonts w:ascii="Verdana" w:eastAsia="Verdana" w:hAnsi="Verdana" w:cs="Verdana"/>
          <w:spacing w:val="-2"/>
          <w:sz w:val="20"/>
          <w:szCs w:val="20"/>
          <w:lang w:val="es-CR" w:eastAsia="en-US"/>
        </w:rPr>
        <w:t>a</w:t>
      </w:r>
      <w:r w:rsidRPr="00D13792">
        <w:rPr>
          <w:rFonts w:ascii="Verdana" w:eastAsia="Verdana" w:hAnsi="Verdana" w:cs="Verdana"/>
          <w:spacing w:val="3"/>
          <w:sz w:val="20"/>
          <w:szCs w:val="20"/>
          <w:lang w:val="es-CR" w:eastAsia="en-US"/>
        </w:rPr>
        <w:t>l</w:t>
      </w:r>
      <w:r w:rsidRPr="00D13792">
        <w:rPr>
          <w:rFonts w:ascii="Verdana" w:eastAsia="Verdana" w:hAnsi="Verdana" w:cs="Verdana"/>
          <w:spacing w:val="-1"/>
          <w:sz w:val="20"/>
          <w:szCs w:val="20"/>
          <w:lang w:val="es-CR" w:eastAsia="en-US"/>
        </w:rPr>
        <w:t>e</w:t>
      </w:r>
      <w:r w:rsidRPr="00D13792">
        <w:rPr>
          <w:rFonts w:ascii="Verdana" w:eastAsia="Verdana" w:hAnsi="Verdana" w:cs="Verdana"/>
          <w:spacing w:val="1"/>
          <w:sz w:val="20"/>
          <w:szCs w:val="20"/>
          <w:lang w:val="es-CR" w:eastAsia="en-US"/>
        </w:rPr>
        <w:t>g</w:t>
      </w:r>
      <w:r w:rsidRPr="00D13792">
        <w:rPr>
          <w:rFonts w:ascii="Verdana" w:eastAsia="Verdana" w:hAnsi="Verdana" w:cs="Verdana"/>
          <w:sz w:val="20"/>
          <w:szCs w:val="20"/>
          <w:lang w:val="es-CR" w:eastAsia="en-US"/>
        </w:rPr>
        <w:t>ar</w:t>
      </w:r>
      <w:r w:rsidRPr="00D13792">
        <w:rPr>
          <w:rFonts w:ascii="Verdana" w:eastAsia="Verdana" w:hAnsi="Verdana" w:cs="Verdana"/>
          <w:spacing w:val="4"/>
          <w:sz w:val="20"/>
          <w:szCs w:val="20"/>
          <w:lang w:val="es-CR" w:eastAsia="en-US"/>
        </w:rPr>
        <w:t xml:space="preserve"> </w:t>
      </w:r>
      <w:r w:rsidRPr="00D13792">
        <w:rPr>
          <w:rFonts w:ascii="Verdana" w:eastAsia="Verdana" w:hAnsi="Verdana" w:cs="Verdana"/>
          <w:spacing w:val="3"/>
          <w:sz w:val="20"/>
          <w:szCs w:val="20"/>
          <w:lang w:val="es-CR" w:eastAsia="en-US"/>
        </w:rPr>
        <w:t>l</w:t>
      </w:r>
      <w:r w:rsidRPr="00D13792">
        <w:rPr>
          <w:rFonts w:ascii="Verdana" w:eastAsia="Verdana" w:hAnsi="Verdana" w:cs="Verdana"/>
          <w:sz w:val="20"/>
          <w:szCs w:val="20"/>
          <w:lang w:val="es-CR" w:eastAsia="en-US"/>
        </w:rPr>
        <w:t>a</w:t>
      </w:r>
      <w:r w:rsidRPr="00D13792">
        <w:rPr>
          <w:rFonts w:ascii="Verdana" w:eastAsia="Verdana" w:hAnsi="Verdana" w:cs="Verdana"/>
          <w:spacing w:val="10"/>
          <w:sz w:val="20"/>
          <w:szCs w:val="20"/>
          <w:lang w:val="es-CR" w:eastAsia="en-US"/>
        </w:rPr>
        <w:t xml:space="preserve"> </w:t>
      </w:r>
      <w:r w:rsidRPr="00D13792">
        <w:rPr>
          <w:rFonts w:ascii="Verdana" w:eastAsia="Verdana" w:hAnsi="Verdana" w:cs="Verdana"/>
          <w:sz w:val="20"/>
          <w:szCs w:val="20"/>
          <w:lang w:val="es-CR" w:eastAsia="en-US"/>
        </w:rPr>
        <w:t>fa</w:t>
      </w:r>
      <w:r w:rsidRPr="00D13792">
        <w:rPr>
          <w:rFonts w:ascii="Verdana" w:eastAsia="Verdana" w:hAnsi="Verdana" w:cs="Verdana"/>
          <w:spacing w:val="3"/>
          <w:sz w:val="20"/>
          <w:szCs w:val="20"/>
          <w:lang w:val="es-CR" w:eastAsia="en-US"/>
        </w:rPr>
        <w:t>l</w:t>
      </w:r>
      <w:r w:rsidRPr="00D13792">
        <w:rPr>
          <w:rFonts w:ascii="Verdana" w:eastAsia="Verdana" w:hAnsi="Verdana" w:cs="Verdana"/>
          <w:spacing w:val="1"/>
          <w:sz w:val="20"/>
          <w:szCs w:val="20"/>
          <w:lang w:val="es-CR" w:eastAsia="en-US"/>
        </w:rPr>
        <w:t>t</w:t>
      </w:r>
      <w:r w:rsidRPr="00D13792">
        <w:rPr>
          <w:rFonts w:ascii="Verdana" w:eastAsia="Verdana" w:hAnsi="Verdana" w:cs="Verdana"/>
          <w:sz w:val="20"/>
          <w:szCs w:val="20"/>
          <w:lang w:val="es-CR" w:eastAsia="en-US"/>
        </w:rPr>
        <w:t>a</w:t>
      </w:r>
      <w:r w:rsidRPr="00D13792">
        <w:rPr>
          <w:rFonts w:ascii="Verdana" w:eastAsia="Verdana" w:hAnsi="Verdana" w:cs="Verdana"/>
          <w:spacing w:val="7"/>
          <w:sz w:val="20"/>
          <w:szCs w:val="20"/>
          <w:lang w:val="es-CR" w:eastAsia="en-US"/>
        </w:rPr>
        <w:t xml:space="preserve"> </w:t>
      </w:r>
      <w:r w:rsidRPr="00D13792">
        <w:rPr>
          <w:rFonts w:ascii="Verdana" w:eastAsia="Verdana" w:hAnsi="Verdana" w:cs="Verdana"/>
          <w:spacing w:val="1"/>
          <w:sz w:val="20"/>
          <w:szCs w:val="20"/>
          <w:lang w:val="es-CR" w:eastAsia="en-US"/>
        </w:rPr>
        <w:t>d</w:t>
      </w:r>
      <w:r w:rsidRPr="00D13792">
        <w:rPr>
          <w:rFonts w:ascii="Verdana" w:eastAsia="Verdana" w:hAnsi="Verdana" w:cs="Verdana"/>
          <w:sz w:val="20"/>
          <w:szCs w:val="20"/>
          <w:lang w:val="es-CR" w:eastAsia="en-US"/>
        </w:rPr>
        <w:t>e</w:t>
      </w:r>
      <w:r w:rsidRPr="00D13792">
        <w:rPr>
          <w:rFonts w:ascii="Verdana" w:eastAsia="Verdana" w:hAnsi="Verdana" w:cs="Verdana"/>
          <w:spacing w:val="10"/>
          <w:sz w:val="20"/>
          <w:szCs w:val="20"/>
          <w:lang w:val="es-CR" w:eastAsia="en-US"/>
        </w:rPr>
        <w:t xml:space="preserve"> </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g</w:t>
      </w:r>
      <w:r w:rsidRPr="00D13792">
        <w:rPr>
          <w:rFonts w:ascii="Verdana" w:eastAsia="Verdana" w:hAnsi="Verdana" w:cs="Verdana"/>
          <w:spacing w:val="-1"/>
          <w:sz w:val="20"/>
          <w:szCs w:val="20"/>
          <w:lang w:val="es-CR" w:eastAsia="en-US"/>
        </w:rPr>
        <w:t>o</w:t>
      </w:r>
      <w:r w:rsidRPr="00D13792">
        <w:rPr>
          <w:rFonts w:ascii="Verdana" w:eastAsia="Verdana" w:hAnsi="Verdana" w:cs="Verdana"/>
          <w:spacing w:val="1"/>
          <w:sz w:val="20"/>
          <w:szCs w:val="20"/>
          <w:lang w:val="es-CR" w:eastAsia="en-US"/>
        </w:rPr>
        <w:t>t</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m</w:t>
      </w:r>
      <w:r w:rsidRPr="00D13792">
        <w:rPr>
          <w:rFonts w:ascii="Verdana" w:eastAsia="Verdana" w:hAnsi="Verdana" w:cs="Verdana"/>
          <w:spacing w:val="3"/>
          <w:sz w:val="20"/>
          <w:szCs w:val="20"/>
          <w:lang w:val="es-CR" w:eastAsia="en-US"/>
        </w:rPr>
        <w:t>i</w:t>
      </w:r>
      <w:r w:rsidRPr="00D13792">
        <w:rPr>
          <w:rFonts w:ascii="Verdana" w:eastAsia="Verdana" w:hAnsi="Verdana" w:cs="Verdana"/>
          <w:spacing w:val="-1"/>
          <w:sz w:val="20"/>
          <w:szCs w:val="20"/>
          <w:lang w:val="es-CR" w:eastAsia="en-US"/>
        </w:rPr>
        <w:t>e</w:t>
      </w:r>
      <w:r w:rsidRPr="00D13792">
        <w:rPr>
          <w:rFonts w:ascii="Verdana" w:eastAsia="Verdana" w:hAnsi="Verdana" w:cs="Verdana"/>
          <w:spacing w:val="1"/>
          <w:sz w:val="20"/>
          <w:szCs w:val="20"/>
          <w:lang w:val="es-CR" w:eastAsia="en-US"/>
        </w:rPr>
        <w:t>nt</w:t>
      </w:r>
      <w:r w:rsidRPr="00D13792">
        <w:rPr>
          <w:rFonts w:ascii="Verdana" w:eastAsia="Verdana" w:hAnsi="Verdana" w:cs="Verdana"/>
          <w:sz w:val="20"/>
          <w:szCs w:val="20"/>
          <w:lang w:val="es-CR" w:eastAsia="en-US"/>
        </w:rPr>
        <w:t xml:space="preserve">o </w:t>
      </w:r>
      <w:r w:rsidRPr="00D13792">
        <w:rPr>
          <w:rFonts w:ascii="Verdana" w:eastAsia="Verdana" w:hAnsi="Verdana" w:cs="Verdana"/>
          <w:spacing w:val="1"/>
          <w:sz w:val="20"/>
          <w:szCs w:val="20"/>
          <w:lang w:val="es-CR" w:eastAsia="en-US"/>
        </w:rPr>
        <w:t>d</w:t>
      </w:r>
      <w:r w:rsidRPr="00D13792">
        <w:rPr>
          <w:rFonts w:ascii="Verdana" w:eastAsia="Verdana" w:hAnsi="Verdana" w:cs="Verdana"/>
          <w:sz w:val="20"/>
          <w:szCs w:val="20"/>
          <w:lang w:val="es-CR" w:eastAsia="en-US"/>
        </w:rPr>
        <w:t>e</w:t>
      </w:r>
      <w:r w:rsidRPr="00D13792">
        <w:rPr>
          <w:rFonts w:ascii="Verdana" w:eastAsia="Verdana" w:hAnsi="Verdana" w:cs="Verdana"/>
          <w:spacing w:val="10"/>
          <w:sz w:val="20"/>
          <w:szCs w:val="20"/>
          <w:lang w:val="es-CR" w:eastAsia="en-US"/>
        </w:rPr>
        <w:t xml:space="preserve"> </w:t>
      </w:r>
      <w:r w:rsidRPr="00D13792">
        <w:rPr>
          <w:rFonts w:ascii="Verdana" w:eastAsia="Verdana" w:hAnsi="Verdana" w:cs="Verdana"/>
          <w:spacing w:val="3"/>
          <w:sz w:val="20"/>
          <w:szCs w:val="20"/>
          <w:lang w:val="es-CR" w:eastAsia="en-US"/>
        </w:rPr>
        <w:t>l</w:t>
      </w:r>
      <w:r w:rsidRPr="00D13792">
        <w:rPr>
          <w:rFonts w:ascii="Verdana" w:eastAsia="Verdana" w:hAnsi="Verdana" w:cs="Verdana"/>
          <w:spacing w:val="-1"/>
          <w:sz w:val="20"/>
          <w:szCs w:val="20"/>
          <w:lang w:val="es-CR" w:eastAsia="en-US"/>
        </w:rPr>
        <w:t>o</w:t>
      </w:r>
      <w:r w:rsidRPr="00D13792">
        <w:rPr>
          <w:rFonts w:ascii="Verdana" w:eastAsia="Verdana" w:hAnsi="Verdana" w:cs="Verdana"/>
          <w:sz w:val="20"/>
          <w:szCs w:val="20"/>
          <w:lang w:val="es-CR" w:eastAsia="en-US"/>
        </w:rPr>
        <w:t>s</w:t>
      </w:r>
      <w:r w:rsidRPr="00D13792">
        <w:rPr>
          <w:rFonts w:ascii="Verdana" w:eastAsia="Verdana" w:hAnsi="Verdana" w:cs="Verdana"/>
          <w:spacing w:val="11"/>
          <w:sz w:val="20"/>
          <w:szCs w:val="20"/>
          <w:lang w:val="es-CR" w:eastAsia="en-US"/>
        </w:rPr>
        <w:t xml:space="preserve"> </w:t>
      </w:r>
      <w:r w:rsidRPr="00D13792">
        <w:rPr>
          <w:rFonts w:ascii="Verdana" w:eastAsia="Verdana" w:hAnsi="Verdana" w:cs="Verdana"/>
          <w:spacing w:val="-1"/>
          <w:sz w:val="20"/>
          <w:szCs w:val="20"/>
          <w:lang w:val="es-CR" w:eastAsia="en-US"/>
        </w:rPr>
        <w:t>re</w:t>
      </w:r>
      <w:r w:rsidRPr="00D13792">
        <w:rPr>
          <w:rFonts w:ascii="Verdana" w:eastAsia="Verdana" w:hAnsi="Verdana" w:cs="Verdana"/>
          <w:sz w:val="20"/>
          <w:szCs w:val="20"/>
          <w:lang w:val="es-CR" w:eastAsia="en-US"/>
        </w:rPr>
        <w:t>cu</w:t>
      </w:r>
      <w:r w:rsidRPr="00D13792">
        <w:rPr>
          <w:rFonts w:ascii="Verdana" w:eastAsia="Verdana" w:hAnsi="Verdana" w:cs="Verdana"/>
          <w:spacing w:val="2"/>
          <w:sz w:val="20"/>
          <w:szCs w:val="20"/>
          <w:lang w:val="es-CR" w:eastAsia="en-US"/>
        </w:rPr>
        <w:t>r</w:t>
      </w:r>
      <w:r w:rsidRPr="00D13792">
        <w:rPr>
          <w:rFonts w:ascii="Verdana" w:eastAsia="Verdana" w:hAnsi="Verdana" w:cs="Verdana"/>
          <w:sz w:val="20"/>
          <w:szCs w:val="20"/>
          <w:lang w:val="es-CR" w:eastAsia="en-US"/>
        </w:rPr>
        <w:t>s</w:t>
      </w:r>
      <w:r w:rsidRPr="00D13792">
        <w:rPr>
          <w:rFonts w:ascii="Verdana" w:eastAsia="Verdana" w:hAnsi="Verdana" w:cs="Verdana"/>
          <w:spacing w:val="1"/>
          <w:sz w:val="20"/>
          <w:szCs w:val="20"/>
          <w:lang w:val="es-CR" w:eastAsia="en-US"/>
        </w:rPr>
        <w:t>o</w:t>
      </w:r>
      <w:r w:rsidRPr="00D13792">
        <w:rPr>
          <w:rFonts w:ascii="Verdana" w:eastAsia="Verdana" w:hAnsi="Verdana" w:cs="Verdana"/>
          <w:sz w:val="20"/>
          <w:szCs w:val="20"/>
          <w:lang w:val="es-CR" w:eastAsia="en-US"/>
        </w:rPr>
        <w:t>s</w:t>
      </w:r>
      <w:r w:rsidRPr="00D13792">
        <w:rPr>
          <w:rFonts w:ascii="Verdana" w:eastAsia="Verdana" w:hAnsi="Verdana" w:cs="Verdana"/>
          <w:spacing w:val="5"/>
          <w:sz w:val="20"/>
          <w:szCs w:val="20"/>
          <w:lang w:val="es-CR" w:eastAsia="en-US"/>
        </w:rPr>
        <w:t xml:space="preserve"> </w:t>
      </w:r>
      <w:r w:rsidRPr="00D13792">
        <w:rPr>
          <w:rFonts w:ascii="Verdana" w:eastAsia="Verdana" w:hAnsi="Verdana" w:cs="Verdana"/>
          <w:spacing w:val="3"/>
          <w:sz w:val="20"/>
          <w:szCs w:val="20"/>
          <w:lang w:val="es-CR" w:eastAsia="en-US"/>
        </w:rPr>
        <w:t>i</w:t>
      </w:r>
      <w:r w:rsidRPr="00D13792">
        <w:rPr>
          <w:rFonts w:ascii="Verdana" w:eastAsia="Verdana" w:hAnsi="Verdana" w:cs="Verdana"/>
          <w:spacing w:val="1"/>
          <w:sz w:val="20"/>
          <w:szCs w:val="20"/>
          <w:lang w:val="es-CR" w:eastAsia="en-US"/>
        </w:rPr>
        <w:t>nt</w:t>
      </w:r>
      <w:r w:rsidRPr="00D13792">
        <w:rPr>
          <w:rFonts w:ascii="Verdana" w:eastAsia="Verdana" w:hAnsi="Verdana" w:cs="Verdana"/>
          <w:spacing w:val="-1"/>
          <w:sz w:val="20"/>
          <w:szCs w:val="20"/>
          <w:lang w:val="es-CR" w:eastAsia="en-US"/>
        </w:rPr>
        <w:t>er</w:t>
      </w:r>
      <w:r w:rsidRPr="00D13792">
        <w:rPr>
          <w:rFonts w:ascii="Verdana" w:eastAsia="Verdana" w:hAnsi="Verdana" w:cs="Verdana"/>
          <w:spacing w:val="1"/>
          <w:sz w:val="20"/>
          <w:szCs w:val="20"/>
          <w:lang w:val="es-CR" w:eastAsia="en-US"/>
        </w:rPr>
        <w:t>n</w:t>
      </w:r>
      <w:r w:rsidRPr="00D13792">
        <w:rPr>
          <w:rFonts w:ascii="Verdana" w:eastAsia="Verdana" w:hAnsi="Verdana" w:cs="Verdana"/>
          <w:spacing w:val="-1"/>
          <w:sz w:val="20"/>
          <w:szCs w:val="20"/>
          <w:lang w:val="es-CR" w:eastAsia="en-US"/>
        </w:rPr>
        <w:t>o</w:t>
      </w:r>
      <w:r w:rsidRPr="00D13792">
        <w:rPr>
          <w:rFonts w:ascii="Verdana" w:eastAsia="Verdana" w:hAnsi="Verdana" w:cs="Verdana"/>
          <w:sz w:val="20"/>
          <w:szCs w:val="20"/>
          <w:lang w:val="es-CR" w:eastAsia="en-US"/>
        </w:rPr>
        <w:t>s c</w:t>
      </w:r>
      <w:r w:rsidRPr="00D13792">
        <w:rPr>
          <w:rFonts w:ascii="Verdana" w:eastAsia="Verdana" w:hAnsi="Verdana" w:cs="Verdana"/>
          <w:spacing w:val="1"/>
          <w:sz w:val="20"/>
          <w:szCs w:val="20"/>
          <w:lang w:val="es-CR" w:eastAsia="en-US"/>
        </w:rPr>
        <w:t>o</w:t>
      </w:r>
      <w:r w:rsidRPr="00D13792">
        <w:rPr>
          <w:rFonts w:ascii="Verdana" w:eastAsia="Verdana" w:hAnsi="Verdana" w:cs="Verdana"/>
          <w:spacing w:val="-1"/>
          <w:sz w:val="20"/>
          <w:szCs w:val="20"/>
          <w:lang w:val="es-CR" w:eastAsia="en-US"/>
        </w:rPr>
        <w:t>r</w:t>
      </w:r>
      <w:r w:rsidRPr="00D13792">
        <w:rPr>
          <w:rFonts w:ascii="Verdana" w:eastAsia="Verdana" w:hAnsi="Verdana" w:cs="Verdana"/>
          <w:spacing w:val="1"/>
          <w:sz w:val="20"/>
          <w:szCs w:val="20"/>
          <w:lang w:val="es-CR" w:eastAsia="en-US"/>
        </w:rPr>
        <w:t>r</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s</w:t>
      </w:r>
      <w:r w:rsidRPr="00D13792">
        <w:rPr>
          <w:rFonts w:ascii="Verdana" w:eastAsia="Verdana" w:hAnsi="Verdana" w:cs="Verdana"/>
          <w:spacing w:val="2"/>
          <w:sz w:val="20"/>
          <w:szCs w:val="20"/>
          <w:lang w:val="es-CR" w:eastAsia="en-US"/>
        </w:rPr>
        <w:t>p</w:t>
      </w:r>
      <w:r w:rsidRPr="00D13792">
        <w:rPr>
          <w:rFonts w:ascii="Verdana" w:eastAsia="Verdana" w:hAnsi="Verdana" w:cs="Verdana"/>
          <w:spacing w:val="-1"/>
          <w:sz w:val="20"/>
          <w:szCs w:val="20"/>
          <w:lang w:val="es-CR" w:eastAsia="en-US"/>
        </w:rPr>
        <w:t>o</w:t>
      </w:r>
      <w:r w:rsidRPr="00D13792">
        <w:rPr>
          <w:rFonts w:ascii="Verdana" w:eastAsia="Verdana" w:hAnsi="Verdana" w:cs="Verdana"/>
          <w:spacing w:val="1"/>
          <w:sz w:val="20"/>
          <w:szCs w:val="20"/>
          <w:lang w:val="es-CR" w:eastAsia="en-US"/>
        </w:rPr>
        <w:t>nd</w:t>
      </w:r>
      <w:r w:rsidRPr="00D13792">
        <w:rPr>
          <w:rFonts w:ascii="Verdana" w:eastAsia="Verdana" w:hAnsi="Verdana" w:cs="Verdana"/>
          <w:sz w:val="20"/>
          <w:szCs w:val="20"/>
          <w:lang w:val="es-CR" w:eastAsia="en-US"/>
        </w:rPr>
        <w:t>e</w:t>
      </w:r>
      <w:r w:rsidRPr="00D13792">
        <w:rPr>
          <w:rFonts w:ascii="Verdana" w:eastAsia="Verdana" w:hAnsi="Verdana" w:cs="Verdana"/>
          <w:spacing w:val="-12"/>
          <w:sz w:val="20"/>
          <w:szCs w:val="20"/>
          <w:lang w:val="es-CR" w:eastAsia="en-US"/>
        </w:rPr>
        <w:t xml:space="preserve"> </w:t>
      </w:r>
      <w:r w:rsidRPr="00D13792">
        <w:rPr>
          <w:rFonts w:ascii="Verdana" w:eastAsia="Verdana" w:hAnsi="Verdana" w:cs="Verdana"/>
          <w:sz w:val="20"/>
          <w:szCs w:val="20"/>
          <w:lang w:val="es-CR" w:eastAsia="en-US"/>
        </w:rPr>
        <w:t>al</w:t>
      </w:r>
      <w:r w:rsidRPr="00D13792">
        <w:rPr>
          <w:rFonts w:ascii="Verdana" w:eastAsia="Verdana" w:hAnsi="Verdana" w:cs="Verdana"/>
          <w:spacing w:val="2"/>
          <w:sz w:val="20"/>
          <w:szCs w:val="20"/>
          <w:lang w:val="es-CR" w:eastAsia="en-US"/>
        </w:rPr>
        <w:t xml:space="preserve"> </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sta</w:t>
      </w:r>
      <w:r w:rsidRPr="00D13792">
        <w:rPr>
          <w:rFonts w:ascii="Verdana" w:eastAsia="Verdana" w:hAnsi="Verdana" w:cs="Verdana"/>
          <w:spacing w:val="1"/>
          <w:sz w:val="20"/>
          <w:szCs w:val="20"/>
          <w:lang w:val="es-CR" w:eastAsia="en-US"/>
        </w:rPr>
        <w:t>d</w:t>
      </w:r>
      <w:r w:rsidRPr="00D13792">
        <w:rPr>
          <w:rFonts w:ascii="Verdana" w:eastAsia="Verdana" w:hAnsi="Verdana" w:cs="Verdana"/>
          <w:sz w:val="20"/>
          <w:szCs w:val="20"/>
          <w:lang w:val="es-CR" w:eastAsia="en-US"/>
        </w:rPr>
        <w:t>o</w:t>
      </w:r>
      <w:r w:rsidRPr="00D13792">
        <w:rPr>
          <w:rFonts w:ascii="Verdana" w:eastAsia="Verdana" w:hAnsi="Verdana" w:cs="Verdana"/>
          <w:spacing w:val="-2"/>
          <w:sz w:val="20"/>
          <w:szCs w:val="20"/>
          <w:lang w:val="es-CR" w:eastAsia="en-US"/>
        </w:rPr>
        <w:t xml:space="preserve"> </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sp</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c</w:t>
      </w:r>
      <w:r w:rsidRPr="00D13792">
        <w:rPr>
          <w:rFonts w:ascii="Verdana" w:eastAsia="Verdana" w:hAnsi="Verdana" w:cs="Verdana"/>
          <w:spacing w:val="2"/>
          <w:sz w:val="20"/>
          <w:szCs w:val="20"/>
          <w:lang w:val="es-CR" w:eastAsia="en-US"/>
        </w:rPr>
        <w:t>i</w:t>
      </w:r>
      <w:r w:rsidRPr="00D13792">
        <w:rPr>
          <w:rFonts w:ascii="Verdana" w:eastAsia="Verdana" w:hAnsi="Verdana" w:cs="Verdana"/>
          <w:sz w:val="20"/>
          <w:szCs w:val="20"/>
          <w:lang w:val="es-CR" w:eastAsia="en-US"/>
        </w:rPr>
        <w:t>f</w:t>
      </w:r>
      <w:r w:rsidRPr="00D13792">
        <w:rPr>
          <w:rFonts w:ascii="Verdana" w:eastAsia="Verdana" w:hAnsi="Verdana" w:cs="Verdana"/>
          <w:spacing w:val="2"/>
          <w:sz w:val="20"/>
          <w:szCs w:val="20"/>
          <w:lang w:val="es-CR" w:eastAsia="en-US"/>
        </w:rPr>
        <w:t>i</w:t>
      </w:r>
      <w:r w:rsidRPr="00D13792">
        <w:rPr>
          <w:rFonts w:ascii="Verdana" w:eastAsia="Verdana" w:hAnsi="Verdana" w:cs="Verdana"/>
          <w:sz w:val="20"/>
          <w:szCs w:val="20"/>
          <w:lang w:val="es-CR" w:eastAsia="en-US"/>
        </w:rPr>
        <w:t>car</w:t>
      </w:r>
      <w:r w:rsidRPr="00D13792">
        <w:rPr>
          <w:rFonts w:ascii="Verdana" w:eastAsia="Verdana" w:hAnsi="Verdana" w:cs="Verdana"/>
          <w:spacing w:val="-11"/>
          <w:sz w:val="20"/>
          <w:szCs w:val="20"/>
          <w:lang w:val="es-CR" w:eastAsia="en-US"/>
        </w:rPr>
        <w:t xml:space="preserve"> </w:t>
      </w:r>
      <w:r w:rsidRPr="00D13792">
        <w:rPr>
          <w:rFonts w:ascii="Verdana" w:eastAsia="Verdana" w:hAnsi="Verdana" w:cs="Verdana"/>
          <w:spacing w:val="3"/>
          <w:sz w:val="20"/>
          <w:szCs w:val="20"/>
          <w:lang w:val="es-CR" w:eastAsia="en-US"/>
        </w:rPr>
        <w:t>cuáles</w:t>
      </w:r>
      <w:r w:rsidRPr="00D13792">
        <w:rPr>
          <w:rFonts w:ascii="Verdana" w:eastAsia="Verdana" w:hAnsi="Verdana" w:cs="Verdana"/>
          <w:spacing w:val="-4"/>
          <w:sz w:val="20"/>
          <w:szCs w:val="20"/>
          <w:lang w:val="es-CR" w:eastAsia="en-US"/>
        </w:rPr>
        <w:t xml:space="preserve"> </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ú</w:t>
      </w:r>
      <w:r w:rsidRPr="00D13792">
        <w:rPr>
          <w:rFonts w:ascii="Verdana" w:eastAsia="Verdana" w:hAnsi="Verdana" w:cs="Verdana"/>
          <w:sz w:val="20"/>
          <w:szCs w:val="20"/>
          <w:lang w:val="es-CR" w:eastAsia="en-US"/>
        </w:rPr>
        <w:t>n</w:t>
      </w:r>
      <w:r w:rsidRPr="00D13792">
        <w:rPr>
          <w:rFonts w:ascii="Verdana" w:eastAsia="Verdana" w:hAnsi="Verdana" w:cs="Verdana"/>
          <w:spacing w:val="-2"/>
          <w:sz w:val="20"/>
          <w:szCs w:val="20"/>
          <w:lang w:val="es-CR" w:eastAsia="en-US"/>
        </w:rPr>
        <w:t xml:space="preserve"> </w:t>
      </w:r>
      <w:r w:rsidRPr="00D13792">
        <w:rPr>
          <w:rFonts w:ascii="Verdana" w:eastAsia="Verdana" w:hAnsi="Verdana" w:cs="Verdana"/>
          <w:spacing w:val="1"/>
          <w:sz w:val="20"/>
          <w:szCs w:val="20"/>
          <w:lang w:val="es-CR" w:eastAsia="en-US"/>
        </w:rPr>
        <w:t>n</w:t>
      </w:r>
      <w:r w:rsidRPr="00D13792">
        <w:rPr>
          <w:rFonts w:ascii="Verdana" w:eastAsia="Verdana" w:hAnsi="Verdana" w:cs="Verdana"/>
          <w:sz w:val="20"/>
          <w:szCs w:val="20"/>
          <w:lang w:val="es-CR" w:eastAsia="en-US"/>
        </w:rPr>
        <w:t>o</w:t>
      </w:r>
      <w:r w:rsidRPr="00D13792">
        <w:rPr>
          <w:rFonts w:ascii="Verdana" w:eastAsia="Verdana" w:hAnsi="Verdana" w:cs="Verdana"/>
          <w:spacing w:val="-2"/>
          <w:sz w:val="20"/>
          <w:szCs w:val="20"/>
          <w:lang w:val="es-CR" w:eastAsia="en-US"/>
        </w:rPr>
        <w:t xml:space="preserve"> </w:t>
      </w:r>
      <w:r w:rsidRPr="00D13792">
        <w:rPr>
          <w:rFonts w:ascii="Verdana" w:eastAsia="Verdana" w:hAnsi="Verdana" w:cs="Verdana"/>
          <w:spacing w:val="2"/>
          <w:sz w:val="20"/>
          <w:szCs w:val="20"/>
          <w:lang w:val="es-CR" w:eastAsia="en-US"/>
        </w:rPr>
        <w:t>s</w:t>
      </w:r>
      <w:r w:rsidRPr="00D13792">
        <w:rPr>
          <w:rFonts w:ascii="Verdana" w:eastAsia="Verdana" w:hAnsi="Verdana" w:cs="Verdana"/>
          <w:sz w:val="20"/>
          <w:szCs w:val="20"/>
          <w:lang w:val="es-CR" w:eastAsia="en-US"/>
        </w:rPr>
        <w:t>e</w:t>
      </w:r>
      <w:r w:rsidRPr="00D13792">
        <w:rPr>
          <w:rFonts w:ascii="Verdana" w:eastAsia="Verdana" w:hAnsi="Verdana" w:cs="Verdana"/>
          <w:spacing w:val="1"/>
          <w:sz w:val="20"/>
          <w:szCs w:val="20"/>
          <w:lang w:val="es-CR" w:eastAsia="en-US"/>
        </w:rPr>
        <w:t xml:space="preserve"> h</w:t>
      </w:r>
      <w:r w:rsidRPr="00D13792">
        <w:rPr>
          <w:rFonts w:ascii="Verdana" w:eastAsia="Verdana" w:hAnsi="Verdana" w:cs="Verdana"/>
          <w:sz w:val="20"/>
          <w:szCs w:val="20"/>
          <w:lang w:val="es-CR" w:eastAsia="en-US"/>
        </w:rPr>
        <w:t>an</w:t>
      </w:r>
      <w:r w:rsidRPr="00D13792">
        <w:rPr>
          <w:rFonts w:ascii="Verdana" w:eastAsia="Verdana" w:hAnsi="Verdana" w:cs="Verdana"/>
          <w:spacing w:val="-1"/>
          <w:sz w:val="20"/>
          <w:szCs w:val="20"/>
          <w:lang w:val="es-CR" w:eastAsia="en-US"/>
        </w:rPr>
        <w:t xml:space="preserve"> </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g</w:t>
      </w:r>
      <w:r w:rsidRPr="00D13792">
        <w:rPr>
          <w:rFonts w:ascii="Verdana" w:eastAsia="Verdana" w:hAnsi="Verdana" w:cs="Verdana"/>
          <w:spacing w:val="-1"/>
          <w:sz w:val="20"/>
          <w:szCs w:val="20"/>
          <w:lang w:val="es-CR" w:eastAsia="en-US"/>
        </w:rPr>
        <w:t>o</w:t>
      </w:r>
      <w:r w:rsidRPr="00D13792">
        <w:rPr>
          <w:rFonts w:ascii="Verdana" w:eastAsia="Verdana" w:hAnsi="Verdana" w:cs="Verdana"/>
          <w:spacing w:val="1"/>
          <w:sz w:val="20"/>
          <w:szCs w:val="20"/>
          <w:lang w:val="es-CR" w:eastAsia="en-US"/>
        </w:rPr>
        <w:t>t</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d</w:t>
      </w:r>
      <w:r w:rsidRPr="00D13792">
        <w:rPr>
          <w:rFonts w:ascii="Verdana" w:eastAsia="Verdana" w:hAnsi="Verdana" w:cs="Verdana"/>
          <w:spacing w:val="-1"/>
          <w:sz w:val="20"/>
          <w:szCs w:val="20"/>
          <w:lang w:val="es-CR" w:eastAsia="en-US"/>
        </w:rPr>
        <w:t>o</w:t>
      </w:r>
      <w:r w:rsidRPr="00D13792">
        <w:rPr>
          <w:rFonts w:ascii="Verdana" w:eastAsia="Verdana" w:hAnsi="Verdana" w:cs="Verdana"/>
          <w:sz w:val="20"/>
          <w:szCs w:val="20"/>
          <w:lang w:val="es-CR" w:eastAsia="en-US"/>
        </w:rPr>
        <w:t>,</w:t>
      </w:r>
      <w:r w:rsidRPr="00D13792">
        <w:rPr>
          <w:rFonts w:ascii="Verdana" w:eastAsia="Verdana" w:hAnsi="Verdana" w:cs="Verdana"/>
          <w:spacing w:val="-8"/>
          <w:sz w:val="20"/>
          <w:szCs w:val="20"/>
          <w:lang w:val="es-CR" w:eastAsia="en-US"/>
        </w:rPr>
        <w:t xml:space="preserve"> </w:t>
      </w:r>
      <w:r w:rsidRPr="00D13792">
        <w:rPr>
          <w:rFonts w:ascii="Verdana" w:eastAsia="Verdana" w:hAnsi="Verdana" w:cs="Verdana"/>
          <w:sz w:val="20"/>
          <w:szCs w:val="20"/>
          <w:lang w:val="es-CR" w:eastAsia="en-US"/>
        </w:rPr>
        <w:t xml:space="preserve">y </w:t>
      </w:r>
      <w:r w:rsidRPr="00D13792">
        <w:rPr>
          <w:rFonts w:ascii="Verdana" w:eastAsia="Verdana" w:hAnsi="Verdana" w:cs="Verdana"/>
          <w:spacing w:val="3"/>
          <w:sz w:val="20"/>
          <w:szCs w:val="20"/>
          <w:lang w:val="es-CR" w:eastAsia="en-US"/>
        </w:rPr>
        <w:t>d</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m</w:t>
      </w:r>
      <w:r w:rsidRPr="00D13792">
        <w:rPr>
          <w:rFonts w:ascii="Verdana" w:eastAsia="Verdana" w:hAnsi="Verdana" w:cs="Verdana"/>
          <w:spacing w:val="2"/>
          <w:sz w:val="20"/>
          <w:szCs w:val="20"/>
          <w:lang w:val="es-CR" w:eastAsia="en-US"/>
        </w:rPr>
        <w:t>o</w:t>
      </w:r>
      <w:r w:rsidRPr="00D13792">
        <w:rPr>
          <w:rFonts w:ascii="Verdana" w:eastAsia="Verdana" w:hAnsi="Verdana" w:cs="Verdana"/>
          <w:sz w:val="20"/>
          <w:szCs w:val="20"/>
          <w:lang w:val="es-CR" w:eastAsia="en-US"/>
        </w:rPr>
        <w:t>st</w:t>
      </w:r>
      <w:r w:rsidRPr="00D13792">
        <w:rPr>
          <w:rFonts w:ascii="Verdana" w:eastAsia="Verdana" w:hAnsi="Verdana" w:cs="Verdana"/>
          <w:spacing w:val="1"/>
          <w:sz w:val="20"/>
          <w:szCs w:val="20"/>
          <w:lang w:val="es-CR" w:eastAsia="en-US"/>
        </w:rPr>
        <w:t>r</w:t>
      </w:r>
      <w:r w:rsidRPr="00D13792">
        <w:rPr>
          <w:rFonts w:ascii="Verdana" w:eastAsia="Verdana" w:hAnsi="Verdana" w:cs="Verdana"/>
          <w:sz w:val="20"/>
          <w:szCs w:val="20"/>
          <w:lang w:val="es-CR" w:eastAsia="en-US"/>
        </w:rPr>
        <w:t>ar</w:t>
      </w:r>
      <w:r w:rsidRPr="00D13792">
        <w:rPr>
          <w:rFonts w:ascii="Verdana" w:eastAsia="Verdana" w:hAnsi="Verdana" w:cs="Verdana"/>
          <w:spacing w:val="-10"/>
          <w:sz w:val="20"/>
          <w:szCs w:val="20"/>
          <w:lang w:val="es-CR" w:eastAsia="en-US"/>
        </w:rPr>
        <w:t xml:space="preserve"> </w:t>
      </w:r>
      <w:r w:rsidRPr="00D13792">
        <w:rPr>
          <w:rFonts w:ascii="Verdana" w:eastAsia="Verdana" w:hAnsi="Verdana" w:cs="Verdana"/>
          <w:spacing w:val="1"/>
          <w:sz w:val="20"/>
          <w:szCs w:val="20"/>
          <w:lang w:val="es-CR" w:eastAsia="en-US"/>
        </w:rPr>
        <w:t>qu</w:t>
      </w:r>
      <w:r w:rsidRPr="00D13792">
        <w:rPr>
          <w:rFonts w:ascii="Verdana" w:eastAsia="Verdana" w:hAnsi="Verdana" w:cs="Verdana"/>
          <w:sz w:val="20"/>
          <w:szCs w:val="20"/>
          <w:lang w:val="es-CR" w:eastAsia="en-US"/>
        </w:rPr>
        <w:t xml:space="preserve">e </w:t>
      </w:r>
      <w:r w:rsidRPr="00D13792">
        <w:rPr>
          <w:rFonts w:ascii="Verdana" w:eastAsia="Verdana" w:hAnsi="Verdana" w:cs="Verdana"/>
          <w:spacing w:val="2"/>
          <w:sz w:val="20"/>
          <w:szCs w:val="20"/>
          <w:lang w:val="es-CR" w:eastAsia="en-US"/>
        </w:rPr>
        <w:t>s</w:t>
      </w:r>
      <w:r w:rsidRPr="00D13792">
        <w:rPr>
          <w:rFonts w:ascii="Verdana" w:eastAsia="Verdana" w:hAnsi="Verdana" w:cs="Verdana"/>
          <w:sz w:val="20"/>
          <w:szCs w:val="20"/>
          <w:lang w:val="es-CR" w:eastAsia="en-US"/>
        </w:rPr>
        <w:t>e</w:t>
      </w:r>
      <w:r w:rsidRPr="00D13792">
        <w:rPr>
          <w:rFonts w:ascii="Verdana" w:eastAsia="Verdana" w:hAnsi="Verdana" w:cs="Verdana"/>
          <w:spacing w:val="8"/>
          <w:sz w:val="20"/>
          <w:szCs w:val="20"/>
          <w:lang w:val="es-CR" w:eastAsia="en-US"/>
        </w:rPr>
        <w:t xml:space="preserve"> </w:t>
      </w:r>
      <w:r w:rsidRPr="00D13792">
        <w:rPr>
          <w:rFonts w:ascii="Verdana" w:eastAsia="Verdana" w:hAnsi="Verdana" w:cs="Verdana"/>
          <w:spacing w:val="-1"/>
          <w:sz w:val="20"/>
          <w:szCs w:val="20"/>
          <w:lang w:val="es-CR" w:eastAsia="en-US"/>
        </w:rPr>
        <w:t>e</w:t>
      </w:r>
      <w:r w:rsidRPr="00D13792">
        <w:rPr>
          <w:rFonts w:ascii="Verdana" w:eastAsia="Verdana" w:hAnsi="Verdana" w:cs="Verdana"/>
          <w:spacing w:val="3"/>
          <w:sz w:val="20"/>
          <w:szCs w:val="20"/>
          <w:lang w:val="es-CR" w:eastAsia="en-US"/>
        </w:rPr>
        <w:t>n</w:t>
      </w:r>
      <w:r w:rsidRPr="00D13792">
        <w:rPr>
          <w:rFonts w:ascii="Verdana" w:eastAsia="Verdana" w:hAnsi="Verdana" w:cs="Verdana"/>
          <w:sz w:val="20"/>
          <w:szCs w:val="20"/>
          <w:lang w:val="es-CR" w:eastAsia="en-US"/>
        </w:rPr>
        <w:t>c</w:t>
      </w:r>
      <w:r w:rsidRPr="00D13792">
        <w:rPr>
          <w:rFonts w:ascii="Verdana" w:eastAsia="Verdana" w:hAnsi="Verdana" w:cs="Verdana"/>
          <w:spacing w:val="1"/>
          <w:sz w:val="20"/>
          <w:szCs w:val="20"/>
          <w:lang w:val="es-CR" w:eastAsia="en-US"/>
        </w:rPr>
        <w:t>ont</w:t>
      </w:r>
      <w:r w:rsidRPr="00D13792">
        <w:rPr>
          <w:rFonts w:ascii="Verdana" w:eastAsia="Verdana" w:hAnsi="Verdana" w:cs="Verdana"/>
          <w:spacing w:val="-1"/>
          <w:sz w:val="20"/>
          <w:szCs w:val="20"/>
          <w:lang w:val="es-CR" w:eastAsia="en-US"/>
        </w:rPr>
        <w:t>r</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b</w:t>
      </w:r>
      <w:r w:rsidRPr="00D13792">
        <w:rPr>
          <w:rFonts w:ascii="Verdana" w:eastAsia="Verdana" w:hAnsi="Verdana" w:cs="Verdana"/>
          <w:sz w:val="20"/>
          <w:szCs w:val="20"/>
          <w:lang w:val="es-CR" w:eastAsia="en-US"/>
        </w:rPr>
        <w:t>an</w:t>
      </w:r>
      <w:r w:rsidRPr="00D13792">
        <w:rPr>
          <w:rFonts w:ascii="Verdana" w:eastAsia="Verdana" w:hAnsi="Verdana" w:cs="Verdana"/>
          <w:spacing w:val="1"/>
          <w:sz w:val="20"/>
          <w:szCs w:val="20"/>
          <w:lang w:val="es-CR" w:eastAsia="en-US"/>
        </w:rPr>
        <w:t xml:space="preserve"> d</w:t>
      </w:r>
      <w:r w:rsidRPr="00D13792">
        <w:rPr>
          <w:rFonts w:ascii="Verdana" w:eastAsia="Verdana" w:hAnsi="Verdana" w:cs="Verdana"/>
          <w:spacing w:val="3"/>
          <w:sz w:val="20"/>
          <w:szCs w:val="20"/>
          <w:lang w:val="es-CR" w:eastAsia="en-US"/>
        </w:rPr>
        <w:t>i</w:t>
      </w:r>
      <w:r w:rsidRPr="00D13792">
        <w:rPr>
          <w:rFonts w:ascii="Verdana" w:eastAsia="Verdana" w:hAnsi="Verdana" w:cs="Verdana"/>
          <w:sz w:val="20"/>
          <w:szCs w:val="20"/>
          <w:lang w:val="es-CR" w:eastAsia="en-US"/>
        </w:rPr>
        <w:t>sp</w:t>
      </w:r>
      <w:r w:rsidRPr="00D13792">
        <w:rPr>
          <w:rFonts w:ascii="Verdana" w:eastAsia="Verdana" w:hAnsi="Verdana" w:cs="Verdana"/>
          <w:spacing w:val="-1"/>
          <w:sz w:val="20"/>
          <w:szCs w:val="20"/>
          <w:lang w:val="es-CR" w:eastAsia="en-US"/>
        </w:rPr>
        <w:t>on</w:t>
      </w:r>
      <w:r w:rsidRPr="00D13792">
        <w:rPr>
          <w:rFonts w:ascii="Verdana" w:eastAsia="Verdana" w:hAnsi="Verdana" w:cs="Verdana"/>
          <w:spacing w:val="3"/>
          <w:sz w:val="20"/>
          <w:szCs w:val="20"/>
          <w:lang w:val="es-CR" w:eastAsia="en-US"/>
        </w:rPr>
        <w:t>i</w:t>
      </w:r>
      <w:r w:rsidRPr="00D13792">
        <w:rPr>
          <w:rFonts w:ascii="Verdana" w:eastAsia="Verdana" w:hAnsi="Verdana" w:cs="Verdana"/>
          <w:spacing w:val="-2"/>
          <w:sz w:val="20"/>
          <w:szCs w:val="20"/>
          <w:lang w:val="es-CR" w:eastAsia="en-US"/>
        </w:rPr>
        <w:t>b</w:t>
      </w:r>
      <w:r w:rsidRPr="00D13792">
        <w:rPr>
          <w:rFonts w:ascii="Verdana" w:eastAsia="Verdana" w:hAnsi="Verdana" w:cs="Verdana"/>
          <w:spacing w:val="3"/>
          <w:sz w:val="20"/>
          <w:szCs w:val="20"/>
          <w:lang w:val="es-CR" w:eastAsia="en-US"/>
        </w:rPr>
        <w:t>l</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s y</w:t>
      </w:r>
      <w:r w:rsidRPr="00D13792">
        <w:rPr>
          <w:rFonts w:ascii="Verdana" w:eastAsia="Verdana" w:hAnsi="Verdana" w:cs="Verdana"/>
          <w:spacing w:val="10"/>
          <w:sz w:val="20"/>
          <w:szCs w:val="20"/>
          <w:lang w:val="es-CR" w:eastAsia="en-US"/>
        </w:rPr>
        <w:t xml:space="preserve"> </w:t>
      </w:r>
      <w:r w:rsidRPr="00D13792">
        <w:rPr>
          <w:rFonts w:ascii="Verdana" w:eastAsia="Verdana" w:hAnsi="Verdana" w:cs="Verdana"/>
          <w:spacing w:val="1"/>
          <w:sz w:val="20"/>
          <w:szCs w:val="20"/>
          <w:lang w:val="es-CR" w:eastAsia="en-US"/>
        </w:rPr>
        <w:t>e</w:t>
      </w:r>
      <w:r w:rsidRPr="00D13792">
        <w:rPr>
          <w:rFonts w:ascii="Verdana" w:eastAsia="Verdana" w:hAnsi="Verdana" w:cs="Verdana"/>
          <w:spacing w:val="-1"/>
          <w:sz w:val="20"/>
          <w:szCs w:val="20"/>
          <w:lang w:val="es-CR" w:eastAsia="en-US"/>
        </w:rPr>
        <w:t>r</w:t>
      </w:r>
      <w:r w:rsidRPr="00D13792">
        <w:rPr>
          <w:rFonts w:ascii="Verdana" w:eastAsia="Verdana" w:hAnsi="Verdana" w:cs="Verdana"/>
          <w:sz w:val="20"/>
          <w:szCs w:val="20"/>
          <w:lang w:val="es-CR" w:eastAsia="en-US"/>
        </w:rPr>
        <w:t>an</w:t>
      </w:r>
      <w:r w:rsidRPr="00D13792">
        <w:rPr>
          <w:rFonts w:ascii="Verdana" w:eastAsia="Verdana" w:hAnsi="Verdana" w:cs="Verdana"/>
          <w:spacing w:val="9"/>
          <w:sz w:val="20"/>
          <w:szCs w:val="20"/>
          <w:lang w:val="es-CR" w:eastAsia="en-US"/>
        </w:rPr>
        <w:t xml:space="preserve"> </w:t>
      </w:r>
      <w:r w:rsidRPr="00D13792">
        <w:rPr>
          <w:rFonts w:ascii="Verdana" w:eastAsia="Verdana" w:hAnsi="Verdana" w:cs="Verdana"/>
          <w:sz w:val="20"/>
          <w:szCs w:val="20"/>
          <w:lang w:val="es-CR" w:eastAsia="en-US"/>
        </w:rPr>
        <w:t>a</w:t>
      </w:r>
      <w:r w:rsidRPr="00D13792">
        <w:rPr>
          <w:rFonts w:ascii="Verdana" w:eastAsia="Verdana" w:hAnsi="Verdana" w:cs="Verdana"/>
          <w:spacing w:val="1"/>
          <w:sz w:val="20"/>
          <w:szCs w:val="20"/>
          <w:lang w:val="es-CR" w:eastAsia="en-US"/>
        </w:rPr>
        <w:t>d</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cu</w:t>
      </w:r>
      <w:r w:rsidRPr="00D13792">
        <w:rPr>
          <w:rFonts w:ascii="Verdana" w:eastAsia="Verdana" w:hAnsi="Verdana" w:cs="Verdana"/>
          <w:spacing w:val="1"/>
          <w:sz w:val="20"/>
          <w:szCs w:val="20"/>
          <w:lang w:val="es-CR" w:eastAsia="en-US"/>
        </w:rPr>
        <w:t>a</w:t>
      </w:r>
      <w:r w:rsidRPr="00D13792">
        <w:rPr>
          <w:rFonts w:ascii="Verdana" w:eastAsia="Verdana" w:hAnsi="Verdana" w:cs="Verdana"/>
          <w:spacing w:val="3"/>
          <w:sz w:val="20"/>
          <w:szCs w:val="20"/>
          <w:lang w:val="es-CR" w:eastAsia="en-US"/>
        </w:rPr>
        <w:t>d</w:t>
      </w:r>
      <w:r w:rsidRPr="00D13792">
        <w:rPr>
          <w:rFonts w:ascii="Verdana" w:eastAsia="Verdana" w:hAnsi="Verdana" w:cs="Verdana"/>
          <w:spacing w:val="-1"/>
          <w:sz w:val="20"/>
          <w:szCs w:val="20"/>
          <w:lang w:val="es-CR" w:eastAsia="en-US"/>
        </w:rPr>
        <w:t>o</w:t>
      </w:r>
      <w:r w:rsidRPr="00D13792">
        <w:rPr>
          <w:rFonts w:ascii="Verdana" w:eastAsia="Verdana" w:hAnsi="Verdana" w:cs="Verdana"/>
          <w:sz w:val="20"/>
          <w:szCs w:val="20"/>
          <w:lang w:val="es-CR" w:eastAsia="en-US"/>
        </w:rPr>
        <w:t xml:space="preserve">s, </w:t>
      </w:r>
      <w:r w:rsidRPr="00D13792">
        <w:rPr>
          <w:rFonts w:ascii="Verdana" w:eastAsia="Verdana" w:hAnsi="Verdana" w:cs="Verdana"/>
          <w:spacing w:val="3"/>
          <w:sz w:val="20"/>
          <w:szCs w:val="20"/>
          <w:lang w:val="es-CR" w:eastAsia="en-US"/>
        </w:rPr>
        <w:t>i</w:t>
      </w:r>
      <w:r w:rsidRPr="00D13792">
        <w:rPr>
          <w:rFonts w:ascii="Verdana" w:eastAsia="Verdana" w:hAnsi="Verdana" w:cs="Verdana"/>
          <w:spacing w:val="1"/>
          <w:sz w:val="20"/>
          <w:szCs w:val="20"/>
          <w:lang w:val="es-CR" w:eastAsia="en-US"/>
        </w:rPr>
        <w:t>d</w:t>
      </w:r>
      <w:r w:rsidRPr="00D13792">
        <w:rPr>
          <w:rFonts w:ascii="Verdana" w:eastAsia="Verdana" w:hAnsi="Verdana" w:cs="Verdana"/>
          <w:spacing w:val="-1"/>
          <w:sz w:val="20"/>
          <w:szCs w:val="20"/>
          <w:lang w:val="es-CR" w:eastAsia="en-US"/>
        </w:rPr>
        <w:t>ó</w:t>
      </w:r>
      <w:r w:rsidRPr="00D13792">
        <w:rPr>
          <w:rFonts w:ascii="Verdana" w:eastAsia="Verdana" w:hAnsi="Verdana" w:cs="Verdana"/>
          <w:spacing w:val="1"/>
          <w:sz w:val="20"/>
          <w:szCs w:val="20"/>
          <w:lang w:val="es-CR" w:eastAsia="en-US"/>
        </w:rPr>
        <w:t>n</w:t>
      </w:r>
      <w:r w:rsidRPr="00D13792">
        <w:rPr>
          <w:rFonts w:ascii="Verdana" w:eastAsia="Verdana" w:hAnsi="Verdana" w:cs="Verdana"/>
          <w:spacing w:val="-1"/>
          <w:sz w:val="20"/>
          <w:szCs w:val="20"/>
          <w:lang w:val="es-CR" w:eastAsia="en-US"/>
        </w:rPr>
        <w:t>e</w:t>
      </w:r>
      <w:r w:rsidRPr="00D13792">
        <w:rPr>
          <w:rFonts w:ascii="Verdana" w:eastAsia="Verdana" w:hAnsi="Verdana" w:cs="Verdana"/>
          <w:spacing w:val="1"/>
          <w:sz w:val="20"/>
          <w:szCs w:val="20"/>
          <w:lang w:val="es-CR" w:eastAsia="en-US"/>
        </w:rPr>
        <w:t>o</w:t>
      </w:r>
      <w:r w:rsidRPr="00D13792">
        <w:rPr>
          <w:rFonts w:ascii="Verdana" w:eastAsia="Verdana" w:hAnsi="Verdana" w:cs="Verdana"/>
          <w:sz w:val="20"/>
          <w:szCs w:val="20"/>
          <w:lang w:val="es-CR" w:eastAsia="en-US"/>
        </w:rPr>
        <w:t>s</w:t>
      </w:r>
      <w:r w:rsidRPr="00D13792">
        <w:rPr>
          <w:rFonts w:ascii="Verdana" w:eastAsia="Verdana" w:hAnsi="Verdana" w:cs="Verdana"/>
          <w:spacing w:val="6"/>
          <w:sz w:val="20"/>
          <w:szCs w:val="20"/>
          <w:lang w:val="es-CR" w:eastAsia="en-US"/>
        </w:rPr>
        <w:t xml:space="preserve"> </w:t>
      </w:r>
      <w:r w:rsidRPr="00D13792">
        <w:rPr>
          <w:rFonts w:ascii="Verdana" w:eastAsia="Verdana" w:hAnsi="Verdana" w:cs="Verdana"/>
          <w:sz w:val="20"/>
          <w:szCs w:val="20"/>
          <w:lang w:val="es-CR" w:eastAsia="en-US"/>
        </w:rPr>
        <w:t>y</w:t>
      </w:r>
      <w:r w:rsidRPr="00D13792">
        <w:rPr>
          <w:rFonts w:ascii="Verdana" w:eastAsia="Verdana" w:hAnsi="Verdana" w:cs="Verdana"/>
          <w:spacing w:val="10"/>
          <w:sz w:val="20"/>
          <w:szCs w:val="20"/>
          <w:lang w:val="es-CR" w:eastAsia="en-US"/>
        </w:rPr>
        <w:t xml:space="preserve"> </w:t>
      </w:r>
      <w:r w:rsidRPr="00D13792">
        <w:rPr>
          <w:rFonts w:ascii="Verdana" w:eastAsia="Verdana" w:hAnsi="Verdana" w:cs="Verdana"/>
          <w:spacing w:val="-1"/>
          <w:sz w:val="20"/>
          <w:szCs w:val="20"/>
          <w:lang w:val="es-CR" w:eastAsia="en-US"/>
        </w:rPr>
        <w:t>e</w:t>
      </w:r>
      <w:r w:rsidRPr="00D13792">
        <w:rPr>
          <w:rFonts w:ascii="Verdana" w:eastAsia="Verdana" w:hAnsi="Verdana" w:cs="Verdana"/>
          <w:spacing w:val="2"/>
          <w:sz w:val="20"/>
          <w:szCs w:val="20"/>
          <w:lang w:val="es-CR" w:eastAsia="en-US"/>
        </w:rPr>
        <w:t>f</w:t>
      </w:r>
      <w:r w:rsidRPr="00D13792">
        <w:rPr>
          <w:rFonts w:ascii="Verdana" w:eastAsia="Verdana" w:hAnsi="Verdana" w:cs="Verdana"/>
          <w:spacing w:val="-1"/>
          <w:sz w:val="20"/>
          <w:szCs w:val="20"/>
          <w:lang w:val="es-CR" w:eastAsia="en-US"/>
        </w:rPr>
        <w:t>e</w:t>
      </w:r>
      <w:r w:rsidRPr="00D13792">
        <w:rPr>
          <w:rFonts w:ascii="Verdana" w:eastAsia="Verdana" w:hAnsi="Verdana" w:cs="Verdana"/>
          <w:sz w:val="20"/>
          <w:szCs w:val="20"/>
          <w:lang w:val="es-CR" w:eastAsia="en-US"/>
        </w:rPr>
        <w:t>ct</w:t>
      </w:r>
      <w:r w:rsidRPr="00D13792">
        <w:rPr>
          <w:rFonts w:ascii="Verdana" w:eastAsia="Verdana" w:hAnsi="Verdana" w:cs="Verdana"/>
          <w:spacing w:val="3"/>
          <w:sz w:val="20"/>
          <w:szCs w:val="20"/>
          <w:lang w:val="es-CR" w:eastAsia="en-US"/>
        </w:rPr>
        <w:t>i</w:t>
      </w:r>
      <w:r w:rsidRPr="00D13792">
        <w:rPr>
          <w:rFonts w:ascii="Verdana" w:eastAsia="Verdana" w:hAnsi="Verdana" w:cs="Verdana"/>
          <w:sz w:val="20"/>
          <w:szCs w:val="20"/>
          <w:lang w:val="es-CR" w:eastAsia="en-US"/>
        </w:rPr>
        <w:t>v</w:t>
      </w:r>
      <w:r w:rsidRPr="00D13792">
        <w:rPr>
          <w:rFonts w:ascii="Verdana" w:eastAsia="Verdana" w:hAnsi="Verdana" w:cs="Verdana"/>
          <w:spacing w:val="-1"/>
          <w:sz w:val="20"/>
          <w:szCs w:val="20"/>
          <w:lang w:val="es-CR" w:eastAsia="en-US"/>
        </w:rPr>
        <w:t>o</w:t>
      </w:r>
      <w:r w:rsidRPr="00D13792">
        <w:rPr>
          <w:rFonts w:ascii="Verdana" w:eastAsia="Verdana" w:hAnsi="Verdana" w:cs="Verdana"/>
          <w:spacing w:val="10"/>
          <w:sz w:val="20"/>
          <w:szCs w:val="20"/>
          <w:lang w:val="es-CR" w:eastAsia="en-US"/>
        </w:rPr>
        <w:t>s</w:t>
      </w:r>
      <w:r w:rsidRPr="00D13792">
        <w:rPr>
          <w:rFonts w:ascii="Verdana" w:eastAsia="Batang" w:hAnsi="Verdana"/>
          <w:sz w:val="20"/>
          <w:szCs w:val="20"/>
          <w:vertAlign w:val="superscript"/>
          <w:lang w:val="es-CR"/>
        </w:rPr>
        <w:footnoteReference w:id="24"/>
      </w:r>
      <w:r w:rsidRPr="00D13792">
        <w:rPr>
          <w:rFonts w:ascii="Verdana" w:eastAsia="Verdana" w:hAnsi="Verdana" w:cs="Verdana"/>
          <w:sz w:val="20"/>
          <w:szCs w:val="20"/>
          <w:lang w:val="es-CR" w:eastAsia="en-US"/>
        </w:rPr>
        <w:t>.</w:t>
      </w:r>
      <w:r w:rsidRPr="00D13792">
        <w:rPr>
          <w:rFonts w:ascii="Verdana" w:hAnsi="Verdana" w:cs="Cambria"/>
          <w:sz w:val="20"/>
          <w:szCs w:val="20"/>
          <w:lang w:val="es-CR"/>
        </w:rPr>
        <w:t xml:space="preserve"> En este sentido, el Tribunal ha manifestado que no corresponde ni a la Corte ni a la Comisión identificar </w:t>
      </w:r>
      <w:r w:rsidRPr="00D13792">
        <w:rPr>
          <w:rFonts w:ascii="Verdana" w:hAnsi="Verdana" w:cs="Cambria"/>
          <w:i/>
          <w:sz w:val="20"/>
          <w:szCs w:val="20"/>
          <w:lang w:val="es-CR"/>
        </w:rPr>
        <w:t>ex officio</w:t>
      </w:r>
      <w:r w:rsidRPr="00D13792">
        <w:rPr>
          <w:rFonts w:ascii="Verdana" w:hAnsi="Verdana" w:cs="Cambria"/>
          <w:sz w:val="20"/>
          <w:szCs w:val="20"/>
          <w:lang w:val="es-CR"/>
        </w:rPr>
        <w:t xml:space="preserve"> cuáles son los recursos internos pendientes de agotamiento. Por ello, no compete a los órganos internacionales subsanar la falta de precisión de los alegatos del Estado</w:t>
      </w:r>
      <w:r w:rsidRPr="00D13792">
        <w:rPr>
          <w:rFonts w:ascii="Verdana" w:hAnsi="Verdana" w:cs="Cambria"/>
          <w:sz w:val="20"/>
          <w:szCs w:val="20"/>
          <w:vertAlign w:val="superscript"/>
          <w:lang w:val="es-CR"/>
        </w:rPr>
        <w:footnoteReference w:id="25"/>
      </w:r>
      <w:r w:rsidRPr="00D13792">
        <w:rPr>
          <w:rFonts w:ascii="Verdana" w:hAnsi="Verdana" w:cs="Cambria"/>
          <w:sz w:val="20"/>
          <w:szCs w:val="20"/>
          <w:lang w:val="es-CR"/>
        </w:rPr>
        <w:t>.</w:t>
      </w:r>
    </w:p>
    <w:p w14:paraId="57C61B31" w14:textId="77777777" w:rsidR="006A0E1C" w:rsidRPr="00D13792" w:rsidRDefault="006A0E1C" w:rsidP="006A0E1C">
      <w:pPr>
        <w:spacing w:line="240" w:lineRule="auto"/>
        <w:rPr>
          <w:sz w:val="20"/>
          <w:szCs w:val="20"/>
        </w:rPr>
      </w:pPr>
    </w:p>
    <w:p w14:paraId="660E1385" w14:textId="77777777" w:rsidR="006A0E1C" w:rsidRPr="00D13792" w:rsidRDefault="006A0E1C" w:rsidP="006A0E1C">
      <w:pPr>
        <w:numPr>
          <w:ilvl w:val="0"/>
          <w:numId w:val="6"/>
        </w:numPr>
        <w:tabs>
          <w:tab w:val="left" w:pos="567"/>
        </w:tabs>
        <w:spacing w:line="240" w:lineRule="auto"/>
        <w:ind w:right="4"/>
        <w:rPr>
          <w:rFonts w:cs="Cambria"/>
          <w:sz w:val="20"/>
          <w:szCs w:val="20"/>
        </w:rPr>
      </w:pPr>
      <w:r w:rsidRPr="00D13792">
        <w:rPr>
          <w:rFonts w:cs="Cambria"/>
          <w:sz w:val="20"/>
          <w:szCs w:val="20"/>
        </w:rPr>
        <w:t>En su escrito de contestación a la demanda, el Estado presentó ante la Corte la excepción preliminar de falta de agotamiento de recursos internos con base en dos argumentos: i) la existencia y falta de agotamiento del recurso de hábeas corpus o exhibición personal, y ii) la existencia y falta de agotamiento del recurso administrativo denominado “Programa Nacional de Resarcimiento” (PNR).</w:t>
      </w:r>
    </w:p>
    <w:p w14:paraId="450FC4A9" w14:textId="77777777" w:rsidR="006A0E1C" w:rsidRPr="00D13792" w:rsidRDefault="006A0E1C" w:rsidP="006A0E1C">
      <w:pPr>
        <w:tabs>
          <w:tab w:val="left" w:pos="567"/>
        </w:tabs>
        <w:spacing w:line="240" w:lineRule="auto"/>
        <w:ind w:right="4"/>
        <w:rPr>
          <w:rFonts w:cs="Cambria"/>
          <w:sz w:val="20"/>
          <w:szCs w:val="20"/>
        </w:rPr>
      </w:pPr>
    </w:p>
    <w:p w14:paraId="08F85E17" w14:textId="77777777" w:rsidR="006A0E1C" w:rsidRPr="00D13792" w:rsidRDefault="006A0E1C" w:rsidP="006A0E1C">
      <w:pPr>
        <w:numPr>
          <w:ilvl w:val="0"/>
          <w:numId w:val="6"/>
        </w:numPr>
        <w:tabs>
          <w:tab w:val="left" w:pos="567"/>
        </w:tabs>
        <w:spacing w:line="240" w:lineRule="auto"/>
        <w:ind w:right="4"/>
        <w:rPr>
          <w:rFonts w:cs="Cambria"/>
          <w:sz w:val="20"/>
          <w:szCs w:val="20"/>
        </w:rPr>
      </w:pPr>
      <w:r w:rsidRPr="00D13792">
        <w:rPr>
          <w:rFonts w:cs="Cambria"/>
          <w:sz w:val="20"/>
          <w:szCs w:val="20"/>
        </w:rPr>
        <w:t>Al respecto, la Corte observa que la petición inicial ante la Comisión fue presentada el 13 de diciembre de 2007 y trasladada al Estado el 14 de julio de 2008. La respuesta del Estado fue recibida el 10 de septiembre de 2008. En ese momento, el Estado indicó que no existía “un agotamiento de los recursos administrativos y judiciales disponibles en el ordenamiento interno […]”</w:t>
      </w:r>
      <w:r w:rsidRPr="00D13792">
        <w:rPr>
          <w:rFonts w:cs="Cambria"/>
          <w:sz w:val="20"/>
          <w:szCs w:val="20"/>
          <w:vertAlign w:val="superscript"/>
        </w:rPr>
        <w:footnoteReference w:id="26"/>
      </w:r>
      <w:r w:rsidRPr="00D13792">
        <w:rPr>
          <w:rFonts w:cs="Cambria"/>
          <w:sz w:val="20"/>
          <w:szCs w:val="20"/>
        </w:rPr>
        <w:t>. Manifestó que las investigaciones penales se encontraban en la fase de investigación y que se continuaría indagando sobre “las causas que ocasionaron el retardo en el diligenciamiento del proceso ya identificado”</w:t>
      </w:r>
      <w:r w:rsidRPr="00D13792">
        <w:rPr>
          <w:rFonts w:cs="Cambria"/>
          <w:sz w:val="20"/>
          <w:szCs w:val="20"/>
          <w:vertAlign w:val="superscript"/>
        </w:rPr>
        <w:footnoteReference w:id="27"/>
      </w:r>
      <w:r w:rsidRPr="00D13792">
        <w:rPr>
          <w:rFonts w:cs="Cambria"/>
          <w:sz w:val="20"/>
          <w:szCs w:val="20"/>
        </w:rPr>
        <w:t xml:space="preserve">, y sostuvo que existían otros recursos administrativos, como el PNR, que tampoco habían sido agotados. Así, la Corte destaca que el Estado no mencionó la disponibilidad del recurso de hábeas corpus o exhibición personal en dicho escrito, ni en ningún momento durante la etapa de admisibilidad ante la Comisión. Por tanto, este alegato del Estado es extemporáneo. </w:t>
      </w:r>
    </w:p>
    <w:p w14:paraId="3B3E51E7" w14:textId="77777777" w:rsidR="006A0E1C" w:rsidRPr="00D13792" w:rsidRDefault="006A0E1C" w:rsidP="006A0E1C">
      <w:pPr>
        <w:tabs>
          <w:tab w:val="left" w:pos="567"/>
        </w:tabs>
        <w:spacing w:line="240" w:lineRule="auto"/>
        <w:ind w:right="4"/>
        <w:rPr>
          <w:rFonts w:cs="Cambria"/>
          <w:sz w:val="20"/>
          <w:szCs w:val="20"/>
        </w:rPr>
      </w:pPr>
    </w:p>
    <w:p w14:paraId="60D8D193" w14:textId="77777777" w:rsidR="006A0E1C" w:rsidRPr="00D13792" w:rsidRDefault="006A0E1C" w:rsidP="006A0E1C">
      <w:pPr>
        <w:numPr>
          <w:ilvl w:val="0"/>
          <w:numId w:val="6"/>
        </w:numPr>
        <w:tabs>
          <w:tab w:val="left" w:pos="567"/>
        </w:tabs>
        <w:spacing w:line="240" w:lineRule="auto"/>
        <w:ind w:right="4"/>
        <w:rPr>
          <w:rFonts w:eastAsia="Batang" w:cs="Times"/>
          <w:sz w:val="20"/>
          <w:szCs w:val="20"/>
          <w:lang w:eastAsia="en-US"/>
        </w:rPr>
      </w:pPr>
      <w:r w:rsidRPr="00D13792">
        <w:rPr>
          <w:rFonts w:cs="Cambria"/>
          <w:sz w:val="20"/>
          <w:szCs w:val="20"/>
        </w:rPr>
        <w:t xml:space="preserve">En cuanto al segundo argumento, la Corte ya estableció en el párrafo anterior que este </w:t>
      </w:r>
      <w:r w:rsidRPr="00D13792">
        <w:rPr>
          <w:rFonts w:cs="Cambria"/>
          <w:sz w:val="20"/>
          <w:szCs w:val="20"/>
        </w:rPr>
        <w:lastRenderedPageBreak/>
        <w:t>fue presentado en el momento procesal oportuno. Sin embargo, el Estado no indicó al Tribunal los motivos por los cuales el Programa Nacional de Resarcimiento sería un recurso adecuado, idóneo y efectivo para reparar las violaciones específicas alegadas en el presente caso sobre las cuales esta Corte tiene competencia (</w:t>
      </w:r>
      <w:r w:rsidRPr="00D13792">
        <w:rPr>
          <w:rFonts w:cs="Cambria"/>
          <w:i/>
          <w:sz w:val="20"/>
          <w:szCs w:val="20"/>
        </w:rPr>
        <w:t xml:space="preserve">supra </w:t>
      </w:r>
      <w:r w:rsidRPr="00D13792">
        <w:rPr>
          <w:rFonts w:cs="Cambria"/>
          <w:sz w:val="20"/>
          <w:szCs w:val="20"/>
        </w:rPr>
        <w:t>párr. 24), más allá de señalar que fue creado como recurso administrativo “para brindar resarcimiento individual y/o colectivo a las víctimas civiles de violaciones a los derechos humanos ocurridas durante el enfrentamiento armado interno, que incluye el apoyo material y psicológico a los familiares de las víctimas fallecidas y a las víctimas sobrevivientes”</w:t>
      </w:r>
      <w:r w:rsidRPr="00D13792">
        <w:rPr>
          <w:rFonts w:cs="Cambria"/>
          <w:sz w:val="20"/>
          <w:szCs w:val="20"/>
          <w:vertAlign w:val="superscript"/>
        </w:rPr>
        <w:footnoteReference w:id="28"/>
      </w:r>
      <w:r w:rsidRPr="00D13792">
        <w:rPr>
          <w:rFonts w:cs="Cambria"/>
          <w:sz w:val="20"/>
          <w:szCs w:val="20"/>
        </w:rPr>
        <w:t xml:space="preserve">. En todo caso, el Tribunal considera que, en casos como el presente, en que se alegan graves violaciones a los derechos humanos, la interposición de la denuncia penal es suficiente para satisfacer los requerimientos del artículo 46.1.a de la </w:t>
      </w:r>
      <w:r w:rsidRPr="00D13792">
        <w:rPr>
          <w:rFonts w:eastAsia="Batang" w:cs="Times"/>
          <w:sz w:val="20"/>
          <w:szCs w:val="20"/>
          <w:lang w:eastAsia="en-US"/>
        </w:rPr>
        <w:t>Convención</w:t>
      </w:r>
      <w:r w:rsidRPr="00D13792">
        <w:rPr>
          <w:rFonts w:eastAsia="Batang" w:cs="Times"/>
          <w:sz w:val="20"/>
          <w:szCs w:val="20"/>
          <w:vertAlign w:val="superscript"/>
          <w:lang w:eastAsia="en-US"/>
        </w:rPr>
        <w:footnoteReference w:id="29"/>
      </w:r>
      <w:r w:rsidRPr="00D13792">
        <w:rPr>
          <w:rFonts w:eastAsia="Batang" w:cs="Times"/>
          <w:sz w:val="20"/>
          <w:szCs w:val="20"/>
          <w:lang w:eastAsia="en-US"/>
        </w:rPr>
        <w:t xml:space="preserve">. </w:t>
      </w:r>
    </w:p>
    <w:p w14:paraId="78ECD941" w14:textId="77777777" w:rsidR="006A0E1C" w:rsidRPr="00D13792" w:rsidRDefault="006A0E1C" w:rsidP="006A0E1C">
      <w:pPr>
        <w:tabs>
          <w:tab w:val="left" w:pos="567"/>
        </w:tabs>
        <w:spacing w:line="240" w:lineRule="auto"/>
        <w:ind w:right="4"/>
        <w:rPr>
          <w:rFonts w:cs="Cambria"/>
          <w:i/>
          <w:sz w:val="20"/>
          <w:szCs w:val="20"/>
        </w:rPr>
      </w:pPr>
    </w:p>
    <w:p w14:paraId="31577F30" w14:textId="77777777" w:rsidR="006A0E1C" w:rsidRPr="00D13792" w:rsidRDefault="006A0E1C" w:rsidP="006A0E1C">
      <w:pPr>
        <w:numPr>
          <w:ilvl w:val="0"/>
          <w:numId w:val="6"/>
        </w:numPr>
        <w:tabs>
          <w:tab w:val="left" w:pos="567"/>
        </w:tabs>
        <w:spacing w:line="240" w:lineRule="auto"/>
        <w:ind w:right="4"/>
        <w:rPr>
          <w:rFonts w:cs="Cambria"/>
          <w:sz w:val="20"/>
          <w:szCs w:val="20"/>
        </w:rPr>
      </w:pPr>
      <w:r w:rsidRPr="00D13792">
        <w:rPr>
          <w:rFonts w:cs="Cambria"/>
          <w:sz w:val="20"/>
          <w:szCs w:val="20"/>
        </w:rPr>
        <w:t>En vista de lo anterior, la Corte desestima la excepción preliminar de falta de agotamiento de los recursos internos.</w:t>
      </w:r>
    </w:p>
    <w:p w14:paraId="04B70F8F" w14:textId="77777777" w:rsidR="006A0E1C" w:rsidRPr="00D13792" w:rsidRDefault="006A0E1C" w:rsidP="006A0E1C">
      <w:pPr>
        <w:tabs>
          <w:tab w:val="left" w:pos="567"/>
        </w:tabs>
        <w:spacing w:line="240" w:lineRule="auto"/>
        <w:rPr>
          <w:sz w:val="20"/>
          <w:szCs w:val="20"/>
        </w:rPr>
      </w:pPr>
    </w:p>
    <w:p w14:paraId="7DDCA07C" w14:textId="77777777" w:rsidR="006A0E1C" w:rsidRPr="00D13792" w:rsidRDefault="006A0E1C" w:rsidP="006A0E1C">
      <w:pPr>
        <w:pStyle w:val="Heading2"/>
        <w:rPr>
          <w:lang w:val="es-CR"/>
        </w:rPr>
      </w:pPr>
      <w:bookmarkStart w:id="73" w:name="_Toc469669999"/>
      <w:r w:rsidRPr="00D13792">
        <w:rPr>
          <w:lang w:val="es-CR"/>
        </w:rPr>
        <w:t>D. Excepción de carencia de la facultad para presentar otra reclamación por los mismos hechos</w:t>
      </w:r>
      <w:bookmarkEnd w:id="73"/>
    </w:p>
    <w:p w14:paraId="1405B673" w14:textId="77777777" w:rsidR="006A0E1C" w:rsidRPr="00D13792" w:rsidRDefault="006A0E1C" w:rsidP="006A0E1C">
      <w:pPr>
        <w:pStyle w:val="Heading4"/>
        <w:rPr>
          <w:rFonts w:eastAsia="Calibri"/>
          <w:lang w:val="es-CR"/>
        </w:rPr>
      </w:pPr>
    </w:p>
    <w:p w14:paraId="3A3527EE" w14:textId="77777777" w:rsidR="006A0E1C" w:rsidRPr="00D13792" w:rsidRDefault="006A0E1C" w:rsidP="006A0E1C">
      <w:pPr>
        <w:pStyle w:val="Heading4"/>
        <w:ind w:left="0" w:firstLine="0"/>
        <w:rPr>
          <w:b/>
          <w:lang w:val="es-CR"/>
        </w:rPr>
      </w:pPr>
      <w:r w:rsidRPr="00D13792">
        <w:rPr>
          <w:lang w:val="es-CR"/>
        </w:rPr>
        <w:t>D.1. Argumentos de la Comisión y de las partes</w:t>
      </w:r>
    </w:p>
    <w:p w14:paraId="24499A3F" w14:textId="77777777" w:rsidR="006A0E1C" w:rsidRPr="00D13792" w:rsidRDefault="006A0E1C" w:rsidP="006A0E1C">
      <w:pPr>
        <w:tabs>
          <w:tab w:val="left" w:pos="720"/>
        </w:tabs>
        <w:spacing w:line="240" w:lineRule="auto"/>
        <w:rPr>
          <w:bCs/>
          <w:i/>
          <w:sz w:val="20"/>
          <w:szCs w:val="20"/>
        </w:rPr>
      </w:pPr>
    </w:p>
    <w:p w14:paraId="36AF32FC"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
          <w:i/>
          <w:sz w:val="20"/>
          <w:szCs w:val="20"/>
        </w:rPr>
        <w:t>Estado</w:t>
      </w:r>
      <w:r w:rsidRPr="00D13792">
        <w:rPr>
          <w:sz w:val="20"/>
          <w:szCs w:val="20"/>
        </w:rPr>
        <w:t xml:space="preserve"> solicitó a la Corte abstenerse de conocer del presente caso, “ya que la mayoría de las presuntas víctimas ya han sido resarcidas [a través del Programa Nacional de Resarcimiento] y debido a que </w:t>
      </w:r>
      <w:r w:rsidRPr="00D13792">
        <w:rPr>
          <w:rFonts w:cs="Cambria"/>
          <w:sz w:val="20"/>
          <w:szCs w:val="20"/>
        </w:rPr>
        <w:t>las</w:t>
      </w:r>
      <w:r w:rsidRPr="00D13792">
        <w:rPr>
          <w:sz w:val="20"/>
          <w:szCs w:val="20"/>
        </w:rPr>
        <w:t xml:space="preserve"> mismas firmaron en su momento, un finiquito en el cual se obligaron a no presentar en el futuro alguna otra reclamación en contra del Estado”.</w:t>
      </w:r>
    </w:p>
    <w:p w14:paraId="7A43CE0D" w14:textId="77777777" w:rsidR="006A0E1C" w:rsidRPr="00D13792" w:rsidRDefault="006A0E1C" w:rsidP="006A0E1C">
      <w:pPr>
        <w:tabs>
          <w:tab w:val="left" w:pos="720"/>
        </w:tabs>
        <w:spacing w:line="240" w:lineRule="auto"/>
        <w:rPr>
          <w:sz w:val="20"/>
          <w:szCs w:val="20"/>
        </w:rPr>
      </w:pPr>
    </w:p>
    <w:p w14:paraId="1644C721"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La </w:t>
      </w:r>
      <w:r w:rsidRPr="00D13792">
        <w:rPr>
          <w:b/>
          <w:i/>
          <w:sz w:val="20"/>
          <w:szCs w:val="20"/>
        </w:rPr>
        <w:t>Comisión</w:t>
      </w:r>
      <w:r w:rsidRPr="00D13792">
        <w:rPr>
          <w:sz w:val="20"/>
          <w:szCs w:val="20"/>
        </w:rPr>
        <w:t xml:space="preserve"> no se refirió de forma específica a este punto. Los </w:t>
      </w:r>
      <w:r w:rsidRPr="00D13792">
        <w:rPr>
          <w:b/>
          <w:i/>
          <w:sz w:val="20"/>
          <w:szCs w:val="20"/>
        </w:rPr>
        <w:t>representantes</w:t>
      </w:r>
      <w:r w:rsidRPr="00D13792">
        <w:rPr>
          <w:sz w:val="20"/>
          <w:szCs w:val="20"/>
        </w:rPr>
        <w:t xml:space="preserve"> argumentaron que “Guatemala no ha reparado justa, digna e integralmente las consecuencias de la totalidad de violaciones a los derechos humanos cometidos en contra de l[a]s [presuntas] víctimas [y] sobrevivientes […] porque el [PNR] no responde a los estándares internacionales de reparación aceptados”. </w:t>
      </w:r>
    </w:p>
    <w:p w14:paraId="679800F2" w14:textId="77777777" w:rsidR="006A0E1C" w:rsidRPr="00D13792" w:rsidRDefault="006A0E1C" w:rsidP="006A0E1C">
      <w:pPr>
        <w:spacing w:line="240" w:lineRule="auto"/>
        <w:rPr>
          <w:sz w:val="20"/>
          <w:szCs w:val="20"/>
        </w:rPr>
      </w:pPr>
    </w:p>
    <w:p w14:paraId="4D693A73" w14:textId="77777777" w:rsidR="006A0E1C" w:rsidRPr="00D13792" w:rsidRDefault="006A0E1C" w:rsidP="006A0E1C">
      <w:pPr>
        <w:pStyle w:val="Heading3"/>
        <w:ind w:left="0"/>
        <w:rPr>
          <w:b w:val="0"/>
          <w:i/>
          <w:lang w:val="es-CR"/>
        </w:rPr>
      </w:pPr>
      <w:bookmarkStart w:id="74" w:name="_Toc469670000"/>
      <w:r w:rsidRPr="00D13792">
        <w:rPr>
          <w:b w:val="0"/>
          <w:i/>
          <w:lang w:val="es-CR"/>
        </w:rPr>
        <w:t>D.2. Consideraciones de la Corte</w:t>
      </w:r>
      <w:bookmarkEnd w:id="74"/>
    </w:p>
    <w:p w14:paraId="58F43541" w14:textId="77777777" w:rsidR="006A0E1C" w:rsidRPr="00D13792" w:rsidRDefault="006A0E1C" w:rsidP="006A0E1C">
      <w:pPr>
        <w:spacing w:line="240" w:lineRule="auto"/>
        <w:rPr>
          <w:sz w:val="20"/>
          <w:szCs w:val="20"/>
        </w:rPr>
      </w:pPr>
    </w:p>
    <w:p w14:paraId="2BABD289" w14:textId="77777777" w:rsidR="006A0E1C" w:rsidRPr="00D13792" w:rsidRDefault="006A0E1C" w:rsidP="006A0E1C">
      <w:pPr>
        <w:numPr>
          <w:ilvl w:val="0"/>
          <w:numId w:val="6"/>
        </w:numPr>
        <w:tabs>
          <w:tab w:val="left" w:pos="567"/>
        </w:tabs>
        <w:spacing w:line="240" w:lineRule="auto"/>
        <w:ind w:right="4"/>
        <w:rPr>
          <w:i/>
          <w:sz w:val="20"/>
          <w:szCs w:val="20"/>
        </w:rPr>
      </w:pPr>
      <w:r w:rsidRPr="00D13792">
        <w:rPr>
          <w:sz w:val="20"/>
          <w:szCs w:val="20"/>
        </w:rPr>
        <w:t>En virtud del principio de complementariedad</w:t>
      </w:r>
      <w:r w:rsidRPr="00D13792">
        <w:rPr>
          <w:sz w:val="20"/>
          <w:szCs w:val="20"/>
          <w:vertAlign w:val="superscript"/>
        </w:rPr>
        <w:footnoteReference w:id="30"/>
      </w:r>
      <w:r w:rsidRPr="00D13792">
        <w:rPr>
          <w:sz w:val="20"/>
          <w:szCs w:val="20"/>
        </w:rPr>
        <w:t>, en tanto órganos internos hayan cumplido en forma adecuada el deber de investigar y posibilitado la reparación de las presuntas víctimas, puede no ser necesario que la Corte analice la violación de derechos sustantivos. No obstante, habiéndose alegado la inobservancia de dichos deberes, la Corte considera que, como en otros casos</w:t>
      </w:r>
      <w:r w:rsidRPr="00D13792">
        <w:rPr>
          <w:sz w:val="20"/>
          <w:szCs w:val="20"/>
          <w:vertAlign w:val="superscript"/>
        </w:rPr>
        <w:footnoteReference w:id="31"/>
      </w:r>
      <w:r w:rsidRPr="00D13792">
        <w:rPr>
          <w:sz w:val="20"/>
          <w:szCs w:val="20"/>
        </w:rPr>
        <w:t xml:space="preserve">, </w:t>
      </w:r>
      <w:r w:rsidRPr="00D13792">
        <w:rPr>
          <w:spacing w:val="-2"/>
          <w:sz w:val="20"/>
          <w:szCs w:val="20"/>
        </w:rPr>
        <w:t xml:space="preserve">los alegatos del Estado deben ser analizados en el Capítulo de Reparaciones </w:t>
      </w:r>
      <w:r w:rsidRPr="00D13792">
        <w:rPr>
          <w:i/>
          <w:spacing w:val="-2"/>
          <w:sz w:val="20"/>
          <w:szCs w:val="20"/>
        </w:rPr>
        <w:t>infra</w:t>
      </w:r>
      <w:r w:rsidRPr="00D13792">
        <w:rPr>
          <w:sz w:val="20"/>
          <w:szCs w:val="20"/>
        </w:rPr>
        <w:t>. Por lo tanto, el Tribunal desestima esta excepción preliminar.</w:t>
      </w:r>
      <w:r w:rsidRPr="00D13792">
        <w:rPr>
          <w:i/>
          <w:sz w:val="20"/>
          <w:szCs w:val="20"/>
        </w:rPr>
        <w:t xml:space="preserve"> </w:t>
      </w:r>
    </w:p>
    <w:p w14:paraId="79B89607" w14:textId="77777777" w:rsidR="006A0E1C" w:rsidRPr="00D13792" w:rsidRDefault="006A0E1C" w:rsidP="006A0E1C">
      <w:pPr>
        <w:pStyle w:val="Heading1"/>
        <w:rPr>
          <w:lang w:val="es-CR"/>
        </w:rPr>
      </w:pPr>
    </w:p>
    <w:p w14:paraId="39607697" w14:textId="77777777" w:rsidR="006A0E1C" w:rsidRPr="00D13792" w:rsidRDefault="006A0E1C" w:rsidP="006A0E1C">
      <w:pPr>
        <w:pStyle w:val="Heading1"/>
        <w:rPr>
          <w:lang w:val="es-CR"/>
        </w:rPr>
      </w:pPr>
      <w:bookmarkStart w:id="75" w:name="_Toc469670001"/>
      <w:r w:rsidRPr="00D13792">
        <w:rPr>
          <w:lang w:val="es-CR"/>
        </w:rPr>
        <w:t>V</w:t>
      </w:r>
      <w:r w:rsidRPr="00D13792">
        <w:rPr>
          <w:rStyle w:val="TitleChar"/>
          <w:rFonts w:ascii="Verdana" w:hAnsi="Verdana"/>
          <w:lang w:val="es-CR"/>
        </w:rPr>
        <w:br/>
        <w:t>RECONOCIMIENTO PARCIAL DE RESPONSABILIDAD</w:t>
      </w:r>
      <w:bookmarkEnd w:id="75"/>
    </w:p>
    <w:p w14:paraId="44B255FF" w14:textId="77777777" w:rsidR="006A0E1C" w:rsidRPr="00D13792" w:rsidRDefault="006A0E1C" w:rsidP="006A0E1C">
      <w:pPr>
        <w:tabs>
          <w:tab w:val="left" w:pos="567"/>
        </w:tabs>
        <w:spacing w:line="240" w:lineRule="auto"/>
        <w:ind w:right="4"/>
        <w:rPr>
          <w:rFonts w:eastAsia="MS ????"/>
          <w:b/>
          <w:bCs/>
          <w:caps/>
          <w:snapToGrid w:val="0"/>
          <w:spacing w:val="-2"/>
          <w:sz w:val="16"/>
          <w:szCs w:val="20"/>
          <w:lang w:eastAsia="es-ES"/>
        </w:rPr>
      </w:pPr>
    </w:p>
    <w:p w14:paraId="0899FAFF" w14:textId="77777777" w:rsidR="006A0E1C" w:rsidRPr="00D13792" w:rsidRDefault="006A0E1C" w:rsidP="006A0E1C">
      <w:pPr>
        <w:pStyle w:val="Heading2"/>
        <w:numPr>
          <w:ilvl w:val="0"/>
          <w:numId w:val="33"/>
        </w:numPr>
        <w:tabs>
          <w:tab w:val="clear" w:pos="720"/>
          <w:tab w:val="left" w:pos="0"/>
        </w:tabs>
        <w:ind w:left="0" w:firstLine="0"/>
        <w:rPr>
          <w:lang w:val="es-CR"/>
        </w:rPr>
      </w:pPr>
      <w:bookmarkStart w:id="76" w:name="_Toc469670002"/>
      <w:r w:rsidRPr="00D13792">
        <w:rPr>
          <w:lang w:val="es-CR"/>
        </w:rPr>
        <w:t>Reconocimiento parcial de responsabilidad del Estado y observaciones de la Comisión y de los representantes</w:t>
      </w:r>
      <w:bookmarkEnd w:id="76"/>
    </w:p>
    <w:p w14:paraId="163EB692" w14:textId="77777777" w:rsidR="006A0E1C" w:rsidRPr="00D13792" w:rsidRDefault="006A0E1C" w:rsidP="006A0E1C">
      <w:pPr>
        <w:tabs>
          <w:tab w:val="left" w:pos="567"/>
        </w:tabs>
        <w:spacing w:line="240" w:lineRule="auto"/>
        <w:ind w:right="4"/>
        <w:rPr>
          <w:sz w:val="20"/>
          <w:szCs w:val="20"/>
        </w:rPr>
      </w:pPr>
    </w:p>
    <w:p w14:paraId="7EEEBFC6"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eastAsia="MS ????"/>
          <w:bCs/>
          <w:caps/>
          <w:snapToGrid w:val="0"/>
          <w:spacing w:val="-2"/>
          <w:sz w:val="20"/>
          <w:szCs w:val="20"/>
          <w:lang w:eastAsia="es-ES"/>
        </w:rPr>
        <w:t>E</w:t>
      </w:r>
      <w:r w:rsidRPr="00D13792">
        <w:rPr>
          <w:rFonts w:eastAsia="Calibri"/>
          <w:color w:val="000000"/>
          <w:sz w:val="20"/>
          <w:szCs w:val="20"/>
        </w:rPr>
        <w:t xml:space="preserve">n la audiencia pública, el </w:t>
      </w:r>
      <w:r w:rsidRPr="00D13792">
        <w:rPr>
          <w:rFonts w:eastAsia="Calibri"/>
          <w:b/>
          <w:i/>
          <w:color w:val="000000"/>
          <w:sz w:val="20"/>
          <w:szCs w:val="20"/>
        </w:rPr>
        <w:t>Estado</w:t>
      </w:r>
      <w:r w:rsidRPr="00D13792">
        <w:rPr>
          <w:rFonts w:eastAsia="Calibri"/>
          <w:color w:val="000000"/>
          <w:sz w:val="20"/>
          <w:szCs w:val="20"/>
        </w:rPr>
        <w:t xml:space="preserve"> propuso un acuerdo de solución amistosa y manifestó que esto “deb[ía] interpretarse como un reconocimiento de responsabilidad estatal por no cumplir con los artículos 8 de garantías judiciales y 25 de protección judicial de la Convención”. “[T]eniendo en cuenta que la averiguación de los hechos del presente caso hasta ahora no ha presentado resultados positivos, invit[ó] a las partes a crear una comisión veedora y evaluadora de las actuaciones pendientes […]”. </w:t>
      </w:r>
      <w:r w:rsidRPr="00D13792">
        <w:rPr>
          <w:sz w:val="20"/>
          <w:szCs w:val="20"/>
        </w:rPr>
        <w:t xml:space="preserve">Por otra parte, en su contestación Guatemala </w:t>
      </w:r>
      <w:r w:rsidRPr="00D13792">
        <w:rPr>
          <w:rFonts w:eastAsia="Calibri"/>
          <w:sz w:val="20"/>
          <w:szCs w:val="20"/>
        </w:rPr>
        <w:t xml:space="preserve">sostuvo que “en ningún </w:t>
      </w:r>
      <w:r w:rsidRPr="00D13792">
        <w:rPr>
          <w:sz w:val="20"/>
          <w:szCs w:val="20"/>
        </w:rPr>
        <w:t>momento pretend[ía] negar [</w:t>
      </w:r>
      <w:r w:rsidRPr="00D13792">
        <w:rPr>
          <w:rFonts w:eastAsia="Calibri"/>
          <w:sz w:val="20"/>
          <w:szCs w:val="20"/>
        </w:rPr>
        <w:t>que sucedieron</w:t>
      </w:r>
      <w:r w:rsidRPr="00D13792">
        <w:rPr>
          <w:sz w:val="20"/>
          <w:szCs w:val="20"/>
        </w:rPr>
        <w:t xml:space="preserve">] los hechos </w:t>
      </w:r>
      <w:r w:rsidRPr="00D13792">
        <w:rPr>
          <w:rFonts w:eastAsia="Calibri"/>
          <w:sz w:val="20"/>
          <w:szCs w:val="20"/>
        </w:rPr>
        <w:t xml:space="preserve">[…] o que niegue que exista responsabilidad del Estado si ha habido dolo, negligencia o culpa institucional o de funcionarios o empleados públicos; ni […] que esté evadiendo la obligación del Estado de resarcir a las víctimas”. Sin embargo, solicitó que la Corte se abstenga de pronunciarse al respecto ya que </w:t>
      </w:r>
      <w:r w:rsidRPr="00D13792">
        <w:rPr>
          <w:sz w:val="20"/>
          <w:szCs w:val="20"/>
        </w:rPr>
        <w:t xml:space="preserve">carece de competencia para conocer de dichos hechos. </w:t>
      </w:r>
    </w:p>
    <w:p w14:paraId="28400CBC" w14:textId="77777777" w:rsidR="006A0E1C" w:rsidRPr="00D13792" w:rsidRDefault="006A0E1C" w:rsidP="006A0E1C">
      <w:pPr>
        <w:tabs>
          <w:tab w:val="left" w:pos="567"/>
        </w:tabs>
        <w:spacing w:line="240" w:lineRule="auto"/>
        <w:ind w:right="4"/>
        <w:rPr>
          <w:rFonts w:eastAsia="Calibri"/>
          <w:color w:val="000000"/>
          <w:sz w:val="20"/>
          <w:szCs w:val="20"/>
        </w:rPr>
      </w:pPr>
    </w:p>
    <w:p w14:paraId="3C35613D" w14:textId="77777777" w:rsidR="006A0E1C" w:rsidRPr="00D13792" w:rsidRDefault="006A0E1C" w:rsidP="006A0E1C">
      <w:pPr>
        <w:numPr>
          <w:ilvl w:val="0"/>
          <w:numId w:val="6"/>
        </w:numPr>
        <w:tabs>
          <w:tab w:val="left" w:pos="567"/>
        </w:tabs>
        <w:spacing w:line="240" w:lineRule="auto"/>
        <w:ind w:right="4"/>
        <w:rPr>
          <w:b/>
          <w:spacing w:val="-2"/>
          <w:sz w:val="20"/>
          <w:szCs w:val="20"/>
        </w:rPr>
      </w:pPr>
      <w:r w:rsidRPr="00D13792">
        <w:rPr>
          <w:spacing w:val="-2"/>
          <w:sz w:val="20"/>
          <w:szCs w:val="20"/>
        </w:rPr>
        <w:t xml:space="preserve">En la </w:t>
      </w:r>
      <w:r w:rsidRPr="00D13792">
        <w:rPr>
          <w:rFonts w:eastAsia="Calibri"/>
          <w:color w:val="000000"/>
          <w:sz w:val="20"/>
          <w:szCs w:val="20"/>
        </w:rPr>
        <w:t>audiencia</w:t>
      </w:r>
      <w:r w:rsidRPr="00D13792">
        <w:rPr>
          <w:spacing w:val="-2"/>
          <w:sz w:val="20"/>
          <w:szCs w:val="20"/>
        </w:rPr>
        <w:t xml:space="preserve"> pública y en sus alegatos finales escritos, los </w:t>
      </w:r>
      <w:r w:rsidRPr="00D13792">
        <w:rPr>
          <w:b/>
          <w:i/>
          <w:spacing w:val="-2"/>
          <w:sz w:val="20"/>
          <w:szCs w:val="20"/>
        </w:rPr>
        <w:t>representantes</w:t>
      </w:r>
      <w:r w:rsidRPr="00D13792">
        <w:rPr>
          <w:b/>
          <w:spacing w:val="-2"/>
          <w:sz w:val="20"/>
          <w:szCs w:val="20"/>
        </w:rPr>
        <w:t xml:space="preserve"> </w:t>
      </w:r>
      <w:r w:rsidRPr="00D13792">
        <w:rPr>
          <w:spacing w:val="-2"/>
          <w:sz w:val="20"/>
          <w:szCs w:val="20"/>
        </w:rPr>
        <w:t>rechazaron la propuesta de solución amistosa y</w:t>
      </w:r>
      <w:r w:rsidRPr="00D13792">
        <w:rPr>
          <w:b/>
          <w:spacing w:val="-2"/>
          <w:sz w:val="20"/>
          <w:szCs w:val="20"/>
        </w:rPr>
        <w:t xml:space="preserve"> </w:t>
      </w:r>
      <w:r w:rsidRPr="00D13792">
        <w:rPr>
          <w:spacing w:val="-2"/>
          <w:sz w:val="20"/>
          <w:szCs w:val="20"/>
        </w:rPr>
        <w:t xml:space="preserve">solicitaron que se otorgue efectos jurídicos a “la </w:t>
      </w:r>
      <w:r w:rsidRPr="00D13792">
        <w:rPr>
          <w:rFonts w:eastAsia="Calibri"/>
          <w:color w:val="000000"/>
          <w:sz w:val="20"/>
          <w:szCs w:val="20"/>
        </w:rPr>
        <w:t>aceptación</w:t>
      </w:r>
      <w:r w:rsidRPr="00D13792">
        <w:rPr>
          <w:spacing w:val="-2"/>
          <w:sz w:val="20"/>
          <w:szCs w:val="20"/>
        </w:rPr>
        <w:t xml:space="preserve"> de la responsabilidad internacional de fecha 2[9] de julio de 2011 del Estado”</w:t>
      </w:r>
      <w:r w:rsidRPr="00D13792">
        <w:rPr>
          <w:rStyle w:val="FootnoteReference"/>
          <w:spacing w:val="-2"/>
          <w:sz w:val="20"/>
          <w:szCs w:val="20"/>
        </w:rPr>
        <w:footnoteReference w:id="32"/>
      </w:r>
      <w:r w:rsidRPr="00D13792">
        <w:rPr>
          <w:spacing w:val="-2"/>
          <w:sz w:val="20"/>
          <w:szCs w:val="20"/>
        </w:rPr>
        <w:t xml:space="preserve"> ante la Comisión y al reconocimiento de responsabilidad internacional realizado en la audiencia pública. Manifestaron que, “aunque […] no lo indicó expresamente”, se puede interpretar que el Estado reconoció su responsabilidad internacional en relación con las violaciones alegadas y fundamentadas por los peticionarios y que “el reconocimiento […] abarca todos los hechos del presente caso”. Asimismo, solicitaron que se considere lo indicado en la contestación del Estado. </w:t>
      </w:r>
      <w:r w:rsidRPr="00D13792">
        <w:rPr>
          <w:b/>
          <w:spacing w:val="-2"/>
          <w:sz w:val="20"/>
          <w:szCs w:val="20"/>
        </w:rPr>
        <w:t xml:space="preserve"> </w:t>
      </w:r>
    </w:p>
    <w:p w14:paraId="66E02BF0" w14:textId="77777777" w:rsidR="006A0E1C" w:rsidRPr="00D13792" w:rsidRDefault="006A0E1C" w:rsidP="006A0E1C">
      <w:pPr>
        <w:tabs>
          <w:tab w:val="left" w:pos="567"/>
        </w:tabs>
        <w:spacing w:line="240" w:lineRule="auto"/>
        <w:ind w:right="4" w:firstLine="708"/>
        <w:rPr>
          <w:b/>
          <w:spacing w:val="-2"/>
          <w:sz w:val="20"/>
          <w:szCs w:val="20"/>
        </w:rPr>
      </w:pPr>
    </w:p>
    <w:p w14:paraId="41027AAB" w14:textId="77777777" w:rsidR="006A0E1C" w:rsidRPr="00D13792" w:rsidRDefault="006A0E1C" w:rsidP="006A0E1C">
      <w:pPr>
        <w:numPr>
          <w:ilvl w:val="0"/>
          <w:numId w:val="6"/>
        </w:numPr>
        <w:tabs>
          <w:tab w:val="left" w:pos="567"/>
        </w:tabs>
        <w:spacing w:line="240" w:lineRule="auto"/>
        <w:ind w:right="4"/>
        <w:rPr>
          <w:b/>
          <w:spacing w:val="-2"/>
          <w:sz w:val="20"/>
          <w:szCs w:val="20"/>
        </w:rPr>
      </w:pPr>
      <w:r w:rsidRPr="00D13792">
        <w:rPr>
          <w:spacing w:val="-2"/>
          <w:sz w:val="20"/>
          <w:szCs w:val="20"/>
        </w:rPr>
        <w:t xml:space="preserve">La </w:t>
      </w:r>
      <w:r w:rsidRPr="00D13792">
        <w:rPr>
          <w:b/>
          <w:i/>
          <w:spacing w:val="-2"/>
          <w:sz w:val="20"/>
          <w:szCs w:val="20"/>
        </w:rPr>
        <w:t>Comisión</w:t>
      </w:r>
      <w:r w:rsidRPr="00D13792">
        <w:rPr>
          <w:spacing w:val="-2"/>
          <w:sz w:val="20"/>
          <w:szCs w:val="20"/>
        </w:rPr>
        <w:t xml:space="preserve"> no se refirió de forma específica al reconocimiento de responsabilidad de los artículos 8 y 25 de la Convención realizado por el Estado en la audiencia pública. Sin embargo, se refirió al reconocimiento de responsabilidad efectuado por el Estado ante la Comisión y a la supuesta reiteración de dicho reconocimiento en la contestación, en el marco de la excepción preliminar </w:t>
      </w:r>
      <w:r w:rsidRPr="00D13792">
        <w:rPr>
          <w:i/>
          <w:spacing w:val="-2"/>
          <w:sz w:val="20"/>
          <w:szCs w:val="20"/>
        </w:rPr>
        <w:t>ratione temporis</w:t>
      </w:r>
      <w:r w:rsidRPr="00D13792">
        <w:rPr>
          <w:spacing w:val="-2"/>
          <w:sz w:val="20"/>
          <w:szCs w:val="20"/>
        </w:rPr>
        <w:t xml:space="preserve"> interpuesta por Guatemala (</w:t>
      </w:r>
      <w:r w:rsidRPr="00D13792">
        <w:rPr>
          <w:i/>
          <w:spacing w:val="-2"/>
          <w:sz w:val="20"/>
          <w:szCs w:val="20"/>
        </w:rPr>
        <w:t>supra</w:t>
      </w:r>
      <w:r w:rsidRPr="00D13792">
        <w:rPr>
          <w:spacing w:val="-2"/>
          <w:sz w:val="20"/>
          <w:szCs w:val="20"/>
        </w:rPr>
        <w:t xml:space="preserve"> párr. 15).</w:t>
      </w:r>
    </w:p>
    <w:p w14:paraId="1728BBDA" w14:textId="77777777" w:rsidR="006A0E1C" w:rsidRPr="00D13792" w:rsidRDefault="006A0E1C" w:rsidP="006A0E1C">
      <w:pPr>
        <w:tabs>
          <w:tab w:val="left" w:pos="567"/>
        </w:tabs>
        <w:spacing w:line="240" w:lineRule="auto"/>
        <w:ind w:right="4"/>
        <w:rPr>
          <w:rFonts w:eastAsia="Calibri"/>
          <w:color w:val="000000"/>
          <w:sz w:val="20"/>
          <w:szCs w:val="20"/>
        </w:rPr>
      </w:pPr>
    </w:p>
    <w:p w14:paraId="10BB69D9" w14:textId="77777777" w:rsidR="006A0E1C" w:rsidRPr="00D13792" w:rsidRDefault="006A0E1C" w:rsidP="006A0E1C">
      <w:pPr>
        <w:pStyle w:val="Heading2"/>
        <w:numPr>
          <w:ilvl w:val="0"/>
          <w:numId w:val="33"/>
        </w:numPr>
        <w:tabs>
          <w:tab w:val="clear" w:pos="720"/>
          <w:tab w:val="left" w:pos="0"/>
        </w:tabs>
        <w:ind w:left="0" w:firstLine="0"/>
        <w:rPr>
          <w:lang w:val="es-CR"/>
        </w:rPr>
      </w:pPr>
      <w:bookmarkStart w:id="77" w:name="_Toc469670003"/>
      <w:r w:rsidRPr="00D13792">
        <w:rPr>
          <w:lang w:val="es-CR"/>
        </w:rPr>
        <w:t>Consideraciones de la Corte</w:t>
      </w:r>
      <w:bookmarkEnd w:id="77"/>
    </w:p>
    <w:p w14:paraId="00D86089" w14:textId="77777777" w:rsidR="006A0E1C" w:rsidRPr="00D13792" w:rsidRDefault="006A0E1C" w:rsidP="006A0E1C">
      <w:pPr>
        <w:tabs>
          <w:tab w:val="left" w:pos="567"/>
        </w:tabs>
        <w:spacing w:line="240" w:lineRule="auto"/>
        <w:ind w:right="4"/>
        <w:rPr>
          <w:rFonts w:eastAsia="Times"/>
          <w:sz w:val="16"/>
          <w:szCs w:val="20"/>
        </w:rPr>
      </w:pPr>
    </w:p>
    <w:p w14:paraId="07FC0BD0" w14:textId="77777777" w:rsidR="006A0E1C" w:rsidRPr="00D13792" w:rsidRDefault="006A0E1C" w:rsidP="006A0E1C">
      <w:pPr>
        <w:numPr>
          <w:ilvl w:val="0"/>
          <w:numId w:val="6"/>
        </w:numPr>
        <w:tabs>
          <w:tab w:val="left" w:pos="567"/>
        </w:tabs>
        <w:spacing w:line="240" w:lineRule="auto"/>
        <w:ind w:right="4"/>
        <w:rPr>
          <w:rFonts w:eastAsia="Times"/>
          <w:sz w:val="20"/>
          <w:szCs w:val="20"/>
        </w:rPr>
      </w:pPr>
      <w:r w:rsidRPr="00D13792">
        <w:rPr>
          <w:sz w:val="20"/>
          <w:szCs w:val="20"/>
        </w:rPr>
        <w:t>De conformidad con los artículos 62</w:t>
      </w:r>
      <w:r w:rsidRPr="00D13792">
        <w:rPr>
          <w:rStyle w:val="FootnoteReference"/>
          <w:sz w:val="20"/>
          <w:szCs w:val="20"/>
        </w:rPr>
        <w:footnoteReference w:id="33"/>
      </w:r>
      <w:r w:rsidRPr="00D13792">
        <w:rPr>
          <w:sz w:val="20"/>
          <w:szCs w:val="20"/>
        </w:rPr>
        <w:t xml:space="preserve"> y 64</w:t>
      </w:r>
      <w:r w:rsidRPr="00D13792">
        <w:rPr>
          <w:rStyle w:val="FootnoteReference"/>
          <w:sz w:val="20"/>
          <w:szCs w:val="20"/>
        </w:rPr>
        <w:footnoteReference w:id="34"/>
      </w:r>
      <w:r w:rsidRPr="00D13792">
        <w:rPr>
          <w:sz w:val="20"/>
          <w:szCs w:val="20"/>
        </w:rPr>
        <w:t xml:space="preserve"> del Reglamento y en ejercicio de sus poderes de tutela judicial internacional de derechos humanos, cuestión de orden público internacional que trasciende la voluntad de las partes, incumbe al Tribunal velar porque los actos de allanamiento resulten aceptables para los fines que busca cumplir el sistema interamericano. </w:t>
      </w:r>
      <w:r w:rsidRPr="00D13792">
        <w:rPr>
          <w:rFonts w:eastAsia="Times"/>
          <w:sz w:val="20"/>
          <w:szCs w:val="20"/>
        </w:rPr>
        <w:t xml:space="preserve">Para estos efectos, el Tribunal analiza la situación planteada en cada caso </w:t>
      </w:r>
      <w:r w:rsidRPr="00D13792">
        <w:rPr>
          <w:rFonts w:eastAsia="Times"/>
          <w:sz w:val="20"/>
          <w:szCs w:val="20"/>
        </w:rPr>
        <w:lastRenderedPageBreak/>
        <w:t>concreto.</w:t>
      </w:r>
    </w:p>
    <w:p w14:paraId="6B5DEC33" w14:textId="77777777" w:rsidR="006A0E1C" w:rsidRPr="00D13792" w:rsidRDefault="006A0E1C" w:rsidP="006A0E1C">
      <w:pPr>
        <w:tabs>
          <w:tab w:val="left" w:pos="567"/>
        </w:tabs>
        <w:spacing w:line="240" w:lineRule="auto"/>
        <w:ind w:right="4"/>
        <w:rPr>
          <w:rFonts w:eastAsia="Times"/>
          <w:sz w:val="20"/>
          <w:szCs w:val="20"/>
        </w:rPr>
      </w:pPr>
    </w:p>
    <w:p w14:paraId="0D3B4A5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Durante la audiencia pública del caso, el Estado reconoció su responsabilidad por la violación de los derechos a las garantías judiciales y la protección judicial, establecidos en los artículos 8 y 25 de la Convención, ya que “la averiguación […] hasta ahora no ha presentado resultados positivos”. No especificó en perjuicio de quiénes reconocía dicha violación. </w:t>
      </w:r>
    </w:p>
    <w:p w14:paraId="36A0AE53" w14:textId="77777777" w:rsidR="006A0E1C" w:rsidRPr="00D13792" w:rsidRDefault="006A0E1C" w:rsidP="006A0E1C">
      <w:pPr>
        <w:pStyle w:val="ListParagraph"/>
        <w:spacing w:after="0" w:line="240" w:lineRule="auto"/>
        <w:rPr>
          <w:sz w:val="20"/>
          <w:szCs w:val="20"/>
          <w:lang w:val="es-CR"/>
        </w:rPr>
      </w:pPr>
    </w:p>
    <w:p w14:paraId="4D4C6624"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consonancia con lo anterior, e</w:t>
      </w:r>
      <w:r w:rsidRPr="00D13792">
        <w:rPr>
          <w:spacing w:val="-2"/>
          <w:sz w:val="20"/>
          <w:szCs w:val="20"/>
        </w:rPr>
        <w:t xml:space="preserve">l Tribunal decide aceptar el reconocimiento parcial de responsabilidad formulado por el Estado, en sentido que violó los artículos 8 y 25 de la Convención Americana. Sin perjuicio de ello, la Corte nota que subsiste la controversia en cuanto al alcance de dichas violaciones, así como en cuanto a quiénes fueron las personas perjudicadas por las mismas. También subsiste la controversia en cuanto a </w:t>
      </w:r>
      <w:r w:rsidRPr="00D13792">
        <w:rPr>
          <w:sz w:val="20"/>
          <w:szCs w:val="20"/>
        </w:rPr>
        <w:t>la</w:t>
      </w:r>
      <w:r>
        <w:rPr>
          <w:sz w:val="20"/>
          <w:szCs w:val="20"/>
        </w:rPr>
        <w:t>s</w:t>
      </w:r>
      <w:r w:rsidRPr="00D13792">
        <w:rPr>
          <w:sz w:val="20"/>
          <w:szCs w:val="20"/>
        </w:rPr>
        <w:t xml:space="preserve"> violaci</w:t>
      </w:r>
      <w:r>
        <w:rPr>
          <w:sz w:val="20"/>
          <w:szCs w:val="20"/>
        </w:rPr>
        <w:t>ones</w:t>
      </w:r>
      <w:r w:rsidRPr="00D13792">
        <w:rPr>
          <w:sz w:val="20"/>
          <w:szCs w:val="20"/>
        </w:rPr>
        <w:t xml:space="preserve"> de los derechos establecidos en los artículos 3, 4, 5, 6, 7, 11, 12, 16, 17, 19, 21, 22, 23 y 24 de la Convención Americana, en relación el artículo 1.1 de la misma; del artículo I de la Convención Interamericana sobre Desaparición Forzada de Personas, y del artículo 7 de la Convención Interamericana para Prevenir, Sancionar y Erradicar la Violencia contra la Mujer, alegadas por la Comisión y/o los representantes. </w:t>
      </w:r>
    </w:p>
    <w:p w14:paraId="06F75191" w14:textId="77777777" w:rsidR="006A0E1C" w:rsidRPr="00D13792" w:rsidRDefault="006A0E1C" w:rsidP="006A0E1C">
      <w:pPr>
        <w:tabs>
          <w:tab w:val="left" w:pos="567"/>
        </w:tabs>
        <w:spacing w:line="240" w:lineRule="auto"/>
        <w:ind w:right="4"/>
        <w:rPr>
          <w:sz w:val="20"/>
          <w:szCs w:val="20"/>
        </w:rPr>
      </w:pPr>
    </w:p>
    <w:p w14:paraId="5900DD06" w14:textId="77777777" w:rsidR="006A0E1C" w:rsidRPr="00D13792" w:rsidRDefault="006A0E1C" w:rsidP="006A0E1C">
      <w:pPr>
        <w:numPr>
          <w:ilvl w:val="0"/>
          <w:numId w:val="6"/>
        </w:numPr>
        <w:tabs>
          <w:tab w:val="left" w:pos="567"/>
        </w:tabs>
        <w:spacing w:line="240" w:lineRule="auto"/>
        <w:ind w:right="4"/>
        <w:rPr>
          <w:spacing w:val="-2"/>
          <w:sz w:val="20"/>
          <w:szCs w:val="20"/>
        </w:rPr>
      </w:pPr>
      <w:r w:rsidRPr="00D13792">
        <w:rPr>
          <w:sz w:val="20"/>
          <w:szCs w:val="20"/>
        </w:rPr>
        <w:t>Por otra parte, la Corte considera que, ante la Comisión Interamericana, el Estado reconoció aquellos hechos comprobados “mediante los expedientes abiertos ante las instituciones de justicia nacional” y que se encuentran documentados en el Informe de la Comisión para el Esclarecimiento Histórico. Asimismo, en su contestación, e</w:t>
      </w:r>
      <w:r w:rsidRPr="00D13792">
        <w:rPr>
          <w:rFonts w:eastAsia="Calibri"/>
          <w:sz w:val="20"/>
          <w:szCs w:val="20"/>
        </w:rPr>
        <w:t xml:space="preserve">l Estado </w:t>
      </w:r>
      <w:r w:rsidRPr="00D13792">
        <w:rPr>
          <w:sz w:val="20"/>
          <w:szCs w:val="20"/>
        </w:rPr>
        <w:t xml:space="preserve">no negó los hechos de este caso, ni su obligación de “resarcir a las víctimas”, sin embargo, opuso una excepción preliminar </w:t>
      </w:r>
      <w:r w:rsidRPr="00D13792">
        <w:rPr>
          <w:i/>
          <w:sz w:val="20"/>
          <w:szCs w:val="20"/>
        </w:rPr>
        <w:t xml:space="preserve">ratione temporis, </w:t>
      </w:r>
      <w:r w:rsidRPr="00D13792">
        <w:rPr>
          <w:sz w:val="20"/>
          <w:szCs w:val="20"/>
        </w:rPr>
        <w:t>alegando que</w:t>
      </w:r>
      <w:r w:rsidRPr="00D13792">
        <w:rPr>
          <w:i/>
          <w:sz w:val="20"/>
          <w:szCs w:val="20"/>
        </w:rPr>
        <w:t xml:space="preserve"> </w:t>
      </w:r>
      <w:r w:rsidRPr="00D13792">
        <w:rPr>
          <w:sz w:val="20"/>
          <w:szCs w:val="20"/>
        </w:rPr>
        <w:t xml:space="preserve">la Corte carece de competencia para conocer de los mismos. </w:t>
      </w:r>
    </w:p>
    <w:p w14:paraId="112C159C" w14:textId="77777777" w:rsidR="006A0E1C" w:rsidRPr="00D13792" w:rsidRDefault="006A0E1C" w:rsidP="006A0E1C">
      <w:pPr>
        <w:tabs>
          <w:tab w:val="left" w:pos="567"/>
        </w:tabs>
        <w:spacing w:line="240" w:lineRule="auto"/>
        <w:ind w:right="4"/>
        <w:rPr>
          <w:spacing w:val="-2"/>
          <w:sz w:val="20"/>
          <w:szCs w:val="20"/>
        </w:rPr>
      </w:pPr>
    </w:p>
    <w:p w14:paraId="6345C0C2" w14:textId="77777777" w:rsidR="006A0E1C" w:rsidRPr="00D13792" w:rsidRDefault="006A0E1C" w:rsidP="006A0E1C">
      <w:pPr>
        <w:numPr>
          <w:ilvl w:val="0"/>
          <w:numId w:val="6"/>
        </w:numPr>
        <w:tabs>
          <w:tab w:val="left" w:pos="567"/>
        </w:tabs>
        <w:spacing w:line="240" w:lineRule="auto"/>
        <w:ind w:right="4"/>
        <w:rPr>
          <w:spacing w:val="-2"/>
          <w:sz w:val="20"/>
          <w:szCs w:val="20"/>
        </w:rPr>
      </w:pPr>
      <w:r w:rsidRPr="00D13792">
        <w:rPr>
          <w:sz w:val="20"/>
          <w:szCs w:val="20"/>
        </w:rPr>
        <w:t>De conformidad con el artículo 41.3 del Reglamento</w:t>
      </w:r>
      <w:r w:rsidRPr="00D13792">
        <w:rPr>
          <w:rStyle w:val="FootnoteReference"/>
          <w:sz w:val="20"/>
          <w:szCs w:val="20"/>
        </w:rPr>
        <w:footnoteReference w:id="35"/>
      </w:r>
      <w:r w:rsidRPr="00D13792">
        <w:rPr>
          <w:sz w:val="20"/>
          <w:szCs w:val="20"/>
        </w:rPr>
        <w:t xml:space="preserve">, y en virtud del principio de </w:t>
      </w:r>
      <w:r w:rsidRPr="00D13792">
        <w:rPr>
          <w:i/>
          <w:sz w:val="20"/>
          <w:szCs w:val="20"/>
        </w:rPr>
        <w:t>estoppel</w:t>
      </w:r>
      <w:r w:rsidRPr="00D13792">
        <w:rPr>
          <w:rStyle w:val="FootnoteReference"/>
          <w:sz w:val="20"/>
          <w:szCs w:val="20"/>
        </w:rPr>
        <w:footnoteReference w:id="36"/>
      </w:r>
      <w:r w:rsidRPr="00D13792">
        <w:rPr>
          <w:i/>
          <w:sz w:val="20"/>
          <w:szCs w:val="20"/>
        </w:rPr>
        <w:t xml:space="preserve">, </w:t>
      </w:r>
      <w:r w:rsidRPr="00D13792">
        <w:rPr>
          <w:sz w:val="20"/>
          <w:szCs w:val="20"/>
        </w:rPr>
        <w:t>la Corte considera aceptados los hechos del caso y los tendrá como ciertos mientras lo contrario no aparezca de los autos o no resulte de la convicción judicial (</w:t>
      </w:r>
      <w:r w:rsidRPr="00D13792">
        <w:rPr>
          <w:i/>
          <w:sz w:val="20"/>
          <w:szCs w:val="20"/>
        </w:rPr>
        <w:t xml:space="preserve">infra </w:t>
      </w:r>
      <w:r w:rsidRPr="00D13792">
        <w:rPr>
          <w:sz w:val="20"/>
          <w:szCs w:val="20"/>
        </w:rPr>
        <w:t xml:space="preserve">Capítulo VIII). Sin embargo, analizará dichos hechos de conformidad con lo establecido en el Capítulo IV de esta Sentencia. </w:t>
      </w:r>
    </w:p>
    <w:p w14:paraId="0600D06F" w14:textId="77777777" w:rsidR="006A0E1C" w:rsidRPr="00D13792" w:rsidRDefault="006A0E1C" w:rsidP="006A0E1C">
      <w:pPr>
        <w:pStyle w:val="Heading1"/>
        <w:rPr>
          <w:lang w:val="es-CR"/>
        </w:rPr>
      </w:pPr>
    </w:p>
    <w:p w14:paraId="6848F2C3" w14:textId="77777777" w:rsidR="006A0E1C" w:rsidRPr="00D13792" w:rsidRDefault="006A0E1C" w:rsidP="006A0E1C">
      <w:pPr>
        <w:pStyle w:val="Heading1"/>
        <w:rPr>
          <w:lang w:val="es-CR"/>
        </w:rPr>
      </w:pPr>
      <w:bookmarkStart w:id="78" w:name="_Toc469670004"/>
      <w:r w:rsidRPr="00D13792">
        <w:rPr>
          <w:lang w:val="es-CR"/>
        </w:rPr>
        <w:t>VI</w:t>
      </w:r>
      <w:r w:rsidRPr="00D13792">
        <w:rPr>
          <w:lang w:val="es-CR"/>
        </w:rPr>
        <w:br/>
        <w:t>CONSIDERACIÓN PREVIA</w:t>
      </w:r>
      <w:bookmarkEnd w:id="78"/>
    </w:p>
    <w:p w14:paraId="519604C5" w14:textId="77777777" w:rsidR="006A0E1C" w:rsidRPr="00D13792" w:rsidRDefault="006A0E1C" w:rsidP="006A0E1C">
      <w:pPr>
        <w:spacing w:line="240" w:lineRule="auto"/>
        <w:rPr>
          <w:b/>
          <w:sz w:val="16"/>
          <w:szCs w:val="20"/>
        </w:rPr>
      </w:pPr>
    </w:p>
    <w:p w14:paraId="0341E2EB" w14:textId="77777777" w:rsidR="006A0E1C" w:rsidRPr="00D13792" w:rsidRDefault="006A0E1C" w:rsidP="006A0E1C">
      <w:pPr>
        <w:pStyle w:val="Heading2"/>
        <w:numPr>
          <w:ilvl w:val="0"/>
          <w:numId w:val="35"/>
        </w:numPr>
        <w:tabs>
          <w:tab w:val="clear" w:pos="720"/>
        </w:tabs>
        <w:ind w:left="0" w:firstLine="0"/>
        <w:rPr>
          <w:lang w:val="es-CR"/>
        </w:rPr>
      </w:pPr>
      <w:bookmarkStart w:id="79" w:name="_Toc469670005"/>
      <w:r w:rsidRPr="00D13792">
        <w:rPr>
          <w:lang w:val="es-CR"/>
        </w:rPr>
        <w:t>Argumentos de la Comisión y de las partes</w:t>
      </w:r>
      <w:bookmarkEnd w:id="79"/>
    </w:p>
    <w:p w14:paraId="11AB13B0" w14:textId="77777777" w:rsidR="006A0E1C" w:rsidRPr="00D13792" w:rsidRDefault="006A0E1C" w:rsidP="006A0E1C">
      <w:pPr>
        <w:pStyle w:val="ListParagraph"/>
        <w:spacing w:after="0" w:line="240" w:lineRule="auto"/>
        <w:jc w:val="both"/>
        <w:rPr>
          <w:rFonts w:ascii="Verdana" w:hAnsi="Verdana"/>
          <w:b/>
          <w:sz w:val="16"/>
          <w:szCs w:val="20"/>
          <w:lang w:val="es-CR"/>
        </w:rPr>
      </w:pPr>
    </w:p>
    <w:p w14:paraId="6B1EF0E6"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rPr>
        <w:t xml:space="preserve">En su escrito de </w:t>
      </w:r>
      <w:r w:rsidRPr="00D13792">
        <w:rPr>
          <w:sz w:val="20"/>
          <w:szCs w:val="20"/>
        </w:rPr>
        <w:t>solicitudes</w:t>
      </w:r>
      <w:r w:rsidRPr="00D13792">
        <w:rPr>
          <w:sz w:val="20"/>
        </w:rPr>
        <w:t xml:space="preserve"> y argumentos, los</w:t>
      </w:r>
      <w:r w:rsidRPr="00D13792">
        <w:rPr>
          <w:b/>
          <w:sz w:val="20"/>
          <w:szCs w:val="20"/>
        </w:rPr>
        <w:t xml:space="preserve"> </w:t>
      </w:r>
      <w:r w:rsidRPr="00D13792">
        <w:rPr>
          <w:b/>
          <w:i/>
          <w:sz w:val="20"/>
          <w:szCs w:val="20"/>
        </w:rPr>
        <w:t>representantes</w:t>
      </w:r>
      <w:r w:rsidRPr="00D13792">
        <w:rPr>
          <w:sz w:val="20"/>
          <w:szCs w:val="20"/>
        </w:rPr>
        <w:t xml:space="preserve"> invocaron el artículo 35.2 del Reglamento a fin de solicitar la inclusión como presuntas víctimas, además de las personas señaladas en el Informe de Fondo, a Juan Pérez Sic, quien se encontraría desaparecido, a 18 familiares de las presuntas víctimas directas del caso, así como a 97 </w:t>
      </w:r>
      <w:r w:rsidRPr="00D13792">
        <w:rPr>
          <w:i/>
          <w:sz w:val="20"/>
          <w:szCs w:val="20"/>
        </w:rPr>
        <w:t>(sic)</w:t>
      </w:r>
      <w:r w:rsidRPr="00D13792">
        <w:rPr>
          <w:sz w:val="20"/>
          <w:szCs w:val="20"/>
        </w:rPr>
        <w:t xml:space="preserve"> familias que presentaron en una lista que anexaron a su escrito. Al respecto, alegaron que los “efectos negativos de la persecución, el desplazamiento forzado, el temor prevaleciente [y] el tiempo transcurrido, son factores que hicieron difícil poder presentar a la Comisión […] el listado de los sobrevivientes de las masacres”.</w:t>
      </w:r>
    </w:p>
    <w:p w14:paraId="1D0C8D9C" w14:textId="77777777" w:rsidR="006A0E1C" w:rsidRPr="00D13792" w:rsidRDefault="006A0E1C" w:rsidP="006A0E1C">
      <w:pPr>
        <w:tabs>
          <w:tab w:val="left" w:pos="567"/>
        </w:tabs>
        <w:spacing w:line="240" w:lineRule="auto"/>
        <w:ind w:right="4"/>
        <w:rPr>
          <w:sz w:val="20"/>
          <w:szCs w:val="20"/>
        </w:rPr>
      </w:pPr>
    </w:p>
    <w:p w14:paraId="05A15C7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rPr>
        <w:lastRenderedPageBreak/>
        <w:t>En su escrito de observaciones</w:t>
      </w:r>
      <w:r w:rsidRPr="00D13792">
        <w:rPr>
          <w:sz w:val="20"/>
          <w:szCs w:val="20"/>
        </w:rPr>
        <w:t xml:space="preserve"> a las excepciones preliminares</w:t>
      </w:r>
      <w:r w:rsidRPr="00D13792">
        <w:rPr>
          <w:sz w:val="20"/>
        </w:rPr>
        <w:t>, remitido el 26 de junio de 2015, los</w:t>
      </w:r>
      <w:r w:rsidRPr="00D13792">
        <w:rPr>
          <w:b/>
          <w:sz w:val="20"/>
          <w:szCs w:val="20"/>
        </w:rPr>
        <w:t xml:space="preserve"> </w:t>
      </w:r>
      <w:r w:rsidRPr="00D13792">
        <w:rPr>
          <w:sz w:val="20"/>
          <w:szCs w:val="20"/>
        </w:rPr>
        <w:t>representantes solicitaron que todos los miembros y las familias de la comunidad de Chichupac y comunidades vecinas del Rabinal sean calificados como víctimas. Anexaron una nueva lista de 39 familias que solicitaron sean incluidas como presuntas víctimas de desplazamiento forzado. Posteriormente</w:t>
      </w:r>
      <w:r w:rsidRPr="00D13792">
        <w:rPr>
          <w:sz w:val="20"/>
        </w:rPr>
        <w:t>,</w:t>
      </w:r>
      <w:r w:rsidRPr="00D13792">
        <w:rPr>
          <w:sz w:val="20"/>
          <w:szCs w:val="20"/>
        </w:rPr>
        <w:t xml:space="preserve"> mediante escrito de 19 de abril de 2016, </w:t>
      </w:r>
      <w:r w:rsidRPr="00D13792">
        <w:rPr>
          <w:sz w:val="20"/>
        </w:rPr>
        <w:t>los representantes</w:t>
      </w:r>
      <w:r w:rsidRPr="00D13792">
        <w:rPr>
          <w:sz w:val="20"/>
          <w:szCs w:val="20"/>
        </w:rPr>
        <w:t xml:space="preserve"> remitieron 212 certificados de nacimiento, matrimonio y defunción de presuntas víctimas que habrían sufrido persecución, desplazamiento forzado y desarraigo. En sus alegatos finales escritos y junto con la prueba para mejor resolver remitida al Tribunal, los representantes presentaron un listado general que “aglutina la mayor cantidad de” presuntas víctimas y sus familiares, así como una lista de presuntas víctimas de desplazamiento forzado que habrían regresado a sus comunidades después del 9 de marzo de 1987 o que hasta la fecha permanecerían en situación de desplazamiento. También solicitaron que se “deje abierta la posibilidad de identificaciones futuras de víctimas […] y que se cree un mecanismo efectivo de identificación de víctimas de desplazamiento […]”. </w:t>
      </w:r>
    </w:p>
    <w:p w14:paraId="1A63E219"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sz w:val="20"/>
          <w:szCs w:val="20"/>
          <w:lang w:val="es-CR"/>
        </w:rPr>
      </w:pPr>
    </w:p>
    <w:p w14:paraId="04E58F69"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la audiencia pública y en sus alegatos finales escritos, la </w:t>
      </w:r>
      <w:r w:rsidRPr="00D13792">
        <w:rPr>
          <w:b/>
          <w:i/>
          <w:sz w:val="20"/>
          <w:szCs w:val="20"/>
        </w:rPr>
        <w:t>Comisión</w:t>
      </w:r>
      <w:r w:rsidRPr="00D13792">
        <w:rPr>
          <w:sz w:val="20"/>
          <w:szCs w:val="20"/>
        </w:rPr>
        <w:t xml:space="preserve"> recalcó la importancia de la aplicación del art. 35.2 del Reglamento de la Corte, permitiendo la inclusión de más víctimas no nombradas expresamente en el Informe de Fondo. </w:t>
      </w:r>
    </w:p>
    <w:p w14:paraId="75BB56B4"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sz w:val="20"/>
          <w:szCs w:val="20"/>
          <w:lang w:val="es-CR"/>
        </w:rPr>
      </w:pPr>
    </w:p>
    <w:p w14:paraId="2EFA33FF"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su contestación y alegatos finales escritos, el</w:t>
      </w:r>
      <w:r w:rsidRPr="00D13792">
        <w:rPr>
          <w:b/>
          <w:sz w:val="20"/>
          <w:szCs w:val="20"/>
        </w:rPr>
        <w:t xml:space="preserve"> </w:t>
      </w:r>
      <w:r w:rsidRPr="00D13792">
        <w:rPr>
          <w:b/>
          <w:i/>
          <w:sz w:val="20"/>
          <w:szCs w:val="20"/>
        </w:rPr>
        <w:t>Estado</w:t>
      </w:r>
      <w:r w:rsidRPr="00D13792">
        <w:rPr>
          <w:sz w:val="20"/>
          <w:szCs w:val="20"/>
        </w:rPr>
        <w:t xml:space="preserve"> argumentó que </w:t>
      </w:r>
      <w:r w:rsidRPr="00D13792">
        <w:rPr>
          <w:color w:val="1E1E1E"/>
          <w:sz w:val="20"/>
          <w:szCs w:val="20"/>
        </w:rPr>
        <w:t xml:space="preserve">la adición de víctimas por parte de los representantes es </w:t>
      </w:r>
      <w:r w:rsidRPr="00D13792">
        <w:rPr>
          <w:sz w:val="20"/>
        </w:rPr>
        <w:t>extemporánea</w:t>
      </w:r>
      <w:r w:rsidRPr="00D13792">
        <w:rPr>
          <w:color w:val="1E1E1E"/>
          <w:sz w:val="20"/>
          <w:szCs w:val="20"/>
        </w:rPr>
        <w:t xml:space="preserve"> y carece de fundamento, por lo que solicitó a la Corte que no las admita</w:t>
      </w:r>
      <w:r w:rsidRPr="00D13792">
        <w:rPr>
          <w:rStyle w:val="FootnoteReference"/>
          <w:sz w:val="20"/>
          <w:szCs w:val="16"/>
        </w:rPr>
        <w:footnoteReference w:id="37"/>
      </w:r>
      <w:r w:rsidRPr="00D13792">
        <w:rPr>
          <w:color w:val="1E1E1E"/>
          <w:sz w:val="20"/>
          <w:szCs w:val="20"/>
        </w:rPr>
        <w:t>.</w:t>
      </w:r>
      <w:r w:rsidRPr="00D13792">
        <w:rPr>
          <w:b/>
          <w:color w:val="1E1E1E"/>
          <w:sz w:val="20"/>
          <w:szCs w:val="20"/>
        </w:rPr>
        <w:t xml:space="preserve"> </w:t>
      </w:r>
    </w:p>
    <w:p w14:paraId="4FA99A2C"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sz w:val="20"/>
          <w:szCs w:val="20"/>
          <w:lang w:val="es-CR"/>
        </w:rPr>
      </w:pPr>
    </w:p>
    <w:p w14:paraId="388C7056" w14:textId="77777777" w:rsidR="006A0E1C" w:rsidRPr="00D13792" w:rsidRDefault="006A0E1C" w:rsidP="006A0E1C">
      <w:pPr>
        <w:pStyle w:val="Heading2"/>
        <w:numPr>
          <w:ilvl w:val="0"/>
          <w:numId w:val="35"/>
        </w:numPr>
        <w:tabs>
          <w:tab w:val="clear" w:pos="720"/>
        </w:tabs>
        <w:ind w:left="0" w:firstLine="0"/>
        <w:rPr>
          <w:lang w:val="es-CR"/>
        </w:rPr>
      </w:pPr>
      <w:bookmarkStart w:id="80" w:name="_Toc469670006"/>
      <w:r w:rsidRPr="00D13792">
        <w:rPr>
          <w:lang w:val="es-CR"/>
        </w:rPr>
        <w:t>Consideraciones de la Corte</w:t>
      </w:r>
      <w:bookmarkEnd w:id="80"/>
    </w:p>
    <w:p w14:paraId="7EBE71B9" w14:textId="77777777" w:rsidR="006A0E1C" w:rsidRPr="00D13792" w:rsidRDefault="006A0E1C" w:rsidP="006A0E1C">
      <w:pPr>
        <w:pStyle w:val="ListParagraph"/>
        <w:autoSpaceDE w:val="0"/>
        <w:autoSpaceDN w:val="0"/>
        <w:adjustRightInd w:val="0"/>
        <w:spacing w:after="0" w:line="240" w:lineRule="auto"/>
        <w:ind w:left="1080"/>
        <w:jc w:val="both"/>
        <w:rPr>
          <w:rFonts w:ascii="Verdana" w:hAnsi="Verdana"/>
          <w:sz w:val="16"/>
          <w:szCs w:val="20"/>
          <w:lang w:val="es-CR"/>
        </w:rPr>
      </w:pPr>
    </w:p>
    <w:p w14:paraId="6B1DC848"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El artículo 35.1 del Reglamento dispone que el caso será sometido a la Corte mediante la presentación del Informe de Fondo de la Comisión, el cual deberá contener “la identificación de las presuntas víctimas”. De conformidad con dicha norma, corresponde a la Comisión y no a este Tribunal identificar con precisión y en la debida oportunidad procesal a las presuntas víctimas en un caso ante la Corte. La seguridad jurídica exige, como regla general, que todas las presuntas víctimas estén debidamente identificadas en el Informe de Fondo, no siendo posible añadir nuevas presuntas víctimas luego del mismo, salvo en la circunstancia excepcional contemplada en el artículo 35.2 del Reglamento de la Corte.</w:t>
      </w:r>
    </w:p>
    <w:p w14:paraId="70995895" w14:textId="77777777" w:rsidR="006A0E1C" w:rsidRPr="00D13792" w:rsidRDefault="006A0E1C" w:rsidP="006A0E1C">
      <w:pPr>
        <w:pStyle w:val="ListParagraph"/>
        <w:autoSpaceDE w:val="0"/>
        <w:autoSpaceDN w:val="0"/>
        <w:adjustRightInd w:val="0"/>
        <w:spacing w:after="0" w:line="240" w:lineRule="auto"/>
        <w:ind w:left="1080"/>
        <w:jc w:val="both"/>
        <w:rPr>
          <w:rFonts w:ascii="Verdana" w:hAnsi="Verdana"/>
          <w:sz w:val="20"/>
          <w:szCs w:val="20"/>
          <w:lang w:val="es-CR"/>
        </w:rPr>
      </w:pPr>
    </w:p>
    <w:p w14:paraId="45E831A8"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De conformidad con el mencionado artículo 35.2 del Reglamento, “[c]uando se justificare que no fue posible identificar a alguna o algunas presuntas víctimas de los hechos del caso por tratarse </w:t>
      </w:r>
      <w:r w:rsidRPr="00D13792">
        <w:rPr>
          <w:sz w:val="20"/>
        </w:rPr>
        <w:t>de</w:t>
      </w:r>
      <w:r w:rsidRPr="00D13792">
        <w:rPr>
          <w:sz w:val="20"/>
          <w:szCs w:val="20"/>
        </w:rPr>
        <w:t xml:space="preserve"> casos de violaciones masivas o colectivas, el Tribunal decidirá en su oportunidad si las considera víctimas”. En su jurisprudencia al respecto, la Corte ha evaluado la aplicación del artículo 35.2 del Reglamento con base en las características particulares de cada caso</w:t>
      </w:r>
      <w:r w:rsidRPr="00D13792">
        <w:rPr>
          <w:sz w:val="20"/>
          <w:szCs w:val="20"/>
          <w:vertAlign w:val="superscript"/>
        </w:rPr>
        <w:footnoteReference w:id="38"/>
      </w:r>
      <w:r w:rsidRPr="00D13792">
        <w:rPr>
          <w:sz w:val="20"/>
          <w:szCs w:val="20"/>
        </w:rPr>
        <w:t xml:space="preserve">, y ha </w:t>
      </w:r>
      <w:r w:rsidRPr="00D13792">
        <w:rPr>
          <w:sz w:val="20"/>
          <w:szCs w:val="20"/>
        </w:rPr>
        <w:lastRenderedPageBreak/>
        <w:t xml:space="preserve">subrayado que no es su propósito trabar con formalismos el desarrollo del proceso sino, por el contrario, acercar la definición que se dé en la Sentencia a la exigencia de justicia. Así, la Corte ha aplicado el artículo 35.2 en casos masivos o colectivos con dificultades para identificar o contactar a todas las presuntas víctimas, por ejemplo, debido a la presencia de un conflicto armado, el desplazamiento o la quema o destrucción de los cuerpos de las presuntas víctimas, o en casos en que familias enteras han sido desaparecidas, por lo que no habría nadie que pudiera hablar por ellos. También ha tomado en cuenta la dificultad de acceder al área donde ocurrieron los hechos, la falta de registros respecto de los habitantes del lugar y el transcurso del tiempo, así como características particulares de las presuntas víctimas del caso, por ejemplo, cuando estas han conformado clanes familiares con nombres y apellidos similares, o al tratarse de migrantes. Igualmente, ha considerado la conducta del Estado, por ejemplo, cuando existen alegatos de que la falta de investigación contribuyó a la incompleta identificación de las presuntas víctimas. </w:t>
      </w:r>
    </w:p>
    <w:p w14:paraId="77C5D8AA" w14:textId="77777777" w:rsidR="006A0E1C" w:rsidRPr="00D13792" w:rsidRDefault="006A0E1C" w:rsidP="006A0E1C">
      <w:pPr>
        <w:pStyle w:val="ListParagraph"/>
        <w:spacing w:after="0" w:line="240" w:lineRule="auto"/>
        <w:jc w:val="both"/>
        <w:rPr>
          <w:rFonts w:ascii="Verdana" w:hAnsi="Verdana"/>
          <w:sz w:val="20"/>
          <w:szCs w:val="20"/>
          <w:lang w:val="es-CR"/>
        </w:rPr>
      </w:pPr>
    </w:p>
    <w:p w14:paraId="7C15DB67" w14:textId="77777777" w:rsidR="006A0E1C" w:rsidRPr="00D13792" w:rsidRDefault="006A0E1C" w:rsidP="006A0E1C">
      <w:pPr>
        <w:numPr>
          <w:ilvl w:val="0"/>
          <w:numId w:val="6"/>
        </w:numPr>
        <w:tabs>
          <w:tab w:val="left" w:pos="567"/>
        </w:tabs>
        <w:spacing w:line="240" w:lineRule="auto"/>
        <w:ind w:right="4"/>
        <w:rPr>
          <w:spacing w:val="-2"/>
          <w:sz w:val="20"/>
          <w:szCs w:val="20"/>
        </w:rPr>
      </w:pPr>
      <w:r w:rsidRPr="00D13792">
        <w:rPr>
          <w:rFonts w:cs="Arial"/>
          <w:sz w:val="20"/>
          <w:szCs w:val="20"/>
        </w:rPr>
        <w:t>El presente caso es de carácter colectivo, se enmarca dentro del conflicto armado guatemalteco e involucra, en principio, aproximadamente 477 presuntas víctimas señaladas en el “Anexo único” del Informe de Fondo.</w:t>
      </w:r>
      <w:r w:rsidRPr="00D13792">
        <w:rPr>
          <w:sz w:val="20"/>
          <w:szCs w:val="20"/>
        </w:rPr>
        <w:t xml:space="preserve"> Además, en este caso habrían ocurrido alegadas detenciones arbitrarias, múltiples ejecuciones extrajudiciales, desapariciones forzadas, violaciones y otras formas de violencia sexual, tortura, quema de casas y bienes, y el desplazamiento y </w:t>
      </w:r>
      <w:r w:rsidRPr="00D13792">
        <w:rPr>
          <w:sz w:val="20"/>
        </w:rPr>
        <w:t>persecución</w:t>
      </w:r>
      <w:r w:rsidRPr="00D13792">
        <w:rPr>
          <w:sz w:val="20"/>
          <w:szCs w:val="20"/>
        </w:rPr>
        <w:t xml:space="preserve"> de </w:t>
      </w:r>
      <w:r w:rsidRPr="00D13792">
        <w:rPr>
          <w:rFonts w:cs="Arial"/>
          <w:sz w:val="20"/>
          <w:szCs w:val="20"/>
        </w:rPr>
        <w:t xml:space="preserve">los </w:t>
      </w:r>
      <w:r w:rsidRPr="00D13792">
        <w:rPr>
          <w:sz w:val="20"/>
          <w:szCs w:val="20"/>
        </w:rPr>
        <w:t>habitantes de la aldea Chichupac</w:t>
      </w:r>
      <w:r w:rsidRPr="00D13792">
        <w:rPr>
          <w:rFonts w:cs="Arial"/>
          <w:sz w:val="20"/>
          <w:szCs w:val="20"/>
        </w:rPr>
        <w:t xml:space="preserve"> y </w:t>
      </w:r>
      <w:r w:rsidRPr="00D13792">
        <w:rPr>
          <w:sz w:val="20"/>
          <w:szCs w:val="20"/>
        </w:rPr>
        <w:t>comunidades vecinas, así como falta de acceso a la justicia, todo ello en un alegado contexto de graves y masivas violaciones a los derechos humanos, dentro del cual el pueblo maya habría sido particularmente afectado. Para algunas familias, dicho desplazamiento permanecería hasta la fecha. Aunado a ello, los hechos del presente caso ocurrieron entre 28 y 33 años antes de la presentación del Informe de Fondo al Tribunal el 5 de agosto de 2014.</w:t>
      </w:r>
      <w:r w:rsidRPr="00D13792">
        <w:t xml:space="preserve"> </w:t>
      </w:r>
      <w:r w:rsidRPr="00D13792">
        <w:rPr>
          <w:sz w:val="20"/>
          <w:szCs w:val="20"/>
        </w:rPr>
        <w:t>En este contexto, el Tribunal estima razonable que hubiese sido complejo identificar a la totalidad de las presuntas víctimas del caso. Por otra parte, el Estado no objetó de forma particular la calidad de presunta víctima de ninguna de las personas individualizadas por los representantes en el escrito de solicitudes y argumentos, ni en los escritos de 26 de junio de 2015 y 30 de mayo y 2 de junio de 2016, alegando únicamente y de forma genérica, que la identificación de dichas personas fue extemporánea. Por tanto, en aplicación del artículo 35.2 del Reglamento, esta Corte considerará como presuntas víctimas a aquellas personas identificadas e individualizadas por la Comisión en el Informe de Fondo, así como por los representantes en el “Listado General de Víctimas” y en el listado de “Personas individualizadas y desplazadas”, remitidos el 2 de junio de 2016, ya que, según aquellos, dichos listados “muestran y aglutinan la mayor cantidad de víctimas del caso”. Lo anterior, siempre y cuando el Tribunal cuente con la prueba necesaria para verificar la identidad de cada una de esas personas. Dichas personas se encuentran identificadas</w:t>
      </w:r>
      <w:r w:rsidRPr="00D13792">
        <w:rPr>
          <w:i/>
          <w:sz w:val="20"/>
          <w:szCs w:val="20"/>
        </w:rPr>
        <w:t xml:space="preserve"> </w:t>
      </w:r>
      <w:r w:rsidRPr="00D13792">
        <w:rPr>
          <w:sz w:val="20"/>
          <w:szCs w:val="20"/>
        </w:rPr>
        <w:t>en los Anexos I y II de esta Sentencia.</w:t>
      </w:r>
      <w:r>
        <w:rPr>
          <w:sz w:val="20"/>
          <w:szCs w:val="20"/>
        </w:rPr>
        <w:t xml:space="preserve"> </w:t>
      </w:r>
    </w:p>
    <w:bookmarkEnd w:id="59"/>
    <w:bookmarkEnd w:id="60"/>
    <w:bookmarkEnd w:id="61"/>
    <w:bookmarkEnd w:id="62"/>
    <w:bookmarkEnd w:id="63"/>
    <w:p w14:paraId="6D8F031D" w14:textId="77777777" w:rsidR="006A0E1C" w:rsidRPr="00D13792" w:rsidRDefault="006A0E1C" w:rsidP="006A0E1C">
      <w:pPr>
        <w:pStyle w:val="Heading1"/>
        <w:rPr>
          <w:lang w:val="es-CR"/>
        </w:rPr>
      </w:pPr>
    </w:p>
    <w:p w14:paraId="227763C0" w14:textId="77777777" w:rsidR="006A0E1C" w:rsidRPr="00D13792" w:rsidRDefault="006A0E1C" w:rsidP="006A0E1C">
      <w:pPr>
        <w:pStyle w:val="Heading1"/>
        <w:rPr>
          <w:lang w:val="es-CR"/>
        </w:rPr>
      </w:pPr>
      <w:bookmarkStart w:id="81" w:name="_Toc469670007"/>
      <w:r w:rsidRPr="00D13792">
        <w:rPr>
          <w:lang w:val="es-CR"/>
        </w:rPr>
        <w:t>VII</w:t>
      </w:r>
      <w:r w:rsidRPr="00D13792">
        <w:rPr>
          <w:lang w:val="es-CR"/>
        </w:rPr>
        <w:br/>
        <w:t>PRUEBA</w:t>
      </w:r>
      <w:bookmarkEnd w:id="81"/>
    </w:p>
    <w:p w14:paraId="593A8C19" w14:textId="77777777" w:rsidR="006A0E1C" w:rsidRPr="00D13792" w:rsidRDefault="006A0E1C" w:rsidP="006A0E1C">
      <w:pPr>
        <w:keepNext/>
        <w:keepLines/>
        <w:spacing w:line="240" w:lineRule="auto"/>
        <w:contextualSpacing/>
        <w:outlineLvl w:val="1"/>
        <w:rPr>
          <w:rFonts w:eastAsia="Calibri"/>
          <w:i/>
          <w:sz w:val="16"/>
          <w:szCs w:val="20"/>
          <w:lang w:eastAsia="es-ES"/>
        </w:rPr>
      </w:pPr>
    </w:p>
    <w:p w14:paraId="361D82A2" w14:textId="77777777" w:rsidR="006A0E1C" w:rsidRPr="00D13792" w:rsidRDefault="006A0E1C" w:rsidP="006A0E1C">
      <w:pPr>
        <w:pStyle w:val="Heading2"/>
        <w:numPr>
          <w:ilvl w:val="0"/>
          <w:numId w:val="36"/>
        </w:numPr>
        <w:tabs>
          <w:tab w:val="clear" w:pos="720"/>
          <w:tab w:val="left" w:pos="0"/>
        </w:tabs>
        <w:ind w:left="0" w:firstLine="0"/>
        <w:rPr>
          <w:lang w:val="es-CR"/>
        </w:rPr>
      </w:pPr>
      <w:bookmarkStart w:id="82" w:name="_Toc423102526"/>
      <w:bookmarkStart w:id="83" w:name="_Toc431801381"/>
      <w:bookmarkStart w:id="84" w:name="_Toc437425653"/>
      <w:bookmarkStart w:id="85" w:name="_Toc455631216"/>
      <w:bookmarkStart w:id="86" w:name="_Toc469670008"/>
      <w:r w:rsidRPr="00D13792">
        <w:rPr>
          <w:lang w:val="es-CR"/>
        </w:rPr>
        <w:t>Prueba documental, testimonial y pericial</w:t>
      </w:r>
      <w:bookmarkEnd w:id="82"/>
      <w:bookmarkEnd w:id="83"/>
      <w:bookmarkEnd w:id="84"/>
      <w:bookmarkEnd w:id="85"/>
      <w:bookmarkEnd w:id="86"/>
    </w:p>
    <w:p w14:paraId="25295BBE" w14:textId="77777777" w:rsidR="006A0E1C" w:rsidRPr="00D13792" w:rsidRDefault="006A0E1C" w:rsidP="006A0E1C">
      <w:pPr>
        <w:spacing w:line="240" w:lineRule="auto"/>
        <w:ind w:right="18"/>
        <w:contextualSpacing/>
        <w:rPr>
          <w:rFonts w:eastAsia="Calibri" w:cs="Arial"/>
          <w:sz w:val="16"/>
          <w:szCs w:val="20"/>
          <w:lang w:eastAsia="es-ES"/>
        </w:rPr>
      </w:pPr>
    </w:p>
    <w:p w14:paraId="3EB1482A" w14:textId="77777777" w:rsidR="006A0E1C" w:rsidRPr="00D13792" w:rsidRDefault="006A0E1C" w:rsidP="006A0E1C">
      <w:pPr>
        <w:numPr>
          <w:ilvl w:val="0"/>
          <w:numId w:val="6"/>
        </w:numPr>
        <w:tabs>
          <w:tab w:val="left" w:pos="567"/>
        </w:tabs>
        <w:spacing w:line="240" w:lineRule="auto"/>
        <w:ind w:right="4"/>
        <w:rPr>
          <w:sz w:val="20"/>
          <w:szCs w:val="20"/>
          <w:u w:val="single"/>
        </w:rPr>
      </w:pPr>
      <w:r w:rsidRPr="00D13792">
        <w:rPr>
          <w:sz w:val="20"/>
          <w:szCs w:val="20"/>
        </w:rPr>
        <w:t>Este Tribunal recibió diversos documentos presentados como prueba por la Comisión y las partes, adjuntos a sus escritos principales (</w:t>
      </w:r>
      <w:r w:rsidRPr="00D13792">
        <w:rPr>
          <w:i/>
          <w:sz w:val="20"/>
          <w:szCs w:val="20"/>
        </w:rPr>
        <w:t xml:space="preserve">supra </w:t>
      </w:r>
      <w:r w:rsidRPr="00D13792">
        <w:rPr>
          <w:sz w:val="20"/>
          <w:szCs w:val="20"/>
        </w:rPr>
        <w:t xml:space="preserve">párrs. 1, 4 y 5). De igual forma, la Corte recibió de los representantes, documentos </w:t>
      </w:r>
      <w:r w:rsidRPr="00D13792">
        <w:rPr>
          <w:rFonts w:eastAsia="Calibri"/>
          <w:sz w:val="20"/>
          <w:szCs w:val="20"/>
          <w:lang w:eastAsia="es-ES"/>
        </w:rPr>
        <w:t>solicitados</w:t>
      </w:r>
      <w:r w:rsidRPr="00D13792">
        <w:rPr>
          <w:sz w:val="20"/>
          <w:szCs w:val="20"/>
        </w:rPr>
        <w:t xml:space="preserve"> como prueba para mejor resolver, de conformidad con el artículo 58 del Reglamento (</w:t>
      </w:r>
      <w:r w:rsidRPr="00D13792">
        <w:rPr>
          <w:i/>
          <w:sz w:val="20"/>
          <w:szCs w:val="20"/>
        </w:rPr>
        <w:t>supra</w:t>
      </w:r>
      <w:r w:rsidRPr="00D13792">
        <w:rPr>
          <w:sz w:val="20"/>
          <w:szCs w:val="20"/>
        </w:rPr>
        <w:t xml:space="preserve"> párr. 10). Además, la Corte recibió las declaraciones rendidas ante fedatario público (affidávit) por los peritos Alejandro Rodríguez Barillas</w:t>
      </w:r>
      <w:r w:rsidRPr="00D13792">
        <w:rPr>
          <w:rStyle w:val="FootnoteReference"/>
          <w:sz w:val="20"/>
          <w:szCs w:val="20"/>
        </w:rPr>
        <w:footnoteReference w:id="39"/>
      </w:r>
      <w:r w:rsidRPr="00D13792">
        <w:rPr>
          <w:sz w:val="20"/>
          <w:szCs w:val="20"/>
        </w:rPr>
        <w:t xml:space="preserve"> y Ramón Cadena Rámila</w:t>
      </w:r>
      <w:r w:rsidRPr="00D13792">
        <w:rPr>
          <w:rStyle w:val="FootnoteReference"/>
          <w:sz w:val="20"/>
          <w:szCs w:val="20"/>
        </w:rPr>
        <w:footnoteReference w:id="40"/>
      </w:r>
      <w:r w:rsidRPr="00D13792">
        <w:rPr>
          <w:sz w:val="20"/>
          <w:szCs w:val="20"/>
        </w:rPr>
        <w:t>, y la presunta víctima Miguel Sic Osorio</w:t>
      </w:r>
      <w:r w:rsidRPr="00D13792">
        <w:rPr>
          <w:rStyle w:val="FootnoteReference"/>
          <w:sz w:val="20"/>
          <w:szCs w:val="20"/>
        </w:rPr>
        <w:footnoteReference w:id="41"/>
      </w:r>
      <w:r w:rsidRPr="00D13792">
        <w:rPr>
          <w:sz w:val="20"/>
          <w:szCs w:val="20"/>
        </w:rPr>
        <w:t xml:space="preserve">, todos propuestos por los representantes. En cuanto a la prueba rendida en audiencia pública, la Corte escuchó las declaraciones de las presuntas víctimas Napoleón García De Paz y Juana García Depaz, así como del perito Luis Raúl Francisco Salvadó Cardoza, todos propuestos por los representantes, así como peritaje de </w:t>
      </w:r>
      <w:r w:rsidRPr="00D13792">
        <w:rPr>
          <w:spacing w:val="-2"/>
          <w:sz w:val="20"/>
          <w:szCs w:val="20"/>
        </w:rPr>
        <w:t>Cristián Alejandro Correa Montt</w:t>
      </w:r>
      <w:r w:rsidRPr="00D13792">
        <w:rPr>
          <w:sz w:val="20"/>
          <w:szCs w:val="20"/>
        </w:rPr>
        <w:t>, propuesto por la Comisión</w:t>
      </w:r>
      <w:r w:rsidRPr="00D13792">
        <w:rPr>
          <w:rStyle w:val="FootnoteReference"/>
          <w:sz w:val="20"/>
          <w:szCs w:val="20"/>
        </w:rPr>
        <w:footnoteReference w:id="42"/>
      </w:r>
      <w:r w:rsidRPr="00D13792">
        <w:rPr>
          <w:sz w:val="20"/>
          <w:szCs w:val="20"/>
        </w:rPr>
        <w:t>. Además, mediante escrito de 25 de junio de 2015, la Corte recibió por parte de los representantes, 62 documentos anexos consistentes en certificados de nacimiento, matrimonio y defunción, extendidos por el Registro Nacional de las Personas, de presuntas víctimas de la comunidad de Chichupac y otras del municipio de Rabinal, Departamento de Baja Verapaz. Mediante escrito de 19 de abril de 2016, los representantes remitieron certificados de nacimiento, matrimonio y defunción extendidos por el Registro Nacional de las Personas de la República de Guatemala, así como 26 actas notariales de declaración jurada de las presuntas víctimas de la aldea Chichupac y comunidades vecinas del municipio de Rabinal que presuntamente sufrieron persecución, desplazamiento forzado y desarraigo de sus comunidades ancestrales. Finalmente, el 30 de mayo 2016 la Corte recibió por parte de los representantes, un anexo denominado “personas individualizadas y desplazadas”, así como un “listado General de Certificados” y “Lista General de víctimas” el 2 de junio de 2016.</w:t>
      </w:r>
      <w:r w:rsidRPr="00D13792">
        <w:rPr>
          <w:b/>
          <w:sz w:val="20"/>
          <w:szCs w:val="20"/>
        </w:rPr>
        <w:t xml:space="preserve"> </w:t>
      </w:r>
    </w:p>
    <w:p w14:paraId="322A3951" w14:textId="77777777" w:rsidR="006A0E1C" w:rsidRPr="00D13792" w:rsidRDefault="006A0E1C" w:rsidP="006A0E1C">
      <w:pPr>
        <w:pStyle w:val="Heading2"/>
        <w:rPr>
          <w:lang w:val="es-CR"/>
        </w:rPr>
      </w:pPr>
    </w:p>
    <w:p w14:paraId="18E5ABE6" w14:textId="77777777" w:rsidR="006A0E1C" w:rsidRPr="00D13792" w:rsidRDefault="006A0E1C" w:rsidP="006A0E1C">
      <w:pPr>
        <w:pStyle w:val="Heading2"/>
        <w:numPr>
          <w:ilvl w:val="0"/>
          <w:numId w:val="36"/>
        </w:numPr>
        <w:tabs>
          <w:tab w:val="clear" w:pos="720"/>
          <w:tab w:val="left" w:pos="0"/>
        </w:tabs>
        <w:ind w:left="0" w:firstLine="0"/>
        <w:rPr>
          <w:lang w:val="es-CR"/>
        </w:rPr>
      </w:pPr>
      <w:bookmarkStart w:id="87" w:name="_Toc423102527"/>
      <w:bookmarkStart w:id="88" w:name="_Toc431801382"/>
      <w:bookmarkStart w:id="89" w:name="_Toc437425654"/>
      <w:bookmarkStart w:id="90" w:name="_Toc455631217"/>
      <w:bookmarkStart w:id="91" w:name="_Toc469670009"/>
      <w:r w:rsidRPr="00D13792">
        <w:rPr>
          <w:lang w:val="es-CR"/>
        </w:rPr>
        <w:t>Admisión de la prueba</w:t>
      </w:r>
      <w:bookmarkEnd w:id="87"/>
      <w:bookmarkEnd w:id="88"/>
      <w:bookmarkEnd w:id="89"/>
      <w:bookmarkEnd w:id="90"/>
      <w:bookmarkEnd w:id="91"/>
      <w:r w:rsidRPr="00D13792">
        <w:rPr>
          <w:lang w:val="es-CR"/>
        </w:rPr>
        <w:t xml:space="preserve"> </w:t>
      </w:r>
    </w:p>
    <w:p w14:paraId="3E00575E" w14:textId="77777777" w:rsidR="006A0E1C" w:rsidRPr="00D13792" w:rsidRDefault="006A0E1C" w:rsidP="006A0E1C">
      <w:pPr>
        <w:tabs>
          <w:tab w:val="left" w:pos="0"/>
        </w:tabs>
        <w:spacing w:line="240" w:lineRule="auto"/>
        <w:rPr>
          <w:sz w:val="16"/>
          <w:szCs w:val="20"/>
        </w:rPr>
      </w:pPr>
    </w:p>
    <w:p w14:paraId="2E248F8F" w14:textId="77777777" w:rsidR="006A0E1C" w:rsidRPr="00D13792" w:rsidRDefault="006A0E1C" w:rsidP="006A0E1C">
      <w:pPr>
        <w:pStyle w:val="Heading4"/>
        <w:tabs>
          <w:tab w:val="left" w:pos="0"/>
        </w:tabs>
        <w:ind w:left="0" w:firstLine="0"/>
        <w:rPr>
          <w:rFonts w:eastAsia="Verdana"/>
          <w:lang w:val="es-CR"/>
        </w:rPr>
      </w:pPr>
      <w:bookmarkStart w:id="92" w:name="_Toc437425655"/>
      <w:bookmarkStart w:id="93" w:name="_Toc455631218"/>
      <w:bookmarkStart w:id="94" w:name="_Toc457990713"/>
      <w:r w:rsidRPr="00D13792">
        <w:rPr>
          <w:rFonts w:eastAsia="Verdana"/>
          <w:lang w:val="es-CR"/>
        </w:rPr>
        <w:t>B.1.</w:t>
      </w:r>
      <w:r w:rsidRPr="00D13792">
        <w:rPr>
          <w:rFonts w:eastAsia="Verdana"/>
          <w:lang w:val="es-CR"/>
        </w:rPr>
        <w:tab/>
        <w:t>Admisión de la prueba documental</w:t>
      </w:r>
      <w:bookmarkEnd w:id="92"/>
      <w:bookmarkEnd w:id="93"/>
      <w:bookmarkEnd w:id="94"/>
      <w:r w:rsidRPr="00D13792">
        <w:rPr>
          <w:rFonts w:eastAsia="Verdana"/>
          <w:lang w:val="es-CR"/>
        </w:rPr>
        <w:t xml:space="preserve"> </w:t>
      </w:r>
    </w:p>
    <w:p w14:paraId="4BA435B1"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cs="Arial"/>
          <w:sz w:val="16"/>
          <w:szCs w:val="20"/>
          <w:lang w:val="es-CR" w:eastAsia="es-ES"/>
        </w:rPr>
      </w:pPr>
    </w:p>
    <w:p w14:paraId="75ACB1D9" w14:textId="77777777" w:rsidR="006A0E1C" w:rsidRPr="00D13792" w:rsidRDefault="006A0E1C" w:rsidP="006A0E1C">
      <w:pPr>
        <w:numPr>
          <w:ilvl w:val="0"/>
          <w:numId w:val="6"/>
        </w:numPr>
        <w:tabs>
          <w:tab w:val="left" w:pos="567"/>
        </w:tabs>
        <w:spacing w:line="240" w:lineRule="auto"/>
        <w:ind w:right="4"/>
        <w:rPr>
          <w:sz w:val="20"/>
          <w:szCs w:val="20"/>
          <w:u w:val="single"/>
        </w:rPr>
      </w:pPr>
      <w:r w:rsidRPr="00D13792">
        <w:rPr>
          <w:rFonts w:cs="Arial"/>
          <w:sz w:val="20"/>
          <w:szCs w:val="20"/>
          <w:lang w:eastAsia="es-ES"/>
        </w:rPr>
        <w:t xml:space="preserve">El Tribunal </w:t>
      </w:r>
      <w:r w:rsidRPr="00D13792">
        <w:rPr>
          <w:sz w:val="20"/>
          <w:szCs w:val="20"/>
        </w:rPr>
        <w:t>admite</w:t>
      </w:r>
      <w:r w:rsidRPr="00D13792">
        <w:rPr>
          <w:rFonts w:cs="Arial"/>
          <w:sz w:val="20"/>
          <w:szCs w:val="20"/>
          <w:lang w:eastAsia="es-ES"/>
        </w:rPr>
        <w:t xml:space="preserve"> los documentos presentados en la debida oportunidad procesal por las partes y la </w:t>
      </w:r>
      <w:r w:rsidRPr="00D13792">
        <w:rPr>
          <w:sz w:val="20"/>
        </w:rPr>
        <w:t>Comisión</w:t>
      </w:r>
      <w:r w:rsidRPr="00D13792">
        <w:rPr>
          <w:rFonts w:cs="Arial"/>
          <w:sz w:val="20"/>
          <w:szCs w:val="20"/>
          <w:lang w:eastAsia="es-ES"/>
        </w:rPr>
        <w:t>, y cuya admisibilidad no fue controvertida ni objetada</w:t>
      </w:r>
      <w:r w:rsidRPr="00D13792">
        <w:rPr>
          <w:rFonts w:cs="Arial"/>
          <w:sz w:val="20"/>
          <w:szCs w:val="20"/>
          <w:vertAlign w:val="superscript"/>
        </w:rPr>
        <w:footnoteReference w:id="43"/>
      </w:r>
      <w:r w:rsidRPr="00D13792">
        <w:rPr>
          <w:rFonts w:cs="Arial"/>
          <w:sz w:val="20"/>
          <w:szCs w:val="20"/>
          <w:lang w:eastAsia="es-ES"/>
        </w:rPr>
        <w:t>, así como los documentos procurados e incorporados de oficio por el Tribunal</w:t>
      </w:r>
      <w:r w:rsidRPr="00D13792">
        <w:rPr>
          <w:rStyle w:val="FootnoteReference"/>
          <w:rFonts w:eastAsia="Batang" w:cs="Arial"/>
          <w:sz w:val="20"/>
          <w:szCs w:val="20"/>
          <w:lang w:eastAsia="es-ES"/>
        </w:rPr>
        <w:footnoteReference w:id="44"/>
      </w:r>
      <w:r w:rsidRPr="00D13792">
        <w:rPr>
          <w:rFonts w:cs="Arial"/>
          <w:sz w:val="20"/>
          <w:szCs w:val="20"/>
          <w:lang w:eastAsia="es-ES"/>
        </w:rPr>
        <w:t>.</w:t>
      </w:r>
      <w:bookmarkStart w:id="95" w:name="_Ref340672620"/>
      <w:r w:rsidRPr="00D13792">
        <w:rPr>
          <w:rFonts w:cs="Arial"/>
          <w:sz w:val="20"/>
          <w:szCs w:val="20"/>
          <w:lang w:eastAsia="es-ES"/>
        </w:rPr>
        <w:t xml:space="preserve"> Respecto a algunos documentos señalados por las partes y la Comisión por medio de enlaces electrónicos, este Tribunal ha establecido que si una parte proporciona al menos el enlace electrónico directo del documento que cita como prueba y es posible acceder a este, no se ve afectada la seguridad </w:t>
      </w:r>
      <w:r w:rsidRPr="00D13792">
        <w:rPr>
          <w:rFonts w:cs="Arial"/>
          <w:sz w:val="20"/>
          <w:szCs w:val="20"/>
          <w:lang w:eastAsia="es-ES"/>
        </w:rPr>
        <w:lastRenderedPageBreak/>
        <w:t>jurídica ni el equilibrio procesal, porque es inmediatamente localizable por la Corte y por las otras partes</w:t>
      </w:r>
      <w:r w:rsidRPr="00D13792">
        <w:rPr>
          <w:rFonts w:cs="Arial"/>
          <w:sz w:val="20"/>
          <w:szCs w:val="20"/>
          <w:vertAlign w:val="superscript"/>
          <w:lang w:eastAsia="es-ES"/>
        </w:rPr>
        <w:footnoteReference w:id="45"/>
      </w:r>
      <w:r w:rsidRPr="00D13792">
        <w:rPr>
          <w:rFonts w:cs="Arial"/>
          <w:sz w:val="20"/>
          <w:szCs w:val="20"/>
          <w:lang w:eastAsia="es-ES"/>
        </w:rPr>
        <w:t xml:space="preserve">. </w:t>
      </w:r>
    </w:p>
    <w:p w14:paraId="7D2FB6E8" w14:textId="77777777" w:rsidR="006A0E1C" w:rsidRPr="00D13792" w:rsidRDefault="006A0E1C" w:rsidP="006A0E1C">
      <w:pPr>
        <w:pStyle w:val="ListParagraph"/>
        <w:spacing w:after="0" w:line="240" w:lineRule="auto"/>
        <w:ind w:left="0"/>
        <w:jc w:val="both"/>
        <w:rPr>
          <w:rFonts w:ascii="Verdana" w:hAnsi="Verdana"/>
          <w:sz w:val="20"/>
          <w:szCs w:val="20"/>
          <w:u w:val="single"/>
          <w:lang w:val="es-CR"/>
        </w:rPr>
      </w:pPr>
    </w:p>
    <w:bookmarkEnd w:id="95"/>
    <w:p w14:paraId="2A88E3D5"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Con respecto a la oportunidad procesal para la presentación de prueba documental, de conformidad con el artículo 57.2 del Reglamento, esta debe ser presentada, en general, junto con los escritos de sometimiento del caso, de solicitudes y argumentos, o de contestación, según </w:t>
      </w:r>
      <w:r w:rsidRPr="00D13792">
        <w:rPr>
          <w:sz w:val="20"/>
        </w:rPr>
        <w:t>corresponda</w:t>
      </w:r>
      <w:r w:rsidRPr="00D13792">
        <w:rPr>
          <w:sz w:val="20"/>
          <w:szCs w:val="20"/>
        </w:rPr>
        <w:t>. No es admisible la prueba remitida fuera de las debidas oportunidades procesales, salvo en las excepciones establecidas en el referido artículo 57.2 del Reglamento, a saber, fuerza mayor, impedimento grave o si se tratare de un hecho ocurrido con posterioridad a los citados momentos procesales.</w:t>
      </w:r>
    </w:p>
    <w:p w14:paraId="60993E77"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cs="Arial"/>
          <w:sz w:val="20"/>
          <w:szCs w:val="20"/>
          <w:lang w:val="es-CR" w:eastAsia="es-ES"/>
        </w:rPr>
      </w:pPr>
    </w:p>
    <w:p w14:paraId="71FE3E22" w14:textId="77777777" w:rsidR="006A0E1C" w:rsidRPr="00D13792" w:rsidRDefault="006A0E1C" w:rsidP="006A0E1C">
      <w:pPr>
        <w:numPr>
          <w:ilvl w:val="0"/>
          <w:numId w:val="6"/>
        </w:numPr>
        <w:tabs>
          <w:tab w:val="left" w:pos="567"/>
        </w:tabs>
        <w:spacing w:line="240" w:lineRule="auto"/>
        <w:ind w:right="4"/>
        <w:rPr>
          <w:rFonts w:cs="Arial"/>
          <w:color w:val="FF0000"/>
          <w:sz w:val="20"/>
          <w:szCs w:val="20"/>
          <w:lang w:eastAsia="es-ES"/>
        </w:rPr>
      </w:pPr>
      <w:r w:rsidRPr="00D13792">
        <w:rPr>
          <w:sz w:val="20"/>
          <w:szCs w:val="20"/>
        </w:rPr>
        <w:t xml:space="preserve">Al respecto, la Corte observa que los representantes aportaron listas individualizadas de presuntas </w:t>
      </w:r>
      <w:r w:rsidRPr="00D13792">
        <w:rPr>
          <w:sz w:val="20"/>
        </w:rPr>
        <w:t>víctimas</w:t>
      </w:r>
      <w:r w:rsidRPr="00D13792">
        <w:rPr>
          <w:sz w:val="20"/>
          <w:szCs w:val="20"/>
        </w:rPr>
        <w:t>, así como certificados de nacimiento, matrimonio y defunción de estas y sus familiares</w:t>
      </w:r>
      <w:r w:rsidRPr="00D13792">
        <w:rPr>
          <w:rStyle w:val="CommentReference"/>
          <w:rFonts w:eastAsia="Calibri"/>
          <w:sz w:val="20"/>
          <w:szCs w:val="20"/>
        </w:rPr>
        <w:t xml:space="preserve"> </w:t>
      </w:r>
      <w:r w:rsidRPr="00D13792">
        <w:rPr>
          <w:sz w:val="20"/>
          <w:szCs w:val="20"/>
        </w:rPr>
        <w:t>mediante escritos de 25 de junio de 2015 y 19 de abril, 30 de mayo y 2 de junio de 2016. El Tribunal constata que dichos documentos fueron remitidos a fin comprobar la identidad de las personas que señalan como presuntas víctimas del caso. En el Capítulo VI de esta Sentencia, la Corte ya señaló que considerará como presuntas víctimas a aquellas personas identificadas e individualizadas por los representantes, siempre y cuando el Tribunal cuente con la prueba necesaria para verificar la identidad de cada una de esas personas. Por tanto, en aplicación del artículo 58.a. del Reglamento</w:t>
      </w:r>
      <w:r w:rsidRPr="00D13792">
        <w:rPr>
          <w:rStyle w:val="FootnoteReference"/>
          <w:sz w:val="20"/>
          <w:szCs w:val="20"/>
        </w:rPr>
        <w:footnoteReference w:id="46"/>
      </w:r>
      <w:r w:rsidRPr="00D13792">
        <w:rPr>
          <w:sz w:val="20"/>
          <w:szCs w:val="20"/>
        </w:rPr>
        <w:t xml:space="preserve">, la Corte acepta los documentos mencionados por considerarlos útiles y necesarios para la identificación de las presuntas víctimas del presente caso. </w:t>
      </w:r>
    </w:p>
    <w:p w14:paraId="41A29590" w14:textId="77777777" w:rsidR="006A0E1C" w:rsidRPr="00D13792" w:rsidRDefault="006A0E1C" w:rsidP="006A0E1C">
      <w:pPr>
        <w:pStyle w:val="Sentencia3"/>
        <w:spacing w:line="240" w:lineRule="auto"/>
        <w:rPr>
          <w:rFonts w:eastAsia="Verdana"/>
          <w:lang w:val="es-CR"/>
        </w:rPr>
      </w:pPr>
      <w:bookmarkStart w:id="96" w:name="_Toc424834693"/>
      <w:bookmarkStart w:id="97" w:name="_Toc431584616"/>
      <w:bookmarkStart w:id="98" w:name="_Toc434850404"/>
      <w:bookmarkStart w:id="99" w:name="_Toc453874320"/>
      <w:bookmarkStart w:id="100" w:name="_Toc454891481"/>
      <w:bookmarkStart w:id="101" w:name="_Toc454891558"/>
    </w:p>
    <w:p w14:paraId="15508EDB" w14:textId="77777777" w:rsidR="006A0E1C" w:rsidRPr="00D13792" w:rsidRDefault="006A0E1C" w:rsidP="006A0E1C">
      <w:pPr>
        <w:pStyle w:val="Heading4"/>
        <w:ind w:left="0"/>
        <w:rPr>
          <w:rFonts w:eastAsia="Verdana"/>
          <w:lang w:val="es-CR"/>
        </w:rPr>
      </w:pPr>
      <w:bookmarkStart w:id="102" w:name="_Toc455631219"/>
      <w:bookmarkStart w:id="103" w:name="_Toc457990714"/>
      <w:r w:rsidRPr="00D13792">
        <w:rPr>
          <w:rFonts w:eastAsia="Verdana"/>
          <w:lang w:val="es-CR"/>
        </w:rPr>
        <w:t>B.2. Admisión de la prueba testimonial y pericial</w:t>
      </w:r>
      <w:bookmarkEnd w:id="96"/>
      <w:bookmarkEnd w:id="97"/>
      <w:bookmarkEnd w:id="98"/>
      <w:bookmarkEnd w:id="99"/>
      <w:bookmarkEnd w:id="100"/>
      <w:bookmarkEnd w:id="101"/>
      <w:bookmarkEnd w:id="102"/>
      <w:bookmarkEnd w:id="103"/>
    </w:p>
    <w:p w14:paraId="4E851D5B" w14:textId="77777777" w:rsidR="006A0E1C" w:rsidRPr="00D13792" w:rsidRDefault="006A0E1C" w:rsidP="006A0E1C">
      <w:pPr>
        <w:pStyle w:val="Sentencia3"/>
        <w:spacing w:line="240" w:lineRule="auto"/>
        <w:rPr>
          <w:rFonts w:eastAsia="Verdana"/>
          <w:sz w:val="16"/>
          <w:lang w:val="es-CR"/>
        </w:rPr>
      </w:pPr>
    </w:p>
    <w:p w14:paraId="63C415E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Asimismo, la Corte estima pertinente admitir las declaraciones de las presuntas víctimas y los dictámenes periciales rendidos en la audiencia pública y ante fedatario público, en lo que se ajusten al objeto que fue definido por la Presidencia en la Resolución mediante la cual se ordenó recibirlos y al objeto del presente caso.</w:t>
      </w:r>
    </w:p>
    <w:p w14:paraId="748A3E8C" w14:textId="77777777" w:rsidR="006A0E1C" w:rsidRPr="00D13792" w:rsidRDefault="006A0E1C" w:rsidP="006A0E1C">
      <w:pPr>
        <w:pStyle w:val="NoSpacing"/>
        <w:tabs>
          <w:tab w:val="left" w:pos="5806"/>
        </w:tabs>
        <w:rPr>
          <w:sz w:val="16"/>
          <w:szCs w:val="20"/>
          <w:lang w:val="es-CR"/>
        </w:rPr>
      </w:pPr>
      <w:r w:rsidRPr="00D13792">
        <w:rPr>
          <w:sz w:val="16"/>
          <w:szCs w:val="20"/>
          <w:lang w:val="es-CR"/>
        </w:rPr>
        <w:tab/>
      </w:r>
    </w:p>
    <w:p w14:paraId="768E810F" w14:textId="77777777" w:rsidR="006A0E1C" w:rsidRPr="00D13792" w:rsidRDefault="006A0E1C" w:rsidP="006A0E1C">
      <w:pPr>
        <w:pStyle w:val="Heading2"/>
        <w:numPr>
          <w:ilvl w:val="0"/>
          <w:numId w:val="36"/>
        </w:numPr>
        <w:tabs>
          <w:tab w:val="clear" w:pos="720"/>
          <w:tab w:val="left" w:pos="0"/>
        </w:tabs>
        <w:ind w:left="0" w:firstLine="0"/>
        <w:rPr>
          <w:lang w:val="es-CR"/>
        </w:rPr>
      </w:pPr>
      <w:bookmarkStart w:id="104" w:name="_Toc424834694"/>
      <w:bookmarkStart w:id="105" w:name="_Toc427932798"/>
      <w:bookmarkStart w:id="106" w:name="_Toc431584617"/>
      <w:bookmarkStart w:id="107" w:name="_Toc434850405"/>
      <w:bookmarkStart w:id="108" w:name="_Toc453874321"/>
      <w:bookmarkStart w:id="109" w:name="_Toc454891482"/>
      <w:bookmarkStart w:id="110" w:name="_Toc454891559"/>
      <w:bookmarkStart w:id="111" w:name="_Toc469670010"/>
      <w:r w:rsidRPr="00D13792">
        <w:rPr>
          <w:lang w:val="es-CR"/>
        </w:rPr>
        <w:t>Valoración de la prueba</w:t>
      </w:r>
      <w:bookmarkEnd w:id="104"/>
      <w:bookmarkEnd w:id="105"/>
      <w:bookmarkEnd w:id="106"/>
      <w:bookmarkEnd w:id="107"/>
      <w:bookmarkEnd w:id="108"/>
      <w:bookmarkEnd w:id="109"/>
      <w:bookmarkEnd w:id="110"/>
      <w:bookmarkEnd w:id="111"/>
    </w:p>
    <w:p w14:paraId="53FA148F" w14:textId="77777777" w:rsidR="006A0E1C" w:rsidRPr="00D13792" w:rsidRDefault="006A0E1C" w:rsidP="006A0E1C">
      <w:pPr>
        <w:spacing w:line="240" w:lineRule="auto"/>
        <w:rPr>
          <w:sz w:val="16"/>
          <w:lang w:eastAsia="es-MX"/>
        </w:rPr>
      </w:pPr>
    </w:p>
    <w:p w14:paraId="3BF39262"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De acuerdo a lo establecido en los artículos 46, 47, 48, 50, 51, 57 y 58 del Reglamento, así como en su jurisprudencia constante respecto de la prueba y su apreciación, la Corte examinará y valorará los elementos probatorios documentales remitidos por las partes y la Comisión, las declaraciones, testimonios y dictámenes periciales, así como las pruebas para mejor resolver solicitadas e incorporadas por este Tribunal al establecer los hechos del caso y pronunciarse sobre el fondo. Para ello se sujeta a los principios de la sana crítica, dentro del marco normativo correspondiente, teniendo en cuenta el conjunto del acervo probatorio y lo alegado en la causa</w:t>
      </w:r>
      <w:r w:rsidRPr="00D13792">
        <w:rPr>
          <w:rStyle w:val="FootnoteReference"/>
          <w:sz w:val="20"/>
          <w:szCs w:val="20"/>
        </w:rPr>
        <w:footnoteReference w:id="47"/>
      </w:r>
      <w:r w:rsidRPr="00D13792">
        <w:rPr>
          <w:sz w:val="20"/>
          <w:szCs w:val="20"/>
        </w:rPr>
        <w:t xml:space="preserve">. Asimismo, conforme a la jurisprudencia de la Corte Interamericana, la declaración rendida por la </w:t>
      </w:r>
      <w:r w:rsidRPr="00D13792">
        <w:rPr>
          <w:sz w:val="20"/>
        </w:rPr>
        <w:t>presunta</w:t>
      </w:r>
      <w:r w:rsidRPr="00D13792">
        <w:rPr>
          <w:sz w:val="20"/>
          <w:szCs w:val="20"/>
        </w:rPr>
        <w:t xml:space="preserve"> víctima no puede ser valorada aisladamente sino dentro del conjunto de las pruebas del proceso, en la medida en que puede proporcionar mayor información sobre las presuntas violaciones y sus consecuencias.</w:t>
      </w:r>
    </w:p>
    <w:p w14:paraId="0A438AAD" w14:textId="77777777" w:rsidR="006A0E1C" w:rsidRPr="00D13792" w:rsidRDefault="006A0E1C" w:rsidP="006A0E1C">
      <w:pPr>
        <w:tabs>
          <w:tab w:val="left" w:pos="567"/>
        </w:tabs>
        <w:spacing w:line="240" w:lineRule="auto"/>
        <w:ind w:right="4"/>
        <w:rPr>
          <w:sz w:val="20"/>
          <w:szCs w:val="20"/>
        </w:rPr>
      </w:pPr>
    </w:p>
    <w:p w14:paraId="5C2BD6DA"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Ahora bien, el Estado se opuso a que se utilice el Informe de la Comisión de Esclarecimiento Histórico (CEH) como prueba dentro del proceso, debido a que en el </w:t>
      </w:r>
      <w:r w:rsidRPr="00D13792">
        <w:rPr>
          <w:iCs/>
          <w:sz w:val="20"/>
          <w:szCs w:val="20"/>
        </w:rPr>
        <w:t xml:space="preserve">Acuerdo sobre su Establecimiento </w:t>
      </w:r>
      <w:r w:rsidRPr="00D13792">
        <w:rPr>
          <w:sz w:val="20"/>
          <w:szCs w:val="20"/>
        </w:rPr>
        <w:t>se pactó que “</w:t>
      </w:r>
      <w:r w:rsidRPr="00D13792">
        <w:rPr>
          <w:iCs/>
          <w:sz w:val="20"/>
          <w:szCs w:val="20"/>
        </w:rPr>
        <w:t>[l]os trabajos, recomendaciones e informe de la Comisión no individualizarán</w:t>
      </w:r>
      <w:r w:rsidRPr="00D13792">
        <w:rPr>
          <w:sz w:val="20"/>
          <w:szCs w:val="20"/>
        </w:rPr>
        <w:t xml:space="preserve"> </w:t>
      </w:r>
      <w:r w:rsidRPr="00D13792">
        <w:rPr>
          <w:iCs/>
          <w:sz w:val="20"/>
          <w:szCs w:val="20"/>
        </w:rPr>
        <w:t>responsabilidades, ni tendrán propósitos o efectos judiciales”.</w:t>
      </w:r>
      <w:r w:rsidRPr="00D13792">
        <w:rPr>
          <w:sz w:val="20"/>
          <w:szCs w:val="20"/>
        </w:rPr>
        <w:t xml:space="preserve"> </w:t>
      </w:r>
      <w:r w:rsidRPr="00D13792">
        <w:rPr>
          <w:sz w:val="20"/>
          <w:szCs w:val="20"/>
        </w:rPr>
        <w:lastRenderedPageBreak/>
        <w:t>E</w:t>
      </w:r>
      <w:r w:rsidRPr="00D13792">
        <w:rPr>
          <w:rFonts w:eastAsia="Calibri"/>
          <w:sz w:val="20"/>
          <w:szCs w:val="20"/>
        </w:rPr>
        <w:t>xplicó que a lo largo del proceso de negociación de los Presidentes Centroamericanos en el Acuerdo de Esquipulas firmado en 1987, en negociación con los grupos insurgentes, y con el apoyo de países amigos y la mediación de las Naciones Unidas, dispuso que el mencionado documento no iba a tener dichos efectos, por lo que la Corte no puede anular dicho Acuerdo.</w:t>
      </w:r>
    </w:p>
    <w:p w14:paraId="18DE5864" w14:textId="77777777" w:rsidR="006A0E1C" w:rsidRPr="00D13792" w:rsidRDefault="006A0E1C" w:rsidP="006A0E1C">
      <w:pPr>
        <w:spacing w:line="240" w:lineRule="auto"/>
        <w:rPr>
          <w:sz w:val="20"/>
          <w:szCs w:val="20"/>
        </w:rPr>
      </w:pPr>
    </w:p>
    <w:p w14:paraId="24F1BD16"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La Corte recuerda que en casos anteriores ha otorgado un particular énfasis al valor probatorio de los informes de Comisiones de la Verdad o de Esclarecimiento Histórico como pruebas relevantes en la determinación de los hechos y de la responsabilidad internacional de los Estados</w:t>
      </w:r>
      <w:r w:rsidRPr="00D13792">
        <w:rPr>
          <w:rStyle w:val="FootnoteReference"/>
          <w:sz w:val="20"/>
          <w:szCs w:val="20"/>
        </w:rPr>
        <w:footnoteReference w:id="48"/>
      </w:r>
      <w:r w:rsidRPr="00D13792">
        <w:rPr>
          <w:sz w:val="20"/>
          <w:szCs w:val="20"/>
        </w:rPr>
        <w:t xml:space="preserve">. Al respecto, ha señalado que, según el objeto, procedimiento, estructura y fin de su mandato, tales comisiones pueden contribuir a la construcción y preservación de la memoria histórica, el esclarecimiento de hechos y la determinación de </w:t>
      </w:r>
      <w:r w:rsidRPr="00D13792">
        <w:rPr>
          <w:rFonts w:eastAsia="Calibri"/>
          <w:sz w:val="20"/>
          <w:szCs w:val="20"/>
        </w:rPr>
        <w:t>responsabilidades</w:t>
      </w:r>
      <w:r w:rsidRPr="00D13792">
        <w:rPr>
          <w:sz w:val="20"/>
          <w:szCs w:val="20"/>
        </w:rPr>
        <w:t xml:space="preserve"> institucionales, sociales y políticas en determinados períodos históricos de una sociedad</w:t>
      </w:r>
      <w:r w:rsidRPr="00D13792">
        <w:rPr>
          <w:rStyle w:val="FootnoteReference"/>
          <w:sz w:val="20"/>
          <w:szCs w:val="20"/>
        </w:rPr>
        <w:footnoteReference w:id="49"/>
      </w:r>
      <w:r w:rsidRPr="00D13792">
        <w:rPr>
          <w:sz w:val="20"/>
          <w:szCs w:val="20"/>
        </w:rPr>
        <w:t xml:space="preserve">. </w:t>
      </w:r>
    </w:p>
    <w:p w14:paraId="68EFB6C7" w14:textId="77777777" w:rsidR="006A0E1C" w:rsidRPr="00D13792" w:rsidRDefault="006A0E1C" w:rsidP="006A0E1C">
      <w:pPr>
        <w:tabs>
          <w:tab w:val="left" w:pos="567"/>
        </w:tabs>
        <w:spacing w:line="240" w:lineRule="auto"/>
        <w:ind w:right="4"/>
        <w:rPr>
          <w:sz w:val="20"/>
          <w:szCs w:val="20"/>
        </w:rPr>
      </w:pPr>
    </w:p>
    <w:p w14:paraId="4F43DC9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Informe de la </w:t>
      </w:r>
      <w:r w:rsidRPr="00D13792">
        <w:rPr>
          <w:rStyle w:val="Strong"/>
          <w:b w:val="0"/>
          <w:bCs w:val="0"/>
          <w:sz w:val="20"/>
          <w:szCs w:val="20"/>
        </w:rPr>
        <w:t>Comisión de</w:t>
      </w:r>
      <w:r w:rsidRPr="00D13792">
        <w:rPr>
          <w:rStyle w:val="Strong"/>
          <w:bCs w:val="0"/>
          <w:sz w:val="20"/>
          <w:szCs w:val="20"/>
        </w:rPr>
        <w:t xml:space="preserve"> </w:t>
      </w:r>
      <w:r w:rsidRPr="00D13792">
        <w:rPr>
          <w:sz w:val="20"/>
          <w:szCs w:val="20"/>
        </w:rPr>
        <w:t>Esclarecimiento Histórico</w:t>
      </w:r>
      <w:r w:rsidRPr="00D13792">
        <w:rPr>
          <w:rStyle w:val="Strong"/>
          <w:bCs w:val="0"/>
          <w:sz w:val="20"/>
          <w:szCs w:val="20"/>
        </w:rPr>
        <w:t xml:space="preserve"> </w:t>
      </w:r>
      <w:r w:rsidRPr="00D13792">
        <w:rPr>
          <w:sz w:val="20"/>
          <w:szCs w:val="20"/>
        </w:rPr>
        <w:t>(CEH) es un referente importante en la documentación del conflicto armado interno y</w:t>
      </w:r>
      <w:r w:rsidRPr="00D13792">
        <w:rPr>
          <w:spacing w:val="-2"/>
          <w:sz w:val="20"/>
          <w:szCs w:val="20"/>
        </w:rPr>
        <w:t xml:space="preserve"> </w:t>
      </w:r>
      <w:r w:rsidRPr="00D13792">
        <w:rPr>
          <w:rFonts w:eastAsia="Calibri"/>
          <w:spacing w:val="-2"/>
          <w:sz w:val="20"/>
          <w:szCs w:val="20"/>
        </w:rPr>
        <w:t>ha sido utilizado reiteradamente por este Tribunal como prueba</w:t>
      </w:r>
      <w:r w:rsidRPr="00D13792">
        <w:rPr>
          <w:sz w:val="20"/>
          <w:szCs w:val="20"/>
        </w:rPr>
        <w:t xml:space="preserve"> en al menos diez casos guatemaltecos a partir del año 2000 y hasta el año 2015, sin que el Estado se hubiera opuesto</w:t>
      </w:r>
      <w:r w:rsidRPr="00D13792">
        <w:rPr>
          <w:rStyle w:val="FootnoteReference"/>
          <w:sz w:val="20"/>
          <w:szCs w:val="20"/>
        </w:rPr>
        <w:footnoteReference w:id="50"/>
      </w:r>
      <w:r w:rsidRPr="00D13792">
        <w:rPr>
          <w:sz w:val="20"/>
          <w:szCs w:val="20"/>
        </w:rPr>
        <w:t>. Es r</w:t>
      </w:r>
      <w:r w:rsidRPr="00D13792">
        <w:rPr>
          <w:rStyle w:val="Strong"/>
          <w:b w:val="0"/>
          <w:sz w:val="20"/>
          <w:szCs w:val="20"/>
          <w:shd w:val="clear" w:color="auto" w:fill="FFFFFF"/>
        </w:rPr>
        <w:t xml:space="preserve">ecién en este caso que presentó por primera vez una objeción. Sobre el particular, esta Corte advierte que incluso </w:t>
      </w:r>
      <w:r w:rsidRPr="00D13792">
        <w:rPr>
          <w:rStyle w:val="Strong"/>
          <w:b w:val="0"/>
          <w:bCs w:val="0"/>
          <w:sz w:val="20"/>
          <w:szCs w:val="20"/>
        </w:rPr>
        <w:t xml:space="preserve">la propia Comisión de </w:t>
      </w:r>
      <w:r w:rsidRPr="00D13792">
        <w:rPr>
          <w:sz w:val="20"/>
          <w:szCs w:val="20"/>
        </w:rPr>
        <w:t>Esclarecimiento Histórico</w:t>
      </w:r>
      <w:r w:rsidRPr="00D13792">
        <w:rPr>
          <w:rStyle w:val="Strong"/>
          <w:bCs w:val="0"/>
          <w:sz w:val="20"/>
          <w:szCs w:val="20"/>
        </w:rPr>
        <w:t xml:space="preserve"> </w:t>
      </w:r>
      <w:r w:rsidRPr="00D13792">
        <w:rPr>
          <w:sz w:val="20"/>
          <w:szCs w:val="20"/>
        </w:rPr>
        <w:t xml:space="preserve">al establecer su funcionamiento hizo las siguientes dos precisiones respecto al uso de su Informe. </w:t>
      </w:r>
      <w:r w:rsidRPr="00D13792">
        <w:rPr>
          <w:rStyle w:val="Strong"/>
          <w:b w:val="0"/>
          <w:bCs w:val="0"/>
          <w:sz w:val="20"/>
          <w:szCs w:val="20"/>
        </w:rPr>
        <w:t>Primero, entendió “que la no individualización de responsabilidades de las violaciones de derechos humanos o hechos de violencia que estaba llamada a esclarecer es una característica que se deriva de su propia finalidad, que no es de carácter procesal penal sino de esclarecimiento histórico”. Segundo, que “por sí mismos, [sus] trabajos, recomendaciones e informes no tienen carácter ni propósito judicial, ya que la CEH no es un órgano judicial”, en ese sentido,</w:t>
      </w:r>
      <w:r w:rsidRPr="00D13792">
        <w:rPr>
          <w:rStyle w:val="Strong"/>
          <w:bCs w:val="0"/>
          <w:sz w:val="20"/>
          <w:szCs w:val="20"/>
        </w:rPr>
        <w:t xml:space="preserve"> </w:t>
      </w:r>
      <w:r w:rsidRPr="00D13792">
        <w:rPr>
          <w:rStyle w:val="Strong"/>
          <w:b w:val="0"/>
          <w:bCs w:val="0"/>
          <w:sz w:val="20"/>
          <w:szCs w:val="20"/>
        </w:rPr>
        <w:t>“[s]</w:t>
      </w:r>
      <w:r w:rsidRPr="00D13792">
        <w:rPr>
          <w:bCs/>
          <w:sz w:val="20"/>
          <w:szCs w:val="20"/>
        </w:rPr>
        <w:t>i bien el Acuerdo dice que ni los trabajos ni el Informe tienen efectos judiciales, nada obsta que la institucionalidad del Estado, particularmente las entidades del sistema de administración de justicia, puedan basarse en elementos contenidos en el Informe de la CEH”</w:t>
      </w:r>
      <w:r w:rsidRPr="00D13792">
        <w:rPr>
          <w:rStyle w:val="FootnoteReference"/>
          <w:bCs/>
          <w:sz w:val="20"/>
          <w:szCs w:val="20"/>
        </w:rPr>
        <w:footnoteReference w:id="51"/>
      </w:r>
      <w:r w:rsidRPr="00D13792">
        <w:rPr>
          <w:sz w:val="20"/>
          <w:szCs w:val="20"/>
        </w:rPr>
        <w:t>. En razón de anterior, la Corte valorará el Informe de la CEH</w:t>
      </w:r>
      <w:r w:rsidRPr="00D13792">
        <w:rPr>
          <w:rFonts w:eastAsia="Calibri"/>
          <w:spacing w:val="-2"/>
          <w:sz w:val="20"/>
          <w:szCs w:val="20"/>
        </w:rPr>
        <w:t xml:space="preserve"> junto con el resto del acervo probatorio</w:t>
      </w:r>
      <w:r w:rsidRPr="00D13792">
        <w:rPr>
          <w:rFonts w:eastAsia="Calibri"/>
          <w:sz w:val="20"/>
          <w:szCs w:val="20"/>
          <w:lang w:eastAsia="es-ES"/>
        </w:rPr>
        <w:t>, de acuerdo con las reglas de la sana crítica y con base en la experiencia,</w:t>
      </w:r>
      <w:r w:rsidRPr="00D13792">
        <w:rPr>
          <w:rFonts w:eastAsia="Calibri"/>
          <w:sz w:val="20"/>
          <w:szCs w:val="20"/>
        </w:rPr>
        <w:t xml:space="preserve"> </w:t>
      </w:r>
      <w:r w:rsidRPr="00D13792">
        <w:rPr>
          <w:rFonts w:eastAsia="Calibri"/>
          <w:sz w:val="20"/>
          <w:szCs w:val="20"/>
          <w:lang w:eastAsia="es-ES"/>
        </w:rPr>
        <w:t>sin que deba sujetarse a reglas de prueba tasada</w:t>
      </w:r>
      <w:r w:rsidRPr="00D13792">
        <w:rPr>
          <w:snapToGrid w:val="0"/>
          <w:spacing w:val="-2"/>
          <w:sz w:val="20"/>
          <w:szCs w:val="20"/>
          <w:lang w:eastAsia="es-ES"/>
        </w:rPr>
        <w:t>.</w:t>
      </w:r>
    </w:p>
    <w:p w14:paraId="79716C35" w14:textId="77777777" w:rsidR="006A0E1C" w:rsidRPr="00D13792" w:rsidRDefault="006A0E1C" w:rsidP="006A0E1C">
      <w:pPr>
        <w:tabs>
          <w:tab w:val="left" w:pos="567"/>
        </w:tabs>
        <w:spacing w:line="240" w:lineRule="auto"/>
        <w:ind w:right="4"/>
        <w:rPr>
          <w:snapToGrid w:val="0"/>
          <w:spacing w:val="-2"/>
          <w:sz w:val="20"/>
          <w:szCs w:val="20"/>
          <w:lang w:eastAsia="es-ES"/>
        </w:rPr>
      </w:pPr>
    </w:p>
    <w:p w14:paraId="0F511CAD" w14:textId="77777777" w:rsidR="006A0E1C" w:rsidRPr="00D13792" w:rsidRDefault="006A0E1C" w:rsidP="006A0E1C">
      <w:pPr>
        <w:pStyle w:val="Heading1"/>
        <w:rPr>
          <w:lang w:val="es-CR"/>
        </w:rPr>
      </w:pPr>
      <w:bookmarkStart w:id="112" w:name="_Toc468443275"/>
      <w:bookmarkStart w:id="113" w:name="_Toc469670011"/>
      <w:r w:rsidRPr="00D13792">
        <w:rPr>
          <w:lang w:val="es-CR"/>
        </w:rPr>
        <w:t>VIII</w:t>
      </w:r>
      <w:r w:rsidRPr="00D13792">
        <w:rPr>
          <w:lang w:val="es-CR"/>
        </w:rPr>
        <w:br/>
        <w:t>HECHOS</w:t>
      </w:r>
      <w:bookmarkEnd w:id="112"/>
      <w:bookmarkEnd w:id="113"/>
    </w:p>
    <w:p w14:paraId="35C5D038" w14:textId="77777777" w:rsidR="006A0E1C" w:rsidRPr="00D13792" w:rsidRDefault="006A0E1C" w:rsidP="006A0E1C">
      <w:pPr>
        <w:pStyle w:val="Sentencia1"/>
        <w:rPr>
          <w:lang w:val="es-CR"/>
        </w:rPr>
      </w:pPr>
    </w:p>
    <w:p w14:paraId="00D1D71A" w14:textId="77777777" w:rsidR="006A0E1C" w:rsidRPr="00D13792" w:rsidRDefault="006A0E1C" w:rsidP="006A0E1C">
      <w:pPr>
        <w:numPr>
          <w:ilvl w:val="0"/>
          <w:numId w:val="6"/>
        </w:numPr>
        <w:tabs>
          <w:tab w:val="left" w:pos="567"/>
        </w:tabs>
        <w:spacing w:line="240" w:lineRule="auto"/>
        <w:ind w:right="4"/>
        <w:rPr>
          <w:rFonts w:eastAsia="Calibri"/>
          <w:sz w:val="20"/>
          <w:szCs w:val="20"/>
          <w:lang w:eastAsia="es-ES"/>
        </w:rPr>
      </w:pPr>
      <w:r w:rsidRPr="00D13792">
        <w:rPr>
          <w:rFonts w:cs="Arial"/>
          <w:sz w:val="20"/>
          <w:szCs w:val="20"/>
        </w:rPr>
        <w:t>A continuación, la Corte se referirá a: A) los antecedentes del caso</w:t>
      </w:r>
      <w:r w:rsidRPr="00D13792">
        <w:rPr>
          <w:sz w:val="20"/>
          <w:szCs w:val="20"/>
        </w:rPr>
        <w:t>;</w:t>
      </w:r>
      <w:r w:rsidRPr="00D13792">
        <w:rPr>
          <w:rFonts w:cs="Arial"/>
          <w:sz w:val="20"/>
          <w:szCs w:val="20"/>
        </w:rPr>
        <w:t xml:space="preserve"> B) </w:t>
      </w:r>
      <w:r w:rsidRPr="00D13792">
        <w:rPr>
          <w:sz w:val="20"/>
          <w:szCs w:val="20"/>
        </w:rPr>
        <w:t>los hechos acontecidos en la aldea Chichupac y comunidades vecinas</w:t>
      </w:r>
      <w:r w:rsidRPr="00D13792">
        <w:rPr>
          <w:rFonts w:cs="Arial"/>
          <w:sz w:val="20"/>
          <w:szCs w:val="20"/>
        </w:rPr>
        <w:t xml:space="preserve">, y C) los hechos relativos a </w:t>
      </w:r>
      <w:r w:rsidRPr="00D13792">
        <w:rPr>
          <w:sz w:val="20"/>
          <w:szCs w:val="20"/>
        </w:rPr>
        <w:t xml:space="preserve">las investigaciones </w:t>
      </w:r>
      <w:r w:rsidRPr="00D13792">
        <w:rPr>
          <w:rFonts w:cs="Arial"/>
          <w:sz w:val="20"/>
          <w:szCs w:val="20"/>
        </w:rPr>
        <w:t xml:space="preserve">abiertas. Al respecto, </w:t>
      </w:r>
      <w:r w:rsidRPr="00D13792">
        <w:rPr>
          <w:sz w:val="20"/>
          <w:szCs w:val="20"/>
        </w:rPr>
        <w:t>el Tribunal ha tenido por aceptados los hechos que no fueron expresamente negados por el Estado,</w:t>
      </w:r>
      <w:r w:rsidRPr="00D13792">
        <w:rPr>
          <w:rFonts w:eastAsia="Calibri"/>
          <w:sz w:val="20"/>
          <w:szCs w:val="20"/>
          <w:lang w:eastAsia="es-ES"/>
        </w:rPr>
        <w:t xml:space="preserve"> </w:t>
      </w:r>
      <w:r w:rsidRPr="00D13792">
        <w:rPr>
          <w:sz w:val="20"/>
          <w:szCs w:val="20"/>
        </w:rPr>
        <w:t>mientras lo contrario no ha aparecido en el expediente (</w:t>
      </w:r>
      <w:r w:rsidRPr="00D13792">
        <w:rPr>
          <w:i/>
          <w:sz w:val="20"/>
          <w:szCs w:val="20"/>
        </w:rPr>
        <w:t>supra</w:t>
      </w:r>
      <w:r w:rsidRPr="00D13792">
        <w:rPr>
          <w:sz w:val="20"/>
          <w:szCs w:val="20"/>
        </w:rPr>
        <w:t xml:space="preserve"> párrs. 54 a 58, y 71 a 74), y de ser así, ha expuesto</w:t>
      </w:r>
      <w:r w:rsidRPr="00D13792">
        <w:rPr>
          <w:rFonts w:eastAsia="Calibri"/>
          <w:sz w:val="20"/>
          <w:szCs w:val="20"/>
          <w:lang w:eastAsia="es-ES"/>
        </w:rPr>
        <w:t xml:space="preserve"> el </w:t>
      </w:r>
      <w:r w:rsidRPr="00D13792">
        <w:rPr>
          <w:sz w:val="20"/>
          <w:szCs w:val="20"/>
        </w:rPr>
        <w:t xml:space="preserve">relato </w:t>
      </w:r>
      <w:r w:rsidRPr="00D13792">
        <w:rPr>
          <w:rFonts w:cs="Arial"/>
          <w:sz w:val="20"/>
          <w:szCs w:val="20"/>
        </w:rPr>
        <w:t xml:space="preserve">de los hechos </w:t>
      </w:r>
      <w:r w:rsidRPr="00D13792">
        <w:rPr>
          <w:sz w:val="20"/>
          <w:szCs w:val="20"/>
        </w:rPr>
        <w:t xml:space="preserve">que es consistente con la prueba que fue aportada por la Comisión, los representantes y el Estado, haciendo la citación correspondiente. De igual modo, se ha citado la prueba que </w:t>
      </w:r>
      <w:r w:rsidRPr="00D13792">
        <w:rPr>
          <w:sz w:val="20"/>
          <w:szCs w:val="20"/>
        </w:rPr>
        <w:lastRenderedPageBreak/>
        <w:t>permite aclarar o precisar lo indicado por las partes y la Comisión</w:t>
      </w:r>
      <w:r w:rsidRPr="00D13792">
        <w:rPr>
          <w:rStyle w:val="FootnoteReference"/>
          <w:rFonts w:cs="Arial"/>
          <w:sz w:val="20"/>
          <w:szCs w:val="20"/>
        </w:rPr>
        <w:footnoteReference w:id="52"/>
      </w:r>
      <w:r w:rsidRPr="00D13792">
        <w:rPr>
          <w:sz w:val="20"/>
          <w:szCs w:val="20"/>
        </w:rPr>
        <w:t>.</w:t>
      </w:r>
      <w:r w:rsidRPr="00D13792">
        <w:rPr>
          <w:rFonts w:eastAsia="Calibri"/>
          <w:sz w:val="20"/>
          <w:szCs w:val="20"/>
          <w:lang w:eastAsia="es-ES"/>
        </w:rPr>
        <w:t xml:space="preserve"> </w:t>
      </w:r>
      <w:r w:rsidRPr="00D13792">
        <w:rPr>
          <w:sz w:val="20"/>
          <w:szCs w:val="20"/>
        </w:rPr>
        <w:t>Asimismo, cuando ha sido pertinente se han citado los casos en que este Tribunal se ha referido anteriormente al contexto político e histórico contemporáneo a los hechos. Cabe</w:t>
      </w:r>
      <w:r w:rsidRPr="00D13792">
        <w:rPr>
          <w:rFonts w:cs="Arial"/>
          <w:sz w:val="20"/>
          <w:szCs w:val="20"/>
        </w:rPr>
        <w:t xml:space="preserve"> señalar que </w:t>
      </w:r>
      <w:r w:rsidRPr="00D13792">
        <w:rPr>
          <w:sz w:val="20"/>
          <w:szCs w:val="20"/>
        </w:rPr>
        <w:t>los hechos ocurridos con anterioridad a la fecha de reconocimiento de la competencia del Tribunal por parte de Guatemala, esto es, el 9 de marzo de 1987, únicamente sirven como antecedentes para contextualizar los hechos y las alegadas violaciones de derechos humanos que están dentro de su competencia temporal. La determinación de la eventual responsabilidad internacional del Estado por la alegada violación de derechos humanos será determinado en el Capítulo IX de la Sentencia.</w:t>
      </w:r>
    </w:p>
    <w:p w14:paraId="0D35C35C" w14:textId="77777777" w:rsidR="006A0E1C" w:rsidRPr="00D13792" w:rsidRDefault="006A0E1C" w:rsidP="006A0E1C">
      <w:pPr>
        <w:tabs>
          <w:tab w:val="left" w:pos="567"/>
        </w:tabs>
        <w:spacing w:line="240" w:lineRule="auto"/>
        <w:ind w:right="4"/>
        <w:rPr>
          <w:rFonts w:eastAsia="Calibri"/>
          <w:sz w:val="20"/>
          <w:szCs w:val="20"/>
          <w:lang w:eastAsia="es-ES"/>
        </w:rPr>
      </w:pPr>
    </w:p>
    <w:p w14:paraId="62945BC4" w14:textId="77777777" w:rsidR="006A0E1C" w:rsidRPr="00D13792" w:rsidRDefault="006A0E1C" w:rsidP="006A0E1C">
      <w:pPr>
        <w:pStyle w:val="Heading2"/>
        <w:numPr>
          <w:ilvl w:val="0"/>
          <w:numId w:val="37"/>
        </w:numPr>
        <w:tabs>
          <w:tab w:val="clear" w:pos="720"/>
          <w:tab w:val="left" w:pos="0"/>
        </w:tabs>
        <w:ind w:left="0" w:firstLine="0"/>
        <w:rPr>
          <w:lang w:val="es-CR"/>
        </w:rPr>
      </w:pPr>
      <w:bookmarkStart w:id="114" w:name="_Toc468443276"/>
      <w:bookmarkStart w:id="115" w:name="_Toc469670012"/>
      <w:r w:rsidRPr="00D13792">
        <w:rPr>
          <w:lang w:val="es-CR"/>
        </w:rPr>
        <w:t>Antecedentes del caso</w:t>
      </w:r>
      <w:bookmarkEnd w:id="114"/>
      <w:bookmarkEnd w:id="115"/>
    </w:p>
    <w:p w14:paraId="70914E25" w14:textId="77777777" w:rsidR="006A0E1C" w:rsidRPr="00D13792" w:rsidRDefault="006A0E1C" w:rsidP="006A0E1C">
      <w:pPr>
        <w:spacing w:line="240" w:lineRule="auto"/>
        <w:rPr>
          <w:sz w:val="20"/>
          <w:szCs w:val="20"/>
        </w:rPr>
      </w:pPr>
    </w:p>
    <w:p w14:paraId="116FE52B" w14:textId="77777777" w:rsidR="006A0E1C" w:rsidRPr="00D13792" w:rsidRDefault="006A0E1C" w:rsidP="006A0E1C">
      <w:pPr>
        <w:numPr>
          <w:ilvl w:val="0"/>
          <w:numId w:val="6"/>
        </w:numPr>
        <w:tabs>
          <w:tab w:val="left" w:pos="567"/>
        </w:tabs>
        <w:spacing w:line="240" w:lineRule="auto"/>
        <w:ind w:right="4"/>
        <w:rPr>
          <w:sz w:val="20"/>
        </w:rPr>
      </w:pPr>
      <w:r w:rsidRPr="00D13792">
        <w:rPr>
          <w:sz w:val="20"/>
          <w:szCs w:val="20"/>
        </w:rPr>
        <w:t>El Estado de Guatemala vivió un conflicto armado interno entre los años 1962 y 1996 que provocó grandes costos humanos, materiales, institucionales y morales</w:t>
      </w:r>
      <w:r w:rsidRPr="00D13792">
        <w:rPr>
          <w:sz w:val="20"/>
          <w:szCs w:val="20"/>
          <w:vertAlign w:val="superscript"/>
        </w:rPr>
        <w:footnoteReference w:id="53"/>
      </w:r>
      <w:r w:rsidRPr="00D13792">
        <w:rPr>
          <w:sz w:val="20"/>
          <w:szCs w:val="20"/>
        </w:rPr>
        <w:t xml:space="preserve">. En el año 1990 se inició un proceso de paz que culminó en diciembre de 1996 cuando el Gobierno de la República de Guatemala y la Unidad Revolucionaria Nacional Guatemalteca (URNG), con la participación de la sociedad civil, firmaron el Acuerdo de Paz Firme y Duradera, con el propósito de acabar con el conflicto armado. Dicho Acuerdo otorga validez a los doce acuerdos que fueron celebrados durante negociaciones previas, entre ellos, uno para el </w:t>
      </w:r>
      <w:r w:rsidRPr="00D13792">
        <w:rPr>
          <w:rFonts w:eastAsia="Calibri"/>
          <w:sz w:val="20"/>
          <w:szCs w:val="20"/>
        </w:rPr>
        <w:t>establecimiento</w:t>
      </w:r>
      <w:r w:rsidRPr="00D13792">
        <w:rPr>
          <w:sz w:val="20"/>
          <w:szCs w:val="20"/>
        </w:rPr>
        <w:t xml:space="preserve"> de la Comisión para el Esclarecimiento Histórico (en adelante “CEH”) “de las violaciones a los derechos humanos y los hechos de violencia que han causado sufrimientos a la población guatemalteca”. Dicha Comisión inició sus trabajos el 31 de julio de 1997 y publicó su Informe </w:t>
      </w:r>
      <w:r w:rsidRPr="00D13792">
        <w:rPr>
          <w:i/>
          <w:iCs/>
          <w:sz w:val="20"/>
          <w:szCs w:val="20"/>
        </w:rPr>
        <w:t>“Guatemala, Memoria del Silencio”</w:t>
      </w:r>
      <w:r w:rsidRPr="00D13792">
        <w:rPr>
          <w:sz w:val="20"/>
          <w:szCs w:val="20"/>
        </w:rPr>
        <w:t xml:space="preserve"> el 25 de febrero de 1999</w:t>
      </w:r>
      <w:r w:rsidRPr="00D13792">
        <w:rPr>
          <w:rStyle w:val="FootnoteReference"/>
          <w:sz w:val="20"/>
          <w:szCs w:val="20"/>
        </w:rPr>
        <w:footnoteReference w:id="54"/>
      </w:r>
      <w:r w:rsidRPr="00D13792">
        <w:rPr>
          <w:sz w:val="20"/>
          <w:szCs w:val="20"/>
        </w:rPr>
        <w:t xml:space="preserve">. </w:t>
      </w:r>
    </w:p>
    <w:p w14:paraId="0CB762B0" w14:textId="77777777" w:rsidR="006A0E1C" w:rsidRPr="00D13792" w:rsidRDefault="006A0E1C" w:rsidP="006A0E1C">
      <w:pPr>
        <w:tabs>
          <w:tab w:val="left" w:pos="567"/>
        </w:tabs>
        <w:spacing w:line="240" w:lineRule="auto"/>
        <w:ind w:right="4"/>
        <w:rPr>
          <w:sz w:val="20"/>
        </w:rPr>
      </w:pPr>
    </w:p>
    <w:p w14:paraId="7251B906" w14:textId="77777777" w:rsidR="006A0E1C" w:rsidRPr="00D13792" w:rsidRDefault="006A0E1C" w:rsidP="006A0E1C">
      <w:pPr>
        <w:numPr>
          <w:ilvl w:val="0"/>
          <w:numId w:val="6"/>
        </w:numPr>
        <w:tabs>
          <w:tab w:val="left" w:pos="567"/>
        </w:tabs>
        <w:spacing w:line="240" w:lineRule="auto"/>
        <w:ind w:right="4"/>
        <w:rPr>
          <w:sz w:val="20"/>
        </w:rPr>
      </w:pPr>
      <w:r w:rsidRPr="00D13792">
        <w:rPr>
          <w:rFonts w:cs="Arial"/>
          <w:sz w:val="20"/>
          <w:szCs w:val="20"/>
        </w:rPr>
        <w:t xml:space="preserve">En el marco del </w:t>
      </w:r>
      <w:r w:rsidRPr="00D13792">
        <w:rPr>
          <w:sz w:val="20"/>
          <w:szCs w:val="20"/>
        </w:rPr>
        <w:t>conflicto armado interno en Guatemala</w:t>
      </w:r>
      <w:r w:rsidRPr="00D13792">
        <w:rPr>
          <w:sz w:val="20"/>
        </w:rPr>
        <w:t>, el Estado aplicó lo que denominó la “Doctrina de Seguridad Nacional”, con base en la cual utilizó la noción de “enemigo interno”, que inicialmente incluía a las organizaciones guerrilleras pero fue ampliándose para incluir a “</w:t>
      </w:r>
      <w:r w:rsidRPr="00D13792">
        <w:rPr>
          <w:sz w:val="20"/>
          <w:shd w:val="clear" w:color="auto" w:fill="FFFFFF"/>
        </w:rPr>
        <w:t xml:space="preserve">todas aquellas personas que se identifica[ban] con la ideología comunista o que pertenecieron a una </w:t>
      </w:r>
      <w:r w:rsidRPr="00D13792">
        <w:rPr>
          <w:sz w:val="20"/>
        </w:rPr>
        <w:t>organización</w:t>
      </w:r>
      <w:r w:rsidRPr="00D13792">
        <w:rPr>
          <w:sz w:val="20"/>
          <w:shd w:val="clear" w:color="auto" w:fill="FFFFFF"/>
        </w:rPr>
        <w:t xml:space="preserve"> -sindical, social, religiosa, estudiantil-, o a aquéllos que por cualquier causa no estuvieran a favor del régimen establecido”</w:t>
      </w:r>
      <w:r w:rsidRPr="00D13792">
        <w:rPr>
          <w:rStyle w:val="FootnoteReference"/>
          <w:sz w:val="20"/>
          <w:shd w:val="clear" w:color="auto" w:fill="FFFFFF"/>
        </w:rPr>
        <w:footnoteReference w:id="55"/>
      </w:r>
      <w:r w:rsidRPr="00D13792">
        <w:rPr>
          <w:sz w:val="20"/>
          <w:shd w:val="clear" w:color="auto" w:fill="FFFFFF"/>
        </w:rPr>
        <w:t>.</w:t>
      </w:r>
      <w:r w:rsidRPr="00D13792">
        <w:rPr>
          <w:sz w:val="20"/>
        </w:rPr>
        <w:t xml:space="preserve"> </w:t>
      </w:r>
      <w:r w:rsidRPr="00D13792">
        <w:rPr>
          <w:sz w:val="20"/>
          <w:szCs w:val="20"/>
        </w:rPr>
        <w:t>En</w:t>
      </w:r>
      <w:r w:rsidRPr="00D13792">
        <w:rPr>
          <w:sz w:val="20"/>
        </w:rPr>
        <w:t xml:space="preserve"> aplicación de esta Doctrina, el 91% de las violaciones registradas se produjo bajo las dictaduras de los generales Romeo Lucas García (1978-1982) y José Efraín Ríos Montt (1982-1983)</w:t>
      </w:r>
      <w:r w:rsidRPr="00D13792">
        <w:rPr>
          <w:sz w:val="20"/>
          <w:vertAlign w:val="superscript"/>
        </w:rPr>
        <w:footnoteReference w:id="56"/>
      </w:r>
      <w:r w:rsidRPr="00D13792">
        <w:rPr>
          <w:sz w:val="20"/>
        </w:rPr>
        <w:t xml:space="preserve">. </w:t>
      </w:r>
      <w:r w:rsidRPr="00D13792">
        <w:rPr>
          <w:sz w:val="20"/>
          <w:szCs w:val="20"/>
        </w:rPr>
        <w:t>Con</w:t>
      </w:r>
      <w:r w:rsidRPr="00D13792">
        <w:rPr>
          <w:sz w:val="20"/>
        </w:rPr>
        <w:t xml:space="preserve"> base en </w:t>
      </w:r>
      <w:r w:rsidRPr="00D13792">
        <w:rPr>
          <w:sz w:val="20"/>
          <w:szCs w:val="20"/>
        </w:rPr>
        <w:t xml:space="preserve">dicha </w:t>
      </w:r>
      <w:r w:rsidRPr="00D13792">
        <w:rPr>
          <w:sz w:val="20"/>
        </w:rPr>
        <w:t>Doctrina</w:t>
      </w:r>
      <w:r w:rsidRPr="00D13792">
        <w:rPr>
          <w:sz w:val="20"/>
          <w:szCs w:val="20"/>
        </w:rPr>
        <w:t>,</w:t>
      </w:r>
      <w:r w:rsidRPr="00D13792">
        <w:rPr>
          <w:sz w:val="20"/>
        </w:rPr>
        <w:t xml:space="preserve"> el ejército de Guatemala identificó a los miembros del pueblo indígena maya dentro de la categoría de “enemigo interno”, por considerar que estos constituían o podían constituir la base social de la guerrilla</w:t>
      </w:r>
      <w:r w:rsidRPr="00D13792">
        <w:rPr>
          <w:sz w:val="20"/>
          <w:vertAlign w:val="superscript"/>
        </w:rPr>
        <w:footnoteReference w:id="57"/>
      </w:r>
      <w:r w:rsidRPr="00D13792">
        <w:rPr>
          <w:sz w:val="20"/>
        </w:rPr>
        <w:t>. S</w:t>
      </w:r>
      <w:r w:rsidRPr="00D13792" w:rsidDel="00F01046">
        <w:rPr>
          <w:sz w:val="20"/>
        </w:rPr>
        <w:t>egún la</w:t>
      </w:r>
      <w:r w:rsidRPr="00D13792">
        <w:rPr>
          <w:sz w:val="20"/>
        </w:rPr>
        <w:t xml:space="preserve"> CEH, en términos étnicos, “el 83.3% de las víctimas de violaciones de derechos humanos y hechos de violencia registrados por [aquella] pertenecían a alguna etnia </w:t>
      </w:r>
      <w:r w:rsidRPr="00D13792">
        <w:rPr>
          <w:sz w:val="20"/>
        </w:rPr>
        <w:lastRenderedPageBreak/>
        <w:t>maya, el 16.5% pertenecían al grupo ladino y el 0.2% a otros grupos”</w:t>
      </w:r>
      <w:r w:rsidRPr="00D13792">
        <w:rPr>
          <w:rStyle w:val="FootnoteReference"/>
          <w:sz w:val="20"/>
        </w:rPr>
        <w:footnoteReference w:id="58"/>
      </w:r>
      <w:r w:rsidRPr="00D13792">
        <w:rPr>
          <w:sz w:val="20"/>
        </w:rPr>
        <w:t xml:space="preserve">. </w:t>
      </w:r>
      <w:r w:rsidRPr="00D13792">
        <w:rPr>
          <w:sz w:val="20"/>
          <w:szCs w:val="20"/>
        </w:rPr>
        <w:t>Al respecto,</w:t>
      </w:r>
      <w:r w:rsidRPr="00D13792">
        <w:rPr>
          <w:sz w:val="20"/>
        </w:rPr>
        <w:t xml:space="preserve"> explicó que “en la mayoría de los casos, la identificación entre las comunidades mayas y la insurgencia fue intencionadamente exagerada por el Estado que, apoyándose en tradicionales prejuicios racistas, se sirvió de esta identificación para eliminar las posibilidades presentes y futuras para que la población prestara ayuda o se incorporara a cualquier proyecto insurgente”. Así, “la innegable realidad del racismo como doctrina de superioridad expresada permanentemente por el Estado constituy[ó] un factor fundamental para explicar la especial saña e indiscriminación con que se realizaron las operaciones militares contra centenares de comunidades mayas […], en particular entre 1981 y 1983”</w:t>
      </w:r>
      <w:r w:rsidRPr="00D13792">
        <w:rPr>
          <w:rStyle w:val="FootnoteReference"/>
          <w:sz w:val="20"/>
        </w:rPr>
        <w:footnoteReference w:id="59"/>
      </w:r>
      <w:r w:rsidRPr="00D13792">
        <w:rPr>
          <w:sz w:val="20"/>
        </w:rPr>
        <w:t>.</w:t>
      </w:r>
    </w:p>
    <w:p w14:paraId="44341922" w14:textId="77777777" w:rsidR="006A0E1C" w:rsidRPr="00D13792" w:rsidRDefault="006A0E1C" w:rsidP="006A0E1C">
      <w:pPr>
        <w:spacing w:line="240" w:lineRule="auto"/>
        <w:rPr>
          <w:sz w:val="20"/>
        </w:rPr>
      </w:pPr>
    </w:p>
    <w:p w14:paraId="1DB5143B"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rPr>
        <w:t>En abril de 1982 la Junta Militar de Gobierno presidida por José Efraín Ríos Montt dictó el “Plan Nacional de Seguridad y Desarrollo”, que establecía objetivos nacionales en términos militares, administrativos, legales, sociales, económicos y políticos. Dicho Plan identificó las principales áreas del conflicto en diferentes departamentos del país</w:t>
      </w:r>
      <w:r w:rsidRPr="00D13792">
        <w:rPr>
          <w:rStyle w:val="FootnoteReference"/>
          <w:sz w:val="20"/>
        </w:rPr>
        <w:footnoteReference w:id="60"/>
      </w:r>
      <w:r w:rsidRPr="00D13792">
        <w:rPr>
          <w:sz w:val="20"/>
        </w:rPr>
        <w:t xml:space="preserve">. </w:t>
      </w:r>
      <w:r w:rsidRPr="00D13792">
        <w:rPr>
          <w:rFonts w:eastAsia="Times"/>
          <w:sz w:val="20"/>
        </w:rPr>
        <w:t xml:space="preserve">La Junta Militar y el Alto Mando también diseñaron y ordenaron la implementación de un plan de </w:t>
      </w:r>
      <w:r w:rsidRPr="00D13792">
        <w:rPr>
          <w:sz w:val="20"/>
        </w:rPr>
        <w:t>campaña</w:t>
      </w:r>
      <w:r w:rsidRPr="00D13792">
        <w:rPr>
          <w:rFonts w:eastAsia="Times"/>
          <w:sz w:val="20"/>
        </w:rPr>
        <w:t xml:space="preserve"> militar llamado “Victoria 82”, en el cual utilizaron nuevas definiciones estratégicas dentro del marco de la contrainsurgencia y los objetivos del “Plan Nacional de Seguridad y Desarrollo”</w:t>
      </w:r>
      <w:r w:rsidRPr="00D13792">
        <w:rPr>
          <w:rStyle w:val="FootnoteReference"/>
          <w:rFonts w:eastAsia="Times"/>
          <w:sz w:val="20"/>
        </w:rPr>
        <w:footnoteReference w:id="61"/>
      </w:r>
      <w:r w:rsidRPr="00D13792">
        <w:rPr>
          <w:rFonts w:eastAsia="Times"/>
          <w:sz w:val="20"/>
        </w:rPr>
        <w:t>.</w:t>
      </w:r>
      <w:bookmarkStart w:id="116" w:name="_Ref340670418"/>
      <w:r w:rsidRPr="00D13792">
        <w:rPr>
          <w:rFonts w:eastAsia="Times"/>
          <w:sz w:val="20"/>
        </w:rPr>
        <w:t xml:space="preserve"> La CEH sostuvo que “</w:t>
      </w:r>
      <w:r w:rsidRPr="00D13792">
        <w:rPr>
          <w:sz w:val="20"/>
        </w:rPr>
        <w:t>[d]icho programa impuso las operaciones de tierra arrasada como forma de terminar con la base social del movimiento insurgente”</w:t>
      </w:r>
      <w:r w:rsidRPr="00D13792">
        <w:rPr>
          <w:rStyle w:val="FootnoteReference"/>
          <w:sz w:val="20"/>
        </w:rPr>
        <w:footnoteReference w:id="62"/>
      </w:r>
      <w:r w:rsidRPr="00D13792">
        <w:rPr>
          <w:sz w:val="20"/>
        </w:rPr>
        <w:t>.</w:t>
      </w:r>
      <w:r w:rsidRPr="00D13792">
        <w:rPr>
          <w:sz w:val="20"/>
          <w:szCs w:val="20"/>
        </w:rPr>
        <w:t xml:space="preserve"> </w:t>
      </w:r>
      <w:r w:rsidRPr="00D13792">
        <w:rPr>
          <w:sz w:val="20"/>
        </w:rPr>
        <w:t>Dichas masacres u “operaciones de tierra arrasada” se concentraron en las regiones del Quiché, Huehuetenango, Chimaltenango, Alta y Baja Verapaz, la costa sur y Ciudad de Guatemala</w:t>
      </w:r>
      <w:r w:rsidRPr="00D13792">
        <w:rPr>
          <w:rStyle w:val="FootnoteReference"/>
          <w:sz w:val="20"/>
        </w:rPr>
        <w:footnoteReference w:id="63"/>
      </w:r>
      <w:r w:rsidRPr="00D13792">
        <w:rPr>
          <w:sz w:val="20"/>
        </w:rPr>
        <w:t xml:space="preserve">. De acuerdo con la CEH, alrededor de 626 </w:t>
      </w:r>
      <w:r w:rsidRPr="00D13792">
        <w:rPr>
          <w:sz w:val="20"/>
          <w:szCs w:val="20"/>
        </w:rPr>
        <w:t>masacres atribuibles al Ejército de Guatemala y fuerzas de seguridad del Estado fueron ejecutadas mediante actos de extrema crueldad destinados a eliminar a las personas o grupos de personas “definidos como enemigo” y a “aterrorizar a la población”</w:t>
      </w:r>
      <w:r w:rsidRPr="00D13792">
        <w:rPr>
          <w:rStyle w:val="FootnoteReference"/>
          <w:sz w:val="20"/>
          <w:szCs w:val="20"/>
        </w:rPr>
        <w:footnoteReference w:id="64"/>
      </w:r>
      <w:r w:rsidRPr="00D13792">
        <w:rPr>
          <w:rFonts w:cs="Verdana"/>
          <w:sz w:val="20"/>
          <w:szCs w:val="20"/>
        </w:rPr>
        <w:t>.</w:t>
      </w:r>
      <w:r w:rsidRPr="00D13792">
        <w:rPr>
          <w:sz w:val="20"/>
          <w:szCs w:val="20"/>
        </w:rPr>
        <w:t xml:space="preserve"> El terror</w:t>
      </w:r>
      <w:r w:rsidRPr="00D13792">
        <w:rPr>
          <w:sz w:val="20"/>
        </w:rPr>
        <w:t xml:space="preserve"> provocado por las masacres y la devastación de aldeas enteras en el período comprendido entre 1981 y 1983 desencadenó la huida masiva de una población diversa, cuya mayoría estaba constituida por comunidades mayas, pero que también incluía un importante número de familias ladinas. La CEH estimó un número de desplazados que va desde 500 mil hasta un millón y medio de </w:t>
      </w:r>
      <w:r w:rsidRPr="00D13792">
        <w:rPr>
          <w:sz w:val="20"/>
        </w:rPr>
        <w:lastRenderedPageBreak/>
        <w:t>personas en dicho período</w:t>
      </w:r>
      <w:r w:rsidRPr="00D13792">
        <w:rPr>
          <w:sz w:val="20"/>
          <w:szCs w:val="20"/>
          <w:vertAlign w:val="superscript"/>
        </w:rPr>
        <w:footnoteReference w:id="65"/>
      </w:r>
      <w:r w:rsidRPr="00D13792">
        <w:rPr>
          <w:sz w:val="20"/>
          <w:szCs w:val="20"/>
        </w:rPr>
        <w:t xml:space="preserve">. </w:t>
      </w:r>
    </w:p>
    <w:p w14:paraId="46D5DDF8" w14:textId="77777777" w:rsidR="006A0E1C" w:rsidRPr="00D13792" w:rsidRDefault="006A0E1C" w:rsidP="006A0E1C">
      <w:pPr>
        <w:tabs>
          <w:tab w:val="left" w:pos="567"/>
        </w:tabs>
        <w:spacing w:line="240" w:lineRule="auto"/>
        <w:ind w:right="4"/>
        <w:rPr>
          <w:sz w:val="20"/>
        </w:rPr>
      </w:pPr>
    </w:p>
    <w:p w14:paraId="15B15853" w14:textId="77777777" w:rsidR="006A0E1C" w:rsidRPr="00D13792" w:rsidRDefault="006A0E1C" w:rsidP="006A0E1C">
      <w:pPr>
        <w:numPr>
          <w:ilvl w:val="0"/>
          <w:numId w:val="6"/>
        </w:numPr>
        <w:tabs>
          <w:tab w:val="left" w:pos="567"/>
        </w:tabs>
        <w:spacing w:line="240" w:lineRule="auto"/>
        <w:ind w:right="4"/>
        <w:rPr>
          <w:sz w:val="20"/>
        </w:rPr>
      </w:pPr>
      <w:r w:rsidRPr="00D13792">
        <w:rPr>
          <w:sz w:val="20"/>
        </w:rPr>
        <w:t>En la época del conflicto armado interno, la desaparición forzada de personas en Guatemala también constituyó una práctica del Estado llevada a cabo principalmente por agentes de sus fuerzas de seguridad</w:t>
      </w:r>
      <w:r w:rsidRPr="00D13792">
        <w:rPr>
          <w:sz w:val="20"/>
          <w:vertAlign w:val="superscript"/>
        </w:rPr>
        <w:footnoteReference w:id="66"/>
      </w:r>
      <w:r w:rsidRPr="00D13792">
        <w:rPr>
          <w:sz w:val="20"/>
        </w:rPr>
        <w:t>. La finalidad de esta práctica era la desarticulación de los movimientos u organizaciones que el Estado identificaba como proclives a la “insurgencia” y extender el terror en la población</w:t>
      </w:r>
      <w:r w:rsidRPr="00D13792">
        <w:rPr>
          <w:rStyle w:val="FootnoteReference"/>
          <w:sz w:val="20"/>
        </w:rPr>
        <w:footnoteReference w:id="67"/>
      </w:r>
      <w:r w:rsidRPr="00D13792">
        <w:rPr>
          <w:sz w:val="20"/>
        </w:rPr>
        <w:t xml:space="preserve">. </w:t>
      </w:r>
      <w:bookmarkEnd w:id="116"/>
      <w:r w:rsidRPr="00D13792">
        <w:rPr>
          <w:sz w:val="20"/>
          <w:szCs w:val="20"/>
        </w:rPr>
        <w:t>Igualmente</w:t>
      </w:r>
      <w:r w:rsidRPr="00D13792">
        <w:rPr>
          <w:sz w:val="20"/>
        </w:rPr>
        <w:t>, la CEH concluyó que “la violación sexual fue una práctica generalizada y sistemática realizada por agentes del Estado en el marco de la estrategia contrainsurgente”, en la que el porcentaje de víctimas mujeres alcanza el 99% de los casos registrados, y fue empleada como un arma de guerra. Los casos de violaciones sexuales individuales o selectivas, se dieron en el contexto de la detención de las víctimas y muchas veces fueron seguidas de su muerte o desaparición</w:t>
      </w:r>
      <w:r w:rsidRPr="00D13792">
        <w:rPr>
          <w:rStyle w:val="FootnoteReference"/>
          <w:sz w:val="20"/>
        </w:rPr>
        <w:footnoteReference w:id="68"/>
      </w:r>
      <w:r w:rsidRPr="00D13792">
        <w:rPr>
          <w:sz w:val="20"/>
        </w:rPr>
        <w:t>. A su vez, durante y de modo previo a las mencionadas masacres u “operaciones de tierra arrasada”, miembros de las fuerzas de seguridad del Estado perpetraron violaciones sexuales masivas o indiscriminadas y públicas, acompañadas en ocasiones de la muerte de mujeres embarazadas y de la inducción de abortos. Esta práctica estaba dirigida a destruir la dignidad de la mujer a nivel cultural, social, familiar e individual</w:t>
      </w:r>
      <w:r w:rsidRPr="00D13792">
        <w:rPr>
          <w:sz w:val="20"/>
          <w:vertAlign w:val="superscript"/>
        </w:rPr>
        <w:footnoteReference w:id="69"/>
      </w:r>
      <w:r w:rsidRPr="00D13792">
        <w:rPr>
          <w:sz w:val="20"/>
        </w:rPr>
        <w:t xml:space="preserve">. </w:t>
      </w:r>
      <w:r w:rsidRPr="00D13792">
        <w:rPr>
          <w:sz w:val="20"/>
          <w:szCs w:val="20"/>
        </w:rPr>
        <w:t>Por otra parte</w:t>
      </w:r>
      <w:r w:rsidRPr="00D13792">
        <w:rPr>
          <w:sz w:val="20"/>
        </w:rPr>
        <w:t>, durante esta época existió un patrón de separación de niñas y niños de sus familias con posterioridad a las masacres, y de sustracción y retención ilegal de los mismos, todo ello perpetrado por las fuerzas militares y grupos armados ilegales. Dicha práctica implicó, en muchos casos, que se les cambiara el nombre y se les negara su identidad</w:t>
      </w:r>
      <w:r w:rsidRPr="00D13792">
        <w:rPr>
          <w:sz w:val="20"/>
          <w:vertAlign w:val="superscript"/>
        </w:rPr>
        <w:footnoteReference w:id="70"/>
      </w:r>
      <w:r w:rsidRPr="00D13792">
        <w:rPr>
          <w:sz w:val="20"/>
        </w:rPr>
        <w:t>. La separación de</w:t>
      </w:r>
      <w:r w:rsidRPr="00D13792">
        <w:rPr>
          <w:sz w:val="20"/>
          <w:szCs w:val="20"/>
        </w:rPr>
        <w:t xml:space="preserve"> niñas y</w:t>
      </w:r>
      <w:r w:rsidRPr="00D13792">
        <w:rPr>
          <w:sz w:val="20"/>
        </w:rPr>
        <w:t xml:space="preserve"> niños de sus familias condujo, en algunos casos, a la adopción ilegal o a la venta de aquellos, a quienes también se negó el derecho a conocer su cultura</w:t>
      </w:r>
      <w:r w:rsidRPr="00D13792">
        <w:rPr>
          <w:sz w:val="20"/>
          <w:vertAlign w:val="superscript"/>
        </w:rPr>
        <w:footnoteReference w:id="71"/>
      </w:r>
      <w:r w:rsidRPr="00D13792">
        <w:rPr>
          <w:sz w:val="20"/>
        </w:rPr>
        <w:t xml:space="preserve">. </w:t>
      </w:r>
      <w:r w:rsidRPr="00D13792">
        <w:rPr>
          <w:sz w:val="20"/>
          <w:szCs w:val="20"/>
        </w:rPr>
        <w:t xml:space="preserve">En otros casos, las niñas y niños fueron sometidos a </w:t>
      </w:r>
      <w:r w:rsidRPr="00D13792">
        <w:rPr>
          <w:rFonts w:eastAsia="Calibri"/>
          <w:iCs/>
          <w:sz w:val="20"/>
          <w:szCs w:val="20"/>
        </w:rPr>
        <w:t xml:space="preserve">condiciones de servidumbre </w:t>
      </w:r>
      <w:r w:rsidRPr="00D13792">
        <w:rPr>
          <w:sz w:val="20"/>
          <w:szCs w:val="20"/>
        </w:rPr>
        <w:t>por agentes de las fuerzas de seguridad del Estado</w:t>
      </w:r>
      <w:r w:rsidRPr="00D13792">
        <w:rPr>
          <w:rStyle w:val="FootnoteReference"/>
          <w:rFonts w:eastAsia="Calibri"/>
          <w:sz w:val="20"/>
        </w:rPr>
        <w:footnoteReference w:id="72"/>
      </w:r>
      <w:r w:rsidRPr="00D13792">
        <w:rPr>
          <w:rFonts w:eastAsia="Calibri"/>
          <w:sz w:val="20"/>
        </w:rPr>
        <w:t>.</w:t>
      </w:r>
    </w:p>
    <w:p w14:paraId="4F962AD7" w14:textId="77777777" w:rsidR="006A0E1C" w:rsidRPr="00D13792" w:rsidRDefault="006A0E1C" w:rsidP="006A0E1C">
      <w:pPr>
        <w:spacing w:line="240" w:lineRule="auto"/>
        <w:rPr>
          <w:sz w:val="20"/>
        </w:rPr>
      </w:pPr>
    </w:p>
    <w:p w14:paraId="4EF646E8" w14:textId="77777777" w:rsidR="006A0E1C" w:rsidRPr="00D13792" w:rsidRDefault="006A0E1C" w:rsidP="006A0E1C">
      <w:pPr>
        <w:numPr>
          <w:ilvl w:val="0"/>
          <w:numId w:val="6"/>
        </w:numPr>
        <w:tabs>
          <w:tab w:val="left" w:pos="567"/>
        </w:tabs>
        <w:spacing w:line="240" w:lineRule="auto"/>
        <w:ind w:right="4"/>
        <w:rPr>
          <w:sz w:val="20"/>
        </w:rPr>
      </w:pPr>
      <w:r w:rsidRPr="00D13792">
        <w:rPr>
          <w:sz w:val="20"/>
        </w:rPr>
        <w:t>Todos estos hechos tuvieron y todavía tienen importantes efectos culturales en los pueblos mayas. Las violaciones de derechos humanos sucedidas durante el conflicto armado interno en Guatemala también significó la pérdida de los valores y prácticas culturales y religiosas de los pueblos mayas, así como de sus instituciones sociales, económicas y políticas</w:t>
      </w:r>
      <w:r w:rsidRPr="00D13792">
        <w:rPr>
          <w:sz w:val="20"/>
          <w:vertAlign w:val="superscript"/>
        </w:rPr>
        <w:footnoteReference w:id="73"/>
      </w:r>
      <w:r w:rsidRPr="00D13792">
        <w:rPr>
          <w:sz w:val="20"/>
        </w:rPr>
        <w:t>. Particularmente, las desapariciones forzadas, el uso de la tortura y las ejecuciones arbitrarias</w:t>
      </w:r>
      <w:r w:rsidRPr="00D13792">
        <w:rPr>
          <w:sz w:val="20"/>
          <w:vertAlign w:val="superscript"/>
        </w:rPr>
        <w:footnoteReference w:id="74"/>
      </w:r>
      <w:r w:rsidRPr="00D13792">
        <w:rPr>
          <w:sz w:val="20"/>
        </w:rPr>
        <w:t>, entre otros, afectaron las estructuras de autoridad y liderazgo indígena, destruyendo el tejido y las relaciones sociales tradicionales al interior de las comunidades</w:t>
      </w:r>
      <w:r w:rsidRPr="00D13792">
        <w:rPr>
          <w:sz w:val="20"/>
          <w:vertAlign w:val="superscript"/>
        </w:rPr>
        <w:footnoteReference w:id="75"/>
      </w:r>
      <w:r w:rsidRPr="00D13792">
        <w:rPr>
          <w:sz w:val="20"/>
        </w:rPr>
        <w:t>. Especial relevancia tuvo la violencia ejercida en contra de los ancianos, como autoridades ancestrales y “columna vertebral de la cultura de los pueblos mayas”, quienes fueron de los primeros blancos de la persecución</w:t>
      </w:r>
      <w:r w:rsidRPr="00D13792">
        <w:rPr>
          <w:rStyle w:val="FootnoteReference"/>
          <w:sz w:val="20"/>
          <w:szCs w:val="20"/>
        </w:rPr>
        <w:footnoteReference w:id="76"/>
      </w:r>
      <w:r w:rsidRPr="00D13792">
        <w:rPr>
          <w:sz w:val="20"/>
          <w:szCs w:val="20"/>
        </w:rPr>
        <w:t>.</w:t>
      </w:r>
      <w:r w:rsidRPr="00D13792">
        <w:rPr>
          <w:sz w:val="20"/>
        </w:rPr>
        <w:t xml:space="preserve"> Al respecto, la CEH indicó que con la desaparición de las personas “se perdió también el conocimiento técnico-moderno y tradicional-acumulado a lo largo de años, así como la posibilidad de transmitirlo con naturalidad a las nuevas </w:t>
      </w:r>
      <w:r w:rsidRPr="00D13792">
        <w:rPr>
          <w:sz w:val="20"/>
        </w:rPr>
        <w:lastRenderedPageBreak/>
        <w:t>generaciones, [con lo cual] puede comenzar a dimensionarse la magnitud del impacto a largo plazo”</w:t>
      </w:r>
      <w:r w:rsidRPr="00D13792">
        <w:rPr>
          <w:rStyle w:val="FootnoteReference"/>
          <w:sz w:val="20"/>
        </w:rPr>
        <w:footnoteReference w:id="77"/>
      </w:r>
      <w:r w:rsidRPr="00D13792">
        <w:rPr>
          <w:sz w:val="20"/>
        </w:rPr>
        <w:t>.</w:t>
      </w:r>
    </w:p>
    <w:p w14:paraId="590B1316" w14:textId="77777777" w:rsidR="006A0E1C" w:rsidRPr="00D13792" w:rsidRDefault="006A0E1C" w:rsidP="006A0E1C">
      <w:pPr>
        <w:spacing w:line="240" w:lineRule="auto"/>
        <w:rPr>
          <w:sz w:val="20"/>
        </w:rPr>
      </w:pPr>
    </w:p>
    <w:p w14:paraId="18E826E9" w14:textId="77777777" w:rsidR="006A0E1C" w:rsidRPr="00D13792" w:rsidRDefault="006A0E1C" w:rsidP="006A0E1C">
      <w:pPr>
        <w:numPr>
          <w:ilvl w:val="0"/>
          <w:numId w:val="6"/>
        </w:numPr>
        <w:tabs>
          <w:tab w:val="left" w:pos="567"/>
        </w:tabs>
        <w:spacing w:line="240" w:lineRule="auto"/>
        <w:ind w:right="4"/>
        <w:rPr>
          <w:sz w:val="20"/>
        </w:rPr>
      </w:pPr>
      <w:r w:rsidRPr="00D13792">
        <w:rPr>
          <w:sz w:val="20"/>
        </w:rPr>
        <w:t>La Corte analizará los hechos alegados en este caso no de manera aislada, sino teniendo en cuenta la existencia de un contexto sistemático de violaciones graves y masivas de los derechos humanos en Guatemala, a fin de posibilitar una comprensión de la prueba y la determinación puntual de los hechos</w:t>
      </w:r>
      <w:r w:rsidRPr="00D13792">
        <w:rPr>
          <w:sz w:val="20"/>
          <w:szCs w:val="20"/>
        </w:rPr>
        <w:t xml:space="preserve"> y sus efectos jurídicos.</w:t>
      </w:r>
      <w:r w:rsidRPr="00D13792">
        <w:rPr>
          <w:sz w:val="20"/>
        </w:rPr>
        <w:t xml:space="preserve"> De igual modo, dicho contexto se tomará en cuenta, de ser procedente, al disponer medidas de reparación, en específico, sobre la obligación de investigar y las garantías de no repetición.</w:t>
      </w:r>
    </w:p>
    <w:p w14:paraId="1D296C0C" w14:textId="77777777" w:rsidR="006A0E1C" w:rsidRPr="00D13792" w:rsidRDefault="006A0E1C" w:rsidP="006A0E1C">
      <w:pPr>
        <w:tabs>
          <w:tab w:val="left" w:pos="720"/>
        </w:tabs>
        <w:spacing w:line="240" w:lineRule="auto"/>
        <w:rPr>
          <w:i/>
          <w:iCs/>
          <w:sz w:val="20"/>
          <w:szCs w:val="20"/>
        </w:rPr>
      </w:pPr>
    </w:p>
    <w:p w14:paraId="5922D310" w14:textId="77777777" w:rsidR="006A0E1C" w:rsidRPr="00D13792" w:rsidRDefault="006A0E1C" w:rsidP="006A0E1C">
      <w:pPr>
        <w:pStyle w:val="Heading2"/>
        <w:numPr>
          <w:ilvl w:val="0"/>
          <w:numId w:val="37"/>
        </w:numPr>
        <w:tabs>
          <w:tab w:val="clear" w:pos="720"/>
          <w:tab w:val="left" w:pos="0"/>
        </w:tabs>
        <w:ind w:left="0" w:firstLine="0"/>
        <w:rPr>
          <w:lang w:val="es-CR"/>
        </w:rPr>
      </w:pPr>
      <w:bookmarkStart w:id="117" w:name="_Toc468443277"/>
      <w:bookmarkStart w:id="118" w:name="_Toc469670013"/>
      <w:r w:rsidRPr="00D13792">
        <w:rPr>
          <w:lang w:val="es-CR"/>
        </w:rPr>
        <w:t>La aldea Chichupac y comunidades vecinas del municipio de Rabinal</w:t>
      </w:r>
      <w:bookmarkEnd w:id="117"/>
      <w:bookmarkEnd w:id="118"/>
    </w:p>
    <w:p w14:paraId="2807EA53" w14:textId="77777777" w:rsidR="006A0E1C" w:rsidRPr="00D13792" w:rsidRDefault="006A0E1C" w:rsidP="006A0E1C">
      <w:pPr>
        <w:tabs>
          <w:tab w:val="left" w:pos="1120"/>
        </w:tabs>
        <w:spacing w:line="240" w:lineRule="auto"/>
        <w:rPr>
          <w:sz w:val="20"/>
          <w:szCs w:val="20"/>
        </w:rPr>
      </w:pPr>
    </w:p>
    <w:p w14:paraId="52B54001"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Durante el proceso ante la Corte se argumentaron hechos ocurridos en perjuicio de los habitantes indígenas maya achí de la aldea Chichupac y comunidades vecinas de Xeabaj, Chijom, Coyojá, El Tablón, Toloxcoc, Chirrum, </w:t>
      </w:r>
      <w:r w:rsidRPr="00D13792">
        <w:rPr>
          <w:iCs/>
          <w:sz w:val="20"/>
          <w:szCs w:val="20"/>
        </w:rPr>
        <w:t>El Chol</w:t>
      </w:r>
      <w:r w:rsidRPr="00D13792">
        <w:rPr>
          <w:sz w:val="20"/>
          <w:szCs w:val="20"/>
        </w:rPr>
        <w:t xml:space="preserve"> y El Apazote, en el municipio de Rabinal, Departamento de Baja Verapaz de Guatemala. Dichos hechos incluyen, entre otros, alegadas masacres, ejecuciones extrajudiciales y desapariciones forzadas, y se alega que a un gran número de las presuntas víctimas se les acusó de pertenecer a la guerrilla y fueron torturadas previo a su desaparición o ejecución. Es importante aclarar que, según la prueba presentada, durante el período en que habrían ocurrido dichas violaciones y en los lugares mencionados, también habrían ocurrido hechos adicionales atribuidos a agentes de seguridad del Estado en perjuicio de diversas personas, los cuales no fueron sometidos al conocimiento de este Tribunal en el presente caso. La Corte procederá a establecer exclusivamente los hechos del caso que le han sido sometidos en aras de lograr su puntual comprensión. Por otro lado, la Corte destaca que los datos de las presuntas víctimas que constan en la prueba varían en algunos casos respecto a sus nombres, edades y fechas de su muerte o desaparición, por lo que ha procedido a señalar aquellos datos que son consistentes en la prueba, así como en la información proporcionada por los representantes y la Comisión que no fue controvertida por el Estado, sin perjuicio de la nueva evidencia que pudiera sobrevenir al respecto.</w:t>
      </w:r>
    </w:p>
    <w:p w14:paraId="0E6535A4" w14:textId="77777777" w:rsidR="006A0E1C" w:rsidRPr="00D13792" w:rsidRDefault="006A0E1C" w:rsidP="006A0E1C">
      <w:pPr>
        <w:tabs>
          <w:tab w:val="left" w:pos="1120"/>
        </w:tabs>
        <w:spacing w:line="240" w:lineRule="auto"/>
        <w:rPr>
          <w:sz w:val="20"/>
          <w:szCs w:val="20"/>
        </w:rPr>
      </w:pPr>
    </w:p>
    <w:p w14:paraId="5BC78ECC" w14:textId="77777777" w:rsidR="006A0E1C" w:rsidRPr="00D13792" w:rsidRDefault="006A0E1C" w:rsidP="006A0E1C">
      <w:pPr>
        <w:numPr>
          <w:ilvl w:val="0"/>
          <w:numId w:val="6"/>
        </w:numPr>
        <w:tabs>
          <w:tab w:val="left" w:pos="567"/>
        </w:tabs>
        <w:spacing w:line="240" w:lineRule="auto"/>
        <w:ind w:right="4"/>
        <w:rPr>
          <w:rFonts w:cs="Arial"/>
          <w:sz w:val="20"/>
          <w:szCs w:val="20"/>
        </w:rPr>
      </w:pPr>
      <w:r w:rsidRPr="00D13792">
        <w:rPr>
          <w:sz w:val="20"/>
          <w:szCs w:val="20"/>
        </w:rPr>
        <w:t>El municipio de Rabinal es uno de los ocho municipios del Departamento de Baja Verapaz que está situado en la región central de Guatemala. Este municipio está formado por la cabecera municipal o casco urbano, catorce aldeas y sesenta caseríos. En el año 1981 la zona estaba habitada predominantemente por miembros del pueblo indígena maya perteneciente a la comunidad lingüística achí</w:t>
      </w:r>
      <w:r w:rsidRPr="00D13792">
        <w:rPr>
          <w:rStyle w:val="FootnoteReference"/>
          <w:sz w:val="20"/>
          <w:szCs w:val="20"/>
        </w:rPr>
        <w:footnoteReference w:id="78"/>
      </w:r>
      <w:r w:rsidRPr="00D13792">
        <w:rPr>
          <w:sz w:val="20"/>
          <w:szCs w:val="20"/>
        </w:rPr>
        <w:t xml:space="preserve">. </w:t>
      </w:r>
    </w:p>
    <w:p w14:paraId="11BE071F" w14:textId="77777777" w:rsidR="006A0E1C" w:rsidRPr="00D13792" w:rsidRDefault="006A0E1C" w:rsidP="006A0E1C">
      <w:pPr>
        <w:pStyle w:val="ListParagraph"/>
        <w:spacing w:after="0" w:line="240" w:lineRule="auto"/>
        <w:jc w:val="both"/>
        <w:rPr>
          <w:rFonts w:ascii="Verdana" w:hAnsi="Verdana"/>
          <w:sz w:val="20"/>
          <w:szCs w:val="20"/>
          <w:lang w:val="es-CR"/>
        </w:rPr>
      </w:pPr>
    </w:p>
    <w:p w14:paraId="4223F007" w14:textId="77777777" w:rsidR="006A0E1C" w:rsidRPr="00D13792" w:rsidRDefault="006A0E1C" w:rsidP="006A0E1C">
      <w:pPr>
        <w:numPr>
          <w:ilvl w:val="0"/>
          <w:numId w:val="6"/>
        </w:numPr>
        <w:tabs>
          <w:tab w:val="left" w:pos="567"/>
        </w:tabs>
        <w:spacing w:line="240" w:lineRule="auto"/>
        <w:ind w:right="4"/>
        <w:rPr>
          <w:rFonts w:cs="Arial"/>
          <w:sz w:val="20"/>
          <w:szCs w:val="20"/>
        </w:rPr>
      </w:pPr>
      <w:r w:rsidRPr="00D13792">
        <w:rPr>
          <w:sz w:val="20"/>
          <w:szCs w:val="20"/>
        </w:rPr>
        <w:t>Durante el enfrentamiento armado interno, fueron registrados altos niveles de violencia en el municipio de Rabinal</w:t>
      </w:r>
      <w:r w:rsidRPr="00D13792">
        <w:rPr>
          <w:rStyle w:val="FootnoteReference"/>
          <w:sz w:val="20"/>
          <w:szCs w:val="20"/>
        </w:rPr>
        <w:footnoteReference w:id="79"/>
      </w:r>
      <w:r w:rsidRPr="00D13792">
        <w:rPr>
          <w:sz w:val="20"/>
          <w:szCs w:val="20"/>
        </w:rPr>
        <w:t>. Al respecto, la CEH determinó que, a pesar de que Rabinal no era un área de combate, la región era utilizada como paso para el abastecimiento logístico, reclutamiento de cuadros o retaguardia, y que debido a la ubicación geográfica del municipio, el Ejército consideró toda el área como estratégica, por lo que “debía ser sometida a control pleno” e “identificó a la población de la región como enemigo interno”. Entre los años 1981 y 1983 grupos militares o paramilitares asesinaron por lo menos un 20% de la población del municipio,</w:t>
      </w:r>
      <w:r w:rsidRPr="00D13792">
        <w:rPr>
          <w:sz w:val="20"/>
          <w:szCs w:val="20"/>
          <w:vertAlign w:val="superscript"/>
        </w:rPr>
        <w:t xml:space="preserve"> </w:t>
      </w:r>
      <w:r w:rsidRPr="00D13792">
        <w:rPr>
          <w:sz w:val="20"/>
          <w:szCs w:val="20"/>
        </w:rPr>
        <w:t>y el 99.8% de la víctimas registradas por la CEH eran miembros del pueblo maya achí, población civil no combatiente</w:t>
      </w:r>
      <w:r w:rsidRPr="00D13792">
        <w:rPr>
          <w:sz w:val="20"/>
          <w:szCs w:val="20"/>
          <w:vertAlign w:val="superscript"/>
        </w:rPr>
        <w:footnoteReference w:id="80"/>
      </w:r>
      <w:r w:rsidRPr="00D13792">
        <w:rPr>
          <w:sz w:val="20"/>
          <w:szCs w:val="20"/>
        </w:rPr>
        <w:t xml:space="preserve">. </w:t>
      </w:r>
    </w:p>
    <w:p w14:paraId="77BC061F" w14:textId="77777777" w:rsidR="006A0E1C" w:rsidRPr="00D13792" w:rsidRDefault="006A0E1C" w:rsidP="006A0E1C">
      <w:pPr>
        <w:spacing w:line="240" w:lineRule="auto"/>
        <w:rPr>
          <w:sz w:val="16"/>
          <w:szCs w:val="20"/>
        </w:rPr>
      </w:pPr>
    </w:p>
    <w:p w14:paraId="0343BB57" w14:textId="77777777" w:rsidR="006A0E1C" w:rsidRPr="00D13792" w:rsidRDefault="006A0E1C" w:rsidP="006A0E1C">
      <w:pPr>
        <w:pStyle w:val="Heading3"/>
        <w:ind w:left="0"/>
        <w:rPr>
          <w:bCs/>
          <w:i/>
          <w:iCs/>
          <w:lang w:val="es-CR"/>
        </w:rPr>
      </w:pPr>
      <w:bookmarkStart w:id="119" w:name="_Toc460938849"/>
      <w:bookmarkStart w:id="120" w:name="_Toc468443278"/>
      <w:bookmarkStart w:id="121" w:name="_Toc469670014"/>
      <w:r w:rsidRPr="00D13792">
        <w:rPr>
          <w:bCs/>
          <w:i/>
          <w:iCs/>
          <w:lang w:val="es-CR"/>
        </w:rPr>
        <w:t xml:space="preserve">B.1. </w:t>
      </w:r>
      <w:r w:rsidRPr="00D13792">
        <w:rPr>
          <w:i/>
          <w:lang w:val="es-CR"/>
        </w:rPr>
        <w:t>Ejecución de Juan Alvarado Grave, Mateo Grave y Pedro Depaz Ciprián, y desaparición de Pedro Siana entre el 23 y 24 de agosto de 1981</w:t>
      </w:r>
      <w:bookmarkEnd w:id="119"/>
      <w:bookmarkEnd w:id="120"/>
      <w:bookmarkEnd w:id="121"/>
    </w:p>
    <w:p w14:paraId="5876B79E" w14:textId="77777777" w:rsidR="006A0E1C" w:rsidRPr="00D13792" w:rsidRDefault="006A0E1C" w:rsidP="006A0E1C">
      <w:pPr>
        <w:spacing w:line="240" w:lineRule="auto"/>
        <w:rPr>
          <w:sz w:val="16"/>
          <w:szCs w:val="20"/>
        </w:rPr>
      </w:pPr>
    </w:p>
    <w:p w14:paraId="5D6F1F6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23 de agosto de 1981</w:t>
      </w:r>
      <w:r w:rsidRPr="00D13792">
        <w:rPr>
          <w:sz w:val="20"/>
          <w:szCs w:val="20"/>
        </w:rPr>
        <w:t xml:space="preserve"> el señor Juan Alvarado Grave fue ejecutado por un grupo de “judiciales”. Al enterarse de este hecho, su hermano Mateo Grave y los señores Pedro Depaz Ciprián (</w:t>
      </w:r>
      <w:r w:rsidRPr="00D13792">
        <w:rPr>
          <w:rFonts w:cs="Calibri"/>
          <w:sz w:val="20"/>
          <w:szCs w:val="20"/>
        </w:rPr>
        <w:t>o Pedro de Paz Cipriano o</w:t>
      </w:r>
      <w:r w:rsidRPr="00D13792">
        <w:rPr>
          <w:sz w:val="20"/>
          <w:szCs w:val="20"/>
        </w:rPr>
        <w:t xml:space="preserve"> </w:t>
      </w:r>
      <w:r w:rsidRPr="00D13792">
        <w:rPr>
          <w:rFonts w:cs="Calibri"/>
          <w:sz w:val="20"/>
          <w:szCs w:val="20"/>
        </w:rPr>
        <w:t>Pedro de Paz</w:t>
      </w:r>
      <w:r w:rsidRPr="00D13792">
        <w:rPr>
          <w:sz w:val="20"/>
          <w:szCs w:val="20"/>
        </w:rPr>
        <w:t xml:space="preserve"> </w:t>
      </w:r>
      <w:r w:rsidRPr="00D13792">
        <w:rPr>
          <w:rFonts w:cs="Calibri"/>
          <w:sz w:val="20"/>
          <w:szCs w:val="20"/>
        </w:rPr>
        <w:t>Cipriáno)</w:t>
      </w:r>
      <w:r w:rsidRPr="00D13792">
        <w:rPr>
          <w:sz w:val="20"/>
          <w:szCs w:val="20"/>
        </w:rPr>
        <w:t xml:space="preserve"> y Pedro Siana, de la </w:t>
      </w:r>
      <w:r w:rsidRPr="00D13792">
        <w:rPr>
          <w:rFonts w:cs="Arial"/>
          <w:sz w:val="20"/>
          <w:szCs w:val="20"/>
        </w:rPr>
        <w:t>aldea Xeabaj,</w:t>
      </w:r>
      <w:r w:rsidRPr="00D13792">
        <w:rPr>
          <w:sz w:val="20"/>
          <w:szCs w:val="20"/>
        </w:rPr>
        <w:t xml:space="preserve"> se dirigieron al Hospital de Salamá en Baja Verapaz con el fin de localizar el cadáver del señor Juan Alvarado. En el camino, los tres hombres fueron detenidos por un grupo de diez “judiciales” entre la cumbre de Rabinal y el municipio de San Miguel Chicaj. Los cuerpos sin vida de Mateo Grave y Pedro Depaz Ciprián fueron trasladados al Hospital de Salamá</w:t>
      </w:r>
      <w:r w:rsidRPr="00D13792">
        <w:rPr>
          <w:sz w:val="20"/>
          <w:szCs w:val="20"/>
          <w:vertAlign w:val="superscript"/>
        </w:rPr>
        <w:footnoteReference w:id="81"/>
      </w:r>
      <w:r w:rsidRPr="00D13792">
        <w:rPr>
          <w:sz w:val="20"/>
          <w:szCs w:val="20"/>
        </w:rPr>
        <w:t xml:space="preserve">. A la fecha se desconoce el paradero del cuerpo del señor Pedro Siana. </w:t>
      </w:r>
    </w:p>
    <w:p w14:paraId="0B13F488" w14:textId="77777777" w:rsidR="006A0E1C" w:rsidRPr="00D13792" w:rsidRDefault="006A0E1C" w:rsidP="006A0E1C">
      <w:pPr>
        <w:spacing w:line="240" w:lineRule="auto"/>
        <w:rPr>
          <w:sz w:val="20"/>
          <w:szCs w:val="20"/>
        </w:rPr>
      </w:pPr>
    </w:p>
    <w:p w14:paraId="1798B789"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Según declaraciones de la señora Juana García Depaz, su esposo Mateo Grave falleció el 24 de agosto de 1981 a causa de “heridas por proyectil de arma de fuego” y su cadáver fue enterrado en el cementerio de San Salamá en Baja Verapaz, por órdenes del Juez de Paz del municipio de San Miguel Chicaj. Al respecto, indicó que al percatarse de la ausencia de su esposo, se apersonó ante el Juez de Paz, la Policía Nacional y la oficina de correos de la cabecera municipal de Rabinal. Posteriormente, al enterarse que su esposo se encontraba en el Hospital de Salamá, identificado como “XXX”, se dirigió a dicho hospital y al llegar “fue amenazada y perseguida por tres judiciales quienes se encontraban en estado de ebriedad”.</w:t>
      </w:r>
    </w:p>
    <w:p w14:paraId="58C5CA1A" w14:textId="77777777" w:rsidR="006A0E1C" w:rsidRPr="00D13792" w:rsidRDefault="006A0E1C" w:rsidP="006A0E1C">
      <w:pPr>
        <w:spacing w:line="240" w:lineRule="auto"/>
        <w:rPr>
          <w:sz w:val="16"/>
          <w:szCs w:val="20"/>
        </w:rPr>
      </w:pPr>
    </w:p>
    <w:p w14:paraId="36E71E4A" w14:textId="77777777" w:rsidR="006A0E1C" w:rsidRPr="00D13792" w:rsidRDefault="006A0E1C" w:rsidP="006A0E1C">
      <w:pPr>
        <w:pStyle w:val="Heading3"/>
        <w:ind w:left="0"/>
        <w:rPr>
          <w:i/>
          <w:lang w:val="es-CR"/>
        </w:rPr>
      </w:pPr>
      <w:bookmarkStart w:id="122" w:name="_Toc460938850"/>
      <w:bookmarkStart w:id="123" w:name="_Toc468443279"/>
      <w:bookmarkStart w:id="124" w:name="_Toc469670015"/>
      <w:r w:rsidRPr="00D13792">
        <w:rPr>
          <w:bCs/>
          <w:i/>
          <w:iCs/>
          <w:lang w:val="es-CR"/>
        </w:rPr>
        <w:t xml:space="preserve">B.2. </w:t>
      </w:r>
      <w:r w:rsidRPr="00D13792">
        <w:rPr>
          <w:i/>
          <w:lang w:val="es-CR"/>
        </w:rPr>
        <w:t>Ejecución de tres miembros de la familia Alvarado y tres miembros de la familia Reyes el 1 de enero de 1982</w:t>
      </w:r>
      <w:bookmarkEnd w:id="122"/>
      <w:bookmarkEnd w:id="123"/>
      <w:bookmarkEnd w:id="124"/>
    </w:p>
    <w:p w14:paraId="5B81C45D" w14:textId="77777777" w:rsidR="006A0E1C" w:rsidRPr="00D13792" w:rsidRDefault="006A0E1C" w:rsidP="006A0E1C">
      <w:pPr>
        <w:tabs>
          <w:tab w:val="left" w:pos="2009"/>
        </w:tabs>
        <w:spacing w:line="240" w:lineRule="auto"/>
        <w:rPr>
          <w:rFonts w:eastAsia="Calibri" w:cs="Arial"/>
          <w:b/>
          <w:i/>
          <w:sz w:val="16"/>
          <w:szCs w:val="20"/>
        </w:rPr>
      </w:pPr>
    </w:p>
    <w:p w14:paraId="1C570891"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1 de enero de 1982</w:t>
      </w:r>
      <w:r w:rsidRPr="00D13792">
        <w:rPr>
          <w:sz w:val="20"/>
          <w:szCs w:val="20"/>
        </w:rPr>
        <w:t xml:space="preserve"> miembros del Ejército y de las patrullas de autodefensa civil (en adelante “las PAC”) en la aldea </w:t>
      </w:r>
      <w:r w:rsidRPr="00D13792">
        <w:rPr>
          <w:rFonts w:eastAsia="Arial" w:cs="Arial"/>
          <w:sz w:val="20"/>
          <w:szCs w:val="20"/>
        </w:rPr>
        <w:t>Xeabaj</w:t>
      </w:r>
      <w:r w:rsidRPr="00D13792">
        <w:rPr>
          <w:sz w:val="20"/>
          <w:szCs w:val="20"/>
        </w:rPr>
        <w:t xml:space="preserve"> ingresaron a la vivienda del señor Víctor Alvarado Valey (</w:t>
      </w:r>
      <w:r w:rsidRPr="00D13792">
        <w:rPr>
          <w:rFonts w:cs="Calibri"/>
          <w:sz w:val="20"/>
          <w:szCs w:val="20"/>
        </w:rPr>
        <w:t>o Victor Alvarado Valey)</w:t>
      </w:r>
      <w:r w:rsidRPr="00D13792">
        <w:rPr>
          <w:sz w:val="20"/>
          <w:szCs w:val="20"/>
        </w:rPr>
        <w:t xml:space="preserve"> y lo mataron junto a sus dos hijos, Ceferino (o </w:t>
      </w:r>
      <w:r w:rsidRPr="00D13792">
        <w:rPr>
          <w:rFonts w:eastAsia="Arial" w:cs="Arial"/>
          <w:sz w:val="20"/>
          <w:szCs w:val="20"/>
        </w:rPr>
        <w:t xml:space="preserve">Seferino) </w:t>
      </w:r>
      <w:r w:rsidRPr="00D13792">
        <w:rPr>
          <w:sz w:val="20"/>
          <w:szCs w:val="20"/>
        </w:rPr>
        <w:t xml:space="preserve">y Fidel, este de 17 años de edad, ambos Alvarado Sucup (o </w:t>
      </w:r>
      <w:r w:rsidRPr="00D13792">
        <w:rPr>
          <w:rFonts w:cs="Calibri"/>
          <w:sz w:val="20"/>
          <w:szCs w:val="20"/>
        </w:rPr>
        <w:t>Sucúp)</w:t>
      </w:r>
      <w:r w:rsidRPr="00D13792">
        <w:rPr>
          <w:sz w:val="20"/>
          <w:szCs w:val="20"/>
        </w:rPr>
        <w:t xml:space="preserve">. Ese mismo día, miembros del Ejército Nacional y de las PAC ingresaron a la vivienda del señor Domingo Reyes Juárez (o </w:t>
      </w:r>
      <w:r w:rsidRPr="00D13792">
        <w:rPr>
          <w:rFonts w:cs="Calibri"/>
          <w:sz w:val="20"/>
          <w:szCs w:val="20"/>
        </w:rPr>
        <w:t>Domingo Juárez Reyes)</w:t>
      </w:r>
      <w:r w:rsidRPr="00D13792">
        <w:rPr>
          <w:sz w:val="20"/>
          <w:szCs w:val="20"/>
        </w:rPr>
        <w:t xml:space="preserve"> en el caserío Toloxcoc y lo mataron junto a sus dos hijos, Andrés y Santiago, este de 15 años de edad, ambos Reyes Román. Sus cadáveres fueron encontrados a 300 metros de su vivienda con impactos de armas de fuego en sus cabezas, “con sus intestinos por fuera” y “con las manos atadas hacia atrás”. Los cuerpos de los seis hombres fueron enterrados por familiares y vecinos en una fosa ubicada en la montaña Cumatzá,</w:t>
      </w:r>
      <w:r w:rsidRPr="00D13792">
        <w:rPr>
          <w:rFonts w:eastAsia="Segoe UI" w:cs="Segoe UI"/>
          <w:sz w:val="20"/>
          <w:szCs w:val="20"/>
        </w:rPr>
        <w:t xml:space="preserve"> en la aldea Xeabaj</w:t>
      </w:r>
      <w:r w:rsidRPr="00D13792">
        <w:rPr>
          <w:sz w:val="20"/>
          <w:szCs w:val="20"/>
          <w:vertAlign w:val="superscript"/>
        </w:rPr>
        <w:footnoteReference w:id="82"/>
      </w:r>
      <w:r w:rsidRPr="00D13792">
        <w:rPr>
          <w:sz w:val="20"/>
          <w:szCs w:val="20"/>
        </w:rPr>
        <w:t>. En el año 2002 miembros de la Fundación de Antropología Forense de Guatemala (en adelante “la FAFG”) identificaron dicha fosa, la cual hacía parte de un cementerio clandestino, y mediante el reconocimiento judicial practicado en el año 2003, las osamentas fueron reconocidas por sus familiares</w:t>
      </w:r>
      <w:r w:rsidRPr="00D13792">
        <w:rPr>
          <w:sz w:val="20"/>
          <w:szCs w:val="20"/>
          <w:vertAlign w:val="superscript"/>
        </w:rPr>
        <w:footnoteReference w:id="83"/>
      </w:r>
      <w:r w:rsidRPr="00D13792">
        <w:rPr>
          <w:sz w:val="20"/>
          <w:szCs w:val="20"/>
        </w:rPr>
        <w:t>.</w:t>
      </w:r>
    </w:p>
    <w:p w14:paraId="51F061EA" w14:textId="77777777" w:rsidR="006A0E1C" w:rsidRPr="00D13792" w:rsidRDefault="006A0E1C" w:rsidP="006A0E1C">
      <w:pPr>
        <w:spacing w:line="240" w:lineRule="auto"/>
        <w:rPr>
          <w:sz w:val="16"/>
          <w:szCs w:val="20"/>
        </w:rPr>
      </w:pPr>
    </w:p>
    <w:p w14:paraId="0DE9338A" w14:textId="77777777" w:rsidR="006A0E1C" w:rsidRPr="00D13792" w:rsidRDefault="006A0E1C" w:rsidP="006A0E1C">
      <w:pPr>
        <w:pStyle w:val="Heading3"/>
        <w:ind w:left="0"/>
        <w:rPr>
          <w:i/>
          <w:lang w:val="es-CR"/>
        </w:rPr>
      </w:pPr>
      <w:bookmarkStart w:id="125" w:name="_Toc460938851"/>
      <w:bookmarkStart w:id="126" w:name="_Toc468443280"/>
      <w:bookmarkStart w:id="127" w:name="_Toc469670016"/>
      <w:r w:rsidRPr="00D13792">
        <w:rPr>
          <w:bCs/>
          <w:i/>
          <w:iCs/>
          <w:lang w:val="es-CR"/>
        </w:rPr>
        <w:t xml:space="preserve">B.3. </w:t>
      </w:r>
      <w:r w:rsidRPr="00D13792">
        <w:rPr>
          <w:i/>
          <w:lang w:val="es-CR"/>
        </w:rPr>
        <w:t>Detención de Ciriaco Galiego López y desaparición de Lorenzo Depaz Siprian desde el 8 de enero de 1982</w:t>
      </w:r>
      <w:bookmarkEnd w:id="125"/>
      <w:bookmarkEnd w:id="126"/>
      <w:bookmarkEnd w:id="127"/>
    </w:p>
    <w:p w14:paraId="466AED54" w14:textId="77777777" w:rsidR="006A0E1C" w:rsidRPr="00D13792" w:rsidRDefault="006A0E1C" w:rsidP="006A0E1C">
      <w:pPr>
        <w:spacing w:line="240" w:lineRule="auto"/>
        <w:rPr>
          <w:sz w:val="16"/>
          <w:szCs w:val="20"/>
        </w:rPr>
      </w:pPr>
    </w:p>
    <w:p w14:paraId="0F1F923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8 de enero de 1982,</w:t>
      </w:r>
      <w:r w:rsidRPr="00D13792">
        <w:rPr>
          <w:sz w:val="20"/>
          <w:szCs w:val="20"/>
        </w:rPr>
        <w:t xml:space="preserve"> aproximadamente a la </w:t>
      </w:r>
      <w:r w:rsidRPr="00D13792">
        <w:rPr>
          <w:iCs/>
          <w:sz w:val="20"/>
          <w:szCs w:val="20"/>
        </w:rPr>
        <w:t>1:00 de la madrugada</w:t>
      </w:r>
      <w:r w:rsidRPr="00D13792">
        <w:rPr>
          <w:sz w:val="20"/>
          <w:szCs w:val="20"/>
        </w:rPr>
        <w:t xml:space="preserve">, el señor Ciriaco Galiego López y su yerno </w:t>
      </w:r>
      <w:r w:rsidRPr="00D13792">
        <w:rPr>
          <w:rFonts w:eastAsia="Calibri"/>
          <w:sz w:val="20"/>
          <w:szCs w:val="20"/>
        </w:rPr>
        <w:t xml:space="preserve">Lorenzo Depaz Siprian (o Lorenzo Depaz Ciprian o </w:t>
      </w:r>
      <w:r w:rsidRPr="00D13792">
        <w:rPr>
          <w:sz w:val="20"/>
          <w:szCs w:val="20"/>
        </w:rPr>
        <w:t xml:space="preserve">Florencio Depaz </w:t>
      </w:r>
      <w:r w:rsidRPr="00D13792">
        <w:rPr>
          <w:sz w:val="20"/>
          <w:szCs w:val="20"/>
        </w:rPr>
        <w:lastRenderedPageBreak/>
        <w:t>Cipriano) salieron de su vivienda ubicada en la aldea Chichupac y se dirigieron a la cabecera del municipio de Rabinal con el fin de vender un toro. En el camino fueron interceptados por miembros del Ejército Nacional y de las PAC, quienes les quitaron el animal y los condujeron a la cárcel localizada en el cabildo municipal. El señor Ciriaco Galiego fue puesto en libertad por la noche, mientras que a la fecha se desconoce el paradero del señor Lorenzo Depaz</w:t>
      </w:r>
      <w:r w:rsidRPr="00D13792">
        <w:rPr>
          <w:rStyle w:val="FootnoteReference"/>
          <w:sz w:val="20"/>
          <w:szCs w:val="20"/>
        </w:rPr>
        <w:footnoteReference w:id="84"/>
      </w:r>
      <w:r w:rsidRPr="00D13792">
        <w:rPr>
          <w:sz w:val="20"/>
          <w:szCs w:val="20"/>
        </w:rPr>
        <w:t>.</w:t>
      </w:r>
    </w:p>
    <w:p w14:paraId="49386A78" w14:textId="77777777" w:rsidR="006A0E1C" w:rsidRPr="00D13792" w:rsidRDefault="006A0E1C" w:rsidP="006A0E1C">
      <w:pPr>
        <w:spacing w:line="240" w:lineRule="auto"/>
        <w:rPr>
          <w:sz w:val="16"/>
          <w:szCs w:val="20"/>
        </w:rPr>
      </w:pPr>
    </w:p>
    <w:p w14:paraId="1459636D" w14:textId="77777777" w:rsidR="006A0E1C" w:rsidRPr="00D13792" w:rsidRDefault="006A0E1C" w:rsidP="006A0E1C">
      <w:pPr>
        <w:pStyle w:val="Heading3"/>
        <w:ind w:left="0"/>
        <w:rPr>
          <w:i/>
          <w:lang w:val="es-CR"/>
        </w:rPr>
      </w:pPr>
      <w:bookmarkStart w:id="128" w:name="_Toc460938852"/>
      <w:bookmarkStart w:id="129" w:name="_Toc468443281"/>
      <w:bookmarkStart w:id="130" w:name="_Toc469670017"/>
      <w:r w:rsidRPr="00D13792">
        <w:rPr>
          <w:i/>
          <w:lang w:val="es-CR"/>
        </w:rPr>
        <w:t>B.4. Masacre de la Clínica de la aldea Chichupac el 8 de enero de 1982</w:t>
      </w:r>
      <w:bookmarkEnd w:id="128"/>
      <w:bookmarkEnd w:id="129"/>
      <w:bookmarkEnd w:id="130"/>
    </w:p>
    <w:p w14:paraId="4447FA4E" w14:textId="77777777" w:rsidR="006A0E1C" w:rsidRPr="00D13792" w:rsidRDefault="006A0E1C" w:rsidP="006A0E1C">
      <w:pPr>
        <w:spacing w:line="240" w:lineRule="auto"/>
        <w:rPr>
          <w:sz w:val="16"/>
          <w:szCs w:val="20"/>
        </w:rPr>
      </w:pPr>
    </w:p>
    <w:p w14:paraId="185A5489"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Los habitantes de la aldea Chichupac y de comunidades vecinas fueron convocados para asistir el </w:t>
      </w:r>
      <w:r w:rsidRPr="00D13792">
        <w:rPr>
          <w:bCs/>
          <w:sz w:val="20"/>
          <w:szCs w:val="20"/>
        </w:rPr>
        <w:t>8 de enero de 1982</w:t>
      </w:r>
      <w:r w:rsidRPr="00D13792">
        <w:rPr>
          <w:sz w:val="20"/>
          <w:szCs w:val="20"/>
        </w:rPr>
        <w:t xml:space="preserve"> a una reunión en la clínica del pueblo. Se les informó que ahí iban a recibir regalos. Ese día, miembros del Ejército de Guatemala asignados al destacamento de Rabinal, judiciales y comisionados militares reunieron a la comunidad. Los miembros de las PAC adornaron el camino que lleva a la clínica y marimbas tocaban para crear un ambiente de fiesta. Al terminar de repartir juguetes a las niñas y niños, los militares dieron la orden a las mujeres de retirarse a sus casas y llevarse a estos.</w:t>
      </w:r>
    </w:p>
    <w:p w14:paraId="5C69C936" w14:textId="77777777" w:rsidR="006A0E1C" w:rsidRPr="00D13792" w:rsidRDefault="006A0E1C" w:rsidP="006A0E1C">
      <w:pPr>
        <w:spacing w:line="240" w:lineRule="auto"/>
        <w:rPr>
          <w:sz w:val="20"/>
          <w:szCs w:val="20"/>
        </w:rPr>
      </w:pPr>
    </w:p>
    <w:p w14:paraId="6158F45B"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Los militares llamaron a 32 hombres vecinos de la aldea, siguiendo un listado, y una vez separados del grupo, los encerraron en la clínica de la aldea. Posteriormente, los 32 vecinos fueron obligados por miembros del Ejército a caminar con las manos amarradas hacia una cumbre cercana a la clínica. Algunos murieron estrangulados y otros a causa de disparos por armas de fuego. Los cadáveres fueron enterrados en dos fosas. Al día siguiente, hombres miembros de la comunidad, forzados a participar en las PAC, fueron obligados por los militares a lavar la clínica, la cual se encontraba llena de sangre y pedazos de carne, entre ellos, orejas, narices y lenguas</w:t>
      </w:r>
      <w:r w:rsidRPr="00D13792">
        <w:rPr>
          <w:sz w:val="20"/>
          <w:szCs w:val="20"/>
          <w:vertAlign w:val="superscript"/>
        </w:rPr>
        <w:footnoteReference w:id="85"/>
      </w:r>
      <w:r w:rsidRPr="00D13792">
        <w:rPr>
          <w:sz w:val="20"/>
          <w:szCs w:val="20"/>
        </w:rPr>
        <w:t>. Días después, familiares y vecinos encontraron las dos fosas, y al ver que estas no eran suficientemente profundas, cavaron una tercera fosa en la cual los enterraron</w:t>
      </w:r>
      <w:r w:rsidRPr="00D13792">
        <w:rPr>
          <w:sz w:val="20"/>
          <w:szCs w:val="20"/>
          <w:vertAlign w:val="superscript"/>
        </w:rPr>
        <w:footnoteReference w:id="86"/>
      </w:r>
      <w:r w:rsidRPr="00D13792">
        <w:rPr>
          <w:sz w:val="20"/>
          <w:szCs w:val="20"/>
        </w:rPr>
        <w:t xml:space="preserve">. </w:t>
      </w:r>
    </w:p>
    <w:p w14:paraId="2CA33BCC" w14:textId="77777777" w:rsidR="006A0E1C" w:rsidRPr="00D13792" w:rsidRDefault="006A0E1C" w:rsidP="006A0E1C">
      <w:pPr>
        <w:pStyle w:val="ListParagraph"/>
        <w:spacing w:after="0" w:line="240" w:lineRule="auto"/>
        <w:jc w:val="both"/>
        <w:rPr>
          <w:rFonts w:ascii="Verdana" w:hAnsi="Verdana"/>
          <w:sz w:val="20"/>
          <w:szCs w:val="20"/>
          <w:lang w:val="es-CR"/>
        </w:rPr>
      </w:pPr>
    </w:p>
    <w:p w14:paraId="0D39DACD"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el año 1993 el Equipo de Antropología Forense de Guatemala (en adelante “EAFG”) identificó tres fosas/sitios en donde se exhumaron restos óseos, prendas de vestir, artículos personales y casquillos de proyectil de arma de fuego. </w:t>
      </w:r>
      <w:r w:rsidRPr="00D13792">
        <w:rPr>
          <w:rFonts w:cs="Arial"/>
          <w:sz w:val="20"/>
          <w:szCs w:val="20"/>
        </w:rPr>
        <w:t>Según los análisis forenses realizados, se logró establecer un número mínimo de 30 individuos. De estos, el número mínimo de individuos enterrados en los sitios I y III fue de 20, y en el sitio II se hizo el hallazgo de 10 osamentas completas. A su vez, se logró la identificación de las siguientes seis personas:</w:t>
      </w:r>
      <w:r w:rsidRPr="00D13792">
        <w:rPr>
          <w:sz w:val="20"/>
          <w:szCs w:val="20"/>
        </w:rPr>
        <w:t xml:space="preserve"> Domingo Cahuec Sic, Víctor Juárez Pangán, Cruz Sic Cuxum, Patrocinio Chen Galiego, Agustín Juárez Ixpancoc y Pedro Galiego López. Al respecto, en sus conclusiones, el EAFG sostuvo que: “[l]os análisis </w:t>
      </w:r>
      <w:r w:rsidRPr="00D13792">
        <w:rPr>
          <w:rFonts w:cs="Arial"/>
          <w:iCs/>
          <w:sz w:val="20"/>
          <w:szCs w:val="20"/>
        </w:rPr>
        <w:t xml:space="preserve">de </w:t>
      </w:r>
      <w:r w:rsidRPr="00D13792">
        <w:rPr>
          <w:sz w:val="20"/>
          <w:szCs w:val="20"/>
        </w:rPr>
        <w:t xml:space="preserve">laboratorio indican que las personas murieron violentamente, muestra de ello son </w:t>
      </w:r>
      <w:r w:rsidRPr="00D13792">
        <w:rPr>
          <w:rFonts w:eastAsia="HiddenHorzOCR" w:cs="HiddenHorzOCR"/>
          <w:sz w:val="20"/>
          <w:szCs w:val="20"/>
        </w:rPr>
        <w:t xml:space="preserve">las </w:t>
      </w:r>
      <w:r w:rsidRPr="00D13792">
        <w:rPr>
          <w:sz w:val="20"/>
          <w:szCs w:val="20"/>
        </w:rPr>
        <w:t xml:space="preserve">sogas aún atadas al cuello, manos atadas a </w:t>
      </w:r>
      <w:r w:rsidRPr="00D13792">
        <w:rPr>
          <w:rFonts w:cs="Arial"/>
          <w:iCs/>
          <w:sz w:val="20"/>
          <w:szCs w:val="20"/>
        </w:rPr>
        <w:t xml:space="preserve">la </w:t>
      </w:r>
      <w:r w:rsidRPr="00D13792">
        <w:rPr>
          <w:sz w:val="20"/>
          <w:szCs w:val="20"/>
        </w:rPr>
        <w:t xml:space="preserve">espalda, tiros de gracia, fracturas en diferentes partes del cuerpo, </w:t>
      </w:r>
      <w:r w:rsidRPr="00D13792">
        <w:rPr>
          <w:iCs/>
          <w:sz w:val="20"/>
          <w:szCs w:val="20"/>
        </w:rPr>
        <w:t xml:space="preserve">etc., </w:t>
      </w:r>
      <w:r w:rsidRPr="00D13792">
        <w:rPr>
          <w:sz w:val="20"/>
          <w:szCs w:val="20"/>
        </w:rPr>
        <w:t xml:space="preserve">que presentan algunas osamentas”, y que “[l]a evidencia sugiere que el sitio II fue cavado varios días después que los </w:t>
      </w:r>
      <w:r w:rsidRPr="00D13792">
        <w:rPr>
          <w:iCs/>
          <w:sz w:val="20"/>
          <w:szCs w:val="20"/>
        </w:rPr>
        <w:t xml:space="preserve">sitios </w:t>
      </w:r>
      <w:r w:rsidRPr="00D13792">
        <w:rPr>
          <w:sz w:val="20"/>
          <w:szCs w:val="20"/>
        </w:rPr>
        <w:t xml:space="preserve">I </w:t>
      </w:r>
      <w:r w:rsidRPr="00D13792">
        <w:rPr>
          <w:rFonts w:cs="Arial"/>
          <w:sz w:val="20"/>
          <w:szCs w:val="20"/>
        </w:rPr>
        <w:t xml:space="preserve">y </w:t>
      </w:r>
      <w:r w:rsidRPr="00D13792">
        <w:rPr>
          <w:sz w:val="20"/>
          <w:szCs w:val="20"/>
        </w:rPr>
        <w:t xml:space="preserve">III, </w:t>
      </w:r>
      <w:r w:rsidRPr="00D13792">
        <w:rPr>
          <w:rFonts w:cs="Arial"/>
          <w:iCs/>
          <w:sz w:val="20"/>
          <w:szCs w:val="20"/>
        </w:rPr>
        <w:t xml:space="preserve">y </w:t>
      </w:r>
      <w:r w:rsidRPr="00D13792">
        <w:rPr>
          <w:sz w:val="20"/>
          <w:szCs w:val="20"/>
        </w:rPr>
        <w:t xml:space="preserve">en él se depositaron cadáveres con huellas de haber estado parcialmente expuestos en superficie, </w:t>
      </w:r>
      <w:r w:rsidRPr="00D13792">
        <w:rPr>
          <w:rFonts w:cs="Arial"/>
          <w:iCs/>
          <w:sz w:val="20"/>
          <w:szCs w:val="20"/>
        </w:rPr>
        <w:t xml:space="preserve">y </w:t>
      </w:r>
      <w:r w:rsidRPr="00D13792">
        <w:rPr>
          <w:sz w:val="20"/>
          <w:szCs w:val="20"/>
        </w:rPr>
        <w:t xml:space="preserve">por </w:t>
      </w:r>
      <w:r w:rsidRPr="00D13792">
        <w:rPr>
          <w:sz w:val="20"/>
          <w:szCs w:val="20"/>
        </w:rPr>
        <w:lastRenderedPageBreak/>
        <w:t>esta razón, en algunos casos se pudo observar señales ocasionadas por dientes de animales”</w:t>
      </w:r>
      <w:r w:rsidRPr="00D13792">
        <w:rPr>
          <w:rStyle w:val="FootnoteReference"/>
          <w:sz w:val="20"/>
          <w:szCs w:val="20"/>
        </w:rPr>
        <w:footnoteReference w:id="87"/>
      </w:r>
      <w:r w:rsidRPr="00D13792">
        <w:rPr>
          <w:sz w:val="20"/>
          <w:szCs w:val="20"/>
        </w:rPr>
        <w:t>. En definitiva, los hallazgos del EAFG del año 1993 son consistentes con el relato de los hechos.</w:t>
      </w:r>
    </w:p>
    <w:p w14:paraId="7F8BAE34" w14:textId="77777777" w:rsidR="006A0E1C" w:rsidRPr="00D13792" w:rsidRDefault="006A0E1C" w:rsidP="006A0E1C">
      <w:pPr>
        <w:spacing w:line="240" w:lineRule="auto"/>
        <w:rPr>
          <w:sz w:val="20"/>
          <w:szCs w:val="20"/>
        </w:rPr>
      </w:pPr>
    </w:p>
    <w:p w14:paraId="2CA708E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Las 32 presuntas víctimas de esta masacre fueron los señores</w:t>
      </w:r>
      <w:r w:rsidRPr="00D13792">
        <w:rPr>
          <w:sz w:val="20"/>
          <w:szCs w:val="20"/>
          <w:vertAlign w:val="superscript"/>
        </w:rPr>
        <w:footnoteReference w:id="88"/>
      </w:r>
      <w:r w:rsidRPr="00D13792">
        <w:rPr>
          <w:sz w:val="20"/>
          <w:szCs w:val="20"/>
        </w:rPr>
        <w:t xml:space="preserve">: Víctor Juárez Pangán </w:t>
      </w:r>
      <w:r w:rsidRPr="00D13792">
        <w:rPr>
          <w:rFonts w:cs="Calibri"/>
          <w:sz w:val="20"/>
          <w:szCs w:val="20"/>
        </w:rPr>
        <w:t>o Víctor Juárez Pancán</w:t>
      </w:r>
      <w:r w:rsidRPr="00D13792">
        <w:rPr>
          <w:sz w:val="20"/>
          <w:szCs w:val="20"/>
        </w:rPr>
        <w:t xml:space="preserve">; Clemente Juárez lxpancoc; Cruz Sic Cuxum </w:t>
      </w:r>
      <w:r w:rsidRPr="00D13792">
        <w:rPr>
          <w:rFonts w:cs="Calibri"/>
          <w:sz w:val="20"/>
          <w:szCs w:val="20"/>
        </w:rPr>
        <w:t>o Cruz Sic Cuxún</w:t>
      </w:r>
      <w:r w:rsidRPr="00D13792">
        <w:rPr>
          <w:sz w:val="20"/>
          <w:szCs w:val="20"/>
        </w:rPr>
        <w:t xml:space="preserve">; Pedro Sic Jerónimo; Gregorio Garniga Valey o </w:t>
      </w:r>
      <w:r w:rsidRPr="00D13792">
        <w:rPr>
          <w:rFonts w:eastAsia="Arial" w:cs="Arial"/>
          <w:sz w:val="20"/>
          <w:szCs w:val="20"/>
        </w:rPr>
        <w:t>Gregorio Valey</w:t>
      </w:r>
      <w:r w:rsidRPr="00D13792">
        <w:rPr>
          <w:sz w:val="20"/>
          <w:szCs w:val="20"/>
        </w:rPr>
        <w:t xml:space="preserve">; Timoteo Sic Cujá o </w:t>
      </w:r>
      <w:r w:rsidRPr="00D13792">
        <w:rPr>
          <w:rFonts w:eastAsia="Arial" w:cs="Arial"/>
          <w:sz w:val="20"/>
          <w:szCs w:val="20"/>
        </w:rPr>
        <w:t>Mateo</w:t>
      </w:r>
      <w:r w:rsidRPr="00D13792">
        <w:rPr>
          <w:sz w:val="20"/>
          <w:szCs w:val="20"/>
          <w:vertAlign w:val="superscript"/>
        </w:rPr>
        <w:t xml:space="preserve"> </w:t>
      </w:r>
      <w:r w:rsidRPr="00D13792">
        <w:rPr>
          <w:sz w:val="20"/>
          <w:szCs w:val="20"/>
        </w:rPr>
        <w:t>Sic Cujá; Roberto Galiego Chen</w:t>
      </w:r>
      <w:r w:rsidRPr="00D13792">
        <w:rPr>
          <w:rFonts w:cs="Calibri"/>
          <w:sz w:val="20"/>
          <w:szCs w:val="20"/>
        </w:rPr>
        <w:t>;</w:t>
      </w:r>
      <w:r w:rsidRPr="00D13792">
        <w:rPr>
          <w:sz w:val="20"/>
          <w:szCs w:val="20"/>
        </w:rPr>
        <w:t xml:space="preserve"> Antonio Alvarado González; Alfonso Cruz Juárez; Domingo Cahuec Sic o Domingo Cahuec Sic; Santiago Alvarado Xitumul; Agustín Juárez lxpancoc; Teodoro González Xitumul; Eulogio Morales Alvarado; Luciano González o Luciano González Sis; Apolinario Juárez Pérez; Alberto Juárez Pérez; Evaristo Depaz Siana o Evaristo Siana; Pedro Tum o Pedro Pérez Ampérez; Emigdio Siana lxtecoc o </w:t>
      </w:r>
      <w:r w:rsidRPr="00D13792">
        <w:rPr>
          <w:rFonts w:eastAsia="Arial" w:cs="Arial"/>
          <w:sz w:val="20"/>
          <w:szCs w:val="20"/>
        </w:rPr>
        <w:t>Emilio</w:t>
      </w:r>
      <w:r w:rsidRPr="00D13792">
        <w:rPr>
          <w:sz w:val="20"/>
          <w:szCs w:val="20"/>
          <w:vertAlign w:val="superscript"/>
        </w:rPr>
        <w:t xml:space="preserve"> </w:t>
      </w:r>
      <w:r w:rsidRPr="00D13792">
        <w:rPr>
          <w:sz w:val="20"/>
          <w:szCs w:val="20"/>
        </w:rPr>
        <w:t xml:space="preserve">Siana lxtecoc; Pedro Galiego López; Demetrio Chen Alvarado; Pedro Galiego Mendoza; Camilo Juárez Valey; Julián Garniga o Julián Garniga López; Benito Juárez lxpancoc; Francisco Depaz; Maximiliano Sis Valey o Maximiliano Sis Valin; Vicente Sic Osorio; </w:t>
      </w:r>
      <w:r w:rsidRPr="00D13792">
        <w:rPr>
          <w:rFonts w:cs="Calibri"/>
          <w:sz w:val="20"/>
          <w:szCs w:val="20"/>
        </w:rPr>
        <w:t>Patrocinio Galiego o</w:t>
      </w:r>
      <w:r w:rsidRPr="00D13792">
        <w:rPr>
          <w:sz w:val="20"/>
          <w:szCs w:val="20"/>
        </w:rPr>
        <w:t xml:space="preserve"> Patrocinio Chen Galiego o Patrocinio Chen Coaliego; Félix Alvarado Xitumul, y Demetrio Cahuec o Demetrio Cahuec Jerónimo o </w:t>
      </w:r>
      <w:r w:rsidRPr="00D13792">
        <w:rPr>
          <w:rFonts w:cs="Calibri"/>
          <w:sz w:val="20"/>
          <w:szCs w:val="20"/>
        </w:rPr>
        <w:t>José Demetrio Cahuec Jerónimo</w:t>
      </w:r>
      <w:r w:rsidRPr="00D13792">
        <w:rPr>
          <w:sz w:val="20"/>
          <w:szCs w:val="20"/>
        </w:rPr>
        <w:t>.</w:t>
      </w:r>
    </w:p>
    <w:p w14:paraId="1F0CBA05" w14:textId="77777777" w:rsidR="006A0E1C" w:rsidRPr="00D13792" w:rsidRDefault="006A0E1C" w:rsidP="006A0E1C">
      <w:pPr>
        <w:pStyle w:val="Heading3"/>
        <w:ind w:left="0"/>
        <w:rPr>
          <w:lang w:val="es-CR"/>
        </w:rPr>
      </w:pPr>
    </w:p>
    <w:p w14:paraId="46490538" w14:textId="77777777" w:rsidR="006A0E1C" w:rsidRPr="00D13792" w:rsidRDefault="006A0E1C" w:rsidP="006A0E1C">
      <w:pPr>
        <w:pStyle w:val="Heading3"/>
        <w:ind w:left="0"/>
        <w:rPr>
          <w:bCs/>
          <w:i/>
          <w:iCs/>
          <w:lang w:val="es-CR"/>
        </w:rPr>
      </w:pPr>
      <w:bookmarkStart w:id="131" w:name="_Toc460938853"/>
      <w:bookmarkStart w:id="132" w:name="_Toc468443282"/>
      <w:bookmarkStart w:id="133" w:name="_Toc469670018"/>
      <w:r w:rsidRPr="00D13792">
        <w:rPr>
          <w:bCs/>
          <w:i/>
          <w:iCs/>
          <w:lang w:val="es-CR"/>
        </w:rPr>
        <w:t xml:space="preserve">B.5. Violación sexual de </w:t>
      </w:r>
      <w:r w:rsidRPr="00D13792">
        <w:rPr>
          <w:rFonts w:cs="Arial"/>
          <w:i/>
          <w:lang w:val="es-CR"/>
        </w:rPr>
        <w:t>Máxima Emiliana García Valey el 8 de enero de 1982</w:t>
      </w:r>
      <w:bookmarkEnd w:id="131"/>
      <w:bookmarkEnd w:id="132"/>
      <w:bookmarkEnd w:id="133"/>
    </w:p>
    <w:p w14:paraId="7A5A000B" w14:textId="77777777" w:rsidR="006A0E1C" w:rsidRPr="00D13792" w:rsidRDefault="006A0E1C" w:rsidP="006A0E1C">
      <w:pPr>
        <w:spacing w:line="240" w:lineRule="auto"/>
        <w:rPr>
          <w:rFonts w:cs="Arial"/>
          <w:i/>
          <w:sz w:val="16"/>
          <w:szCs w:val="20"/>
        </w:rPr>
      </w:pPr>
    </w:p>
    <w:p w14:paraId="69C0A9DE"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cs="Arial"/>
          <w:sz w:val="20"/>
          <w:szCs w:val="20"/>
        </w:rPr>
        <w:t xml:space="preserve">El 8 de enero de 1982, mientras se desarrollaba la reunión en la clínica de la aldea Chichupac, Máxima Emiliana García Valey, de 19 años de edad, regresó a su vivienda a fin de llevar agua y comida a su esposo y su suegra. Una vez que llegó a la casa, se encontró con un grupo de soldados quienes la agarraron violentamente y le preguntaron dónde vivían unas personas cuyos nombres llevaban anotados en la mano, entre los cuales estaba el nombre de “[su] padrastro[,] un hijo de [su] padrastro y un yerno”. Ella contestó que no los conocía porque “no era de ahí”. Posteriormente, </w:t>
      </w:r>
      <w:r w:rsidRPr="00D13792">
        <w:rPr>
          <w:sz w:val="20"/>
          <w:szCs w:val="20"/>
        </w:rPr>
        <w:t xml:space="preserve">uno de los soldados le obligó a que se quitara la ropa y en fila “muchos soldados” la violaron, dejándola tan golpeada que “no podía caminar”, ya que le “dolía todo el cuerpo”. Cuando volvió a </w:t>
      </w:r>
      <w:r w:rsidRPr="00D13792">
        <w:rPr>
          <w:rFonts w:cs="Calibri"/>
          <w:sz w:val="20"/>
          <w:szCs w:val="20"/>
        </w:rPr>
        <w:t>la clínica no comentó nada porque se había quedado muda debido a lo sucedido.</w:t>
      </w:r>
      <w:r w:rsidRPr="00D13792">
        <w:rPr>
          <w:sz w:val="20"/>
          <w:szCs w:val="20"/>
        </w:rPr>
        <w:t xml:space="preserve"> Al momento de estos hechos, </w:t>
      </w:r>
      <w:r w:rsidRPr="00D13792">
        <w:rPr>
          <w:rFonts w:cs="Arial"/>
          <w:sz w:val="20"/>
          <w:szCs w:val="20"/>
        </w:rPr>
        <w:t xml:space="preserve">Máxima García </w:t>
      </w:r>
      <w:r w:rsidRPr="00D13792">
        <w:rPr>
          <w:sz w:val="20"/>
          <w:szCs w:val="20"/>
        </w:rPr>
        <w:t>tenía entre seis y ocho meses de embarazo. A los siguientes meses nació su hijo, quien padeció de problemas de salud y convulsiones desde su nacimiento y murió antes de los cuatro años</w:t>
      </w:r>
      <w:r w:rsidRPr="00D13792">
        <w:rPr>
          <w:rStyle w:val="FootnoteReference"/>
          <w:sz w:val="20"/>
          <w:szCs w:val="20"/>
        </w:rPr>
        <w:footnoteReference w:id="89"/>
      </w:r>
      <w:r w:rsidRPr="00D13792">
        <w:rPr>
          <w:sz w:val="20"/>
          <w:szCs w:val="20"/>
        </w:rPr>
        <w:t>.</w:t>
      </w:r>
    </w:p>
    <w:p w14:paraId="1F419DDD" w14:textId="77777777" w:rsidR="006A0E1C" w:rsidRPr="00D13792" w:rsidRDefault="006A0E1C" w:rsidP="006A0E1C">
      <w:pPr>
        <w:spacing w:line="240" w:lineRule="auto"/>
        <w:rPr>
          <w:sz w:val="16"/>
          <w:szCs w:val="20"/>
        </w:rPr>
      </w:pPr>
    </w:p>
    <w:p w14:paraId="3351F68F" w14:textId="77777777" w:rsidR="006A0E1C" w:rsidRPr="00D13792" w:rsidRDefault="006A0E1C" w:rsidP="006A0E1C">
      <w:pPr>
        <w:pStyle w:val="Heading3"/>
        <w:ind w:left="0"/>
        <w:rPr>
          <w:i/>
          <w:lang w:val="es-CR"/>
        </w:rPr>
      </w:pPr>
      <w:bookmarkStart w:id="134" w:name="_Toc460938854"/>
      <w:bookmarkStart w:id="135" w:name="_Toc468443283"/>
      <w:bookmarkStart w:id="136" w:name="_Toc469670019"/>
      <w:r w:rsidRPr="00D13792">
        <w:rPr>
          <w:bCs/>
          <w:i/>
          <w:lang w:val="es-CR"/>
        </w:rPr>
        <w:t>B.6. Violencia imperante en la zona, desplazamiento de los habitantes</w:t>
      </w:r>
      <w:r w:rsidRPr="00D13792">
        <w:rPr>
          <w:i/>
          <w:lang w:val="es-CR"/>
        </w:rPr>
        <w:t>, destrucción de las comunidades y la aldea modelo o la colonia en Chichupac</w:t>
      </w:r>
      <w:bookmarkEnd w:id="134"/>
      <w:bookmarkEnd w:id="135"/>
      <w:bookmarkEnd w:id="136"/>
    </w:p>
    <w:p w14:paraId="6A6CAC88" w14:textId="77777777" w:rsidR="006A0E1C" w:rsidRPr="00D13792" w:rsidRDefault="006A0E1C" w:rsidP="006A0E1C">
      <w:pPr>
        <w:spacing w:line="240" w:lineRule="auto"/>
        <w:rPr>
          <w:sz w:val="16"/>
          <w:szCs w:val="20"/>
        </w:rPr>
      </w:pPr>
    </w:p>
    <w:p w14:paraId="6623BC6A"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cs="Arial"/>
          <w:sz w:val="20"/>
          <w:szCs w:val="20"/>
        </w:rPr>
        <w:t>El día 8 de enero de 1982 en que se realizó la masacre</w:t>
      </w:r>
      <w:r w:rsidRPr="00D13792">
        <w:rPr>
          <w:bCs/>
          <w:sz w:val="20"/>
          <w:szCs w:val="20"/>
        </w:rPr>
        <w:t xml:space="preserve"> de la clínica en la aldea Chichupac (</w:t>
      </w:r>
      <w:r w:rsidRPr="00D13792">
        <w:rPr>
          <w:bCs/>
          <w:i/>
          <w:sz w:val="20"/>
          <w:szCs w:val="20"/>
        </w:rPr>
        <w:t>supra</w:t>
      </w:r>
      <w:r w:rsidRPr="00D13792">
        <w:rPr>
          <w:bCs/>
          <w:sz w:val="20"/>
          <w:szCs w:val="20"/>
        </w:rPr>
        <w:t xml:space="preserve"> párrs. 89 a 92),</w:t>
      </w:r>
      <w:r w:rsidRPr="00D13792">
        <w:rPr>
          <w:sz w:val="20"/>
          <w:szCs w:val="20"/>
        </w:rPr>
        <w:t xml:space="preserve"> miembros del Ejército también se llevaron animales de la comunidad</w:t>
      </w:r>
      <w:r w:rsidRPr="00D13792">
        <w:rPr>
          <w:rStyle w:val="FootnoteReference"/>
          <w:sz w:val="20"/>
          <w:szCs w:val="20"/>
        </w:rPr>
        <w:footnoteReference w:id="90"/>
      </w:r>
      <w:r w:rsidRPr="00D13792">
        <w:rPr>
          <w:iCs/>
          <w:sz w:val="20"/>
          <w:szCs w:val="20"/>
        </w:rPr>
        <w:t>. A su vez, d</w:t>
      </w:r>
      <w:r w:rsidRPr="00D13792">
        <w:rPr>
          <w:bCs/>
          <w:sz w:val="20"/>
          <w:szCs w:val="20"/>
        </w:rPr>
        <w:t xml:space="preserve">ebido al temor que generó en la población </w:t>
      </w:r>
      <w:r w:rsidRPr="00D13792">
        <w:rPr>
          <w:iCs/>
          <w:sz w:val="20"/>
          <w:szCs w:val="20"/>
        </w:rPr>
        <w:t xml:space="preserve">dichos hechos, miembros de la aldea Chichupac y comunidades vecinas, en particular hombres, huyeron hacia las montañas. Asimismo, los militares continuaron llegando a las aldeas y comunidades de Chichupac, Xeabaj, Chijom, Coyojá, El Chol, El Apazote, Chirrum, El Tablón y Toloxcoc para intimidar a las personas mediante disparos, buscar y matar a los hombres de la comunidad, matar a las </w:t>
      </w:r>
      <w:r w:rsidRPr="00D13792">
        <w:rPr>
          <w:iCs/>
          <w:sz w:val="20"/>
          <w:szCs w:val="20"/>
        </w:rPr>
        <w:lastRenderedPageBreak/>
        <w:t>mujeres cuando ya no encontraron hombres y amenazar de muerte a la población que permanecía en las comunidades para forzarlos a abandonar sus hogares</w:t>
      </w:r>
      <w:r w:rsidRPr="00D13792">
        <w:rPr>
          <w:rStyle w:val="FootnoteReference"/>
          <w:iCs/>
          <w:sz w:val="20"/>
          <w:szCs w:val="20"/>
        </w:rPr>
        <w:footnoteReference w:id="91"/>
      </w:r>
      <w:r w:rsidRPr="00D13792">
        <w:rPr>
          <w:iCs/>
          <w:sz w:val="20"/>
          <w:szCs w:val="20"/>
        </w:rPr>
        <w:t xml:space="preserve">. En el marco de las incursiones que realizaron en </w:t>
      </w:r>
      <w:r w:rsidRPr="00D13792">
        <w:rPr>
          <w:sz w:val="20"/>
          <w:szCs w:val="20"/>
        </w:rPr>
        <w:t xml:space="preserve">las </w:t>
      </w:r>
      <w:r w:rsidRPr="00D13792">
        <w:rPr>
          <w:iCs/>
          <w:sz w:val="20"/>
          <w:szCs w:val="20"/>
        </w:rPr>
        <w:t xml:space="preserve">comunidades, los efectivos militares violaron a </w:t>
      </w:r>
      <w:r w:rsidRPr="00D13792">
        <w:rPr>
          <w:sz w:val="20"/>
          <w:szCs w:val="20"/>
        </w:rPr>
        <w:t>mujeres</w:t>
      </w:r>
      <w:r w:rsidRPr="00D13792">
        <w:rPr>
          <w:iCs/>
          <w:sz w:val="20"/>
          <w:szCs w:val="20"/>
        </w:rPr>
        <w:t xml:space="preserve"> incluso en sus propios hogares</w:t>
      </w:r>
      <w:r w:rsidRPr="00D13792">
        <w:rPr>
          <w:sz w:val="20"/>
          <w:szCs w:val="20"/>
          <w:vertAlign w:val="superscript"/>
        </w:rPr>
        <w:footnoteReference w:id="92"/>
      </w:r>
      <w:r w:rsidRPr="00D13792">
        <w:rPr>
          <w:sz w:val="20"/>
          <w:szCs w:val="20"/>
        </w:rPr>
        <w:t>.</w:t>
      </w:r>
    </w:p>
    <w:p w14:paraId="040014A4" w14:textId="77777777" w:rsidR="006A0E1C" w:rsidRPr="00D13792" w:rsidRDefault="006A0E1C" w:rsidP="006A0E1C">
      <w:pPr>
        <w:spacing w:line="240" w:lineRule="auto"/>
        <w:rPr>
          <w:iCs/>
          <w:sz w:val="20"/>
          <w:szCs w:val="20"/>
        </w:rPr>
      </w:pPr>
    </w:p>
    <w:p w14:paraId="12247ACC" w14:textId="77777777" w:rsidR="006A0E1C" w:rsidRPr="00D13792" w:rsidRDefault="006A0E1C" w:rsidP="006A0E1C">
      <w:pPr>
        <w:numPr>
          <w:ilvl w:val="0"/>
          <w:numId w:val="6"/>
        </w:numPr>
        <w:tabs>
          <w:tab w:val="left" w:pos="567"/>
        </w:tabs>
        <w:spacing w:line="240" w:lineRule="auto"/>
        <w:ind w:right="4"/>
        <w:rPr>
          <w:iCs/>
          <w:sz w:val="20"/>
          <w:szCs w:val="20"/>
        </w:rPr>
      </w:pPr>
      <w:r w:rsidRPr="00D13792">
        <w:rPr>
          <w:iCs/>
          <w:sz w:val="20"/>
          <w:szCs w:val="20"/>
        </w:rPr>
        <w:t>Como consecuencia de la violencia imperante en la zona, existieron movimientos masivos de miembros de las aldeas y comunidades para refugiarse solos o con sus familias en las montañas,</w:t>
      </w:r>
      <w:r w:rsidRPr="00D13792">
        <w:rPr>
          <w:sz w:val="20"/>
          <w:szCs w:val="20"/>
        </w:rPr>
        <w:t xml:space="preserve"> </w:t>
      </w:r>
      <w:r w:rsidRPr="00D13792">
        <w:rPr>
          <w:iCs/>
          <w:sz w:val="20"/>
          <w:szCs w:val="20"/>
        </w:rPr>
        <w:t xml:space="preserve">en otros pueblos, municipios, </w:t>
      </w:r>
      <w:r w:rsidRPr="00D13792">
        <w:rPr>
          <w:sz w:val="20"/>
          <w:szCs w:val="20"/>
        </w:rPr>
        <w:t>departamentos</w:t>
      </w:r>
      <w:r w:rsidRPr="00D13792">
        <w:rPr>
          <w:iCs/>
          <w:sz w:val="20"/>
          <w:szCs w:val="20"/>
        </w:rPr>
        <w:t xml:space="preserve"> y ciudades, e incluso fuera del país. Las personas que buscaron refugio en las montañas permanecieron escondidas por períodos que oscilaron entre algunos meses y hasta tres años, donde aguantaron hambre, sed y frio. Debido a las condiciones de vida insalubres y precarias, algunas personas, particularmente las niñas y niños, se enfermaron o murieron</w:t>
      </w:r>
      <w:r w:rsidRPr="00D13792">
        <w:rPr>
          <w:rStyle w:val="FootnoteReference"/>
          <w:iCs/>
          <w:sz w:val="20"/>
          <w:szCs w:val="20"/>
        </w:rPr>
        <w:footnoteReference w:id="93"/>
      </w:r>
      <w:r w:rsidRPr="00D13792">
        <w:rPr>
          <w:iCs/>
          <w:sz w:val="20"/>
          <w:szCs w:val="20"/>
        </w:rPr>
        <w:t xml:space="preserve">. Por su parte, los militares continuaron persiguiendo a los habitantes de las aldeas en las montañas, así como </w:t>
      </w:r>
      <w:r w:rsidRPr="00D13792">
        <w:rPr>
          <w:rFonts w:eastAsia="Batang" w:cs="Times"/>
          <w:sz w:val="20"/>
          <w:szCs w:val="20"/>
        </w:rPr>
        <w:t>a las personas que regresaron a las comunidades</w:t>
      </w:r>
      <w:r w:rsidRPr="00D13792">
        <w:rPr>
          <w:iCs/>
          <w:sz w:val="20"/>
          <w:szCs w:val="20"/>
        </w:rPr>
        <w:t>, disparando contra ellos, ametrallando los montes, lanzando granadas frecuentemente y efectuando rastreos en la zona, por lo cual los vecinos se vieron obligados a adentrarse en las montañas constantemente</w:t>
      </w:r>
      <w:r w:rsidRPr="00D13792">
        <w:rPr>
          <w:rStyle w:val="FootnoteReference"/>
          <w:iCs/>
          <w:sz w:val="20"/>
          <w:szCs w:val="20"/>
        </w:rPr>
        <w:footnoteReference w:id="94"/>
      </w:r>
      <w:r w:rsidRPr="00D13792">
        <w:rPr>
          <w:iCs/>
          <w:sz w:val="20"/>
          <w:szCs w:val="20"/>
        </w:rPr>
        <w:t>. Cuando los militares hallaban a personas, las capturaban, detenían, interrogaban, torturaban y/o ejecutaban, a su vez cuando eran mujeres las violaban sexualmente</w:t>
      </w:r>
      <w:r w:rsidRPr="00D13792">
        <w:rPr>
          <w:rStyle w:val="FootnoteReference"/>
          <w:iCs/>
          <w:sz w:val="20"/>
          <w:szCs w:val="20"/>
        </w:rPr>
        <w:footnoteReference w:id="95"/>
      </w:r>
      <w:r w:rsidRPr="00D13792">
        <w:rPr>
          <w:iCs/>
          <w:sz w:val="20"/>
          <w:szCs w:val="20"/>
        </w:rPr>
        <w:t xml:space="preserve">. </w:t>
      </w:r>
    </w:p>
    <w:p w14:paraId="1C87A5D3" w14:textId="77777777" w:rsidR="006A0E1C" w:rsidRPr="00D13792" w:rsidRDefault="006A0E1C" w:rsidP="006A0E1C">
      <w:pPr>
        <w:tabs>
          <w:tab w:val="left" w:pos="567"/>
        </w:tabs>
        <w:spacing w:line="240" w:lineRule="auto"/>
        <w:ind w:right="4"/>
        <w:rPr>
          <w:sz w:val="20"/>
          <w:szCs w:val="20"/>
        </w:rPr>
      </w:pPr>
    </w:p>
    <w:p w14:paraId="1AF14E98" w14:textId="77777777" w:rsidR="006A0E1C" w:rsidRPr="00D13792" w:rsidRDefault="006A0E1C" w:rsidP="006A0E1C">
      <w:pPr>
        <w:numPr>
          <w:ilvl w:val="0"/>
          <w:numId w:val="6"/>
        </w:numPr>
        <w:tabs>
          <w:tab w:val="left" w:pos="567"/>
        </w:tabs>
        <w:spacing w:line="240" w:lineRule="auto"/>
        <w:ind w:right="4"/>
        <w:rPr>
          <w:sz w:val="20"/>
          <w:szCs w:val="20"/>
        </w:rPr>
      </w:pPr>
      <w:r w:rsidRPr="00D13792">
        <w:rPr>
          <w:iCs/>
          <w:sz w:val="20"/>
          <w:szCs w:val="20"/>
        </w:rPr>
        <w:t>L</w:t>
      </w:r>
      <w:r w:rsidRPr="00D13792">
        <w:rPr>
          <w:sz w:val="20"/>
          <w:szCs w:val="20"/>
        </w:rPr>
        <w:t>a destrucción de las comunidades tuvo lugar de manera paralela a los desplazamientos y con posterioridad a estos. De esta forma, miembros del Ejército Nacional y de las PAC realizaron los siguientes actos: a) quema de viviendas con todas sus pertenencias; b) quema y destrucción de cultivos y cosechas (entre otros, milpa, café, granadilla y caña); c) robo y muerte de ganado, caballos, gallinas, cerdos y animales domésticos; d) robo de alimentos, granos básicos y provisiones; e) robo de artículos personales, ropa y objetos de valor, y f) robo de utensilios domésticos y herramientas</w:t>
      </w:r>
      <w:r w:rsidRPr="00D13792">
        <w:rPr>
          <w:i/>
          <w:sz w:val="20"/>
          <w:szCs w:val="20"/>
        </w:rPr>
        <w:t>.</w:t>
      </w:r>
    </w:p>
    <w:p w14:paraId="3660E6E0" w14:textId="77777777" w:rsidR="006A0E1C" w:rsidRPr="00D13792" w:rsidRDefault="006A0E1C" w:rsidP="006A0E1C">
      <w:pPr>
        <w:spacing w:line="240" w:lineRule="auto"/>
        <w:rPr>
          <w:sz w:val="20"/>
          <w:szCs w:val="20"/>
        </w:rPr>
      </w:pPr>
    </w:p>
    <w:p w14:paraId="3E85E80E" w14:textId="77777777" w:rsidR="006A0E1C" w:rsidRPr="00D13792" w:rsidRDefault="006A0E1C" w:rsidP="006A0E1C">
      <w:pPr>
        <w:numPr>
          <w:ilvl w:val="0"/>
          <w:numId w:val="6"/>
        </w:numPr>
        <w:tabs>
          <w:tab w:val="left" w:pos="567"/>
        </w:tabs>
        <w:spacing w:line="240" w:lineRule="auto"/>
        <w:ind w:right="4"/>
        <w:rPr>
          <w:iCs/>
          <w:sz w:val="20"/>
          <w:szCs w:val="20"/>
        </w:rPr>
      </w:pPr>
      <w:r w:rsidRPr="00D13792">
        <w:rPr>
          <w:iCs/>
          <w:sz w:val="20"/>
          <w:szCs w:val="20"/>
        </w:rPr>
        <w:t>Aproximadamente en el año 1983, miembros del Ejército Nacional construyeron la aldea modelo o colonia en Chichupac, la cual fue habitada por personas capturadas durante la persecución en las montañas, por población civil que ingresó voluntariamente una vez que se “ofreció la amnistía” de la persecución y por personas a quienes se les obligó a volver bajo amenaza de quitarles sus terrenos</w:t>
      </w:r>
      <w:r w:rsidRPr="00D13792">
        <w:rPr>
          <w:rFonts w:eastAsia="Batang" w:cs="Times"/>
          <w:sz w:val="20"/>
          <w:szCs w:val="20"/>
        </w:rPr>
        <w:t xml:space="preserve"> </w:t>
      </w:r>
      <w:r w:rsidRPr="00D13792">
        <w:rPr>
          <w:iCs/>
          <w:sz w:val="20"/>
          <w:szCs w:val="20"/>
        </w:rPr>
        <w:t>en caso de no regresar</w:t>
      </w:r>
      <w:r w:rsidRPr="00D13792">
        <w:rPr>
          <w:rStyle w:val="FootnoteReference"/>
          <w:iCs/>
          <w:sz w:val="20"/>
          <w:szCs w:val="20"/>
        </w:rPr>
        <w:footnoteReference w:id="96"/>
      </w:r>
      <w:r w:rsidRPr="00D13792">
        <w:rPr>
          <w:iCs/>
          <w:sz w:val="20"/>
          <w:szCs w:val="20"/>
        </w:rPr>
        <w:t xml:space="preserve">. En dicha colonia las personas </w:t>
      </w:r>
      <w:r w:rsidRPr="00D13792">
        <w:rPr>
          <w:sz w:val="20"/>
          <w:szCs w:val="20"/>
        </w:rPr>
        <w:lastRenderedPageBreak/>
        <w:t>vivieron</w:t>
      </w:r>
      <w:r w:rsidRPr="00D13792">
        <w:rPr>
          <w:iCs/>
          <w:sz w:val="20"/>
          <w:szCs w:val="20"/>
        </w:rPr>
        <w:t xml:space="preserve"> en condiciones precarias con otras familias, bajo un fuerte control militar, tenían que pedir permiso para trabajar sus tierras y los soldados no les dejaban ninguna libertad. Asimismo, fueron obligadas a trabajar para mantener a los militares, por ejemplo, en la siembra de hortalizas. En específico, se obligó a las mujeres a preparar los alimentos y lavar la ropa de los militares, y a los hombres a patrullar de nuevo la zona</w:t>
      </w:r>
      <w:r w:rsidRPr="00D13792">
        <w:rPr>
          <w:rStyle w:val="FootnoteReference"/>
          <w:iCs/>
          <w:sz w:val="20"/>
          <w:szCs w:val="20"/>
        </w:rPr>
        <w:footnoteReference w:id="97"/>
      </w:r>
      <w:r w:rsidRPr="00D13792">
        <w:rPr>
          <w:iCs/>
          <w:sz w:val="20"/>
          <w:szCs w:val="20"/>
        </w:rPr>
        <w:t xml:space="preserve">. </w:t>
      </w:r>
      <w:r w:rsidRPr="00D13792">
        <w:rPr>
          <w:sz w:val="20"/>
          <w:szCs w:val="20"/>
        </w:rPr>
        <w:t>Además, algunas mujeres fueron violadas sexualmente.</w:t>
      </w:r>
      <w:r w:rsidRPr="00D13792">
        <w:rPr>
          <w:iCs/>
          <w:sz w:val="20"/>
          <w:szCs w:val="20"/>
        </w:rPr>
        <w:t xml:space="preserve"> Entre 1986 y 1987, los miembros del Ejército Nacional abandonaron la colonia. Por su parte, el Centro de Integración Familiar (en adelante “CIF”)</w:t>
      </w:r>
      <w:r w:rsidRPr="00D13792">
        <w:rPr>
          <w:rStyle w:val="FootnoteReference"/>
          <w:iCs/>
          <w:sz w:val="20"/>
          <w:szCs w:val="20"/>
        </w:rPr>
        <w:footnoteReference w:id="98"/>
      </w:r>
      <w:r w:rsidRPr="00D13792">
        <w:rPr>
          <w:iCs/>
          <w:sz w:val="20"/>
          <w:szCs w:val="20"/>
        </w:rPr>
        <w:t>,</w:t>
      </w:r>
      <w:r w:rsidRPr="00D13792">
        <w:rPr>
          <w:sz w:val="20"/>
          <w:szCs w:val="20"/>
        </w:rPr>
        <w:t xml:space="preserve"> </w:t>
      </w:r>
      <w:r w:rsidRPr="00D13792">
        <w:rPr>
          <w:rFonts w:eastAsia="Calibri" w:cs="Arial"/>
          <w:sz w:val="20"/>
          <w:szCs w:val="20"/>
        </w:rPr>
        <w:t>a través del Programa de Promoción y Desarrollo Humano Integral</w:t>
      </w:r>
      <w:r w:rsidRPr="00D13792">
        <w:rPr>
          <w:iCs/>
          <w:sz w:val="20"/>
          <w:szCs w:val="20"/>
        </w:rPr>
        <w:t xml:space="preserve">, </w:t>
      </w:r>
      <w:r w:rsidRPr="00D13792">
        <w:rPr>
          <w:sz w:val="20"/>
          <w:szCs w:val="20"/>
        </w:rPr>
        <w:t>proporcionó</w:t>
      </w:r>
      <w:r w:rsidRPr="00D13792">
        <w:rPr>
          <w:iCs/>
          <w:sz w:val="20"/>
          <w:szCs w:val="20"/>
        </w:rPr>
        <w:t xml:space="preserve"> materiales a los vecinos para </w:t>
      </w:r>
      <w:r w:rsidRPr="00D13792">
        <w:rPr>
          <w:rFonts w:cs="Arial"/>
          <w:sz w:val="20"/>
          <w:szCs w:val="20"/>
        </w:rPr>
        <w:t>reconstruir sus viviendas. De esta manera, algunas personas lograron reasentarse en la zona</w:t>
      </w:r>
      <w:r w:rsidRPr="00D13792">
        <w:rPr>
          <w:rStyle w:val="FootnoteReference"/>
          <w:iCs/>
          <w:sz w:val="20"/>
          <w:szCs w:val="20"/>
        </w:rPr>
        <w:footnoteReference w:id="99"/>
      </w:r>
      <w:r w:rsidRPr="00D13792">
        <w:rPr>
          <w:rFonts w:cs="Arial"/>
          <w:sz w:val="20"/>
          <w:szCs w:val="20"/>
        </w:rPr>
        <w:t xml:space="preserve">. Asimismo, </w:t>
      </w:r>
      <w:r w:rsidRPr="00D13792">
        <w:rPr>
          <w:iCs/>
          <w:sz w:val="20"/>
          <w:szCs w:val="20"/>
        </w:rPr>
        <w:t>el CIF</w:t>
      </w:r>
      <w:r w:rsidRPr="00D13792">
        <w:rPr>
          <w:rFonts w:eastAsia="Calibri" w:cs="Arial"/>
          <w:sz w:val="20"/>
          <w:szCs w:val="20"/>
        </w:rPr>
        <w:t xml:space="preserve"> implementó para dichas familias proyectos de cultivo de café y proporcionó algunos animales</w:t>
      </w:r>
      <w:r w:rsidRPr="00D13792">
        <w:rPr>
          <w:rStyle w:val="FootnoteReference"/>
          <w:rFonts w:eastAsia="Calibri"/>
          <w:sz w:val="20"/>
          <w:szCs w:val="20"/>
        </w:rPr>
        <w:footnoteReference w:id="100"/>
      </w:r>
      <w:r w:rsidRPr="00D13792">
        <w:rPr>
          <w:iCs/>
          <w:sz w:val="20"/>
          <w:szCs w:val="20"/>
        </w:rPr>
        <w:t>.</w:t>
      </w:r>
    </w:p>
    <w:p w14:paraId="32244245" w14:textId="77777777" w:rsidR="006A0E1C" w:rsidRPr="00D13792" w:rsidRDefault="006A0E1C" w:rsidP="006A0E1C">
      <w:pPr>
        <w:spacing w:line="240" w:lineRule="auto"/>
        <w:rPr>
          <w:iCs/>
          <w:sz w:val="20"/>
          <w:szCs w:val="20"/>
        </w:rPr>
      </w:pPr>
    </w:p>
    <w:p w14:paraId="340F1B19" w14:textId="77777777" w:rsidR="006A0E1C" w:rsidRPr="00D13792" w:rsidRDefault="006A0E1C" w:rsidP="006A0E1C">
      <w:pPr>
        <w:numPr>
          <w:ilvl w:val="0"/>
          <w:numId w:val="6"/>
        </w:numPr>
        <w:tabs>
          <w:tab w:val="left" w:pos="567"/>
        </w:tabs>
        <w:spacing w:line="240" w:lineRule="auto"/>
        <w:ind w:right="4"/>
        <w:rPr>
          <w:iCs/>
          <w:sz w:val="20"/>
          <w:szCs w:val="20"/>
        </w:rPr>
      </w:pPr>
      <w:r w:rsidRPr="00D13792">
        <w:rPr>
          <w:iCs/>
          <w:sz w:val="20"/>
          <w:szCs w:val="20"/>
        </w:rPr>
        <w:t>Sin embargo, aún en el año 1999 algunas personas sostenían que la población sobreviviente seguía viviendo con miedo y recibiendo amenazas, y que los responsables de la masacre seguían “robando y violando a las mujeres de las comunidades”</w:t>
      </w:r>
      <w:r w:rsidRPr="00D13792">
        <w:rPr>
          <w:rStyle w:val="FootnoteReference"/>
          <w:iCs/>
          <w:sz w:val="20"/>
          <w:szCs w:val="20"/>
        </w:rPr>
        <w:footnoteReference w:id="101"/>
      </w:r>
      <w:r w:rsidRPr="00D13792">
        <w:rPr>
          <w:iCs/>
          <w:sz w:val="20"/>
          <w:szCs w:val="20"/>
        </w:rPr>
        <w:t xml:space="preserve">. Al día de hoy varias personas sostienen que no han podido volver a sus tierras y reencontrarse con su </w:t>
      </w:r>
      <w:r w:rsidRPr="00D13792">
        <w:rPr>
          <w:sz w:val="20"/>
          <w:szCs w:val="20"/>
        </w:rPr>
        <w:t>comunidad</w:t>
      </w:r>
      <w:r w:rsidRPr="00D13792">
        <w:rPr>
          <w:iCs/>
          <w:sz w:val="20"/>
          <w:szCs w:val="20"/>
        </w:rPr>
        <w:t xml:space="preserve"> y su cultura debido al miedo, la violencia, el sufrimiento y la persecución que vivieron en las comunidades, la pérdida de todas sus pertenencias y el hecho de que no tienen donde vivir, por lo que se han visto forzadas a continuar en el desplazamiento. Además, dado que los militares les robaron los documentos que acreditaban la posesión de sus tierras, o estos fueron destruidos cuando los militares quemaron sus casas, algunos vecinos señalan que no han podido recuperar sus tierras porque otras personas viven en ellas y sus propietarios originales no pueden reclamarlos sin documentos y ante la ausencia de ayuda del Estado</w:t>
      </w:r>
      <w:r w:rsidRPr="00D13792">
        <w:rPr>
          <w:rStyle w:val="FootnoteReference"/>
          <w:iCs/>
          <w:sz w:val="20"/>
          <w:szCs w:val="20"/>
        </w:rPr>
        <w:footnoteReference w:id="102"/>
      </w:r>
      <w:r w:rsidRPr="00D13792">
        <w:rPr>
          <w:iCs/>
          <w:sz w:val="20"/>
          <w:szCs w:val="20"/>
        </w:rPr>
        <w:t xml:space="preserve">. </w:t>
      </w:r>
    </w:p>
    <w:p w14:paraId="428F533E" w14:textId="77777777" w:rsidR="006A0E1C" w:rsidRPr="00D13792" w:rsidRDefault="006A0E1C" w:rsidP="006A0E1C">
      <w:pPr>
        <w:pStyle w:val="Heading3"/>
        <w:ind w:left="0"/>
        <w:rPr>
          <w:lang w:val="es-CR"/>
        </w:rPr>
      </w:pPr>
    </w:p>
    <w:p w14:paraId="0F793E1A" w14:textId="77777777" w:rsidR="006A0E1C" w:rsidRPr="00D13792" w:rsidRDefault="006A0E1C" w:rsidP="006A0E1C">
      <w:pPr>
        <w:pStyle w:val="Heading3"/>
        <w:ind w:left="0"/>
        <w:rPr>
          <w:i/>
          <w:iCs/>
          <w:lang w:val="es-CR"/>
        </w:rPr>
      </w:pPr>
      <w:bookmarkStart w:id="137" w:name="_Toc460938855"/>
      <w:bookmarkStart w:id="138" w:name="_Toc468443284"/>
      <w:bookmarkStart w:id="139" w:name="_Toc469670020"/>
      <w:r w:rsidRPr="00D13792">
        <w:rPr>
          <w:bCs/>
          <w:i/>
          <w:iCs/>
          <w:lang w:val="es-CR"/>
        </w:rPr>
        <w:t>B.7.</w:t>
      </w:r>
      <w:r w:rsidRPr="00D13792">
        <w:rPr>
          <w:rFonts w:cs="Arial"/>
          <w:i/>
          <w:lang w:val="es-CR"/>
        </w:rPr>
        <w:t xml:space="preserve"> Desaparición e identificación de Hugo García</w:t>
      </w:r>
      <w:r w:rsidRPr="00D13792">
        <w:rPr>
          <w:i/>
          <w:iCs/>
          <w:lang w:val="es-CR"/>
        </w:rPr>
        <w:t xml:space="preserve"> </w:t>
      </w:r>
      <w:r w:rsidRPr="00D13792">
        <w:rPr>
          <w:rFonts w:cs="Arial"/>
          <w:i/>
          <w:lang w:val="es-CR"/>
        </w:rPr>
        <w:t xml:space="preserve">Depaz, Abraham Alvarado, Manuel de Jesús Alarcón Morente y </w:t>
      </w:r>
      <w:r w:rsidRPr="00D13792">
        <w:rPr>
          <w:rFonts w:eastAsia="Arial" w:cs="Arial"/>
          <w:i/>
          <w:lang w:val="es-CR"/>
        </w:rPr>
        <w:t xml:space="preserve">Edmundo </w:t>
      </w:r>
      <w:r w:rsidRPr="00D13792">
        <w:rPr>
          <w:rFonts w:cs="Arial"/>
          <w:i/>
          <w:lang w:val="es-CR"/>
        </w:rPr>
        <w:t xml:space="preserve">Alarcón Morente, desaparición de Adrián García Manuel y </w:t>
      </w:r>
      <w:r w:rsidRPr="00D13792">
        <w:rPr>
          <w:i/>
          <w:lang w:val="es-CR"/>
        </w:rPr>
        <w:t>Leonardo Cahuec González</w:t>
      </w:r>
      <w:r w:rsidRPr="00D13792">
        <w:rPr>
          <w:i/>
          <w:iCs/>
          <w:lang w:val="es-CR"/>
        </w:rPr>
        <w:t xml:space="preserve">, </w:t>
      </w:r>
      <w:r w:rsidRPr="00D13792">
        <w:rPr>
          <w:rFonts w:cs="Arial"/>
          <w:i/>
          <w:lang w:val="es-CR"/>
        </w:rPr>
        <w:t xml:space="preserve">y </w:t>
      </w:r>
      <w:r w:rsidRPr="00D13792">
        <w:rPr>
          <w:i/>
          <w:lang w:val="es-CR"/>
        </w:rPr>
        <w:t xml:space="preserve">detención de Miguel Chen Tahuico </w:t>
      </w:r>
      <w:r w:rsidRPr="00D13792">
        <w:rPr>
          <w:rFonts w:cs="Arial"/>
          <w:i/>
          <w:lang w:val="es-CR"/>
        </w:rPr>
        <w:t>el 18 de enero de 1982</w:t>
      </w:r>
      <w:bookmarkEnd w:id="137"/>
      <w:bookmarkEnd w:id="138"/>
      <w:bookmarkEnd w:id="139"/>
    </w:p>
    <w:p w14:paraId="39503759" w14:textId="77777777" w:rsidR="006A0E1C" w:rsidRPr="00D13792" w:rsidRDefault="006A0E1C" w:rsidP="006A0E1C">
      <w:pPr>
        <w:spacing w:line="240" w:lineRule="auto"/>
        <w:rPr>
          <w:b/>
          <w:i/>
          <w:sz w:val="20"/>
          <w:szCs w:val="20"/>
        </w:rPr>
      </w:pPr>
    </w:p>
    <w:p w14:paraId="55682B3F" w14:textId="77777777" w:rsidR="006A0E1C" w:rsidRPr="00D13792" w:rsidRDefault="006A0E1C" w:rsidP="006A0E1C">
      <w:pPr>
        <w:numPr>
          <w:ilvl w:val="0"/>
          <w:numId w:val="6"/>
        </w:numPr>
        <w:tabs>
          <w:tab w:val="left" w:pos="567"/>
        </w:tabs>
        <w:spacing w:line="240" w:lineRule="auto"/>
        <w:ind w:right="4"/>
        <w:rPr>
          <w:strike/>
          <w:sz w:val="20"/>
          <w:szCs w:val="20"/>
        </w:rPr>
      </w:pPr>
      <w:r w:rsidRPr="00D13792">
        <w:rPr>
          <w:sz w:val="20"/>
          <w:szCs w:val="20"/>
        </w:rPr>
        <w:t>Luego de haber sido reclutados como miembros de las PAC, el</w:t>
      </w:r>
      <w:r w:rsidRPr="00D13792">
        <w:rPr>
          <w:bCs/>
          <w:sz w:val="20"/>
          <w:szCs w:val="20"/>
        </w:rPr>
        <w:t xml:space="preserve"> 18 de enero de 1982</w:t>
      </w:r>
      <w:r w:rsidRPr="00D13792">
        <w:rPr>
          <w:sz w:val="20"/>
          <w:szCs w:val="20"/>
        </w:rPr>
        <w:t xml:space="preserve"> Adrián García Manuel, su hijo Hugo García Depaz y su sobrino Abraham Alvarado Tecú (o </w:t>
      </w:r>
      <w:r w:rsidRPr="00D13792">
        <w:rPr>
          <w:rFonts w:cs="Calibri"/>
          <w:sz w:val="20"/>
          <w:szCs w:val="20"/>
        </w:rPr>
        <w:t>Agapito Alvarado Depáz)</w:t>
      </w:r>
      <w:r w:rsidRPr="00D13792">
        <w:rPr>
          <w:sz w:val="20"/>
          <w:szCs w:val="20"/>
        </w:rPr>
        <w:t xml:space="preserve"> salieron de su vivienda en la aldea Chichupac con el fin de realizar un patrullaje. Sin embargo, fueron interceptados por miembros del Ejército Nacional, detenidos y encerrados en la escuela de la aldea Chirrum. Cuando la señora Juana García Depaz, hija de </w:t>
      </w:r>
      <w:r w:rsidRPr="00D13792">
        <w:rPr>
          <w:sz w:val="20"/>
          <w:szCs w:val="20"/>
        </w:rPr>
        <w:lastRenderedPageBreak/>
        <w:t xml:space="preserve">Adrián García, se enteró que sus familiares se encontraban detenidos en la escuela, envío a su hija a que les llevara comida. Los militares no le permitieron entregar la comida, pues indicaron que “los iban a soltar rápido y que ellos iban a llegar a casa”. Posteriormente, los tres hombres fueron trasladados al destacamento militar en la aldea Guachipelín, sin que se volviera a tener conocimiento sobre su paradero. Ese mismo día, los hermanos Manuel de Jesús y </w:t>
      </w:r>
      <w:r w:rsidRPr="00D13792">
        <w:rPr>
          <w:rFonts w:eastAsia="Arial" w:cs="Arial"/>
          <w:sz w:val="20"/>
          <w:szCs w:val="20"/>
        </w:rPr>
        <w:t>Edmundo (</w:t>
      </w:r>
      <w:r w:rsidRPr="00D13792">
        <w:rPr>
          <w:rFonts w:cs="Calibri"/>
          <w:sz w:val="20"/>
          <w:szCs w:val="20"/>
        </w:rPr>
        <w:t xml:space="preserve">o Raymundo), </w:t>
      </w:r>
      <w:r w:rsidRPr="00D13792">
        <w:rPr>
          <w:rFonts w:eastAsia="Arial" w:cs="Arial"/>
          <w:sz w:val="20"/>
          <w:szCs w:val="20"/>
        </w:rPr>
        <w:t xml:space="preserve">ambos </w:t>
      </w:r>
      <w:r w:rsidRPr="00D13792">
        <w:rPr>
          <w:sz w:val="20"/>
          <w:szCs w:val="20"/>
        </w:rPr>
        <w:t xml:space="preserve">Alarcón Morente, quienes también habían sido reclutados como miembros de las PAC, fueron vistos por última vez. Por la mañana, un grupo de soldados habían llegado a la vivienda de la familia Alarcón Morente, ubicada </w:t>
      </w:r>
      <w:r w:rsidRPr="00D13792">
        <w:rPr>
          <w:rFonts w:cs="Arial"/>
          <w:sz w:val="20"/>
          <w:szCs w:val="20"/>
        </w:rPr>
        <w:t>entre las aldeas Chirrum y Chuateguá,</w:t>
      </w:r>
      <w:r w:rsidRPr="00D13792">
        <w:rPr>
          <w:sz w:val="20"/>
          <w:szCs w:val="20"/>
        </w:rPr>
        <w:t xml:space="preserve"> y preguntaron por los dos hermanos, sin que sus familiares dieran noticia de ellos. Según el relato de la familia, Manuel de Jesús Alarcón Morente </w:t>
      </w:r>
      <w:r w:rsidRPr="00D13792">
        <w:rPr>
          <w:rFonts w:eastAsia="Arial" w:cs="Arial"/>
          <w:sz w:val="20"/>
          <w:szCs w:val="20"/>
        </w:rPr>
        <w:t xml:space="preserve">salió a cortar caña y no regresó, y su hermano Edmundo </w:t>
      </w:r>
      <w:r w:rsidRPr="00D13792">
        <w:rPr>
          <w:sz w:val="20"/>
          <w:szCs w:val="20"/>
        </w:rPr>
        <w:t>Alarcón Morente fue visto por última vez acompañado de soldados que lo llevaban amarrado</w:t>
      </w:r>
      <w:r w:rsidRPr="00D13792">
        <w:rPr>
          <w:rStyle w:val="FootnoteReference"/>
          <w:sz w:val="20"/>
          <w:szCs w:val="20"/>
        </w:rPr>
        <w:footnoteReference w:id="103"/>
      </w:r>
      <w:r w:rsidRPr="00D13792">
        <w:rPr>
          <w:sz w:val="20"/>
          <w:szCs w:val="20"/>
        </w:rPr>
        <w:t>.</w:t>
      </w:r>
    </w:p>
    <w:p w14:paraId="184FE888" w14:textId="77777777" w:rsidR="006A0E1C" w:rsidRPr="00D13792" w:rsidRDefault="006A0E1C" w:rsidP="006A0E1C">
      <w:pPr>
        <w:pStyle w:val="ListParagraph"/>
        <w:spacing w:after="0" w:line="240" w:lineRule="auto"/>
        <w:jc w:val="both"/>
        <w:rPr>
          <w:rFonts w:ascii="Verdana" w:eastAsia="Arial" w:hAnsi="Verdana" w:cs="Arial"/>
          <w:sz w:val="20"/>
          <w:szCs w:val="20"/>
          <w:lang w:val="es-CR"/>
        </w:rPr>
      </w:pPr>
    </w:p>
    <w:p w14:paraId="4C985850" w14:textId="77777777" w:rsidR="006A0E1C" w:rsidRPr="00D13792" w:rsidRDefault="006A0E1C" w:rsidP="006A0E1C">
      <w:pPr>
        <w:numPr>
          <w:ilvl w:val="0"/>
          <w:numId w:val="6"/>
        </w:numPr>
        <w:tabs>
          <w:tab w:val="left" w:pos="450"/>
        </w:tabs>
        <w:spacing w:line="240" w:lineRule="auto"/>
        <w:ind w:right="4"/>
        <w:rPr>
          <w:rFonts w:eastAsia="Arial" w:cs="Arial"/>
          <w:sz w:val="20"/>
          <w:szCs w:val="20"/>
        </w:rPr>
      </w:pPr>
      <w:r w:rsidRPr="00D13792">
        <w:rPr>
          <w:rFonts w:eastAsia="Arial" w:cs="Arial"/>
          <w:sz w:val="20"/>
          <w:szCs w:val="20"/>
        </w:rPr>
        <w:t xml:space="preserve">En el año 2006 y una vez que fue solicitado por la señora </w:t>
      </w:r>
      <w:r w:rsidRPr="00D13792">
        <w:rPr>
          <w:sz w:val="20"/>
          <w:szCs w:val="20"/>
        </w:rPr>
        <w:t>Juana García Depaz</w:t>
      </w:r>
      <w:r w:rsidRPr="00D13792">
        <w:rPr>
          <w:rFonts w:eastAsia="Arial" w:cs="Arial"/>
          <w:sz w:val="20"/>
          <w:szCs w:val="20"/>
        </w:rPr>
        <w:t xml:space="preserve">, la </w:t>
      </w:r>
      <w:r w:rsidRPr="00D13792">
        <w:rPr>
          <w:sz w:val="20"/>
          <w:szCs w:val="20"/>
        </w:rPr>
        <w:t>FAFG realizó trabajos de excavación y exhumación en un terreno ubicado en la aldea Guachipilín del municipio de Rabinal</w:t>
      </w:r>
      <w:r w:rsidRPr="00D13792">
        <w:rPr>
          <w:rStyle w:val="FootnoteReference"/>
          <w:sz w:val="20"/>
          <w:szCs w:val="20"/>
        </w:rPr>
        <w:footnoteReference w:id="104"/>
      </w:r>
      <w:r w:rsidRPr="00D13792">
        <w:rPr>
          <w:sz w:val="20"/>
          <w:szCs w:val="20"/>
        </w:rPr>
        <w:t xml:space="preserve">. </w:t>
      </w:r>
      <w:r w:rsidRPr="00D13792">
        <w:rPr>
          <w:rFonts w:cs="Calibri,Bold"/>
          <w:bCs/>
          <w:sz w:val="20"/>
          <w:szCs w:val="20"/>
        </w:rPr>
        <w:t>En el año 2008 y mediante el informe final del peritaje antropológico forense realizado por la FAFG</w:t>
      </w:r>
      <w:r w:rsidRPr="00D13792">
        <w:rPr>
          <w:rFonts w:cs="Arial"/>
          <w:sz w:val="20"/>
          <w:szCs w:val="20"/>
        </w:rPr>
        <w:t>, se concluyó que de una fosa fueron exhumadas cuatro osamentas y que los restos correspondían a Hugo García De Paz, Manuel de Jesús Alarcón Morente, Edmundo Alarcón Morente y Agapito Alvarado Depáz. Asimismo, dicho informe indicó que tres de las cuatro osamentas “tenían los brazos hacia atrás y las muñecas juntas como si hubieran estado atadas”, y que “[a]l momento de la inhumación los cuerpos no fueron colocados sino arrojados”. Además, a partir de las lesiones traumáticas observadas en los restos óseos que correspondían a Agapito Alvarado Depáz, se concluyó que “la causa de la muerte es compatible con degollamiento”</w:t>
      </w:r>
      <w:r w:rsidRPr="00D13792">
        <w:rPr>
          <w:rStyle w:val="FootnoteReference"/>
          <w:rFonts w:cs="Arial"/>
          <w:sz w:val="20"/>
          <w:szCs w:val="20"/>
        </w:rPr>
        <w:footnoteReference w:id="105"/>
      </w:r>
      <w:r w:rsidRPr="00D13792">
        <w:rPr>
          <w:rFonts w:cs="Arial"/>
          <w:sz w:val="20"/>
          <w:szCs w:val="20"/>
        </w:rPr>
        <w:t xml:space="preserve">. </w:t>
      </w:r>
      <w:r w:rsidRPr="00D13792">
        <w:rPr>
          <w:sz w:val="20"/>
          <w:szCs w:val="20"/>
        </w:rPr>
        <w:t>Según fue informado por los representantes y no controvertido, las cuatro osamentas fueron entregadas a sus familiares y sepultadas por estos.</w:t>
      </w:r>
      <w:r w:rsidRPr="00D13792">
        <w:rPr>
          <w:b/>
          <w:sz w:val="20"/>
          <w:szCs w:val="20"/>
        </w:rPr>
        <w:t xml:space="preserve"> </w:t>
      </w:r>
      <w:r w:rsidRPr="00D13792">
        <w:rPr>
          <w:rFonts w:cs="Calibri,Bold"/>
          <w:bCs/>
          <w:sz w:val="20"/>
          <w:szCs w:val="20"/>
        </w:rPr>
        <w:t>Al día de hoy se desconoce el paradero del señor Adrián García Manuel.</w:t>
      </w:r>
    </w:p>
    <w:p w14:paraId="0B80C3AA" w14:textId="77777777" w:rsidR="006A0E1C" w:rsidRPr="00D13792" w:rsidRDefault="006A0E1C" w:rsidP="006A0E1C">
      <w:pPr>
        <w:tabs>
          <w:tab w:val="left" w:pos="450"/>
        </w:tabs>
        <w:spacing w:line="240" w:lineRule="auto"/>
        <w:ind w:right="4"/>
        <w:rPr>
          <w:rFonts w:eastAsia="Arial" w:cs="Arial"/>
          <w:sz w:val="20"/>
          <w:szCs w:val="20"/>
        </w:rPr>
      </w:pPr>
    </w:p>
    <w:p w14:paraId="65DF18FD" w14:textId="77777777" w:rsidR="006A0E1C" w:rsidRPr="00D13792" w:rsidRDefault="006A0E1C" w:rsidP="006A0E1C">
      <w:pPr>
        <w:numPr>
          <w:ilvl w:val="0"/>
          <w:numId w:val="6"/>
        </w:numPr>
        <w:tabs>
          <w:tab w:val="left" w:pos="450"/>
        </w:tabs>
        <w:spacing w:line="240" w:lineRule="auto"/>
        <w:ind w:right="4"/>
        <w:rPr>
          <w:sz w:val="20"/>
          <w:szCs w:val="20"/>
        </w:rPr>
      </w:pPr>
      <w:r w:rsidRPr="00D13792">
        <w:rPr>
          <w:sz w:val="20"/>
          <w:szCs w:val="20"/>
        </w:rPr>
        <w:t xml:space="preserve">También, el 18 de enero de 1982 y mientras regresaban a su vivienda en la aldea Chichupac luego de haber bautizado a una de sus hijas </w:t>
      </w:r>
      <w:r w:rsidRPr="00D13792">
        <w:rPr>
          <w:rFonts w:cs="Arial"/>
          <w:sz w:val="20"/>
          <w:szCs w:val="20"/>
        </w:rPr>
        <w:t>en una iglesia Católica de Rabinal</w:t>
      </w:r>
      <w:r w:rsidRPr="00D13792">
        <w:rPr>
          <w:sz w:val="20"/>
          <w:szCs w:val="20"/>
        </w:rPr>
        <w:t xml:space="preserve">, el señor Leonardo Cahuec González y su esposa Albertina Sic Cuxúm fueron interceptados por un automóvil, del cual bajaron dos personas vestidas de civil. Estas pidieron al señor Leonardo Cahuec sus documentos de identificación, amarraron sus manos y lo llevaron caminando a la cárcel </w:t>
      </w:r>
      <w:r w:rsidRPr="00D13792">
        <w:rPr>
          <w:rFonts w:cs="Arial"/>
          <w:sz w:val="20"/>
          <w:szCs w:val="20"/>
        </w:rPr>
        <w:t>del centro del municipio</w:t>
      </w:r>
      <w:r w:rsidRPr="00D13792">
        <w:rPr>
          <w:sz w:val="20"/>
          <w:szCs w:val="20"/>
        </w:rPr>
        <w:t xml:space="preserve"> </w:t>
      </w:r>
      <w:r w:rsidRPr="00D13792">
        <w:rPr>
          <w:rFonts w:cs="Arial"/>
          <w:sz w:val="20"/>
          <w:szCs w:val="20"/>
        </w:rPr>
        <w:t>de Rabinal</w:t>
      </w:r>
      <w:r w:rsidRPr="00D13792">
        <w:rPr>
          <w:sz w:val="20"/>
          <w:szCs w:val="20"/>
        </w:rPr>
        <w:t xml:space="preserve">. La señora Albertina Sic se dirigió con ellos a la cárcel y dos hombres que vigilaban la entrada de la misma le dijeron que su esposo era guerrillero, que “todos los hombres de la aldea Chichupac […] era[n] guerrilleros”, que “lo mandaron para el cuartel para prestar servicio militar </w:t>
      </w:r>
      <w:r w:rsidRPr="00D13792">
        <w:rPr>
          <w:rFonts w:cs="Arial"/>
          <w:sz w:val="20"/>
          <w:szCs w:val="20"/>
        </w:rPr>
        <w:t>y que iba a regresar en cualquier momento a</w:t>
      </w:r>
      <w:r w:rsidRPr="00D13792">
        <w:rPr>
          <w:sz w:val="20"/>
          <w:szCs w:val="20"/>
        </w:rPr>
        <w:t xml:space="preserve"> </w:t>
      </w:r>
      <w:r w:rsidRPr="00D13792">
        <w:rPr>
          <w:rFonts w:cs="Arial"/>
          <w:sz w:val="20"/>
          <w:szCs w:val="20"/>
        </w:rPr>
        <w:t xml:space="preserve">su casa”. Finalmente, </w:t>
      </w:r>
      <w:r w:rsidRPr="00D13792">
        <w:rPr>
          <w:sz w:val="20"/>
          <w:szCs w:val="20"/>
        </w:rPr>
        <w:t>la amenazaron con golpearla si no se retiraba. Hasta la fecha se desconoce el paradero del señor Leonardo Cahuec.</w:t>
      </w:r>
    </w:p>
    <w:p w14:paraId="3ACE7FA5" w14:textId="77777777" w:rsidR="006A0E1C" w:rsidRPr="00D13792" w:rsidRDefault="006A0E1C" w:rsidP="006A0E1C">
      <w:pPr>
        <w:tabs>
          <w:tab w:val="left" w:pos="567"/>
        </w:tabs>
        <w:spacing w:line="240" w:lineRule="auto"/>
        <w:ind w:right="4"/>
        <w:rPr>
          <w:sz w:val="20"/>
          <w:szCs w:val="20"/>
        </w:rPr>
      </w:pPr>
    </w:p>
    <w:p w14:paraId="1F03BFB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Además, el 18 de enero de 1982, 1983 o 1984 el señor Miguel Chen Tahuico, quien huyó de la aldea Chichupac luego de la masacre </w:t>
      </w:r>
      <w:r w:rsidRPr="00D13792">
        <w:rPr>
          <w:bCs/>
          <w:sz w:val="20"/>
          <w:szCs w:val="20"/>
        </w:rPr>
        <w:t xml:space="preserve">de la clínica </w:t>
      </w:r>
      <w:r w:rsidRPr="00D13792">
        <w:rPr>
          <w:sz w:val="20"/>
          <w:szCs w:val="20"/>
        </w:rPr>
        <w:t xml:space="preserve">el </w:t>
      </w:r>
      <w:r w:rsidRPr="00D13792">
        <w:rPr>
          <w:bCs/>
          <w:sz w:val="20"/>
          <w:szCs w:val="20"/>
        </w:rPr>
        <w:t>8 de enero de 1982 y se refugió en las montañas,</w:t>
      </w:r>
      <w:r w:rsidRPr="00D13792">
        <w:rPr>
          <w:sz w:val="20"/>
          <w:szCs w:val="20"/>
        </w:rPr>
        <w:t xml:space="preserve"> fue detenido por miembros del Ejército junto con un grupo de cuatro a seis de sus familiares. Los militares lo acusaron de pertenecer a la guerrilla, lo colgaron de un árbol </w:t>
      </w:r>
      <w:r w:rsidRPr="00D13792">
        <w:rPr>
          <w:sz w:val="20"/>
          <w:szCs w:val="20"/>
        </w:rPr>
        <w:lastRenderedPageBreak/>
        <w:t xml:space="preserve">por el cuello, le quemaron su pecho con un cigarro, intentaron quemar su lengua con un tizón y una vez en el suelo, los soldados le pasaron por encima y brincaron sobre su estómago. </w:t>
      </w:r>
      <w:r w:rsidRPr="00D13792">
        <w:rPr>
          <w:rFonts w:cs="Calibri"/>
          <w:sz w:val="20"/>
          <w:szCs w:val="20"/>
        </w:rPr>
        <w:t>Después lo</w:t>
      </w:r>
      <w:r w:rsidRPr="00D13792">
        <w:rPr>
          <w:sz w:val="20"/>
          <w:szCs w:val="20"/>
        </w:rPr>
        <w:t xml:space="preserve"> </w:t>
      </w:r>
      <w:r w:rsidRPr="00D13792">
        <w:rPr>
          <w:rFonts w:cs="Calibri"/>
          <w:sz w:val="20"/>
          <w:szCs w:val="20"/>
        </w:rPr>
        <w:t>amarraron de la cabeza, cintura, manos y pies, dejándolo a la intemperie toda la noche custodiado por soldados</w:t>
      </w:r>
      <w:r w:rsidRPr="00D13792">
        <w:rPr>
          <w:sz w:val="20"/>
          <w:szCs w:val="20"/>
        </w:rPr>
        <w:t>. Al día siguiente, fue trasladado a la aldea modelo o la colonia en Chichupac que se encontraba bajo control militar. En ese lugar fue interrogado y amenazado, y posteriormente fue informado que viviría allí y patrulló nuevamente con soldados a quienes también les hacía la comida</w:t>
      </w:r>
      <w:r w:rsidRPr="00D13792">
        <w:rPr>
          <w:rStyle w:val="FootnoteReference"/>
          <w:sz w:val="20"/>
          <w:szCs w:val="20"/>
        </w:rPr>
        <w:footnoteReference w:id="106"/>
      </w:r>
      <w:r w:rsidRPr="00D13792">
        <w:rPr>
          <w:sz w:val="20"/>
          <w:szCs w:val="20"/>
        </w:rPr>
        <w:t>.</w:t>
      </w:r>
    </w:p>
    <w:p w14:paraId="6DDDF8F0" w14:textId="77777777" w:rsidR="006A0E1C" w:rsidRPr="00D13792" w:rsidRDefault="006A0E1C" w:rsidP="006A0E1C">
      <w:pPr>
        <w:spacing w:line="240" w:lineRule="auto"/>
        <w:rPr>
          <w:sz w:val="16"/>
          <w:szCs w:val="20"/>
        </w:rPr>
      </w:pPr>
    </w:p>
    <w:p w14:paraId="77A3F0E4" w14:textId="77777777" w:rsidR="006A0E1C" w:rsidRPr="00D13792" w:rsidRDefault="006A0E1C" w:rsidP="006A0E1C">
      <w:pPr>
        <w:pStyle w:val="Heading3"/>
        <w:ind w:left="0"/>
        <w:rPr>
          <w:i/>
          <w:lang w:val="es-CR"/>
        </w:rPr>
      </w:pPr>
      <w:bookmarkStart w:id="140" w:name="_Toc460938856"/>
      <w:bookmarkStart w:id="141" w:name="_Toc468443285"/>
      <w:bookmarkStart w:id="142" w:name="_Toc469670021"/>
      <w:r w:rsidRPr="00D13792">
        <w:rPr>
          <w:bCs/>
          <w:i/>
          <w:iCs/>
          <w:lang w:val="es-CR"/>
        </w:rPr>
        <w:t>B.8.</w:t>
      </w:r>
      <w:r w:rsidRPr="00D13792">
        <w:rPr>
          <w:i/>
          <w:iCs/>
          <w:lang w:val="es-CR"/>
        </w:rPr>
        <w:t xml:space="preserve"> </w:t>
      </w:r>
      <w:r w:rsidRPr="00D13792">
        <w:rPr>
          <w:i/>
          <w:lang w:val="es-CR"/>
        </w:rPr>
        <w:t>Desaparición de Juan Mendoza Alvarado y José Cruz Mendoza Sucup desde el 31 de enero de 1982</w:t>
      </w:r>
      <w:bookmarkEnd w:id="140"/>
      <w:bookmarkEnd w:id="141"/>
      <w:bookmarkEnd w:id="142"/>
    </w:p>
    <w:p w14:paraId="675D55A2" w14:textId="77777777" w:rsidR="006A0E1C" w:rsidRPr="00D13792" w:rsidRDefault="006A0E1C" w:rsidP="006A0E1C">
      <w:pPr>
        <w:spacing w:line="240" w:lineRule="auto"/>
        <w:rPr>
          <w:sz w:val="16"/>
          <w:szCs w:val="20"/>
        </w:rPr>
      </w:pPr>
    </w:p>
    <w:p w14:paraId="02AB1CF8"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31 de enero de 1982</w:t>
      </w:r>
      <w:r w:rsidRPr="00D13792">
        <w:rPr>
          <w:sz w:val="20"/>
          <w:szCs w:val="20"/>
        </w:rPr>
        <w:t xml:space="preserve"> miembros del Ejército Nacional y de las PAC se dirigieron a la aldea El Apazote, ingresaron a la vivienda en la que se encontraban Juan Mendoza Alvarado y su padre José Cruz Mendoza Sucup, los sacaron, los golpearon y desde entonces se desconoce su paradero. </w:t>
      </w:r>
    </w:p>
    <w:p w14:paraId="798305E5" w14:textId="77777777" w:rsidR="006A0E1C" w:rsidRPr="00D13792" w:rsidRDefault="006A0E1C" w:rsidP="006A0E1C">
      <w:pPr>
        <w:spacing w:line="240" w:lineRule="auto"/>
        <w:rPr>
          <w:sz w:val="16"/>
          <w:szCs w:val="20"/>
        </w:rPr>
      </w:pPr>
    </w:p>
    <w:p w14:paraId="32861E0D" w14:textId="77777777" w:rsidR="006A0E1C" w:rsidRPr="00D13792" w:rsidRDefault="006A0E1C" w:rsidP="006A0E1C">
      <w:pPr>
        <w:pStyle w:val="Heading3"/>
        <w:ind w:left="0"/>
        <w:rPr>
          <w:i/>
          <w:lang w:val="es-CR"/>
        </w:rPr>
      </w:pPr>
      <w:bookmarkStart w:id="143" w:name="_Toc460938857"/>
      <w:bookmarkStart w:id="144" w:name="_Toc468443286"/>
      <w:bookmarkStart w:id="145" w:name="_Toc469670022"/>
      <w:r w:rsidRPr="00D13792">
        <w:rPr>
          <w:bCs/>
          <w:i/>
          <w:iCs/>
          <w:lang w:val="es-CR"/>
        </w:rPr>
        <w:t>B.9.</w:t>
      </w:r>
      <w:r w:rsidRPr="00D13792">
        <w:rPr>
          <w:i/>
          <w:iCs/>
          <w:lang w:val="es-CR"/>
        </w:rPr>
        <w:t xml:space="preserve"> </w:t>
      </w:r>
      <w:r w:rsidRPr="00D13792">
        <w:rPr>
          <w:i/>
          <w:lang w:val="es-CR"/>
        </w:rPr>
        <w:t>Desaparición de María Concepción Chen Sic y Casimiro Siana desde el 12 de febrero de 1982</w:t>
      </w:r>
      <w:bookmarkEnd w:id="143"/>
      <w:bookmarkEnd w:id="144"/>
      <w:bookmarkEnd w:id="145"/>
    </w:p>
    <w:p w14:paraId="5E3BACDE" w14:textId="77777777" w:rsidR="006A0E1C" w:rsidRPr="00D13792" w:rsidRDefault="006A0E1C" w:rsidP="006A0E1C">
      <w:pPr>
        <w:spacing w:line="240" w:lineRule="auto"/>
        <w:rPr>
          <w:sz w:val="16"/>
          <w:szCs w:val="20"/>
        </w:rPr>
      </w:pPr>
    </w:p>
    <w:p w14:paraId="326399D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12 de febrero de 1982</w:t>
      </w:r>
      <w:r w:rsidRPr="00D13792">
        <w:rPr>
          <w:sz w:val="20"/>
          <w:szCs w:val="20"/>
        </w:rPr>
        <w:t xml:space="preserve"> miembros del Ejército Nacional y de las PAC ingresaron a la vivienda de María Concepción Chen Sic en la aldea Chichupac, la acusaron de preparar alimentos a la guerrilla y le exigieron que entregara a su esposo Silvestre Sic Xitumul, quién había salido de la vivienda junto a sus dos hijos. Ese día también detuvieron al señor Casimiro Siana, quien era el alcalde auxiliar de la comunidad, mientras regaba su siembra cerca de su vivienda, y lo acusaron de apoyar a la guerrilla. La señora María Concepción Chen y el señor Casimiro Siana fueron obligados a caminar junto con varias mujeres que habían sido capturadas, hasta llegar a un punto en que a ambos los separaron del grupo y se los llevaron por otra dirección. Al día de hoy se desconoce el paradero de ambos</w:t>
      </w:r>
      <w:r w:rsidRPr="00D13792">
        <w:rPr>
          <w:sz w:val="20"/>
          <w:szCs w:val="20"/>
          <w:vertAlign w:val="superscript"/>
        </w:rPr>
        <w:footnoteReference w:id="107"/>
      </w:r>
      <w:r w:rsidRPr="00D13792">
        <w:rPr>
          <w:sz w:val="20"/>
          <w:szCs w:val="20"/>
        </w:rPr>
        <w:t>.</w:t>
      </w:r>
    </w:p>
    <w:p w14:paraId="3210A03F" w14:textId="77777777" w:rsidR="006A0E1C" w:rsidRPr="00D13792" w:rsidRDefault="006A0E1C" w:rsidP="006A0E1C">
      <w:pPr>
        <w:spacing w:line="240" w:lineRule="auto"/>
        <w:rPr>
          <w:b/>
          <w:i/>
          <w:sz w:val="16"/>
          <w:szCs w:val="20"/>
        </w:rPr>
      </w:pPr>
    </w:p>
    <w:p w14:paraId="42E06901" w14:textId="77777777" w:rsidR="006A0E1C" w:rsidRPr="00D13792" w:rsidRDefault="006A0E1C" w:rsidP="006A0E1C">
      <w:pPr>
        <w:pStyle w:val="Heading3"/>
        <w:ind w:left="0"/>
        <w:rPr>
          <w:i/>
          <w:lang w:val="es-CR"/>
        </w:rPr>
      </w:pPr>
      <w:bookmarkStart w:id="146" w:name="_Toc460938858"/>
      <w:bookmarkStart w:id="147" w:name="_Toc468443287"/>
      <w:bookmarkStart w:id="148" w:name="_Toc469670023"/>
      <w:r w:rsidRPr="00D13792">
        <w:rPr>
          <w:bCs/>
          <w:i/>
          <w:iCs/>
          <w:lang w:val="es-CR"/>
        </w:rPr>
        <w:t xml:space="preserve">B.10. </w:t>
      </w:r>
      <w:r w:rsidRPr="00D13792">
        <w:rPr>
          <w:i/>
          <w:lang w:val="es-CR"/>
        </w:rPr>
        <w:t>Ejecución de Andrea Osorio Galeano el 19 de febrero de 1982</w:t>
      </w:r>
      <w:bookmarkEnd w:id="146"/>
      <w:bookmarkEnd w:id="147"/>
      <w:bookmarkEnd w:id="148"/>
    </w:p>
    <w:p w14:paraId="36291638" w14:textId="77777777" w:rsidR="006A0E1C" w:rsidRPr="00D13792" w:rsidRDefault="006A0E1C" w:rsidP="006A0E1C">
      <w:pPr>
        <w:spacing w:line="240" w:lineRule="auto"/>
        <w:rPr>
          <w:i/>
          <w:sz w:val="16"/>
          <w:szCs w:val="20"/>
        </w:rPr>
      </w:pPr>
    </w:p>
    <w:p w14:paraId="6146276D"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19 de febrero de 1982</w:t>
      </w:r>
      <w:r w:rsidRPr="00D13792">
        <w:rPr>
          <w:sz w:val="20"/>
          <w:szCs w:val="20"/>
        </w:rPr>
        <w:t xml:space="preserve"> un grupo de militares sacaron a Andrea Osorio Galeano de su vivienda en la aldea Chichupac. Al día siguiente, su hijo encontró su cuerpo sin vida como a un kilómetro de su vivienda</w:t>
      </w:r>
      <w:r w:rsidRPr="00D13792">
        <w:rPr>
          <w:sz w:val="20"/>
          <w:szCs w:val="20"/>
          <w:vertAlign w:val="superscript"/>
        </w:rPr>
        <w:footnoteReference w:id="108"/>
      </w:r>
      <w:r w:rsidRPr="00D13792">
        <w:rPr>
          <w:sz w:val="20"/>
          <w:szCs w:val="20"/>
        </w:rPr>
        <w:t>, el cual fue sepultado. Los restos de Andrea Osorio fueron exhumados, analizados e identificados en el año 1993 por el EAFG en una cuarta fosa ubicada en el lugar en que se hallaron las tres fosas en que fueron exhumados los restos de los hombres ejecutados el 8 de enero de 1982 (</w:t>
      </w:r>
      <w:r w:rsidRPr="00D13792">
        <w:rPr>
          <w:i/>
          <w:sz w:val="20"/>
          <w:szCs w:val="20"/>
        </w:rPr>
        <w:t>supra</w:t>
      </w:r>
      <w:r w:rsidRPr="00D13792">
        <w:rPr>
          <w:sz w:val="20"/>
          <w:szCs w:val="20"/>
        </w:rPr>
        <w:t xml:space="preserve"> párr. 91). En los hallazgos del EAFG se documentó la presencia de fracturas en el cuerpo y en diversas vértebras</w:t>
      </w:r>
      <w:r w:rsidRPr="00D13792">
        <w:rPr>
          <w:sz w:val="20"/>
          <w:szCs w:val="20"/>
          <w:vertAlign w:val="superscript"/>
        </w:rPr>
        <w:footnoteReference w:id="109"/>
      </w:r>
      <w:r w:rsidRPr="00D13792">
        <w:rPr>
          <w:sz w:val="20"/>
          <w:szCs w:val="20"/>
        </w:rPr>
        <w:t>.</w:t>
      </w:r>
    </w:p>
    <w:p w14:paraId="5B636C91" w14:textId="77777777" w:rsidR="006A0E1C" w:rsidRPr="00D13792" w:rsidRDefault="006A0E1C" w:rsidP="006A0E1C">
      <w:pPr>
        <w:spacing w:line="240" w:lineRule="auto"/>
        <w:rPr>
          <w:sz w:val="16"/>
          <w:szCs w:val="20"/>
        </w:rPr>
      </w:pPr>
    </w:p>
    <w:p w14:paraId="1048ED11" w14:textId="77777777" w:rsidR="006A0E1C" w:rsidRPr="00D13792" w:rsidRDefault="006A0E1C" w:rsidP="006A0E1C">
      <w:pPr>
        <w:pStyle w:val="Heading3"/>
        <w:ind w:left="0"/>
        <w:rPr>
          <w:i/>
          <w:lang w:val="es-CR"/>
        </w:rPr>
      </w:pPr>
      <w:bookmarkStart w:id="149" w:name="_Toc460938859"/>
      <w:bookmarkStart w:id="150" w:name="_Toc468443288"/>
      <w:bookmarkStart w:id="151" w:name="_Toc469670024"/>
      <w:r w:rsidRPr="00D13792">
        <w:rPr>
          <w:bCs/>
          <w:i/>
          <w:iCs/>
          <w:lang w:val="es-CR"/>
        </w:rPr>
        <w:t xml:space="preserve">B.11. </w:t>
      </w:r>
      <w:r w:rsidRPr="00D13792">
        <w:rPr>
          <w:i/>
          <w:lang w:val="es-CR"/>
        </w:rPr>
        <w:t>Ejecución de Elías Milián González y Amelia Milián Morales el 23 de marzo y 20 de abril de 1982</w:t>
      </w:r>
      <w:bookmarkEnd w:id="149"/>
      <w:bookmarkEnd w:id="150"/>
      <w:bookmarkEnd w:id="151"/>
    </w:p>
    <w:p w14:paraId="58BB585A" w14:textId="77777777" w:rsidR="006A0E1C" w:rsidRPr="00D13792" w:rsidRDefault="006A0E1C" w:rsidP="006A0E1C">
      <w:pPr>
        <w:spacing w:line="240" w:lineRule="auto"/>
        <w:rPr>
          <w:sz w:val="16"/>
          <w:szCs w:val="20"/>
        </w:rPr>
      </w:pPr>
    </w:p>
    <w:p w14:paraId="263950DC" w14:textId="77777777" w:rsidR="006A0E1C" w:rsidRPr="00D13792" w:rsidRDefault="006A0E1C" w:rsidP="006A0E1C">
      <w:pPr>
        <w:numPr>
          <w:ilvl w:val="0"/>
          <w:numId w:val="6"/>
        </w:numPr>
        <w:tabs>
          <w:tab w:val="left" w:pos="567"/>
        </w:tabs>
        <w:spacing w:line="240" w:lineRule="auto"/>
        <w:ind w:right="4"/>
        <w:rPr>
          <w:rFonts w:cs="Arial"/>
          <w:sz w:val="20"/>
          <w:szCs w:val="20"/>
        </w:rPr>
      </w:pPr>
      <w:r w:rsidRPr="00D13792">
        <w:rPr>
          <w:sz w:val="20"/>
          <w:szCs w:val="20"/>
        </w:rPr>
        <w:t xml:space="preserve">El </w:t>
      </w:r>
      <w:r w:rsidRPr="00D13792">
        <w:rPr>
          <w:bCs/>
          <w:sz w:val="20"/>
          <w:szCs w:val="20"/>
        </w:rPr>
        <w:t>22 de marzo de 1982</w:t>
      </w:r>
      <w:r w:rsidRPr="00D13792">
        <w:rPr>
          <w:sz w:val="20"/>
          <w:szCs w:val="20"/>
        </w:rPr>
        <w:t xml:space="preserve"> el señor Elías Milián González fue detenido por un grupo de militares mientras se dirigía al centro del municipio de Rabinal. Al día siguiente, fue trasladado </w:t>
      </w:r>
      <w:r w:rsidRPr="00D13792">
        <w:rPr>
          <w:sz w:val="20"/>
          <w:szCs w:val="20"/>
        </w:rPr>
        <w:lastRenderedPageBreak/>
        <w:t xml:space="preserve">a la clínica de Xeabaj y ahorcado </w:t>
      </w:r>
      <w:r w:rsidRPr="00D13792">
        <w:rPr>
          <w:rFonts w:cs="Arial"/>
          <w:sz w:val="20"/>
          <w:szCs w:val="20"/>
        </w:rPr>
        <w:t>en la aldea Chijom</w:t>
      </w:r>
      <w:r w:rsidRPr="00D13792">
        <w:rPr>
          <w:sz w:val="20"/>
          <w:szCs w:val="20"/>
        </w:rPr>
        <w:t xml:space="preserve">. Su cadáver fue localizado días después en un horno de panela por su familia, la cual procedió a </w:t>
      </w:r>
      <w:r w:rsidRPr="00D13792">
        <w:rPr>
          <w:rFonts w:cs="Arial"/>
          <w:sz w:val="20"/>
          <w:szCs w:val="20"/>
        </w:rPr>
        <w:t>sepultarlo en ese mismo lugar</w:t>
      </w:r>
      <w:r w:rsidRPr="00D13792">
        <w:rPr>
          <w:sz w:val="20"/>
          <w:szCs w:val="20"/>
        </w:rPr>
        <w:t xml:space="preserve">. El 20 de abril de 1982 un grupo de militares llegó a la aldea Toloxcoc e ingresó a la vivienda de Amelia Milián Morales, hija de Elías Milián, y a esta la detuvieron y se la llevaron. Su cadáver fue localizado ese mismo día en un horno </w:t>
      </w:r>
      <w:r w:rsidRPr="00D13792">
        <w:rPr>
          <w:rFonts w:cs="Arial"/>
          <w:sz w:val="20"/>
          <w:szCs w:val="20"/>
        </w:rPr>
        <w:t>de panela de</w:t>
      </w:r>
      <w:r w:rsidRPr="00D13792">
        <w:rPr>
          <w:sz w:val="20"/>
          <w:szCs w:val="20"/>
        </w:rPr>
        <w:t xml:space="preserve"> </w:t>
      </w:r>
      <w:r w:rsidRPr="00D13792">
        <w:rPr>
          <w:rFonts w:cs="Arial"/>
          <w:sz w:val="20"/>
          <w:szCs w:val="20"/>
        </w:rPr>
        <w:t>dulce</w:t>
      </w:r>
      <w:r w:rsidRPr="00D13792">
        <w:rPr>
          <w:sz w:val="20"/>
          <w:szCs w:val="20"/>
        </w:rPr>
        <w:t xml:space="preserve"> en dicha aldea por una de sus hermanas, quien procedió a enterrarlo</w:t>
      </w:r>
      <w:r w:rsidRPr="00D13792">
        <w:rPr>
          <w:sz w:val="20"/>
          <w:szCs w:val="20"/>
          <w:vertAlign w:val="superscript"/>
        </w:rPr>
        <w:footnoteReference w:id="110"/>
      </w:r>
      <w:r w:rsidRPr="00D13792">
        <w:rPr>
          <w:sz w:val="20"/>
          <w:szCs w:val="20"/>
        </w:rPr>
        <w:t xml:space="preserve">. </w:t>
      </w:r>
    </w:p>
    <w:p w14:paraId="7FDFCB6E" w14:textId="77777777" w:rsidR="006A0E1C" w:rsidRPr="00D13792" w:rsidRDefault="006A0E1C" w:rsidP="006A0E1C">
      <w:pPr>
        <w:spacing w:line="240" w:lineRule="auto"/>
        <w:rPr>
          <w:rFonts w:cs="Arial"/>
          <w:sz w:val="20"/>
          <w:szCs w:val="20"/>
        </w:rPr>
      </w:pPr>
    </w:p>
    <w:p w14:paraId="478C2E0D" w14:textId="77777777" w:rsidR="006A0E1C" w:rsidRPr="00D13792" w:rsidRDefault="006A0E1C" w:rsidP="006A0E1C">
      <w:pPr>
        <w:numPr>
          <w:ilvl w:val="0"/>
          <w:numId w:val="6"/>
        </w:numPr>
        <w:tabs>
          <w:tab w:val="left" w:pos="567"/>
        </w:tabs>
        <w:spacing w:line="240" w:lineRule="auto"/>
        <w:ind w:right="4"/>
        <w:rPr>
          <w:rFonts w:cs="Arial"/>
          <w:sz w:val="20"/>
          <w:szCs w:val="20"/>
        </w:rPr>
      </w:pPr>
      <w:r w:rsidRPr="00D13792">
        <w:rPr>
          <w:sz w:val="20"/>
          <w:szCs w:val="20"/>
        </w:rPr>
        <w:t xml:space="preserve">En el año 2007 se realizaron diligencias de exhumación en </w:t>
      </w:r>
      <w:r w:rsidRPr="00D13792">
        <w:rPr>
          <w:rFonts w:cs="Arial"/>
          <w:sz w:val="20"/>
          <w:szCs w:val="20"/>
        </w:rPr>
        <w:t>Toloxcoc a fin de localizar</w:t>
      </w:r>
      <w:r w:rsidRPr="00D13792">
        <w:rPr>
          <w:sz w:val="20"/>
          <w:szCs w:val="20"/>
        </w:rPr>
        <w:t>, entre otros,</w:t>
      </w:r>
      <w:r w:rsidRPr="00D13792">
        <w:rPr>
          <w:rFonts w:cs="Arial"/>
          <w:sz w:val="20"/>
          <w:szCs w:val="20"/>
        </w:rPr>
        <w:t xml:space="preserve"> los restos de </w:t>
      </w:r>
      <w:r w:rsidRPr="00D13792">
        <w:rPr>
          <w:sz w:val="20"/>
          <w:szCs w:val="20"/>
        </w:rPr>
        <w:t>Amelia Milián Morales</w:t>
      </w:r>
      <w:r w:rsidRPr="00D13792">
        <w:rPr>
          <w:rFonts w:cs="Arial"/>
          <w:sz w:val="20"/>
          <w:szCs w:val="20"/>
        </w:rPr>
        <w:t xml:space="preserve">. Mediante un peritaje de la FAFG, en el año 2008 se informó que se encontraron los restos óseos, ropa y efectos personales de tres individuos: </w:t>
      </w:r>
      <w:r w:rsidRPr="00D13792">
        <w:rPr>
          <w:sz w:val="20"/>
          <w:szCs w:val="20"/>
        </w:rPr>
        <w:t>“un femenino adulto, un masculino de grupo etario no determinado, así como un individuo de sexo y de grupo etario no determinado”. Sin embargo, no fue posible su identificación</w:t>
      </w:r>
      <w:r w:rsidRPr="00D13792">
        <w:rPr>
          <w:rFonts w:cs="Arial"/>
          <w:sz w:val="20"/>
          <w:szCs w:val="20"/>
        </w:rPr>
        <w:t xml:space="preserve"> ni </w:t>
      </w:r>
      <w:r w:rsidRPr="00D13792">
        <w:rPr>
          <w:sz w:val="20"/>
          <w:szCs w:val="20"/>
        </w:rPr>
        <w:t>la determinación de la causa de su muerte, sin que ello signifique que, según el informe forense, se debiera descartar “que las mismas correspondan a los individuos buscados”. Las tres osamentas fueron entregadas en calidad de depósito a Tarcila Milián Morales</w:t>
      </w:r>
      <w:r w:rsidRPr="00D13792">
        <w:rPr>
          <w:rStyle w:val="FootnoteReference"/>
          <w:sz w:val="20"/>
          <w:szCs w:val="20"/>
        </w:rPr>
        <w:footnoteReference w:id="111"/>
      </w:r>
      <w:r w:rsidRPr="00D13792">
        <w:rPr>
          <w:rFonts w:cs="Arial"/>
          <w:sz w:val="20"/>
          <w:szCs w:val="20"/>
        </w:rPr>
        <w:t xml:space="preserve">. Posteriormente, en el año 2010 se realizó una diligencia de exhumación de restos en Chijom, seguida de un </w:t>
      </w:r>
      <w:r w:rsidRPr="00D13792">
        <w:rPr>
          <w:sz w:val="20"/>
          <w:szCs w:val="20"/>
        </w:rPr>
        <w:t>análisis antropológico forense</w:t>
      </w:r>
      <w:r w:rsidRPr="00D13792">
        <w:rPr>
          <w:rFonts w:cs="Arial"/>
          <w:sz w:val="20"/>
          <w:szCs w:val="20"/>
        </w:rPr>
        <w:t xml:space="preserve">. En el informe </w:t>
      </w:r>
      <w:r w:rsidRPr="00D13792">
        <w:rPr>
          <w:sz w:val="20"/>
          <w:szCs w:val="20"/>
        </w:rPr>
        <w:t xml:space="preserve">forense </w:t>
      </w:r>
      <w:r w:rsidRPr="00D13792">
        <w:rPr>
          <w:rFonts w:cs="Arial"/>
          <w:sz w:val="20"/>
          <w:szCs w:val="20"/>
        </w:rPr>
        <w:t xml:space="preserve">elaborado </w:t>
      </w:r>
      <w:r w:rsidRPr="00D13792">
        <w:rPr>
          <w:sz w:val="20"/>
          <w:szCs w:val="20"/>
        </w:rPr>
        <w:t xml:space="preserve">en el año 2011 </w:t>
      </w:r>
      <w:r w:rsidRPr="00D13792">
        <w:rPr>
          <w:rFonts w:cs="Arial"/>
          <w:sz w:val="20"/>
          <w:szCs w:val="20"/>
        </w:rPr>
        <w:t>por la FAFG</w:t>
      </w:r>
      <w:r w:rsidRPr="00D13792">
        <w:rPr>
          <w:sz w:val="20"/>
          <w:szCs w:val="20"/>
        </w:rPr>
        <w:t xml:space="preserve"> se logró concluir que dichos restos pertenecían al señor Elías Milián González</w:t>
      </w:r>
      <w:r w:rsidRPr="00D13792">
        <w:rPr>
          <w:rFonts w:cs="Arial"/>
          <w:sz w:val="20"/>
          <w:szCs w:val="20"/>
        </w:rPr>
        <w:t xml:space="preserve">, y </w:t>
      </w:r>
      <w:r w:rsidRPr="00D13792">
        <w:rPr>
          <w:sz w:val="20"/>
          <w:szCs w:val="20"/>
        </w:rPr>
        <w:t xml:space="preserve">que el individuo “recibió al menos un impacto contuso en [la] mandibular”. </w:t>
      </w:r>
      <w:r w:rsidRPr="00D13792">
        <w:rPr>
          <w:rFonts w:cs="Arial"/>
          <w:sz w:val="20"/>
          <w:szCs w:val="20"/>
        </w:rPr>
        <w:t xml:space="preserve">El 18 de abril de 2012 el </w:t>
      </w:r>
      <w:r w:rsidRPr="00D13792">
        <w:rPr>
          <w:rStyle w:val="CommentReference"/>
          <w:rFonts w:cs="Arial"/>
          <w:sz w:val="20"/>
          <w:szCs w:val="20"/>
        </w:rPr>
        <w:t>auxiliar Fiscal de la Fiscalía Municipal del Ministerio Público de Rabinal</w:t>
      </w:r>
      <w:r w:rsidRPr="00D13792">
        <w:rPr>
          <w:sz w:val="20"/>
          <w:szCs w:val="20"/>
        </w:rPr>
        <w:t xml:space="preserve"> entregó los</w:t>
      </w:r>
      <w:r w:rsidRPr="00D13792">
        <w:rPr>
          <w:rStyle w:val="CommentReference"/>
          <w:rFonts w:cs="Arial"/>
          <w:sz w:val="20"/>
          <w:szCs w:val="20"/>
        </w:rPr>
        <w:t xml:space="preserve"> restos del señor Milián a su hija Tarcila Milián</w:t>
      </w:r>
      <w:r w:rsidRPr="00D13792">
        <w:rPr>
          <w:rStyle w:val="FootnoteReference"/>
          <w:rFonts w:cs="Arial"/>
          <w:sz w:val="20"/>
          <w:szCs w:val="20"/>
        </w:rPr>
        <w:footnoteReference w:id="112"/>
      </w:r>
      <w:r w:rsidRPr="00D13792">
        <w:rPr>
          <w:rStyle w:val="CommentReference"/>
          <w:rFonts w:cs="Arial"/>
          <w:sz w:val="20"/>
          <w:szCs w:val="20"/>
        </w:rPr>
        <w:t>.</w:t>
      </w:r>
    </w:p>
    <w:p w14:paraId="67CF828F" w14:textId="77777777" w:rsidR="006A0E1C" w:rsidRPr="00D13792" w:rsidRDefault="006A0E1C" w:rsidP="006A0E1C">
      <w:pPr>
        <w:spacing w:line="240" w:lineRule="auto"/>
        <w:rPr>
          <w:sz w:val="16"/>
          <w:szCs w:val="20"/>
        </w:rPr>
      </w:pPr>
    </w:p>
    <w:p w14:paraId="1ED09FFD" w14:textId="77777777" w:rsidR="006A0E1C" w:rsidRPr="00D13792" w:rsidRDefault="006A0E1C" w:rsidP="006A0E1C">
      <w:pPr>
        <w:pStyle w:val="Heading3"/>
        <w:ind w:left="0"/>
        <w:rPr>
          <w:i/>
          <w:lang w:val="es-CR"/>
        </w:rPr>
      </w:pPr>
      <w:bookmarkStart w:id="152" w:name="_Toc460938860"/>
      <w:bookmarkStart w:id="153" w:name="_Toc468443289"/>
      <w:bookmarkStart w:id="154" w:name="_Toc469670025"/>
      <w:r w:rsidRPr="00D13792">
        <w:rPr>
          <w:bCs/>
          <w:i/>
          <w:iCs/>
          <w:lang w:val="es-CR"/>
        </w:rPr>
        <w:t>B.12. V</w:t>
      </w:r>
      <w:r w:rsidRPr="00D13792">
        <w:rPr>
          <w:i/>
          <w:lang w:val="es-CR"/>
        </w:rPr>
        <w:t>iolación sexual y ejecución de Gregoria Valey lxtecoc el 22 de noviembre de 1982</w:t>
      </w:r>
      <w:bookmarkEnd w:id="152"/>
      <w:bookmarkEnd w:id="153"/>
      <w:bookmarkEnd w:id="154"/>
    </w:p>
    <w:p w14:paraId="44965FF0" w14:textId="77777777" w:rsidR="006A0E1C" w:rsidRPr="00D13792" w:rsidRDefault="006A0E1C" w:rsidP="006A0E1C">
      <w:pPr>
        <w:spacing w:line="240" w:lineRule="auto"/>
        <w:rPr>
          <w:b/>
          <w:i/>
          <w:sz w:val="16"/>
          <w:szCs w:val="20"/>
        </w:rPr>
      </w:pPr>
    </w:p>
    <w:p w14:paraId="57EB4869" w14:textId="77777777" w:rsidR="006A0E1C" w:rsidRPr="00D13792" w:rsidRDefault="006A0E1C" w:rsidP="006A0E1C">
      <w:pPr>
        <w:numPr>
          <w:ilvl w:val="0"/>
          <w:numId w:val="6"/>
        </w:numPr>
        <w:tabs>
          <w:tab w:val="left" w:pos="567"/>
        </w:tabs>
        <w:spacing w:line="240" w:lineRule="auto"/>
        <w:ind w:right="4"/>
        <w:rPr>
          <w:rFonts w:cs="Arial"/>
          <w:sz w:val="20"/>
          <w:szCs w:val="20"/>
        </w:rPr>
      </w:pPr>
      <w:r w:rsidRPr="00D13792">
        <w:rPr>
          <w:sz w:val="20"/>
          <w:szCs w:val="20"/>
        </w:rPr>
        <w:t>Por</w:t>
      </w:r>
      <w:r w:rsidRPr="00D13792">
        <w:rPr>
          <w:rFonts w:cs="Arial"/>
          <w:sz w:val="20"/>
          <w:szCs w:val="20"/>
        </w:rPr>
        <w:t xml:space="preserve"> la mañana del 22 de noviembre de 1982 un grupo de militares y miembros de las PAC </w:t>
      </w:r>
      <w:r w:rsidRPr="00D13792">
        <w:rPr>
          <w:sz w:val="20"/>
          <w:szCs w:val="20"/>
        </w:rPr>
        <w:t>llegó</w:t>
      </w:r>
      <w:r w:rsidRPr="00D13792">
        <w:rPr>
          <w:rFonts w:cs="Arial"/>
          <w:sz w:val="20"/>
          <w:szCs w:val="20"/>
        </w:rPr>
        <w:t xml:space="preserve"> a la aldea Chichupac e ingresaron a la vivienda de la señora Gregoria Valey lxtecoc, quien </w:t>
      </w:r>
      <w:r w:rsidRPr="00D13792">
        <w:rPr>
          <w:sz w:val="20"/>
          <w:szCs w:val="20"/>
        </w:rPr>
        <w:t>tenía entre cuatro y ocho meses de embarazo</w:t>
      </w:r>
      <w:r w:rsidRPr="00D13792">
        <w:rPr>
          <w:rFonts w:cs="Arial"/>
          <w:sz w:val="20"/>
          <w:szCs w:val="20"/>
        </w:rPr>
        <w:t xml:space="preserve">. Luego de preguntarle por su esposo, quien no se encontraba, los militares se retiraron. Alrededor del mediodía el grupo de militares regresó a la vivienda de la señora Valey, la violaron sexualmente y posteriormente la colgaron en el techo de su vivienda con un lazo y la ahorcaron. Luego de ello quemaron la vivienda. Ese mismo día sus restos fueron enterrados por sus familiares cerca de ese lugar. </w:t>
      </w:r>
      <w:r w:rsidRPr="00D13792">
        <w:rPr>
          <w:sz w:val="20"/>
          <w:szCs w:val="20"/>
        </w:rPr>
        <w:t xml:space="preserve">En el año 2002 miembros de la FAFG identificaron dicha fosa, la cual hacía parte de un cementerio clandestino en el que se exhumaron e identificaron los restos de </w:t>
      </w:r>
      <w:r w:rsidRPr="00D13792">
        <w:rPr>
          <w:rFonts w:cs="Arial"/>
          <w:sz w:val="20"/>
          <w:szCs w:val="20"/>
        </w:rPr>
        <w:t>Gregoria Valey,</w:t>
      </w:r>
      <w:r w:rsidRPr="00D13792">
        <w:rPr>
          <w:sz w:val="20"/>
          <w:szCs w:val="20"/>
        </w:rPr>
        <w:t xml:space="preserve"> entre otros</w:t>
      </w:r>
      <w:r w:rsidRPr="00D13792">
        <w:rPr>
          <w:sz w:val="20"/>
          <w:szCs w:val="20"/>
          <w:vertAlign w:val="superscript"/>
        </w:rPr>
        <w:footnoteReference w:id="113"/>
      </w:r>
      <w:r w:rsidRPr="00D13792">
        <w:rPr>
          <w:sz w:val="20"/>
          <w:szCs w:val="20"/>
        </w:rPr>
        <w:t>.</w:t>
      </w:r>
    </w:p>
    <w:p w14:paraId="7845D642" w14:textId="77777777" w:rsidR="006A0E1C" w:rsidRPr="00D13792" w:rsidRDefault="006A0E1C" w:rsidP="006A0E1C">
      <w:pPr>
        <w:spacing w:line="240" w:lineRule="auto"/>
        <w:rPr>
          <w:sz w:val="16"/>
          <w:szCs w:val="20"/>
        </w:rPr>
      </w:pPr>
    </w:p>
    <w:p w14:paraId="2A399452" w14:textId="77777777" w:rsidR="006A0E1C" w:rsidRPr="00D13792" w:rsidRDefault="006A0E1C" w:rsidP="006A0E1C">
      <w:pPr>
        <w:pStyle w:val="Heading3"/>
        <w:ind w:left="0"/>
        <w:rPr>
          <w:i/>
          <w:lang w:val="es-CR"/>
        </w:rPr>
      </w:pPr>
      <w:bookmarkStart w:id="155" w:name="_Toc460938861"/>
      <w:bookmarkStart w:id="156" w:name="_Toc468443290"/>
      <w:bookmarkStart w:id="157" w:name="_Toc469670026"/>
      <w:r w:rsidRPr="00D13792">
        <w:rPr>
          <w:bCs/>
          <w:i/>
          <w:iCs/>
          <w:lang w:val="es-CR"/>
        </w:rPr>
        <w:t xml:space="preserve">B.13. </w:t>
      </w:r>
      <w:r w:rsidRPr="00D13792">
        <w:rPr>
          <w:i/>
          <w:lang w:val="es-CR"/>
        </w:rPr>
        <w:t>Desaparición de Juan Pérez Sic desde el 15 de</w:t>
      </w:r>
      <w:r w:rsidRPr="00D13792">
        <w:rPr>
          <w:bCs/>
          <w:i/>
          <w:iCs/>
          <w:lang w:val="es-CR"/>
        </w:rPr>
        <w:t xml:space="preserve"> </w:t>
      </w:r>
      <w:r w:rsidRPr="00D13792">
        <w:rPr>
          <w:i/>
          <w:lang w:val="es-CR"/>
        </w:rPr>
        <w:t>noviembre de 1981</w:t>
      </w:r>
      <w:bookmarkEnd w:id="155"/>
      <w:bookmarkEnd w:id="156"/>
      <w:bookmarkEnd w:id="157"/>
    </w:p>
    <w:p w14:paraId="7DFBC874" w14:textId="77777777" w:rsidR="006A0E1C" w:rsidRPr="00D13792" w:rsidRDefault="006A0E1C" w:rsidP="006A0E1C">
      <w:pPr>
        <w:spacing w:line="240" w:lineRule="auto"/>
        <w:rPr>
          <w:sz w:val="20"/>
          <w:szCs w:val="20"/>
        </w:rPr>
      </w:pPr>
    </w:p>
    <w:p w14:paraId="3F4612F6" w14:textId="77777777" w:rsidR="006A0E1C" w:rsidRPr="00D13792" w:rsidRDefault="006A0E1C" w:rsidP="006A0E1C">
      <w:pPr>
        <w:numPr>
          <w:ilvl w:val="0"/>
          <w:numId w:val="6"/>
        </w:numPr>
        <w:tabs>
          <w:tab w:val="left" w:pos="567"/>
        </w:tabs>
        <w:spacing w:line="240" w:lineRule="auto"/>
        <w:ind w:right="4"/>
        <w:rPr>
          <w:rFonts w:cs="Calibri"/>
          <w:sz w:val="20"/>
          <w:szCs w:val="20"/>
        </w:rPr>
      </w:pPr>
      <w:r w:rsidRPr="00D13792">
        <w:rPr>
          <w:rFonts w:cs="Calibri"/>
          <w:sz w:val="20"/>
          <w:szCs w:val="20"/>
        </w:rPr>
        <w:t xml:space="preserve">El 15 de noviembre de 1981 a las 18:00 horas aproximadamente, un grupo de “judiciales” llegó a la vivienda de Manuela Toj Pérez y Juan Pérez Sic. Este último salió a atenderlos mientras que algunos de los hombres entraron a la casa a registrarla y </w:t>
      </w:r>
      <w:r w:rsidRPr="00D13792">
        <w:rPr>
          <w:sz w:val="20"/>
          <w:szCs w:val="20"/>
        </w:rPr>
        <w:t>posteriormente</w:t>
      </w:r>
      <w:r w:rsidRPr="00D13792">
        <w:rPr>
          <w:rFonts w:cs="Calibri"/>
          <w:sz w:val="20"/>
          <w:szCs w:val="20"/>
        </w:rPr>
        <w:t xml:space="preserve"> se marcharon. Esa fue la última vez que Manuela Toj vio con vida a Juan Pérez, </w:t>
      </w:r>
      <w:r w:rsidRPr="00D13792">
        <w:rPr>
          <w:rFonts w:cs="Calibri"/>
          <w:sz w:val="20"/>
          <w:szCs w:val="20"/>
        </w:rPr>
        <w:lastRenderedPageBreak/>
        <w:t>pues desde esa fecha se desconoce su paradero</w:t>
      </w:r>
      <w:r w:rsidRPr="00D13792">
        <w:rPr>
          <w:rStyle w:val="FootnoteReference"/>
          <w:rFonts w:cs="Calibri"/>
          <w:sz w:val="20"/>
          <w:szCs w:val="20"/>
        </w:rPr>
        <w:footnoteReference w:id="114"/>
      </w:r>
      <w:r w:rsidRPr="00D13792">
        <w:rPr>
          <w:rFonts w:cs="Calibri"/>
          <w:sz w:val="20"/>
          <w:szCs w:val="20"/>
        </w:rPr>
        <w:t>.</w:t>
      </w:r>
    </w:p>
    <w:p w14:paraId="7E5234EA" w14:textId="77777777" w:rsidR="006A0E1C" w:rsidRPr="00D13792" w:rsidRDefault="006A0E1C" w:rsidP="006A0E1C">
      <w:pPr>
        <w:spacing w:line="240" w:lineRule="auto"/>
        <w:rPr>
          <w:sz w:val="16"/>
          <w:szCs w:val="20"/>
        </w:rPr>
      </w:pPr>
    </w:p>
    <w:p w14:paraId="32C4F523" w14:textId="77777777" w:rsidR="006A0E1C" w:rsidRPr="00D13792" w:rsidRDefault="006A0E1C" w:rsidP="006A0E1C">
      <w:pPr>
        <w:pStyle w:val="Heading3"/>
        <w:ind w:left="0"/>
        <w:rPr>
          <w:i/>
          <w:lang w:val="es-CR"/>
        </w:rPr>
      </w:pPr>
      <w:bookmarkStart w:id="158" w:name="_Toc460938862"/>
      <w:bookmarkStart w:id="159" w:name="_Toc468443291"/>
      <w:bookmarkStart w:id="160" w:name="_Toc469670027"/>
      <w:r w:rsidRPr="00D13792">
        <w:rPr>
          <w:bCs/>
          <w:i/>
          <w:iCs/>
          <w:lang w:val="es-CR"/>
        </w:rPr>
        <w:t xml:space="preserve">B.14. </w:t>
      </w:r>
      <w:r w:rsidRPr="00D13792">
        <w:rPr>
          <w:i/>
          <w:lang w:val="es-CR"/>
        </w:rPr>
        <w:t>Desaparición de ocho personas desde el 26 de</w:t>
      </w:r>
      <w:r w:rsidRPr="00D13792">
        <w:rPr>
          <w:bCs/>
          <w:i/>
          <w:iCs/>
          <w:lang w:val="es-CR"/>
        </w:rPr>
        <w:t xml:space="preserve"> </w:t>
      </w:r>
      <w:r w:rsidRPr="00D13792">
        <w:rPr>
          <w:i/>
          <w:lang w:val="es-CR"/>
        </w:rPr>
        <w:t>noviembre de 1982 y detención de Napoleón García De Paz ese mismo día</w:t>
      </w:r>
      <w:bookmarkEnd w:id="158"/>
      <w:bookmarkEnd w:id="159"/>
      <w:bookmarkEnd w:id="160"/>
    </w:p>
    <w:p w14:paraId="48FD0A91" w14:textId="77777777" w:rsidR="006A0E1C" w:rsidRPr="00D13792" w:rsidRDefault="006A0E1C" w:rsidP="006A0E1C">
      <w:pPr>
        <w:spacing w:line="240" w:lineRule="auto"/>
        <w:rPr>
          <w:sz w:val="16"/>
          <w:szCs w:val="20"/>
        </w:rPr>
      </w:pPr>
    </w:p>
    <w:p w14:paraId="2E8B482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la tarde del </w:t>
      </w:r>
      <w:r w:rsidRPr="00D13792">
        <w:rPr>
          <w:bCs/>
          <w:sz w:val="20"/>
          <w:szCs w:val="20"/>
        </w:rPr>
        <w:t>26 de noviembre de 1982</w:t>
      </w:r>
      <w:r w:rsidRPr="00D13792">
        <w:rPr>
          <w:sz w:val="20"/>
          <w:szCs w:val="20"/>
        </w:rPr>
        <w:t>, un grupo de militares y de las PAC llegó a las aldeas Xeabaj y Chijom, en donde detuvieron y retiraron de sus viviendas a las siguientes nueve personas: Gorgonio Gonzalez Gonzalez; Gabino Román Yvoy (o Iboy o Ivoy); Cruz Pérez Ampérez; Eustaquio lxtecoc Gonzalez (</w:t>
      </w:r>
      <w:r w:rsidRPr="00D13792">
        <w:rPr>
          <w:rFonts w:cs="Calibri"/>
          <w:sz w:val="20"/>
          <w:szCs w:val="20"/>
        </w:rPr>
        <w:t>o Eustaquio Yxtecoc Gonzalez)</w:t>
      </w:r>
      <w:r w:rsidRPr="00D13792">
        <w:rPr>
          <w:sz w:val="20"/>
          <w:szCs w:val="20"/>
        </w:rPr>
        <w:t>; Jorge Galeano Román; Rafael Depaz Tecú; Enrique Mendoza Sis; Dionisio Vachán (</w:t>
      </w:r>
      <w:r w:rsidRPr="00D13792">
        <w:rPr>
          <w:rFonts w:cs="Calibri"/>
          <w:sz w:val="20"/>
          <w:szCs w:val="20"/>
        </w:rPr>
        <w:t>o</w:t>
      </w:r>
      <w:r w:rsidRPr="00D13792">
        <w:rPr>
          <w:sz w:val="20"/>
          <w:szCs w:val="20"/>
        </w:rPr>
        <w:t xml:space="preserve"> </w:t>
      </w:r>
      <w:r w:rsidRPr="00D13792">
        <w:rPr>
          <w:rFonts w:cs="Calibri"/>
          <w:sz w:val="20"/>
          <w:szCs w:val="20"/>
        </w:rPr>
        <w:t>Bachan)</w:t>
      </w:r>
      <w:r w:rsidRPr="00D13792">
        <w:rPr>
          <w:sz w:val="20"/>
          <w:szCs w:val="20"/>
        </w:rPr>
        <w:t xml:space="preserve">, y Napoleón García De Paz (o Napoleón García Depaz o Napoleón García de Páz). Estas nueve personas fueron amarradas de las manos y llevadas al cementerio San Francisco en la aldea Xeabaj. El señor Napoleón García De Paz relató a la Corte que en ese lugar los pusieron boca abajo con las manos atadas y les dieron culatazos en la espalda. </w:t>
      </w:r>
      <w:r w:rsidRPr="00D13792">
        <w:rPr>
          <w:rFonts w:cs="Calibri"/>
          <w:sz w:val="20"/>
          <w:szCs w:val="20"/>
        </w:rPr>
        <w:t xml:space="preserve">Aproximadamente a la 1:00 a.m., </w:t>
      </w:r>
      <w:r w:rsidRPr="00D13792">
        <w:rPr>
          <w:sz w:val="20"/>
          <w:szCs w:val="20"/>
        </w:rPr>
        <w:t xml:space="preserve">pudo desatar sus manos y fue el </w:t>
      </w:r>
      <w:r w:rsidRPr="00D13792">
        <w:rPr>
          <w:rFonts w:cs="Calibri"/>
          <w:sz w:val="20"/>
          <w:szCs w:val="20"/>
        </w:rPr>
        <w:t>único que logró escapar</w:t>
      </w:r>
      <w:r w:rsidRPr="00D13792">
        <w:rPr>
          <w:rStyle w:val="FootnoteReference"/>
          <w:sz w:val="20"/>
          <w:szCs w:val="20"/>
        </w:rPr>
        <w:footnoteReference w:id="115"/>
      </w:r>
      <w:r w:rsidRPr="00D13792">
        <w:rPr>
          <w:sz w:val="20"/>
          <w:szCs w:val="20"/>
        </w:rPr>
        <w:t xml:space="preserve">. </w:t>
      </w:r>
    </w:p>
    <w:p w14:paraId="305AB93C" w14:textId="77777777" w:rsidR="006A0E1C" w:rsidRPr="00D13792" w:rsidRDefault="006A0E1C" w:rsidP="006A0E1C">
      <w:pPr>
        <w:spacing w:line="240" w:lineRule="auto"/>
        <w:rPr>
          <w:sz w:val="20"/>
          <w:szCs w:val="20"/>
        </w:rPr>
      </w:pPr>
    </w:p>
    <w:p w14:paraId="238102D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el año 2004 miembros de la FAFG realizaron excavaciones en el cementerio municipal de Xeabaj, sin que se lograra localizar los restos óseos buscados. En el informe elaborado se explicó que “el área de trabajo era muy reducida por encontrarse en medio de los nichos construidos en este lugar y también que los testigos no tenían una ubicación exacta de donde se encontraba el enterramiento, por lo cual no se pudieron hallar los restos óseos señalados”</w:t>
      </w:r>
      <w:r w:rsidRPr="00D13792">
        <w:rPr>
          <w:rStyle w:val="FootnoteReference"/>
          <w:sz w:val="20"/>
          <w:szCs w:val="20"/>
        </w:rPr>
        <w:footnoteReference w:id="116"/>
      </w:r>
      <w:r w:rsidRPr="00D13792">
        <w:rPr>
          <w:sz w:val="20"/>
          <w:szCs w:val="20"/>
        </w:rPr>
        <w:t>. Asimismo, consta que el 22 de diciembre de 2014 la FAFG presentó ante el Ministerio Público un Dictamen Pericial de la Investigación Antropológico Forense llevada a cabo en el Cementerio San Francisco, aldea Chuateguá, los días 7 de marzo de 2012 y 20 de marzo de 2013, sin encontrar los restos buscadas</w:t>
      </w:r>
      <w:r w:rsidRPr="00D13792">
        <w:rPr>
          <w:rStyle w:val="FootnoteReference"/>
          <w:sz w:val="20"/>
          <w:szCs w:val="20"/>
        </w:rPr>
        <w:footnoteReference w:id="117"/>
      </w:r>
      <w:r w:rsidRPr="00D13792">
        <w:rPr>
          <w:sz w:val="20"/>
          <w:szCs w:val="20"/>
        </w:rPr>
        <w:t>. A la fecha se desconoce el paradero de los ocho hombres.</w:t>
      </w:r>
    </w:p>
    <w:p w14:paraId="27560BD5" w14:textId="77777777" w:rsidR="006A0E1C" w:rsidRPr="00D13792" w:rsidRDefault="006A0E1C" w:rsidP="006A0E1C">
      <w:pPr>
        <w:spacing w:line="240" w:lineRule="auto"/>
        <w:rPr>
          <w:sz w:val="16"/>
          <w:szCs w:val="20"/>
        </w:rPr>
      </w:pPr>
    </w:p>
    <w:p w14:paraId="2B10A02E" w14:textId="77777777" w:rsidR="006A0E1C" w:rsidRPr="00D13792" w:rsidRDefault="006A0E1C" w:rsidP="006A0E1C">
      <w:pPr>
        <w:pStyle w:val="Heading3"/>
        <w:ind w:left="0"/>
        <w:rPr>
          <w:bCs/>
          <w:i/>
          <w:iCs/>
          <w:lang w:val="es-CR"/>
        </w:rPr>
      </w:pPr>
      <w:bookmarkStart w:id="161" w:name="_Toc460938863"/>
      <w:bookmarkStart w:id="162" w:name="_Toc468443292"/>
      <w:bookmarkStart w:id="163" w:name="_Toc469670028"/>
      <w:r w:rsidRPr="00D13792">
        <w:rPr>
          <w:bCs/>
          <w:i/>
          <w:iCs/>
          <w:lang w:val="es-CR"/>
        </w:rPr>
        <w:t xml:space="preserve">B.15. </w:t>
      </w:r>
      <w:r w:rsidRPr="00D13792">
        <w:rPr>
          <w:i/>
          <w:lang w:val="es-CR"/>
        </w:rPr>
        <w:t>Ejecución de ocho personas el 2 de marzo de 1983</w:t>
      </w:r>
      <w:bookmarkEnd w:id="161"/>
      <w:bookmarkEnd w:id="162"/>
      <w:bookmarkEnd w:id="163"/>
    </w:p>
    <w:p w14:paraId="37DDC839" w14:textId="77777777" w:rsidR="006A0E1C" w:rsidRPr="00D13792" w:rsidRDefault="006A0E1C" w:rsidP="006A0E1C">
      <w:pPr>
        <w:spacing w:line="240" w:lineRule="auto"/>
        <w:rPr>
          <w:sz w:val="16"/>
          <w:szCs w:val="20"/>
        </w:rPr>
      </w:pPr>
    </w:p>
    <w:p w14:paraId="5256FF6F"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w:t>
      </w:r>
      <w:r w:rsidRPr="00D13792">
        <w:rPr>
          <w:bCs/>
          <w:sz w:val="20"/>
          <w:szCs w:val="20"/>
        </w:rPr>
        <w:t>2 de marzo de 1983</w:t>
      </w:r>
      <w:r w:rsidRPr="00D13792">
        <w:rPr>
          <w:sz w:val="20"/>
          <w:szCs w:val="20"/>
        </w:rPr>
        <w:t xml:space="preserve">, alrededor de las 5:00 a.m., un grupo de aproximadamente 18 personas que había huido a la montaña buscando refugio por la situación violenta de la zona, fue sorprendido por miembros del Ejército Nacional mientras dormían en una choza que les servía de refugio. Al verlos, los militares procedieron a disparar y algunas personas lograron escapar, entre ellas, el señor Napoleón García De Paz, su esposa e hijos. En la huida el señor Napoleón García recibió dos disparos en un dedo de la mano y en el pie. Las siguientes ocho personas de la aldea Xeabaj fueron ejecutadas a tiros y a machetazos: cinco niñas y niños, Rosa González Tecú de 10 años, María Concepción Xitumul Xitumul (o Maria Ixtococ Chitimul) de 5 años, Héctor Rolando Alvarado García de 4 años, Adela Florentina Alvarado García (o Delia Alvarado García) de 1 año y una niña de nombre desconocido de entre 0 y 3 meses; dos mujeres, </w:t>
      </w:r>
      <w:r w:rsidRPr="00D13792">
        <w:rPr>
          <w:rFonts w:cs="Calibri"/>
          <w:sz w:val="20"/>
          <w:szCs w:val="20"/>
        </w:rPr>
        <w:t>Enriqueta Tecú</w:t>
      </w:r>
      <w:r w:rsidRPr="00D13792">
        <w:rPr>
          <w:sz w:val="20"/>
          <w:szCs w:val="20"/>
        </w:rPr>
        <w:t xml:space="preserve"> (o Enriqueta Tecú Chiquito) y Lucía Xitumul Ixpancoc (o Luciana Xitumul Ixpancoc), y un hombre, Luciano Alvarado Xitumul (o Luciano Alvarado Chitimul). Sus cuerpos fueron enterrados en una fosa clandestina en la aldea Xeabaj por vecinos y </w:t>
      </w:r>
      <w:r w:rsidRPr="00D13792">
        <w:rPr>
          <w:sz w:val="20"/>
          <w:szCs w:val="20"/>
        </w:rPr>
        <w:lastRenderedPageBreak/>
        <w:t>familiares</w:t>
      </w:r>
      <w:r w:rsidRPr="00D13792">
        <w:rPr>
          <w:sz w:val="20"/>
          <w:szCs w:val="20"/>
          <w:vertAlign w:val="superscript"/>
        </w:rPr>
        <w:footnoteReference w:id="118"/>
      </w:r>
      <w:r w:rsidRPr="00D13792">
        <w:rPr>
          <w:sz w:val="20"/>
          <w:szCs w:val="20"/>
        </w:rPr>
        <w:t xml:space="preserve">. </w:t>
      </w:r>
    </w:p>
    <w:p w14:paraId="6E921F29" w14:textId="77777777" w:rsidR="006A0E1C" w:rsidRPr="00D13792" w:rsidRDefault="006A0E1C" w:rsidP="006A0E1C">
      <w:pPr>
        <w:spacing w:line="240" w:lineRule="auto"/>
        <w:rPr>
          <w:sz w:val="20"/>
          <w:szCs w:val="20"/>
        </w:rPr>
      </w:pPr>
    </w:p>
    <w:p w14:paraId="76C25FED"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el año 2004 miembros de la FAFG realizaron la excavación de una fosa colectiva y exhumaron restos humanos, prendas de vestir, artículos personales y vestigios balísticos. Una vez realizados los análisis respectivos, se concluyó que se recuperaron seis restos óseos que fueron identificados y coinciden con seis de las personas indicadas anteriormente. Los restos de Héctor Rolando Alvarado García y María Concepción Xitumul no fueron identificados</w:t>
      </w:r>
      <w:r w:rsidRPr="00D13792">
        <w:rPr>
          <w:sz w:val="20"/>
          <w:szCs w:val="20"/>
          <w:vertAlign w:val="superscript"/>
        </w:rPr>
        <w:footnoteReference w:id="119"/>
      </w:r>
      <w:r w:rsidRPr="00D13792">
        <w:rPr>
          <w:sz w:val="20"/>
          <w:szCs w:val="20"/>
        </w:rPr>
        <w:t>. El informe forense señaló que algunas osamentas evidenciaron “trauma circunmortem, como producto de la violencia ejercida al individuo en un momento cercano a la muerte, compatible con herida de proyectil de arma de fuego en cráneo y lesiones contusas en tórax”. Finalmente, “[e]l patrón de enterramiento presentado en la fosa permit[ió] inferir que fue realizado por los familiares y/o vecinos, ya que el enterramiento present[ó] ofrendas asociadas a las osamentas y además fueron recubiertas con ponchos para protección de los difuntos, colocándolos en el fondo de la fosa y no arrojándolos”</w:t>
      </w:r>
      <w:r w:rsidRPr="00D13792">
        <w:rPr>
          <w:sz w:val="20"/>
          <w:szCs w:val="20"/>
          <w:vertAlign w:val="superscript"/>
        </w:rPr>
        <w:footnoteReference w:id="120"/>
      </w:r>
      <w:r w:rsidRPr="00D13792">
        <w:rPr>
          <w:sz w:val="20"/>
          <w:szCs w:val="20"/>
        </w:rPr>
        <w:t>.</w:t>
      </w:r>
    </w:p>
    <w:p w14:paraId="19E70701" w14:textId="77777777" w:rsidR="006A0E1C" w:rsidRPr="00D13792" w:rsidRDefault="006A0E1C" w:rsidP="006A0E1C">
      <w:pPr>
        <w:spacing w:line="240" w:lineRule="auto"/>
        <w:rPr>
          <w:sz w:val="16"/>
          <w:szCs w:val="20"/>
        </w:rPr>
      </w:pPr>
    </w:p>
    <w:p w14:paraId="4F04673C" w14:textId="77777777" w:rsidR="006A0E1C" w:rsidRPr="00D13792" w:rsidRDefault="006A0E1C" w:rsidP="006A0E1C">
      <w:pPr>
        <w:pStyle w:val="Heading3"/>
        <w:ind w:left="0"/>
        <w:rPr>
          <w:bCs/>
          <w:i/>
          <w:iCs/>
          <w:lang w:val="es-CR"/>
        </w:rPr>
      </w:pPr>
      <w:bookmarkStart w:id="164" w:name="_Toc460938864"/>
      <w:bookmarkStart w:id="165" w:name="_Toc468443293"/>
      <w:bookmarkStart w:id="166" w:name="_Toc469670029"/>
      <w:r w:rsidRPr="00D13792">
        <w:rPr>
          <w:bCs/>
          <w:i/>
          <w:iCs/>
          <w:lang w:val="es-CR"/>
        </w:rPr>
        <w:t xml:space="preserve">B.16. </w:t>
      </w:r>
      <w:r w:rsidRPr="00D13792">
        <w:rPr>
          <w:i/>
          <w:lang w:val="es-CR"/>
        </w:rPr>
        <w:t>Fallecimiento del niño Antonio Chen Mendoza en marzo de</w:t>
      </w:r>
      <w:r w:rsidRPr="00D13792">
        <w:rPr>
          <w:bCs/>
          <w:i/>
          <w:iCs/>
          <w:lang w:val="es-CR"/>
        </w:rPr>
        <w:t xml:space="preserve"> </w:t>
      </w:r>
      <w:r w:rsidRPr="00D13792">
        <w:rPr>
          <w:i/>
          <w:lang w:val="es-CR"/>
        </w:rPr>
        <w:t>1983</w:t>
      </w:r>
      <w:bookmarkEnd w:id="164"/>
      <w:bookmarkEnd w:id="165"/>
      <w:bookmarkEnd w:id="166"/>
    </w:p>
    <w:p w14:paraId="76F959A3" w14:textId="77777777" w:rsidR="006A0E1C" w:rsidRPr="00D13792" w:rsidRDefault="006A0E1C" w:rsidP="006A0E1C">
      <w:pPr>
        <w:spacing w:line="240" w:lineRule="auto"/>
        <w:rPr>
          <w:sz w:val="16"/>
          <w:szCs w:val="20"/>
        </w:rPr>
      </w:pPr>
    </w:p>
    <w:p w14:paraId="56F0B12F" w14:textId="77777777" w:rsidR="006A0E1C" w:rsidRPr="00D13792" w:rsidRDefault="006A0E1C" w:rsidP="006A0E1C">
      <w:pPr>
        <w:numPr>
          <w:ilvl w:val="0"/>
          <w:numId w:val="6"/>
        </w:numPr>
        <w:tabs>
          <w:tab w:val="left" w:pos="567"/>
        </w:tabs>
        <w:spacing w:line="240" w:lineRule="auto"/>
        <w:ind w:right="4"/>
        <w:rPr>
          <w:sz w:val="20"/>
          <w:szCs w:val="20"/>
        </w:rPr>
      </w:pPr>
      <w:r w:rsidRPr="00D13792">
        <w:rPr>
          <w:bCs/>
          <w:sz w:val="20"/>
          <w:szCs w:val="20"/>
        </w:rPr>
        <w:t xml:space="preserve">El señor Miguel Chen Tahuico y la señora Vicenta Mendoza Alvarado y sus cuatro hijos salieron de su vivienda en la aldea Chichupac huyendo hacia la montaña </w:t>
      </w:r>
      <w:r w:rsidRPr="00D13792">
        <w:rPr>
          <w:sz w:val="20"/>
          <w:szCs w:val="20"/>
        </w:rPr>
        <w:t>debido a la persecución por parte de los militares</w:t>
      </w:r>
      <w:r w:rsidRPr="00D13792">
        <w:rPr>
          <w:bCs/>
          <w:sz w:val="20"/>
          <w:szCs w:val="20"/>
        </w:rPr>
        <w:t>.</w:t>
      </w:r>
      <w:r w:rsidRPr="00D13792">
        <w:rPr>
          <w:sz w:val="20"/>
          <w:szCs w:val="20"/>
        </w:rPr>
        <w:t xml:space="preserve"> Debido a la </w:t>
      </w:r>
      <w:r w:rsidRPr="00D13792">
        <w:rPr>
          <w:rFonts w:cs="Calibri"/>
          <w:sz w:val="20"/>
          <w:szCs w:val="20"/>
        </w:rPr>
        <w:t>exposición al clima</w:t>
      </w:r>
      <w:r w:rsidRPr="00D13792">
        <w:rPr>
          <w:sz w:val="20"/>
          <w:szCs w:val="20"/>
        </w:rPr>
        <w:t xml:space="preserve">, uno de sus hijos, </w:t>
      </w:r>
      <w:r w:rsidRPr="00D13792">
        <w:rPr>
          <w:rFonts w:cs="Arial"/>
          <w:sz w:val="20"/>
          <w:szCs w:val="20"/>
        </w:rPr>
        <w:t>Antonio Chen Mendoza de 6 años de edad,</w:t>
      </w:r>
      <w:r w:rsidRPr="00D13792">
        <w:rPr>
          <w:sz w:val="20"/>
          <w:szCs w:val="20"/>
        </w:rPr>
        <w:t xml:space="preserve"> “empezó a sufrir de diarreas, fiebre y le dieron granos en su cuerpecito, y a consecuencia de esta enfermedad […] falleció”. Su cuerpo fue enterrado en la montaña, sin que se tenga certeza sobre la fecha de su muerte debido a que, tal como lo señaló su padre, “en la montaña no llevaba control del tiempo”. </w:t>
      </w:r>
    </w:p>
    <w:p w14:paraId="6ACA325C" w14:textId="77777777" w:rsidR="006A0E1C" w:rsidRPr="00D13792" w:rsidRDefault="006A0E1C" w:rsidP="006A0E1C">
      <w:pPr>
        <w:spacing w:line="240" w:lineRule="auto"/>
        <w:rPr>
          <w:sz w:val="16"/>
          <w:szCs w:val="20"/>
        </w:rPr>
      </w:pPr>
    </w:p>
    <w:p w14:paraId="69FAEEE7" w14:textId="77777777" w:rsidR="006A0E1C" w:rsidRPr="00D13792" w:rsidRDefault="006A0E1C" w:rsidP="006A0E1C">
      <w:pPr>
        <w:pStyle w:val="Heading3"/>
        <w:ind w:left="0"/>
        <w:rPr>
          <w:i/>
          <w:lang w:val="es-CR"/>
        </w:rPr>
      </w:pPr>
      <w:bookmarkStart w:id="167" w:name="_Toc460938865"/>
      <w:bookmarkStart w:id="168" w:name="_Toc468443294"/>
      <w:bookmarkStart w:id="169" w:name="_Toc469670030"/>
      <w:r w:rsidRPr="00D13792">
        <w:rPr>
          <w:i/>
          <w:lang w:val="es-CR"/>
        </w:rPr>
        <w:t>B.17. Ejecución de los hermanos Eusebia y José León Grave García el 22 de octubre de 1983</w:t>
      </w:r>
      <w:bookmarkEnd w:id="167"/>
      <w:bookmarkEnd w:id="168"/>
      <w:bookmarkEnd w:id="169"/>
    </w:p>
    <w:p w14:paraId="5AABFAF1" w14:textId="77777777" w:rsidR="006A0E1C" w:rsidRPr="00D13792" w:rsidRDefault="006A0E1C" w:rsidP="006A0E1C">
      <w:pPr>
        <w:spacing w:line="240" w:lineRule="auto"/>
        <w:rPr>
          <w:sz w:val="16"/>
          <w:szCs w:val="20"/>
        </w:rPr>
      </w:pPr>
    </w:p>
    <w:p w14:paraId="12C6E664" w14:textId="77777777" w:rsidR="006A0E1C" w:rsidRPr="00D13792" w:rsidRDefault="006A0E1C" w:rsidP="006A0E1C">
      <w:pPr>
        <w:numPr>
          <w:ilvl w:val="0"/>
          <w:numId w:val="6"/>
        </w:numPr>
        <w:tabs>
          <w:tab w:val="left" w:pos="567"/>
        </w:tabs>
        <w:spacing w:line="240" w:lineRule="auto"/>
        <w:ind w:right="4"/>
        <w:rPr>
          <w:sz w:val="20"/>
          <w:szCs w:val="20"/>
        </w:rPr>
      </w:pPr>
      <w:r w:rsidRPr="00D13792">
        <w:rPr>
          <w:bCs/>
          <w:sz w:val="20"/>
          <w:szCs w:val="20"/>
        </w:rPr>
        <w:t>El</w:t>
      </w:r>
      <w:r w:rsidRPr="00D13792">
        <w:rPr>
          <w:sz w:val="20"/>
          <w:szCs w:val="20"/>
        </w:rPr>
        <w:t xml:space="preserve"> </w:t>
      </w:r>
      <w:r w:rsidRPr="00D13792">
        <w:rPr>
          <w:bCs/>
          <w:sz w:val="20"/>
          <w:szCs w:val="20"/>
        </w:rPr>
        <w:t>22 de octubre de 1983</w:t>
      </w:r>
      <w:r w:rsidRPr="00D13792">
        <w:rPr>
          <w:sz w:val="20"/>
          <w:szCs w:val="20"/>
        </w:rPr>
        <w:t xml:space="preserve"> un grupo de militares y de las PAC ejecutaron a los hermanos Eusebia y José León Grave García (de 18 y 17 años de edad), hijos de</w:t>
      </w:r>
      <w:r w:rsidRPr="00D13792">
        <w:rPr>
          <w:rFonts w:cs="Arial"/>
          <w:sz w:val="20"/>
          <w:szCs w:val="20"/>
        </w:rPr>
        <w:t xml:space="preserve"> Juana García Depaz. </w:t>
      </w:r>
      <w:r w:rsidRPr="00D13792">
        <w:rPr>
          <w:sz w:val="20"/>
          <w:szCs w:val="20"/>
        </w:rPr>
        <w:t>Eusebia Grave se encontraba en una quebrada bañándose y José León Grave estaba desayunando. A este le cortaron sus genitales, su oreja y su nariz, y “le abrieron su cuerpo” previo a su muerte. Sus cadáveres fueron enterrados por familiares y vecinos en una fosa ubicada en la montaña Cumatzá,</w:t>
      </w:r>
      <w:r w:rsidRPr="00D13792">
        <w:rPr>
          <w:rFonts w:eastAsia="Segoe UI" w:cs="Segoe UI"/>
          <w:sz w:val="20"/>
          <w:szCs w:val="20"/>
        </w:rPr>
        <w:t xml:space="preserve"> en la aldea Xeabaj</w:t>
      </w:r>
      <w:r w:rsidRPr="00D13792">
        <w:rPr>
          <w:sz w:val="20"/>
          <w:szCs w:val="20"/>
        </w:rPr>
        <w:t>. En el año 2002 miembros de la FAFG identificaron dicha fosa, la cual hacía parte de un cementerio clandestino, y en el año 2003 las osamentas de Eusebia y José León Grave García fueron identificados por su madre mediante un reconocimiento judicial</w:t>
      </w:r>
      <w:r w:rsidRPr="00D13792">
        <w:rPr>
          <w:sz w:val="20"/>
          <w:szCs w:val="20"/>
          <w:vertAlign w:val="superscript"/>
        </w:rPr>
        <w:footnoteReference w:id="121"/>
      </w:r>
      <w:r w:rsidRPr="00D13792">
        <w:rPr>
          <w:sz w:val="20"/>
          <w:szCs w:val="20"/>
        </w:rPr>
        <w:t>.</w:t>
      </w:r>
    </w:p>
    <w:p w14:paraId="738140F3" w14:textId="77777777" w:rsidR="006A0E1C" w:rsidRPr="00D13792" w:rsidRDefault="006A0E1C" w:rsidP="006A0E1C">
      <w:pPr>
        <w:pStyle w:val="Heading3"/>
        <w:ind w:left="0"/>
        <w:rPr>
          <w:lang w:val="es-CR"/>
        </w:rPr>
      </w:pPr>
    </w:p>
    <w:p w14:paraId="40A59414" w14:textId="77777777" w:rsidR="006A0E1C" w:rsidRPr="00D13792" w:rsidRDefault="006A0E1C" w:rsidP="006A0E1C">
      <w:pPr>
        <w:pStyle w:val="Heading3"/>
        <w:ind w:left="0"/>
        <w:rPr>
          <w:rFonts w:cs="Arial"/>
          <w:i/>
          <w:lang w:val="es-CR"/>
        </w:rPr>
      </w:pPr>
      <w:bookmarkStart w:id="170" w:name="_Toc460938866"/>
      <w:bookmarkStart w:id="171" w:name="_Toc468443295"/>
      <w:bookmarkStart w:id="172" w:name="_Toc469670031"/>
      <w:r w:rsidRPr="00D13792">
        <w:rPr>
          <w:i/>
          <w:iCs/>
          <w:lang w:val="es-CR"/>
        </w:rPr>
        <w:t xml:space="preserve">B.18. </w:t>
      </w:r>
      <w:r w:rsidRPr="00D13792">
        <w:rPr>
          <w:rFonts w:cs="Arial"/>
          <w:i/>
          <w:lang w:val="es-CR"/>
        </w:rPr>
        <w:t>Situación</w:t>
      </w:r>
      <w:r w:rsidRPr="00D13792">
        <w:rPr>
          <w:i/>
          <w:lang w:val="es-CR"/>
        </w:rPr>
        <w:t xml:space="preserve"> </w:t>
      </w:r>
      <w:r w:rsidRPr="00D13792">
        <w:rPr>
          <w:rFonts w:cs="Arial"/>
          <w:i/>
          <w:lang w:val="es-CR"/>
        </w:rPr>
        <w:t>de Juana García Depaz a partir del 22 de octubre de 1983 y trabajos forzosos</w:t>
      </w:r>
      <w:bookmarkEnd w:id="170"/>
      <w:bookmarkEnd w:id="171"/>
      <w:bookmarkEnd w:id="172"/>
    </w:p>
    <w:p w14:paraId="2B2E8907" w14:textId="77777777" w:rsidR="006A0E1C" w:rsidRPr="00D13792" w:rsidRDefault="006A0E1C" w:rsidP="006A0E1C">
      <w:pPr>
        <w:spacing w:line="240" w:lineRule="auto"/>
        <w:rPr>
          <w:b/>
          <w:bCs/>
          <w:sz w:val="16"/>
          <w:szCs w:val="20"/>
        </w:rPr>
      </w:pPr>
    </w:p>
    <w:p w14:paraId="334B8924" w14:textId="77777777" w:rsidR="006A0E1C" w:rsidRPr="00D13792" w:rsidRDefault="006A0E1C" w:rsidP="006A0E1C">
      <w:pPr>
        <w:numPr>
          <w:ilvl w:val="0"/>
          <w:numId w:val="6"/>
        </w:numPr>
        <w:tabs>
          <w:tab w:val="left" w:pos="567"/>
        </w:tabs>
        <w:spacing w:line="240" w:lineRule="auto"/>
        <w:ind w:right="4"/>
        <w:rPr>
          <w:sz w:val="20"/>
          <w:szCs w:val="20"/>
        </w:rPr>
      </w:pPr>
      <w:r w:rsidRPr="00D13792">
        <w:rPr>
          <w:bCs/>
          <w:sz w:val="20"/>
          <w:szCs w:val="20"/>
        </w:rPr>
        <w:t>Por la mañana del 22 de octubre de 1983, un grupo de “judiciales” y alrededor de</w:t>
      </w:r>
      <w:r w:rsidRPr="00D13792">
        <w:rPr>
          <w:rFonts w:cs="Arial"/>
          <w:sz w:val="20"/>
          <w:szCs w:val="20"/>
        </w:rPr>
        <w:t xml:space="preserve"> doscientos militares detuvieron </w:t>
      </w:r>
      <w:r w:rsidRPr="00D13792">
        <w:rPr>
          <w:sz w:val="20"/>
          <w:szCs w:val="20"/>
        </w:rPr>
        <w:t>a Juana García Depaz junto con un</w:t>
      </w:r>
      <w:r w:rsidRPr="00D13792">
        <w:rPr>
          <w:rFonts w:cs="Arial"/>
          <w:sz w:val="20"/>
          <w:szCs w:val="20"/>
        </w:rPr>
        <w:t xml:space="preserve"> grupo de mujeres, niñas y </w:t>
      </w:r>
      <w:r w:rsidRPr="00D13792">
        <w:rPr>
          <w:rFonts w:cs="Arial"/>
          <w:sz w:val="20"/>
          <w:szCs w:val="20"/>
        </w:rPr>
        <w:lastRenderedPageBreak/>
        <w:t>niños, reunieron a los vecinos de la zona y quemaron su ropa y comida</w:t>
      </w:r>
      <w:r w:rsidRPr="00D13792">
        <w:rPr>
          <w:sz w:val="20"/>
          <w:szCs w:val="20"/>
        </w:rPr>
        <w:t xml:space="preserve">. Posteriormente, </w:t>
      </w:r>
      <w:r w:rsidRPr="00D13792">
        <w:rPr>
          <w:rFonts w:cs="Arial"/>
          <w:sz w:val="20"/>
          <w:szCs w:val="20"/>
        </w:rPr>
        <w:t xml:space="preserve">llevaron a un grupo de personas, incluida </w:t>
      </w:r>
      <w:r w:rsidRPr="00D13792">
        <w:rPr>
          <w:sz w:val="20"/>
          <w:szCs w:val="20"/>
        </w:rPr>
        <w:t>Juana García,</w:t>
      </w:r>
      <w:r w:rsidRPr="00D13792">
        <w:rPr>
          <w:rFonts w:cs="Arial"/>
          <w:sz w:val="20"/>
          <w:szCs w:val="20"/>
        </w:rPr>
        <w:t xml:space="preserve"> a un destacamento militar ubicado en la cabecera municipal de Rabinal, donde los tuvieron “sin comida” y “sin agua”. Por la noche, el grupo de personas fue encerrado en un mismo cuarto y durante tres </w:t>
      </w:r>
      <w:r w:rsidRPr="00D13792">
        <w:rPr>
          <w:sz w:val="20"/>
          <w:szCs w:val="20"/>
        </w:rPr>
        <w:t xml:space="preserve">noches las mujeres fueron golpeadas y violadas sexualmente por militares y “judiciales”. Durante ese tiempo a Juana García se le amenazó de muerte, se le colgó del cuello con un lazo y se le interrogó sobre la guerrilla. Después de tres días y </w:t>
      </w:r>
      <w:r w:rsidRPr="00D13792">
        <w:rPr>
          <w:rFonts w:cs="Arial"/>
          <w:sz w:val="20"/>
          <w:szCs w:val="20"/>
        </w:rPr>
        <w:t>una vez que los militares se llevaron a las niñas y niños “al sanatorio de las hermanas de la Caridad”</w:t>
      </w:r>
      <w:r w:rsidRPr="00D13792">
        <w:rPr>
          <w:sz w:val="20"/>
          <w:szCs w:val="20"/>
        </w:rPr>
        <w:t xml:space="preserve">, trasladaron al grupo de personas a la colonia Pacux de Rabinal, donde los retuvieron. Entre el 31 de diciembre de 1983 y 1 de enero de 1984, un grupo de hombres y mujeres, incluida Juana García, fue llevado por militares a la aldea de Chichupac, en donde vivieron concentrados en galeras. En ese lugar, las mujeres pasaron hambre, las obligaron a cocinar para trescientos o cuatrocientos soldados del destacamento y fueron víctimas de violaciones sexuales. Las violaciones sexuales llevadas a cabo </w:t>
      </w:r>
      <w:r w:rsidRPr="00D13792">
        <w:rPr>
          <w:rFonts w:cs="Arial"/>
          <w:sz w:val="20"/>
          <w:szCs w:val="20"/>
        </w:rPr>
        <w:t>por militares</w:t>
      </w:r>
      <w:r w:rsidRPr="00D13792">
        <w:rPr>
          <w:sz w:val="20"/>
          <w:szCs w:val="20"/>
        </w:rPr>
        <w:t xml:space="preserve"> e</w:t>
      </w:r>
      <w:r w:rsidRPr="00D13792">
        <w:rPr>
          <w:rFonts w:cs="Arial"/>
          <w:sz w:val="20"/>
          <w:szCs w:val="20"/>
        </w:rPr>
        <w:t xml:space="preserve">n octubre de </w:t>
      </w:r>
      <w:r w:rsidRPr="00D13792">
        <w:rPr>
          <w:sz w:val="20"/>
          <w:szCs w:val="20"/>
        </w:rPr>
        <w:t xml:space="preserve">1982 </w:t>
      </w:r>
      <w:r w:rsidRPr="00D13792">
        <w:rPr>
          <w:rFonts w:cs="Arial"/>
          <w:sz w:val="20"/>
          <w:szCs w:val="20"/>
        </w:rPr>
        <w:t xml:space="preserve">y junio de </w:t>
      </w:r>
      <w:r w:rsidRPr="00D13792">
        <w:rPr>
          <w:sz w:val="20"/>
          <w:szCs w:val="20"/>
        </w:rPr>
        <w:t>1985 en contra de la Juana García resultaron en dos embarazos,</w:t>
      </w:r>
      <w:r w:rsidRPr="00D13792">
        <w:rPr>
          <w:rFonts w:cs="Arial"/>
          <w:sz w:val="20"/>
          <w:szCs w:val="20"/>
        </w:rPr>
        <w:t xml:space="preserve"> de los cuales nacieron sus hijos </w:t>
      </w:r>
      <w:r w:rsidRPr="00D13792">
        <w:rPr>
          <w:sz w:val="20"/>
          <w:szCs w:val="20"/>
        </w:rPr>
        <w:t>Edgar y Sandra Maribel García</w:t>
      </w:r>
      <w:r w:rsidRPr="00D13792">
        <w:rPr>
          <w:rStyle w:val="FootnoteReference"/>
          <w:rFonts w:cs="Arial"/>
          <w:sz w:val="20"/>
          <w:szCs w:val="20"/>
        </w:rPr>
        <w:footnoteReference w:id="122"/>
      </w:r>
      <w:r w:rsidRPr="00D13792">
        <w:rPr>
          <w:sz w:val="20"/>
          <w:szCs w:val="20"/>
        </w:rPr>
        <w:t>.</w:t>
      </w:r>
    </w:p>
    <w:p w14:paraId="73D8FB5F" w14:textId="77777777" w:rsidR="006A0E1C" w:rsidRPr="00D13792" w:rsidRDefault="006A0E1C" w:rsidP="006A0E1C">
      <w:pPr>
        <w:spacing w:line="240" w:lineRule="auto"/>
        <w:rPr>
          <w:b/>
          <w:bCs/>
          <w:sz w:val="20"/>
          <w:szCs w:val="20"/>
        </w:rPr>
      </w:pPr>
    </w:p>
    <w:p w14:paraId="66306EC9" w14:textId="77777777" w:rsidR="006A0E1C" w:rsidRPr="00D13792" w:rsidRDefault="006A0E1C" w:rsidP="006A0E1C">
      <w:pPr>
        <w:pStyle w:val="Heading3"/>
        <w:ind w:left="0"/>
        <w:rPr>
          <w:i/>
          <w:lang w:val="es-CR"/>
        </w:rPr>
      </w:pPr>
      <w:bookmarkStart w:id="173" w:name="_Toc460938867"/>
      <w:bookmarkStart w:id="174" w:name="_Toc468443296"/>
      <w:bookmarkStart w:id="175" w:name="_Toc469670032"/>
      <w:r w:rsidRPr="00D13792">
        <w:rPr>
          <w:bCs/>
          <w:i/>
          <w:iCs/>
          <w:lang w:val="es-CR"/>
        </w:rPr>
        <w:t>B.19.</w:t>
      </w:r>
      <w:r w:rsidRPr="00D13792">
        <w:rPr>
          <w:i/>
          <w:lang w:val="es-CR"/>
        </w:rPr>
        <w:t xml:space="preserve"> Ejecución de Medardo Juárez García el 31 de agosto de 1983 o 1984</w:t>
      </w:r>
      <w:bookmarkEnd w:id="173"/>
      <w:bookmarkEnd w:id="174"/>
      <w:bookmarkEnd w:id="175"/>
    </w:p>
    <w:p w14:paraId="6B16F7D9" w14:textId="77777777" w:rsidR="006A0E1C" w:rsidRPr="00D13792" w:rsidRDefault="006A0E1C" w:rsidP="006A0E1C">
      <w:pPr>
        <w:spacing w:line="240" w:lineRule="auto"/>
        <w:rPr>
          <w:sz w:val="16"/>
          <w:szCs w:val="20"/>
        </w:rPr>
      </w:pPr>
    </w:p>
    <w:p w14:paraId="6B2F3013" w14:textId="77777777" w:rsidR="006A0E1C" w:rsidRPr="00D13792" w:rsidRDefault="006A0E1C" w:rsidP="006A0E1C">
      <w:pPr>
        <w:numPr>
          <w:ilvl w:val="0"/>
          <w:numId w:val="6"/>
        </w:numPr>
        <w:tabs>
          <w:tab w:val="left" w:pos="567"/>
        </w:tabs>
        <w:spacing w:line="240" w:lineRule="auto"/>
        <w:ind w:right="4"/>
        <w:rPr>
          <w:sz w:val="20"/>
          <w:szCs w:val="20"/>
        </w:rPr>
      </w:pPr>
      <w:r w:rsidRPr="00D13792">
        <w:rPr>
          <w:bCs/>
          <w:sz w:val="20"/>
          <w:szCs w:val="20"/>
        </w:rPr>
        <w:t>El 31 de agosto de 1983 o 1984</w:t>
      </w:r>
      <w:r w:rsidRPr="00D13792">
        <w:rPr>
          <w:sz w:val="20"/>
          <w:szCs w:val="20"/>
        </w:rPr>
        <w:t xml:space="preserve"> un grupo de militares y de las PAC llegaron a la aldea Chichupac, entraron al patio de la vivienda de María Concepción García Depaz, su esposo y sus cinco hijos y realizaron disparos. En ese momento su hijo Medardo Juárez García, de entre 14 y 16 años de edad, se asustó y salió hacia la calle. En respuesta, uno de los militares le disparó y este cayó muerto. Ese mismo día, los militares quemaron la vivienda de su familia y se robaron todas sus pertenencias, junto con otras viviendas de la aldea. Los familiares de Medardo Juárez sepultaron su cadáver en una fosa que cavaron cerca de su vivienda</w:t>
      </w:r>
      <w:r w:rsidRPr="00D13792">
        <w:rPr>
          <w:sz w:val="20"/>
          <w:szCs w:val="20"/>
          <w:vertAlign w:val="superscript"/>
        </w:rPr>
        <w:footnoteReference w:id="123"/>
      </w:r>
      <w:r w:rsidRPr="00D13792">
        <w:rPr>
          <w:sz w:val="20"/>
          <w:szCs w:val="20"/>
        </w:rPr>
        <w:t>. En el año 2002 miembros de la FAFG identificaron dicha fosa, la cual hacía parte de un cementerio clandestino en el que se exhumaron e identificaron los restos humanos de Medardo Juárez</w:t>
      </w:r>
      <w:r w:rsidRPr="00D13792">
        <w:rPr>
          <w:rFonts w:cs="Arial"/>
          <w:sz w:val="20"/>
          <w:szCs w:val="20"/>
        </w:rPr>
        <w:t>,</w:t>
      </w:r>
      <w:r w:rsidRPr="00D13792">
        <w:rPr>
          <w:sz w:val="20"/>
          <w:szCs w:val="20"/>
        </w:rPr>
        <w:t xml:space="preserve"> entre otros</w:t>
      </w:r>
      <w:r w:rsidRPr="00D13792">
        <w:rPr>
          <w:sz w:val="20"/>
          <w:szCs w:val="20"/>
          <w:vertAlign w:val="superscript"/>
        </w:rPr>
        <w:footnoteReference w:id="124"/>
      </w:r>
      <w:r w:rsidRPr="00D13792">
        <w:rPr>
          <w:sz w:val="20"/>
          <w:szCs w:val="20"/>
        </w:rPr>
        <w:t>.</w:t>
      </w:r>
    </w:p>
    <w:p w14:paraId="0C5426A4" w14:textId="77777777" w:rsidR="006A0E1C" w:rsidRPr="00D13792" w:rsidRDefault="006A0E1C" w:rsidP="006A0E1C">
      <w:pPr>
        <w:spacing w:line="240" w:lineRule="auto"/>
        <w:rPr>
          <w:rFonts w:cs="Arial"/>
          <w:b/>
          <w:i/>
          <w:sz w:val="16"/>
          <w:szCs w:val="20"/>
        </w:rPr>
      </w:pPr>
    </w:p>
    <w:p w14:paraId="135B1E0C" w14:textId="77777777" w:rsidR="006A0E1C" w:rsidRPr="00D13792" w:rsidRDefault="006A0E1C" w:rsidP="006A0E1C">
      <w:pPr>
        <w:pStyle w:val="Heading3"/>
        <w:ind w:left="0"/>
        <w:rPr>
          <w:rFonts w:cs="Arial"/>
          <w:i/>
          <w:lang w:val="es-CR"/>
        </w:rPr>
      </w:pPr>
      <w:bookmarkStart w:id="176" w:name="_Toc460938868"/>
      <w:bookmarkStart w:id="177" w:name="_Toc468443297"/>
      <w:bookmarkStart w:id="178" w:name="_Toc469670033"/>
      <w:r w:rsidRPr="00D13792">
        <w:rPr>
          <w:bCs/>
          <w:i/>
          <w:iCs/>
          <w:lang w:val="es-CR"/>
        </w:rPr>
        <w:t>B.20.</w:t>
      </w:r>
      <w:r w:rsidRPr="00D13792">
        <w:rPr>
          <w:rFonts w:cs="Arial"/>
          <w:i/>
          <w:lang w:val="es-CR"/>
        </w:rPr>
        <w:t xml:space="preserve"> Desaparición de </w:t>
      </w:r>
      <w:r w:rsidRPr="00D13792">
        <w:rPr>
          <w:i/>
          <w:lang w:val="es-CR"/>
        </w:rPr>
        <w:t xml:space="preserve">Marcelo Sic Chen desde </w:t>
      </w:r>
      <w:r w:rsidRPr="00D13792">
        <w:rPr>
          <w:bCs/>
          <w:i/>
          <w:lang w:val="es-CR"/>
        </w:rPr>
        <w:t>diciembre de 1984</w:t>
      </w:r>
      <w:bookmarkEnd w:id="176"/>
      <w:bookmarkEnd w:id="177"/>
      <w:bookmarkEnd w:id="178"/>
    </w:p>
    <w:p w14:paraId="299C7C3E" w14:textId="77777777" w:rsidR="006A0E1C" w:rsidRPr="00D13792" w:rsidRDefault="006A0E1C" w:rsidP="006A0E1C">
      <w:pPr>
        <w:spacing w:line="240" w:lineRule="auto"/>
        <w:rPr>
          <w:rFonts w:cs="Arial"/>
          <w:b/>
          <w:sz w:val="16"/>
          <w:szCs w:val="20"/>
        </w:rPr>
      </w:pPr>
    </w:p>
    <w:p w14:paraId="73570DB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El señor Marcelo Sic Chen llegó entre el 13 y 15 de diciembre de 1984 a la colonia Chichupac a fin de “amnistiarse y entregarse”. En dicho lugar, fue recibido por un comisionado militar quien lo entregó a los miembros del Ejército Nacional. Posteriormente fue llevado al destacamento de Rabinal y hasta la fecha se desconoce su paradero.</w:t>
      </w:r>
    </w:p>
    <w:p w14:paraId="6DB72D34" w14:textId="77777777" w:rsidR="006A0E1C" w:rsidRPr="00D13792" w:rsidRDefault="006A0E1C" w:rsidP="006A0E1C">
      <w:pPr>
        <w:pStyle w:val="Heading3"/>
        <w:ind w:left="0"/>
        <w:rPr>
          <w:lang w:val="es-CR"/>
        </w:rPr>
      </w:pPr>
    </w:p>
    <w:p w14:paraId="274E1569" w14:textId="77777777" w:rsidR="006A0E1C" w:rsidRPr="00D13792" w:rsidRDefault="006A0E1C" w:rsidP="006A0E1C">
      <w:pPr>
        <w:pStyle w:val="Heading3"/>
        <w:ind w:left="0"/>
        <w:rPr>
          <w:rFonts w:cs="Arial"/>
          <w:i/>
          <w:lang w:val="es-CR"/>
        </w:rPr>
      </w:pPr>
      <w:bookmarkStart w:id="179" w:name="_Toc460938869"/>
      <w:bookmarkStart w:id="180" w:name="_Toc468443298"/>
      <w:bookmarkStart w:id="181" w:name="_Toc469670034"/>
      <w:r w:rsidRPr="00D13792">
        <w:rPr>
          <w:bCs/>
          <w:i/>
          <w:iCs/>
          <w:lang w:val="es-CR"/>
        </w:rPr>
        <w:t>B.21.</w:t>
      </w:r>
      <w:r w:rsidRPr="00D13792">
        <w:rPr>
          <w:rFonts w:cs="Arial"/>
          <w:i/>
          <w:lang w:val="es-CR"/>
        </w:rPr>
        <w:t xml:space="preserve"> Ejecución de </w:t>
      </w:r>
      <w:r w:rsidRPr="00D13792">
        <w:rPr>
          <w:i/>
          <w:lang w:val="es-CR"/>
        </w:rPr>
        <w:t xml:space="preserve">Silvestre Sic y Raymunda Corazón </w:t>
      </w:r>
      <w:r w:rsidRPr="00D13792">
        <w:rPr>
          <w:rFonts w:cs="Arial"/>
          <w:i/>
          <w:lang w:val="es-CR"/>
        </w:rPr>
        <w:t xml:space="preserve">el </w:t>
      </w:r>
      <w:r w:rsidRPr="00D13792">
        <w:rPr>
          <w:i/>
          <w:lang w:val="es-CR"/>
        </w:rPr>
        <w:t>20 de diciembre de 1984</w:t>
      </w:r>
      <w:bookmarkEnd w:id="179"/>
      <w:bookmarkEnd w:id="180"/>
      <w:bookmarkEnd w:id="181"/>
    </w:p>
    <w:p w14:paraId="799817CF" w14:textId="77777777" w:rsidR="006A0E1C" w:rsidRPr="00D13792" w:rsidRDefault="006A0E1C" w:rsidP="006A0E1C">
      <w:pPr>
        <w:spacing w:line="240" w:lineRule="auto"/>
        <w:rPr>
          <w:sz w:val="16"/>
          <w:szCs w:val="20"/>
        </w:rPr>
      </w:pPr>
    </w:p>
    <w:p w14:paraId="5AD66904"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Por la mañana del 20 de diciembre de 1984, un grupo de militares y miembros de las PAC ingresó a una vivienda en la aldea de Chichupac donde se encontraban Silvestre Sic (o Silvestre Sic Xutumul), padre de Marcelo Sic Chen (</w:t>
      </w:r>
      <w:r w:rsidRPr="00D13792">
        <w:rPr>
          <w:i/>
          <w:sz w:val="20"/>
          <w:szCs w:val="20"/>
        </w:rPr>
        <w:t>supra</w:t>
      </w:r>
      <w:r w:rsidRPr="00D13792">
        <w:rPr>
          <w:sz w:val="20"/>
          <w:szCs w:val="20"/>
        </w:rPr>
        <w:t xml:space="preserve"> párr. 118), y Raymunda Corazón (o Raymunda Sical Corazón), quienes fueron ejecutados con arma de fuego. Sus cuerpos destrozados fueron encontrados al día siguiente y los vecinos procedieron a enterrarlos en una letrina cercana a su vivienda</w:t>
      </w:r>
      <w:r w:rsidRPr="00D13792">
        <w:rPr>
          <w:sz w:val="20"/>
          <w:szCs w:val="20"/>
          <w:vertAlign w:val="superscript"/>
        </w:rPr>
        <w:footnoteReference w:id="125"/>
      </w:r>
      <w:r w:rsidRPr="00D13792">
        <w:rPr>
          <w:sz w:val="20"/>
          <w:szCs w:val="20"/>
        </w:rPr>
        <w:t xml:space="preserve">. En el año 2002 miembros de la FAFG identificaron dicha fosa, </w:t>
      </w:r>
      <w:r w:rsidRPr="00D13792">
        <w:rPr>
          <w:sz w:val="20"/>
          <w:szCs w:val="20"/>
        </w:rPr>
        <w:lastRenderedPageBreak/>
        <w:t>la cual hacía parte de un cementerio clandestino. Durante la diligencia de exhumación, una de las osamentas fue reconocida como Raymunda Corazón por el señor Francisco Sic Chen, sin embargo, en el informe antropológico forense consta que no fue identificada mediante el peritaje practicado. Por su parte, los restos de Silvestre Sic fueron exhumados e identificados mediante dicho peritaje</w:t>
      </w:r>
      <w:r w:rsidRPr="00D13792">
        <w:rPr>
          <w:sz w:val="20"/>
          <w:szCs w:val="20"/>
          <w:vertAlign w:val="superscript"/>
        </w:rPr>
        <w:footnoteReference w:id="126"/>
      </w:r>
      <w:r w:rsidRPr="00D13792">
        <w:rPr>
          <w:sz w:val="20"/>
          <w:szCs w:val="20"/>
        </w:rPr>
        <w:t xml:space="preserve">. </w:t>
      </w:r>
    </w:p>
    <w:p w14:paraId="6E87B25D" w14:textId="77777777" w:rsidR="006A0E1C" w:rsidRPr="00D13792" w:rsidRDefault="006A0E1C" w:rsidP="006A0E1C">
      <w:pPr>
        <w:pStyle w:val="Heading3"/>
        <w:ind w:left="0"/>
        <w:rPr>
          <w:lang w:val="es-CR"/>
        </w:rPr>
      </w:pPr>
    </w:p>
    <w:p w14:paraId="66D299E9" w14:textId="77777777" w:rsidR="006A0E1C" w:rsidRPr="00D13792" w:rsidRDefault="006A0E1C" w:rsidP="006A0E1C">
      <w:pPr>
        <w:pStyle w:val="Heading3"/>
        <w:ind w:left="0"/>
        <w:rPr>
          <w:i/>
          <w:lang w:val="es-CR"/>
        </w:rPr>
      </w:pPr>
      <w:bookmarkStart w:id="182" w:name="_Toc460938870"/>
      <w:bookmarkStart w:id="183" w:name="_Toc468443299"/>
      <w:bookmarkStart w:id="184" w:name="_Toc469670035"/>
      <w:r w:rsidRPr="00D13792">
        <w:rPr>
          <w:bCs/>
          <w:i/>
          <w:iCs/>
          <w:lang w:val="es-CR"/>
        </w:rPr>
        <w:t>B.22.</w:t>
      </w:r>
      <w:r w:rsidRPr="00D13792">
        <w:rPr>
          <w:i/>
          <w:lang w:val="es-CR"/>
        </w:rPr>
        <w:t xml:space="preserve"> Ejecución de Efraín García de Paz el </w:t>
      </w:r>
      <w:r w:rsidRPr="00D13792">
        <w:rPr>
          <w:bCs/>
          <w:i/>
          <w:lang w:val="es-CR"/>
        </w:rPr>
        <w:t>17 de agosto de 1986</w:t>
      </w:r>
      <w:bookmarkEnd w:id="182"/>
      <w:bookmarkEnd w:id="183"/>
      <w:bookmarkEnd w:id="184"/>
    </w:p>
    <w:p w14:paraId="386770DD" w14:textId="77777777" w:rsidR="006A0E1C" w:rsidRPr="00D13792" w:rsidRDefault="006A0E1C" w:rsidP="006A0E1C">
      <w:pPr>
        <w:spacing w:line="240" w:lineRule="auto"/>
        <w:rPr>
          <w:sz w:val="16"/>
          <w:szCs w:val="20"/>
        </w:rPr>
      </w:pPr>
    </w:p>
    <w:p w14:paraId="7361935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El señor Efraín García de Paz, hermano de Juana García Depaz, estuvo fuera de la zona por aproximadamente tres años. Una vez que regresó, el </w:t>
      </w:r>
      <w:r w:rsidRPr="00D13792">
        <w:rPr>
          <w:bCs/>
          <w:sz w:val="20"/>
          <w:szCs w:val="20"/>
        </w:rPr>
        <w:t>17 de agosto de 1986,</w:t>
      </w:r>
      <w:r w:rsidRPr="00D13792">
        <w:rPr>
          <w:sz w:val="20"/>
          <w:szCs w:val="20"/>
        </w:rPr>
        <w:t xml:space="preserve"> en el camino de su vivienda en Chichupac a la cabecera municipal de Rabinal, fue interceptado y ejecutado. Según ha indicado la señora Juana García Depaz, la persona que mató a su hermano fue un patrullero civil, aunque también ha indicado que fue un “G2” del Ejército. Por su parte, la Comisión Interamericana concluyó en su Informe de Fondo que fue un “judicial”. Según declaró Juana García, ella junto con </w:t>
      </w:r>
      <w:r w:rsidRPr="00D13792">
        <w:rPr>
          <w:rFonts w:cs="Arial"/>
          <w:sz w:val="20"/>
          <w:szCs w:val="20"/>
        </w:rPr>
        <w:t xml:space="preserve">sus familiares recogieron el cuerpo de </w:t>
      </w:r>
      <w:r w:rsidRPr="00D13792">
        <w:rPr>
          <w:sz w:val="20"/>
          <w:szCs w:val="20"/>
        </w:rPr>
        <w:t xml:space="preserve">Efraín García </w:t>
      </w:r>
      <w:r w:rsidRPr="00D13792">
        <w:rPr>
          <w:rFonts w:cs="Arial"/>
          <w:sz w:val="20"/>
          <w:szCs w:val="20"/>
        </w:rPr>
        <w:t>y lo enterraron en el cementerio ubicado en Rabinal</w:t>
      </w:r>
      <w:r w:rsidRPr="00D13792">
        <w:rPr>
          <w:rStyle w:val="FootnoteReference"/>
          <w:rFonts w:cs="Arial"/>
          <w:sz w:val="20"/>
          <w:szCs w:val="20"/>
        </w:rPr>
        <w:footnoteReference w:id="127"/>
      </w:r>
      <w:r w:rsidRPr="00D13792">
        <w:rPr>
          <w:rFonts w:cs="Arial"/>
          <w:sz w:val="20"/>
          <w:szCs w:val="20"/>
        </w:rPr>
        <w:t>.</w:t>
      </w:r>
    </w:p>
    <w:p w14:paraId="015F6920" w14:textId="77777777" w:rsidR="006A0E1C" w:rsidRPr="00D13792" w:rsidRDefault="006A0E1C" w:rsidP="006A0E1C">
      <w:pPr>
        <w:autoSpaceDE w:val="0"/>
        <w:autoSpaceDN w:val="0"/>
        <w:spacing w:line="240" w:lineRule="auto"/>
        <w:rPr>
          <w:rFonts w:cs="Calibri,Bold"/>
          <w:b/>
          <w:bCs/>
          <w:sz w:val="16"/>
          <w:szCs w:val="20"/>
        </w:rPr>
      </w:pPr>
    </w:p>
    <w:p w14:paraId="44509A5C" w14:textId="77777777" w:rsidR="006A0E1C" w:rsidRPr="00D13792" w:rsidRDefault="006A0E1C" w:rsidP="006A0E1C">
      <w:pPr>
        <w:pStyle w:val="Heading2"/>
        <w:rPr>
          <w:lang w:val="es-CR"/>
        </w:rPr>
      </w:pPr>
      <w:bookmarkStart w:id="185" w:name="_Toc468443300"/>
      <w:bookmarkStart w:id="186" w:name="_Toc469670036"/>
      <w:r w:rsidRPr="00D13792">
        <w:rPr>
          <w:lang w:val="es-CR"/>
        </w:rPr>
        <w:t>C. Investigaciones</w:t>
      </w:r>
      <w:bookmarkEnd w:id="185"/>
      <w:bookmarkEnd w:id="186"/>
    </w:p>
    <w:p w14:paraId="633E9BEE" w14:textId="77777777" w:rsidR="006A0E1C" w:rsidRPr="00D13792" w:rsidRDefault="006A0E1C" w:rsidP="006A0E1C">
      <w:pPr>
        <w:spacing w:line="240" w:lineRule="auto"/>
        <w:rPr>
          <w:rFonts w:cs="Arial"/>
          <w:sz w:val="16"/>
          <w:szCs w:val="20"/>
        </w:rPr>
      </w:pPr>
    </w:p>
    <w:p w14:paraId="73F0DCF6" w14:textId="77777777" w:rsidR="006A0E1C" w:rsidRPr="00D13792" w:rsidRDefault="006A0E1C" w:rsidP="006A0E1C">
      <w:pPr>
        <w:numPr>
          <w:ilvl w:val="0"/>
          <w:numId w:val="6"/>
        </w:numPr>
        <w:tabs>
          <w:tab w:val="left" w:pos="567"/>
        </w:tabs>
        <w:spacing w:line="240" w:lineRule="auto"/>
        <w:ind w:right="4"/>
        <w:rPr>
          <w:rFonts w:eastAsia="Calibri"/>
          <w:sz w:val="20"/>
          <w:szCs w:val="20"/>
        </w:rPr>
      </w:pPr>
      <w:r w:rsidRPr="00D13792">
        <w:rPr>
          <w:rFonts w:eastAsia="Calibri"/>
          <w:sz w:val="20"/>
          <w:szCs w:val="20"/>
        </w:rPr>
        <w:t xml:space="preserve">Consta en el acervo probatorio que en este caso se tramitaron dos expedientes relacionados con la investigación de los hechos de la masacre </w:t>
      </w:r>
      <w:r w:rsidRPr="00D13792">
        <w:rPr>
          <w:sz w:val="20"/>
          <w:szCs w:val="20"/>
        </w:rPr>
        <w:t>de</w:t>
      </w:r>
      <w:r w:rsidRPr="00D13792">
        <w:rPr>
          <w:rFonts w:eastAsia="Calibri"/>
          <w:sz w:val="20"/>
          <w:szCs w:val="20"/>
        </w:rPr>
        <w:t xml:space="preserve"> 8 de enero de 1982: i) el </w:t>
      </w:r>
      <w:r w:rsidRPr="00D13792">
        <w:rPr>
          <w:rFonts w:cs="Arial"/>
          <w:sz w:val="20"/>
          <w:szCs w:val="20"/>
        </w:rPr>
        <w:t>Expediente No. 001-2005-95839 ante la Unidad de Casos Especiales y Violaciones a los Derechos Humanos del Ministerio Público</w:t>
      </w:r>
      <w:r w:rsidRPr="00D13792">
        <w:rPr>
          <w:rStyle w:val="FootnoteReference"/>
          <w:rFonts w:cs="Arial"/>
          <w:sz w:val="20"/>
          <w:szCs w:val="20"/>
        </w:rPr>
        <w:footnoteReference w:id="128"/>
      </w:r>
      <w:r w:rsidRPr="00D13792">
        <w:rPr>
          <w:rFonts w:cs="Arial"/>
          <w:sz w:val="20"/>
          <w:szCs w:val="20"/>
        </w:rPr>
        <w:t>, abierto a partir de una denuncia presentada en marzo de 1993</w:t>
      </w:r>
      <w:r w:rsidRPr="00D13792">
        <w:rPr>
          <w:rStyle w:val="FootnoteReference"/>
          <w:rFonts w:cs="Arial"/>
          <w:sz w:val="20"/>
          <w:szCs w:val="20"/>
        </w:rPr>
        <w:footnoteReference w:id="129"/>
      </w:r>
      <w:r w:rsidRPr="00D13792">
        <w:rPr>
          <w:rFonts w:cs="Arial"/>
          <w:sz w:val="20"/>
          <w:szCs w:val="20"/>
        </w:rPr>
        <w:t xml:space="preserve"> y el cual estaría aún en etapa de investigación, y ii) un expediente ante el Procurador de los Derechos Humanos de Guatemala, quien dictó una resolución el 2 de septiembre de 1996 relacionada con los cementerios clandestinos localizados, entre otros lugares</w:t>
      </w:r>
      <w:r w:rsidRPr="00D13792">
        <w:rPr>
          <w:rStyle w:val="FootnoteReference"/>
          <w:rFonts w:cs="Arial"/>
          <w:sz w:val="20"/>
          <w:szCs w:val="20"/>
        </w:rPr>
        <w:footnoteReference w:id="130"/>
      </w:r>
      <w:r w:rsidRPr="00D13792">
        <w:rPr>
          <w:rFonts w:cs="Arial"/>
          <w:sz w:val="20"/>
          <w:szCs w:val="20"/>
        </w:rPr>
        <w:t>, en la aldea Chichupac.</w:t>
      </w:r>
      <w:r w:rsidRPr="00D13792">
        <w:rPr>
          <w:rFonts w:eastAsia="Calibri"/>
          <w:sz w:val="20"/>
          <w:szCs w:val="20"/>
        </w:rPr>
        <w:t xml:space="preserve"> </w:t>
      </w:r>
    </w:p>
    <w:p w14:paraId="7A59D1F5" w14:textId="77777777" w:rsidR="006A0E1C" w:rsidRPr="00D13792" w:rsidRDefault="006A0E1C" w:rsidP="006A0E1C">
      <w:pPr>
        <w:tabs>
          <w:tab w:val="left" w:pos="567"/>
        </w:tabs>
        <w:spacing w:line="240" w:lineRule="auto"/>
        <w:ind w:right="4"/>
        <w:rPr>
          <w:rFonts w:eastAsia="Calibri"/>
          <w:sz w:val="20"/>
          <w:szCs w:val="20"/>
        </w:rPr>
      </w:pPr>
    </w:p>
    <w:p w14:paraId="62D8A94D" w14:textId="77777777" w:rsidR="006A0E1C" w:rsidRPr="00D13792" w:rsidRDefault="006A0E1C" w:rsidP="006A0E1C">
      <w:pPr>
        <w:numPr>
          <w:ilvl w:val="0"/>
          <w:numId w:val="6"/>
        </w:numPr>
        <w:tabs>
          <w:tab w:val="left" w:pos="567"/>
        </w:tabs>
        <w:spacing w:line="240" w:lineRule="auto"/>
        <w:ind w:right="4"/>
        <w:rPr>
          <w:rFonts w:eastAsia="Calibri"/>
          <w:sz w:val="20"/>
          <w:szCs w:val="20"/>
        </w:rPr>
      </w:pPr>
      <w:r w:rsidRPr="00D13792">
        <w:rPr>
          <w:rFonts w:eastAsia="Calibri"/>
          <w:sz w:val="20"/>
          <w:szCs w:val="20"/>
        </w:rPr>
        <w:t xml:space="preserve">Por otro lado, se tramitaron nueve expedientes relacionados con los hechos del caso cometidos antes y después de la masacre </w:t>
      </w:r>
      <w:r w:rsidRPr="00D13792">
        <w:rPr>
          <w:sz w:val="20"/>
          <w:szCs w:val="20"/>
        </w:rPr>
        <w:t>de</w:t>
      </w:r>
      <w:r w:rsidRPr="00D13792">
        <w:rPr>
          <w:rFonts w:eastAsia="Calibri"/>
          <w:sz w:val="20"/>
          <w:szCs w:val="20"/>
        </w:rPr>
        <w:t xml:space="preserve"> 8 de enero de 1982: </w:t>
      </w:r>
      <w:r w:rsidRPr="00D13792">
        <w:rPr>
          <w:rFonts w:cs="Arial"/>
          <w:color w:val="000000"/>
          <w:sz w:val="20"/>
          <w:szCs w:val="20"/>
        </w:rPr>
        <w:t xml:space="preserve">siete ante la Fiscalía Distrital del Ministerio </w:t>
      </w:r>
      <w:r w:rsidRPr="00D13792">
        <w:rPr>
          <w:rFonts w:eastAsia="Calibri"/>
          <w:color w:val="000000"/>
          <w:sz w:val="20"/>
          <w:szCs w:val="20"/>
        </w:rPr>
        <w:t>Público</w:t>
      </w:r>
      <w:r w:rsidRPr="00D13792">
        <w:rPr>
          <w:rFonts w:cs="Arial"/>
          <w:color w:val="000000"/>
          <w:sz w:val="20"/>
          <w:szCs w:val="20"/>
        </w:rPr>
        <w:t xml:space="preserve"> de Salamá y dos ante la Fiscalía Municipal del Ministerio Público de Rabinal</w:t>
      </w:r>
      <w:r w:rsidRPr="00D13792">
        <w:rPr>
          <w:rFonts w:eastAsia="Calibri"/>
          <w:sz w:val="20"/>
          <w:szCs w:val="20"/>
        </w:rPr>
        <w:t>. E</w:t>
      </w:r>
      <w:r w:rsidRPr="00D13792">
        <w:rPr>
          <w:rFonts w:cs="Verdana"/>
          <w:color w:val="000000"/>
          <w:sz w:val="20"/>
          <w:szCs w:val="20"/>
        </w:rPr>
        <w:t xml:space="preserve">n estos expedientes se denunciaron, entre los años 1995 y 2010, </w:t>
      </w:r>
      <w:r w:rsidRPr="00D13792">
        <w:rPr>
          <w:rFonts w:eastAsia="Calibri"/>
          <w:color w:val="000000"/>
          <w:sz w:val="20"/>
          <w:szCs w:val="20"/>
        </w:rPr>
        <w:t xml:space="preserve">desapariciones, ejecuciones, desplazamiento forzado, violencia y violación sexual, actos de tortura y trabajos forzosos, entre otros. </w:t>
      </w:r>
      <w:r w:rsidRPr="00D13792">
        <w:rPr>
          <w:rFonts w:eastAsia="Calibri"/>
          <w:sz w:val="20"/>
          <w:szCs w:val="20"/>
        </w:rPr>
        <w:t>No se advierten acciones</w:t>
      </w:r>
      <w:r w:rsidRPr="00D13792">
        <w:rPr>
          <w:color w:val="000000"/>
          <w:sz w:val="20"/>
          <w:szCs w:val="20"/>
        </w:rPr>
        <w:t xml:space="preserve"> dirigidas a la determinación de los responsables en siete de estos nueve </w:t>
      </w:r>
      <w:r w:rsidRPr="00D13792">
        <w:rPr>
          <w:rFonts w:eastAsia="Calibri"/>
          <w:sz w:val="20"/>
          <w:szCs w:val="20"/>
        </w:rPr>
        <w:t>expedientes</w:t>
      </w:r>
      <w:r w:rsidRPr="00D13792">
        <w:rPr>
          <w:color w:val="000000"/>
          <w:sz w:val="20"/>
          <w:szCs w:val="20"/>
        </w:rPr>
        <w:t>. Por el contrario, las actuaciones dentro de cinco de estos expedientes</w:t>
      </w:r>
      <w:r w:rsidRPr="00D13792">
        <w:rPr>
          <w:rStyle w:val="FootnoteReference"/>
          <w:color w:val="000000"/>
          <w:sz w:val="20"/>
          <w:szCs w:val="20"/>
        </w:rPr>
        <w:footnoteReference w:id="131"/>
      </w:r>
      <w:r w:rsidRPr="00D13792">
        <w:rPr>
          <w:color w:val="000000"/>
          <w:sz w:val="20"/>
          <w:szCs w:val="20"/>
        </w:rPr>
        <w:t xml:space="preserve"> se limitaron a la exhumación y, en </w:t>
      </w:r>
      <w:r w:rsidRPr="00D13792">
        <w:rPr>
          <w:rFonts w:eastAsia="Calibri"/>
          <w:color w:val="000000"/>
          <w:sz w:val="20"/>
          <w:szCs w:val="20"/>
        </w:rPr>
        <w:t>algunos</w:t>
      </w:r>
      <w:r w:rsidRPr="00D13792">
        <w:rPr>
          <w:color w:val="000000"/>
          <w:sz w:val="20"/>
          <w:szCs w:val="20"/>
        </w:rPr>
        <w:t xml:space="preserve"> casos, a la entrega de restos a sus familiares, y en otros dos expedientes</w:t>
      </w:r>
      <w:r w:rsidRPr="00D13792">
        <w:rPr>
          <w:rStyle w:val="FootnoteReference"/>
          <w:color w:val="000000"/>
          <w:sz w:val="20"/>
          <w:szCs w:val="20"/>
        </w:rPr>
        <w:footnoteReference w:id="132"/>
      </w:r>
      <w:r w:rsidRPr="00D13792">
        <w:rPr>
          <w:color w:val="000000"/>
          <w:sz w:val="20"/>
          <w:szCs w:val="20"/>
        </w:rPr>
        <w:t xml:space="preserve"> no se registra actividad investigativa alguna. Por último, dentro de los Expedientes No. 802-95-Of. 6to</w:t>
      </w:r>
      <w:r w:rsidRPr="00D13792">
        <w:rPr>
          <w:rFonts w:eastAsia="Calibri"/>
          <w:color w:val="000000"/>
          <w:sz w:val="20"/>
          <w:szCs w:val="20"/>
        </w:rPr>
        <w:t xml:space="preserve"> y M.P. 247-2006-441 se registran algunas actuaciones dirigidas a determinar responsabilidades, pero estas fueron mínimas</w:t>
      </w:r>
      <w:r w:rsidRPr="00D13792">
        <w:rPr>
          <w:color w:val="000000"/>
          <w:sz w:val="20"/>
          <w:szCs w:val="20"/>
        </w:rPr>
        <w:t xml:space="preserve">. Lo anterior, pese a que </w:t>
      </w:r>
      <w:r w:rsidRPr="00D13792">
        <w:rPr>
          <w:rFonts w:cs="Verdana"/>
          <w:color w:val="000000"/>
          <w:sz w:val="20"/>
          <w:szCs w:val="20"/>
        </w:rPr>
        <w:t>en todos los expedientes consta que se señalaron a miembros del ejército y/o de las PAC como los responsables y en varias ocasiones los denunciantes incluso proporcionaron los nombres de dichas personas y los lugares donde podrían ser ubicadas</w:t>
      </w:r>
      <w:r w:rsidRPr="00D13792">
        <w:rPr>
          <w:rStyle w:val="FootnoteReference"/>
          <w:rFonts w:cs="Verdana"/>
          <w:color w:val="000000"/>
          <w:sz w:val="20"/>
          <w:szCs w:val="20"/>
        </w:rPr>
        <w:footnoteReference w:id="133"/>
      </w:r>
      <w:r w:rsidRPr="00D13792">
        <w:rPr>
          <w:rFonts w:cs="Verdana"/>
          <w:color w:val="000000"/>
          <w:sz w:val="20"/>
          <w:szCs w:val="20"/>
        </w:rPr>
        <w:t xml:space="preserve">, así como los nombres de posibles testigos. </w:t>
      </w:r>
    </w:p>
    <w:p w14:paraId="2CE3CE35" w14:textId="77777777" w:rsidR="006A0E1C" w:rsidRPr="00D13792" w:rsidRDefault="006A0E1C" w:rsidP="006A0E1C">
      <w:pPr>
        <w:tabs>
          <w:tab w:val="left" w:pos="567"/>
        </w:tabs>
        <w:spacing w:line="240" w:lineRule="auto"/>
        <w:ind w:right="4"/>
        <w:rPr>
          <w:rFonts w:eastAsia="Calibri"/>
          <w:sz w:val="20"/>
          <w:szCs w:val="20"/>
        </w:rPr>
      </w:pPr>
    </w:p>
    <w:p w14:paraId="3A6A9BEC" w14:textId="77777777" w:rsidR="006A0E1C" w:rsidRPr="00D13792" w:rsidRDefault="006A0E1C" w:rsidP="006A0E1C">
      <w:pPr>
        <w:numPr>
          <w:ilvl w:val="0"/>
          <w:numId w:val="6"/>
        </w:numPr>
        <w:tabs>
          <w:tab w:val="left" w:pos="567"/>
        </w:tabs>
        <w:spacing w:line="240" w:lineRule="auto"/>
        <w:ind w:right="4"/>
        <w:rPr>
          <w:sz w:val="16"/>
        </w:rPr>
      </w:pPr>
      <w:r w:rsidRPr="00D13792">
        <w:rPr>
          <w:rFonts w:eastAsia="Calibri"/>
          <w:sz w:val="20"/>
          <w:szCs w:val="20"/>
        </w:rPr>
        <w:t xml:space="preserve">Si bien el Estado sostuvo que a partir del año 2011 “diversos hechos ocurridos en esa región” se encuentran en </w:t>
      </w:r>
      <w:r w:rsidRPr="00D13792">
        <w:rPr>
          <w:sz w:val="20"/>
          <w:szCs w:val="20"/>
        </w:rPr>
        <w:t>etapa</w:t>
      </w:r>
      <w:r w:rsidRPr="00D13792">
        <w:rPr>
          <w:rFonts w:eastAsia="Calibri"/>
          <w:sz w:val="20"/>
          <w:szCs w:val="20"/>
        </w:rPr>
        <w:t xml:space="preserve"> de investigación dentro del expediente MP001-2012-364, presuntamente tramitado por la Unidad de Casos Especiales del Enfrentamiento Armado Interno de la Fiscalía de </w:t>
      </w:r>
      <w:r w:rsidRPr="00D13792">
        <w:rPr>
          <w:rFonts w:cs="Arial"/>
          <w:sz w:val="20"/>
          <w:szCs w:val="20"/>
        </w:rPr>
        <w:t>Sección</w:t>
      </w:r>
      <w:r w:rsidRPr="00D13792">
        <w:rPr>
          <w:rFonts w:eastAsia="Calibri"/>
          <w:sz w:val="20"/>
          <w:szCs w:val="20"/>
        </w:rPr>
        <w:t xml:space="preserve"> de Derechos Humanos, Guatemala no proporcionó documentación que sustente este alegato o que permita al Tribunal evaluar las actuaciones dentro de dicho expediente, pese a que esta fue solicitada por la Corte</w:t>
      </w:r>
      <w:r w:rsidRPr="00D13792">
        <w:rPr>
          <w:rStyle w:val="FootnoteReference"/>
          <w:rFonts w:eastAsia="Calibri"/>
          <w:sz w:val="20"/>
          <w:szCs w:val="20"/>
        </w:rPr>
        <w:footnoteReference w:id="134"/>
      </w:r>
      <w:r w:rsidRPr="00D13792">
        <w:rPr>
          <w:rFonts w:eastAsia="Calibri"/>
          <w:sz w:val="20"/>
          <w:szCs w:val="20"/>
        </w:rPr>
        <w:t xml:space="preserve">. </w:t>
      </w:r>
    </w:p>
    <w:p w14:paraId="26EC9051" w14:textId="77777777" w:rsidR="006A0E1C" w:rsidRPr="00D13792" w:rsidRDefault="006A0E1C" w:rsidP="006A0E1C">
      <w:pPr>
        <w:tabs>
          <w:tab w:val="left" w:pos="567"/>
        </w:tabs>
        <w:spacing w:line="240" w:lineRule="auto"/>
        <w:ind w:right="4"/>
        <w:jc w:val="center"/>
        <w:rPr>
          <w:b/>
          <w:sz w:val="16"/>
          <w:szCs w:val="20"/>
        </w:rPr>
      </w:pPr>
    </w:p>
    <w:p w14:paraId="5C693643" w14:textId="77777777" w:rsidR="006A0E1C" w:rsidRPr="00D13792" w:rsidRDefault="006A0E1C" w:rsidP="006A0E1C">
      <w:pPr>
        <w:pStyle w:val="Heading1"/>
        <w:rPr>
          <w:lang w:val="es-CR"/>
        </w:rPr>
      </w:pPr>
      <w:bookmarkStart w:id="187" w:name="_Toc469670037"/>
      <w:r w:rsidRPr="00D13792">
        <w:rPr>
          <w:lang w:val="es-CR"/>
        </w:rPr>
        <w:lastRenderedPageBreak/>
        <w:t>IX</w:t>
      </w:r>
      <w:bookmarkEnd w:id="187"/>
    </w:p>
    <w:p w14:paraId="4B538314" w14:textId="77777777" w:rsidR="006A0E1C" w:rsidRPr="00D13792" w:rsidRDefault="006A0E1C" w:rsidP="006A0E1C">
      <w:pPr>
        <w:pStyle w:val="Heading1"/>
        <w:rPr>
          <w:lang w:val="es-CR"/>
        </w:rPr>
      </w:pPr>
      <w:bookmarkStart w:id="188" w:name="_Toc469670038"/>
      <w:r w:rsidRPr="00D13792">
        <w:rPr>
          <w:lang w:val="es-CR"/>
        </w:rPr>
        <w:t>FONDO</w:t>
      </w:r>
      <w:bookmarkEnd w:id="188"/>
    </w:p>
    <w:p w14:paraId="5DD86ED4" w14:textId="77777777" w:rsidR="006A0E1C" w:rsidRPr="00D13792" w:rsidRDefault="006A0E1C" w:rsidP="006A0E1C">
      <w:pPr>
        <w:pStyle w:val="Heading1"/>
        <w:rPr>
          <w:sz w:val="16"/>
          <w:lang w:val="es-CR"/>
        </w:rPr>
      </w:pPr>
    </w:p>
    <w:p w14:paraId="5320AFAE" w14:textId="77777777" w:rsidR="006A0E1C" w:rsidRPr="00D13792" w:rsidRDefault="006A0E1C" w:rsidP="006A0E1C">
      <w:pPr>
        <w:pStyle w:val="Heading1"/>
        <w:rPr>
          <w:lang w:val="es-CR"/>
        </w:rPr>
      </w:pPr>
      <w:bookmarkStart w:id="189" w:name="_Toc469670039"/>
      <w:r w:rsidRPr="00D13792">
        <w:rPr>
          <w:lang w:val="es-CR"/>
        </w:rPr>
        <w:t>IX.I</w:t>
      </w:r>
      <w:bookmarkEnd w:id="189"/>
    </w:p>
    <w:p w14:paraId="280078EF" w14:textId="77777777" w:rsidR="006A0E1C" w:rsidRPr="00D13792" w:rsidRDefault="006A0E1C" w:rsidP="006A0E1C">
      <w:pPr>
        <w:pStyle w:val="Heading1"/>
        <w:rPr>
          <w:lang w:val="es-CR"/>
        </w:rPr>
      </w:pPr>
      <w:bookmarkStart w:id="190" w:name="_Toc469670040"/>
      <w:r w:rsidRPr="00D13792">
        <w:rPr>
          <w:lang w:val="es-CR"/>
        </w:rPr>
        <w:t>DERECHOS A LA LIBERTAD PERSONAL</w:t>
      </w:r>
      <w:r w:rsidRPr="00D13792">
        <w:rPr>
          <w:rStyle w:val="FootnoteReference"/>
          <w:lang w:val="es-CR"/>
        </w:rPr>
        <w:footnoteReference w:id="135"/>
      </w:r>
      <w:r w:rsidRPr="00D13792">
        <w:rPr>
          <w:lang w:val="es-CR"/>
        </w:rPr>
        <w:t>, INTEGRIDAD PERSONAL</w:t>
      </w:r>
      <w:r w:rsidRPr="00D13792">
        <w:rPr>
          <w:rStyle w:val="FootnoteReference"/>
          <w:lang w:val="es-CR"/>
        </w:rPr>
        <w:footnoteReference w:id="136"/>
      </w:r>
      <w:r w:rsidRPr="00D13792">
        <w:rPr>
          <w:lang w:val="es-CR"/>
        </w:rPr>
        <w:t>, VIDA</w:t>
      </w:r>
      <w:r w:rsidRPr="00D13792">
        <w:rPr>
          <w:rStyle w:val="FootnoteReference"/>
          <w:lang w:val="es-CR"/>
        </w:rPr>
        <w:footnoteReference w:id="137"/>
      </w:r>
      <w:r w:rsidRPr="00D13792">
        <w:rPr>
          <w:lang w:val="es-CR"/>
        </w:rPr>
        <w:t xml:space="preserve"> Y RECONOCIMIENTO DE LA PERSONALIDAD JURÍDICA</w:t>
      </w:r>
      <w:r w:rsidRPr="00D13792">
        <w:rPr>
          <w:rStyle w:val="FootnoteReference"/>
          <w:lang w:val="es-CR"/>
        </w:rPr>
        <w:footnoteReference w:id="138"/>
      </w:r>
      <w:r w:rsidRPr="00D13792">
        <w:rPr>
          <w:lang w:val="es-CR"/>
        </w:rPr>
        <w:t xml:space="preserve"> DE LAS VÍCTIMAS DE DESAPARICIÓN FORZADA, ASÍ COMO DERECHOS A LA INTEGRIDAD PERSONAL Y A LA PROTECCIÓN A LA FAMILIA</w:t>
      </w:r>
      <w:r w:rsidRPr="00D13792">
        <w:rPr>
          <w:rStyle w:val="FootnoteReference"/>
          <w:lang w:val="es-CR"/>
        </w:rPr>
        <w:footnoteReference w:id="139"/>
      </w:r>
      <w:r w:rsidRPr="00D13792">
        <w:rPr>
          <w:lang w:val="es-CR"/>
        </w:rPr>
        <w:t xml:space="preserve"> DE SUS FAMILIARES</w:t>
      </w:r>
      <w:bookmarkEnd w:id="190"/>
    </w:p>
    <w:p w14:paraId="352C30AE" w14:textId="77777777" w:rsidR="006A0E1C" w:rsidRPr="00D13792" w:rsidRDefault="006A0E1C" w:rsidP="006A0E1C">
      <w:pPr>
        <w:spacing w:line="240" w:lineRule="auto"/>
        <w:rPr>
          <w:b/>
          <w:i/>
          <w:sz w:val="20"/>
          <w:szCs w:val="20"/>
        </w:rPr>
      </w:pPr>
    </w:p>
    <w:p w14:paraId="7B546477" w14:textId="77777777" w:rsidR="006A0E1C" w:rsidRPr="00D13792" w:rsidRDefault="006A0E1C" w:rsidP="006A0E1C">
      <w:pPr>
        <w:pStyle w:val="Heading2"/>
        <w:numPr>
          <w:ilvl w:val="0"/>
          <w:numId w:val="38"/>
        </w:numPr>
        <w:tabs>
          <w:tab w:val="clear" w:pos="720"/>
          <w:tab w:val="left" w:pos="0"/>
        </w:tabs>
        <w:ind w:left="0" w:firstLine="0"/>
        <w:rPr>
          <w:rFonts w:eastAsia="MS Mincho"/>
          <w:bCs/>
          <w:lang w:val="es-CR"/>
        </w:rPr>
      </w:pPr>
      <w:bookmarkStart w:id="191" w:name="_Toc455574182"/>
      <w:bookmarkStart w:id="192" w:name="_Toc455631228"/>
      <w:bookmarkStart w:id="193" w:name="_Toc457990758"/>
      <w:bookmarkStart w:id="194" w:name="_Toc469670041"/>
      <w:r w:rsidRPr="00D13792">
        <w:rPr>
          <w:lang w:val="es-CR"/>
        </w:rPr>
        <w:t>Argumentos de la Comisión y de las partes</w:t>
      </w:r>
      <w:bookmarkEnd w:id="191"/>
      <w:bookmarkEnd w:id="192"/>
      <w:bookmarkEnd w:id="193"/>
      <w:bookmarkEnd w:id="194"/>
      <w:r w:rsidRPr="00D13792">
        <w:rPr>
          <w:lang w:val="es-CR"/>
        </w:rPr>
        <w:t xml:space="preserve"> </w:t>
      </w:r>
    </w:p>
    <w:p w14:paraId="6F9F2097" w14:textId="77777777" w:rsidR="006A0E1C" w:rsidRPr="00D13792" w:rsidRDefault="006A0E1C" w:rsidP="006A0E1C">
      <w:pPr>
        <w:spacing w:line="240" w:lineRule="auto"/>
        <w:rPr>
          <w:b/>
          <w:i/>
          <w:sz w:val="16"/>
          <w:szCs w:val="20"/>
        </w:rPr>
      </w:pPr>
    </w:p>
    <w:p w14:paraId="46B22855"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La </w:t>
      </w:r>
      <w:r w:rsidRPr="00D13792">
        <w:rPr>
          <w:b/>
          <w:i/>
          <w:sz w:val="20"/>
          <w:szCs w:val="20"/>
        </w:rPr>
        <w:t xml:space="preserve">Comisión </w:t>
      </w:r>
      <w:r w:rsidRPr="00D13792">
        <w:rPr>
          <w:rFonts w:eastAsia="Calibri"/>
          <w:sz w:val="20"/>
          <w:szCs w:val="20"/>
        </w:rPr>
        <w:t>estableció</w:t>
      </w:r>
      <w:r w:rsidRPr="00D13792">
        <w:rPr>
          <w:rFonts w:cs="Arial"/>
          <w:sz w:val="20"/>
          <w:szCs w:val="20"/>
        </w:rPr>
        <w:t xml:space="preserve"> en su Informe de Fondo que ocho personas fueron desaparecidas los días 24 de agosto de 1981; 8, 18 y 31 de enero y 12 de febrero de 1982, y 13 de diciembre de 1984, y que todas estas personas fueron vistas por última vez bajo la custodia de agentes estatales y, hasta la fecha, no se conoce el paradero de las mismas. Las ocho desapariciones forzadas estarían enmarcadas en el contexto de violencia y persecución contra el pueblo maya sospechoso de estar vinculado a la subversión. En consecuencia, concluyó la </w:t>
      </w:r>
      <w:r w:rsidRPr="00D13792">
        <w:rPr>
          <w:sz w:val="20"/>
          <w:szCs w:val="20"/>
        </w:rPr>
        <w:t>violación</w:t>
      </w:r>
      <w:r w:rsidRPr="00D13792">
        <w:rPr>
          <w:rFonts w:cs="Arial"/>
          <w:sz w:val="20"/>
          <w:szCs w:val="20"/>
        </w:rPr>
        <w:t xml:space="preserve"> de los derechos de dichas personas al reconocimiento de la personalidad jurídica, a la vida, a la integridad personal y a la libertad personal, establecidos en los artículos 3, 4, 5 y 7 de la Convención Americana, en relación con el artículo 1.1 del mismo instrumento, así como la violación del artículo 1 de la CIDFP. En sus alegatos finales sostuvo que algunos hechos que había calificado como ejecuciones extrajudiciales en su Informe de Fondo podrían ser más bien calificados como desapariciones forzadas </w:t>
      </w:r>
      <w:r w:rsidRPr="00D13792">
        <w:rPr>
          <w:rFonts w:eastAsia="Calibri" w:cs="Cambria"/>
          <w:sz w:val="20"/>
          <w:szCs w:val="20"/>
        </w:rPr>
        <w:t>y, en consecuencia, la Corte tiene competencia temporal para pronunciarse sobre tales hechos</w:t>
      </w:r>
      <w:r w:rsidRPr="00D13792">
        <w:rPr>
          <w:rFonts w:cs="Arial"/>
          <w:sz w:val="20"/>
          <w:szCs w:val="20"/>
        </w:rPr>
        <w:t xml:space="preserve">. </w:t>
      </w:r>
      <w:r w:rsidRPr="00D13792">
        <w:rPr>
          <w:sz w:val="20"/>
          <w:szCs w:val="20"/>
        </w:rPr>
        <w:t xml:space="preserve">En esta línea, señaló que son víctimas de desaparición forzada las personas que fueron arrojadas a fosas clandestinas, que para el 9 de marzo de 1987 no habían sido exhumadas, y que sus restos no habían sido identificados ni entregados a sus familiares. Lo anterior, en tanto hubo acciones del Estado para ocultar lo sucedido e impedir la identificación de los restos. </w:t>
      </w:r>
      <w:r w:rsidRPr="00D13792">
        <w:rPr>
          <w:rFonts w:cs="Arial"/>
          <w:sz w:val="20"/>
          <w:szCs w:val="20"/>
        </w:rPr>
        <w:t xml:space="preserve">En este punto, se refirió a las similitudes de este caso con el </w:t>
      </w:r>
      <w:r w:rsidRPr="00D13792">
        <w:rPr>
          <w:rStyle w:val="Strong"/>
          <w:b w:val="0"/>
          <w:i/>
          <w:color w:val="000000"/>
          <w:sz w:val="20"/>
          <w:szCs w:val="20"/>
          <w:shd w:val="clear" w:color="auto" w:fill="FFFFFF"/>
        </w:rPr>
        <w:t>Caso Comunidad Campesina de Santa Bárbara Vs. Perú</w:t>
      </w:r>
      <w:r w:rsidRPr="00D13792">
        <w:rPr>
          <w:rFonts w:cs="Arial"/>
          <w:sz w:val="20"/>
          <w:szCs w:val="20"/>
        </w:rPr>
        <w:t xml:space="preserve">, en el cual, la Corte calificó los hechos como desaparición forzada a pesar de la existencia de claros indicios de la muerte de las víctimas. </w:t>
      </w:r>
    </w:p>
    <w:p w14:paraId="3BC218E0" w14:textId="77777777" w:rsidR="006A0E1C" w:rsidRPr="00D13792" w:rsidRDefault="006A0E1C" w:rsidP="006A0E1C">
      <w:pPr>
        <w:pStyle w:val="Prrafodelista2"/>
        <w:tabs>
          <w:tab w:val="left" w:pos="720"/>
        </w:tabs>
        <w:ind w:left="0" w:right="-90"/>
        <w:jc w:val="both"/>
        <w:rPr>
          <w:lang w:val="es-CR"/>
        </w:rPr>
      </w:pPr>
    </w:p>
    <w:p w14:paraId="2041149B"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lastRenderedPageBreak/>
        <w:t xml:space="preserve">Por otra parte, la Comisión sostuvo que los familiares de los desaparecidos son a su vez, víctimas de violación a su integridad personal. </w:t>
      </w:r>
      <w:r w:rsidRPr="00D13792">
        <w:rPr>
          <w:rFonts w:cs="Arial"/>
          <w:sz w:val="20"/>
          <w:szCs w:val="20"/>
        </w:rPr>
        <w:t xml:space="preserve">De igual modo, estableció que la persecución, la violencia extrema, </w:t>
      </w:r>
      <w:r w:rsidRPr="00D13792">
        <w:rPr>
          <w:sz w:val="20"/>
          <w:szCs w:val="20"/>
        </w:rPr>
        <w:t>la profunda situación de indefensión y las intenciones de destrucción de las bases familiares y sociales que motivaron la violencia en el contexto de los hechos, permite considerar una violación autónoma del derecho a la protección de la familia. Indicó además, que en el presente caso no se ha llevado a cabo una investigación completa sobre los hechos, ni un proceso judicial efectivo. En consecuencia, concluyó que el Estado violó el derecho a la integridad psíquica y moral y el derecho a la protección a la familia, consagrados en los artículos 5.1 y 17 de la Convención Americana en relación con el deber de respeto establecido en el artículo 1.1 de la misma, en perjuicio de los familiares de las víctimas de este caso.</w:t>
      </w:r>
    </w:p>
    <w:p w14:paraId="7BC03FDE" w14:textId="77777777" w:rsidR="006A0E1C" w:rsidRPr="00D13792" w:rsidRDefault="006A0E1C" w:rsidP="006A0E1C">
      <w:pPr>
        <w:pStyle w:val="Prrafodelista2"/>
        <w:tabs>
          <w:tab w:val="left" w:pos="720"/>
        </w:tabs>
        <w:ind w:left="0" w:right="-90"/>
        <w:jc w:val="both"/>
        <w:rPr>
          <w:lang w:val="es-CR"/>
        </w:rPr>
      </w:pPr>
    </w:p>
    <w:p w14:paraId="195F2561"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Los </w:t>
      </w:r>
      <w:r w:rsidRPr="00D13792">
        <w:rPr>
          <w:b/>
          <w:i/>
          <w:sz w:val="20"/>
          <w:szCs w:val="20"/>
        </w:rPr>
        <w:t xml:space="preserve">representantes </w:t>
      </w:r>
      <w:r w:rsidRPr="00D13792">
        <w:rPr>
          <w:sz w:val="20"/>
          <w:szCs w:val="20"/>
        </w:rPr>
        <w:t xml:space="preserve">sostuvieron en su escrito de solicitudes y argumentos que el Estado es culpable por la </w:t>
      </w:r>
      <w:r w:rsidRPr="00D13792">
        <w:rPr>
          <w:rFonts w:eastAsia="Calibri"/>
          <w:sz w:val="20"/>
          <w:szCs w:val="20"/>
        </w:rPr>
        <w:t>desaparición</w:t>
      </w:r>
      <w:r w:rsidRPr="00D13792">
        <w:rPr>
          <w:sz w:val="20"/>
          <w:szCs w:val="20"/>
        </w:rPr>
        <w:t xml:space="preserve"> forzada de dieciocho personas que habitaban en la aldea Chichupac y las comunidades aledañas a la misma.</w:t>
      </w:r>
      <w:r w:rsidRPr="00D13792">
        <w:rPr>
          <w:sz w:val="16"/>
          <w:szCs w:val="20"/>
        </w:rPr>
        <w:t xml:space="preserve"> </w:t>
      </w:r>
      <w:r w:rsidRPr="00D13792">
        <w:rPr>
          <w:sz w:val="20"/>
          <w:szCs w:val="20"/>
        </w:rPr>
        <w:t xml:space="preserve">En sus alegatos finales indicaron, con base en la Sentencia del </w:t>
      </w:r>
      <w:r w:rsidRPr="00D13792">
        <w:rPr>
          <w:rStyle w:val="Strong"/>
          <w:b w:val="0"/>
          <w:i/>
          <w:color w:val="000000"/>
          <w:sz w:val="20"/>
          <w:szCs w:val="20"/>
          <w:shd w:val="clear" w:color="auto" w:fill="FFFFFF"/>
        </w:rPr>
        <w:t>Caso Comunidad Campesina de Santa Bárbara Vs. Perú,</w:t>
      </w:r>
      <w:r w:rsidRPr="00D13792">
        <w:rPr>
          <w:sz w:val="20"/>
          <w:szCs w:val="20"/>
        </w:rPr>
        <w:t xml:space="preserve"> que es necesario modificar la calificación jurídica de lo sucedido a las víctimas que fueron presentadas ante la Comisión como de ejecución extrajudicial, a la figura de desaparición forzada, por no existir suficientes elementos para establecer su muerte. Al respecto, solicitaron que se declaren como víctimas de desaparición forzada a las ocho personas identificadas por la Comisión en su Informe de Fondo, y solicitaron el cambio de la calificación jurídica de lo sucedido a un listado de 68 presuntas víctimas proporcionado en la audiencia pública y </w:t>
      </w:r>
      <w:r w:rsidRPr="00D13792">
        <w:rPr>
          <w:rFonts w:eastAsia="Calibri" w:cs="Verdana"/>
          <w:sz w:val="20"/>
          <w:szCs w:val="20"/>
        </w:rPr>
        <w:t xml:space="preserve">un listado de 42 </w:t>
      </w:r>
      <w:r w:rsidRPr="00D13792">
        <w:rPr>
          <w:sz w:val="20"/>
          <w:szCs w:val="20"/>
        </w:rPr>
        <w:t>presuntas víctimas</w:t>
      </w:r>
      <w:r w:rsidRPr="00D13792">
        <w:rPr>
          <w:rFonts w:eastAsia="Calibri" w:cs="Verdana"/>
          <w:sz w:val="20"/>
          <w:szCs w:val="20"/>
        </w:rPr>
        <w:t xml:space="preserve"> proporcionado en sus alegatos finales escritos, </w:t>
      </w:r>
      <w:r w:rsidRPr="00D13792">
        <w:rPr>
          <w:sz w:val="20"/>
          <w:szCs w:val="20"/>
        </w:rPr>
        <w:t>de ejecución extrajudicial a desaparición forzada</w:t>
      </w:r>
      <w:r w:rsidRPr="00D13792">
        <w:rPr>
          <w:rFonts w:eastAsia="Calibri" w:cs="Verdana"/>
          <w:sz w:val="20"/>
          <w:szCs w:val="20"/>
        </w:rPr>
        <w:t>. Alegaron que a</w:t>
      </w:r>
      <w:r w:rsidRPr="00D13792">
        <w:rPr>
          <w:sz w:val="20"/>
          <w:szCs w:val="20"/>
        </w:rPr>
        <w:t xml:space="preserve"> la fecha no se conoce el paradero de muchas de las personas que aparecen en dichos listados, no se ha determinado con certeza su identidad y sus restos no han sido hallados o entregados a sus parientes para su inhumación. Además, a pesar que en algunos casos ya se iniciaron exhumaciones, los restos no han sido identificados con pruebas o análisis que permitan comprobar su identidad, la forma y causa de su muerte y la existencia de posibles lesiones o indicios de tortura.</w:t>
      </w:r>
    </w:p>
    <w:p w14:paraId="7229CC48" w14:textId="77777777" w:rsidR="006A0E1C" w:rsidRPr="00D13792" w:rsidRDefault="006A0E1C" w:rsidP="006A0E1C">
      <w:pPr>
        <w:pStyle w:val="Prrafodelista2"/>
        <w:tabs>
          <w:tab w:val="left" w:pos="720"/>
        </w:tabs>
        <w:ind w:left="0" w:right="-90"/>
        <w:jc w:val="both"/>
        <w:rPr>
          <w:lang w:val="es-CR"/>
        </w:rPr>
      </w:pPr>
    </w:p>
    <w:p w14:paraId="488EE26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Por otra parte, los representantes</w:t>
      </w:r>
      <w:r w:rsidRPr="00D13792">
        <w:rPr>
          <w:b/>
          <w:i/>
          <w:sz w:val="20"/>
          <w:szCs w:val="20"/>
        </w:rPr>
        <w:t xml:space="preserve"> </w:t>
      </w:r>
      <w:r w:rsidRPr="00D13792">
        <w:rPr>
          <w:sz w:val="20"/>
          <w:szCs w:val="20"/>
        </w:rPr>
        <w:t xml:space="preserve">señalaron que un aspecto relevante en cuanto a la práctica sistemática de la desaparición forzada es la afectación psíquica y moral de las familias de las víctimas que </w:t>
      </w:r>
      <w:r w:rsidRPr="00D13792">
        <w:rPr>
          <w:rFonts w:eastAsia="Calibri"/>
          <w:sz w:val="20"/>
          <w:szCs w:val="20"/>
        </w:rPr>
        <w:t>deviene</w:t>
      </w:r>
      <w:r w:rsidRPr="00D13792">
        <w:rPr>
          <w:sz w:val="20"/>
          <w:szCs w:val="20"/>
        </w:rPr>
        <w:t xml:space="preserve"> del profundo sufrimiento por la falta de ubicación de los restos mortales de sus seres queridos, así como de la nula investigación de los hechos bajo los cuales ocurrió el crimen. Por lo anterior, argumentaron que se vulneró el artículo 5 de la Convención Americana, con relación con el artículo 1.1 de la misma.</w:t>
      </w:r>
    </w:p>
    <w:p w14:paraId="2C8FD019" w14:textId="77777777" w:rsidR="006A0E1C" w:rsidRPr="00D13792" w:rsidRDefault="006A0E1C" w:rsidP="006A0E1C">
      <w:pPr>
        <w:tabs>
          <w:tab w:val="left" w:pos="567"/>
        </w:tabs>
        <w:spacing w:line="240" w:lineRule="auto"/>
        <w:ind w:right="4"/>
      </w:pPr>
    </w:p>
    <w:p w14:paraId="242F2AA5"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eastAsia="Calibri"/>
          <w:sz w:val="20"/>
          <w:szCs w:val="20"/>
        </w:rPr>
        <w:t xml:space="preserve">El </w:t>
      </w:r>
      <w:r w:rsidRPr="00D13792">
        <w:rPr>
          <w:rFonts w:eastAsia="Calibri"/>
          <w:b/>
          <w:i/>
          <w:sz w:val="20"/>
          <w:szCs w:val="20"/>
        </w:rPr>
        <w:t>Estado</w:t>
      </w:r>
      <w:r w:rsidRPr="00D13792">
        <w:rPr>
          <w:rFonts w:eastAsia="Calibri"/>
          <w:sz w:val="20"/>
          <w:szCs w:val="20"/>
        </w:rPr>
        <w:t xml:space="preserve"> argumentó que no se le puede atribuir responsabilidad por las desapariciones ocurridas durante la época del enfrentamiento armado, ya que el delito no se encontraba tipificado en el ordenamiento penal interno ni existía en el propio ámbito </w:t>
      </w:r>
      <w:r w:rsidRPr="00D13792">
        <w:rPr>
          <w:sz w:val="20"/>
          <w:szCs w:val="20"/>
        </w:rPr>
        <w:t>interamericano</w:t>
      </w:r>
      <w:r w:rsidRPr="00D13792">
        <w:rPr>
          <w:rFonts w:eastAsia="Calibri"/>
          <w:sz w:val="20"/>
          <w:szCs w:val="20"/>
        </w:rPr>
        <w:t xml:space="preserve">. </w:t>
      </w:r>
      <w:r w:rsidRPr="00D13792">
        <w:rPr>
          <w:sz w:val="20"/>
          <w:szCs w:val="20"/>
        </w:rPr>
        <w:t xml:space="preserve">Alegó </w:t>
      </w:r>
      <w:r w:rsidRPr="00D13792">
        <w:rPr>
          <w:rFonts w:eastAsia="Calibri"/>
          <w:sz w:val="20"/>
          <w:szCs w:val="20"/>
        </w:rPr>
        <w:t>que ni la Corte ni la Comisión distinguen entre “</w:t>
      </w:r>
      <w:r w:rsidRPr="00D13792">
        <w:rPr>
          <w:rFonts w:eastAsia="Calibri"/>
          <w:iCs/>
          <w:sz w:val="20"/>
          <w:szCs w:val="20"/>
        </w:rPr>
        <w:t xml:space="preserve">delitos continuados” y “delitos permanentes” al analizar </w:t>
      </w:r>
      <w:r w:rsidRPr="00D13792">
        <w:rPr>
          <w:rFonts w:eastAsia="Calibri"/>
          <w:sz w:val="20"/>
          <w:szCs w:val="20"/>
        </w:rPr>
        <w:t xml:space="preserve">la naturaleza jurídica del delito de desaparición forzada. </w:t>
      </w:r>
      <w:r w:rsidRPr="00D13792">
        <w:rPr>
          <w:sz w:val="20"/>
          <w:szCs w:val="20"/>
        </w:rPr>
        <w:t>E</w:t>
      </w:r>
      <w:r w:rsidRPr="00D13792">
        <w:rPr>
          <w:rFonts w:eastAsia="Calibri"/>
          <w:sz w:val="20"/>
          <w:szCs w:val="20"/>
        </w:rPr>
        <w:t>xplicó la diferencia entre dichos delitos conforme al derecho penal guatemalteco, e indicó que la desaparición forzada, que en Guatemala constituye un delito a partir del 22 de mayo de 1996, es un delito permanente porque se comete en un momento determinado y aunque permanezcan los efectos, no puede re-tipificarse con base en hechos posteriores conforme al principio de legalidad e irretroactividad de la ley.</w:t>
      </w:r>
      <w:r w:rsidRPr="00D13792">
        <w:rPr>
          <w:sz w:val="20"/>
          <w:szCs w:val="20"/>
        </w:rPr>
        <w:t xml:space="preserve"> En consecuencia, los hechos ocurridos con anterioridad a la tipificación y entrada en vigencia de los delitos de desaparición forzada y de tortura, podrían encuadrar como delito de secuestro, detención ilegal o lesiones graves.</w:t>
      </w:r>
    </w:p>
    <w:p w14:paraId="4083D46F" w14:textId="77777777" w:rsidR="006A0E1C" w:rsidRPr="00D13792" w:rsidRDefault="006A0E1C" w:rsidP="006A0E1C">
      <w:pPr>
        <w:tabs>
          <w:tab w:val="left" w:pos="567"/>
        </w:tabs>
        <w:spacing w:line="240" w:lineRule="auto"/>
        <w:ind w:right="4"/>
        <w:rPr>
          <w:sz w:val="20"/>
          <w:szCs w:val="20"/>
        </w:rPr>
      </w:pPr>
    </w:p>
    <w:p w14:paraId="1C796DA9"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El Estado a</w:t>
      </w:r>
      <w:r w:rsidRPr="00D13792">
        <w:rPr>
          <w:rFonts w:eastAsia="Calibri"/>
          <w:sz w:val="20"/>
          <w:szCs w:val="20"/>
        </w:rPr>
        <w:t xml:space="preserve">ñadió que únicamente un Juez con jurisdicción penal puede establecer la existencia de una desaparición forzada. Además, </w:t>
      </w:r>
      <w:r w:rsidRPr="00D13792">
        <w:rPr>
          <w:sz w:val="20"/>
          <w:szCs w:val="20"/>
        </w:rPr>
        <w:t xml:space="preserve">señaló “que </w:t>
      </w:r>
      <w:r w:rsidRPr="00D13792">
        <w:rPr>
          <w:rFonts w:eastAsia="Calibri"/>
          <w:sz w:val="20"/>
          <w:szCs w:val="20"/>
        </w:rPr>
        <w:t>no se le pueden atribuir sin ningún tipo de pruebas fehacientes la responsabilidad al Estado de haber cometido dichas desapariciones”.</w:t>
      </w:r>
      <w:r w:rsidRPr="00D13792">
        <w:rPr>
          <w:sz w:val="20"/>
          <w:szCs w:val="20"/>
        </w:rPr>
        <w:t xml:space="preserve"> </w:t>
      </w:r>
      <w:r w:rsidRPr="00D13792">
        <w:rPr>
          <w:rFonts w:eastAsia="Calibri"/>
          <w:sz w:val="20"/>
          <w:szCs w:val="20"/>
        </w:rPr>
        <w:t xml:space="preserve">Al respecto, sostuvo que, para establecer una desaparición forzada, tanto la Comisión como la Corte únicamente se basan en el patrón sistemático de la época del enfrentamiento armado interno. También argumentó que cuando se da un cambio de gobierno, </w:t>
      </w:r>
      <w:r w:rsidRPr="00D13792">
        <w:rPr>
          <w:rFonts w:eastAsia="Calibri"/>
          <w:sz w:val="20"/>
          <w:szCs w:val="20"/>
        </w:rPr>
        <w:lastRenderedPageBreak/>
        <w:t xml:space="preserve">si bien puede extenderse la responsabilidad como Estado por los actos de funcionarios de gobiernos anteriores, no pueden calificarse esos hechos como una conducta continuada de Estado y en consecuencia no puede extenderse la competencia de la Corte a hechos anteriores a la temporalidad con la que el Estado reconoció su competencia. </w:t>
      </w:r>
      <w:r w:rsidRPr="00D13792">
        <w:rPr>
          <w:sz w:val="20"/>
          <w:szCs w:val="20"/>
        </w:rPr>
        <w:t xml:space="preserve">Asimismo, sostuvo que la </w:t>
      </w:r>
      <w:r w:rsidRPr="00D13792">
        <w:rPr>
          <w:rFonts w:cs="Arial"/>
          <w:sz w:val="20"/>
          <w:szCs w:val="20"/>
        </w:rPr>
        <w:t>CIDFP</w:t>
      </w:r>
      <w:r w:rsidRPr="00D13792">
        <w:rPr>
          <w:rFonts w:eastAsia="Calibri"/>
          <w:sz w:val="20"/>
          <w:szCs w:val="20"/>
        </w:rPr>
        <w:t xml:space="preserve"> no se puede aplicar de manera retroactiva a hechos que ocurrieron antes de su entrada en vigor para el Estado ni aquellos cuyo principio de ejecución ocurrió antes de la ratificación de dicha Convención el 25 de febrero de 2000</w:t>
      </w:r>
      <w:r w:rsidRPr="00D13792">
        <w:rPr>
          <w:sz w:val="20"/>
          <w:szCs w:val="20"/>
        </w:rPr>
        <w:t>.</w:t>
      </w:r>
    </w:p>
    <w:p w14:paraId="79709CDF" w14:textId="77777777" w:rsidR="006A0E1C" w:rsidRPr="00D13792" w:rsidRDefault="006A0E1C" w:rsidP="006A0E1C">
      <w:pPr>
        <w:pStyle w:val="Prrafodelista2"/>
        <w:tabs>
          <w:tab w:val="left" w:pos="720"/>
        </w:tabs>
        <w:ind w:left="0" w:right="-90"/>
        <w:jc w:val="both"/>
        <w:rPr>
          <w:lang w:val="es-CR"/>
        </w:rPr>
      </w:pPr>
    </w:p>
    <w:p w14:paraId="703F04DB"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eastAsia="Calibri"/>
          <w:sz w:val="20"/>
          <w:szCs w:val="20"/>
        </w:rPr>
        <w:t xml:space="preserve">En el mismo sentido, el Estado argumentó que no puede incurrir en las violaciones de los derechos a la vida, integridad personal, libertad personal y al reconocimiento de la personalidad jurídica, ya que la Corte no puede conocer de hechos anteriores a la fecha en que Guatemala reconoció su competencia. Por otro lado, citó el </w:t>
      </w:r>
      <w:r w:rsidRPr="00D13792">
        <w:rPr>
          <w:rFonts w:eastAsia="Calibri"/>
          <w:i/>
          <w:sz w:val="20"/>
          <w:szCs w:val="20"/>
        </w:rPr>
        <w:t>Caso Efraín Bámaca Velásquez</w:t>
      </w:r>
      <w:r w:rsidRPr="00D13792">
        <w:rPr>
          <w:rFonts w:eastAsia="Calibri"/>
          <w:sz w:val="20"/>
          <w:szCs w:val="20"/>
        </w:rPr>
        <w:t xml:space="preserve"> para argumentar que “</w:t>
      </w:r>
      <w:r w:rsidRPr="00D13792">
        <w:rPr>
          <w:rFonts w:eastAsia="Calibri"/>
          <w:iCs/>
          <w:sz w:val="20"/>
          <w:szCs w:val="20"/>
        </w:rPr>
        <w:t xml:space="preserve">la privación arbitraria de la vida suprime a la persona humana y, por </w:t>
      </w:r>
      <w:r w:rsidRPr="00D13792">
        <w:rPr>
          <w:sz w:val="20"/>
          <w:szCs w:val="20"/>
        </w:rPr>
        <w:t>consiguiente</w:t>
      </w:r>
      <w:r w:rsidRPr="00D13792">
        <w:rPr>
          <w:rFonts w:eastAsia="Calibri"/>
          <w:iCs/>
          <w:sz w:val="20"/>
          <w:szCs w:val="20"/>
        </w:rPr>
        <w:t>, no procede, en esta circunstancia, invocar la supuesta violación del derecho a la personalidad jurídica o de otros derechos consagrados en la Convención”</w:t>
      </w:r>
      <w:r w:rsidRPr="00D13792">
        <w:rPr>
          <w:rFonts w:eastAsia="Calibri"/>
          <w:sz w:val="20"/>
          <w:szCs w:val="20"/>
        </w:rPr>
        <w:t>. Finalmente, se opuso a que se agreguen nuevos nombres de personas que habrían sido “ejecutadas extrajudicialmente”</w:t>
      </w:r>
      <w:r w:rsidRPr="00D13792">
        <w:rPr>
          <w:sz w:val="20"/>
          <w:szCs w:val="20"/>
        </w:rPr>
        <w:t xml:space="preserve"> </w:t>
      </w:r>
      <w:r w:rsidRPr="00D13792">
        <w:rPr>
          <w:rFonts w:eastAsia="Calibri"/>
          <w:sz w:val="20"/>
          <w:szCs w:val="20"/>
        </w:rPr>
        <w:t>según los Informes de Admisibilidad y Fondo de la Comisión, a la lista de personas presuntamente desaparecidas forzosamente.</w:t>
      </w:r>
    </w:p>
    <w:p w14:paraId="3CAA2A7D" w14:textId="77777777" w:rsidR="006A0E1C" w:rsidRPr="00D13792" w:rsidRDefault="006A0E1C" w:rsidP="006A0E1C">
      <w:pPr>
        <w:pStyle w:val="Prrafodelista2"/>
        <w:tabs>
          <w:tab w:val="left" w:pos="720"/>
        </w:tabs>
        <w:ind w:left="0" w:right="-90"/>
        <w:jc w:val="both"/>
        <w:rPr>
          <w:lang w:val="es-CR"/>
        </w:rPr>
      </w:pPr>
    </w:p>
    <w:p w14:paraId="672CCAA9" w14:textId="77777777" w:rsidR="006A0E1C" w:rsidRPr="00D13792" w:rsidRDefault="006A0E1C" w:rsidP="006A0E1C">
      <w:pPr>
        <w:pStyle w:val="Heading2"/>
        <w:numPr>
          <w:ilvl w:val="0"/>
          <w:numId w:val="38"/>
        </w:numPr>
        <w:tabs>
          <w:tab w:val="clear" w:pos="720"/>
          <w:tab w:val="left" w:pos="0"/>
        </w:tabs>
        <w:ind w:left="0" w:firstLine="0"/>
        <w:rPr>
          <w:lang w:val="es-CR"/>
        </w:rPr>
      </w:pPr>
      <w:bookmarkStart w:id="195" w:name="_Toc455574183"/>
      <w:bookmarkStart w:id="196" w:name="_Toc455631229"/>
      <w:bookmarkStart w:id="197" w:name="_Toc457990759"/>
      <w:bookmarkStart w:id="198" w:name="_Toc469670042"/>
      <w:r w:rsidRPr="00D13792">
        <w:rPr>
          <w:lang w:val="es-CR"/>
        </w:rPr>
        <w:t>Consideraciones de la Corte</w:t>
      </w:r>
      <w:bookmarkEnd w:id="195"/>
      <w:bookmarkEnd w:id="196"/>
      <w:bookmarkEnd w:id="197"/>
      <w:bookmarkEnd w:id="198"/>
    </w:p>
    <w:p w14:paraId="3C6799A6" w14:textId="77777777" w:rsidR="006A0E1C" w:rsidRPr="00D13792" w:rsidRDefault="006A0E1C" w:rsidP="006A0E1C">
      <w:pPr>
        <w:widowControl/>
        <w:adjustRightInd/>
        <w:spacing w:line="240" w:lineRule="auto"/>
        <w:jc w:val="left"/>
        <w:rPr>
          <w:rFonts w:eastAsia="MS Mincho"/>
          <w:sz w:val="20"/>
          <w:szCs w:val="20"/>
          <w:lang w:eastAsia="en-US" w:bidi="en-US"/>
        </w:rPr>
      </w:pPr>
    </w:p>
    <w:p w14:paraId="6D7E507D"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el </w:t>
      </w:r>
      <w:r w:rsidRPr="00D13792">
        <w:rPr>
          <w:rFonts w:eastAsia="Calibri"/>
          <w:sz w:val="20"/>
          <w:szCs w:val="20"/>
        </w:rPr>
        <w:t>presente</w:t>
      </w:r>
      <w:r w:rsidRPr="00D13792">
        <w:rPr>
          <w:sz w:val="20"/>
          <w:szCs w:val="20"/>
        </w:rPr>
        <w:t xml:space="preserve"> caso, el Estado ha sido enfático en señalar que no pretende negar que sucedieron los hechos </w:t>
      </w:r>
      <w:r w:rsidRPr="00D13792">
        <w:rPr>
          <w:rFonts w:eastAsia="Calibri"/>
          <w:sz w:val="20"/>
          <w:szCs w:val="20"/>
        </w:rPr>
        <w:t>que causaron violaciones a los derechos humanos</w:t>
      </w:r>
      <w:r w:rsidRPr="00D13792">
        <w:rPr>
          <w:sz w:val="20"/>
          <w:szCs w:val="20"/>
        </w:rPr>
        <w:t xml:space="preserve"> ni su responsabilidad </w:t>
      </w:r>
      <w:r w:rsidRPr="00D13792">
        <w:rPr>
          <w:rFonts w:eastAsia="Calibri"/>
          <w:sz w:val="20"/>
          <w:szCs w:val="20"/>
        </w:rPr>
        <w:t>si ha habido dolo, negligencia o culpa institucional o de funcionarios o empleados públicos (</w:t>
      </w:r>
      <w:r w:rsidRPr="00D13792">
        <w:rPr>
          <w:rFonts w:eastAsia="Calibri"/>
          <w:i/>
          <w:sz w:val="20"/>
          <w:szCs w:val="20"/>
        </w:rPr>
        <w:t>supra</w:t>
      </w:r>
      <w:r w:rsidRPr="00D13792">
        <w:rPr>
          <w:rFonts w:eastAsia="Calibri"/>
          <w:sz w:val="20"/>
          <w:szCs w:val="20"/>
        </w:rPr>
        <w:t xml:space="preserve"> párrs. 15 y 51)</w:t>
      </w:r>
      <w:r w:rsidRPr="00D13792">
        <w:rPr>
          <w:sz w:val="20"/>
          <w:szCs w:val="20"/>
        </w:rPr>
        <w:t xml:space="preserve">. Sin embargo, controvirtió el análisis que la Corte ha hecho sobre la desaparición forzada a lo largo de su jurisprudencia, y sobre esta base sostuvo que no </w:t>
      </w:r>
      <w:r w:rsidRPr="00D13792">
        <w:rPr>
          <w:rFonts w:eastAsia="Calibri"/>
          <w:sz w:val="20"/>
          <w:szCs w:val="20"/>
        </w:rPr>
        <w:t>se le puede atribuir responsabilidad internacional por los hechos de este caso. La Corte procede a dar respuesta a los argumentos del Estado.</w:t>
      </w:r>
    </w:p>
    <w:p w14:paraId="21E2CDCA" w14:textId="77777777" w:rsidR="006A0E1C" w:rsidRPr="00D13792" w:rsidRDefault="006A0E1C" w:rsidP="006A0E1C">
      <w:pPr>
        <w:pStyle w:val="Prrafodelista2"/>
        <w:tabs>
          <w:tab w:val="left" w:pos="720"/>
        </w:tabs>
        <w:ind w:left="0" w:right="-90"/>
        <w:jc w:val="both"/>
        <w:rPr>
          <w:b/>
          <w:lang w:val="es-CR"/>
        </w:rPr>
      </w:pPr>
    </w:p>
    <w:p w14:paraId="14FD73F6"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primer lugar, el Estado alegó que no </w:t>
      </w:r>
      <w:r w:rsidRPr="00D13792">
        <w:rPr>
          <w:rFonts w:eastAsia="Calibri"/>
          <w:sz w:val="20"/>
          <w:szCs w:val="20"/>
        </w:rPr>
        <w:t>se le puede atribuir responsabilidad internacional por las desapariciones ocurridas durante la época del enfrentamiento armado interno, debido a que</w:t>
      </w:r>
      <w:r w:rsidRPr="00D13792">
        <w:rPr>
          <w:sz w:val="20"/>
          <w:szCs w:val="20"/>
        </w:rPr>
        <w:t xml:space="preserve"> e</w:t>
      </w:r>
      <w:r w:rsidRPr="00D13792">
        <w:rPr>
          <w:rFonts w:eastAsia="Calibri"/>
          <w:sz w:val="20"/>
          <w:szCs w:val="20"/>
        </w:rPr>
        <w:t>l delito de desaparición forzada es un delito permanente que no se encontraba tipificado en el ordenamiento penal interno ni existía en el propio ámbito interamericano</w:t>
      </w:r>
      <w:r w:rsidRPr="00D13792">
        <w:rPr>
          <w:sz w:val="20"/>
          <w:szCs w:val="20"/>
        </w:rPr>
        <w:t xml:space="preserve"> y </w:t>
      </w:r>
      <w:r w:rsidRPr="00D13792">
        <w:rPr>
          <w:rFonts w:eastAsia="Calibri"/>
          <w:sz w:val="20"/>
          <w:szCs w:val="20"/>
        </w:rPr>
        <w:t xml:space="preserve">no puede retipificarse conforme a los principios de legalidad e irretroactividad de la ley. En todo caso el delito podría encuadrar, según el Estado, en la figura delictiva de </w:t>
      </w:r>
      <w:r w:rsidRPr="00D13792">
        <w:rPr>
          <w:sz w:val="20"/>
          <w:szCs w:val="20"/>
        </w:rPr>
        <w:t>secuestro, detención ilegal o lesiones graves</w:t>
      </w:r>
      <w:r w:rsidRPr="00D13792">
        <w:rPr>
          <w:rFonts w:eastAsia="Calibri"/>
          <w:sz w:val="20"/>
          <w:szCs w:val="20"/>
        </w:rPr>
        <w:t xml:space="preserve">. </w:t>
      </w:r>
    </w:p>
    <w:p w14:paraId="5A5652F9" w14:textId="77777777" w:rsidR="006A0E1C" w:rsidRPr="00D13792" w:rsidRDefault="006A0E1C" w:rsidP="006A0E1C">
      <w:pPr>
        <w:pStyle w:val="Prrafodelista2"/>
        <w:tabs>
          <w:tab w:val="left" w:pos="720"/>
        </w:tabs>
        <w:ind w:left="0" w:right="-86"/>
        <w:jc w:val="both"/>
        <w:rPr>
          <w:lang w:val="es-CR"/>
        </w:rPr>
      </w:pPr>
    </w:p>
    <w:p w14:paraId="3CB9F38C"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su jurisprudencia constante iniciada desde 1988</w:t>
      </w:r>
      <w:r w:rsidRPr="00D13792">
        <w:rPr>
          <w:rStyle w:val="FootnoteReference"/>
          <w:sz w:val="20"/>
          <w:szCs w:val="20"/>
        </w:rPr>
        <w:footnoteReference w:id="140"/>
      </w:r>
      <w:r w:rsidRPr="00D13792">
        <w:rPr>
          <w:sz w:val="20"/>
          <w:szCs w:val="20"/>
        </w:rPr>
        <w:t>, la</w:t>
      </w:r>
      <w:r w:rsidRPr="00D13792">
        <w:rPr>
          <w:spacing w:val="-2"/>
          <w:sz w:val="20"/>
          <w:szCs w:val="20"/>
        </w:rPr>
        <w:t xml:space="preserve"> Corte ha establecido que la desaparición </w:t>
      </w:r>
      <w:r w:rsidRPr="00D13792">
        <w:rPr>
          <w:rFonts w:eastAsia="Calibri"/>
          <w:sz w:val="20"/>
          <w:szCs w:val="20"/>
        </w:rPr>
        <w:t>forzada</w:t>
      </w:r>
      <w:r w:rsidRPr="00D13792">
        <w:rPr>
          <w:spacing w:val="-2"/>
          <w:sz w:val="20"/>
          <w:szCs w:val="20"/>
        </w:rPr>
        <w:t xml:space="preserve"> de personas es una violación de derechos humanos constituida por tres </w:t>
      </w:r>
      <w:r w:rsidRPr="00D13792">
        <w:rPr>
          <w:sz w:val="20"/>
          <w:szCs w:val="20"/>
        </w:rPr>
        <w:t>elementos</w:t>
      </w:r>
      <w:r w:rsidRPr="00D13792">
        <w:rPr>
          <w:spacing w:val="-2"/>
          <w:sz w:val="20"/>
          <w:szCs w:val="20"/>
        </w:rPr>
        <w:t xml:space="preserve"> concurrentes: a) la privación de la libertad; b) la intervención directa de agentes estatales o la aquiescencia de estos, y c) la negativa de reconocer la detención y de revelar la suerte o el paradero de la persona interesada.</w:t>
      </w:r>
      <w:r w:rsidRPr="00D13792">
        <w:rPr>
          <w:rFonts w:cs="Arial"/>
          <w:sz w:val="20"/>
          <w:szCs w:val="20"/>
        </w:rPr>
        <w:t xml:space="preserve"> Al respecto, </w:t>
      </w:r>
      <w:r w:rsidRPr="00D13792">
        <w:rPr>
          <w:spacing w:val="-2"/>
          <w:sz w:val="20"/>
          <w:szCs w:val="20"/>
        </w:rPr>
        <w:t xml:space="preserve">este Tribunal ha desarrollado en su jurisprudencia el carácter pluriofensivo de la desaparición forzada, así como su naturaleza permanente o continua, </w:t>
      </w:r>
      <w:r w:rsidRPr="00D13792">
        <w:rPr>
          <w:rFonts w:cs="Times"/>
          <w:sz w:val="20"/>
          <w:szCs w:val="20"/>
        </w:rPr>
        <w:t>en la cual la desaparición y su ejecución se inician con la privación de la libertad de la persona y la subsiguiente falta de información sobre su destino, y permanece mientras no se conozca el paradero de la persona desaparecida o se hallen sus restos de modo que se determine con certeza su identidad</w:t>
      </w:r>
      <w:r w:rsidRPr="00D13792">
        <w:rPr>
          <w:spacing w:val="-2"/>
          <w:sz w:val="20"/>
          <w:szCs w:val="20"/>
          <w:vertAlign w:val="superscript"/>
        </w:rPr>
        <w:footnoteReference w:id="141"/>
      </w:r>
      <w:r w:rsidRPr="00D13792">
        <w:rPr>
          <w:sz w:val="20"/>
          <w:szCs w:val="20"/>
        </w:rPr>
        <w:t>.</w:t>
      </w:r>
      <w:r w:rsidRPr="00D13792">
        <w:rPr>
          <w:spacing w:val="-2"/>
          <w:sz w:val="20"/>
          <w:szCs w:val="20"/>
        </w:rPr>
        <w:t xml:space="preserve"> Mientras perdure la desaparición, </w:t>
      </w:r>
      <w:r w:rsidRPr="00D13792">
        <w:rPr>
          <w:sz w:val="20"/>
          <w:szCs w:val="20"/>
        </w:rPr>
        <w:t xml:space="preserve">los Estados tienen el deber correlativo de investigarla y, eventualmente, sancionar a los responsables, </w:t>
      </w:r>
      <w:r w:rsidRPr="00D13792">
        <w:rPr>
          <w:sz w:val="20"/>
          <w:szCs w:val="20"/>
        </w:rPr>
        <w:lastRenderedPageBreak/>
        <w:t>conforme a las obligaciones derivadas de la Convención Americana y, en particular, de la Convención Interamericana sobre Desaparición Forzada de Personas (CIDFP)</w:t>
      </w:r>
      <w:r w:rsidRPr="00D13792">
        <w:rPr>
          <w:rStyle w:val="FootnoteReference"/>
          <w:rFonts w:eastAsia="Calibri"/>
          <w:sz w:val="20"/>
          <w:szCs w:val="20"/>
        </w:rPr>
        <w:footnoteReference w:id="142"/>
      </w:r>
      <w:r w:rsidRPr="00D13792">
        <w:rPr>
          <w:sz w:val="20"/>
          <w:szCs w:val="20"/>
        </w:rPr>
        <w:t xml:space="preserve">. </w:t>
      </w:r>
    </w:p>
    <w:p w14:paraId="44C11A93" w14:textId="77777777" w:rsidR="006A0E1C" w:rsidRPr="00D13792" w:rsidRDefault="006A0E1C" w:rsidP="006A0E1C">
      <w:pPr>
        <w:pStyle w:val="Prrafodelista2"/>
        <w:tabs>
          <w:tab w:val="left" w:pos="720"/>
        </w:tabs>
        <w:ind w:left="0" w:right="-90"/>
        <w:jc w:val="both"/>
        <w:rPr>
          <w:lang w:val="es-CR"/>
        </w:rPr>
      </w:pPr>
    </w:p>
    <w:p w14:paraId="3F2555A4"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Este Tribunal tiene competencia para eventualmente calificar los hechos del presente caso como desaparición forzada debido al carácter permanente o continuo de sus actos constitutivos, y la pluriofensividad a los derechos de las personas reconocidos en la Convención Americana mientras no se conozca el paradero de la víctima o se hallen sus restos. La Corte recuerda que una desaparición forzada se configura por una pluralidad de conductas que, cohesionadas por un único fin, vulneran de manera permanente, mientras subsistan, distintos bienes jurídicos protegidos por la Convención</w:t>
      </w:r>
      <w:r w:rsidRPr="00D13792">
        <w:rPr>
          <w:rFonts w:eastAsia="Batang"/>
          <w:sz w:val="20"/>
          <w:szCs w:val="20"/>
          <w:vertAlign w:val="superscript"/>
        </w:rPr>
        <w:footnoteReference w:id="143"/>
      </w:r>
      <w:r w:rsidRPr="00D13792">
        <w:rPr>
          <w:sz w:val="20"/>
          <w:szCs w:val="20"/>
        </w:rPr>
        <w:t>. Por tanto, el examen de una posible desaparición forzada debe ser consecuente con la violación compleja de derechos humanos que esta conlleva y no debe enfocarse de manera aislada, dividida y fragmentada solo en la detención, la posible tortura o el riesgo de perder la vida</w:t>
      </w:r>
      <w:r w:rsidRPr="00D13792">
        <w:rPr>
          <w:rFonts w:cs="Times"/>
          <w:sz w:val="20"/>
          <w:szCs w:val="20"/>
          <w:vertAlign w:val="superscript"/>
        </w:rPr>
        <w:footnoteReference w:id="144"/>
      </w:r>
      <w:r w:rsidRPr="00D13792">
        <w:rPr>
          <w:sz w:val="20"/>
          <w:szCs w:val="20"/>
        </w:rPr>
        <w:t>. En tal sentido, su análisis debe abarcar la totalidad del conjunto de los hechos que se presentan a consideración del Tribunal. Solo de este modo el análisis legal de la desaparición forzada es consecuente con la compleja violación a derechos humanos que esta conlleva</w:t>
      </w:r>
      <w:r w:rsidRPr="00D13792">
        <w:rPr>
          <w:rStyle w:val="FootnoteReference"/>
          <w:rFonts w:eastAsia="Calibri"/>
          <w:sz w:val="20"/>
          <w:szCs w:val="20"/>
        </w:rPr>
        <w:footnoteReference w:id="145"/>
      </w:r>
      <w:r w:rsidRPr="00D13792">
        <w:rPr>
          <w:sz w:val="20"/>
          <w:szCs w:val="20"/>
        </w:rPr>
        <w:t xml:space="preserve">. </w:t>
      </w:r>
    </w:p>
    <w:p w14:paraId="16533F0F" w14:textId="77777777" w:rsidR="006A0E1C" w:rsidRPr="00D13792" w:rsidRDefault="006A0E1C" w:rsidP="006A0E1C">
      <w:pPr>
        <w:pStyle w:val="Prrafodelista2"/>
        <w:tabs>
          <w:tab w:val="left" w:pos="720"/>
        </w:tabs>
        <w:ind w:left="0" w:right="-90"/>
        <w:jc w:val="both"/>
        <w:rPr>
          <w:lang w:val="es-CR"/>
        </w:rPr>
      </w:pPr>
    </w:p>
    <w:p w14:paraId="12A6EB0F"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Dichas consideraciones no infringen </w:t>
      </w:r>
      <w:r w:rsidRPr="00D13792">
        <w:rPr>
          <w:rFonts w:eastAsia="Calibri"/>
          <w:sz w:val="20"/>
          <w:szCs w:val="20"/>
        </w:rPr>
        <w:t>los principios de legalidad e irretroactividad</w:t>
      </w:r>
      <w:r w:rsidRPr="00D13792">
        <w:rPr>
          <w:sz w:val="20"/>
          <w:szCs w:val="20"/>
        </w:rPr>
        <w:t>, pues a diferencia de las ejecuciones extrajudiciales, la desaparición forzada de personas se caracteriza por ser una violación de carácter continuo o permanente. Lo anterior permite que la Corte pueda pronunciarse sobre una presunta desaparición forzada, aun si esta se inicia con anterioridad a la fecha en que el Estado reconoce la competencia de la Corte, siempre y cuando dicha violación permanezca o continúe con posterioridad a dicha fecha</w:t>
      </w:r>
      <w:r w:rsidRPr="00D13792">
        <w:rPr>
          <w:rStyle w:val="FootnoteReference"/>
          <w:sz w:val="20"/>
          <w:szCs w:val="20"/>
        </w:rPr>
        <w:footnoteReference w:id="146"/>
      </w:r>
      <w:r w:rsidRPr="00D13792">
        <w:rPr>
          <w:sz w:val="20"/>
          <w:szCs w:val="20"/>
        </w:rPr>
        <w:t>. Sin perjuicio de ello, el Tribunal recuerda que aun cuando le corresponde analizar la alegada desaparición forzada desde una perspectiva integral, puede declarar una violación a la Convención Americana u otros tratados a partir de la fecha del reconocimiento de la competencia por parte del Estado demandado</w:t>
      </w:r>
      <w:r w:rsidRPr="00D13792">
        <w:rPr>
          <w:rStyle w:val="FootnoteReference"/>
          <w:sz w:val="20"/>
          <w:szCs w:val="20"/>
        </w:rPr>
        <w:footnoteReference w:id="147"/>
      </w:r>
      <w:r w:rsidRPr="00D13792">
        <w:rPr>
          <w:sz w:val="20"/>
          <w:szCs w:val="20"/>
        </w:rPr>
        <w:t xml:space="preserve">, esto es, el 9 de marzo de 1987. </w:t>
      </w:r>
    </w:p>
    <w:p w14:paraId="2894524D" w14:textId="77777777" w:rsidR="006A0E1C" w:rsidRPr="00D13792" w:rsidRDefault="006A0E1C" w:rsidP="006A0E1C">
      <w:pPr>
        <w:tabs>
          <w:tab w:val="left" w:pos="567"/>
        </w:tabs>
        <w:spacing w:line="240" w:lineRule="auto"/>
        <w:ind w:right="4"/>
        <w:rPr>
          <w:rFonts w:eastAsia="Calibri"/>
          <w:sz w:val="20"/>
        </w:rPr>
      </w:pPr>
    </w:p>
    <w:p w14:paraId="5D26221F" w14:textId="77777777" w:rsidR="006A0E1C" w:rsidRPr="00D13792" w:rsidRDefault="006A0E1C" w:rsidP="006A0E1C">
      <w:pPr>
        <w:numPr>
          <w:ilvl w:val="0"/>
          <w:numId w:val="6"/>
        </w:numPr>
        <w:tabs>
          <w:tab w:val="left" w:pos="567"/>
        </w:tabs>
        <w:spacing w:line="240" w:lineRule="auto"/>
        <w:ind w:right="4"/>
        <w:rPr>
          <w:rFonts w:eastAsia="Calibri"/>
          <w:sz w:val="20"/>
        </w:rPr>
      </w:pPr>
      <w:r w:rsidRPr="00D13792">
        <w:rPr>
          <w:sz w:val="20"/>
          <w:szCs w:val="20"/>
        </w:rPr>
        <w:t>Por último y respecto a los argumentos que se refieren a la manera en que deben ser procesados a nivel interno los hechos de desaparición forzada</w:t>
      </w:r>
      <w:r w:rsidRPr="00D13792">
        <w:rPr>
          <w:sz w:val="20"/>
        </w:rPr>
        <w:t xml:space="preserve">, la Corte advierte que en su jurisprudencia ha conocido de casos en que la falta en un inicio de la tipificación del delito autónomo de desaparición forzada de personas </w:t>
      </w:r>
      <w:r w:rsidRPr="00D13792">
        <w:rPr>
          <w:sz w:val="20"/>
          <w:szCs w:val="20"/>
        </w:rPr>
        <w:t xml:space="preserve">al momento en que ocurrieron los hechos y en que iniciaron los </w:t>
      </w:r>
      <w:r w:rsidRPr="00D13792">
        <w:rPr>
          <w:sz w:val="20"/>
        </w:rPr>
        <w:t>procesos penales a nivel interno</w:t>
      </w:r>
      <w:r w:rsidRPr="00D13792">
        <w:rPr>
          <w:rFonts w:eastAsia="Calibri"/>
          <w:sz w:val="20"/>
        </w:rPr>
        <w:t>,</w:t>
      </w:r>
      <w:r w:rsidRPr="00D13792">
        <w:rPr>
          <w:sz w:val="20"/>
        </w:rPr>
        <w:t xml:space="preserve"> </w:t>
      </w:r>
      <w:r w:rsidRPr="00D13792">
        <w:rPr>
          <w:sz w:val="20"/>
          <w:szCs w:val="20"/>
        </w:rPr>
        <w:t>no obstaculizó el desarrollo de estos, sin</w:t>
      </w:r>
      <w:r w:rsidRPr="00D13792">
        <w:rPr>
          <w:sz w:val="20"/>
        </w:rPr>
        <w:t xml:space="preserve"> embargo, </w:t>
      </w:r>
      <w:r w:rsidRPr="00D13792">
        <w:rPr>
          <w:sz w:val="20"/>
          <w:szCs w:val="20"/>
        </w:rPr>
        <w:t>ha sido</w:t>
      </w:r>
      <w:r w:rsidRPr="00D13792">
        <w:rPr>
          <w:sz w:val="20"/>
        </w:rPr>
        <w:t xml:space="preserve"> fundamental que </w:t>
      </w:r>
      <w:r w:rsidRPr="00D13792">
        <w:rPr>
          <w:rFonts w:eastAsia="Calibri"/>
          <w:sz w:val="20"/>
        </w:rPr>
        <w:t xml:space="preserve">la eventual </w:t>
      </w:r>
      <w:r w:rsidRPr="00D13792">
        <w:rPr>
          <w:sz w:val="20"/>
        </w:rPr>
        <w:t xml:space="preserve">aplicación de figuras penales sean </w:t>
      </w:r>
      <w:r w:rsidRPr="00D13792">
        <w:rPr>
          <w:rFonts w:eastAsia="Calibri"/>
          <w:sz w:val="20"/>
        </w:rPr>
        <w:t>consecuentes con la gravedad de los hechos y</w:t>
      </w:r>
      <w:r w:rsidRPr="00D13792">
        <w:rPr>
          <w:sz w:val="20"/>
        </w:rPr>
        <w:t xml:space="preserve"> la violación compleja de derechos humanos que se alega.</w:t>
      </w:r>
      <w:r w:rsidRPr="00D13792">
        <w:rPr>
          <w:rFonts w:eastAsia="Calibri"/>
          <w:sz w:val="20"/>
          <w:szCs w:val="20"/>
        </w:rPr>
        <w:t xml:space="preserve"> </w:t>
      </w:r>
      <w:r w:rsidRPr="00D13792">
        <w:rPr>
          <w:rStyle w:val="Strong"/>
          <w:b w:val="0"/>
          <w:color w:val="000000"/>
          <w:sz w:val="20"/>
          <w:shd w:val="clear" w:color="auto" w:fill="FFFFFF"/>
        </w:rPr>
        <w:t xml:space="preserve">Así, en el </w:t>
      </w:r>
      <w:r w:rsidRPr="00D13792">
        <w:rPr>
          <w:rStyle w:val="Strong"/>
          <w:b w:val="0"/>
          <w:i/>
          <w:color w:val="000000"/>
          <w:sz w:val="20"/>
          <w:shd w:val="clear" w:color="auto" w:fill="FFFFFF"/>
        </w:rPr>
        <w:t>Caso Ticona Estrada y otros Vs. Bolivia</w:t>
      </w:r>
      <w:r w:rsidRPr="00D13792">
        <w:rPr>
          <w:rStyle w:val="Strong"/>
          <w:b w:val="0"/>
          <w:color w:val="000000"/>
          <w:sz w:val="20"/>
          <w:shd w:val="clear" w:color="auto" w:fill="FFFFFF"/>
        </w:rPr>
        <w:t xml:space="preserve">, </w:t>
      </w:r>
      <w:r w:rsidRPr="00D13792">
        <w:rPr>
          <w:sz w:val="20"/>
        </w:rPr>
        <w:t>el juez de la causa penal</w:t>
      </w:r>
      <w:r w:rsidRPr="00D13792">
        <w:rPr>
          <w:sz w:val="20"/>
          <w:szCs w:val="20"/>
        </w:rPr>
        <w:t xml:space="preserve"> </w:t>
      </w:r>
      <w:r w:rsidRPr="00D13792">
        <w:rPr>
          <w:sz w:val="20"/>
        </w:rPr>
        <w:t xml:space="preserve">dictó una sentencia el 8 de enero de 2008 mediante la cual condenó a dos ex miembros del ejército por los delitos de asesinato, privación de libertad, amenazas y secuestro, así como a dos ex agentes estatales por el delito de complicidad en asesinato. </w:t>
      </w:r>
      <w:r w:rsidRPr="00D13792">
        <w:rPr>
          <w:sz w:val="20"/>
          <w:szCs w:val="20"/>
        </w:rPr>
        <w:t>La Corte consideró que “</w:t>
      </w:r>
      <w:r w:rsidRPr="00D13792">
        <w:rPr>
          <w:sz w:val="20"/>
        </w:rPr>
        <w:t xml:space="preserve">no se ha[bía] demostrado que la falta de tipificación del delito autónomo de desaparición forzada de personas ha[bía] </w:t>
      </w:r>
      <w:r w:rsidRPr="00D13792">
        <w:rPr>
          <w:sz w:val="20"/>
        </w:rPr>
        <w:lastRenderedPageBreak/>
        <w:t>obstaculizado el desarrollo efectivo del presente proceso penal</w:t>
      </w:r>
      <w:r w:rsidRPr="00D13792">
        <w:rPr>
          <w:sz w:val="20"/>
          <w:szCs w:val="20"/>
        </w:rPr>
        <w:t>”</w:t>
      </w:r>
      <w:r w:rsidRPr="00D13792">
        <w:rPr>
          <w:rStyle w:val="FootnoteReference"/>
          <w:sz w:val="20"/>
          <w:szCs w:val="20"/>
        </w:rPr>
        <w:footnoteReference w:id="148"/>
      </w:r>
      <w:r w:rsidRPr="00D13792">
        <w:rPr>
          <w:sz w:val="20"/>
          <w:szCs w:val="20"/>
        </w:rPr>
        <w:t>.</w:t>
      </w:r>
      <w:r w:rsidRPr="00D13792">
        <w:rPr>
          <w:rFonts w:eastAsia="Calibri"/>
          <w:sz w:val="20"/>
          <w:szCs w:val="20"/>
        </w:rPr>
        <w:t xml:space="preserve"> </w:t>
      </w:r>
      <w:r w:rsidRPr="00D13792">
        <w:rPr>
          <w:sz w:val="20"/>
        </w:rPr>
        <w:t xml:space="preserve">En el </w:t>
      </w:r>
      <w:r w:rsidRPr="00D13792">
        <w:rPr>
          <w:rStyle w:val="Strong"/>
          <w:b w:val="0"/>
          <w:i/>
          <w:color w:val="000000"/>
          <w:sz w:val="20"/>
          <w:shd w:val="clear" w:color="auto" w:fill="FFFFFF"/>
        </w:rPr>
        <w:t>Caso Goiburú y otros Vs. Paraguay</w:t>
      </w:r>
      <w:r w:rsidRPr="00D13792">
        <w:rPr>
          <w:rStyle w:val="Strong"/>
          <w:b w:val="0"/>
          <w:color w:val="000000"/>
          <w:sz w:val="20"/>
          <w:shd w:val="clear" w:color="auto" w:fill="FFFFFF"/>
        </w:rPr>
        <w:t xml:space="preserve">, </w:t>
      </w:r>
      <w:r w:rsidRPr="00D13792">
        <w:rPr>
          <w:sz w:val="20"/>
        </w:rPr>
        <w:t xml:space="preserve">los </w:t>
      </w:r>
      <w:r w:rsidRPr="00D13792">
        <w:rPr>
          <w:sz w:val="20"/>
          <w:szCs w:val="20"/>
        </w:rPr>
        <w:t>imputados</w:t>
      </w:r>
      <w:r w:rsidRPr="00D13792">
        <w:rPr>
          <w:sz w:val="20"/>
        </w:rPr>
        <w:t xml:space="preserve"> en algunos casos fueron condenados bajo tipos penales tales como secuestro, privación ilegítima de libertad, abuso de autoridad, asociación o concierto para delinquir, lesiones, coacción o amenazas, y homicidio, contenidos en el Código Penal de 1914 y de 1998 cuando este resultó más beneficioso al imputado. </w:t>
      </w:r>
      <w:r w:rsidRPr="00D13792">
        <w:rPr>
          <w:sz w:val="20"/>
          <w:szCs w:val="20"/>
        </w:rPr>
        <w:t xml:space="preserve">La Corte reconoció </w:t>
      </w:r>
      <w:r w:rsidRPr="00D13792">
        <w:rPr>
          <w:sz w:val="20"/>
        </w:rPr>
        <w:t>que “la detención ilegal y arbitraria, tortura y desaparición forzada de las víctimas no ha[bía] quedado en la total impunidad mediante la aplicación de otras figuras penales</w:t>
      </w:r>
      <w:r w:rsidRPr="00D13792">
        <w:rPr>
          <w:sz w:val="20"/>
          <w:szCs w:val="20"/>
        </w:rPr>
        <w:t>”</w:t>
      </w:r>
      <w:r w:rsidRPr="00D13792">
        <w:rPr>
          <w:rStyle w:val="FootnoteReference"/>
          <w:sz w:val="20"/>
          <w:szCs w:val="20"/>
        </w:rPr>
        <w:footnoteReference w:id="149"/>
      </w:r>
      <w:r w:rsidRPr="00D13792">
        <w:rPr>
          <w:sz w:val="20"/>
          <w:szCs w:val="20"/>
        </w:rPr>
        <w:t>.</w:t>
      </w:r>
      <w:r w:rsidRPr="00D13792">
        <w:rPr>
          <w:rFonts w:eastAsia="Calibri"/>
          <w:sz w:val="20"/>
          <w:szCs w:val="20"/>
        </w:rPr>
        <w:t xml:space="preserve"> </w:t>
      </w:r>
      <w:r w:rsidRPr="00D13792">
        <w:rPr>
          <w:sz w:val="20"/>
        </w:rPr>
        <w:t xml:space="preserve">En el </w:t>
      </w:r>
      <w:r w:rsidRPr="00D13792">
        <w:rPr>
          <w:i/>
          <w:sz w:val="20"/>
        </w:rPr>
        <w:t xml:space="preserve">Caso Castillo Páez Vs. </w:t>
      </w:r>
      <w:r w:rsidRPr="00D13792">
        <w:rPr>
          <w:rFonts w:cs="Verdana"/>
          <w:i/>
          <w:sz w:val="20"/>
          <w:szCs w:val="20"/>
        </w:rPr>
        <w:t>Perú</w:t>
      </w:r>
      <w:r w:rsidRPr="00D13792">
        <w:rPr>
          <w:rFonts w:cs="Verdana"/>
          <w:sz w:val="20"/>
          <w:szCs w:val="20"/>
        </w:rPr>
        <w:t xml:space="preserve"> se dio un supuesto distinto: aunque los hechos inicialmente fueron procesados por el delito de secuestro, el 16 de marzo de 2006 se condenó a cuatro personas por el delito de desaparición forzada. La Corte Suprema de Justicia del Perú confirmó esa posición en sentencia de 18 de diciembre 2007, estableciendo que, “al tratarse de un delito </w:t>
      </w:r>
      <w:r w:rsidRPr="00D13792">
        <w:rPr>
          <w:sz w:val="20"/>
          <w:szCs w:val="20"/>
        </w:rPr>
        <w:t>permanente</w:t>
      </w:r>
      <w:r w:rsidRPr="00D13792">
        <w:rPr>
          <w:rFonts w:cs="Verdana"/>
          <w:sz w:val="20"/>
          <w:szCs w:val="20"/>
        </w:rPr>
        <w:t xml:space="preserve">, se entenderá perpetrado bajo la vigencia del nuevo Código Penal y se aplicarán sus disposiciones”. La Corte Interamericana consideró que las </w:t>
      </w:r>
      <w:r w:rsidRPr="00D13792">
        <w:rPr>
          <w:sz w:val="20"/>
          <w:szCs w:val="20"/>
        </w:rPr>
        <w:t>decisiones adoptadas constituyeron “importantes precedentes de la justicia latinoamericana en materia de derechos humanos”</w:t>
      </w:r>
      <w:r w:rsidRPr="00D13792">
        <w:rPr>
          <w:rStyle w:val="FootnoteReference"/>
          <w:sz w:val="20"/>
        </w:rPr>
        <w:footnoteReference w:id="150"/>
      </w:r>
      <w:r w:rsidRPr="00D13792">
        <w:rPr>
          <w:sz w:val="20"/>
        </w:rPr>
        <w:t>.</w:t>
      </w:r>
    </w:p>
    <w:p w14:paraId="1AF7EA69" w14:textId="77777777" w:rsidR="006A0E1C" w:rsidRPr="00D13792" w:rsidRDefault="006A0E1C" w:rsidP="006A0E1C">
      <w:pPr>
        <w:pStyle w:val="Prrafodelista2"/>
        <w:tabs>
          <w:tab w:val="left" w:pos="720"/>
        </w:tabs>
        <w:ind w:left="0" w:right="-90"/>
        <w:jc w:val="both"/>
        <w:rPr>
          <w:lang w:val="es-CR"/>
        </w:rPr>
      </w:pPr>
    </w:p>
    <w:p w14:paraId="33E88E3E" w14:textId="77777777" w:rsidR="006A0E1C" w:rsidRPr="00D13792" w:rsidRDefault="006A0E1C" w:rsidP="006A0E1C">
      <w:pPr>
        <w:numPr>
          <w:ilvl w:val="0"/>
          <w:numId w:val="6"/>
        </w:numPr>
        <w:tabs>
          <w:tab w:val="left" w:pos="567"/>
        </w:tabs>
        <w:spacing w:line="240" w:lineRule="auto"/>
        <w:ind w:right="4"/>
        <w:rPr>
          <w:rFonts w:eastAsia="Calibri"/>
          <w:sz w:val="20"/>
          <w:szCs w:val="20"/>
        </w:rPr>
      </w:pPr>
      <w:r w:rsidRPr="00D13792">
        <w:rPr>
          <w:sz w:val="20"/>
          <w:szCs w:val="20"/>
        </w:rPr>
        <w:t xml:space="preserve">En </w:t>
      </w:r>
      <w:r w:rsidRPr="00D13792">
        <w:rPr>
          <w:rFonts w:eastAsia="Calibri"/>
          <w:sz w:val="20"/>
          <w:szCs w:val="20"/>
        </w:rPr>
        <w:t>segundo</w:t>
      </w:r>
      <w:r w:rsidRPr="00D13792">
        <w:rPr>
          <w:sz w:val="20"/>
          <w:szCs w:val="20"/>
        </w:rPr>
        <w:t xml:space="preserve"> lugar</w:t>
      </w:r>
      <w:r w:rsidRPr="00D13792">
        <w:rPr>
          <w:rFonts w:eastAsia="Calibri"/>
          <w:sz w:val="20"/>
          <w:szCs w:val="20"/>
        </w:rPr>
        <w:t xml:space="preserve">, el Estado alegó que la determinación de la existencia de una desaparición forzada solo se realiza a través de las instancias jurisdiccionales penales internas y mediante </w:t>
      </w:r>
      <w:r w:rsidRPr="00D13792">
        <w:rPr>
          <w:sz w:val="20"/>
          <w:szCs w:val="20"/>
        </w:rPr>
        <w:t>la</w:t>
      </w:r>
      <w:r w:rsidRPr="00D13792">
        <w:rPr>
          <w:rFonts w:eastAsia="Calibri"/>
          <w:sz w:val="20"/>
          <w:szCs w:val="20"/>
        </w:rPr>
        <w:t xml:space="preserve"> utilización de las pruebas idóneas, y que este Tribunal no puede atribuir la responsabilidad de haber cometido dichas desapariciones sin pruebas fehacientes. </w:t>
      </w:r>
    </w:p>
    <w:p w14:paraId="7BA5C107" w14:textId="77777777" w:rsidR="006A0E1C" w:rsidRPr="00D13792" w:rsidRDefault="006A0E1C" w:rsidP="006A0E1C">
      <w:pPr>
        <w:pStyle w:val="Prrafodelista2"/>
        <w:tabs>
          <w:tab w:val="left" w:pos="720"/>
        </w:tabs>
        <w:ind w:left="0" w:right="-90"/>
        <w:jc w:val="both"/>
        <w:rPr>
          <w:lang w:val="es-CR"/>
        </w:rPr>
      </w:pPr>
    </w:p>
    <w:p w14:paraId="20EB27F3"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L</w:t>
      </w:r>
      <w:r w:rsidRPr="00D13792">
        <w:rPr>
          <w:iCs/>
          <w:sz w:val="20"/>
          <w:szCs w:val="20"/>
        </w:rPr>
        <w:t xml:space="preserve">a Corte recuerda que la jurisdicción internacional de los derechos humanos no debe confundirse </w:t>
      </w:r>
      <w:r w:rsidRPr="00D13792">
        <w:rPr>
          <w:rFonts w:eastAsia="Calibri"/>
          <w:sz w:val="20"/>
          <w:szCs w:val="20"/>
        </w:rPr>
        <w:t>con</w:t>
      </w:r>
      <w:r w:rsidRPr="00D13792">
        <w:rPr>
          <w:iCs/>
          <w:sz w:val="20"/>
          <w:szCs w:val="20"/>
        </w:rPr>
        <w:t xml:space="preserve"> la jurisdicción penal, ya que los Estados no comparecen ante la Corte como sujetos de acción penal</w:t>
      </w:r>
      <w:r w:rsidRPr="00D13792">
        <w:rPr>
          <w:sz w:val="20"/>
          <w:szCs w:val="20"/>
        </w:rPr>
        <w:t>. El derecho internacional de los derechos humanos no tiene por objeto imponer penas a las personas culpables de sus violaciones, sino amparar a las víctimas y disponer la reparación de los daños que les hayan sido causados por los Estados responsables de tales acciones</w:t>
      </w:r>
      <w:r w:rsidRPr="00D13792">
        <w:rPr>
          <w:rStyle w:val="FootnoteReference"/>
          <w:sz w:val="20"/>
          <w:szCs w:val="20"/>
        </w:rPr>
        <w:footnoteReference w:id="151"/>
      </w:r>
      <w:r w:rsidRPr="00D13792">
        <w:rPr>
          <w:iCs/>
          <w:sz w:val="20"/>
          <w:szCs w:val="20"/>
        </w:rPr>
        <w:t xml:space="preserve">. </w:t>
      </w:r>
      <w:r w:rsidRPr="00D13792">
        <w:rPr>
          <w:sz w:val="20"/>
          <w:szCs w:val="20"/>
        </w:rPr>
        <w:t xml:space="preserve">Para establecer que se ha producido una violación de los derechos consagrados en la Convención </w:t>
      </w:r>
      <w:r w:rsidRPr="00D13792">
        <w:rPr>
          <w:iCs/>
          <w:sz w:val="20"/>
          <w:szCs w:val="20"/>
        </w:rPr>
        <w:t>no es necesario que se pruebe la responsabilidad del Estado más allá de toda duda razonable ni que</w:t>
      </w:r>
      <w:r w:rsidRPr="00D13792">
        <w:rPr>
          <w:sz w:val="20"/>
          <w:szCs w:val="20"/>
        </w:rPr>
        <w:t xml:space="preserve"> se identifique individualmente a los agentes a los cuales se atribuyen los hechos violatorios, sino que es suficiente demostrar que se han verificado acciones u omisiones que hayan permitido la perpetración de esas violaciones o que exista una obligación del Estado que haya sido incumplida por este</w:t>
      </w:r>
      <w:r w:rsidRPr="00D13792">
        <w:rPr>
          <w:rStyle w:val="FootnoteReference"/>
          <w:sz w:val="20"/>
          <w:szCs w:val="20"/>
        </w:rPr>
        <w:footnoteReference w:id="152"/>
      </w:r>
      <w:r w:rsidRPr="00D13792">
        <w:rPr>
          <w:sz w:val="20"/>
          <w:szCs w:val="20"/>
        </w:rPr>
        <w:t>. Para ello, la Corte debe aplicar una valoración de la prueba que tenga en cuenta la gravedad de la atribución de responsabilidad internacional a un Estado y que, sin perjuicio de ello, sea capaz de crear la convicción de la verdad de los hechos alegados</w:t>
      </w:r>
      <w:r w:rsidRPr="00D13792">
        <w:rPr>
          <w:rStyle w:val="FootnoteReference"/>
          <w:sz w:val="20"/>
          <w:szCs w:val="20"/>
        </w:rPr>
        <w:footnoteReference w:id="153"/>
      </w:r>
      <w:r w:rsidRPr="00D13792">
        <w:rPr>
          <w:sz w:val="20"/>
          <w:szCs w:val="20"/>
        </w:rPr>
        <w:t>. Por último, este Tribunal estima pertinente recordar que para fundar una sentencia, l</w:t>
      </w:r>
      <w:r w:rsidRPr="00D13792">
        <w:rPr>
          <w:rFonts w:cs="Verdana"/>
          <w:sz w:val="20"/>
          <w:szCs w:val="20"/>
        </w:rPr>
        <w:t>a prueba indiciaria o presuntiva resulta de especial importancia cuando se trata de denuncias sobre desaparición forzada, ya que esta forma de violación se caracteriza por procurar la supresión de todo elemento que permita comprobar la detención, el paradero y la suerte de las víctimas</w:t>
      </w:r>
      <w:r w:rsidRPr="00D13792">
        <w:rPr>
          <w:rStyle w:val="FootnoteReference"/>
          <w:sz w:val="20"/>
          <w:szCs w:val="20"/>
        </w:rPr>
        <w:footnoteReference w:id="154"/>
      </w:r>
      <w:r w:rsidRPr="00D13792">
        <w:rPr>
          <w:rFonts w:cs="Verdana"/>
          <w:sz w:val="20"/>
          <w:szCs w:val="20"/>
        </w:rPr>
        <w:t>.</w:t>
      </w:r>
    </w:p>
    <w:p w14:paraId="7868593C" w14:textId="77777777" w:rsidR="006A0E1C" w:rsidRPr="00D13792" w:rsidRDefault="006A0E1C" w:rsidP="006A0E1C">
      <w:pPr>
        <w:pStyle w:val="Prrafodelista2"/>
        <w:tabs>
          <w:tab w:val="left" w:pos="720"/>
        </w:tabs>
        <w:ind w:left="0" w:right="-90"/>
        <w:jc w:val="both"/>
        <w:rPr>
          <w:lang w:val="es-CR"/>
        </w:rPr>
      </w:pPr>
    </w:p>
    <w:p w14:paraId="56344955" w14:textId="77777777" w:rsidR="006A0E1C" w:rsidRPr="00D13792" w:rsidRDefault="006A0E1C" w:rsidP="006A0E1C">
      <w:pPr>
        <w:pStyle w:val="Heading3"/>
        <w:ind w:left="0"/>
        <w:rPr>
          <w:i/>
          <w:spacing w:val="0"/>
          <w:lang w:val="es-CR"/>
        </w:rPr>
      </w:pPr>
      <w:bookmarkStart w:id="199" w:name="_Toc460938876"/>
      <w:bookmarkStart w:id="200" w:name="_Toc469670043"/>
      <w:r w:rsidRPr="00D13792">
        <w:rPr>
          <w:i/>
          <w:spacing w:val="0"/>
          <w:lang w:val="es-CR"/>
        </w:rPr>
        <w:t>B.1. Determinación de la ocurrencia de las alegadas desapariciones forzadas y su permanencia en el tiempo</w:t>
      </w:r>
      <w:bookmarkEnd w:id="199"/>
      <w:bookmarkEnd w:id="200"/>
    </w:p>
    <w:p w14:paraId="2EEE2982" w14:textId="77777777" w:rsidR="006A0E1C" w:rsidRPr="00D13792" w:rsidRDefault="006A0E1C" w:rsidP="006A0E1C">
      <w:pPr>
        <w:pStyle w:val="Prrafodelista2"/>
        <w:tabs>
          <w:tab w:val="left" w:pos="720"/>
        </w:tabs>
        <w:ind w:left="0" w:right="-90"/>
        <w:jc w:val="both"/>
        <w:rPr>
          <w:lang w:val="es-CR"/>
        </w:rPr>
      </w:pPr>
    </w:p>
    <w:p w14:paraId="01BB1BB9"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 continuación la Corte analizará las desapariciones forzadas alegadas en el presente </w:t>
      </w:r>
      <w:r w:rsidRPr="00D13792">
        <w:rPr>
          <w:sz w:val="20"/>
          <w:szCs w:val="20"/>
        </w:rPr>
        <w:lastRenderedPageBreak/>
        <w:t xml:space="preserve">caso. Al </w:t>
      </w:r>
      <w:r w:rsidRPr="00D13792">
        <w:rPr>
          <w:rFonts w:eastAsia="Calibri"/>
          <w:sz w:val="20"/>
          <w:szCs w:val="20"/>
        </w:rPr>
        <w:t>respecto</w:t>
      </w:r>
      <w:r w:rsidRPr="00D13792">
        <w:rPr>
          <w:sz w:val="20"/>
          <w:szCs w:val="20"/>
        </w:rPr>
        <w:t>, la Comisión señaló como víctimas de desaparición forzada a 8 personas. Adicionalmente, los representantes identificaron como víctimas de desaparición forzada a 10 personas en su escrito de solicitudes y argumentos, a 68 personas durante la audiencia pública y a 42 personas en sus alegatos finales escritos. La Corte ha realizado una comparación de</w:t>
      </w:r>
      <w:r w:rsidRPr="00D13792">
        <w:rPr>
          <w:rFonts w:eastAsia="Calibri"/>
          <w:sz w:val="20"/>
          <w:szCs w:val="20"/>
        </w:rPr>
        <w:t xml:space="preserve"> todos los listados mencionados y como resultado advierte que hay nombres que se repiten en todos los listados, otros nombres solo aparecen en dos listados y algunos más fueron incorporados únicamente en un listado. Así, una vez realizado el cotejo de todos los nombres, es posible concluir que un total de 81 personas</w:t>
      </w:r>
      <w:r w:rsidRPr="00D13792">
        <w:rPr>
          <w:rStyle w:val="FootnoteReference"/>
          <w:rFonts w:eastAsia="Calibri"/>
          <w:sz w:val="20"/>
          <w:szCs w:val="20"/>
        </w:rPr>
        <w:footnoteReference w:id="155"/>
      </w:r>
      <w:r w:rsidRPr="00D13792">
        <w:rPr>
          <w:rFonts w:eastAsia="Calibri"/>
          <w:sz w:val="20"/>
          <w:szCs w:val="20"/>
        </w:rPr>
        <w:t xml:space="preserve"> han sido alegadas como víctimas de desaparición forzada por la Comisión y los representantes. A su vez, cabe señalar que los nombres de estas 81 personas constan en el Informe de Fondo como supuestas víctimas de desaparición forzada, de</w:t>
      </w:r>
      <w:r w:rsidRPr="00D13792">
        <w:rPr>
          <w:rFonts w:cs="Arial"/>
          <w:sz w:val="20"/>
          <w:szCs w:val="20"/>
        </w:rPr>
        <w:t xml:space="preserve"> ejecución extrajudicial y/o de otras alegadas violaciones a los derechos humanos</w:t>
      </w:r>
      <w:r w:rsidRPr="00D13792">
        <w:rPr>
          <w:sz w:val="20"/>
          <w:szCs w:val="20"/>
        </w:rPr>
        <w:t>.</w:t>
      </w:r>
      <w:r w:rsidRPr="00D13792">
        <w:rPr>
          <w:rFonts w:eastAsia="Calibri"/>
          <w:sz w:val="20"/>
          <w:szCs w:val="20"/>
        </w:rPr>
        <w:t xml:space="preserve"> </w:t>
      </w:r>
      <w:r w:rsidRPr="00D13792">
        <w:rPr>
          <w:sz w:val="20"/>
          <w:szCs w:val="20"/>
        </w:rPr>
        <w:t>Corresponde a este Tribunal determinar, dentro del ámbito de su jurisdicción y de conformidad con la Convención Americana y demás tratados interamericanos que le otorgan competencia, si las 81 personas señaladas fueron víctimas de desaparición forzada.</w:t>
      </w:r>
    </w:p>
    <w:p w14:paraId="0223443B" w14:textId="77777777" w:rsidR="006A0E1C" w:rsidRPr="00D13792" w:rsidRDefault="006A0E1C" w:rsidP="006A0E1C">
      <w:pPr>
        <w:pStyle w:val="Prrafodelista2"/>
        <w:tabs>
          <w:tab w:val="left" w:pos="720"/>
        </w:tabs>
        <w:ind w:left="0" w:right="-90"/>
        <w:jc w:val="both"/>
        <w:rPr>
          <w:lang w:val="es-CR"/>
        </w:rPr>
      </w:pPr>
    </w:p>
    <w:p w14:paraId="1DFD2B82" w14:textId="77777777" w:rsidR="006A0E1C" w:rsidRPr="00D13792" w:rsidRDefault="006A0E1C" w:rsidP="006A0E1C">
      <w:pPr>
        <w:numPr>
          <w:ilvl w:val="0"/>
          <w:numId w:val="6"/>
        </w:numPr>
        <w:tabs>
          <w:tab w:val="left" w:pos="567"/>
        </w:tabs>
        <w:spacing w:line="240" w:lineRule="auto"/>
        <w:ind w:right="4"/>
        <w:rPr>
          <w:sz w:val="20"/>
          <w:szCs w:val="20"/>
        </w:rPr>
      </w:pPr>
      <w:r w:rsidRPr="00D13792">
        <w:rPr>
          <w:bCs/>
          <w:sz w:val="20"/>
          <w:szCs w:val="20"/>
        </w:rPr>
        <w:t>Según</w:t>
      </w:r>
      <w:r w:rsidRPr="00D13792">
        <w:rPr>
          <w:sz w:val="20"/>
          <w:szCs w:val="20"/>
        </w:rPr>
        <w:t xml:space="preserve"> la definición contenida en la CIDFP y la jurisprudencia de este Tribunal, “una de las características de la desaparición forzada, a diferencia de la ejecución extrajudicial, es que conlleva la negativa del Estado de reconocer que la víctima está bajo su control y de proporcionar información al respecto, con el propósito de generar incertidumbre acerca de su paradero, vida o muerte, de provocar intimidación y supresión de derechos”</w:t>
      </w:r>
      <w:r w:rsidRPr="00D13792">
        <w:rPr>
          <w:sz w:val="20"/>
          <w:szCs w:val="20"/>
          <w:vertAlign w:val="superscript"/>
        </w:rPr>
        <w:footnoteReference w:id="156"/>
      </w:r>
      <w:r w:rsidRPr="00D13792">
        <w:rPr>
          <w:sz w:val="20"/>
          <w:szCs w:val="20"/>
        </w:rPr>
        <w:t xml:space="preserve">. </w:t>
      </w:r>
      <w:r w:rsidRPr="00D13792">
        <w:rPr>
          <w:spacing w:val="-2"/>
          <w:sz w:val="20"/>
          <w:szCs w:val="20"/>
        </w:rPr>
        <w:t xml:space="preserve">Este Tribunal ha reconocido que </w:t>
      </w:r>
      <w:r w:rsidRPr="00D13792">
        <w:rPr>
          <w:rFonts w:cs="Times"/>
          <w:spacing w:val="-2"/>
          <w:sz w:val="20"/>
          <w:szCs w:val="20"/>
        </w:rPr>
        <w:t>la desaparición forzada ha incluido con frecuencia la ejecución de los detenidos, en secreto y sin fórmula de juicio, seguida del ocultamiento del cadáver con el objeto de borrar toda huella material del crimen y procurar la impunidad de quienes lo cometieron</w:t>
      </w:r>
      <w:r w:rsidRPr="00D13792">
        <w:rPr>
          <w:spacing w:val="-2"/>
          <w:sz w:val="20"/>
          <w:szCs w:val="20"/>
          <w:vertAlign w:val="superscript"/>
        </w:rPr>
        <w:footnoteReference w:id="157"/>
      </w:r>
      <w:r w:rsidRPr="00D13792">
        <w:rPr>
          <w:rFonts w:cs="Times"/>
          <w:spacing w:val="-2"/>
          <w:sz w:val="20"/>
          <w:szCs w:val="20"/>
        </w:rPr>
        <w:t xml:space="preserve">. </w:t>
      </w:r>
      <w:r w:rsidRPr="00D13792">
        <w:rPr>
          <w:rFonts w:cs="Cambria"/>
          <w:sz w:val="20"/>
          <w:szCs w:val="20"/>
        </w:rPr>
        <w:t>En este sentido, la Corte ha conocido de casos en los cuales la existencia de mayores o menores indicios sobre la muerte de las víctimas no modificó la calificación como desaparición forzada</w:t>
      </w:r>
      <w:r w:rsidRPr="00D13792">
        <w:rPr>
          <w:rFonts w:cs="Cambria"/>
          <w:sz w:val="20"/>
          <w:szCs w:val="20"/>
          <w:vertAlign w:val="superscript"/>
        </w:rPr>
        <w:footnoteReference w:id="158"/>
      </w:r>
      <w:r w:rsidRPr="00D13792">
        <w:rPr>
          <w:bCs/>
          <w:sz w:val="20"/>
          <w:szCs w:val="20"/>
          <w:shd w:val="clear" w:color="auto" w:fill="FFFFFF"/>
        </w:rPr>
        <w:t>. F</w:t>
      </w:r>
      <w:r w:rsidRPr="00D13792">
        <w:rPr>
          <w:rFonts w:cs="Cambria"/>
          <w:sz w:val="20"/>
          <w:szCs w:val="20"/>
        </w:rPr>
        <w:t>ue precisamente lo que los agentes estatales hicieron después de dar muerte a las víctimas, esto es, la adopción de medidas dirigidas a ocultar lo que realmente había ocurrido o borrar todo rastro de los cuerpos para evitar su identificación o que su destino y paradero fuera establecido, lo que permitió a la Corte concluir la desaparición forzada de las víctimas</w:t>
      </w:r>
      <w:r w:rsidRPr="00D13792">
        <w:rPr>
          <w:rStyle w:val="FootnoteReference"/>
          <w:rFonts w:eastAsia="Calibri" w:cs="Cambria"/>
          <w:sz w:val="20"/>
          <w:szCs w:val="20"/>
        </w:rPr>
        <w:footnoteReference w:id="159"/>
      </w:r>
      <w:r w:rsidRPr="00D13792">
        <w:rPr>
          <w:rFonts w:cs="Cambria"/>
          <w:sz w:val="20"/>
          <w:szCs w:val="20"/>
        </w:rPr>
        <w:t xml:space="preserve">. </w:t>
      </w:r>
    </w:p>
    <w:p w14:paraId="147ADAD0" w14:textId="77777777" w:rsidR="006A0E1C" w:rsidRPr="00D13792" w:rsidRDefault="006A0E1C" w:rsidP="006A0E1C">
      <w:pPr>
        <w:spacing w:line="240" w:lineRule="auto"/>
        <w:rPr>
          <w:rFonts w:cs="Verdana"/>
          <w:sz w:val="20"/>
          <w:szCs w:val="20"/>
        </w:rPr>
      </w:pPr>
    </w:p>
    <w:p w14:paraId="48291F6D"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cs="Verdana"/>
          <w:sz w:val="20"/>
          <w:szCs w:val="20"/>
        </w:rPr>
        <w:t xml:space="preserve">Es bajo este orden de ideas que, tal como ya fue señalado, los actos constitutivos de desaparición </w:t>
      </w:r>
      <w:r w:rsidRPr="00D13792">
        <w:rPr>
          <w:rFonts w:eastAsia="Calibri"/>
          <w:sz w:val="20"/>
          <w:szCs w:val="20"/>
        </w:rPr>
        <w:t>forzada</w:t>
      </w:r>
      <w:r w:rsidRPr="00D13792">
        <w:rPr>
          <w:rFonts w:cs="Verdana"/>
          <w:sz w:val="20"/>
          <w:szCs w:val="20"/>
        </w:rPr>
        <w:t xml:space="preserve"> tienen carácter </w:t>
      </w:r>
      <w:r w:rsidRPr="00D13792">
        <w:rPr>
          <w:sz w:val="20"/>
          <w:szCs w:val="20"/>
        </w:rPr>
        <w:t>permanente</w:t>
      </w:r>
      <w:r w:rsidRPr="00D13792">
        <w:rPr>
          <w:rFonts w:cs="Verdana"/>
          <w:sz w:val="20"/>
          <w:szCs w:val="20"/>
        </w:rPr>
        <w:t xml:space="preserve"> mientras no se </w:t>
      </w:r>
      <w:r w:rsidRPr="00D13792">
        <w:rPr>
          <w:rFonts w:cs="Helvetica"/>
          <w:sz w:val="20"/>
          <w:szCs w:val="20"/>
        </w:rPr>
        <w:t>conozca</w:t>
      </w:r>
      <w:r w:rsidRPr="00D13792">
        <w:rPr>
          <w:rFonts w:cs="Verdana"/>
          <w:sz w:val="20"/>
          <w:szCs w:val="20"/>
        </w:rPr>
        <w:t xml:space="preserve"> el paradero de la víctima o se hallen sus restos (</w:t>
      </w:r>
      <w:r w:rsidRPr="00D13792">
        <w:rPr>
          <w:rFonts w:cs="Verdana"/>
          <w:i/>
          <w:sz w:val="20"/>
          <w:szCs w:val="20"/>
        </w:rPr>
        <w:t>supra</w:t>
      </w:r>
      <w:r w:rsidRPr="00D13792">
        <w:rPr>
          <w:rFonts w:cs="Verdana"/>
          <w:sz w:val="20"/>
          <w:szCs w:val="20"/>
        </w:rPr>
        <w:t xml:space="preserve"> párr. 134). Sin embargo, particularmente en relación con este último aspecto, de manera </w:t>
      </w:r>
      <w:r w:rsidRPr="00D13792">
        <w:rPr>
          <w:sz w:val="20"/>
          <w:szCs w:val="20"/>
        </w:rPr>
        <w:t>reiterada</w:t>
      </w:r>
      <w:r w:rsidRPr="00D13792">
        <w:rPr>
          <w:rFonts w:cs="Verdana"/>
          <w:sz w:val="20"/>
          <w:szCs w:val="20"/>
        </w:rPr>
        <w:t xml:space="preserve"> el Tribunal ha indicado que</w:t>
      </w:r>
      <w:r w:rsidRPr="00D13792">
        <w:rPr>
          <w:sz w:val="20"/>
          <w:szCs w:val="20"/>
        </w:rPr>
        <w:t xml:space="preserve"> </w:t>
      </w:r>
      <w:r w:rsidRPr="00D13792">
        <w:rPr>
          <w:rFonts w:cs="Verdana"/>
          <w:sz w:val="20"/>
          <w:szCs w:val="20"/>
        </w:rPr>
        <w:t>no se trata meramente del acto de encontrar los restos de una determinada persona sino que ello, lógicamente, debe ir acompañado de la realización de las pruebas o análisis que permitan comprobar que, efectivamente, esos restos corresponden a esa persona</w:t>
      </w:r>
      <w:r w:rsidRPr="00D13792">
        <w:rPr>
          <w:sz w:val="20"/>
          <w:szCs w:val="20"/>
          <w:vertAlign w:val="superscript"/>
        </w:rPr>
        <w:footnoteReference w:id="160"/>
      </w:r>
      <w:r w:rsidRPr="00D13792">
        <w:rPr>
          <w:rFonts w:cs="Verdana"/>
          <w:sz w:val="20"/>
          <w:szCs w:val="20"/>
        </w:rPr>
        <w:t xml:space="preserve">. Mientras los restos no sean </w:t>
      </w:r>
      <w:r w:rsidRPr="00D13792">
        <w:rPr>
          <w:sz w:val="20"/>
          <w:szCs w:val="20"/>
        </w:rPr>
        <w:t>debidamente localizados e identificados</w:t>
      </w:r>
      <w:r w:rsidRPr="00D13792">
        <w:rPr>
          <w:rFonts w:cs="Verdana"/>
          <w:sz w:val="20"/>
          <w:szCs w:val="20"/>
        </w:rPr>
        <w:t>, la desaparición forzada sigue ejecutándose</w:t>
      </w:r>
      <w:r w:rsidRPr="00D13792">
        <w:rPr>
          <w:sz w:val="20"/>
          <w:szCs w:val="20"/>
          <w:vertAlign w:val="superscript"/>
        </w:rPr>
        <w:footnoteReference w:id="161"/>
      </w:r>
      <w:r w:rsidRPr="00D13792">
        <w:rPr>
          <w:rFonts w:cs="Verdana"/>
          <w:sz w:val="20"/>
          <w:szCs w:val="20"/>
        </w:rPr>
        <w:t>.</w:t>
      </w:r>
      <w:r w:rsidRPr="00D13792">
        <w:rPr>
          <w:sz w:val="20"/>
          <w:szCs w:val="20"/>
        </w:rPr>
        <w:t xml:space="preserve"> Al respecto, </w:t>
      </w:r>
      <w:r w:rsidRPr="00D13792">
        <w:rPr>
          <w:rFonts w:cs="Helvetica"/>
          <w:sz w:val="20"/>
          <w:szCs w:val="20"/>
        </w:rPr>
        <w:t xml:space="preserve">la Corte recuerda que </w:t>
      </w:r>
      <w:r w:rsidRPr="00D13792">
        <w:rPr>
          <w:sz w:val="20"/>
          <w:szCs w:val="20"/>
        </w:rPr>
        <w:t xml:space="preserve">la investigación y judicialización penal no es incompatible con la adopción de diferentes mecanismos adecuados y efectivos para localizar el paradero de las personas desaparecidas </w:t>
      </w:r>
      <w:r w:rsidRPr="00D13792">
        <w:rPr>
          <w:rFonts w:cs="Times"/>
          <w:sz w:val="20"/>
          <w:szCs w:val="20"/>
        </w:rPr>
        <w:t>o localizar sus restos de modo que se determine con certeza su identidad</w:t>
      </w:r>
      <w:r w:rsidRPr="00D13792">
        <w:rPr>
          <w:sz w:val="20"/>
          <w:szCs w:val="20"/>
        </w:rPr>
        <w:t xml:space="preserve">, por lo que ambas medidas </w:t>
      </w:r>
      <w:r w:rsidRPr="00D13792">
        <w:rPr>
          <w:rFonts w:cs="Arial"/>
          <w:sz w:val="20"/>
          <w:szCs w:val="20"/>
        </w:rPr>
        <w:t>pueden complementarse mutuamente</w:t>
      </w:r>
      <w:r w:rsidRPr="00D13792">
        <w:rPr>
          <w:rStyle w:val="FootnoteReference"/>
          <w:sz w:val="20"/>
          <w:szCs w:val="20"/>
        </w:rPr>
        <w:footnoteReference w:id="162"/>
      </w:r>
      <w:r w:rsidRPr="00D13792">
        <w:rPr>
          <w:sz w:val="20"/>
          <w:szCs w:val="20"/>
        </w:rPr>
        <w:t>.</w:t>
      </w:r>
    </w:p>
    <w:p w14:paraId="6CA76579" w14:textId="77777777" w:rsidR="006A0E1C" w:rsidRPr="00D13792" w:rsidRDefault="006A0E1C" w:rsidP="006A0E1C">
      <w:pPr>
        <w:pStyle w:val="Prrafodelista2"/>
        <w:tabs>
          <w:tab w:val="left" w:pos="720"/>
        </w:tabs>
        <w:ind w:left="0" w:right="-90"/>
        <w:jc w:val="both"/>
        <w:rPr>
          <w:i/>
          <w:lang w:val="es-CR"/>
        </w:rPr>
      </w:pPr>
    </w:p>
    <w:p w14:paraId="6CECBABB"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Ahora bien, </w:t>
      </w:r>
      <w:r w:rsidRPr="00D13792">
        <w:rPr>
          <w:rFonts w:eastAsia="Calibri"/>
          <w:sz w:val="20"/>
          <w:szCs w:val="20"/>
        </w:rPr>
        <w:t>la</w:t>
      </w:r>
      <w:r w:rsidRPr="00D13792">
        <w:rPr>
          <w:sz w:val="20"/>
          <w:szCs w:val="20"/>
        </w:rPr>
        <w:t xml:space="preserve"> Corte recuerda que en el </w:t>
      </w:r>
      <w:r w:rsidRPr="00D13792">
        <w:rPr>
          <w:rStyle w:val="Strong"/>
          <w:b w:val="0"/>
          <w:i/>
          <w:color w:val="000000"/>
          <w:sz w:val="20"/>
          <w:szCs w:val="20"/>
          <w:shd w:val="clear" w:color="auto" w:fill="FFFFFF"/>
        </w:rPr>
        <w:t>Caso Comunidad Campesina de Santa Bárbara Vs. Perú</w:t>
      </w:r>
      <w:r w:rsidRPr="00D13792">
        <w:rPr>
          <w:sz w:val="20"/>
          <w:szCs w:val="20"/>
        </w:rPr>
        <w:t xml:space="preserve"> concluyó la desaparición forzada de 15 personas que fueron privadas de libertad por agentes estatales y permanecieron bajo custodia estatal mientras se les trasladó e introdujo al interior de una mina donde fueron acribilladas con fusiles y casi de inmediato fueron inmolados sus cuerpos mediante la detonación de cargas de dinamita. En dicho caso quedó acreditada la existencia de indicios sobre actuaciones posteriores de las autoridades y agentes estatales que “tuvieron el propósito de eliminar las evidencias de lo sucedido y ocultar lo que realmente había ocurrido o borrar todo rastro de los cuerpos para evitar su identificación o que su destino y paradero fuera establecido”. Dichos indicios consistieron en: a) la negativa de las autoridades del Ejército de reconocer la detención de las víctimas durante los primeros días de ocurridos los hechos; b) el </w:t>
      </w:r>
      <w:r w:rsidRPr="00D13792">
        <w:rPr>
          <w:i/>
          <w:sz w:val="20"/>
          <w:szCs w:val="20"/>
        </w:rPr>
        <w:t>modus operandi</w:t>
      </w:r>
      <w:r w:rsidRPr="00D13792">
        <w:rPr>
          <w:sz w:val="20"/>
          <w:szCs w:val="20"/>
        </w:rPr>
        <w:t xml:space="preserve"> utilizado en la destrucción de evidencias durante los primeros días de ocurridos los hechos; c) la pérdida de la evidencia recolectada el 18 de julio de 1991; d) la inscripción de las partidas de defunción en los años 1991 y 1992 con edades fraudulentas, y e) que la investigación forense en la búsqueda, recuperación, análisis y eventual identificación de los restos humanos se caracterizó por una clara</w:t>
      </w:r>
      <w:r w:rsidRPr="00D13792">
        <w:rPr>
          <w:rFonts w:cs="Verdana"/>
          <w:szCs w:val="20"/>
        </w:rPr>
        <w:t xml:space="preserve"> </w:t>
      </w:r>
      <w:r w:rsidRPr="00D13792">
        <w:rPr>
          <w:rFonts w:cs="Arial"/>
          <w:sz w:val="20"/>
          <w:szCs w:val="20"/>
        </w:rPr>
        <w:t xml:space="preserve">falta de </w:t>
      </w:r>
      <w:r w:rsidRPr="00D13792">
        <w:rPr>
          <w:sz w:val="20"/>
          <w:szCs w:val="20"/>
        </w:rPr>
        <w:t>seriedad y debida diligencia, especialmente grave. En definitiva, los indicios sobre las actuaciones posteriores de agentes estatales que buscaron eliminar las evidencias de lo sucedido y ocultar lo que realmente ocurrió, fueron fundamentales en la conclusión del Tribunal</w:t>
      </w:r>
      <w:r w:rsidRPr="00D13792">
        <w:rPr>
          <w:rStyle w:val="FootnoteReference"/>
          <w:sz w:val="20"/>
          <w:szCs w:val="20"/>
        </w:rPr>
        <w:footnoteReference w:id="163"/>
      </w:r>
      <w:r w:rsidRPr="00D13792">
        <w:rPr>
          <w:sz w:val="20"/>
          <w:szCs w:val="20"/>
        </w:rPr>
        <w:t xml:space="preserve">. </w:t>
      </w:r>
    </w:p>
    <w:p w14:paraId="50C487CD" w14:textId="77777777" w:rsidR="006A0E1C" w:rsidRPr="00D13792" w:rsidRDefault="006A0E1C" w:rsidP="006A0E1C">
      <w:pPr>
        <w:tabs>
          <w:tab w:val="left" w:pos="567"/>
        </w:tabs>
        <w:spacing w:line="240" w:lineRule="auto"/>
        <w:ind w:right="4"/>
        <w:rPr>
          <w:sz w:val="20"/>
          <w:szCs w:val="20"/>
        </w:rPr>
      </w:pPr>
    </w:p>
    <w:p w14:paraId="1E9AA4A8"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el presente caso y teniendo en cuenta los argumentos de las partes y la Comisión, la Corte realizará el análisis de las actuaciones llevadas a cabo por las fuerzas de seguridad del Estado con </w:t>
      </w:r>
      <w:r w:rsidRPr="00D13792">
        <w:rPr>
          <w:rFonts w:eastAsia="Calibri"/>
          <w:sz w:val="20"/>
          <w:szCs w:val="20"/>
        </w:rPr>
        <w:t>posterioridad</w:t>
      </w:r>
      <w:r w:rsidRPr="00D13792">
        <w:rPr>
          <w:sz w:val="20"/>
          <w:szCs w:val="20"/>
        </w:rPr>
        <w:t xml:space="preserve"> a supuestamente dar muerte a las presuntas víctimas y, con base en ello, evaluará si procede calificar los hechos como desapariciones forzadas. Asimismo, este Tribunal se pronunciará sobre las consecuencias de no iniciar, continuar y/o concluir las investigaciones forenses relacionadas con la búsqueda, recuperación, análisis y eventual </w:t>
      </w:r>
      <w:r w:rsidRPr="00D13792">
        <w:rPr>
          <w:sz w:val="20"/>
          <w:szCs w:val="20"/>
        </w:rPr>
        <w:lastRenderedPageBreak/>
        <w:t>identificación de restos en el presente caso.</w:t>
      </w:r>
    </w:p>
    <w:p w14:paraId="2DAB8B10" w14:textId="77777777" w:rsidR="006A0E1C" w:rsidRPr="00D13792" w:rsidRDefault="006A0E1C" w:rsidP="006A0E1C">
      <w:pPr>
        <w:tabs>
          <w:tab w:val="left" w:pos="567"/>
        </w:tabs>
        <w:spacing w:line="240" w:lineRule="auto"/>
        <w:ind w:right="4"/>
        <w:rPr>
          <w:sz w:val="20"/>
          <w:szCs w:val="20"/>
        </w:rPr>
      </w:pPr>
    </w:p>
    <w:p w14:paraId="2902A9F9" w14:textId="77777777" w:rsidR="006A0E1C" w:rsidRPr="00D13792" w:rsidRDefault="006A0E1C" w:rsidP="006A0E1C">
      <w:pPr>
        <w:numPr>
          <w:ilvl w:val="0"/>
          <w:numId w:val="6"/>
        </w:numPr>
        <w:tabs>
          <w:tab w:val="left" w:pos="567"/>
        </w:tabs>
        <w:spacing w:line="240" w:lineRule="auto"/>
        <w:ind w:right="4"/>
        <w:rPr>
          <w:sz w:val="20"/>
        </w:rPr>
      </w:pPr>
      <w:r w:rsidRPr="00D13792">
        <w:rPr>
          <w:sz w:val="20"/>
          <w:szCs w:val="20"/>
        </w:rPr>
        <w:t>Primeramente, consta en los hechos que, de las 81 personas señaladas como víctimas de desapariciones forzadas, un total de 21 de estas personas</w:t>
      </w:r>
      <w:r w:rsidRPr="00D13792">
        <w:rPr>
          <w:rStyle w:val="FootnoteReference"/>
          <w:sz w:val="20"/>
          <w:szCs w:val="20"/>
        </w:rPr>
        <w:footnoteReference w:id="164"/>
      </w:r>
      <w:r w:rsidRPr="00D13792">
        <w:rPr>
          <w:sz w:val="20"/>
          <w:szCs w:val="20"/>
        </w:rPr>
        <w:t xml:space="preserve"> fueron privadas de la vida por fuerzas de seguridad del Estado y sus cuerpos abandonados a la intemperie entre </w:t>
      </w:r>
      <w:r w:rsidRPr="00D13792">
        <w:rPr>
          <w:rFonts w:cs="Arial"/>
          <w:sz w:val="20"/>
          <w:szCs w:val="20"/>
        </w:rPr>
        <w:t>agosto de 1981</w:t>
      </w:r>
      <w:r w:rsidRPr="00D13792">
        <w:rPr>
          <w:sz w:val="20"/>
          <w:szCs w:val="20"/>
        </w:rPr>
        <w:t xml:space="preserve"> y </w:t>
      </w:r>
      <w:r w:rsidRPr="00D13792">
        <w:rPr>
          <w:bCs/>
          <w:sz w:val="20"/>
          <w:szCs w:val="20"/>
        </w:rPr>
        <w:t>agosto de 1986</w:t>
      </w:r>
      <w:r w:rsidRPr="00D13792">
        <w:rPr>
          <w:sz w:val="20"/>
          <w:szCs w:val="20"/>
        </w:rPr>
        <w:t>. Los restos de dichas personas fueron encontrados por familiares y vecinos, quienes los enterraron en fosas clandestinas. Posteriormente, en los años 1993, 2002, 2003 y 2004 se realizaron trabajos forenses en los que se logró exhumar e identificar los restos óseos de al menos 18 de las personas mencionadas, los cuales eventualmente fueron entregados a sus familiares</w:t>
      </w:r>
      <w:r w:rsidRPr="00D13792">
        <w:rPr>
          <w:bCs/>
          <w:sz w:val="20"/>
          <w:szCs w:val="20"/>
        </w:rPr>
        <w:t xml:space="preserve"> (</w:t>
      </w:r>
      <w:r w:rsidRPr="00D13792">
        <w:rPr>
          <w:bCs/>
          <w:i/>
          <w:sz w:val="20"/>
          <w:szCs w:val="20"/>
        </w:rPr>
        <w:t>supra</w:t>
      </w:r>
      <w:r w:rsidRPr="00D13792">
        <w:rPr>
          <w:bCs/>
          <w:sz w:val="20"/>
          <w:szCs w:val="20"/>
        </w:rPr>
        <w:t xml:space="preserve"> párrs. 87, 105, 112, 113, 115, 117, 119 y 120)</w:t>
      </w:r>
      <w:r w:rsidRPr="00D13792">
        <w:rPr>
          <w:sz w:val="20"/>
          <w:szCs w:val="20"/>
        </w:rPr>
        <w:t xml:space="preserve">. </w:t>
      </w:r>
      <w:r w:rsidRPr="00D13792">
        <w:rPr>
          <w:rFonts w:cs="Cambria"/>
          <w:sz w:val="20"/>
          <w:szCs w:val="20"/>
        </w:rPr>
        <w:t xml:space="preserve">Es decir, a partir de su muerte </w:t>
      </w:r>
      <w:r w:rsidRPr="00D13792">
        <w:rPr>
          <w:sz w:val="20"/>
        </w:rPr>
        <w:t xml:space="preserve">y </w:t>
      </w:r>
      <w:r w:rsidRPr="00D13792">
        <w:rPr>
          <w:spacing w:val="-2"/>
          <w:sz w:val="20"/>
          <w:szCs w:val="20"/>
        </w:rPr>
        <w:t>en todo momento posterior, los familiares de estas 21 personas han tenido conocimiento claro d</w:t>
      </w:r>
      <w:r w:rsidRPr="00D13792">
        <w:rPr>
          <w:rFonts w:cs="Times"/>
          <w:sz w:val="20"/>
          <w:szCs w:val="20"/>
        </w:rPr>
        <w:t>e que las víctimas fueron ejecutadas, así como del lugar en que incluso ellos mismos enterraron sus restos</w:t>
      </w:r>
      <w:r w:rsidRPr="00D13792">
        <w:rPr>
          <w:spacing w:val="-2"/>
          <w:sz w:val="20"/>
          <w:szCs w:val="20"/>
        </w:rPr>
        <w:t xml:space="preserve">. En consecuencia, la Corte considera que </w:t>
      </w:r>
      <w:r w:rsidRPr="00D13792">
        <w:rPr>
          <w:sz w:val="20"/>
          <w:szCs w:val="20"/>
        </w:rPr>
        <w:t xml:space="preserve">no es procedente concluir que las mencionadas 21 personas fueron víctimas de desaparición forzada, en razón que del relato de los hechos no se desprenda que haya mediado intento alguno de </w:t>
      </w:r>
      <w:r w:rsidRPr="00D13792">
        <w:rPr>
          <w:rFonts w:cs="Cambria"/>
          <w:sz w:val="20"/>
          <w:szCs w:val="20"/>
        </w:rPr>
        <w:t>los agentes estatales de</w:t>
      </w:r>
      <w:r w:rsidRPr="00D13792">
        <w:rPr>
          <w:sz w:val="20"/>
          <w:szCs w:val="20"/>
        </w:rPr>
        <w:t xml:space="preserve"> ocultar su muerte y lo que realmente ocurrió, o borrar todo rastro de los cuerpos para evitar su identificación o que su destino y paradero fuera establecido, y tampoco eliminar las evidencias de lo sucedido. </w:t>
      </w:r>
    </w:p>
    <w:p w14:paraId="663F8208" w14:textId="77777777" w:rsidR="006A0E1C" w:rsidRPr="00D13792" w:rsidRDefault="006A0E1C" w:rsidP="006A0E1C">
      <w:pPr>
        <w:spacing w:line="240" w:lineRule="auto"/>
        <w:rPr>
          <w:sz w:val="20"/>
        </w:rPr>
      </w:pPr>
    </w:p>
    <w:p w14:paraId="2D6C5F2C" w14:textId="77777777" w:rsidR="006A0E1C" w:rsidRPr="00D13792" w:rsidRDefault="006A0E1C" w:rsidP="006A0E1C">
      <w:pPr>
        <w:numPr>
          <w:ilvl w:val="0"/>
          <w:numId w:val="6"/>
        </w:numPr>
        <w:tabs>
          <w:tab w:val="left" w:pos="567"/>
        </w:tabs>
        <w:spacing w:line="240" w:lineRule="auto"/>
        <w:ind w:right="4"/>
        <w:rPr>
          <w:sz w:val="20"/>
        </w:rPr>
      </w:pPr>
      <w:r w:rsidRPr="00D13792">
        <w:rPr>
          <w:sz w:val="20"/>
          <w:szCs w:val="20"/>
        </w:rPr>
        <w:t xml:space="preserve">En segundo </w:t>
      </w:r>
      <w:r w:rsidRPr="00D13792">
        <w:rPr>
          <w:rFonts w:eastAsia="Calibri"/>
          <w:sz w:val="20"/>
          <w:szCs w:val="20"/>
        </w:rPr>
        <w:t>lugar</w:t>
      </w:r>
      <w:r w:rsidRPr="00D13792">
        <w:rPr>
          <w:sz w:val="20"/>
          <w:szCs w:val="20"/>
        </w:rPr>
        <w:t>, consta que, de las 81 personas señaladas como presuntas víctimas de desapariciones forzadas, 34 personas</w:t>
      </w:r>
      <w:r w:rsidRPr="00D13792">
        <w:rPr>
          <w:rStyle w:val="FootnoteReference"/>
          <w:sz w:val="20"/>
          <w:szCs w:val="20"/>
        </w:rPr>
        <w:footnoteReference w:id="165"/>
      </w:r>
      <w:r w:rsidRPr="00D13792">
        <w:rPr>
          <w:sz w:val="20"/>
          <w:szCs w:val="20"/>
        </w:rPr>
        <w:t xml:space="preserve"> fueron privadas de la vida por miembros de las fuerzas de seguridad del Estado, quienes inmediatamente procedieron a realizar un enterramiento de los cuerpos que no se completó, por lo que los restos fueron encontrados parcialmente a la intemperie por sus familiares y vecinos, quienes procedieron a realizar un enterramiento más profundo de dichas personas en fosas clandestinas. En los años 1993, 2007, 2008, 2010, 2011 y 2012 se realizaron trabajos forenses en los que exhumaron restos óseos y se logró identificar a 7 de las personas mencionadas (</w:t>
      </w:r>
      <w:r w:rsidRPr="00D13792">
        <w:rPr>
          <w:i/>
          <w:sz w:val="20"/>
          <w:szCs w:val="20"/>
        </w:rPr>
        <w:t>supra</w:t>
      </w:r>
      <w:r w:rsidRPr="00D13792">
        <w:rPr>
          <w:sz w:val="20"/>
          <w:szCs w:val="20"/>
        </w:rPr>
        <w:t xml:space="preserve"> párrs. 91 y 107). En definitiva, si bien existió un primer intento de ocultar los cuerpos sin vida de estas 34 personas, el cual no fue completado, fueron vecinos y los propios familiares quienes posteriormente concluyeron el enterramiento de los cuerpos y estos han tenido</w:t>
      </w:r>
      <w:r w:rsidRPr="00D13792">
        <w:rPr>
          <w:sz w:val="20"/>
        </w:rPr>
        <w:t xml:space="preserve"> conocimiento </w:t>
      </w:r>
      <w:r w:rsidRPr="00D13792">
        <w:rPr>
          <w:sz w:val="20"/>
          <w:szCs w:val="20"/>
        </w:rPr>
        <w:t xml:space="preserve">desde ese entonces </w:t>
      </w:r>
      <w:r w:rsidRPr="00D13792">
        <w:rPr>
          <w:rFonts w:cs="Times"/>
          <w:sz w:val="20"/>
          <w:szCs w:val="20"/>
        </w:rPr>
        <w:t>del lugar en que se encuentran inhumados dichos restos</w:t>
      </w:r>
      <w:r w:rsidRPr="00D13792">
        <w:rPr>
          <w:sz w:val="20"/>
          <w:szCs w:val="20"/>
        </w:rPr>
        <w:t>. Por ende</w:t>
      </w:r>
      <w:r w:rsidRPr="00D13792">
        <w:rPr>
          <w:rFonts w:cs="Cambria"/>
          <w:sz w:val="20"/>
          <w:szCs w:val="20"/>
        </w:rPr>
        <w:t xml:space="preserve">, este Tribunal </w:t>
      </w:r>
      <w:r w:rsidRPr="00D13792">
        <w:rPr>
          <w:spacing w:val="-2"/>
          <w:sz w:val="20"/>
          <w:szCs w:val="20"/>
        </w:rPr>
        <w:t xml:space="preserve">considera que </w:t>
      </w:r>
      <w:r w:rsidRPr="00D13792">
        <w:rPr>
          <w:sz w:val="20"/>
          <w:szCs w:val="20"/>
        </w:rPr>
        <w:t>no es procedente concluir que estas 34 personas fueron víctimas de desaparición forzada.</w:t>
      </w:r>
    </w:p>
    <w:p w14:paraId="318BF4E6" w14:textId="77777777" w:rsidR="006A0E1C" w:rsidRPr="00D13792" w:rsidRDefault="006A0E1C" w:rsidP="006A0E1C">
      <w:pPr>
        <w:tabs>
          <w:tab w:val="left" w:pos="567"/>
        </w:tabs>
        <w:spacing w:line="240" w:lineRule="auto"/>
        <w:ind w:right="4"/>
        <w:rPr>
          <w:sz w:val="20"/>
        </w:rPr>
      </w:pPr>
    </w:p>
    <w:p w14:paraId="613EF431" w14:textId="77777777" w:rsidR="006A0E1C" w:rsidRPr="00D13792" w:rsidRDefault="006A0E1C" w:rsidP="006A0E1C">
      <w:pPr>
        <w:numPr>
          <w:ilvl w:val="0"/>
          <w:numId w:val="6"/>
        </w:numPr>
        <w:tabs>
          <w:tab w:val="left" w:pos="567"/>
        </w:tabs>
        <w:spacing w:line="240" w:lineRule="auto"/>
        <w:ind w:right="4"/>
        <w:rPr>
          <w:spacing w:val="-2"/>
          <w:sz w:val="20"/>
          <w:szCs w:val="20"/>
        </w:rPr>
      </w:pPr>
      <w:r w:rsidRPr="00D13792">
        <w:rPr>
          <w:sz w:val="20"/>
          <w:szCs w:val="20"/>
        </w:rPr>
        <w:t xml:space="preserve">En tercer lugar, consta que Antonio Chen Mendoza </w:t>
      </w:r>
      <w:r w:rsidRPr="00D13792">
        <w:rPr>
          <w:rFonts w:cs="Arial"/>
          <w:sz w:val="20"/>
          <w:szCs w:val="20"/>
        </w:rPr>
        <w:t>de 6 años de edad</w:t>
      </w:r>
      <w:r w:rsidRPr="00D13792">
        <w:rPr>
          <w:sz w:val="20"/>
          <w:szCs w:val="20"/>
        </w:rPr>
        <w:t xml:space="preserve"> también fue señalado como </w:t>
      </w:r>
      <w:r w:rsidRPr="00D13792">
        <w:rPr>
          <w:rFonts w:eastAsia="Calibri"/>
          <w:sz w:val="20"/>
          <w:szCs w:val="20"/>
        </w:rPr>
        <w:t>víctima</w:t>
      </w:r>
      <w:r w:rsidRPr="00D13792">
        <w:rPr>
          <w:sz w:val="20"/>
          <w:szCs w:val="20"/>
        </w:rPr>
        <w:t xml:space="preserve"> de desaparición forzada, sin embargo, ha sido determinado en los hechos del presente caso que este permaneció junto a su familia en las montañas, y que</w:t>
      </w:r>
      <w:r w:rsidRPr="00D13792">
        <w:rPr>
          <w:spacing w:val="-2"/>
          <w:sz w:val="20"/>
          <w:szCs w:val="20"/>
        </w:rPr>
        <w:t xml:space="preserve"> </w:t>
      </w:r>
      <w:r w:rsidRPr="00D13792">
        <w:rPr>
          <w:sz w:val="20"/>
          <w:szCs w:val="20"/>
        </w:rPr>
        <w:t xml:space="preserve">debido a la </w:t>
      </w:r>
      <w:r w:rsidRPr="00D13792">
        <w:rPr>
          <w:rFonts w:cs="Calibri"/>
          <w:sz w:val="20"/>
          <w:szCs w:val="20"/>
        </w:rPr>
        <w:t>exposición de los estragos del clima</w:t>
      </w:r>
      <w:r w:rsidRPr="00D13792">
        <w:rPr>
          <w:sz w:val="20"/>
          <w:szCs w:val="20"/>
        </w:rPr>
        <w:t xml:space="preserve"> enfermó y murió. Su cuerpo fue enterrado en la montaña por su propia familia (</w:t>
      </w:r>
      <w:r w:rsidRPr="00D13792">
        <w:rPr>
          <w:i/>
          <w:sz w:val="20"/>
          <w:szCs w:val="20"/>
        </w:rPr>
        <w:t>supra</w:t>
      </w:r>
      <w:r w:rsidRPr="00D13792">
        <w:rPr>
          <w:sz w:val="20"/>
          <w:szCs w:val="20"/>
        </w:rPr>
        <w:t xml:space="preserve"> párr. 114).</w:t>
      </w:r>
      <w:r w:rsidRPr="00D13792">
        <w:rPr>
          <w:spacing w:val="-2"/>
          <w:sz w:val="20"/>
          <w:szCs w:val="20"/>
        </w:rPr>
        <w:t xml:space="preserve"> </w:t>
      </w:r>
      <w:r w:rsidRPr="00D13792">
        <w:rPr>
          <w:sz w:val="20"/>
          <w:szCs w:val="20"/>
        </w:rPr>
        <w:t xml:space="preserve">Además, Juan Alvarado Grave fue señalado como víctima de desaparición forzada, no obstante, del relato de los hechos se desprende que fue ejecutado por un grupo de “judiciales” y su cuerpo se encontraría en el Hospital de Salamá, </w:t>
      </w:r>
      <w:r w:rsidRPr="00D13792">
        <w:rPr>
          <w:sz w:val="20"/>
          <w:szCs w:val="20"/>
        </w:rPr>
        <w:lastRenderedPageBreak/>
        <w:t xml:space="preserve">lugar al que su hermano Mateo Grave acompañado de dos personas se habrían dirigido a fin de localizar </w:t>
      </w:r>
      <w:r w:rsidRPr="00D13792">
        <w:rPr>
          <w:rFonts w:cs="Calibri"/>
          <w:sz w:val="20"/>
          <w:szCs w:val="20"/>
        </w:rPr>
        <w:t xml:space="preserve">y reconocer </w:t>
      </w:r>
      <w:r w:rsidRPr="00D13792">
        <w:rPr>
          <w:sz w:val="20"/>
          <w:szCs w:val="20"/>
        </w:rPr>
        <w:t>el cadáver (</w:t>
      </w:r>
      <w:r w:rsidRPr="00D13792">
        <w:rPr>
          <w:i/>
          <w:sz w:val="20"/>
          <w:szCs w:val="20"/>
        </w:rPr>
        <w:t>supra</w:t>
      </w:r>
      <w:r w:rsidRPr="00D13792">
        <w:rPr>
          <w:sz w:val="20"/>
          <w:szCs w:val="20"/>
        </w:rPr>
        <w:t xml:space="preserve"> párr. 85). A su vez, Mateo Grave y Pedro Depaz Ciprián fueron señalados como víctimas de desaparición forzada, sin embargo, ha sido determinado que fueron ejecutados por un grupo de “judiciales” y sus cuerpos fueron trasladados también al Hospital de Salamá. Respecto a Mateo Grave, consta incluso que su cadáver fue enterrado en el cementerio de San Salamá por órdenes del Juez de Paz de San Miguel Chicaj (</w:t>
      </w:r>
      <w:r w:rsidRPr="00D13792">
        <w:rPr>
          <w:i/>
          <w:sz w:val="20"/>
          <w:szCs w:val="20"/>
        </w:rPr>
        <w:t>supra</w:t>
      </w:r>
      <w:r w:rsidRPr="00D13792">
        <w:rPr>
          <w:sz w:val="20"/>
          <w:szCs w:val="20"/>
        </w:rPr>
        <w:t xml:space="preserve"> párrs. 85 y 86).</w:t>
      </w:r>
      <w:r w:rsidRPr="00D13792">
        <w:rPr>
          <w:sz w:val="20"/>
        </w:rPr>
        <w:t xml:space="preserve"> </w:t>
      </w:r>
      <w:r w:rsidRPr="00D13792">
        <w:rPr>
          <w:rFonts w:cs="Cambria"/>
          <w:sz w:val="20"/>
          <w:szCs w:val="20"/>
        </w:rPr>
        <w:t xml:space="preserve">Por ende y debido a que este Tribunal </w:t>
      </w:r>
      <w:r w:rsidRPr="00D13792">
        <w:rPr>
          <w:spacing w:val="-2"/>
          <w:sz w:val="20"/>
          <w:szCs w:val="20"/>
        </w:rPr>
        <w:t xml:space="preserve">no cuenta con </w:t>
      </w:r>
      <w:r w:rsidRPr="00D13792">
        <w:rPr>
          <w:sz w:val="20"/>
          <w:szCs w:val="20"/>
        </w:rPr>
        <w:t xml:space="preserve">mayor información ni elementos que le permitan llegar a una conclusión diferente, </w:t>
      </w:r>
      <w:r w:rsidRPr="00D13792">
        <w:rPr>
          <w:spacing w:val="-2"/>
          <w:sz w:val="20"/>
          <w:szCs w:val="20"/>
        </w:rPr>
        <w:t xml:space="preserve">considera que </w:t>
      </w:r>
      <w:r w:rsidRPr="00D13792">
        <w:rPr>
          <w:sz w:val="20"/>
          <w:szCs w:val="20"/>
        </w:rPr>
        <w:t>no es procedente concluir que las 4 personas mencionadas fueron víctimas de desaparición forzada.</w:t>
      </w:r>
    </w:p>
    <w:p w14:paraId="472AF76F" w14:textId="77777777" w:rsidR="006A0E1C" w:rsidRPr="00D13792" w:rsidRDefault="006A0E1C" w:rsidP="006A0E1C">
      <w:pPr>
        <w:pStyle w:val="Prrafodelista2"/>
        <w:tabs>
          <w:tab w:val="left" w:pos="720"/>
        </w:tabs>
        <w:ind w:left="0" w:right="-90"/>
        <w:jc w:val="both"/>
        <w:rPr>
          <w:lang w:val="es-CR"/>
        </w:rPr>
      </w:pPr>
    </w:p>
    <w:p w14:paraId="56632BEC"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suma, la Corte considera que no es procedente concluir la desaparición forzada de un total de 59 personas que fueron alegadas como víctimas de dicha violación (</w:t>
      </w:r>
      <w:r w:rsidRPr="00D13792">
        <w:rPr>
          <w:i/>
          <w:sz w:val="20"/>
          <w:szCs w:val="20"/>
        </w:rPr>
        <w:t>supra</w:t>
      </w:r>
      <w:r w:rsidRPr="00D13792">
        <w:rPr>
          <w:sz w:val="20"/>
          <w:szCs w:val="20"/>
        </w:rPr>
        <w:t xml:space="preserve"> párrs. 144 a 146). Sin perjuicio de lo anterior, la Corte observa que debido a la desidia investigativa del Estado y según la información aportada a este Tribunal que no fue desvirtuada, aún no ha sido posible exhumar y/o identificar en su totalidad los restos de 31 personas</w:t>
      </w:r>
      <w:r w:rsidRPr="00D13792">
        <w:rPr>
          <w:rStyle w:val="FootnoteReference"/>
          <w:sz w:val="20"/>
          <w:szCs w:val="20"/>
        </w:rPr>
        <w:footnoteReference w:id="166"/>
      </w:r>
      <w:r w:rsidRPr="00D13792">
        <w:rPr>
          <w:sz w:val="20"/>
          <w:szCs w:val="20"/>
        </w:rPr>
        <w:t xml:space="preserve"> que fueron enterradas por familiares y vecinos en cementerios clandestinos en la época del conflicto armado interno en Guatemala. En efecto, en algunos casos se desprende que aunque se conoce el lugar de enterramiento y/o se practicó la exhumación y recuperación de restos, se desconoce si se han completado los trabajos forenses de búsqueda, exhumación, recuperación, análisis y eventual identificación de restos. Dicha situación será tomada en cuenta por este Tribunal </w:t>
      </w:r>
      <w:r w:rsidRPr="00D13792">
        <w:rPr>
          <w:spacing w:val="-2"/>
          <w:sz w:val="20"/>
          <w:szCs w:val="20"/>
        </w:rPr>
        <w:t xml:space="preserve">en </w:t>
      </w:r>
      <w:r w:rsidRPr="00D13792">
        <w:rPr>
          <w:sz w:val="20"/>
          <w:szCs w:val="20"/>
        </w:rPr>
        <w:t>el eventual análisis sobre la alegada falta de debida diligencia e impunidad en el caso, así como en el momento de resolver sobre las eventuales reparaciones, en los Capítulos IX.III y X de esta Sentencia.</w:t>
      </w:r>
    </w:p>
    <w:p w14:paraId="3598EB54" w14:textId="77777777" w:rsidR="006A0E1C" w:rsidRPr="00D13792" w:rsidRDefault="006A0E1C" w:rsidP="006A0E1C">
      <w:pPr>
        <w:tabs>
          <w:tab w:val="left" w:pos="567"/>
        </w:tabs>
        <w:spacing w:line="240" w:lineRule="auto"/>
        <w:ind w:right="4"/>
        <w:rPr>
          <w:sz w:val="20"/>
          <w:szCs w:val="20"/>
        </w:rPr>
      </w:pPr>
    </w:p>
    <w:p w14:paraId="4688D34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Por otro lado, queda por determinar</w:t>
      </w:r>
      <w:r w:rsidRPr="00D13792">
        <w:rPr>
          <w:sz w:val="20"/>
        </w:rPr>
        <w:t xml:space="preserve"> lo </w:t>
      </w:r>
      <w:r w:rsidRPr="00D13792">
        <w:rPr>
          <w:sz w:val="20"/>
          <w:szCs w:val="20"/>
        </w:rPr>
        <w:t>ocurrido a 22 personas que también han sido señaladas como víctimas de desaparición forzada y respecto de las cuales se tiene establecido que:</w:t>
      </w:r>
    </w:p>
    <w:p w14:paraId="0A1D2102"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eastAsia="es-CR"/>
        </w:rPr>
      </w:pPr>
      <w:r w:rsidRPr="00D13792">
        <w:rPr>
          <w:rFonts w:ascii="Verdana" w:hAnsi="Verdana" w:cs="Arial"/>
          <w:sz w:val="20"/>
          <w:szCs w:val="20"/>
          <w:u w:val="single"/>
          <w:lang w:val="es-CR"/>
        </w:rPr>
        <w:t>Pedro Siana</w:t>
      </w:r>
      <w:r w:rsidRPr="00D13792">
        <w:rPr>
          <w:rFonts w:ascii="Verdana" w:hAnsi="Verdana" w:cs="Arial"/>
          <w:sz w:val="20"/>
          <w:szCs w:val="20"/>
          <w:lang w:val="es-CR"/>
        </w:rPr>
        <w:t xml:space="preserve"> </w:t>
      </w:r>
      <w:r w:rsidRPr="00D13792">
        <w:rPr>
          <w:rFonts w:ascii="Verdana" w:eastAsia="Calibri" w:hAnsi="Verdana"/>
          <w:sz w:val="20"/>
          <w:szCs w:val="20"/>
          <w:lang w:val="es-CR" w:eastAsia="en-US"/>
        </w:rPr>
        <w:t xml:space="preserve">fue detenido junto con dos personas en el camino de </w:t>
      </w:r>
      <w:r w:rsidRPr="00D13792">
        <w:rPr>
          <w:rFonts w:ascii="Verdana" w:hAnsi="Verdana"/>
          <w:sz w:val="20"/>
          <w:szCs w:val="20"/>
          <w:lang w:val="es-CR"/>
        </w:rPr>
        <w:t>Rabinal</w:t>
      </w:r>
      <w:r w:rsidRPr="00D13792">
        <w:rPr>
          <w:rFonts w:ascii="Verdana" w:eastAsia="Calibri" w:hAnsi="Verdana"/>
          <w:sz w:val="20"/>
          <w:szCs w:val="20"/>
          <w:lang w:val="es-CR" w:eastAsia="en-US"/>
        </w:rPr>
        <w:t xml:space="preserve"> </w:t>
      </w:r>
      <w:r w:rsidRPr="00D13792">
        <w:rPr>
          <w:rFonts w:ascii="Verdana" w:hAnsi="Verdana"/>
          <w:sz w:val="20"/>
          <w:szCs w:val="20"/>
          <w:lang w:val="es-CR"/>
        </w:rPr>
        <w:t xml:space="preserve">por un grupo de “judiciales” y se desconoce su paradero </w:t>
      </w:r>
      <w:r w:rsidRPr="00D13792">
        <w:rPr>
          <w:rFonts w:ascii="Verdana" w:hAnsi="Verdana" w:cs="Arial"/>
          <w:sz w:val="20"/>
          <w:szCs w:val="20"/>
          <w:lang w:val="es-CR"/>
        </w:rPr>
        <w:t xml:space="preserve">desde el 24 de agosto de 1981 </w:t>
      </w:r>
      <w:r w:rsidRPr="00D13792">
        <w:rPr>
          <w:rFonts w:ascii="Verdana" w:hAnsi="Verdana"/>
          <w:sz w:val="20"/>
          <w:szCs w:val="20"/>
          <w:lang w:val="es-CR"/>
        </w:rPr>
        <w:t>(</w:t>
      </w:r>
      <w:r w:rsidRPr="00D13792">
        <w:rPr>
          <w:rFonts w:ascii="Verdana" w:hAnsi="Verdana"/>
          <w:i/>
          <w:sz w:val="20"/>
          <w:szCs w:val="20"/>
          <w:lang w:val="es-CR"/>
        </w:rPr>
        <w:t>supra</w:t>
      </w:r>
      <w:r w:rsidRPr="00D13792">
        <w:rPr>
          <w:rFonts w:ascii="Verdana" w:hAnsi="Verdana"/>
          <w:sz w:val="20"/>
          <w:szCs w:val="20"/>
          <w:lang w:val="es-CR"/>
        </w:rPr>
        <w:t xml:space="preserve"> párrs. 85 y 86);</w:t>
      </w:r>
    </w:p>
    <w:p w14:paraId="1A880CA4" w14:textId="77777777" w:rsidR="006A0E1C" w:rsidRPr="00D13792" w:rsidRDefault="006A0E1C" w:rsidP="006A0E1C">
      <w:pPr>
        <w:pStyle w:val="ListParagraph"/>
        <w:widowControl w:val="0"/>
        <w:autoSpaceDE w:val="0"/>
        <w:autoSpaceDN w:val="0"/>
        <w:adjustRightInd w:val="0"/>
        <w:spacing w:after="0" w:line="240" w:lineRule="auto"/>
        <w:contextualSpacing w:val="0"/>
        <w:jc w:val="both"/>
        <w:rPr>
          <w:rFonts w:ascii="Verdana" w:hAnsi="Verdana"/>
          <w:sz w:val="12"/>
          <w:szCs w:val="20"/>
          <w:lang w:val="es-CR" w:eastAsia="es-CR"/>
        </w:rPr>
      </w:pPr>
    </w:p>
    <w:p w14:paraId="7059AAEB"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iCs/>
          <w:sz w:val="20"/>
          <w:szCs w:val="20"/>
          <w:u w:val="single"/>
          <w:lang w:val="es-CR" w:eastAsia="en-US"/>
        </w:rPr>
        <w:t>Juan Pérez Sic</w:t>
      </w:r>
      <w:r w:rsidRPr="00D13792">
        <w:rPr>
          <w:rFonts w:ascii="Verdana" w:hAnsi="Verdana" w:cs="Calibri"/>
          <w:sz w:val="20"/>
          <w:szCs w:val="20"/>
          <w:lang w:val="es-CR"/>
        </w:rPr>
        <w:t xml:space="preserve">, después de que salió a atender a </w:t>
      </w:r>
      <w:r w:rsidRPr="00D13792">
        <w:rPr>
          <w:rFonts w:ascii="Verdana" w:hAnsi="Verdana"/>
          <w:bCs/>
          <w:sz w:val="20"/>
          <w:szCs w:val="20"/>
          <w:lang w:val="es-CR"/>
        </w:rPr>
        <w:t xml:space="preserve">un grupo de “judiciales” que llegaron a su vivienda y la registraron, fue visto por última vez en ese lugar por su compañera </w:t>
      </w:r>
      <w:r w:rsidRPr="00D13792">
        <w:rPr>
          <w:rFonts w:ascii="Verdana" w:hAnsi="Verdana" w:cs="Calibri"/>
          <w:sz w:val="20"/>
          <w:szCs w:val="20"/>
          <w:lang w:val="es-CR"/>
        </w:rPr>
        <w:t xml:space="preserve">Manuela Toj Pérez el 15 de noviembre de 1981, y al día de hoy se desconoce su paradero </w:t>
      </w:r>
      <w:r w:rsidRPr="00D13792">
        <w:rPr>
          <w:rFonts w:ascii="Verdana" w:hAnsi="Verdana"/>
          <w:sz w:val="20"/>
          <w:szCs w:val="20"/>
          <w:lang w:val="es-CR"/>
        </w:rPr>
        <w:t>(</w:t>
      </w:r>
      <w:r w:rsidRPr="00D13792">
        <w:rPr>
          <w:rFonts w:ascii="Verdana" w:hAnsi="Verdana"/>
          <w:i/>
          <w:sz w:val="20"/>
          <w:szCs w:val="20"/>
          <w:lang w:val="es-CR"/>
        </w:rPr>
        <w:t>supra</w:t>
      </w:r>
      <w:r w:rsidRPr="00D13792">
        <w:rPr>
          <w:rFonts w:ascii="Verdana" w:hAnsi="Verdana"/>
          <w:sz w:val="20"/>
          <w:szCs w:val="20"/>
          <w:lang w:val="es-CR"/>
        </w:rPr>
        <w:t xml:space="preserve"> párr. 109);</w:t>
      </w:r>
    </w:p>
    <w:p w14:paraId="3AFEF42E" w14:textId="77777777" w:rsidR="006A0E1C" w:rsidRPr="00D13792" w:rsidRDefault="006A0E1C" w:rsidP="006A0E1C">
      <w:pPr>
        <w:pStyle w:val="ListParagraph"/>
        <w:widowControl w:val="0"/>
        <w:autoSpaceDE w:val="0"/>
        <w:autoSpaceDN w:val="0"/>
        <w:adjustRightInd w:val="0"/>
        <w:spacing w:after="0" w:line="240" w:lineRule="auto"/>
        <w:ind w:left="0"/>
        <w:contextualSpacing w:val="0"/>
        <w:jc w:val="both"/>
        <w:rPr>
          <w:rFonts w:ascii="Verdana" w:hAnsi="Verdana"/>
          <w:sz w:val="12"/>
          <w:szCs w:val="20"/>
          <w:lang w:val="es-CR"/>
        </w:rPr>
      </w:pPr>
    </w:p>
    <w:p w14:paraId="61EA5775"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sz w:val="20"/>
          <w:szCs w:val="20"/>
          <w:u w:val="single"/>
          <w:lang w:val="es-CR" w:eastAsia="en-US"/>
        </w:rPr>
        <w:t>Lorenzo Depaz Siprian</w:t>
      </w:r>
      <w:r w:rsidRPr="00D13792">
        <w:rPr>
          <w:rFonts w:ascii="Verdana" w:eastAsia="Calibri" w:hAnsi="Verdana"/>
          <w:sz w:val="20"/>
          <w:szCs w:val="20"/>
          <w:lang w:val="es-CR" w:eastAsia="en-US"/>
        </w:rPr>
        <w:t xml:space="preserve"> (o Lorenzo Depaz Ciprian o </w:t>
      </w:r>
      <w:r w:rsidRPr="00D13792">
        <w:rPr>
          <w:rFonts w:ascii="Verdana" w:hAnsi="Verdana"/>
          <w:sz w:val="20"/>
          <w:szCs w:val="20"/>
          <w:lang w:val="es-CR"/>
        </w:rPr>
        <w:t>Florencio Depaz Cipriano)</w:t>
      </w:r>
      <w:r w:rsidRPr="00D13792">
        <w:rPr>
          <w:rFonts w:ascii="Verdana" w:hAnsi="Verdana" w:cs="Arial"/>
          <w:sz w:val="20"/>
          <w:szCs w:val="20"/>
          <w:lang w:val="es-CR"/>
        </w:rPr>
        <w:t xml:space="preserve"> </w:t>
      </w:r>
      <w:r w:rsidRPr="00D13792">
        <w:rPr>
          <w:rFonts w:ascii="Verdana" w:eastAsia="Calibri" w:hAnsi="Verdana"/>
          <w:sz w:val="20"/>
          <w:szCs w:val="20"/>
          <w:lang w:val="es-CR" w:eastAsia="en-US"/>
        </w:rPr>
        <w:t xml:space="preserve">fue detenido en el camino de </w:t>
      </w:r>
      <w:r w:rsidRPr="00D13792">
        <w:rPr>
          <w:rFonts w:ascii="Verdana" w:hAnsi="Verdana"/>
          <w:sz w:val="20"/>
          <w:szCs w:val="20"/>
          <w:lang w:val="es-CR"/>
        </w:rPr>
        <w:t>Rabinal</w:t>
      </w:r>
      <w:r w:rsidRPr="00D13792">
        <w:rPr>
          <w:rFonts w:ascii="Verdana" w:eastAsia="Calibri" w:hAnsi="Verdana"/>
          <w:sz w:val="20"/>
          <w:szCs w:val="20"/>
          <w:lang w:val="es-CR" w:eastAsia="en-US"/>
        </w:rPr>
        <w:t xml:space="preserve"> </w:t>
      </w:r>
      <w:r w:rsidRPr="00D13792">
        <w:rPr>
          <w:rFonts w:ascii="Verdana" w:hAnsi="Verdana"/>
          <w:sz w:val="20"/>
          <w:szCs w:val="20"/>
          <w:lang w:val="es-CR"/>
        </w:rPr>
        <w:t xml:space="preserve">por miembros del Ejército Nacional y de las PAC, conducido a la cárcel localizada en el cabildo municipal, visto por última vez en ese lugar por su suegro, el señor Ciriaco Galiego López, y </w:t>
      </w:r>
      <w:r w:rsidRPr="00D13792">
        <w:rPr>
          <w:rFonts w:ascii="Verdana" w:hAnsi="Verdana" w:cs="Arial"/>
          <w:sz w:val="20"/>
          <w:szCs w:val="20"/>
          <w:lang w:val="es-CR"/>
        </w:rPr>
        <w:t>desde el 8 de enero de 1982</w:t>
      </w:r>
      <w:r w:rsidRPr="00D13792">
        <w:rPr>
          <w:rFonts w:ascii="Verdana" w:hAnsi="Verdana"/>
          <w:sz w:val="20"/>
          <w:szCs w:val="20"/>
          <w:lang w:val="es-CR"/>
        </w:rPr>
        <w:t xml:space="preserve"> se desconoce su paradero (</w:t>
      </w:r>
      <w:r w:rsidRPr="00D13792">
        <w:rPr>
          <w:rFonts w:ascii="Verdana" w:hAnsi="Verdana"/>
          <w:i/>
          <w:sz w:val="20"/>
          <w:szCs w:val="20"/>
          <w:lang w:val="es-CR"/>
        </w:rPr>
        <w:t>supra</w:t>
      </w:r>
      <w:r w:rsidRPr="00D13792">
        <w:rPr>
          <w:rFonts w:ascii="Verdana" w:hAnsi="Verdana"/>
          <w:sz w:val="20"/>
          <w:szCs w:val="20"/>
          <w:lang w:val="es-CR"/>
        </w:rPr>
        <w:t xml:space="preserve"> párr. 88);</w:t>
      </w:r>
    </w:p>
    <w:p w14:paraId="762A2008" w14:textId="77777777" w:rsidR="006A0E1C" w:rsidRPr="00D13792" w:rsidRDefault="006A0E1C" w:rsidP="006A0E1C">
      <w:pPr>
        <w:pStyle w:val="ListParagraph"/>
        <w:widowControl w:val="0"/>
        <w:autoSpaceDE w:val="0"/>
        <w:autoSpaceDN w:val="0"/>
        <w:adjustRightInd w:val="0"/>
        <w:spacing w:after="0" w:line="240" w:lineRule="auto"/>
        <w:ind w:left="0"/>
        <w:contextualSpacing w:val="0"/>
        <w:jc w:val="both"/>
        <w:rPr>
          <w:rFonts w:ascii="Verdana" w:hAnsi="Verdana"/>
          <w:sz w:val="12"/>
          <w:szCs w:val="20"/>
          <w:lang w:val="es-CR"/>
        </w:rPr>
      </w:pPr>
    </w:p>
    <w:p w14:paraId="491BCEC3"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sz w:val="20"/>
          <w:szCs w:val="20"/>
          <w:u w:val="single"/>
          <w:lang w:val="es-CR" w:eastAsia="en-US"/>
        </w:rPr>
        <w:t>Leonardo Cahuec Gonzales</w:t>
      </w:r>
      <w:r w:rsidRPr="00D13792">
        <w:rPr>
          <w:rFonts w:ascii="Verdana" w:hAnsi="Verdana"/>
          <w:sz w:val="20"/>
          <w:szCs w:val="20"/>
          <w:lang w:val="es-CR"/>
        </w:rPr>
        <w:t xml:space="preserve"> </w:t>
      </w:r>
      <w:r w:rsidRPr="00D13792">
        <w:rPr>
          <w:rFonts w:ascii="Verdana" w:eastAsia="Calibri" w:hAnsi="Verdana"/>
          <w:sz w:val="20"/>
          <w:szCs w:val="20"/>
          <w:lang w:val="es-CR" w:eastAsia="en-US"/>
        </w:rPr>
        <w:t xml:space="preserve">fue detenido en el camino de </w:t>
      </w:r>
      <w:r w:rsidRPr="00D13792">
        <w:rPr>
          <w:rFonts w:ascii="Verdana" w:hAnsi="Verdana"/>
          <w:sz w:val="20"/>
          <w:szCs w:val="20"/>
          <w:lang w:val="es-CR"/>
        </w:rPr>
        <w:t>Rabinal</w:t>
      </w:r>
      <w:r w:rsidRPr="00D13792">
        <w:rPr>
          <w:rFonts w:ascii="Verdana" w:eastAsia="Calibri" w:hAnsi="Verdana"/>
          <w:sz w:val="20"/>
          <w:szCs w:val="20"/>
          <w:lang w:val="es-CR" w:eastAsia="en-US"/>
        </w:rPr>
        <w:t xml:space="preserve"> </w:t>
      </w:r>
      <w:r w:rsidRPr="00D13792">
        <w:rPr>
          <w:rFonts w:ascii="Verdana" w:hAnsi="Verdana"/>
          <w:sz w:val="20"/>
          <w:szCs w:val="20"/>
          <w:lang w:val="es-CR"/>
        </w:rPr>
        <w:t xml:space="preserve">por “judiciales”, conducido a la cárcel </w:t>
      </w:r>
      <w:r w:rsidRPr="00D13792">
        <w:rPr>
          <w:rFonts w:ascii="Verdana" w:hAnsi="Verdana" w:cs="Arial"/>
          <w:sz w:val="20"/>
          <w:szCs w:val="20"/>
          <w:lang w:val="es-CR"/>
        </w:rPr>
        <w:t>del centro del municipio</w:t>
      </w:r>
      <w:r w:rsidRPr="00D13792">
        <w:rPr>
          <w:rFonts w:ascii="Verdana" w:hAnsi="Verdana"/>
          <w:sz w:val="20"/>
          <w:szCs w:val="20"/>
          <w:lang w:val="es-CR"/>
        </w:rPr>
        <w:t xml:space="preserve"> </w:t>
      </w:r>
      <w:r w:rsidRPr="00D13792">
        <w:rPr>
          <w:rFonts w:ascii="Verdana" w:hAnsi="Verdana" w:cs="Arial"/>
          <w:sz w:val="20"/>
          <w:szCs w:val="20"/>
          <w:lang w:val="es-CR"/>
        </w:rPr>
        <w:t xml:space="preserve">de Rabinal, visto por última vez en ese lugar por su esposa </w:t>
      </w:r>
      <w:r w:rsidRPr="00D13792">
        <w:rPr>
          <w:rFonts w:ascii="Verdana" w:hAnsi="Verdana"/>
          <w:sz w:val="20"/>
          <w:szCs w:val="20"/>
          <w:lang w:val="es-CR"/>
        </w:rPr>
        <w:t xml:space="preserve">Albertina Sic Cuxúm, y </w:t>
      </w:r>
      <w:r w:rsidRPr="00D13792">
        <w:rPr>
          <w:rFonts w:ascii="Verdana" w:eastAsia="Calibri" w:hAnsi="Verdana"/>
          <w:sz w:val="20"/>
          <w:szCs w:val="20"/>
          <w:lang w:val="es-CR" w:eastAsia="en-US"/>
        </w:rPr>
        <w:t xml:space="preserve">desde </w:t>
      </w:r>
      <w:r w:rsidRPr="00D13792">
        <w:rPr>
          <w:rFonts w:ascii="Verdana" w:hAnsi="Verdana"/>
          <w:sz w:val="20"/>
          <w:szCs w:val="20"/>
          <w:lang w:val="es-CR"/>
        </w:rPr>
        <w:t>el 18 de enero de 1982 se desconoce su paradero (</w:t>
      </w:r>
      <w:r w:rsidRPr="00D13792">
        <w:rPr>
          <w:rFonts w:ascii="Verdana" w:hAnsi="Verdana"/>
          <w:i/>
          <w:sz w:val="20"/>
          <w:szCs w:val="20"/>
          <w:lang w:val="es-CR"/>
        </w:rPr>
        <w:t>supra</w:t>
      </w:r>
      <w:r w:rsidRPr="00D13792">
        <w:rPr>
          <w:rFonts w:ascii="Verdana" w:hAnsi="Verdana"/>
          <w:sz w:val="20"/>
          <w:szCs w:val="20"/>
          <w:lang w:val="es-CR"/>
        </w:rPr>
        <w:t xml:space="preserve"> párr. 101);</w:t>
      </w:r>
    </w:p>
    <w:p w14:paraId="4AD7F26B" w14:textId="77777777" w:rsidR="006A0E1C" w:rsidRPr="00D13792" w:rsidRDefault="006A0E1C" w:rsidP="006A0E1C">
      <w:pPr>
        <w:pStyle w:val="ListParagraph"/>
        <w:widowControl w:val="0"/>
        <w:autoSpaceDE w:val="0"/>
        <w:autoSpaceDN w:val="0"/>
        <w:adjustRightInd w:val="0"/>
        <w:spacing w:after="0" w:line="240" w:lineRule="auto"/>
        <w:ind w:left="0"/>
        <w:contextualSpacing w:val="0"/>
        <w:jc w:val="both"/>
        <w:rPr>
          <w:rFonts w:ascii="Verdana" w:hAnsi="Verdana"/>
          <w:sz w:val="12"/>
          <w:szCs w:val="20"/>
          <w:lang w:val="es-CR"/>
        </w:rPr>
      </w:pPr>
    </w:p>
    <w:p w14:paraId="597BDC12"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sz w:val="20"/>
          <w:szCs w:val="20"/>
          <w:u w:val="single"/>
          <w:lang w:val="es-CR" w:eastAsia="en-US"/>
        </w:rPr>
        <w:t>Juan Mendoza Alvarado</w:t>
      </w:r>
      <w:r w:rsidRPr="00D13792">
        <w:rPr>
          <w:rFonts w:ascii="Verdana" w:eastAsia="Calibri" w:hAnsi="Verdana"/>
          <w:sz w:val="20"/>
          <w:szCs w:val="20"/>
          <w:lang w:val="es-CR" w:eastAsia="en-US"/>
        </w:rPr>
        <w:t xml:space="preserve"> y su padre </w:t>
      </w:r>
      <w:r w:rsidRPr="00D13792">
        <w:rPr>
          <w:rFonts w:ascii="Verdana" w:eastAsia="Calibri" w:hAnsi="Verdana"/>
          <w:sz w:val="20"/>
          <w:szCs w:val="20"/>
          <w:u w:val="single"/>
          <w:lang w:val="es-CR" w:eastAsia="en-US"/>
        </w:rPr>
        <w:t>José Cruz Mendoza Sucup</w:t>
      </w:r>
      <w:r w:rsidRPr="00D13792">
        <w:rPr>
          <w:rFonts w:ascii="Verdana" w:eastAsia="Calibri" w:hAnsi="Verdana"/>
          <w:sz w:val="20"/>
          <w:szCs w:val="20"/>
          <w:lang w:val="es-CR" w:eastAsia="en-US"/>
        </w:rPr>
        <w:t xml:space="preserve"> </w:t>
      </w:r>
      <w:r w:rsidRPr="00D13792">
        <w:rPr>
          <w:rFonts w:ascii="Verdana" w:hAnsi="Verdana"/>
          <w:bCs/>
          <w:sz w:val="20"/>
          <w:szCs w:val="20"/>
          <w:lang w:val="es-CR"/>
        </w:rPr>
        <w:t xml:space="preserve">fueron extraídos de su </w:t>
      </w:r>
      <w:r w:rsidRPr="00D13792">
        <w:rPr>
          <w:rFonts w:ascii="Verdana" w:hAnsi="Verdana"/>
          <w:bCs/>
          <w:sz w:val="20"/>
          <w:szCs w:val="20"/>
          <w:lang w:val="es-CR"/>
        </w:rPr>
        <w:lastRenderedPageBreak/>
        <w:t xml:space="preserve">vivienda por </w:t>
      </w:r>
      <w:r w:rsidRPr="00D13792">
        <w:rPr>
          <w:rFonts w:ascii="Verdana" w:hAnsi="Verdana"/>
          <w:sz w:val="20"/>
          <w:szCs w:val="20"/>
          <w:lang w:val="es-CR"/>
        </w:rPr>
        <w:t>miembros del Ejército Nacional y de las PAC, quienes los golpearon, se los llevaron</w:t>
      </w:r>
      <w:r w:rsidRPr="00D13792">
        <w:rPr>
          <w:rFonts w:ascii="Verdana" w:hAnsi="Verdana"/>
          <w:bCs/>
          <w:sz w:val="20"/>
          <w:szCs w:val="20"/>
          <w:lang w:val="es-CR"/>
        </w:rPr>
        <w:t xml:space="preserve"> y </w:t>
      </w:r>
      <w:r w:rsidRPr="00D13792">
        <w:rPr>
          <w:rFonts w:ascii="Verdana" w:eastAsia="Calibri" w:hAnsi="Verdana"/>
          <w:sz w:val="20"/>
          <w:szCs w:val="20"/>
          <w:lang w:val="es-CR" w:eastAsia="en-US"/>
        </w:rPr>
        <w:t xml:space="preserve">desde el </w:t>
      </w:r>
      <w:r w:rsidRPr="00D13792">
        <w:rPr>
          <w:rFonts w:ascii="Verdana" w:hAnsi="Verdana"/>
          <w:bCs/>
          <w:sz w:val="20"/>
          <w:szCs w:val="20"/>
          <w:lang w:val="es-CR"/>
        </w:rPr>
        <w:t xml:space="preserve">31 de enero de 1982 </w:t>
      </w:r>
      <w:r w:rsidRPr="00D13792">
        <w:rPr>
          <w:rFonts w:ascii="Verdana" w:hAnsi="Verdana"/>
          <w:sz w:val="20"/>
          <w:szCs w:val="20"/>
          <w:lang w:val="es-CR"/>
        </w:rPr>
        <w:t>se desconoce el paradero de ambos (</w:t>
      </w:r>
      <w:r w:rsidRPr="00D13792">
        <w:rPr>
          <w:rFonts w:ascii="Verdana" w:hAnsi="Verdana"/>
          <w:i/>
          <w:sz w:val="20"/>
          <w:szCs w:val="20"/>
          <w:lang w:val="es-CR"/>
        </w:rPr>
        <w:t>supra</w:t>
      </w:r>
      <w:r w:rsidRPr="00D13792">
        <w:rPr>
          <w:rFonts w:ascii="Verdana" w:hAnsi="Verdana"/>
          <w:sz w:val="20"/>
          <w:szCs w:val="20"/>
          <w:lang w:val="es-CR"/>
        </w:rPr>
        <w:t xml:space="preserve"> párr. 103);</w:t>
      </w:r>
    </w:p>
    <w:p w14:paraId="7FB67946" w14:textId="77777777" w:rsidR="006A0E1C" w:rsidRPr="00D13792" w:rsidRDefault="006A0E1C" w:rsidP="006A0E1C">
      <w:pPr>
        <w:pStyle w:val="ListParagraph"/>
        <w:widowControl w:val="0"/>
        <w:autoSpaceDE w:val="0"/>
        <w:autoSpaceDN w:val="0"/>
        <w:adjustRightInd w:val="0"/>
        <w:spacing w:after="0" w:line="240" w:lineRule="auto"/>
        <w:ind w:left="0"/>
        <w:contextualSpacing w:val="0"/>
        <w:jc w:val="both"/>
        <w:rPr>
          <w:rFonts w:ascii="Verdana" w:hAnsi="Verdana"/>
          <w:sz w:val="12"/>
          <w:szCs w:val="20"/>
          <w:lang w:val="es-CR"/>
        </w:rPr>
      </w:pPr>
    </w:p>
    <w:p w14:paraId="1657715C"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sz w:val="20"/>
          <w:szCs w:val="20"/>
          <w:u w:val="single"/>
          <w:lang w:val="es-CR" w:eastAsia="en-US"/>
        </w:rPr>
        <w:t>María Concepción Chen Sic</w:t>
      </w:r>
      <w:r w:rsidRPr="00D13792">
        <w:rPr>
          <w:rFonts w:ascii="Verdana" w:eastAsia="Calibri" w:hAnsi="Verdana"/>
          <w:sz w:val="20"/>
          <w:szCs w:val="20"/>
          <w:lang w:val="es-CR" w:eastAsia="en-US"/>
        </w:rPr>
        <w:t xml:space="preserve"> </w:t>
      </w:r>
      <w:r w:rsidRPr="00D13792">
        <w:rPr>
          <w:rFonts w:ascii="Verdana" w:hAnsi="Verdana"/>
          <w:bCs/>
          <w:sz w:val="20"/>
          <w:szCs w:val="20"/>
          <w:lang w:val="es-CR"/>
        </w:rPr>
        <w:t>fue extraída de su vivienda y detenida por</w:t>
      </w:r>
      <w:r w:rsidRPr="00D13792">
        <w:rPr>
          <w:rFonts w:ascii="Verdana" w:hAnsi="Verdana"/>
          <w:sz w:val="20"/>
          <w:szCs w:val="20"/>
          <w:lang w:val="es-CR"/>
        </w:rPr>
        <w:t xml:space="preserve"> miembros del Ejército Nacional y de las PAC, así como </w:t>
      </w:r>
      <w:r w:rsidRPr="00D13792">
        <w:rPr>
          <w:rFonts w:ascii="Verdana" w:eastAsia="Calibri" w:hAnsi="Verdana"/>
          <w:sz w:val="20"/>
          <w:szCs w:val="20"/>
          <w:u w:val="single"/>
          <w:lang w:val="es-CR" w:eastAsia="en-US"/>
        </w:rPr>
        <w:t>Casimiro Siana</w:t>
      </w:r>
      <w:r w:rsidRPr="00D13792">
        <w:rPr>
          <w:rFonts w:ascii="Verdana" w:hAnsi="Verdana"/>
          <w:bCs/>
          <w:sz w:val="20"/>
          <w:szCs w:val="20"/>
          <w:lang w:val="es-CR"/>
        </w:rPr>
        <w:t xml:space="preserve"> fue detenido </w:t>
      </w:r>
      <w:r w:rsidRPr="00D13792">
        <w:rPr>
          <w:rFonts w:ascii="Verdana" w:hAnsi="Verdana"/>
          <w:sz w:val="20"/>
          <w:szCs w:val="20"/>
          <w:lang w:val="es-CR"/>
        </w:rPr>
        <w:t>cerca de su vivienda</w:t>
      </w:r>
      <w:r w:rsidRPr="00D13792">
        <w:rPr>
          <w:rFonts w:ascii="Verdana" w:hAnsi="Verdana"/>
          <w:bCs/>
          <w:sz w:val="20"/>
          <w:szCs w:val="20"/>
          <w:lang w:val="es-CR"/>
        </w:rPr>
        <w:t xml:space="preserve"> por</w:t>
      </w:r>
      <w:r w:rsidRPr="00D13792">
        <w:rPr>
          <w:rFonts w:ascii="Verdana" w:hAnsi="Verdana"/>
          <w:sz w:val="20"/>
          <w:szCs w:val="20"/>
          <w:lang w:val="es-CR"/>
        </w:rPr>
        <w:t xml:space="preserve"> miembros del Ejército Nacional y de las PAC. Ambos fueron vistos por última vez con vida en compañía de agentes de las fuerzas de seguridad del Estado, quienes los separaron del grupo de mujeres que también llevaban detenidas y se los llevaron por otra dirección, y</w:t>
      </w:r>
      <w:r w:rsidRPr="00D13792">
        <w:rPr>
          <w:rFonts w:ascii="Verdana" w:eastAsia="Calibri" w:hAnsi="Verdana"/>
          <w:sz w:val="20"/>
          <w:szCs w:val="20"/>
          <w:lang w:val="es-CR" w:eastAsia="en-US"/>
        </w:rPr>
        <w:t xml:space="preserve"> desde el </w:t>
      </w:r>
      <w:r w:rsidRPr="00D13792">
        <w:rPr>
          <w:rFonts w:ascii="Verdana" w:hAnsi="Verdana"/>
          <w:bCs/>
          <w:sz w:val="20"/>
          <w:szCs w:val="20"/>
          <w:lang w:val="es-CR"/>
        </w:rPr>
        <w:t>12 de febrero de 1982</w:t>
      </w:r>
      <w:r w:rsidRPr="00D13792">
        <w:rPr>
          <w:rFonts w:ascii="Verdana" w:hAnsi="Verdana"/>
          <w:sz w:val="20"/>
          <w:szCs w:val="20"/>
          <w:lang w:val="es-CR"/>
        </w:rPr>
        <w:t xml:space="preserve"> se desconoce su paradero (</w:t>
      </w:r>
      <w:r w:rsidRPr="00D13792">
        <w:rPr>
          <w:rFonts w:ascii="Verdana" w:hAnsi="Verdana"/>
          <w:i/>
          <w:sz w:val="20"/>
          <w:szCs w:val="20"/>
          <w:lang w:val="es-CR"/>
        </w:rPr>
        <w:t>supra</w:t>
      </w:r>
      <w:r w:rsidRPr="00D13792">
        <w:rPr>
          <w:rFonts w:ascii="Verdana" w:hAnsi="Verdana"/>
          <w:sz w:val="20"/>
          <w:szCs w:val="20"/>
          <w:lang w:val="es-CR"/>
        </w:rPr>
        <w:t xml:space="preserve"> párr. 104);</w:t>
      </w:r>
    </w:p>
    <w:p w14:paraId="33A4A4DF" w14:textId="77777777" w:rsidR="006A0E1C" w:rsidRPr="00D13792" w:rsidRDefault="006A0E1C" w:rsidP="006A0E1C">
      <w:pPr>
        <w:pStyle w:val="ListParagraph"/>
        <w:widowControl w:val="0"/>
        <w:autoSpaceDE w:val="0"/>
        <w:autoSpaceDN w:val="0"/>
        <w:adjustRightInd w:val="0"/>
        <w:spacing w:after="0" w:line="240" w:lineRule="auto"/>
        <w:ind w:left="0"/>
        <w:contextualSpacing w:val="0"/>
        <w:jc w:val="both"/>
        <w:rPr>
          <w:rFonts w:ascii="Verdana" w:hAnsi="Verdana"/>
          <w:sz w:val="12"/>
          <w:szCs w:val="20"/>
          <w:lang w:val="es-CR"/>
        </w:rPr>
      </w:pPr>
    </w:p>
    <w:p w14:paraId="4E55DFAB"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iCs/>
          <w:sz w:val="20"/>
          <w:szCs w:val="20"/>
          <w:u w:val="single"/>
          <w:lang w:val="es-CR" w:eastAsia="en-US"/>
        </w:rPr>
        <w:t>Cruz Pérez Ampérez</w:t>
      </w:r>
      <w:r w:rsidRPr="00D13792">
        <w:rPr>
          <w:rFonts w:ascii="Verdana" w:eastAsia="Calibri" w:hAnsi="Verdana"/>
          <w:iCs/>
          <w:sz w:val="20"/>
          <w:szCs w:val="20"/>
          <w:lang w:val="es-CR" w:eastAsia="en-US"/>
        </w:rPr>
        <w:t xml:space="preserve">, </w:t>
      </w:r>
      <w:r w:rsidRPr="00D13792">
        <w:rPr>
          <w:rFonts w:ascii="Verdana" w:eastAsia="Calibri" w:hAnsi="Verdana"/>
          <w:iCs/>
          <w:sz w:val="20"/>
          <w:szCs w:val="20"/>
          <w:u w:val="single"/>
          <w:lang w:val="es-CR" w:eastAsia="en-US"/>
        </w:rPr>
        <w:t>Gorgonio Gonzalez Gonzalez</w:t>
      </w:r>
      <w:r w:rsidRPr="00D13792">
        <w:rPr>
          <w:rFonts w:ascii="Verdana" w:eastAsia="Calibri" w:hAnsi="Verdana"/>
          <w:iCs/>
          <w:sz w:val="20"/>
          <w:szCs w:val="20"/>
          <w:lang w:val="es-CR" w:eastAsia="en-US"/>
        </w:rPr>
        <w:t xml:space="preserve">, </w:t>
      </w:r>
      <w:r w:rsidRPr="00D13792">
        <w:rPr>
          <w:rFonts w:ascii="Verdana" w:eastAsia="Calibri" w:hAnsi="Verdana"/>
          <w:iCs/>
          <w:sz w:val="20"/>
          <w:szCs w:val="20"/>
          <w:u w:val="single"/>
          <w:lang w:val="es-CR" w:eastAsia="en-US"/>
        </w:rPr>
        <w:t>Jorge Galeano Román</w:t>
      </w:r>
      <w:r w:rsidRPr="00D13792">
        <w:rPr>
          <w:rFonts w:ascii="Verdana" w:eastAsia="Calibri" w:hAnsi="Verdana"/>
          <w:iCs/>
          <w:sz w:val="20"/>
          <w:szCs w:val="20"/>
          <w:lang w:val="es-CR" w:eastAsia="en-US"/>
        </w:rPr>
        <w:t xml:space="preserve">, </w:t>
      </w:r>
      <w:r w:rsidRPr="00D13792">
        <w:rPr>
          <w:rFonts w:ascii="Verdana" w:hAnsi="Verdana"/>
          <w:sz w:val="20"/>
          <w:szCs w:val="20"/>
          <w:u w:val="single"/>
          <w:lang w:val="es-CR"/>
        </w:rPr>
        <w:t>Eustaquio lxtecoc Gonzalez (</w:t>
      </w:r>
      <w:r w:rsidRPr="00D13792">
        <w:rPr>
          <w:rFonts w:ascii="Verdana" w:hAnsi="Verdana" w:cs="Calibri"/>
          <w:sz w:val="20"/>
          <w:szCs w:val="20"/>
          <w:u w:val="single"/>
          <w:lang w:val="es-CR"/>
        </w:rPr>
        <w:t>o Eustaquio Yxtecoc Gonzalez)</w:t>
      </w:r>
      <w:r w:rsidRPr="00D13792">
        <w:rPr>
          <w:rFonts w:ascii="Verdana" w:hAnsi="Verdana" w:cs="Calibri"/>
          <w:sz w:val="20"/>
          <w:szCs w:val="20"/>
          <w:lang w:val="es-CR"/>
        </w:rPr>
        <w:t>,</w:t>
      </w:r>
      <w:r w:rsidRPr="00D13792">
        <w:rPr>
          <w:rFonts w:ascii="Verdana" w:eastAsia="Calibri" w:hAnsi="Verdana"/>
          <w:iCs/>
          <w:sz w:val="20"/>
          <w:szCs w:val="20"/>
          <w:lang w:val="es-CR" w:eastAsia="en-US"/>
        </w:rPr>
        <w:t xml:space="preserve"> </w:t>
      </w:r>
      <w:r w:rsidRPr="00D13792">
        <w:rPr>
          <w:rFonts w:ascii="Verdana" w:eastAsia="Calibri" w:hAnsi="Verdana"/>
          <w:iCs/>
          <w:sz w:val="20"/>
          <w:szCs w:val="20"/>
          <w:u w:val="single"/>
          <w:lang w:val="es-CR" w:eastAsia="en-US"/>
        </w:rPr>
        <w:t>Rafael Depaz Tecú</w:t>
      </w:r>
      <w:r w:rsidRPr="00D13792">
        <w:rPr>
          <w:rFonts w:ascii="Verdana" w:eastAsia="Calibri" w:hAnsi="Verdana"/>
          <w:iCs/>
          <w:sz w:val="20"/>
          <w:szCs w:val="20"/>
          <w:lang w:val="es-CR" w:eastAsia="en-US"/>
        </w:rPr>
        <w:t xml:space="preserve">, </w:t>
      </w:r>
      <w:r w:rsidRPr="00D13792">
        <w:rPr>
          <w:rFonts w:ascii="Verdana" w:eastAsia="Calibri" w:hAnsi="Verdana"/>
          <w:iCs/>
          <w:sz w:val="20"/>
          <w:szCs w:val="20"/>
          <w:u w:val="single"/>
          <w:lang w:val="es-CR" w:eastAsia="en-US"/>
        </w:rPr>
        <w:t>Enrique Mendoza Sis</w:t>
      </w:r>
      <w:r w:rsidRPr="00D13792">
        <w:rPr>
          <w:rFonts w:ascii="Verdana" w:eastAsia="Calibri" w:hAnsi="Verdana"/>
          <w:iCs/>
          <w:sz w:val="20"/>
          <w:szCs w:val="20"/>
          <w:lang w:val="es-CR" w:eastAsia="en-US"/>
        </w:rPr>
        <w:t xml:space="preserve">, </w:t>
      </w:r>
      <w:r w:rsidRPr="00D13792">
        <w:rPr>
          <w:rFonts w:ascii="Verdana" w:hAnsi="Verdana"/>
          <w:sz w:val="20"/>
          <w:szCs w:val="20"/>
          <w:u w:val="single"/>
          <w:lang w:val="es-CR"/>
        </w:rPr>
        <w:t>Gabino Román Yvoy (o Iboy o Ivoy)</w:t>
      </w:r>
      <w:r w:rsidRPr="00D13792">
        <w:rPr>
          <w:rFonts w:ascii="Verdana" w:hAnsi="Verdana"/>
          <w:sz w:val="20"/>
          <w:szCs w:val="20"/>
          <w:lang w:val="es-CR"/>
        </w:rPr>
        <w:t xml:space="preserve"> y </w:t>
      </w:r>
      <w:r w:rsidRPr="00D13792">
        <w:rPr>
          <w:rFonts w:ascii="Verdana" w:eastAsia="Calibri" w:hAnsi="Verdana"/>
          <w:iCs/>
          <w:sz w:val="20"/>
          <w:szCs w:val="20"/>
          <w:u w:val="single"/>
          <w:lang w:val="es-CR" w:eastAsia="en-US"/>
        </w:rPr>
        <w:t xml:space="preserve">Dionicio o </w:t>
      </w:r>
      <w:r w:rsidRPr="00D13792">
        <w:rPr>
          <w:rFonts w:ascii="Verdana" w:hAnsi="Verdana"/>
          <w:sz w:val="20"/>
          <w:szCs w:val="20"/>
          <w:u w:val="single"/>
          <w:lang w:val="es-CR"/>
        </w:rPr>
        <w:t>Dionisio</w:t>
      </w:r>
      <w:r w:rsidRPr="00D13792">
        <w:rPr>
          <w:rFonts w:ascii="Verdana" w:eastAsia="Calibri" w:hAnsi="Verdana"/>
          <w:iCs/>
          <w:sz w:val="20"/>
          <w:szCs w:val="20"/>
          <w:u w:val="single"/>
          <w:lang w:val="es-CR" w:eastAsia="en-US"/>
        </w:rPr>
        <w:t xml:space="preserve"> Vachan o Bachán</w:t>
      </w:r>
      <w:r w:rsidRPr="00D13792">
        <w:rPr>
          <w:rFonts w:ascii="Verdana" w:eastAsia="Calibri" w:hAnsi="Verdana"/>
          <w:iCs/>
          <w:sz w:val="20"/>
          <w:szCs w:val="20"/>
          <w:lang w:val="es-CR" w:eastAsia="en-US"/>
        </w:rPr>
        <w:t>,</w:t>
      </w:r>
      <w:r w:rsidRPr="00D13792">
        <w:rPr>
          <w:rFonts w:ascii="Verdana" w:hAnsi="Verdana"/>
          <w:sz w:val="20"/>
          <w:szCs w:val="20"/>
          <w:lang w:val="es-CR"/>
        </w:rPr>
        <w:t xml:space="preserve"> el </w:t>
      </w:r>
      <w:r w:rsidRPr="00D13792">
        <w:rPr>
          <w:rFonts w:ascii="Verdana" w:hAnsi="Verdana"/>
          <w:bCs/>
          <w:sz w:val="20"/>
          <w:szCs w:val="20"/>
          <w:lang w:val="es-CR"/>
        </w:rPr>
        <w:t>26 de noviembre de 1982 fueron extraídos de sus viviendas, detenidos por</w:t>
      </w:r>
      <w:r w:rsidRPr="00D13792">
        <w:rPr>
          <w:rFonts w:ascii="Verdana" w:hAnsi="Verdana"/>
          <w:sz w:val="20"/>
          <w:szCs w:val="20"/>
          <w:lang w:val="es-CR"/>
        </w:rPr>
        <w:t xml:space="preserve"> miembros del Ejército Nacional y de las PAC y obligados a caminar con las manos atadas hasta el cementerio de San Francisco en la aldea Xeabaj, lugar en el que fueron </w:t>
      </w:r>
      <w:r w:rsidRPr="00D13792">
        <w:rPr>
          <w:rFonts w:ascii="Verdana" w:hAnsi="Verdana" w:cs="Arial"/>
          <w:sz w:val="20"/>
          <w:szCs w:val="20"/>
          <w:lang w:val="es-CR"/>
        </w:rPr>
        <w:t xml:space="preserve">vistos por última vez con vida por el señor </w:t>
      </w:r>
      <w:r w:rsidRPr="00D13792">
        <w:rPr>
          <w:rFonts w:ascii="Verdana" w:hAnsi="Verdana"/>
          <w:sz w:val="20"/>
          <w:szCs w:val="20"/>
          <w:lang w:val="es-CR"/>
        </w:rPr>
        <w:t>Napoleón García De Paz. A la fecha se desconoce su paradero y a pesar de los trabajos forenses realizados, no se ha logrado localizar sus restos (</w:t>
      </w:r>
      <w:r w:rsidRPr="00D13792">
        <w:rPr>
          <w:rFonts w:ascii="Verdana" w:hAnsi="Verdana"/>
          <w:i/>
          <w:sz w:val="20"/>
          <w:szCs w:val="20"/>
          <w:lang w:val="es-CR"/>
        </w:rPr>
        <w:t>supra</w:t>
      </w:r>
      <w:r w:rsidRPr="00D13792">
        <w:rPr>
          <w:rFonts w:ascii="Verdana" w:hAnsi="Verdana"/>
          <w:sz w:val="20"/>
          <w:szCs w:val="20"/>
          <w:lang w:val="es-CR"/>
        </w:rPr>
        <w:t xml:space="preserve"> párr. 110 y 111);</w:t>
      </w:r>
    </w:p>
    <w:p w14:paraId="4F728919" w14:textId="77777777" w:rsidR="006A0E1C" w:rsidRPr="00D13792" w:rsidRDefault="006A0E1C" w:rsidP="006A0E1C">
      <w:pPr>
        <w:pStyle w:val="ListParagraph"/>
        <w:widowControl w:val="0"/>
        <w:autoSpaceDE w:val="0"/>
        <w:autoSpaceDN w:val="0"/>
        <w:adjustRightInd w:val="0"/>
        <w:spacing w:after="0" w:line="240" w:lineRule="auto"/>
        <w:contextualSpacing w:val="0"/>
        <w:jc w:val="center"/>
        <w:rPr>
          <w:rFonts w:ascii="Verdana" w:hAnsi="Verdana"/>
          <w:sz w:val="12"/>
          <w:szCs w:val="20"/>
          <w:lang w:val="es-CR"/>
        </w:rPr>
      </w:pPr>
    </w:p>
    <w:p w14:paraId="78026616"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eastAsia="Calibri" w:hAnsi="Verdana"/>
          <w:sz w:val="20"/>
          <w:szCs w:val="20"/>
          <w:u w:val="single"/>
          <w:lang w:val="es-CR" w:eastAsia="en-US"/>
        </w:rPr>
        <w:t>Marcelo Sic Chen,</w:t>
      </w:r>
      <w:r w:rsidRPr="00D13792">
        <w:rPr>
          <w:rFonts w:ascii="Verdana" w:eastAsia="Calibri" w:hAnsi="Verdana"/>
          <w:sz w:val="20"/>
          <w:szCs w:val="20"/>
          <w:lang w:val="es-CR" w:eastAsia="en-US"/>
        </w:rPr>
        <w:t xml:space="preserve"> respecto de quien, estando bajo </w:t>
      </w:r>
      <w:r w:rsidRPr="00D13792">
        <w:rPr>
          <w:rFonts w:ascii="Verdana" w:hAnsi="Verdana"/>
          <w:iCs/>
          <w:sz w:val="20"/>
          <w:szCs w:val="20"/>
          <w:lang w:val="es-CR"/>
        </w:rPr>
        <w:t>control militar</w:t>
      </w:r>
      <w:r w:rsidRPr="00D13792">
        <w:rPr>
          <w:rFonts w:ascii="Verdana" w:eastAsia="Calibri" w:hAnsi="Verdana"/>
          <w:sz w:val="20"/>
          <w:szCs w:val="20"/>
          <w:lang w:val="es-CR" w:eastAsia="en-US"/>
        </w:rPr>
        <w:t xml:space="preserve"> en </w:t>
      </w:r>
      <w:r w:rsidRPr="00D13792">
        <w:rPr>
          <w:rFonts w:ascii="Verdana" w:hAnsi="Verdana"/>
          <w:sz w:val="20"/>
          <w:szCs w:val="20"/>
          <w:lang w:val="es-CR"/>
        </w:rPr>
        <w:t>la colonia Chichupac, se desconoce su paradero desde diciembre de 1984 (</w:t>
      </w:r>
      <w:r w:rsidRPr="00D13792">
        <w:rPr>
          <w:rFonts w:ascii="Verdana" w:hAnsi="Verdana"/>
          <w:i/>
          <w:sz w:val="20"/>
          <w:szCs w:val="20"/>
          <w:lang w:val="es-CR"/>
        </w:rPr>
        <w:t>supra</w:t>
      </w:r>
      <w:r w:rsidRPr="00D13792">
        <w:rPr>
          <w:rFonts w:ascii="Verdana" w:hAnsi="Verdana"/>
          <w:sz w:val="20"/>
          <w:szCs w:val="20"/>
          <w:lang w:val="es-CR"/>
        </w:rPr>
        <w:t xml:space="preserve"> párr. 118).</w:t>
      </w:r>
    </w:p>
    <w:p w14:paraId="0F134A50" w14:textId="77777777" w:rsidR="006A0E1C" w:rsidRPr="00D13792" w:rsidRDefault="006A0E1C" w:rsidP="006A0E1C">
      <w:pPr>
        <w:pStyle w:val="ListParagraph"/>
        <w:widowControl w:val="0"/>
        <w:autoSpaceDE w:val="0"/>
        <w:autoSpaceDN w:val="0"/>
        <w:adjustRightInd w:val="0"/>
        <w:spacing w:after="0" w:line="240" w:lineRule="auto"/>
        <w:contextualSpacing w:val="0"/>
        <w:jc w:val="both"/>
        <w:rPr>
          <w:rFonts w:ascii="Verdana" w:hAnsi="Verdana"/>
          <w:sz w:val="12"/>
          <w:szCs w:val="20"/>
          <w:lang w:val="es-CR"/>
        </w:rPr>
      </w:pPr>
    </w:p>
    <w:p w14:paraId="72169D53"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hAnsi="Verdana"/>
          <w:sz w:val="20"/>
          <w:szCs w:val="20"/>
          <w:u w:val="single"/>
          <w:lang w:val="es-CR"/>
        </w:rPr>
        <w:t>Adrián García Manuel</w:t>
      </w:r>
      <w:r w:rsidRPr="00D13792">
        <w:rPr>
          <w:rFonts w:ascii="Verdana" w:hAnsi="Verdana"/>
          <w:sz w:val="20"/>
          <w:szCs w:val="20"/>
          <w:lang w:val="es-CR"/>
        </w:rPr>
        <w:t xml:space="preserve">, su hijo </w:t>
      </w:r>
      <w:r w:rsidRPr="00D13792">
        <w:rPr>
          <w:rFonts w:ascii="Verdana" w:hAnsi="Verdana"/>
          <w:sz w:val="20"/>
          <w:szCs w:val="20"/>
          <w:u w:val="single"/>
          <w:lang w:val="es-CR"/>
        </w:rPr>
        <w:t>Hugo García Depaz</w:t>
      </w:r>
      <w:r w:rsidRPr="00D13792">
        <w:rPr>
          <w:rFonts w:ascii="Verdana" w:hAnsi="Verdana"/>
          <w:sz w:val="20"/>
          <w:szCs w:val="20"/>
          <w:lang w:val="es-CR"/>
        </w:rPr>
        <w:t xml:space="preserve"> y su sobrino </w:t>
      </w:r>
      <w:r w:rsidRPr="00D13792">
        <w:rPr>
          <w:rFonts w:ascii="Verdana" w:hAnsi="Verdana"/>
          <w:sz w:val="20"/>
          <w:szCs w:val="20"/>
          <w:u w:val="single"/>
          <w:lang w:val="es-CR"/>
        </w:rPr>
        <w:t xml:space="preserve">Abraham Alvarado Tecú (o </w:t>
      </w:r>
      <w:r w:rsidRPr="00D13792">
        <w:rPr>
          <w:rFonts w:ascii="Verdana" w:hAnsi="Verdana" w:cs="Calibri"/>
          <w:sz w:val="20"/>
          <w:szCs w:val="20"/>
          <w:u w:val="single"/>
          <w:lang w:val="es-CR"/>
        </w:rPr>
        <w:t>Agapito Alvarado Depáz)</w:t>
      </w:r>
      <w:r w:rsidRPr="00D13792">
        <w:rPr>
          <w:rFonts w:ascii="Verdana" w:hAnsi="Verdana"/>
          <w:sz w:val="20"/>
          <w:szCs w:val="20"/>
          <w:lang w:val="es-CR"/>
        </w:rPr>
        <w:t xml:space="preserve"> fueron detenidos por miembros del Ejército Nacional, trasladados a la escuela de la aldea Chirrum y posteriormente al estancamiento militar en la aldea Guachipelín. A sus familiares se les notificó que serían liberados, sin embargo, se desconoce su paradero </w:t>
      </w:r>
      <w:r w:rsidRPr="00D13792">
        <w:rPr>
          <w:rFonts w:ascii="Verdana" w:hAnsi="Verdana" w:cs="Arial"/>
          <w:sz w:val="20"/>
          <w:szCs w:val="20"/>
          <w:lang w:val="es-CR"/>
        </w:rPr>
        <w:t xml:space="preserve">desde el </w:t>
      </w:r>
      <w:r w:rsidRPr="00D13792">
        <w:rPr>
          <w:rFonts w:ascii="Verdana" w:hAnsi="Verdana"/>
          <w:sz w:val="20"/>
          <w:szCs w:val="20"/>
          <w:lang w:val="es-CR"/>
        </w:rPr>
        <w:t>18 de enero de 1982 (</w:t>
      </w:r>
      <w:r w:rsidRPr="00D13792">
        <w:rPr>
          <w:rFonts w:ascii="Verdana" w:hAnsi="Verdana"/>
          <w:i/>
          <w:sz w:val="20"/>
          <w:szCs w:val="20"/>
          <w:lang w:val="es-CR"/>
        </w:rPr>
        <w:t>supra</w:t>
      </w:r>
      <w:r w:rsidRPr="00D13792">
        <w:rPr>
          <w:rFonts w:ascii="Verdana" w:hAnsi="Verdana"/>
          <w:sz w:val="20"/>
          <w:szCs w:val="20"/>
          <w:lang w:val="es-CR"/>
        </w:rPr>
        <w:t xml:space="preserve"> párrs. 99 y 100), y</w:t>
      </w:r>
    </w:p>
    <w:p w14:paraId="689E772E" w14:textId="77777777" w:rsidR="006A0E1C" w:rsidRPr="00D13792" w:rsidRDefault="006A0E1C" w:rsidP="006A0E1C">
      <w:pPr>
        <w:pStyle w:val="ListParagraph"/>
        <w:widowControl w:val="0"/>
        <w:autoSpaceDE w:val="0"/>
        <w:autoSpaceDN w:val="0"/>
        <w:adjustRightInd w:val="0"/>
        <w:spacing w:after="0" w:line="240" w:lineRule="auto"/>
        <w:ind w:left="0"/>
        <w:contextualSpacing w:val="0"/>
        <w:jc w:val="both"/>
        <w:rPr>
          <w:rFonts w:ascii="Verdana" w:hAnsi="Verdana"/>
          <w:sz w:val="12"/>
          <w:szCs w:val="20"/>
          <w:lang w:val="es-CR"/>
        </w:rPr>
      </w:pPr>
    </w:p>
    <w:p w14:paraId="224F0DA2" w14:textId="77777777" w:rsidR="006A0E1C" w:rsidRPr="00D13792" w:rsidRDefault="006A0E1C" w:rsidP="006A0E1C">
      <w:pPr>
        <w:pStyle w:val="ListParagraph"/>
        <w:widowControl w:val="0"/>
        <w:numPr>
          <w:ilvl w:val="1"/>
          <w:numId w:val="19"/>
        </w:numPr>
        <w:autoSpaceDE w:val="0"/>
        <w:autoSpaceDN w:val="0"/>
        <w:adjustRightInd w:val="0"/>
        <w:spacing w:after="0" w:line="240" w:lineRule="auto"/>
        <w:ind w:left="720" w:firstLine="0"/>
        <w:contextualSpacing w:val="0"/>
        <w:jc w:val="both"/>
        <w:rPr>
          <w:rFonts w:ascii="Verdana" w:hAnsi="Verdana"/>
          <w:sz w:val="20"/>
          <w:szCs w:val="20"/>
          <w:lang w:val="es-CR"/>
        </w:rPr>
      </w:pPr>
      <w:r w:rsidRPr="00D13792">
        <w:rPr>
          <w:rFonts w:ascii="Verdana" w:hAnsi="Verdana"/>
          <w:sz w:val="20"/>
          <w:szCs w:val="20"/>
          <w:u w:val="single"/>
          <w:lang w:val="es-CR"/>
        </w:rPr>
        <w:t>Manuel de Jesús</w:t>
      </w:r>
      <w:r w:rsidRPr="00D13792">
        <w:rPr>
          <w:rFonts w:ascii="Verdana" w:eastAsia="Arial" w:hAnsi="Verdana" w:cs="Arial"/>
          <w:sz w:val="20"/>
          <w:szCs w:val="20"/>
          <w:u w:val="single"/>
          <w:lang w:val="es-CR"/>
        </w:rPr>
        <w:t xml:space="preserve"> </w:t>
      </w:r>
      <w:r w:rsidRPr="00D13792">
        <w:rPr>
          <w:rFonts w:ascii="Verdana" w:hAnsi="Verdana"/>
          <w:sz w:val="20"/>
          <w:szCs w:val="20"/>
          <w:u w:val="single"/>
          <w:lang w:val="es-CR"/>
        </w:rPr>
        <w:t>Alarcón Morente</w:t>
      </w:r>
      <w:r w:rsidRPr="00D13792">
        <w:rPr>
          <w:rFonts w:ascii="Verdana" w:hAnsi="Verdana"/>
          <w:sz w:val="20"/>
          <w:szCs w:val="20"/>
          <w:lang w:val="es-CR"/>
        </w:rPr>
        <w:t xml:space="preserve"> salió a cortar caña </w:t>
      </w:r>
      <w:r w:rsidRPr="00D13792">
        <w:rPr>
          <w:rFonts w:ascii="Verdana" w:eastAsia="Arial" w:hAnsi="Verdana" w:cs="Arial"/>
          <w:sz w:val="20"/>
          <w:szCs w:val="20"/>
          <w:lang w:val="es-CR"/>
        </w:rPr>
        <w:t>y no regresó</w:t>
      </w:r>
      <w:r w:rsidRPr="00D13792">
        <w:rPr>
          <w:rFonts w:ascii="Verdana" w:hAnsi="Verdana"/>
          <w:sz w:val="20"/>
          <w:szCs w:val="20"/>
          <w:lang w:val="es-CR"/>
        </w:rPr>
        <w:t xml:space="preserve">, y su hermano </w:t>
      </w:r>
      <w:r w:rsidRPr="00D13792">
        <w:rPr>
          <w:rFonts w:ascii="Verdana" w:eastAsia="Arial" w:hAnsi="Verdana" w:cs="Arial"/>
          <w:sz w:val="20"/>
          <w:szCs w:val="20"/>
          <w:u w:val="single"/>
          <w:lang w:val="es-CR"/>
        </w:rPr>
        <w:t xml:space="preserve">Edmundo </w:t>
      </w:r>
      <w:r w:rsidRPr="00D13792">
        <w:rPr>
          <w:rFonts w:ascii="Verdana" w:hAnsi="Verdana" w:cs="Calibri"/>
          <w:sz w:val="20"/>
          <w:szCs w:val="20"/>
          <w:u w:val="single"/>
          <w:lang w:val="es-CR"/>
        </w:rPr>
        <w:t>o Raymundo</w:t>
      </w:r>
      <w:r w:rsidRPr="00D13792">
        <w:rPr>
          <w:rFonts w:ascii="Verdana" w:eastAsia="Arial" w:hAnsi="Verdana" w:cs="Arial"/>
          <w:sz w:val="20"/>
          <w:szCs w:val="20"/>
          <w:u w:val="single"/>
          <w:lang w:val="es-CR"/>
        </w:rPr>
        <w:t xml:space="preserve"> </w:t>
      </w:r>
      <w:r w:rsidRPr="00D13792">
        <w:rPr>
          <w:rFonts w:ascii="Verdana" w:hAnsi="Verdana"/>
          <w:sz w:val="20"/>
          <w:szCs w:val="20"/>
          <w:u w:val="single"/>
          <w:lang w:val="es-CR"/>
        </w:rPr>
        <w:t>Alarcón Morente</w:t>
      </w:r>
      <w:r w:rsidRPr="00D13792">
        <w:rPr>
          <w:rFonts w:ascii="Verdana" w:hAnsi="Verdana"/>
          <w:sz w:val="20"/>
          <w:szCs w:val="20"/>
          <w:lang w:val="es-CR"/>
        </w:rPr>
        <w:t xml:space="preserve"> fue visto por última vez acompañado de soldados que lo llevaban amarrado. Se desconoce su paradero </w:t>
      </w:r>
      <w:r w:rsidRPr="00D13792">
        <w:rPr>
          <w:rFonts w:ascii="Verdana" w:hAnsi="Verdana" w:cs="Arial"/>
          <w:sz w:val="20"/>
          <w:szCs w:val="20"/>
          <w:lang w:val="es-CR"/>
        </w:rPr>
        <w:t xml:space="preserve">desde el </w:t>
      </w:r>
      <w:r w:rsidRPr="00D13792">
        <w:rPr>
          <w:rFonts w:ascii="Verdana" w:hAnsi="Verdana"/>
          <w:sz w:val="20"/>
          <w:szCs w:val="20"/>
          <w:lang w:val="es-CR"/>
        </w:rPr>
        <w:t>18 de enero de 1982, día en el que un grupo de soldados habían llegado a la vivienda de la familia Alarcón Morente y preguntaron por los dos hermanos (</w:t>
      </w:r>
      <w:r w:rsidRPr="00D13792">
        <w:rPr>
          <w:rFonts w:ascii="Verdana" w:hAnsi="Verdana"/>
          <w:i/>
          <w:sz w:val="20"/>
          <w:szCs w:val="20"/>
          <w:lang w:val="es-CR"/>
        </w:rPr>
        <w:t>supra</w:t>
      </w:r>
      <w:r w:rsidRPr="00D13792">
        <w:rPr>
          <w:rFonts w:ascii="Verdana" w:hAnsi="Verdana"/>
          <w:sz w:val="20"/>
          <w:szCs w:val="20"/>
          <w:lang w:val="es-CR"/>
        </w:rPr>
        <w:t xml:space="preserve"> párrs. 99 y 100).</w:t>
      </w:r>
    </w:p>
    <w:p w14:paraId="4DCAC53C" w14:textId="77777777" w:rsidR="006A0E1C" w:rsidRPr="00D13792" w:rsidRDefault="006A0E1C" w:rsidP="006A0E1C">
      <w:pPr>
        <w:pStyle w:val="ListParagraph"/>
        <w:autoSpaceDE w:val="0"/>
        <w:autoSpaceDN w:val="0"/>
        <w:spacing w:after="0" w:line="240" w:lineRule="auto"/>
        <w:ind w:left="360"/>
        <w:rPr>
          <w:rFonts w:ascii="Verdana" w:hAnsi="Verdana"/>
          <w:sz w:val="20"/>
          <w:szCs w:val="20"/>
          <w:u w:val="single"/>
          <w:lang w:val="es-CR"/>
        </w:rPr>
      </w:pPr>
    </w:p>
    <w:p w14:paraId="76FD7047"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Mediante el </w:t>
      </w:r>
      <w:r w:rsidRPr="00D13792">
        <w:rPr>
          <w:rFonts w:cs="Calibri,Bold"/>
          <w:bCs/>
          <w:sz w:val="20"/>
          <w:szCs w:val="20"/>
        </w:rPr>
        <w:t xml:space="preserve">informe final del peritaje antropológico forense realizado por la FAFG el </w:t>
      </w:r>
      <w:r w:rsidRPr="00D13792">
        <w:rPr>
          <w:sz w:val="20"/>
          <w:szCs w:val="20"/>
        </w:rPr>
        <w:t xml:space="preserve">31 de enero de 2008 </w:t>
      </w:r>
      <w:r w:rsidRPr="00D13792">
        <w:rPr>
          <w:rFonts w:cs="Calibri,Bold"/>
          <w:bCs/>
          <w:sz w:val="20"/>
          <w:szCs w:val="20"/>
        </w:rPr>
        <w:t>se</w:t>
      </w:r>
      <w:r w:rsidRPr="00D13792">
        <w:rPr>
          <w:sz w:val="20"/>
          <w:szCs w:val="20"/>
        </w:rPr>
        <w:t xml:space="preserve"> </w:t>
      </w:r>
      <w:r w:rsidRPr="00D13792">
        <w:rPr>
          <w:rFonts w:cs="Arial"/>
          <w:sz w:val="20"/>
          <w:szCs w:val="20"/>
        </w:rPr>
        <w:t xml:space="preserve">concluyó que cuatro osamentas exhumadas en el año 2006 de un fosa ubicada en </w:t>
      </w:r>
      <w:r w:rsidRPr="00D13792">
        <w:rPr>
          <w:sz w:val="20"/>
          <w:szCs w:val="20"/>
        </w:rPr>
        <w:t xml:space="preserve">un </w:t>
      </w:r>
      <w:r w:rsidRPr="00D13792">
        <w:rPr>
          <w:rFonts w:eastAsia="Calibri"/>
          <w:sz w:val="20"/>
          <w:szCs w:val="20"/>
        </w:rPr>
        <w:t>terreno</w:t>
      </w:r>
      <w:r w:rsidRPr="00D13792">
        <w:rPr>
          <w:sz w:val="20"/>
          <w:szCs w:val="20"/>
        </w:rPr>
        <w:t xml:space="preserve"> de la aldea Guachipilín del municipio de Rabinal correspondían a Hugo García Depaz, Abraham Alvarado Tecú (o </w:t>
      </w:r>
      <w:r w:rsidRPr="00D13792">
        <w:rPr>
          <w:rFonts w:cs="Calibri"/>
          <w:sz w:val="20"/>
          <w:szCs w:val="20"/>
        </w:rPr>
        <w:t xml:space="preserve">Agapito Alvarado Depáz), </w:t>
      </w:r>
      <w:r w:rsidRPr="00D13792">
        <w:rPr>
          <w:sz w:val="20"/>
          <w:szCs w:val="20"/>
        </w:rPr>
        <w:t>Manuel de Jesús</w:t>
      </w:r>
      <w:r w:rsidRPr="00D13792">
        <w:rPr>
          <w:rFonts w:eastAsia="Arial" w:cs="Arial"/>
          <w:sz w:val="20"/>
          <w:szCs w:val="20"/>
        </w:rPr>
        <w:t xml:space="preserve"> </w:t>
      </w:r>
      <w:r w:rsidRPr="00D13792">
        <w:rPr>
          <w:sz w:val="20"/>
          <w:szCs w:val="20"/>
        </w:rPr>
        <w:t xml:space="preserve">Alarcón Morente y </w:t>
      </w:r>
      <w:r w:rsidRPr="00D13792">
        <w:rPr>
          <w:rFonts w:eastAsia="Arial" w:cs="Arial"/>
          <w:sz w:val="20"/>
          <w:szCs w:val="20"/>
        </w:rPr>
        <w:t xml:space="preserve">Edmundo </w:t>
      </w:r>
      <w:r w:rsidRPr="00D13792">
        <w:rPr>
          <w:rFonts w:cs="Calibri"/>
          <w:sz w:val="20"/>
          <w:szCs w:val="20"/>
        </w:rPr>
        <w:t>o Raymundo</w:t>
      </w:r>
      <w:r w:rsidRPr="00D13792">
        <w:rPr>
          <w:rFonts w:eastAsia="Arial" w:cs="Arial"/>
          <w:sz w:val="20"/>
          <w:szCs w:val="20"/>
        </w:rPr>
        <w:t xml:space="preserve"> </w:t>
      </w:r>
      <w:r w:rsidRPr="00D13792">
        <w:rPr>
          <w:sz w:val="20"/>
          <w:szCs w:val="20"/>
        </w:rPr>
        <w:t>Alarcón Morente</w:t>
      </w:r>
      <w:r w:rsidRPr="00D13792">
        <w:rPr>
          <w:rFonts w:cs="Arial"/>
          <w:sz w:val="20"/>
          <w:szCs w:val="20"/>
        </w:rPr>
        <w:t xml:space="preserve">. </w:t>
      </w:r>
      <w:r w:rsidRPr="00D13792">
        <w:rPr>
          <w:rFonts w:cs="Calibri,Bold"/>
          <w:bCs/>
          <w:sz w:val="20"/>
          <w:szCs w:val="20"/>
        </w:rPr>
        <w:t xml:space="preserve">Dicho informe fue presentado </w:t>
      </w:r>
      <w:r w:rsidRPr="00D13792">
        <w:rPr>
          <w:sz w:val="20"/>
          <w:szCs w:val="20"/>
        </w:rPr>
        <w:t xml:space="preserve">ante el Auxiliar Fiscal del Ministerio Público de Rabinal y </w:t>
      </w:r>
      <w:r w:rsidRPr="00D13792">
        <w:rPr>
          <w:rFonts w:cs="Arial"/>
          <w:sz w:val="20"/>
          <w:szCs w:val="20"/>
        </w:rPr>
        <w:t xml:space="preserve">los restos fueron entregados a sus familiares </w:t>
      </w:r>
      <w:r w:rsidRPr="00D13792">
        <w:rPr>
          <w:sz w:val="20"/>
          <w:szCs w:val="20"/>
        </w:rPr>
        <w:t>(</w:t>
      </w:r>
      <w:r w:rsidRPr="00D13792">
        <w:rPr>
          <w:i/>
          <w:sz w:val="20"/>
          <w:szCs w:val="20"/>
        </w:rPr>
        <w:t>supra</w:t>
      </w:r>
      <w:r w:rsidRPr="00D13792">
        <w:rPr>
          <w:sz w:val="20"/>
          <w:szCs w:val="20"/>
        </w:rPr>
        <w:t xml:space="preserve"> párr. 100). Es a partir de la emisión de dicho informe que se conoció, de manera definitiva, el paradero de las cuatro personas mencionadas. </w:t>
      </w:r>
    </w:p>
    <w:p w14:paraId="73C939B1" w14:textId="77777777" w:rsidR="006A0E1C" w:rsidRPr="00D13792" w:rsidRDefault="006A0E1C" w:rsidP="006A0E1C">
      <w:pPr>
        <w:pStyle w:val="Prrafodelista2"/>
        <w:tabs>
          <w:tab w:val="left" w:pos="720"/>
        </w:tabs>
        <w:ind w:left="0" w:right="-90"/>
        <w:jc w:val="both"/>
        <w:rPr>
          <w:lang w:val="es-CR"/>
        </w:rPr>
      </w:pPr>
    </w:p>
    <w:p w14:paraId="09B73CB5"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definitiva, la Corte tiene por acreditado que las </w:t>
      </w:r>
      <w:r w:rsidRPr="00D13792">
        <w:rPr>
          <w:sz w:val="20"/>
        </w:rPr>
        <w:t>22</w:t>
      </w:r>
      <w:r w:rsidRPr="00D13792">
        <w:rPr>
          <w:sz w:val="20"/>
          <w:szCs w:val="20"/>
        </w:rPr>
        <w:t xml:space="preserve"> presuntas víctimas fueron privadas de libertad </w:t>
      </w:r>
      <w:r w:rsidRPr="00D13792">
        <w:rPr>
          <w:rFonts w:eastAsia="Calibri"/>
          <w:sz w:val="20"/>
          <w:szCs w:val="20"/>
        </w:rPr>
        <w:t>por</w:t>
      </w:r>
      <w:r w:rsidRPr="00D13792">
        <w:rPr>
          <w:sz w:val="20"/>
          <w:szCs w:val="20"/>
        </w:rPr>
        <w:t xml:space="preserve"> miembros de las fuerzas de seguridad del Estado, esto es, militares, patrulleros y “judiciales”</w:t>
      </w:r>
      <w:r w:rsidRPr="00D13792">
        <w:rPr>
          <w:rStyle w:val="FootnoteReference"/>
          <w:sz w:val="20"/>
          <w:szCs w:val="20"/>
        </w:rPr>
        <w:footnoteReference w:id="167"/>
      </w:r>
      <w:r w:rsidRPr="00D13792">
        <w:rPr>
          <w:sz w:val="20"/>
          <w:szCs w:val="20"/>
        </w:rPr>
        <w:t xml:space="preserve">. </w:t>
      </w:r>
    </w:p>
    <w:p w14:paraId="55A0938A" w14:textId="77777777" w:rsidR="006A0E1C" w:rsidRPr="00D13792" w:rsidRDefault="006A0E1C" w:rsidP="006A0E1C">
      <w:pPr>
        <w:pStyle w:val="ListParagraph"/>
        <w:spacing w:after="0" w:line="240" w:lineRule="auto"/>
        <w:rPr>
          <w:rFonts w:ascii="Verdana" w:hAnsi="Verdana"/>
          <w:sz w:val="20"/>
          <w:szCs w:val="20"/>
          <w:lang w:val="es-CR"/>
        </w:rPr>
      </w:pPr>
    </w:p>
    <w:p w14:paraId="0C490049"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Casi diez </w:t>
      </w:r>
      <w:r w:rsidRPr="00D13792">
        <w:rPr>
          <w:rFonts w:eastAsia="Calibri"/>
          <w:sz w:val="20"/>
          <w:szCs w:val="20"/>
        </w:rPr>
        <w:t>años</w:t>
      </w:r>
      <w:r w:rsidRPr="00D13792">
        <w:rPr>
          <w:sz w:val="20"/>
          <w:szCs w:val="20"/>
        </w:rPr>
        <w:t xml:space="preserve"> después de los hechos y en el marco de las investigaciones desarrolladas en relación con el presente caso, las autoridades negaron que la zona en la que ocurrieron los hechos se encontrara bajo control militar en el año 1982, que es la época en que ocurrió el mayor número de las privaciones de libertad de las 22 presuntas víctimas. Así, mediante un escrito de 9 de mayo de 1993, </w:t>
      </w:r>
      <w:r w:rsidRPr="00D13792">
        <w:rPr>
          <w:rFonts w:cs="Arial"/>
          <w:sz w:val="20"/>
          <w:szCs w:val="20"/>
        </w:rPr>
        <w:t>el Comandante de Reservas Militares</w:t>
      </w:r>
      <w:r w:rsidRPr="00D13792" w:rsidDel="00B55160">
        <w:rPr>
          <w:sz w:val="20"/>
          <w:szCs w:val="20"/>
        </w:rPr>
        <w:t xml:space="preserve"> </w:t>
      </w:r>
      <w:r w:rsidRPr="00D13792">
        <w:rPr>
          <w:sz w:val="20"/>
          <w:szCs w:val="20"/>
        </w:rPr>
        <w:t xml:space="preserve">informó al </w:t>
      </w:r>
      <w:r w:rsidRPr="00D13792">
        <w:rPr>
          <w:rFonts w:cs="Arial"/>
          <w:sz w:val="20"/>
          <w:szCs w:val="20"/>
        </w:rPr>
        <w:t>Juez de Primera Instancia Penal de Baja Verapaz</w:t>
      </w:r>
      <w:r w:rsidRPr="00D13792">
        <w:rPr>
          <w:sz w:val="20"/>
          <w:szCs w:val="20"/>
        </w:rPr>
        <w:t xml:space="preserve"> que “durante el año 1982 no existían comisionados militares en [la] aldea [Chichupac,] ya que esa área era tomada como zona de operaciones de la delincuencia terrorista, por lo tanto nadie desempeñaba el cargo de comisionado militar, así también no pudo nombrarse ninguna comisión el 8 de enero de 1982”</w:t>
      </w:r>
      <w:r w:rsidRPr="00D13792">
        <w:rPr>
          <w:rStyle w:val="FootnoteReference"/>
          <w:sz w:val="20"/>
        </w:rPr>
        <w:footnoteReference w:id="168"/>
      </w:r>
      <w:r w:rsidRPr="00D13792">
        <w:rPr>
          <w:sz w:val="20"/>
          <w:szCs w:val="20"/>
        </w:rPr>
        <w:t>. En este sentido, se negó la presencia y participación de militares en operaciones en la zona. Lo anterior revela que las autoridades del Ejército ocultaron información sobre lo ocurrido a las víctimas, lo cual, de ser el caso, es acorde con la negativa de información que forma parte de una desaparición forzada.</w:t>
      </w:r>
    </w:p>
    <w:p w14:paraId="679C9A41" w14:textId="77777777" w:rsidR="006A0E1C" w:rsidRPr="00D13792" w:rsidRDefault="006A0E1C" w:rsidP="006A0E1C">
      <w:pPr>
        <w:tabs>
          <w:tab w:val="left" w:pos="567"/>
        </w:tabs>
        <w:spacing w:line="240" w:lineRule="auto"/>
        <w:ind w:right="4"/>
        <w:rPr>
          <w:sz w:val="20"/>
          <w:szCs w:val="20"/>
        </w:rPr>
      </w:pPr>
    </w:p>
    <w:p w14:paraId="7DD6901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También, consta que los hechos ocurridos fueron puestos en conocimiento de autoridades estatales mediante diversas vías y momentos. Primero, a través de diversas denuncias presentadas por familiares y vecinos ante la Procuraduría de Derechos Humanos de Guatemala y el Ministerio Público</w:t>
      </w:r>
      <w:r w:rsidRPr="00D13792">
        <w:rPr>
          <w:sz w:val="20"/>
          <w:szCs w:val="20"/>
          <w:vertAlign w:val="superscript"/>
        </w:rPr>
        <w:footnoteReference w:id="169"/>
      </w:r>
      <w:r w:rsidRPr="00D13792">
        <w:rPr>
          <w:sz w:val="20"/>
          <w:szCs w:val="20"/>
        </w:rPr>
        <w:t>. Segundo, en el Informe de la CEH publicado en el año 1999</w:t>
      </w:r>
      <w:r w:rsidRPr="00D13792">
        <w:rPr>
          <w:sz w:val="20"/>
          <w:szCs w:val="20"/>
          <w:vertAlign w:val="superscript"/>
        </w:rPr>
        <w:footnoteReference w:id="170"/>
      </w:r>
      <w:r w:rsidRPr="00D13792">
        <w:rPr>
          <w:sz w:val="20"/>
          <w:szCs w:val="20"/>
        </w:rPr>
        <w:t>. Tercero, mediante los informes que la FAFG presentó ante el Ministerio Público en el marco de las investigaciones y peritajes antropológicos forenses llevados a cabo</w:t>
      </w:r>
      <w:r w:rsidRPr="00D13792">
        <w:rPr>
          <w:sz w:val="20"/>
          <w:szCs w:val="20"/>
          <w:vertAlign w:val="superscript"/>
        </w:rPr>
        <w:footnoteReference w:id="171"/>
      </w:r>
      <w:r w:rsidRPr="00D13792">
        <w:rPr>
          <w:sz w:val="20"/>
          <w:szCs w:val="20"/>
        </w:rPr>
        <w:t>. Cuarto, el caso fue presentado ante la Comisión Interamericana el 13 de diciembre de 2007, y esta realizó su Informe de Fondo el 2 de abril de 2014</w:t>
      </w:r>
      <w:r w:rsidRPr="00D13792">
        <w:rPr>
          <w:sz w:val="20"/>
          <w:szCs w:val="20"/>
          <w:vertAlign w:val="superscript"/>
        </w:rPr>
        <w:footnoteReference w:id="172"/>
      </w:r>
      <w:r w:rsidRPr="00D13792">
        <w:rPr>
          <w:sz w:val="20"/>
          <w:szCs w:val="20"/>
        </w:rPr>
        <w:t xml:space="preserve">, por lo que durante casi siete años las autoridades </w:t>
      </w:r>
      <w:r w:rsidRPr="00D13792">
        <w:rPr>
          <w:sz w:val="20"/>
          <w:szCs w:val="20"/>
        </w:rPr>
        <w:lastRenderedPageBreak/>
        <w:t>estatales fueron alertadas consecutivamente por dicho organismo sobre la ocurrencia de los hechos. No obstante, las diligencias practicadas para localizar el paradero de las víctimas fueron casi nulas (</w:t>
      </w:r>
      <w:r w:rsidRPr="00D13792">
        <w:rPr>
          <w:i/>
          <w:sz w:val="20"/>
          <w:szCs w:val="20"/>
        </w:rPr>
        <w:t>infra</w:t>
      </w:r>
      <w:r w:rsidRPr="00D13792">
        <w:rPr>
          <w:sz w:val="20"/>
          <w:szCs w:val="20"/>
        </w:rPr>
        <w:t xml:space="preserve"> párr. 220, 221, 227, 235, 237 y 238), lo cual constituye un indicio adicional de lo ocurrido a estas.</w:t>
      </w:r>
    </w:p>
    <w:p w14:paraId="2B63CD4E" w14:textId="77777777" w:rsidR="006A0E1C" w:rsidRPr="00D13792" w:rsidRDefault="006A0E1C" w:rsidP="006A0E1C">
      <w:pPr>
        <w:tabs>
          <w:tab w:val="left" w:pos="567"/>
        </w:tabs>
        <w:spacing w:line="240" w:lineRule="auto"/>
        <w:ind w:right="4"/>
        <w:rPr>
          <w:sz w:val="20"/>
          <w:szCs w:val="20"/>
        </w:rPr>
      </w:pPr>
    </w:p>
    <w:p w14:paraId="2EC7ED4C"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Ciertamente la desaparición de las 22 presuntas víctimas no constituyó un hecho aislado, sino que se inserta en una práctica de desaparición forzada de personas llevada a cabo principalmente por agentes de las fuerzas de seguridad del Estado durante la época del conflicto armado interno (</w:t>
      </w:r>
      <w:r w:rsidRPr="00D13792">
        <w:rPr>
          <w:i/>
          <w:sz w:val="20"/>
          <w:szCs w:val="20"/>
        </w:rPr>
        <w:t>supra</w:t>
      </w:r>
      <w:r w:rsidRPr="00D13792">
        <w:rPr>
          <w:sz w:val="20"/>
          <w:szCs w:val="20"/>
        </w:rPr>
        <w:t xml:space="preserve"> párr. 79). </w:t>
      </w:r>
    </w:p>
    <w:p w14:paraId="46E74CC8" w14:textId="77777777" w:rsidR="006A0E1C" w:rsidRPr="00D13792" w:rsidRDefault="006A0E1C" w:rsidP="006A0E1C">
      <w:pPr>
        <w:spacing w:line="240" w:lineRule="auto"/>
        <w:rPr>
          <w:sz w:val="20"/>
        </w:rPr>
      </w:pPr>
    </w:p>
    <w:p w14:paraId="32797C22"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razón de todo lo anterior, la Corte concluye que las </w:t>
      </w:r>
      <w:r w:rsidRPr="00D13792">
        <w:rPr>
          <w:sz w:val="20"/>
        </w:rPr>
        <w:t>22</w:t>
      </w:r>
      <w:r w:rsidRPr="00D13792">
        <w:rPr>
          <w:sz w:val="20"/>
          <w:szCs w:val="20"/>
        </w:rPr>
        <w:t xml:space="preserve"> presuntas víctimas fueron privadas de </w:t>
      </w:r>
      <w:r w:rsidRPr="00D13792">
        <w:rPr>
          <w:rFonts w:eastAsia="Calibri"/>
          <w:sz w:val="20"/>
          <w:szCs w:val="20"/>
        </w:rPr>
        <w:t>libertad</w:t>
      </w:r>
      <w:r w:rsidRPr="00D13792">
        <w:rPr>
          <w:sz w:val="20"/>
          <w:szCs w:val="20"/>
        </w:rPr>
        <w:t xml:space="preserve"> por miembros de las fuerzas de seguridad del Estado en el marco del conflicto interno, y lo último que se supo de ellas es que se encontraban bajo custodia estatal; posteriormente, se desconoció su paradero. Las actuaciones posteriores de las autoridades y agentes estatales permiten a este Tribunal determinar que existió una negativa de reconocer las mencionadas privaciones de libertad, así como a proporcionar información sobre </w:t>
      </w:r>
      <w:r w:rsidRPr="00D13792">
        <w:rPr>
          <w:spacing w:val="-2"/>
          <w:sz w:val="20"/>
          <w:szCs w:val="20"/>
        </w:rPr>
        <w:t>la suerte o el paradero de dichas persona</w:t>
      </w:r>
      <w:r w:rsidRPr="00D13792">
        <w:rPr>
          <w:sz w:val="20"/>
          <w:szCs w:val="20"/>
        </w:rPr>
        <w:t>s, con el propósito de generar incertidumbre acerca de su vida o muerte. El contexto de los hechos del caso avalan esta conclusión.</w:t>
      </w:r>
    </w:p>
    <w:p w14:paraId="799BF845" w14:textId="77777777" w:rsidR="006A0E1C" w:rsidRPr="00D13792" w:rsidRDefault="006A0E1C" w:rsidP="006A0E1C">
      <w:pPr>
        <w:pStyle w:val="ListParagraph"/>
        <w:spacing w:after="0" w:line="240" w:lineRule="auto"/>
        <w:rPr>
          <w:rFonts w:ascii="Verdana" w:hAnsi="Verdana"/>
          <w:sz w:val="20"/>
          <w:szCs w:val="20"/>
          <w:lang w:val="es-CR"/>
        </w:rPr>
      </w:pPr>
    </w:p>
    <w:p w14:paraId="6F9059B0"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En consecuencia, la Corte considera que el Estado es responsable por la desaparición forzada de: 1. </w:t>
      </w:r>
      <w:r w:rsidRPr="00D149F7">
        <w:rPr>
          <w:sz w:val="20"/>
          <w:szCs w:val="20"/>
          <w:lang w:val="pt-BR"/>
        </w:rPr>
        <w:t xml:space="preserve">Hugo García Depaz, 2. Abraham Alvarado Tecú (o </w:t>
      </w:r>
      <w:r w:rsidRPr="00D149F7">
        <w:rPr>
          <w:rFonts w:cs="Calibri"/>
          <w:sz w:val="20"/>
          <w:szCs w:val="20"/>
          <w:lang w:val="pt-BR"/>
        </w:rPr>
        <w:t xml:space="preserve">Agapito Alvarado Depáz), 3. </w:t>
      </w:r>
      <w:r w:rsidRPr="00D13792">
        <w:rPr>
          <w:sz w:val="20"/>
          <w:szCs w:val="20"/>
        </w:rPr>
        <w:t>Manuel de Jesús</w:t>
      </w:r>
      <w:r w:rsidRPr="00D13792">
        <w:rPr>
          <w:rFonts w:eastAsia="Arial" w:cs="Arial"/>
          <w:sz w:val="20"/>
          <w:szCs w:val="20"/>
        </w:rPr>
        <w:t xml:space="preserve"> </w:t>
      </w:r>
      <w:r w:rsidRPr="00D13792">
        <w:rPr>
          <w:sz w:val="20"/>
          <w:szCs w:val="20"/>
        </w:rPr>
        <w:t xml:space="preserve">Alarcón Morente, y 4. </w:t>
      </w:r>
      <w:r w:rsidRPr="00D13792">
        <w:rPr>
          <w:rFonts w:eastAsia="Arial" w:cs="Arial"/>
          <w:sz w:val="20"/>
          <w:szCs w:val="20"/>
        </w:rPr>
        <w:t xml:space="preserve">Edmundo </w:t>
      </w:r>
      <w:r w:rsidRPr="00D13792">
        <w:rPr>
          <w:rFonts w:cs="Calibri"/>
          <w:sz w:val="20"/>
          <w:szCs w:val="20"/>
        </w:rPr>
        <w:t>o Raymundo</w:t>
      </w:r>
      <w:r w:rsidRPr="00D13792">
        <w:rPr>
          <w:rFonts w:eastAsia="Arial" w:cs="Arial"/>
          <w:sz w:val="20"/>
          <w:szCs w:val="20"/>
        </w:rPr>
        <w:t xml:space="preserve"> </w:t>
      </w:r>
      <w:r w:rsidRPr="00D13792">
        <w:rPr>
          <w:sz w:val="20"/>
          <w:szCs w:val="20"/>
        </w:rPr>
        <w:t xml:space="preserve">Alarcón Morente. Su desaparición se prolongó hasta el año 2008 en que fueron identificados mediante un </w:t>
      </w:r>
      <w:r w:rsidRPr="00D13792">
        <w:rPr>
          <w:rFonts w:cs="Calibri,Bold"/>
          <w:bCs/>
          <w:sz w:val="20"/>
          <w:szCs w:val="20"/>
        </w:rPr>
        <w:t xml:space="preserve">informe antropológico </w:t>
      </w:r>
      <w:r w:rsidRPr="00D13792">
        <w:rPr>
          <w:rFonts w:eastAsia="Calibri"/>
          <w:sz w:val="20"/>
          <w:szCs w:val="20"/>
        </w:rPr>
        <w:t>forense</w:t>
      </w:r>
      <w:r w:rsidRPr="00D13792">
        <w:rPr>
          <w:sz w:val="20"/>
          <w:szCs w:val="20"/>
        </w:rPr>
        <w:t xml:space="preserve"> y a partir de la emisión de dicho informe se conoció, de manera definitiva, el paradero de las cuatro personas (</w:t>
      </w:r>
      <w:r w:rsidRPr="00D13792">
        <w:rPr>
          <w:i/>
          <w:sz w:val="20"/>
          <w:szCs w:val="20"/>
        </w:rPr>
        <w:t>supra</w:t>
      </w:r>
      <w:r w:rsidRPr="00D13792">
        <w:rPr>
          <w:sz w:val="20"/>
          <w:szCs w:val="20"/>
        </w:rPr>
        <w:t xml:space="preserve"> párrs. 99 y 100). En este sentido, es posible concluir que su desaparición se prolongó por aproximadamente 26 años.</w:t>
      </w:r>
    </w:p>
    <w:p w14:paraId="0FCDA110" w14:textId="77777777" w:rsidR="006A0E1C" w:rsidRPr="00D13792" w:rsidRDefault="006A0E1C" w:rsidP="006A0E1C">
      <w:pPr>
        <w:pStyle w:val="ListParagraph"/>
        <w:spacing w:after="0" w:line="240" w:lineRule="auto"/>
        <w:rPr>
          <w:rFonts w:ascii="Verdana" w:hAnsi="Verdana"/>
          <w:sz w:val="20"/>
          <w:szCs w:val="20"/>
          <w:lang w:val="es-CR"/>
        </w:rPr>
      </w:pPr>
    </w:p>
    <w:p w14:paraId="5EA89A7C"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Además, el Estado es responsable por la desaparición forzada de: 5. </w:t>
      </w:r>
      <w:r w:rsidRPr="00D13792">
        <w:rPr>
          <w:rFonts w:cs="Arial"/>
          <w:sz w:val="20"/>
          <w:szCs w:val="20"/>
        </w:rPr>
        <w:t xml:space="preserve">Pedro Siana; 6. </w:t>
      </w:r>
      <w:r w:rsidRPr="00D13792">
        <w:rPr>
          <w:rFonts w:eastAsia="Calibri"/>
          <w:iCs/>
          <w:sz w:val="20"/>
          <w:szCs w:val="20"/>
        </w:rPr>
        <w:t>Juan Pérez Sic</w:t>
      </w:r>
      <w:r w:rsidRPr="00D13792">
        <w:rPr>
          <w:rFonts w:cs="Calibri"/>
          <w:sz w:val="20"/>
          <w:szCs w:val="20"/>
        </w:rPr>
        <w:t xml:space="preserve">; 7. </w:t>
      </w:r>
      <w:r w:rsidRPr="00D13792">
        <w:rPr>
          <w:rFonts w:eastAsia="Calibri"/>
          <w:sz w:val="20"/>
          <w:szCs w:val="20"/>
        </w:rPr>
        <w:t xml:space="preserve">Lorenzo Depaz Siprian (o Lorenzo Depaz Ciprian o </w:t>
      </w:r>
      <w:r w:rsidRPr="00D13792">
        <w:rPr>
          <w:sz w:val="20"/>
          <w:szCs w:val="20"/>
        </w:rPr>
        <w:t>Florencio Depaz Cipriano);</w:t>
      </w:r>
      <w:r w:rsidRPr="00D13792">
        <w:rPr>
          <w:rFonts w:cs="Arial"/>
          <w:sz w:val="20"/>
          <w:szCs w:val="20"/>
        </w:rPr>
        <w:t xml:space="preserve"> 8. </w:t>
      </w:r>
      <w:r w:rsidRPr="00D13792">
        <w:rPr>
          <w:rFonts w:eastAsia="Calibri"/>
          <w:sz w:val="20"/>
          <w:szCs w:val="20"/>
        </w:rPr>
        <w:t xml:space="preserve">Leonardo Cahuec Gonzalés; 9. Juan Mendoza Alvarado; 10. José Cruz Mendoza Sucup; 11. María Concepción Chen Sic; </w:t>
      </w:r>
      <w:r w:rsidRPr="00D13792">
        <w:rPr>
          <w:bCs/>
          <w:sz w:val="20"/>
          <w:szCs w:val="20"/>
        </w:rPr>
        <w:t>12.</w:t>
      </w:r>
      <w:r w:rsidRPr="00D13792">
        <w:rPr>
          <w:sz w:val="20"/>
          <w:szCs w:val="20"/>
        </w:rPr>
        <w:t xml:space="preserve"> </w:t>
      </w:r>
      <w:r w:rsidRPr="00D13792">
        <w:rPr>
          <w:rFonts w:eastAsia="Calibri"/>
          <w:sz w:val="20"/>
          <w:szCs w:val="20"/>
        </w:rPr>
        <w:t>Casimiro Siana</w:t>
      </w:r>
      <w:r w:rsidRPr="00D13792">
        <w:rPr>
          <w:bCs/>
          <w:sz w:val="20"/>
          <w:szCs w:val="20"/>
        </w:rPr>
        <w:t xml:space="preserve">; 13. </w:t>
      </w:r>
      <w:r w:rsidRPr="00D13792">
        <w:rPr>
          <w:rFonts w:eastAsia="Calibri"/>
          <w:iCs/>
          <w:sz w:val="20"/>
          <w:szCs w:val="20"/>
        </w:rPr>
        <w:t xml:space="preserve">Cruz Pérez Ampérez; 14. Gorgonio Gonzalez Gonzalez; 15. Jorge Galeano Román; 16. </w:t>
      </w:r>
      <w:r w:rsidRPr="00D13792">
        <w:rPr>
          <w:sz w:val="20"/>
          <w:szCs w:val="20"/>
        </w:rPr>
        <w:t>Eustaquio lxtecoc Gonzalez (</w:t>
      </w:r>
      <w:r w:rsidRPr="00D13792">
        <w:rPr>
          <w:rFonts w:cs="Calibri"/>
          <w:sz w:val="20"/>
          <w:szCs w:val="20"/>
        </w:rPr>
        <w:t xml:space="preserve">o Eustaquio Yxtecoc Gonzalez); 17. </w:t>
      </w:r>
      <w:r w:rsidRPr="00D13792">
        <w:rPr>
          <w:rFonts w:eastAsia="Calibri"/>
          <w:iCs/>
          <w:sz w:val="20"/>
          <w:szCs w:val="20"/>
        </w:rPr>
        <w:t xml:space="preserve">Rafael Depaz Tecú; 18. Enrique Mendoza Sis; 19. </w:t>
      </w:r>
      <w:r w:rsidRPr="00D13792">
        <w:rPr>
          <w:sz w:val="20"/>
          <w:szCs w:val="20"/>
        </w:rPr>
        <w:t xml:space="preserve">Gabino Román Yvoy (o Iboy o Ivoy); 20. </w:t>
      </w:r>
      <w:r w:rsidRPr="00D13792">
        <w:rPr>
          <w:rFonts w:eastAsia="Calibri"/>
          <w:iCs/>
          <w:sz w:val="20"/>
          <w:szCs w:val="20"/>
        </w:rPr>
        <w:t xml:space="preserve">Dionicio o </w:t>
      </w:r>
      <w:r w:rsidRPr="00D13792">
        <w:rPr>
          <w:sz w:val="20"/>
          <w:szCs w:val="20"/>
        </w:rPr>
        <w:t>Dionisio</w:t>
      </w:r>
      <w:r w:rsidRPr="00D13792">
        <w:rPr>
          <w:rFonts w:eastAsia="Calibri"/>
          <w:iCs/>
          <w:sz w:val="20"/>
          <w:szCs w:val="20"/>
        </w:rPr>
        <w:t xml:space="preserve"> Vachan o Bachán;</w:t>
      </w:r>
      <w:r w:rsidRPr="00D13792">
        <w:rPr>
          <w:sz w:val="20"/>
          <w:szCs w:val="20"/>
        </w:rPr>
        <w:t xml:space="preserve"> 21. </w:t>
      </w:r>
      <w:r w:rsidRPr="00D13792">
        <w:rPr>
          <w:rFonts w:eastAsia="Calibri"/>
          <w:sz w:val="20"/>
          <w:szCs w:val="20"/>
        </w:rPr>
        <w:t xml:space="preserve">Marcelo Sic Chen, y 22. </w:t>
      </w:r>
      <w:r w:rsidRPr="00D13792">
        <w:rPr>
          <w:sz w:val="20"/>
          <w:szCs w:val="20"/>
        </w:rPr>
        <w:t>Adrián García Manuel. Al respecto, se desconoce el paradero de todas estas personas hasta la fecha, luego de más de 32 a 35 años de iniciadas dichas desapariciones, no obstante las diversas denuncias que han sido puestas en conocimiento del Estado en diferentes momentos.</w:t>
      </w:r>
    </w:p>
    <w:p w14:paraId="053B5F51" w14:textId="77777777" w:rsidR="006A0E1C" w:rsidRPr="00D13792" w:rsidRDefault="006A0E1C" w:rsidP="006A0E1C">
      <w:pPr>
        <w:pStyle w:val="ListParagraph"/>
        <w:spacing w:after="0" w:line="240" w:lineRule="auto"/>
        <w:rPr>
          <w:rFonts w:ascii="Verdana" w:hAnsi="Verdana"/>
          <w:sz w:val="20"/>
          <w:szCs w:val="20"/>
          <w:lang w:val="es-CR"/>
        </w:rPr>
      </w:pPr>
    </w:p>
    <w:p w14:paraId="51C458DA"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razón de todo lo anterior, la Corte concluye que en el presente caso fueron víctimas de desaparición forzada un total de 22 personas. En el año 2008 se logró establecer el paradero de 4 de estas víctimas, y al día de hoy aún se desconoce el paradero de 18 de dichas víctimas. En cambio, no es procedente concluir la desaparición forzada de un total de 59 personas que fueron alegadas como víctimas de dicha violación y respecto de las cuales aún queda por concluir los trabajos de exhumación e identificación de restos de 31 personas (</w:t>
      </w:r>
      <w:r w:rsidRPr="00D13792">
        <w:rPr>
          <w:i/>
          <w:sz w:val="20"/>
          <w:szCs w:val="20"/>
        </w:rPr>
        <w:t>supra</w:t>
      </w:r>
      <w:r w:rsidRPr="00D13792">
        <w:rPr>
          <w:sz w:val="20"/>
          <w:szCs w:val="20"/>
        </w:rPr>
        <w:t xml:space="preserve"> párr. 147).</w:t>
      </w:r>
    </w:p>
    <w:p w14:paraId="74918666" w14:textId="77777777" w:rsidR="006A0E1C" w:rsidRPr="00D13792" w:rsidRDefault="006A0E1C" w:rsidP="006A0E1C">
      <w:pPr>
        <w:pStyle w:val="Prrafodelista2"/>
        <w:tabs>
          <w:tab w:val="left" w:pos="720"/>
        </w:tabs>
        <w:ind w:left="0" w:right="-90"/>
        <w:jc w:val="both"/>
        <w:rPr>
          <w:lang w:val="es-CR"/>
        </w:rPr>
      </w:pPr>
    </w:p>
    <w:p w14:paraId="0DDDE3C7" w14:textId="77777777" w:rsidR="006A0E1C" w:rsidRPr="00D13792" w:rsidRDefault="006A0E1C" w:rsidP="006A0E1C">
      <w:pPr>
        <w:pStyle w:val="Heading3"/>
        <w:ind w:left="0"/>
        <w:rPr>
          <w:i/>
          <w:lang w:val="es-CR"/>
        </w:rPr>
      </w:pPr>
      <w:bookmarkStart w:id="201" w:name="_Toc460938877"/>
      <w:bookmarkStart w:id="202" w:name="_Toc469670044"/>
      <w:r w:rsidRPr="00D13792">
        <w:rPr>
          <w:i/>
          <w:lang w:val="es-CR"/>
        </w:rPr>
        <w:t>B.2. Violaciones de los artículos 7, 5.1, 5.2, 4.1 y 3 de la Convención Americana</w:t>
      </w:r>
      <w:bookmarkEnd w:id="201"/>
      <w:bookmarkEnd w:id="202"/>
    </w:p>
    <w:p w14:paraId="1478125A" w14:textId="77777777" w:rsidR="006A0E1C" w:rsidRPr="00D13792" w:rsidRDefault="006A0E1C" w:rsidP="006A0E1C">
      <w:pPr>
        <w:pStyle w:val="Prrafodelista2"/>
        <w:tabs>
          <w:tab w:val="left" w:pos="720"/>
        </w:tabs>
        <w:ind w:left="0" w:right="-90"/>
        <w:jc w:val="both"/>
        <w:rPr>
          <w:lang w:val="es-CR"/>
        </w:rPr>
      </w:pPr>
    </w:p>
    <w:p w14:paraId="5D64BDFE"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el presente caso, las 22 víctimas de desaparición forzada fueron detenidas ilegalmente por agentes estatales, sin que hasta el momento se tenga información del destino y paradero de 18 de éstas. Por su parte, recién en el año 2008 se logró establecer el paradero de cuatro de las víctimas (</w:t>
      </w:r>
      <w:r w:rsidRPr="00D13792">
        <w:rPr>
          <w:i/>
          <w:sz w:val="20"/>
          <w:szCs w:val="20"/>
        </w:rPr>
        <w:t>supra</w:t>
      </w:r>
      <w:r w:rsidRPr="00D13792">
        <w:rPr>
          <w:sz w:val="20"/>
          <w:szCs w:val="20"/>
        </w:rPr>
        <w:t xml:space="preserve"> párr. 100). Esta detención inicial fue un paso previo para su desaparición y fue contraria a todas luces al derecho a la libertad personal, en violación del artículo 7 de la Convención Americana. Su desaparición se enmarcó en una práctica de desaparición forzada de personas, lo cual permite concluir que aquélla colocó a las víctimas en </w:t>
      </w:r>
      <w:r w:rsidRPr="00D13792">
        <w:rPr>
          <w:sz w:val="20"/>
          <w:szCs w:val="20"/>
        </w:rPr>
        <w:lastRenderedPageBreak/>
        <w:t>una situación de especial vulnerabilidad y grave situación de riesgo de sufrir daños irreparables a su integridad personal y a su vida. La Corte ha establecido que resulta evidente que las víctimas de esta práctica ven vulneradas su integridad personal en todas sus dimensiones</w:t>
      </w:r>
      <w:r w:rsidRPr="00D13792">
        <w:rPr>
          <w:rStyle w:val="FootnoteReference"/>
          <w:sz w:val="20"/>
          <w:szCs w:val="20"/>
        </w:rPr>
        <w:footnoteReference w:id="173"/>
      </w:r>
      <w:r w:rsidRPr="00D13792">
        <w:rPr>
          <w:sz w:val="20"/>
          <w:szCs w:val="20"/>
        </w:rPr>
        <w:t>, y que el sometimiento de detenidos a cuerpos represivos oficiales, agentes estatales o particulares que actúen con su aquiescencia o tolerancia, que impunemente practiquen la tortura y el asesinato representa, por sí mismo, una infracción al deber de prevención de violaciones a los derechos a la integridad personal y a la vida, aun en el supuesto de que no puedan demostrarse los hechos de tortura o de privación de la vida de la persona en el caso concreto</w:t>
      </w:r>
      <w:r w:rsidRPr="00D13792">
        <w:rPr>
          <w:rStyle w:val="FootnoteReference"/>
          <w:sz w:val="20"/>
          <w:szCs w:val="20"/>
        </w:rPr>
        <w:footnoteReference w:id="174"/>
      </w:r>
      <w:r w:rsidRPr="00D13792">
        <w:rPr>
          <w:sz w:val="20"/>
          <w:szCs w:val="20"/>
        </w:rPr>
        <w:t>. Además, esta Corte ha sostenido que la desaparición forzada es violatoria del derecho a la integridad personal porque el solo hecho del aislamiento prolongado y de la incomunicación coactiva, representa un tratamiento cruel e inhumano</w:t>
      </w:r>
      <w:r w:rsidRPr="00D13792">
        <w:rPr>
          <w:rStyle w:val="FootnoteReference"/>
          <w:sz w:val="20"/>
          <w:szCs w:val="20"/>
        </w:rPr>
        <w:footnoteReference w:id="175"/>
      </w:r>
      <w:r w:rsidRPr="00D13792">
        <w:rPr>
          <w:sz w:val="20"/>
          <w:szCs w:val="20"/>
        </w:rPr>
        <w:t xml:space="preserve">. El Tribunal también ha establecido que </w:t>
      </w:r>
      <w:r w:rsidRPr="00D13792">
        <w:rPr>
          <w:rFonts w:cs="Helvetica"/>
          <w:sz w:val="20"/>
          <w:szCs w:val="20"/>
        </w:rPr>
        <w:t>el hecho que una persona esté desaparecida durante un largo lapso de tiempo y en un contexto de violencia es un indicio suficiente para concluir que la persona fue privada de su vida</w:t>
      </w:r>
      <w:r w:rsidRPr="00D13792">
        <w:rPr>
          <w:rStyle w:val="FootnoteReference"/>
          <w:rFonts w:cs="Helvetica"/>
          <w:sz w:val="20"/>
          <w:szCs w:val="20"/>
        </w:rPr>
        <w:footnoteReference w:id="176"/>
      </w:r>
      <w:r w:rsidRPr="00D13792">
        <w:rPr>
          <w:rFonts w:cs="Helvetica"/>
          <w:sz w:val="20"/>
          <w:szCs w:val="20"/>
        </w:rPr>
        <w:t>. Todo ello, en contradicción con los artículos 4.1, 5.1 y 5.2 de la Convención Americana.</w:t>
      </w:r>
    </w:p>
    <w:p w14:paraId="7CD9950F" w14:textId="77777777" w:rsidR="006A0E1C" w:rsidRPr="00D13792" w:rsidRDefault="006A0E1C" w:rsidP="006A0E1C">
      <w:pPr>
        <w:pStyle w:val="ListParagraph"/>
        <w:spacing w:after="0" w:line="240" w:lineRule="auto"/>
        <w:rPr>
          <w:rFonts w:ascii="Verdana" w:hAnsi="Verdana"/>
          <w:sz w:val="20"/>
          <w:szCs w:val="20"/>
          <w:lang w:val="es-CR"/>
        </w:rPr>
      </w:pPr>
    </w:p>
    <w:p w14:paraId="42384DD8"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 xml:space="preserve">Asimismo, la Corte recuerda que desde el caso </w:t>
      </w:r>
      <w:r w:rsidRPr="00D13792">
        <w:rPr>
          <w:i/>
          <w:sz w:val="20"/>
          <w:szCs w:val="20"/>
        </w:rPr>
        <w:t xml:space="preserve">Anzualdo Castro Vs. Perú </w:t>
      </w:r>
      <w:r w:rsidRPr="00D13792">
        <w:rPr>
          <w:sz w:val="20"/>
          <w:szCs w:val="20"/>
        </w:rPr>
        <w:t xml:space="preserve">de </w:t>
      </w:r>
      <w:r w:rsidRPr="00D13792">
        <w:rPr>
          <w:rStyle w:val="Strong"/>
          <w:b w:val="0"/>
          <w:color w:val="000000"/>
          <w:sz w:val="20"/>
          <w:szCs w:val="20"/>
          <w:shd w:val="clear" w:color="auto" w:fill="FFFFFF"/>
        </w:rPr>
        <w:t>22 de septiembre de 2009</w:t>
      </w:r>
      <w:r w:rsidRPr="00D13792">
        <w:rPr>
          <w:sz w:val="20"/>
          <w:szCs w:val="20"/>
        </w:rPr>
        <w:t xml:space="preserve">, consideró que la práctica de desaparición forzada puede conllevar una violación específica del artículo 3 de la Convención Americana, ya que busca no solo una de las más graves formas de sustracción de una persona de todo ámbito del ordenamiento jurídico, sino también negar </w:t>
      </w:r>
      <w:r w:rsidRPr="00D13792">
        <w:rPr>
          <w:rFonts w:cs="Verdana"/>
          <w:sz w:val="20"/>
          <w:szCs w:val="20"/>
        </w:rPr>
        <w:t xml:space="preserve">su existencia misma y dejarla en una suerte de limbo o situación de indeterminación jurídica ante la sociedad, el Estado e inclusive la comunidad internacional. De igual manera, </w:t>
      </w:r>
      <w:r w:rsidRPr="00D13792">
        <w:rPr>
          <w:rFonts w:cs="Helvetica"/>
          <w:iCs/>
          <w:sz w:val="20"/>
          <w:szCs w:val="20"/>
        </w:rPr>
        <w:t xml:space="preserve">“en casos de desaparición forzada de personas se deja a la víctima en una situación de indeterminación jurídica que imposibilita, obstaculiza </w:t>
      </w:r>
      <w:r w:rsidRPr="00D13792">
        <w:rPr>
          <w:rFonts w:cs="Times"/>
          <w:sz w:val="20"/>
          <w:szCs w:val="20"/>
        </w:rPr>
        <w:t xml:space="preserve">o </w:t>
      </w:r>
      <w:r w:rsidRPr="00D13792">
        <w:rPr>
          <w:rFonts w:cs="Helvetica"/>
          <w:iCs/>
          <w:sz w:val="20"/>
          <w:szCs w:val="20"/>
        </w:rPr>
        <w:t xml:space="preserve">anula la posibilidad de la persona de ser titular </w:t>
      </w:r>
      <w:r w:rsidRPr="00D13792">
        <w:rPr>
          <w:rFonts w:cs="Times"/>
          <w:sz w:val="20"/>
          <w:szCs w:val="20"/>
        </w:rPr>
        <w:t xml:space="preserve">o </w:t>
      </w:r>
      <w:r w:rsidRPr="00D13792">
        <w:rPr>
          <w:rFonts w:cs="Helvetica"/>
          <w:iCs/>
          <w:sz w:val="20"/>
          <w:szCs w:val="20"/>
        </w:rPr>
        <w:t>ejercer en forma efectiva sus derechos en general, en una de las más graves formas de incumplimiento de las obligaciones estatales de respetar</w:t>
      </w:r>
      <w:r w:rsidRPr="00D13792">
        <w:rPr>
          <w:rFonts w:cs="Times"/>
          <w:iCs/>
          <w:sz w:val="20"/>
          <w:szCs w:val="20"/>
        </w:rPr>
        <w:t xml:space="preserve"> y </w:t>
      </w:r>
      <w:r w:rsidRPr="00D13792">
        <w:rPr>
          <w:rFonts w:cs="Helvetica"/>
          <w:iCs/>
          <w:sz w:val="20"/>
          <w:szCs w:val="20"/>
        </w:rPr>
        <w:t>garantizar los derechos humanos”</w:t>
      </w:r>
      <w:r w:rsidRPr="00D13792">
        <w:rPr>
          <w:rStyle w:val="FootnoteReference"/>
          <w:rFonts w:cs="Helvetica"/>
          <w:iCs/>
          <w:sz w:val="20"/>
          <w:szCs w:val="20"/>
        </w:rPr>
        <w:footnoteReference w:id="177"/>
      </w:r>
      <w:r w:rsidRPr="00D13792">
        <w:rPr>
          <w:rFonts w:cs="Helvetica"/>
          <w:iCs/>
          <w:sz w:val="20"/>
          <w:szCs w:val="20"/>
        </w:rPr>
        <w:t>.</w:t>
      </w:r>
      <w:r w:rsidRPr="00D13792">
        <w:rPr>
          <w:sz w:val="20"/>
          <w:szCs w:val="20"/>
        </w:rPr>
        <w:t xml:space="preserve"> La Corte ha reiterado esta posición en sus fallos posteriores</w:t>
      </w:r>
      <w:r w:rsidRPr="00D13792">
        <w:rPr>
          <w:rStyle w:val="FootnoteReference"/>
          <w:sz w:val="20"/>
          <w:szCs w:val="20"/>
        </w:rPr>
        <w:footnoteReference w:id="178"/>
      </w:r>
      <w:r w:rsidRPr="00D13792">
        <w:rPr>
          <w:sz w:val="20"/>
          <w:szCs w:val="20"/>
        </w:rPr>
        <w:t>. En el presente caso, el Tribunal considera que las 22 víctimas señaladas fueron puestas en una situación de indeterminación jurídica que impidió su posibilidad de ser titulares o ejercer en forma efectiva sus derechos en general, por lo cual se generó una violación de su derecho al reconocimiento de la personalidad jurídica.</w:t>
      </w:r>
    </w:p>
    <w:p w14:paraId="050F38CE" w14:textId="77777777" w:rsidR="006A0E1C" w:rsidRPr="00D13792" w:rsidRDefault="006A0E1C" w:rsidP="006A0E1C">
      <w:pPr>
        <w:tabs>
          <w:tab w:val="left" w:pos="567"/>
        </w:tabs>
        <w:spacing w:line="240" w:lineRule="auto"/>
        <w:ind w:right="4"/>
        <w:rPr>
          <w:sz w:val="20"/>
          <w:szCs w:val="20"/>
        </w:rPr>
      </w:pPr>
    </w:p>
    <w:p w14:paraId="3402E871"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En virtud de todo lo expuesto, el Tribunal concluye que Guatemala incurrió en responsabilidad internacional por la desaparición forzada de las 22 víctimas señaladas (</w:t>
      </w:r>
      <w:r w:rsidRPr="00D13792">
        <w:rPr>
          <w:i/>
          <w:sz w:val="20"/>
          <w:szCs w:val="20"/>
        </w:rPr>
        <w:t>supra</w:t>
      </w:r>
      <w:r w:rsidRPr="00D13792">
        <w:rPr>
          <w:sz w:val="20"/>
          <w:szCs w:val="20"/>
        </w:rPr>
        <w:t xml:space="preserve"> párrs. 155 y 156), y que es responsable de la violación de los artículos 7, 5.1 y 5.2, 4.1 y 3 de la Convención Americana, en relación con el artículo 1.1 del mismo instrumento y en relación con lo dispuesto en el artículo I.a) de la Convención Interamericana sobre Desaparición Forzada de Personas</w:t>
      </w:r>
      <w:r w:rsidRPr="00D13792">
        <w:rPr>
          <w:rStyle w:val="FootnoteReference"/>
          <w:sz w:val="20"/>
          <w:szCs w:val="20"/>
        </w:rPr>
        <w:footnoteReference w:id="179"/>
      </w:r>
      <w:r w:rsidRPr="00D13792">
        <w:rPr>
          <w:sz w:val="20"/>
          <w:szCs w:val="20"/>
        </w:rPr>
        <w:t>, en perjuicio de aquellas personas.</w:t>
      </w:r>
    </w:p>
    <w:p w14:paraId="6E9BF3F7" w14:textId="77777777" w:rsidR="006A0E1C" w:rsidRPr="00D13792" w:rsidRDefault="006A0E1C" w:rsidP="006A0E1C">
      <w:pPr>
        <w:pStyle w:val="Heading3"/>
        <w:ind w:left="0"/>
        <w:rPr>
          <w:lang w:val="es-CR"/>
        </w:rPr>
      </w:pPr>
    </w:p>
    <w:p w14:paraId="6FEB3E6B" w14:textId="77777777" w:rsidR="006A0E1C" w:rsidRPr="00D13792" w:rsidRDefault="006A0E1C" w:rsidP="006A0E1C">
      <w:pPr>
        <w:pStyle w:val="Heading3"/>
        <w:ind w:left="0"/>
        <w:rPr>
          <w:i/>
          <w:lang w:val="es-CR"/>
        </w:rPr>
      </w:pPr>
      <w:bookmarkStart w:id="203" w:name="_Toc460938878"/>
      <w:bookmarkStart w:id="204" w:name="_Toc469670045"/>
      <w:r w:rsidRPr="00D13792">
        <w:rPr>
          <w:i/>
          <w:lang w:val="es-CR"/>
        </w:rPr>
        <w:t>B.3. Derecho a la integridad personal y a la protección a la familia en perjuicio de los familiares de las víctimas de desaparición forzada</w:t>
      </w:r>
      <w:bookmarkEnd w:id="203"/>
      <w:bookmarkEnd w:id="204"/>
    </w:p>
    <w:p w14:paraId="2EC67A18" w14:textId="77777777" w:rsidR="006A0E1C" w:rsidRPr="00D13792" w:rsidRDefault="006A0E1C" w:rsidP="006A0E1C">
      <w:pPr>
        <w:spacing w:line="240" w:lineRule="auto"/>
        <w:rPr>
          <w:b/>
          <w:i/>
          <w:sz w:val="20"/>
          <w:szCs w:val="20"/>
        </w:rPr>
      </w:pPr>
    </w:p>
    <w:p w14:paraId="0F46C1DD" w14:textId="77777777" w:rsidR="006A0E1C" w:rsidRPr="00D13792" w:rsidRDefault="006A0E1C" w:rsidP="006A0E1C">
      <w:pPr>
        <w:numPr>
          <w:ilvl w:val="0"/>
          <w:numId w:val="6"/>
        </w:numPr>
        <w:tabs>
          <w:tab w:val="left" w:pos="567"/>
        </w:tabs>
        <w:spacing w:line="240" w:lineRule="auto"/>
        <w:ind w:right="4"/>
        <w:rPr>
          <w:b/>
          <w:i/>
          <w:sz w:val="20"/>
          <w:szCs w:val="20"/>
        </w:rPr>
      </w:pPr>
      <w:bookmarkStart w:id="205" w:name="_Ref405772293"/>
      <w:r w:rsidRPr="00D13792">
        <w:rPr>
          <w:sz w:val="20"/>
          <w:szCs w:val="20"/>
        </w:rPr>
        <w:t>La</w:t>
      </w:r>
      <w:r w:rsidRPr="00D13792">
        <w:rPr>
          <w:spacing w:val="-2"/>
          <w:sz w:val="20"/>
          <w:szCs w:val="20"/>
        </w:rPr>
        <w:t xml:space="preserve"> Corte ha afirmado en reiteradas oportunidades que los familiares de las víctimas de violaciones de los derechos humanos pueden ser, a su vez, víctimas. </w:t>
      </w:r>
      <w:bookmarkStart w:id="206" w:name="_Ref396293104"/>
      <w:bookmarkEnd w:id="205"/>
      <w:r w:rsidRPr="00D13792">
        <w:rPr>
          <w:rFonts w:eastAsia="Calibri"/>
          <w:spacing w:val="-2"/>
          <w:sz w:val="20"/>
          <w:szCs w:val="20"/>
        </w:rPr>
        <w:t xml:space="preserve">Asimismo, el Tribunal ha considerado que en casos que involucran la desaparición forzada de personas, es posible entender que la violación del derecho a la integridad psíquica y moral de los familiares de la víctima es una consecuencia directa de ese fenómeno, que les </w:t>
      </w:r>
      <w:r w:rsidRPr="00D13792">
        <w:rPr>
          <w:spacing w:val="-2"/>
          <w:sz w:val="20"/>
          <w:szCs w:val="20"/>
        </w:rPr>
        <w:t>causa</w:t>
      </w:r>
      <w:r w:rsidRPr="00D13792">
        <w:rPr>
          <w:rFonts w:eastAsia="Calibri"/>
          <w:spacing w:val="-2"/>
          <w:sz w:val="20"/>
          <w:szCs w:val="20"/>
        </w:rPr>
        <w:t xml:space="preserve"> un severo sufrimiento por el hecho mismo, que se acrecienta, entre otros factores, por la constante negativa de las autoridades estatales de proporcionar información acerca del paradero de la víctima o de realizar una investigación eficaz para lograr el esclarecimiento de lo sucedido. Estas afectaciones hacen presumir un daño a la integridad psíquica y moral de los familiares en casos de desapariciones forzadas. En casos anteriores, la Corte ha establecido que dicha presunción se establece </w:t>
      </w:r>
      <w:r w:rsidRPr="00D13792">
        <w:rPr>
          <w:rFonts w:eastAsia="Calibri"/>
          <w:i/>
          <w:spacing w:val="-2"/>
          <w:sz w:val="20"/>
          <w:szCs w:val="20"/>
        </w:rPr>
        <w:t xml:space="preserve">iuris tantum </w:t>
      </w:r>
      <w:r w:rsidRPr="00D13792">
        <w:rPr>
          <w:rFonts w:eastAsia="Calibri"/>
          <w:spacing w:val="-2"/>
          <w:sz w:val="20"/>
          <w:szCs w:val="20"/>
        </w:rPr>
        <w:t>respecto de madres y padres, hijas e hijos, cónyuges, compañeros y compañeras permanentes, así como hermanas y hermanos de las víctimas desaparecidas, salvo que se demuestre lo contrario por las circunstancias específicas del caso</w:t>
      </w:r>
      <w:r w:rsidRPr="00D13792">
        <w:rPr>
          <w:rStyle w:val="FootnoteReference"/>
          <w:rFonts w:eastAsia="Calibri"/>
          <w:spacing w:val="-2"/>
          <w:sz w:val="20"/>
          <w:szCs w:val="20"/>
        </w:rPr>
        <w:footnoteReference w:id="180"/>
      </w:r>
      <w:r w:rsidRPr="00D13792">
        <w:rPr>
          <w:rFonts w:eastAsia="Calibri"/>
          <w:spacing w:val="-2"/>
          <w:sz w:val="20"/>
          <w:szCs w:val="20"/>
        </w:rPr>
        <w:t>.</w:t>
      </w:r>
      <w:bookmarkEnd w:id="206"/>
    </w:p>
    <w:p w14:paraId="2887F847" w14:textId="77777777" w:rsidR="006A0E1C" w:rsidRPr="00D13792" w:rsidRDefault="006A0E1C" w:rsidP="006A0E1C">
      <w:pPr>
        <w:spacing w:line="240" w:lineRule="auto"/>
        <w:rPr>
          <w:b/>
          <w:i/>
          <w:sz w:val="20"/>
          <w:szCs w:val="20"/>
        </w:rPr>
      </w:pPr>
    </w:p>
    <w:p w14:paraId="034C9017" w14:textId="77777777" w:rsidR="006A0E1C" w:rsidRPr="00D13792" w:rsidRDefault="006A0E1C" w:rsidP="006A0E1C">
      <w:pPr>
        <w:numPr>
          <w:ilvl w:val="0"/>
          <w:numId w:val="6"/>
        </w:numPr>
        <w:tabs>
          <w:tab w:val="left" w:pos="567"/>
        </w:tabs>
        <w:spacing w:line="240" w:lineRule="auto"/>
        <w:ind w:right="4"/>
        <w:rPr>
          <w:rFonts w:eastAsia="Calibri"/>
          <w:spacing w:val="-2"/>
          <w:sz w:val="20"/>
          <w:szCs w:val="20"/>
        </w:rPr>
      </w:pPr>
      <w:r w:rsidRPr="00D13792">
        <w:rPr>
          <w:rFonts w:eastAsia="Calibri" w:cs="Arial"/>
          <w:spacing w:val="-2"/>
          <w:sz w:val="20"/>
          <w:szCs w:val="20"/>
        </w:rPr>
        <w:t xml:space="preserve">La Corte </w:t>
      </w:r>
      <w:r w:rsidRPr="00D13792">
        <w:rPr>
          <w:rFonts w:eastAsia="Calibri"/>
          <w:spacing w:val="-2"/>
          <w:sz w:val="20"/>
          <w:szCs w:val="20"/>
        </w:rPr>
        <w:t>declaró la responsabilidad internacional de Guatemala por la desaparición forzada de 22 víctimas del presente caso. El Estado, más allá de los argumentos expuestos (</w:t>
      </w:r>
      <w:r w:rsidRPr="00D13792">
        <w:rPr>
          <w:rFonts w:eastAsia="Calibri"/>
          <w:i/>
          <w:spacing w:val="-2"/>
          <w:sz w:val="20"/>
          <w:szCs w:val="20"/>
        </w:rPr>
        <w:t>supra</w:t>
      </w:r>
      <w:r w:rsidRPr="00D13792">
        <w:rPr>
          <w:rFonts w:eastAsia="Calibri"/>
          <w:spacing w:val="-2"/>
          <w:sz w:val="20"/>
          <w:szCs w:val="20"/>
        </w:rPr>
        <w:t xml:space="preserve"> párrs. 128 a 130),</w:t>
      </w:r>
      <w:r w:rsidRPr="00D13792">
        <w:rPr>
          <w:spacing w:val="-2"/>
          <w:sz w:val="20"/>
          <w:szCs w:val="20"/>
        </w:rPr>
        <w:t xml:space="preserve"> no aportó prueba en contrario que desvirtúe la presunción </w:t>
      </w:r>
      <w:r w:rsidRPr="00D13792">
        <w:rPr>
          <w:i/>
          <w:spacing w:val="-2"/>
          <w:sz w:val="20"/>
          <w:szCs w:val="20"/>
        </w:rPr>
        <w:t>i</w:t>
      </w:r>
      <w:r w:rsidRPr="00D13792">
        <w:rPr>
          <w:rFonts w:eastAsia="Calibri"/>
          <w:i/>
          <w:spacing w:val="-2"/>
          <w:sz w:val="20"/>
          <w:szCs w:val="20"/>
        </w:rPr>
        <w:t>uris tantum</w:t>
      </w:r>
      <w:r w:rsidRPr="00D13792">
        <w:rPr>
          <w:rFonts w:eastAsia="Calibri"/>
          <w:spacing w:val="-2"/>
          <w:sz w:val="20"/>
          <w:szCs w:val="20"/>
        </w:rPr>
        <w:t xml:space="preserve"> respecto </w:t>
      </w:r>
      <w:r w:rsidRPr="00D13792">
        <w:rPr>
          <w:spacing w:val="-2"/>
          <w:sz w:val="20"/>
          <w:szCs w:val="20"/>
        </w:rPr>
        <w:t xml:space="preserve">al </w:t>
      </w:r>
      <w:r w:rsidRPr="00D13792">
        <w:rPr>
          <w:rFonts w:eastAsia="Calibri"/>
          <w:spacing w:val="-2"/>
          <w:sz w:val="20"/>
          <w:szCs w:val="20"/>
        </w:rPr>
        <w:t>severo sufrimiento de los familiares</w:t>
      </w:r>
      <w:r w:rsidRPr="00D13792">
        <w:rPr>
          <w:spacing w:val="-2"/>
          <w:sz w:val="20"/>
          <w:szCs w:val="20"/>
        </w:rPr>
        <w:t xml:space="preserve"> en </w:t>
      </w:r>
      <w:r w:rsidRPr="00D13792">
        <w:rPr>
          <w:rFonts w:eastAsia="Calibri"/>
          <w:spacing w:val="-2"/>
          <w:sz w:val="20"/>
          <w:szCs w:val="20"/>
        </w:rPr>
        <w:t>las circunstancias particulares del presente caso</w:t>
      </w:r>
      <w:r w:rsidRPr="00D13792">
        <w:rPr>
          <w:spacing w:val="-2"/>
          <w:sz w:val="20"/>
          <w:szCs w:val="20"/>
        </w:rPr>
        <w:t xml:space="preserve">, y tampoco </w:t>
      </w:r>
      <w:r w:rsidRPr="00D13792">
        <w:rPr>
          <w:rFonts w:eastAsia="Calibri"/>
          <w:spacing w:val="-2"/>
          <w:sz w:val="20"/>
          <w:szCs w:val="20"/>
        </w:rPr>
        <w:t>desvirtuó la calidad de familiares de las víctimas desaparecidas</w:t>
      </w:r>
      <w:r w:rsidRPr="00D13792">
        <w:rPr>
          <w:rFonts w:eastAsia="Calibri" w:cs="Arial"/>
          <w:spacing w:val="-2"/>
          <w:sz w:val="20"/>
          <w:szCs w:val="20"/>
        </w:rPr>
        <w:t xml:space="preserve">. Por tanto, </w:t>
      </w:r>
      <w:r w:rsidRPr="00D13792">
        <w:rPr>
          <w:rFonts w:eastAsia="Calibri"/>
          <w:spacing w:val="-2"/>
          <w:sz w:val="20"/>
          <w:szCs w:val="20"/>
        </w:rPr>
        <w:t xml:space="preserve">la Corte considera suficientemente fundada la presunción del daño a su integridad psíquica y moral. </w:t>
      </w:r>
    </w:p>
    <w:p w14:paraId="2B408318" w14:textId="77777777" w:rsidR="006A0E1C" w:rsidRPr="00D13792" w:rsidRDefault="006A0E1C" w:rsidP="006A0E1C">
      <w:pPr>
        <w:pStyle w:val="ListParagraph"/>
        <w:spacing w:after="0" w:line="240" w:lineRule="auto"/>
        <w:rPr>
          <w:rFonts w:ascii="Verdana" w:hAnsi="Verdana"/>
          <w:sz w:val="20"/>
          <w:lang w:val="es-CR"/>
        </w:rPr>
      </w:pPr>
    </w:p>
    <w:p w14:paraId="64F20729" w14:textId="77777777" w:rsidR="006A0E1C" w:rsidRPr="00D13792" w:rsidRDefault="006A0E1C" w:rsidP="006A0E1C">
      <w:pPr>
        <w:numPr>
          <w:ilvl w:val="0"/>
          <w:numId w:val="6"/>
        </w:numPr>
        <w:tabs>
          <w:tab w:val="left" w:pos="567"/>
        </w:tabs>
        <w:spacing w:line="240" w:lineRule="auto"/>
        <w:ind w:right="4"/>
        <w:rPr>
          <w:rFonts w:eastAsia="Calibri"/>
          <w:b/>
          <w:spacing w:val="-2"/>
          <w:sz w:val="20"/>
          <w:szCs w:val="20"/>
          <w:u w:val="single"/>
        </w:rPr>
      </w:pPr>
      <w:r w:rsidRPr="00D13792">
        <w:rPr>
          <w:sz w:val="20"/>
          <w:szCs w:val="20"/>
        </w:rPr>
        <w:t xml:space="preserve">La Corte considera que los familiares de las 22 personas que han sido víctimas de desaparición forzada son víctimas de violación a su integridad personal debido al sufrimiento causado por la incertidumbre de conocer lo sucedido a sus familiares, el duelo no concluido, la negativa de las autoridades estatales de proporcionar información sobre </w:t>
      </w:r>
      <w:r w:rsidRPr="00D13792">
        <w:rPr>
          <w:spacing w:val="-2"/>
          <w:sz w:val="20"/>
          <w:szCs w:val="20"/>
        </w:rPr>
        <w:t>la suerte o el paradero de dichas persona</w:t>
      </w:r>
      <w:r w:rsidRPr="00D13792">
        <w:rPr>
          <w:sz w:val="20"/>
          <w:szCs w:val="20"/>
        </w:rPr>
        <w:t xml:space="preserve">s que permitiera a los familiares determinar con certidumbre su vida o muerte y la desidia investigativa por parte de las autoridades estatales para atender las denuncias e investigar lo sucedido. </w:t>
      </w:r>
    </w:p>
    <w:p w14:paraId="34099FC3" w14:textId="77777777" w:rsidR="006A0E1C" w:rsidRPr="00D13792" w:rsidRDefault="006A0E1C" w:rsidP="006A0E1C">
      <w:pPr>
        <w:tabs>
          <w:tab w:val="left" w:pos="567"/>
        </w:tabs>
        <w:spacing w:line="240" w:lineRule="auto"/>
        <w:ind w:right="4"/>
        <w:rPr>
          <w:rFonts w:eastAsia="Calibri"/>
          <w:b/>
          <w:spacing w:val="-2"/>
          <w:sz w:val="20"/>
          <w:szCs w:val="20"/>
          <w:u w:val="single"/>
        </w:rPr>
      </w:pPr>
    </w:p>
    <w:p w14:paraId="7042DCF2" w14:textId="77777777" w:rsidR="006A0E1C" w:rsidRPr="00D13792" w:rsidRDefault="006A0E1C" w:rsidP="006A0E1C">
      <w:pPr>
        <w:numPr>
          <w:ilvl w:val="0"/>
          <w:numId w:val="6"/>
        </w:numPr>
        <w:tabs>
          <w:tab w:val="left" w:pos="567"/>
        </w:tabs>
        <w:spacing w:line="240" w:lineRule="auto"/>
        <w:ind w:right="4"/>
        <w:rPr>
          <w:rFonts w:eastAsia="Calibri"/>
          <w:spacing w:val="-2"/>
          <w:sz w:val="20"/>
          <w:szCs w:val="20"/>
        </w:rPr>
      </w:pPr>
      <w:r w:rsidRPr="00D13792">
        <w:rPr>
          <w:spacing w:val="-2"/>
          <w:sz w:val="20"/>
          <w:szCs w:val="20"/>
        </w:rPr>
        <w:t xml:space="preserve">Por todo lo anterior, el </w:t>
      </w:r>
      <w:r w:rsidRPr="00D13792">
        <w:rPr>
          <w:rFonts w:cs="Arial"/>
          <w:spacing w:val="-2"/>
          <w:sz w:val="20"/>
          <w:szCs w:val="20"/>
        </w:rPr>
        <w:t>Tribunal</w:t>
      </w:r>
      <w:r w:rsidRPr="00D13792">
        <w:rPr>
          <w:spacing w:val="-2"/>
          <w:sz w:val="20"/>
          <w:szCs w:val="20"/>
        </w:rPr>
        <w:t xml:space="preserve"> concluye que el Estado violó el derecho a la integridad psíquica y </w:t>
      </w:r>
      <w:r w:rsidRPr="00D13792">
        <w:rPr>
          <w:sz w:val="20"/>
          <w:szCs w:val="20"/>
        </w:rPr>
        <w:t>moral</w:t>
      </w:r>
      <w:r w:rsidRPr="00D13792">
        <w:rPr>
          <w:spacing w:val="-2"/>
          <w:sz w:val="20"/>
          <w:szCs w:val="20"/>
        </w:rPr>
        <w:t xml:space="preserve"> </w:t>
      </w:r>
      <w:r w:rsidRPr="00D13792">
        <w:rPr>
          <w:rFonts w:eastAsia="Calibri"/>
          <w:spacing w:val="-2"/>
          <w:sz w:val="20"/>
          <w:szCs w:val="20"/>
        </w:rPr>
        <w:t>establecido</w:t>
      </w:r>
      <w:r w:rsidRPr="00D13792">
        <w:rPr>
          <w:spacing w:val="-2"/>
          <w:sz w:val="20"/>
          <w:szCs w:val="20"/>
        </w:rPr>
        <w:t xml:space="preserve"> en el artículo 5.1 de la Convención Americana, en relación con el artículo 1.1 del mismo instrumento, en perjuicio de los familiares de las 22 víctimas de desaparición forzada</w:t>
      </w:r>
      <w:r w:rsidRPr="00D13792">
        <w:rPr>
          <w:bCs/>
          <w:spacing w:val="-2"/>
          <w:sz w:val="20"/>
          <w:szCs w:val="20"/>
        </w:rPr>
        <w:t xml:space="preserve">. </w:t>
      </w:r>
      <w:r w:rsidRPr="00D13792">
        <w:rPr>
          <w:rFonts w:eastAsia="Batang" w:cs="Times"/>
          <w:sz w:val="20"/>
          <w:szCs w:val="20"/>
        </w:rPr>
        <w:t xml:space="preserve">Los nombres de tales personas se </w:t>
      </w:r>
      <w:r w:rsidRPr="00D13792">
        <w:rPr>
          <w:sz w:val="20"/>
          <w:szCs w:val="20"/>
        </w:rPr>
        <w:t>encuentran</w:t>
      </w:r>
      <w:r w:rsidRPr="00D13792">
        <w:rPr>
          <w:rFonts w:eastAsia="Batang" w:cs="Times"/>
          <w:sz w:val="20"/>
          <w:szCs w:val="20"/>
        </w:rPr>
        <w:t xml:space="preserve"> en el Anexo I de esta Sentencia.</w:t>
      </w:r>
    </w:p>
    <w:p w14:paraId="50231956" w14:textId="77777777" w:rsidR="006A0E1C" w:rsidRPr="00D13792" w:rsidRDefault="006A0E1C" w:rsidP="006A0E1C">
      <w:pPr>
        <w:pStyle w:val="ListParagraph"/>
        <w:spacing w:after="0" w:line="240" w:lineRule="auto"/>
        <w:rPr>
          <w:rFonts w:cs="Arial"/>
          <w:sz w:val="20"/>
          <w:szCs w:val="20"/>
          <w:lang w:val="es-CR"/>
        </w:rPr>
      </w:pPr>
    </w:p>
    <w:p w14:paraId="6D8FE7F5" w14:textId="77777777" w:rsidR="006A0E1C" w:rsidRPr="00D13792" w:rsidRDefault="006A0E1C" w:rsidP="006A0E1C">
      <w:pPr>
        <w:numPr>
          <w:ilvl w:val="0"/>
          <w:numId w:val="6"/>
        </w:numPr>
        <w:tabs>
          <w:tab w:val="left" w:pos="567"/>
        </w:tabs>
        <w:spacing w:line="240" w:lineRule="auto"/>
        <w:ind w:right="4"/>
        <w:rPr>
          <w:rFonts w:eastAsia="Calibri"/>
          <w:spacing w:val="-2"/>
          <w:sz w:val="20"/>
          <w:szCs w:val="20"/>
        </w:rPr>
      </w:pPr>
      <w:r w:rsidRPr="00D13792">
        <w:rPr>
          <w:sz w:val="20"/>
          <w:szCs w:val="20"/>
        </w:rPr>
        <w:t>Ahora</w:t>
      </w:r>
      <w:r w:rsidRPr="00D13792">
        <w:rPr>
          <w:rFonts w:eastAsia="Calibri" w:cs="Arial"/>
          <w:spacing w:val="-2"/>
          <w:sz w:val="20"/>
          <w:szCs w:val="20"/>
        </w:rPr>
        <w:t xml:space="preserve"> bien, en cuanto a la alegada violación del derecho de protección a la familia, la Corte nota, p</w:t>
      </w:r>
      <w:r w:rsidRPr="00D13792">
        <w:rPr>
          <w:bCs/>
          <w:spacing w:val="-2"/>
          <w:sz w:val="20"/>
          <w:szCs w:val="20"/>
        </w:rPr>
        <w:t xml:space="preserve">rimero, que en el presente caso </w:t>
      </w:r>
      <w:r w:rsidRPr="00D13792">
        <w:rPr>
          <w:rFonts w:eastAsia="Calibri" w:cs="Arial"/>
          <w:spacing w:val="-2"/>
          <w:sz w:val="20"/>
          <w:szCs w:val="20"/>
        </w:rPr>
        <w:t xml:space="preserve">algunas víctimas de desaparición forzada </w:t>
      </w:r>
      <w:r w:rsidRPr="00D13792">
        <w:rPr>
          <w:sz w:val="20"/>
          <w:szCs w:val="20"/>
        </w:rPr>
        <w:t>mantenían</w:t>
      </w:r>
      <w:r w:rsidRPr="00D13792">
        <w:rPr>
          <w:rFonts w:eastAsia="Calibri" w:cs="Arial"/>
          <w:spacing w:val="-2"/>
          <w:sz w:val="20"/>
          <w:szCs w:val="20"/>
        </w:rPr>
        <w:t xml:space="preserve"> entre ellas vínculos familiares estrechos, esto es, padres, madres, hijos, hermanos y sobrino</w:t>
      </w:r>
      <w:r w:rsidRPr="00D13792">
        <w:rPr>
          <w:sz w:val="20"/>
          <w:szCs w:val="20"/>
        </w:rPr>
        <w:t>, por lo que las familias de estas víctimas tuvieron que enfrentar el dolor de la desaparición forzada de varios de sus miembros, acrecentando con ello el impacto de lo vivido</w:t>
      </w:r>
      <w:r w:rsidRPr="00D13792">
        <w:rPr>
          <w:rStyle w:val="FootnoteReference"/>
          <w:sz w:val="20"/>
          <w:szCs w:val="20"/>
        </w:rPr>
        <w:footnoteReference w:id="181"/>
      </w:r>
      <w:r w:rsidRPr="00D13792">
        <w:rPr>
          <w:sz w:val="20"/>
          <w:szCs w:val="20"/>
        </w:rPr>
        <w:t xml:space="preserve">. Segundo, en una gran mayoría de los casos, los familiares presenciaron la detención de las víctimas en sus propias viviendas o en las inmediaciones, las cuales se llevaron a cabo por los agentes de seguridad del Estado, y esa fue la última vez que los vieron con vida. En consecuencia, el modo en que se realizaron dichas detenciones ocasionó una clara percepción de desprotección </w:t>
      </w:r>
      <w:r w:rsidRPr="00D13792">
        <w:rPr>
          <w:sz w:val="20"/>
          <w:szCs w:val="20"/>
        </w:rPr>
        <w:lastRenderedPageBreak/>
        <w:t>en las familias que persistió en el tiempo</w:t>
      </w:r>
      <w:r w:rsidRPr="00D13792">
        <w:rPr>
          <w:rStyle w:val="FootnoteReference"/>
          <w:sz w:val="20"/>
          <w:szCs w:val="20"/>
        </w:rPr>
        <w:footnoteReference w:id="182"/>
      </w:r>
      <w:r w:rsidRPr="00D13792">
        <w:rPr>
          <w:sz w:val="20"/>
          <w:szCs w:val="20"/>
        </w:rPr>
        <w:t xml:space="preserve">. Tercero, la falta de un entierro de acuerdo con las tradiciones de la cultura maya achí rompió las relaciones de reciprocidad y armonía entre vivos </w:t>
      </w:r>
      <w:r w:rsidRPr="00D13792">
        <w:rPr>
          <w:rFonts w:cs="Arial"/>
          <w:sz w:val="20"/>
          <w:szCs w:val="20"/>
        </w:rPr>
        <w:t xml:space="preserve">y </w:t>
      </w:r>
      <w:r w:rsidRPr="00D13792">
        <w:rPr>
          <w:sz w:val="20"/>
          <w:szCs w:val="20"/>
        </w:rPr>
        <w:t>muertos, afectando la unión de las familias con sus ancestros</w:t>
      </w:r>
      <w:r w:rsidRPr="00D13792">
        <w:rPr>
          <w:rStyle w:val="FootnoteReference"/>
          <w:sz w:val="20"/>
          <w:szCs w:val="20"/>
        </w:rPr>
        <w:footnoteReference w:id="183"/>
      </w:r>
      <w:r w:rsidRPr="00D13792">
        <w:rPr>
          <w:sz w:val="20"/>
          <w:szCs w:val="20"/>
        </w:rPr>
        <w:t xml:space="preserve">. Cuarto, la desaparición forzada y el desplazamiento provocó la separación y/o desintegración de las familias, tal como se analiza en el siguiente Capítulo </w:t>
      </w:r>
      <w:r w:rsidRPr="00D13792">
        <w:rPr>
          <w:i/>
          <w:sz w:val="20"/>
          <w:szCs w:val="20"/>
        </w:rPr>
        <w:t>infra</w:t>
      </w:r>
      <w:r w:rsidRPr="00D13792">
        <w:rPr>
          <w:sz w:val="20"/>
          <w:szCs w:val="20"/>
        </w:rPr>
        <w:t xml:space="preserve">. </w:t>
      </w:r>
    </w:p>
    <w:p w14:paraId="44C29B8A" w14:textId="77777777" w:rsidR="006A0E1C" w:rsidRPr="00D13792" w:rsidRDefault="006A0E1C" w:rsidP="006A0E1C">
      <w:pPr>
        <w:tabs>
          <w:tab w:val="left" w:pos="567"/>
        </w:tabs>
        <w:spacing w:line="240" w:lineRule="auto"/>
        <w:ind w:right="4"/>
        <w:rPr>
          <w:rFonts w:eastAsia="Calibri"/>
          <w:b/>
          <w:spacing w:val="-2"/>
          <w:sz w:val="20"/>
          <w:szCs w:val="20"/>
        </w:rPr>
      </w:pPr>
    </w:p>
    <w:p w14:paraId="78D5C895" w14:textId="77777777" w:rsidR="006A0E1C" w:rsidRPr="00D13792" w:rsidRDefault="006A0E1C" w:rsidP="006A0E1C">
      <w:pPr>
        <w:numPr>
          <w:ilvl w:val="0"/>
          <w:numId w:val="6"/>
        </w:numPr>
        <w:tabs>
          <w:tab w:val="left" w:pos="567"/>
        </w:tabs>
        <w:spacing w:line="240" w:lineRule="auto"/>
        <w:ind w:right="4"/>
        <w:rPr>
          <w:sz w:val="20"/>
          <w:szCs w:val="20"/>
        </w:rPr>
      </w:pPr>
      <w:r w:rsidRPr="00D13792">
        <w:rPr>
          <w:sz w:val="20"/>
          <w:szCs w:val="20"/>
        </w:rPr>
        <w:t>Por tales motivos, el Tribunal considera que en este caso Guatemala también violó el artículo 17.1 de la Convención Americana, en relación con el artículo 1.1 del mismo instrumento, en perjuicio de los familiares de las 22 víctimas de desaparición forzada.</w:t>
      </w:r>
    </w:p>
    <w:p w14:paraId="3C7CF8F6" w14:textId="77777777" w:rsidR="006A0E1C" w:rsidRPr="00D13792" w:rsidRDefault="006A0E1C" w:rsidP="006A0E1C">
      <w:pPr>
        <w:pStyle w:val="Heading1"/>
        <w:rPr>
          <w:lang w:val="es-CR"/>
        </w:rPr>
      </w:pPr>
    </w:p>
    <w:p w14:paraId="2167C086" w14:textId="77777777" w:rsidR="006A0E1C" w:rsidRPr="00D13792" w:rsidRDefault="006A0E1C" w:rsidP="006A0E1C">
      <w:pPr>
        <w:pStyle w:val="Heading1"/>
        <w:rPr>
          <w:lang w:val="es-CR"/>
        </w:rPr>
      </w:pPr>
      <w:bookmarkStart w:id="207" w:name="_Toc469670046"/>
      <w:r w:rsidRPr="00D13792">
        <w:rPr>
          <w:lang w:val="es-CR"/>
        </w:rPr>
        <w:t>IX.II</w:t>
      </w:r>
      <w:bookmarkEnd w:id="207"/>
    </w:p>
    <w:p w14:paraId="24518F47" w14:textId="77777777" w:rsidR="006A0E1C" w:rsidRPr="00D13792" w:rsidRDefault="006A0E1C" w:rsidP="006A0E1C">
      <w:pPr>
        <w:pStyle w:val="Heading1"/>
        <w:rPr>
          <w:lang w:val="es-CR"/>
        </w:rPr>
      </w:pPr>
      <w:bookmarkStart w:id="208" w:name="_Toc469670047"/>
      <w:bookmarkStart w:id="209" w:name="_Toc365021448"/>
      <w:bookmarkStart w:id="210" w:name="_Toc369076826"/>
      <w:bookmarkStart w:id="211" w:name="_Toc369989407"/>
      <w:bookmarkStart w:id="212" w:name="_Toc369989494"/>
      <w:bookmarkStart w:id="213" w:name="_Toc369989775"/>
      <w:bookmarkStart w:id="214" w:name="_Toc375154257"/>
      <w:r w:rsidRPr="00D13792">
        <w:rPr>
          <w:lang w:val="es-CR"/>
        </w:rPr>
        <w:t>DERECHO DE CIRCULACIÓN Y RESIDENCIA</w:t>
      </w:r>
      <w:r w:rsidRPr="00D13792">
        <w:rPr>
          <w:rStyle w:val="FootnoteReference"/>
          <w:lang w:val="es-CR"/>
        </w:rPr>
        <w:footnoteReference w:id="184"/>
      </w:r>
      <w:bookmarkEnd w:id="208"/>
    </w:p>
    <w:p w14:paraId="67F24BEA" w14:textId="77777777" w:rsidR="006A0E1C" w:rsidRPr="00D13792" w:rsidRDefault="006A0E1C" w:rsidP="006A0E1C">
      <w:pPr>
        <w:widowControl/>
        <w:adjustRightInd/>
        <w:spacing w:line="240" w:lineRule="auto"/>
        <w:jc w:val="left"/>
        <w:textAlignment w:val="auto"/>
        <w:rPr>
          <w:rFonts w:eastAsia="Times"/>
          <w:b/>
          <w:i/>
          <w:caps/>
          <w:sz w:val="16"/>
          <w:szCs w:val="20"/>
          <w:lang w:eastAsia="en-US"/>
        </w:rPr>
      </w:pPr>
    </w:p>
    <w:p w14:paraId="555747E4" w14:textId="77777777" w:rsidR="006A0E1C" w:rsidRPr="00D13792" w:rsidRDefault="006A0E1C" w:rsidP="006A0E1C">
      <w:pPr>
        <w:pStyle w:val="Heading2"/>
        <w:numPr>
          <w:ilvl w:val="0"/>
          <w:numId w:val="39"/>
        </w:numPr>
        <w:tabs>
          <w:tab w:val="clear" w:pos="720"/>
        </w:tabs>
        <w:ind w:left="0" w:firstLine="0"/>
        <w:rPr>
          <w:rFonts w:eastAsia="Times"/>
          <w:caps/>
          <w:lang w:val="es-CR"/>
        </w:rPr>
      </w:pPr>
      <w:bookmarkStart w:id="215" w:name="_Toc469670048"/>
      <w:r w:rsidRPr="00D13792">
        <w:rPr>
          <w:rFonts w:eastAsia="Times"/>
          <w:lang w:val="es-CR"/>
        </w:rPr>
        <w:t>Argumentos de la Comisión y de las partes</w:t>
      </w:r>
      <w:bookmarkEnd w:id="209"/>
      <w:bookmarkEnd w:id="210"/>
      <w:bookmarkEnd w:id="211"/>
      <w:bookmarkEnd w:id="212"/>
      <w:bookmarkEnd w:id="213"/>
      <w:bookmarkEnd w:id="214"/>
      <w:bookmarkEnd w:id="215"/>
    </w:p>
    <w:p w14:paraId="106DE7A6" w14:textId="77777777" w:rsidR="006A0E1C" w:rsidRPr="00D13792" w:rsidRDefault="006A0E1C" w:rsidP="006A0E1C">
      <w:pPr>
        <w:widowControl/>
        <w:adjustRightInd/>
        <w:spacing w:line="240" w:lineRule="auto"/>
        <w:jc w:val="left"/>
        <w:textAlignment w:val="auto"/>
        <w:rPr>
          <w:rFonts w:eastAsia="Times"/>
          <w:b/>
          <w:i/>
          <w:sz w:val="16"/>
          <w:szCs w:val="20"/>
        </w:rPr>
      </w:pPr>
    </w:p>
    <w:p w14:paraId="635C7B68" w14:textId="77777777" w:rsidR="006A0E1C" w:rsidRPr="00D13792" w:rsidRDefault="006A0E1C" w:rsidP="006A0E1C">
      <w:pPr>
        <w:numPr>
          <w:ilvl w:val="0"/>
          <w:numId w:val="6"/>
        </w:numPr>
        <w:spacing w:line="240" w:lineRule="auto"/>
        <w:ind w:right="4"/>
        <w:rPr>
          <w:rFonts w:eastAsia="Times" w:cs="Arial"/>
          <w:b/>
          <w:sz w:val="20"/>
          <w:szCs w:val="20"/>
        </w:rPr>
      </w:pPr>
      <w:r w:rsidRPr="00D13792">
        <w:rPr>
          <w:rFonts w:eastAsia="Times" w:cs="Arial"/>
          <w:sz w:val="20"/>
          <w:szCs w:val="20"/>
        </w:rPr>
        <w:t xml:space="preserve">La </w:t>
      </w:r>
      <w:r w:rsidRPr="00D13792">
        <w:rPr>
          <w:rFonts w:eastAsia="Times" w:cs="Arial"/>
          <w:b/>
          <w:i/>
          <w:sz w:val="20"/>
          <w:szCs w:val="20"/>
        </w:rPr>
        <w:t>Comisión</w:t>
      </w:r>
      <w:r w:rsidRPr="00D13792">
        <w:rPr>
          <w:rFonts w:eastAsia="Times" w:cs="Arial"/>
          <w:sz w:val="20"/>
          <w:szCs w:val="20"/>
        </w:rPr>
        <w:t xml:space="preserve"> alegó</w:t>
      </w:r>
      <w:r w:rsidRPr="00D13792">
        <w:rPr>
          <w:rFonts w:eastAsia="Times"/>
          <w:sz w:val="20"/>
          <w:szCs w:val="20"/>
        </w:rPr>
        <w:t xml:space="preserve"> </w:t>
      </w:r>
      <w:r w:rsidRPr="00D13792">
        <w:rPr>
          <w:sz w:val="20"/>
          <w:szCs w:val="20"/>
        </w:rPr>
        <w:t>que</w:t>
      </w:r>
      <w:r w:rsidRPr="00D13792">
        <w:rPr>
          <w:rFonts w:eastAsia="Times"/>
          <w:sz w:val="20"/>
          <w:szCs w:val="20"/>
        </w:rPr>
        <w:t xml:space="preserve"> los miembros de Chichupac y comunidades vecinas se vieron forzados a abandonar su </w:t>
      </w:r>
      <w:r w:rsidRPr="00D13792">
        <w:rPr>
          <w:sz w:val="20"/>
          <w:szCs w:val="20"/>
        </w:rPr>
        <w:t>aldea</w:t>
      </w:r>
      <w:r w:rsidRPr="00D13792">
        <w:rPr>
          <w:rFonts w:eastAsia="Times"/>
          <w:sz w:val="20"/>
          <w:szCs w:val="20"/>
        </w:rPr>
        <w:t xml:space="preserve">, dejando destruidas o abandonadas sus pertenencias, sus casas y sus </w:t>
      </w:r>
      <w:r w:rsidRPr="00D13792">
        <w:rPr>
          <w:spacing w:val="-2"/>
          <w:sz w:val="20"/>
          <w:szCs w:val="20"/>
        </w:rPr>
        <w:t>tierras</w:t>
      </w:r>
      <w:r w:rsidRPr="00D13792">
        <w:rPr>
          <w:rFonts w:eastAsia="Times"/>
          <w:sz w:val="20"/>
          <w:szCs w:val="20"/>
        </w:rPr>
        <w:t xml:space="preserve">, y a desplazarse en un principio a comunidades vecinas o a las montañas. Destacó que, en dicho </w:t>
      </w:r>
      <w:r w:rsidRPr="00D13792">
        <w:rPr>
          <w:spacing w:val="-2"/>
          <w:sz w:val="20"/>
          <w:szCs w:val="20"/>
        </w:rPr>
        <w:t>contexto</w:t>
      </w:r>
      <w:r w:rsidRPr="00D13792">
        <w:rPr>
          <w:rFonts w:eastAsia="Times"/>
          <w:sz w:val="20"/>
          <w:szCs w:val="20"/>
        </w:rPr>
        <w:t xml:space="preserve"> de miedo e inseguridad debido a la persecución del Estado, estas personas vivieron por varios meses y años luchando para sobrevivir las amenazas y persecuciones, el hambre y la falta de acceso a servicios de salud y educación. Sostuvo que a partir de fines de 1983, los sobrevivientes de la aldea Chichupac fueron reasentados en la aldea modelo establecida por el Ejército Nacional, en condiciones de vida precarias y sujetos a control militar permanente.</w:t>
      </w:r>
      <w:r w:rsidRPr="00D13792">
        <w:rPr>
          <w:rFonts w:eastAsia="Times" w:cs="Arial"/>
          <w:sz w:val="20"/>
          <w:szCs w:val="20"/>
        </w:rPr>
        <w:t xml:space="preserve"> </w:t>
      </w:r>
      <w:r w:rsidRPr="00D13792">
        <w:rPr>
          <w:rFonts w:eastAsia="Times"/>
          <w:sz w:val="20"/>
          <w:szCs w:val="20"/>
        </w:rPr>
        <w:t>Además, observó que los hechos del caso se enmarcan en una situación generalizada de desplazamiento forzado interno que afectó especialmente a la población indígena y que fue causada por los hechos de terror a los que fue sometida en el marco del conflicto armado. Por lo tanto, concluyó que Guatemala es responsable de la violación del artículo 22.1 de la Convención, en relación con el artículo 1.1 de dicho tratado, en perjuicio de los sobrevivientes de la aldea Chichupac y comunidades vecinas.</w:t>
      </w:r>
      <w:r w:rsidRPr="00D13792">
        <w:rPr>
          <w:rFonts w:eastAsia="Times" w:cs="Arial"/>
          <w:b/>
          <w:sz w:val="20"/>
          <w:szCs w:val="20"/>
        </w:rPr>
        <w:t xml:space="preserve"> </w:t>
      </w:r>
    </w:p>
    <w:p w14:paraId="6DF73625" w14:textId="77777777" w:rsidR="006A0E1C" w:rsidRPr="00D13792" w:rsidRDefault="006A0E1C" w:rsidP="006A0E1C">
      <w:pPr>
        <w:widowControl/>
        <w:autoSpaceDE w:val="0"/>
        <w:autoSpaceDN w:val="0"/>
        <w:spacing w:line="240" w:lineRule="auto"/>
        <w:textAlignment w:val="auto"/>
        <w:rPr>
          <w:rFonts w:eastAsia="Times" w:cs="Arial"/>
          <w:b/>
          <w:sz w:val="20"/>
          <w:szCs w:val="20"/>
          <w:lang w:eastAsia="en-US"/>
        </w:rPr>
      </w:pPr>
    </w:p>
    <w:p w14:paraId="3FE522D3" w14:textId="77777777" w:rsidR="006A0E1C" w:rsidRPr="00D13792" w:rsidRDefault="006A0E1C" w:rsidP="006A0E1C">
      <w:pPr>
        <w:numPr>
          <w:ilvl w:val="0"/>
          <w:numId w:val="6"/>
        </w:numPr>
        <w:spacing w:line="240" w:lineRule="auto"/>
        <w:ind w:right="4"/>
        <w:rPr>
          <w:rFonts w:eastAsia="Times"/>
          <w:b/>
          <w:sz w:val="20"/>
          <w:szCs w:val="20"/>
        </w:rPr>
      </w:pPr>
      <w:r w:rsidRPr="00D13792">
        <w:rPr>
          <w:rFonts w:eastAsia="Times"/>
          <w:sz w:val="20"/>
          <w:szCs w:val="20"/>
        </w:rPr>
        <w:t xml:space="preserve">En sus observaciones finales, la Comisión señaló que el desplazamiento forzado ha permanecido por años y son </w:t>
      </w:r>
      <w:r w:rsidRPr="00D13792">
        <w:rPr>
          <w:sz w:val="20"/>
          <w:szCs w:val="20"/>
        </w:rPr>
        <w:t>hechos</w:t>
      </w:r>
      <w:r w:rsidRPr="00D13792">
        <w:rPr>
          <w:rFonts w:eastAsia="Times"/>
          <w:sz w:val="20"/>
          <w:szCs w:val="20"/>
        </w:rPr>
        <w:t xml:space="preserve"> que tienen una naturaleza de carácter continuo o de tracto sucesivo. Argumentó que además del desplazamiento forzado, en el presente caso ocurrieron otras violaciones </w:t>
      </w:r>
      <w:r w:rsidRPr="00D13792">
        <w:rPr>
          <w:sz w:val="20"/>
          <w:szCs w:val="20"/>
        </w:rPr>
        <w:t>conexas</w:t>
      </w:r>
      <w:r w:rsidRPr="00D13792">
        <w:rPr>
          <w:rFonts w:eastAsia="Times"/>
          <w:sz w:val="20"/>
          <w:szCs w:val="20"/>
        </w:rPr>
        <w:t xml:space="preserve"> que han continuado y cuyos efectos se han extendido en el tiempo debido a la omisión prolongada del Estado de ofrecer una respuesta adecuada en </w:t>
      </w:r>
      <w:r w:rsidRPr="00D13792">
        <w:rPr>
          <w:sz w:val="20"/>
          <w:szCs w:val="20"/>
        </w:rPr>
        <w:t>materia</w:t>
      </w:r>
      <w:r w:rsidRPr="00D13792">
        <w:rPr>
          <w:rFonts w:eastAsia="Times"/>
          <w:sz w:val="20"/>
          <w:szCs w:val="20"/>
        </w:rPr>
        <w:t xml:space="preserve"> de reparación. Al respecto, señaló que la continuidad de la destrucción de la estructura social, la desvinculación con los líderes comunitarios y la pérdida de las prácticas culturales y tradicionales, así como del idioma maya achí, siguen destruyendo y aniquilando la cultura maya, en perjuicio de los sobrevivientes y las comunidades vecinas.</w:t>
      </w:r>
      <w:r w:rsidRPr="00D13792">
        <w:rPr>
          <w:rFonts w:eastAsia="Times"/>
          <w:b/>
          <w:sz w:val="20"/>
          <w:szCs w:val="20"/>
        </w:rPr>
        <w:t xml:space="preserve"> </w:t>
      </w:r>
      <w:r w:rsidRPr="00D13792">
        <w:rPr>
          <w:rFonts w:eastAsia="Times"/>
          <w:sz w:val="20"/>
          <w:szCs w:val="20"/>
        </w:rPr>
        <w:t xml:space="preserve">Sobre esto último, alegó la vulneración de </w:t>
      </w:r>
      <w:r w:rsidRPr="00D13792">
        <w:rPr>
          <w:rFonts w:eastAsia="Calibri" w:cs="Cambria"/>
          <w:sz w:val="20"/>
          <w:szCs w:val="20"/>
        </w:rPr>
        <w:t>la libertad de consciencia y religión y la libertad de asociación, establecidos en los artículos 12 y 16 de la Convención.</w:t>
      </w:r>
    </w:p>
    <w:p w14:paraId="5475DC62" w14:textId="77777777" w:rsidR="006A0E1C" w:rsidRPr="00D13792" w:rsidRDefault="006A0E1C" w:rsidP="006A0E1C">
      <w:pPr>
        <w:widowControl/>
        <w:adjustRightInd/>
        <w:spacing w:line="240" w:lineRule="auto"/>
        <w:textAlignment w:val="auto"/>
        <w:rPr>
          <w:rFonts w:cs="Arial"/>
          <w:b/>
          <w:sz w:val="20"/>
          <w:szCs w:val="20"/>
          <w:lang w:eastAsia="en-US"/>
        </w:rPr>
      </w:pPr>
    </w:p>
    <w:p w14:paraId="48946C60" w14:textId="77777777" w:rsidR="006A0E1C" w:rsidRPr="00D13792" w:rsidRDefault="006A0E1C" w:rsidP="006A0E1C">
      <w:pPr>
        <w:numPr>
          <w:ilvl w:val="0"/>
          <w:numId w:val="6"/>
        </w:numPr>
        <w:spacing w:line="240" w:lineRule="auto"/>
        <w:ind w:right="4"/>
        <w:rPr>
          <w:rFonts w:eastAsia="Times"/>
          <w:b/>
          <w:sz w:val="20"/>
          <w:szCs w:val="20"/>
        </w:rPr>
      </w:pPr>
      <w:r w:rsidRPr="00D13792">
        <w:rPr>
          <w:rFonts w:eastAsia="Times" w:cs="Arial"/>
          <w:sz w:val="20"/>
          <w:szCs w:val="20"/>
        </w:rPr>
        <w:lastRenderedPageBreak/>
        <w:t>Los</w:t>
      </w:r>
      <w:r w:rsidRPr="00D13792">
        <w:rPr>
          <w:rFonts w:eastAsia="Times"/>
          <w:sz w:val="20"/>
          <w:szCs w:val="20"/>
        </w:rPr>
        <w:t xml:space="preserve"> </w:t>
      </w:r>
      <w:r w:rsidRPr="00D13792">
        <w:rPr>
          <w:rFonts w:eastAsia="Times"/>
          <w:b/>
          <w:i/>
          <w:sz w:val="20"/>
          <w:szCs w:val="20"/>
        </w:rPr>
        <w:t>representantes</w:t>
      </w:r>
      <w:r w:rsidRPr="00D13792">
        <w:rPr>
          <w:rFonts w:eastAsia="Times"/>
          <w:sz w:val="20"/>
          <w:szCs w:val="20"/>
        </w:rPr>
        <w:t xml:space="preserve"> coincidieron con la Comisión en que el Estado violó los derechos a la circulación y la residencia de las presuntas víctimas, quienes sufrieron el desplazamiento forzado, masivo y colectivo, y expulsión, debido a las fuerzas represivas estatales, y tuvieron que huir de sus comunidades y territorios ancestrales, refugiándose en otros lugares. </w:t>
      </w:r>
      <w:r w:rsidRPr="00D13792">
        <w:rPr>
          <w:rFonts w:eastAsia="Times" w:cs="Arial"/>
          <w:sz w:val="20"/>
          <w:szCs w:val="20"/>
        </w:rPr>
        <w:t xml:space="preserve">Señalaron que el Estado aseguró la imposibilidad </w:t>
      </w:r>
      <w:r w:rsidRPr="00D13792">
        <w:rPr>
          <w:rFonts w:eastAsia="Calibri" w:cs="Calibri"/>
          <w:sz w:val="20"/>
          <w:szCs w:val="20"/>
        </w:rPr>
        <w:t>de retorno de dichas personas a través de la destrucción de viviendas, bienes, cosechas y animales de las víctimas. Así, enfrentaron la pérdida de sus</w:t>
      </w:r>
      <w:r w:rsidRPr="00D13792">
        <w:rPr>
          <w:rFonts w:eastAsia="Times"/>
          <w:sz w:val="20"/>
          <w:szCs w:val="20"/>
        </w:rPr>
        <w:t xml:space="preserve"> tierras ancestrales, </w:t>
      </w:r>
      <w:r w:rsidRPr="00D13792">
        <w:rPr>
          <w:rFonts w:eastAsia="Calibri" w:cs="Calibri"/>
          <w:sz w:val="20"/>
          <w:szCs w:val="20"/>
        </w:rPr>
        <w:t xml:space="preserve">la falta de garantía de no repetición de estos hechos y el miedo. </w:t>
      </w:r>
      <w:r w:rsidRPr="00D13792">
        <w:rPr>
          <w:rFonts w:eastAsia="Times" w:cs="Arial"/>
          <w:sz w:val="20"/>
          <w:szCs w:val="20"/>
        </w:rPr>
        <w:t xml:space="preserve">Finalmente, aseguraron que el Estado no ha propiciado las condiciones para el retorno de todos los miembros de la comunidad, razón por la cual, </w:t>
      </w:r>
      <w:r w:rsidRPr="00D13792">
        <w:rPr>
          <w:rFonts w:eastAsia="Times"/>
          <w:sz w:val="20"/>
          <w:szCs w:val="20"/>
        </w:rPr>
        <w:t xml:space="preserve">la afectación configurada a través del desplazamiento </w:t>
      </w:r>
      <w:r w:rsidRPr="00D13792">
        <w:rPr>
          <w:sz w:val="20"/>
          <w:szCs w:val="20"/>
        </w:rPr>
        <w:t>forzado</w:t>
      </w:r>
      <w:r w:rsidRPr="00D13792">
        <w:rPr>
          <w:rFonts w:eastAsia="Times"/>
          <w:sz w:val="20"/>
          <w:szCs w:val="20"/>
        </w:rPr>
        <w:t xml:space="preserve"> persiste a través del tiempo y continúa hasta la presente fecha. En consecuencia, consideraron que Guatemala vulneró el artículo 22 de la Convención, así como el 1.1 de ese mismo instrumento, en perjuicio de las personas que identificaron como víctimas y sobrevivientes de la aldea Chichupac y comunidades vecinas del municipio de Rabinal que </w:t>
      </w:r>
      <w:r w:rsidRPr="00D13792">
        <w:rPr>
          <w:rFonts w:eastAsia="Calibri" w:cs="Verdana"/>
          <w:sz w:val="20"/>
          <w:szCs w:val="20"/>
        </w:rPr>
        <w:t>regresaron después del 9 de marzo de 1987 y/o que hasta la presente fecha se encuentran en situación de desplazamiento</w:t>
      </w:r>
      <w:r w:rsidRPr="00D13792">
        <w:rPr>
          <w:rFonts w:eastAsia="Times"/>
          <w:sz w:val="20"/>
          <w:szCs w:val="20"/>
        </w:rPr>
        <w:t>.</w:t>
      </w:r>
      <w:r w:rsidRPr="00D13792">
        <w:rPr>
          <w:rFonts w:eastAsia="Times"/>
          <w:b/>
          <w:sz w:val="20"/>
          <w:szCs w:val="20"/>
        </w:rPr>
        <w:t xml:space="preserve"> </w:t>
      </w:r>
    </w:p>
    <w:p w14:paraId="010E7160" w14:textId="77777777" w:rsidR="006A0E1C" w:rsidRPr="00D13792" w:rsidRDefault="006A0E1C" w:rsidP="006A0E1C">
      <w:pPr>
        <w:widowControl/>
        <w:adjustRightInd/>
        <w:spacing w:line="240" w:lineRule="auto"/>
        <w:contextualSpacing/>
        <w:textAlignment w:val="auto"/>
        <w:rPr>
          <w:rFonts w:eastAsia="Times"/>
          <w:b/>
          <w:sz w:val="20"/>
          <w:szCs w:val="20"/>
          <w:lang w:eastAsia="en-US"/>
        </w:rPr>
      </w:pPr>
    </w:p>
    <w:p w14:paraId="222022D4" w14:textId="77777777" w:rsidR="006A0E1C" w:rsidRPr="00D13792" w:rsidRDefault="006A0E1C" w:rsidP="006A0E1C">
      <w:pPr>
        <w:numPr>
          <w:ilvl w:val="0"/>
          <w:numId w:val="6"/>
        </w:numPr>
        <w:spacing w:line="240" w:lineRule="auto"/>
        <w:ind w:right="4"/>
        <w:rPr>
          <w:rFonts w:eastAsia="Times"/>
          <w:b/>
          <w:sz w:val="20"/>
          <w:szCs w:val="20"/>
        </w:rPr>
      </w:pPr>
      <w:r w:rsidRPr="00D13792">
        <w:rPr>
          <w:rFonts w:eastAsia="Times"/>
          <w:sz w:val="20"/>
          <w:szCs w:val="20"/>
        </w:rPr>
        <w:t xml:space="preserve">En sus alegatos finales, los representantes sostuvieron que el desarraigo de sus tierras y de su cultura aún persiste para muchísimas familias. Señalaron también que las víctimas sobrevivientes, aparte del daño moral intenso causado por la política de tierra arrasada y por los actos de genocidio, sufrieron </w:t>
      </w:r>
      <w:r w:rsidRPr="00D13792">
        <w:rPr>
          <w:rFonts w:eastAsia="Calibri" w:cs="Verdana"/>
          <w:sz w:val="20"/>
          <w:szCs w:val="20"/>
        </w:rPr>
        <w:t>un daño cultural, social y colectivo irreparable por la destrucción del tejido social de dichas comunidades.</w:t>
      </w:r>
      <w:r w:rsidRPr="00D13792">
        <w:rPr>
          <w:rFonts w:eastAsia="Calibri" w:cs="Verdana"/>
          <w:b/>
          <w:sz w:val="20"/>
          <w:szCs w:val="20"/>
        </w:rPr>
        <w:t xml:space="preserve"> </w:t>
      </w:r>
      <w:r w:rsidRPr="00D13792">
        <w:rPr>
          <w:rFonts w:eastAsia="Calibri" w:cs="Verdana"/>
          <w:sz w:val="20"/>
          <w:szCs w:val="20"/>
        </w:rPr>
        <w:t xml:space="preserve">Argumentaron que el desplazamiento forzado ha significado un cambio brutal en el proyecto de vida de las familias. Muchos pasaron violentamente a vivir a un contexto urbano o semiurbano, después de vivir toda su vida en áreas rurales del país, y de ser agricultores a trabajar como peones, ayudantes, en maquilas o en otros trabajos. Muchos de ellos viven en áreas marginales de la ciudad de Guatemala, en el casco urbano de Rabinal, en otros departamentos del país o incluso fuera de Guatemala. </w:t>
      </w:r>
    </w:p>
    <w:p w14:paraId="45E4E646" w14:textId="77777777" w:rsidR="006A0E1C" w:rsidRPr="00D13792" w:rsidRDefault="006A0E1C" w:rsidP="006A0E1C">
      <w:pPr>
        <w:widowControl/>
        <w:adjustRightInd/>
        <w:spacing w:line="240" w:lineRule="auto"/>
        <w:contextualSpacing/>
        <w:textAlignment w:val="auto"/>
        <w:rPr>
          <w:rFonts w:eastAsia="Times"/>
          <w:b/>
          <w:sz w:val="20"/>
          <w:szCs w:val="20"/>
          <w:lang w:eastAsia="en-US"/>
        </w:rPr>
      </w:pPr>
    </w:p>
    <w:p w14:paraId="7962E6CD" w14:textId="77777777" w:rsidR="006A0E1C" w:rsidRPr="00D13792" w:rsidRDefault="006A0E1C" w:rsidP="006A0E1C">
      <w:pPr>
        <w:numPr>
          <w:ilvl w:val="0"/>
          <w:numId w:val="6"/>
        </w:numPr>
        <w:spacing w:line="240" w:lineRule="auto"/>
        <w:ind w:right="4"/>
        <w:rPr>
          <w:rFonts w:eastAsia="Times"/>
          <w:b/>
          <w:i/>
          <w:sz w:val="20"/>
          <w:szCs w:val="20"/>
          <w:lang w:eastAsia="es-ES"/>
        </w:rPr>
      </w:pPr>
      <w:r w:rsidRPr="00D13792">
        <w:rPr>
          <w:rFonts w:eastAsia="Times" w:cs="Arial"/>
          <w:sz w:val="20"/>
          <w:szCs w:val="20"/>
        </w:rPr>
        <w:t>El</w:t>
      </w:r>
      <w:r w:rsidRPr="00D13792">
        <w:rPr>
          <w:rFonts w:eastAsia="Calibri"/>
          <w:sz w:val="20"/>
          <w:szCs w:val="20"/>
        </w:rPr>
        <w:t xml:space="preserve"> </w:t>
      </w:r>
      <w:r w:rsidRPr="00D13792">
        <w:rPr>
          <w:rFonts w:eastAsia="Calibri"/>
          <w:b/>
          <w:i/>
          <w:sz w:val="20"/>
          <w:szCs w:val="20"/>
        </w:rPr>
        <w:t>Estado</w:t>
      </w:r>
      <w:r w:rsidRPr="00D13792">
        <w:rPr>
          <w:rFonts w:eastAsia="Calibri"/>
          <w:sz w:val="20"/>
          <w:szCs w:val="20"/>
        </w:rPr>
        <w:t xml:space="preserve"> indicó que dentro de su normativa interna, reconoce y garantiza el derecho de residencia y </w:t>
      </w:r>
      <w:r w:rsidRPr="00D13792">
        <w:rPr>
          <w:sz w:val="20"/>
          <w:szCs w:val="20"/>
        </w:rPr>
        <w:t>permanencia</w:t>
      </w:r>
      <w:r w:rsidRPr="00D13792">
        <w:rPr>
          <w:rFonts w:eastAsia="Calibri"/>
          <w:sz w:val="20"/>
          <w:szCs w:val="20"/>
        </w:rPr>
        <w:t xml:space="preserve"> en su territorio nacional, así como el derecho de libre circulación. A su vez, se opuso a que la Corte conozca estos hechos, ya que los mismos habrían ocurrido antes de la fecha en que la Corte tuviera competencia.</w:t>
      </w:r>
      <w:bookmarkStart w:id="216" w:name="_Toc448482264"/>
    </w:p>
    <w:p w14:paraId="623D470C" w14:textId="77777777" w:rsidR="006A0E1C" w:rsidRPr="00D13792" w:rsidRDefault="006A0E1C" w:rsidP="006A0E1C">
      <w:pPr>
        <w:pStyle w:val="Heading2"/>
        <w:rPr>
          <w:rFonts w:eastAsia="Times"/>
          <w:lang w:val="es-CR"/>
        </w:rPr>
      </w:pPr>
    </w:p>
    <w:p w14:paraId="63DB8BDF" w14:textId="77777777" w:rsidR="006A0E1C" w:rsidRPr="00D13792" w:rsidRDefault="006A0E1C" w:rsidP="006A0E1C">
      <w:pPr>
        <w:pStyle w:val="Heading2"/>
        <w:numPr>
          <w:ilvl w:val="0"/>
          <w:numId w:val="39"/>
        </w:numPr>
        <w:tabs>
          <w:tab w:val="clear" w:pos="720"/>
        </w:tabs>
        <w:ind w:left="0" w:firstLine="0"/>
        <w:rPr>
          <w:rFonts w:eastAsia="Calibri"/>
          <w:lang w:val="es-CR" w:eastAsia="en-US"/>
        </w:rPr>
      </w:pPr>
      <w:bookmarkStart w:id="217" w:name="_Toc469670049"/>
      <w:r w:rsidRPr="00D13792">
        <w:rPr>
          <w:rFonts w:eastAsia="Times"/>
          <w:lang w:val="es-CR"/>
        </w:rPr>
        <w:t>Consideraciones</w:t>
      </w:r>
      <w:r w:rsidRPr="00D13792">
        <w:rPr>
          <w:rFonts w:eastAsia="Calibri"/>
          <w:lang w:val="es-CR" w:eastAsia="en-US"/>
        </w:rPr>
        <w:t xml:space="preserve"> de la Corte</w:t>
      </w:r>
      <w:bookmarkEnd w:id="216"/>
      <w:bookmarkEnd w:id="217"/>
    </w:p>
    <w:p w14:paraId="7891D528" w14:textId="77777777" w:rsidR="006A0E1C" w:rsidRPr="00D13792" w:rsidRDefault="006A0E1C" w:rsidP="006A0E1C">
      <w:pPr>
        <w:autoSpaceDE w:val="0"/>
        <w:autoSpaceDN w:val="0"/>
        <w:spacing w:line="240" w:lineRule="auto"/>
        <w:textAlignment w:val="auto"/>
        <w:rPr>
          <w:rFonts w:eastAsia="Times"/>
          <w:b/>
          <w:i/>
          <w:sz w:val="20"/>
          <w:szCs w:val="20"/>
          <w:lang w:eastAsia="en-US"/>
        </w:rPr>
      </w:pPr>
    </w:p>
    <w:p w14:paraId="0DAB55FF" w14:textId="77777777" w:rsidR="006A0E1C" w:rsidRPr="00D13792" w:rsidRDefault="006A0E1C" w:rsidP="006A0E1C">
      <w:pPr>
        <w:numPr>
          <w:ilvl w:val="0"/>
          <w:numId w:val="6"/>
        </w:numPr>
        <w:spacing w:line="240" w:lineRule="auto"/>
        <w:ind w:right="4"/>
        <w:rPr>
          <w:rFonts w:eastAsia="Times"/>
          <w:sz w:val="20"/>
          <w:szCs w:val="20"/>
        </w:rPr>
      </w:pPr>
      <w:r w:rsidRPr="00D13792">
        <w:rPr>
          <w:rFonts w:eastAsia="Times"/>
          <w:sz w:val="20"/>
          <w:szCs w:val="20"/>
        </w:rPr>
        <w:t xml:space="preserve">El </w:t>
      </w:r>
      <w:r w:rsidRPr="00D13792">
        <w:rPr>
          <w:sz w:val="20"/>
          <w:szCs w:val="20"/>
        </w:rPr>
        <w:t>artículo</w:t>
      </w:r>
      <w:r w:rsidRPr="00D13792">
        <w:rPr>
          <w:rFonts w:eastAsia="Times"/>
          <w:sz w:val="20"/>
          <w:szCs w:val="20"/>
        </w:rPr>
        <w:t xml:space="preserve"> 22.1 de la Convención reconoce el derecho de circulación y de residencia</w:t>
      </w:r>
      <w:r w:rsidRPr="00D13792">
        <w:rPr>
          <w:rFonts w:eastAsia="Times"/>
          <w:sz w:val="20"/>
          <w:szCs w:val="20"/>
          <w:vertAlign w:val="superscript"/>
        </w:rPr>
        <w:footnoteReference w:id="185"/>
      </w:r>
      <w:r w:rsidRPr="00D13792">
        <w:rPr>
          <w:rFonts w:eastAsia="Times"/>
          <w:sz w:val="20"/>
          <w:szCs w:val="20"/>
        </w:rPr>
        <w:t>. La Corte ha establecido en otros casos que este artículo también protege el derecho a no ser desplazado forzadamente dentro de un Estado Parte</w:t>
      </w:r>
      <w:r w:rsidRPr="00D13792">
        <w:rPr>
          <w:rFonts w:eastAsia="Times"/>
          <w:sz w:val="20"/>
          <w:szCs w:val="20"/>
          <w:vertAlign w:val="superscript"/>
        </w:rPr>
        <w:footnoteReference w:id="186"/>
      </w:r>
      <w:r w:rsidRPr="00D13792">
        <w:rPr>
          <w:rFonts w:eastAsia="Times"/>
          <w:sz w:val="20"/>
          <w:szCs w:val="20"/>
        </w:rPr>
        <w:t>, y que los Principios Rectores de los Desplazamientos Internos de las Naciones Unidas</w:t>
      </w:r>
      <w:r w:rsidRPr="00D13792">
        <w:rPr>
          <w:rFonts w:eastAsia="Times"/>
          <w:sz w:val="20"/>
          <w:szCs w:val="20"/>
          <w:vertAlign w:val="superscript"/>
        </w:rPr>
        <w:footnoteReference w:id="187"/>
      </w:r>
      <w:r w:rsidRPr="00D13792">
        <w:rPr>
          <w:rFonts w:eastAsia="Times"/>
          <w:sz w:val="20"/>
          <w:szCs w:val="20"/>
        </w:rPr>
        <w:t xml:space="preserve"> resultan particularmente relevantes para </w:t>
      </w:r>
      <w:r w:rsidRPr="00D13792">
        <w:rPr>
          <w:rFonts w:eastAsia="Times"/>
          <w:sz w:val="20"/>
          <w:szCs w:val="20"/>
        </w:rPr>
        <w:lastRenderedPageBreak/>
        <w:t>determinar su contenido y alcance</w:t>
      </w:r>
      <w:r w:rsidRPr="00D13792">
        <w:rPr>
          <w:rFonts w:eastAsia="Times"/>
          <w:sz w:val="20"/>
          <w:szCs w:val="20"/>
          <w:vertAlign w:val="superscript"/>
        </w:rPr>
        <w:footnoteReference w:id="188"/>
      </w:r>
      <w:r w:rsidRPr="00D13792">
        <w:rPr>
          <w:rFonts w:eastAsia="Times"/>
          <w:sz w:val="20"/>
          <w:szCs w:val="20"/>
        </w:rPr>
        <w:t>. Aquellos definen que “se entiende por desplazados internos las personas o grupos de personas que se han visto forzadas u obligadas a escapar o huir de su hogar o de su lugar de residencia habitual, en particular como resultado o para evitar los efectos de un conflicto armado, de situaciones de violencia generalizada, de violaciones de los derechos humanos […], y que no han cruzado una frontera estatal internacionalmente reconocida”</w:t>
      </w:r>
      <w:r w:rsidRPr="00D13792">
        <w:rPr>
          <w:rFonts w:eastAsia="Times"/>
          <w:sz w:val="20"/>
          <w:szCs w:val="20"/>
          <w:vertAlign w:val="superscript"/>
        </w:rPr>
        <w:footnoteReference w:id="189"/>
      </w:r>
      <w:r w:rsidRPr="00D13792">
        <w:rPr>
          <w:rFonts w:eastAsia="Times"/>
          <w:sz w:val="20"/>
          <w:szCs w:val="20"/>
        </w:rPr>
        <w:t>.</w:t>
      </w:r>
    </w:p>
    <w:p w14:paraId="010ED1DC" w14:textId="77777777" w:rsidR="006A0E1C" w:rsidRPr="00D13792" w:rsidRDefault="006A0E1C" w:rsidP="006A0E1C">
      <w:pPr>
        <w:autoSpaceDE w:val="0"/>
        <w:autoSpaceDN w:val="0"/>
        <w:spacing w:line="240" w:lineRule="auto"/>
        <w:textAlignment w:val="auto"/>
        <w:rPr>
          <w:rFonts w:eastAsia="Times"/>
          <w:sz w:val="20"/>
          <w:szCs w:val="20"/>
          <w:lang w:eastAsia="en-US"/>
        </w:rPr>
      </w:pPr>
    </w:p>
    <w:p w14:paraId="30959D92" w14:textId="77777777" w:rsidR="006A0E1C" w:rsidRPr="00D13792" w:rsidRDefault="006A0E1C" w:rsidP="006A0E1C">
      <w:pPr>
        <w:numPr>
          <w:ilvl w:val="0"/>
          <w:numId w:val="6"/>
        </w:numPr>
        <w:spacing w:line="240" w:lineRule="auto"/>
        <w:ind w:right="4"/>
        <w:rPr>
          <w:rFonts w:eastAsia="Times"/>
          <w:sz w:val="20"/>
          <w:szCs w:val="20"/>
        </w:rPr>
      </w:pPr>
      <w:r w:rsidRPr="00D13792">
        <w:rPr>
          <w:rFonts w:eastAsia="Times"/>
          <w:sz w:val="20"/>
          <w:szCs w:val="20"/>
        </w:rPr>
        <w:t xml:space="preserve">Este Tribunal ha establecido que en razón de la complejidad del fenómeno del desplazamiento interno y de la amplia gama de derechos humanos que afecta o se ponen en riesgo, y en atención a las circunstancias de especial vulnerabilidad e indefensión en que generalmente se encuentran los desplazados, su situación puede ser entendida como una condición </w:t>
      </w:r>
      <w:r w:rsidRPr="00D13792">
        <w:rPr>
          <w:rFonts w:eastAsia="Times"/>
          <w:i/>
          <w:sz w:val="20"/>
          <w:szCs w:val="20"/>
        </w:rPr>
        <w:t>de</w:t>
      </w:r>
      <w:r w:rsidRPr="00D13792">
        <w:rPr>
          <w:rFonts w:eastAsia="Times"/>
          <w:sz w:val="20"/>
          <w:szCs w:val="20"/>
        </w:rPr>
        <w:t xml:space="preserve"> </w:t>
      </w:r>
      <w:r w:rsidRPr="00D13792">
        <w:rPr>
          <w:rFonts w:eastAsia="Times"/>
          <w:i/>
          <w:sz w:val="20"/>
          <w:szCs w:val="20"/>
        </w:rPr>
        <w:t>facto</w:t>
      </w:r>
      <w:r w:rsidRPr="00D13792">
        <w:rPr>
          <w:rFonts w:eastAsia="Times"/>
          <w:sz w:val="20"/>
          <w:szCs w:val="20"/>
        </w:rPr>
        <w:t xml:space="preserve"> de desprotección. Esta situación, conforme a la Convención Americana, obliga a los Estados a adoptar medidas de carácter positivo para revertir los efectos de su referida condición de debilidad, vulnerabilidad e indefensión, incluso respecto de las</w:t>
      </w:r>
      <w:r w:rsidRPr="00D13792">
        <w:rPr>
          <w:rFonts w:eastAsia="Times"/>
          <w:i/>
          <w:sz w:val="20"/>
          <w:szCs w:val="20"/>
        </w:rPr>
        <w:t xml:space="preserve"> </w:t>
      </w:r>
      <w:r w:rsidRPr="00D13792">
        <w:rPr>
          <w:rFonts w:eastAsia="Times"/>
          <w:sz w:val="20"/>
          <w:szCs w:val="20"/>
        </w:rPr>
        <w:t>actuaciones y prácticas de terceros particulares</w:t>
      </w:r>
      <w:r w:rsidRPr="00D13792">
        <w:rPr>
          <w:rFonts w:eastAsia="Times"/>
          <w:sz w:val="20"/>
          <w:szCs w:val="20"/>
          <w:vertAlign w:val="superscript"/>
        </w:rPr>
        <w:footnoteReference w:id="190"/>
      </w:r>
      <w:r w:rsidRPr="00D13792">
        <w:rPr>
          <w:rFonts w:eastAsia="Times"/>
          <w:sz w:val="20"/>
          <w:szCs w:val="20"/>
        </w:rPr>
        <w:t xml:space="preserve">.  </w:t>
      </w:r>
    </w:p>
    <w:p w14:paraId="76CAA9CD" w14:textId="77777777" w:rsidR="006A0E1C" w:rsidRPr="00D13792" w:rsidRDefault="006A0E1C" w:rsidP="006A0E1C">
      <w:pPr>
        <w:autoSpaceDE w:val="0"/>
        <w:autoSpaceDN w:val="0"/>
        <w:spacing w:line="240" w:lineRule="auto"/>
        <w:textAlignment w:val="auto"/>
        <w:rPr>
          <w:rFonts w:eastAsia="Times"/>
          <w:sz w:val="20"/>
          <w:szCs w:val="20"/>
          <w:lang w:eastAsia="en-US"/>
        </w:rPr>
      </w:pPr>
    </w:p>
    <w:p w14:paraId="57E118EA" w14:textId="77777777" w:rsidR="006A0E1C" w:rsidRPr="00D13792" w:rsidRDefault="006A0E1C" w:rsidP="006A0E1C">
      <w:pPr>
        <w:numPr>
          <w:ilvl w:val="0"/>
          <w:numId w:val="6"/>
        </w:numPr>
        <w:spacing w:line="240" w:lineRule="auto"/>
        <w:ind w:right="4"/>
        <w:rPr>
          <w:rFonts w:eastAsia="Times"/>
          <w:sz w:val="20"/>
          <w:szCs w:val="20"/>
        </w:rPr>
      </w:pPr>
      <w:r w:rsidRPr="00D13792">
        <w:rPr>
          <w:rFonts w:eastAsia="Times"/>
          <w:sz w:val="20"/>
          <w:szCs w:val="20"/>
        </w:rPr>
        <w:t xml:space="preserve">En este sentido, este Tribunal ha señalado que el derecho de circulación y de residencia puede ser vulnerado por restricciones </w:t>
      </w:r>
      <w:r w:rsidRPr="00D13792">
        <w:rPr>
          <w:rFonts w:eastAsia="Times"/>
          <w:i/>
          <w:sz w:val="20"/>
          <w:szCs w:val="20"/>
        </w:rPr>
        <w:t>de facto</w:t>
      </w:r>
      <w:r w:rsidRPr="00D13792">
        <w:rPr>
          <w:rFonts w:eastAsia="Times"/>
          <w:sz w:val="20"/>
          <w:szCs w:val="20"/>
        </w:rPr>
        <w:t xml:space="preserve"> si el Estado no ha establecido las condiciones ni provisto los medios que permiten ejercerlo, por ejemplo cuando una persona es víctima de amenazas u hostigamientos y el Estado no provee las garantías necesarias para que pueda transitar y residir libremente en el territorio de que se trate, incluso cuando las amenazas y hostigamientos provienen de actores no estatales. </w:t>
      </w:r>
      <w:r w:rsidRPr="00D13792">
        <w:rPr>
          <w:rFonts w:cs="Verdana"/>
          <w:sz w:val="20"/>
          <w:szCs w:val="20"/>
        </w:rPr>
        <w:t>Asimismo, la Corte ha indicado que la falta de una investigación efectiva de hechos violentos puede propiciar o perpetuar un exilio o desplazamiento forzado</w:t>
      </w:r>
      <w:r w:rsidRPr="00D13792">
        <w:rPr>
          <w:rFonts w:cs="Verdana"/>
          <w:sz w:val="20"/>
          <w:szCs w:val="20"/>
          <w:vertAlign w:val="superscript"/>
        </w:rPr>
        <w:footnoteReference w:id="191"/>
      </w:r>
      <w:r w:rsidRPr="00D13792">
        <w:rPr>
          <w:rFonts w:cs="Verdana"/>
          <w:sz w:val="20"/>
          <w:szCs w:val="20"/>
        </w:rPr>
        <w:t>.</w:t>
      </w:r>
    </w:p>
    <w:p w14:paraId="7185BFC4" w14:textId="77777777" w:rsidR="006A0E1C" w:rsidRPr="00D13792" w:rsidRDefault="006A0E1C" w:rsidP="006A0E1C">
      <w:pPr>
        <w:widowControl/>
        <w:tabs>
          <w:tab w:val="left" w:pos="720"/>
        </w:tabs>
        <w:autoSpaceDE w:val="0"/>
        <w:autoSpaceDN w:val="0"/>
        <w:adjustRightInd/>
        <w:spacing w:line="240" w:lineRule="auto"/>
        <w:textAlignment w:val="auto"/>
        <w:rPr>
          <w:rFonts w:cs="Verdana"/>
          <w:sz w:val="20"/>
          <w:szCs w:val="20"/>
          <w:lang w:eastAsia="en-US"/>
        </w:rPr>
      </w:pPr>
    </w:p>
    <w:p w14:paraId="331ABE96" w14:textId="77777777" w:rsidR="006A0E1C" w:rsidRPr="00D13792" w:rsidRDefault="006A0E1C" w:rsidP="006A0E1C">
      <w:pPr>
        <w:numPr>
          <w:ilvl w:val="0"/>
          <w:numId w:val="6"/>
        </w:numPr>
        <w:spacing w:line="240" w:lineRule="auto"/>
        <w:ind w:right="4"/>
        <w:rPr>
          <w:rFonts w:cs="Verdana"/>
          <w:sz w:val="20"/>
          <w:szCs w:val="20"/>
        </w:rPr>
      </w:pPr>
      <w:r w:rsidRPr="00D13792">
        <w:rPr>
          <w:rFonts w:cs="Verdana"/>
          <w:sz w:val="20"/>
          <w:szCs w:val="20"/>
        </w:rPr>
        <w:t xml:space="preserve">La Corte recuerda asimismo que la obligación de garantizar el derecho de circulación y residencia también </w:t>
      </w:r>
      <w:r w:rsidRPr="00D13792">
        <w:rPr>
          <w:rFonts w:eastAsia="Times"/>
          <w:sz w:val="20"/>
          <w:szCs w:val="20"/>
        </w:rPr>
        <w:t>debe</w:t>
      </w:r>
      <w:r w:rsidRPr="00D13792">
        <w:rPr>
          <w:rFonts w:cs="Verdana"/>
          <w:sz w:val="20"/>
          <w:szCs w:val="20"/>
        </w:rPr>
        <w:t xml:space="preserve"> tomar en consideración las acciones emprendidas por el Estado para asegurar que las poblaciones desplazadas puedan regresar a sus lugares de origen sin riesgo de que se vean vulnerados sus derechos. En ese sentido, este Tribunal reafirma que la obligación de los Estados de proteger los derechos de las personas desplazadas conlleva no solo el deber de adoptar medidas de prevención sino también proveer las condiciones necesarias para un retorno digno y seguro a su lugar de residencia habitual o su reasentamiento voluntario en otra parte del país. Para ello, se debe garantizar su participación plena en la planificación y gestión de su regreso o reintegración</w:t>
      </w:r>
      <w:r w:rsidRPr="00D13792">
        <w:rPr>
          <w:rFonts w:cs="Verdana"/>
          <w:sz w:val="20"/>
          <w:szCs w:val="20"/>
          <w:vertAlign w:val="superscript"/>
        </w:rPr>
        <w:footnoteReference w:id="192"/>
      </w:r>
      <w:r w:rsidRPr="00D13792">
        <w:rPr>
          <w:rFonts w:cs="Verdana"/>
          <w:sz w:val="20"/>
          <w:szCs w:val="20"/>
        </w:rPr>
        <w:t>.</w:t>
      </w:r>
    </w:p>
    <w:p w14:paraId="240E480D" w14:textId="77777777" w:rsidR="006A0E1C" w:rsidRPr="00D13792" w:rsidRDefault="006A0E1C" w:rsidP="006A0E1C">
      <w:pPr>
        <w:widowControl/>
        <w:adjustRightInd/>
        <w:spacing w:line="240" w:lineRule="auto"/>
        <w:textAlignment w:val="auto"/>
        <w:rPr>
          <w:rFonts w:cs="Verdana"/>
          <w:sz w:val="20"/>
          <w:szCs w:val="20"/>
          <w:lang w:eastAsia="en-US"/>
        </w:rPr>
      </w:pPr>
    </w:p>
    <w:p w14:paraId="52EEE01B" w14:textId="77777777" w:rsidR="006A0E1C" w:rsidRPr="00D13792" w:rsidRDefault="006A0E1C" w:rsidP="006A0E1C">
      <w:pPr>
        <w:numPr>
          <w:ilvl w:val="0"/>
          <w:numId w:val="6"/>
        </w:numPr>
        <w:spacing w:line="240" w:lineRule="auto"/>
        <w:ind w:right="4"/>
        <w:rPr>
          <w:rFonts w:eastAsia="Batang" w:cs="Times"/>
          <w:sz w:val="20"/>
          <w:szCs w:val="20"/>
        </w:rPr>
      </w:pPr>
      <w:r w:rsidRPr="00D13792">
        <w:rPr>
          <w:rFonts w:eastAsia="Batang" w:cs="Times"/>
          <w:sz w:val="20"/>
          <w:szCs w:val="20"/>
        </w:rPr>
        <w:t xml:space="preserve">Por otra parte, conforme a su jurisprudencia constante en materia indígena, mediante la cual ha reconocido </w:t>
      </w:r>
      <w:r w:rsidRPr="00D13792">
        <w:rPr>
          <w:rFonts w:eastAsia="Times"/>
          <w:sz w:val="20"/>
          <w:szCs w:val="20"/>
        </w:rPr>
        <w:t>que</w:t>
      </w:r>
      <w:r w:rsidRPr="00D13792">
        <w:rPr>
          <w:rFonts w:eastAsia="Batang" w:cs="Times"/>
          <w:sz w:val="20"/>
          <w:szCs w:val="20"/>
        </w:rPr>
        <w:t xml:space="preserve"> </w:t>
      </w:r>
      <w:r w:rsidRPr="00D13792">
        <w:rPr>
          <w:rFonts w:eastAsia="Batang" w:cs="TimesNewRomanPSMT"/>
          <w:sz w:val="20"/>
          <w:szCs w:val="20"/>
        </w:rPr>
        <w:t xml:space="preserve">la relación de los indígenas con el </w:t>
      </w:r>
      <w:r w:rsidRPr="00D13792">
        <w:rPr>
          <w:rFonts w:eastAsia="Batang" w:cs="Times-Roman"/>
          <w:sz w:val="20"/>
          <w:szCs w:val="20"/>
        </w:rPr>
        <w:t>territorio</w:t>
      </w:r>
      <w:r w:rsidRPr="00D13792">
        <w:rPr>
          <w:rFonts w:eastAsia="Batang" w:cs="TimesNewRomanPSMT"/>
          <w:sz w:val="20"/>
          <w:szCs w:val="20"/>
        </w:rPr>
        <w:t xml:space="preserve"> es esencial para mantener sus estructuras culturales y su supervivencia étnica y material</w:t>
      </w:r>
      <w:r w:rsidRPr="00D13792">
        <w:rPr>
          <w:rFonts w:eastAsia="Batang" w:cs="TimesNewRomanPSMT"/>
          <w:sz w:val="20"/>
          <w:szCs w:val="20"/>
          <w:vertAlign w:val="superscript"/>
        </w:rPr>
        <w:footnoteReference w:id="193"/>
      </w:r>
      <w:r w:rsidRPr="00D13792">
        <w:rPr>
          <w:rFonts w:eastAsia="Batang" w:cs="TimesNewRomanPSMT"/>
          <w:sz w:val="20"/>
          <w:szCs w:val="20"/>
        </w:rPr>
        <w:t>,</w:t>
      </w:r>
      <w:r w:rsidRPr="00D13792">
        <w:rPr>
          <w:rFonts w:eastAsia="Batang" w:cs="Times"/>
          <w:sz w:val="20"/>
          <w:szCs w:val="20"/>
        </w:rPr>
        <w:t xml:space="preserve"> el Tribunal ha considerado </w:t>
      </w:r>
      <w:r w:rsidRPr="00D13792">
        <w:rPr>
          <w:rFonts w:eastAsia="Batang" w:cs="Times"/>
          <w:sz w:val="20"/>
          <w:szCs w:val="20"/>
        </w:rPr>
        <w:lastRenderedPageBreak/>
        <w:t xml:space="preserve">que el desplazamiento forzado de los pueblos indígenas fuera de su comunidad o bien de sus </w:t>
      </w:r>
      <w:r w:rsidRPr="00D13792">
        <w:rPr>
          <w:rFonts w:cs="Verdana"/>
          <w:sz w:val="20"/>
          <w:szCs w:val="20"/>
        </w:rPr>
        <w:t>integrantes</w:t>
      </w:r>
      <w:r w:rsidRPr="00D13792">
        <w:rPr>
          <w:rFonts w:eastAsia="Batang" w:cs="Times"/>
          <w:sz w:val="20"/>
          <w:szCs w:val="20"/>
        </w:rPr>
        <w:t xml:space="preserve">, los puede colocar en una situación de especial vulnerabilidad, que por sus </w:t>
      </w:r>
      <w:r w:rsidRPr="00D13792">
        <w:rPr>
          <w:rFonts w:cs="Verdana"/>
          <w:sz w:val="20"/>
          <w:szCs w:val="20"/>
        </w:rPr>
        <w:t>secuelas</w:t>
      </w:r>
      <w:r w:rsidRPr="00D13792">
        <w:rPr>
          <w:rFonts w:eastAsia="Batang" w:cs="Times"/>
          <w:sz w:val="20"/>
          <w:szCs w:val="20"/>
        </w:rPr>
        <w:t xml:space="preserve"> destructivas sobre el tejido étnico y cultural, genera un claro riesgo de extinción, cultural o físico, de los pueblos indígenas, por lo cual es indispensable que los Estados adopten medidas específicas de protección, considerando las particularidades propias de los pueblos indígenas, así como su derecho consuetudinario, valores, usos y costumbres, para prevenir y revertir los efectos de dicha situación. </w:t>
      </w:r>
    </w:p>
    <w:p w14:paraId="31184D4B" w14:textId="77777777" w:rsidR="006A0E1C" w:rsidRPr="00D13792" w:rsidRDefault="006A0E1C" w:rsidP="006A0E1C">
      <w:pPr>
        <w:widowControl/>
        <w:autoSpaceDE w:val="0"/>
        <w:autoSpaceDN w:val="0"/>
        <w:adjustRightInd/>
        <w:spacing w:line="240" w:lineRule="auto"/>
        <w:textAlignment w:val="auto"/>
        <w:rPr>
          <w:rFonts w:eastAsia="Batang" w:cs="Times"/>
          <w:sz w:val="20"/>
          <w:szCs w:val="20"/>
          <w:lang w:eastAsia="en-US"/>
        </w:rPr>
      </w:pPr>
    </w:p>
    <w:p w14:paraId="0C59F5CA" w14:textId="77777777" w:rsidR="006A0E1C" w:rsidRPr="00D13792" w:rsidRDefault="006A0E1C" w:rsidP="006A0E1C">
      <w:pPr>
        <w:numPr>
          <w:ilvl w:val="0"/>
          <w:numId w:val="6"/>
        </w:numPr>
        <w:spacing w:line="240" w:lineRule="auto"/>
        <w:ind w:right="4"/>
        <w:rPr>
          <w:rFonts w:eastAsia="Batang" w:cs="Times"/>
          <w:sz w:val="20"/>
          <w:szCs w:val="20"/>
        </w:rPr>
      </w:pPr>
      <w:r w:rsidRPr="00D13792">
        <w:rPr>
          <w:rFonts w:eastAsia="Times"/>
          <w:sz w:val="20"/>
          <w:szCs w:val="20"/>
        </w:rPr>
        <w:t>Como fue establecido (</w:t>
      </w:r>
      <w:r w:rsidRPr="00D13792">
        <w:rPr>
          <w:rFonts w:eastAsia="Times"/>
          <w:i/>
          <w:sz w:val="20"/>
          <w:szCs w:val="20"/>
        </w:rPr>
        <w:t>supra</w:t>
      </w:r>
      <w:r w:rsidRPr="00D13792">
        <w:rPr>
          <w:rFonts w:eastAsia="Times"/>
          <w:sz w:val="20"/>
          <w:szCs w:val="20"/>
        </w:rPr>
        <w:t xml:space="preserve"> párrs. 94 a 98), los habitantes maya achí de </w:t>
      </w:r>
      <w:r w:rsidRPr="00D13792">
        <w:rPr>
          <w:rFonts w:eastAsia="Batang" w:cs="Times"/>
          <w:sz w:val="20"/>
          <w:szCs w:val="20"/>
        </w:rPr>
        <w:t xml:space="preserve">la aldea Chichupac y de las comunidades vecinas </w:t>
      </w:r>
      <w:r w:rsidRPr="00D13792">
        <w:rPr>
          <w:rFonts w:eastAsia="Times"/>
          <w:sz w:val="20"/>
          <w:szCs w:val="20"/>
        </w:rPr>
        <w:t xml:space="preserve">de Rabinal </w:t>
      </w:r>
      <w:r w:rsidRPr="00D13792">
        <w:rPr>
          <w:rFonts w:eastAsia="Batang" w:cs="Times"/>
          <w:sz w:val="20"/>
          <w:szCs w:val="20"/>
        </w:rPr>
        <w:t xml:space="preserve">se vieron obligados a huir de sus territorios a partir </w:t>
      </w:r>
      <w:r w:rsidRPr="00D13792">
        <w:rPr>
          <w:iCs/>
          <w:sz w:val="20"/>
          <w:szCs w:val="20"/>
        </w:rPr>
        <w:t xml:space="preserve">de los hechos de la </w:t>
      </w:r>
      <w:r w:rsidRPr="00D13792">
        <w:rPr>
          <w:rFonts w:eastAsia="Times"/>
          <w:bCs/>
          <w:sz w:val="20"/>
          <w:szCs w:val="20"/>
        </w:rPr>
        <w:t>masacre de</w:t>
      </w:r>
      <w:r w:rsidRPr="00D13792">
        <w:rPr>
          <w:rFonts w:eastAsia="Times"/>
          <w:sz w:val="20"/>
          <w:szCs w:val="20"/>
        </w:rPr>
        <w:t xml:space="preserve"> </w:t>
      </w:r>
      <w:r w:rsidRPr="00D13792">
        <w:rPr>
          <w:rFonts w:eastAsia="Times"/>
          <w:bCs/>
          <w:sz w:val="20"/>
          <w:szCs w:val="20"/>
        </w:rPr>
        <w:t xml:space="preserve">8 de enero de 1982 y </w:t>
      </w:r>
      <w:r w:rsidRPr="00D13792">
        <w:rPr>
          <w:rFonts w:eastAsia="Batang" w:cs="Times"/>
          <w:sz w:val="20"/>
          <w:szCs w:val="20"/>
        </w:rPr>
        <w:t xml:space="preserve">de la </w:t>
      </w:r>
      <w:r w:rsidRPr="00D13792">
        <w:rPr>
          <w:iCs/>
          <w:sz w:val="20"/>
          <w:szCs w:val="20"/>
        </w:rPr>
        <w:t>violencia imperante</w:t>
      </w:r>
      <w:r w:rsidRPr="00D13792">
        <w:rPr>
          <w:rFonts w:eastAsia="Batang" w:cs="Times"/>
          <w:sz w:val="20"/>
          <w:szCs w:val="20"/>
        </w:rPr>
        <w:t xml:space="preserve"> en la zona, </w:t>
      </w:r>
      <w:r w:rsidRPr="00D13792">
        <w:rPr>
          <w:rFonts w:eastAsia="Times"/>
          <w:sz w:val="20"/>
          <w:szCs w:val="20"/>
        </w:rPr>
        <w:t xml:space="preserve">implementada por agentes de las fuerzas de seguridad estatal, la cual </w:t>
      </w:r>
      <w:r w:rsidRPr="00D13792">
        <w:rPr>
          <w:rFonts w:eastAsia="Batang" w:cs="Times"/>
          <w:sz w:val="20"/>
          <w:szCs w:val="20"/>
        </w:rPr>
        <w:t xml:space="preserve">incluyó masacres, ejecuciones, desapariciones, violaciones sexuales y persecuciones. </w:t>
      </w:r>
      <w:r w:rsidRPr="00D13792">
        <w:rPr>
          <w:iCs/>
          <w:sz w:val="20"/>
          <w:szCs w:val="20"/>
        </w:rPr>
        <w:t>Como consecuencia, existieron movimientos masivos de estas personas para refugiarse en las montañas,</w:t>
      </w:r>
      <w:r w:rsidRPr="00D13792">
        <w:rPr>
          <w:rFonts w:eastAsia="Times"/>
          <w:sz w:val="20"/>
          <w:szCs w:val="20"/>
        </w:rPr>
        <w:t xml:space="preserve"> en otros lugares de la zona y</w:t>
      </w:r>
      <w:r w:rsidRPr="00D13792">
        <w:rPr>
          <w:iCs/>
          <w:sz w:val="20"/>
          <w:szCs w:val="20"/>
        </w:rPr>
        <w:t xml:space="preserve">, posteriormente, en otros municipios, departamentos, ciudades y fuera del país. Los militares continuaron </w:t>
      </w:r>
      <w:r w:rsidRPr="00D13792">
        <w:rPr>
          <w:rFonts w:eastAsia="Batang" w:cs="Times"/>
          <w:sz w:val="20"/>
          <w:szCs w:val="20"/>
        </w:rPr>
        <w:t>con la persecución</w:t>
      </w:r>
      <w:r w:rsidRPr="00D13792">
        <w:rPr>
          <w:iCs/>
          <w:sz w:val="20"/>
          <w:szCs w:val="20"/>
        </w:rPr>
        <w:t xml:space="preserve"> en las montañas, así como con la persecución </w:t>
      </w:r>
      <w:r w:rsidRPr="00D13792">
        <w:rPr>
          <w:rFonts w:eastAsia="Batang" w:cs="Times"/>
          <w:sz w:val="20"/>
          <w:szCs w:val="20"/>
        </w:rPr>
        <w:t xml:space="preserve">de las personas que regresaron a las comunidades. Paralelamente, las fuerzas de seguridad estatal quemaron las viviendas, robaron sus pertenencias y provisiones, destruyeron los </w:t>
      </w:r>
      <w:r w:rsidRPr="00D13792">
        <w:rPr>
          <w:rFonts w:eastAsia="Times"/>
          <w:sz w:val="20"/>
          <w:szCs w:val="20"/>
        </w:rPr>
        <w:t>cultivos y cosechas,</w:t>
      </w:r>
      <w:r w:rsidRPr="00D13792">
        <w:rPr>
          <w:rFonts w:eastAsia="Batang" w:cs="Times"/>
          <w:sz w:val="20"/>
          <w:szCs w:val="20"/>
        </w:rPr>
        <w:t xml:space="preserve"> y robaron o mataron a los animales. De esta manera, </w:t>
      </w:r>
      <w:r w:rsidRPr="00D13792">
        <w:rPr>
          <w:rFonts w:eastAsia="Times"/>
          <w:sz w:val="20"/>
          <w:szCs w:val="20"/>
        </w:rPr>
        <w:t>destruyeron los medios de vida, provocaron que el desplazamiento persistiera e impidieron el retorno</w:t>
      </w:r>
      <w:r w:rsidRPr="00D13792">
        <w:rPr>
          <w:rFonts w:eastAsia="Batang" w:cs="Times"/>
          <w:sz w:val="20"/>
          <w:szCs w:val="20"/>
        </w:rPr>
        <w:t>. A partir del año 1983,</w:t>
      </w:r>
      <w:r w:rsidRPr="00D13792">
        <w:rPr>
          <w:iCs/>
          <w:sz w:val="20"/>
          <w:szCs w:val="20"/>
        </w:rPr>
        <w:t xml:space="preserve"> miembros del Ejército Nacional construyeron la aldea modelo o colonia en Chichupac. Las personas que habitaron e</w:t>
      </w:r>
      <w:r w:rsidRPr="00D13792">
        <w:rPr>
          <w:rFonts w:eastAsia="Batang" w:cs="Times"/>
          <w:sz w:val="20"/>
          <w:szCs w:val="20"/>
        </w:rPr>
        <w:t xml:space="preserve">n dicho lugar </w:t>
      </w:r>
      <w:r w:rsidRPr="00D13792">
        <w:rPr>
          <w:rFonts w:eastAsia="Times"/>
          <w:sz w:val="20"/>
          <w:szCs w:val="20"/>
        </w:rPr>
        <w:t xml:space="preserve">vivieron en condiciones precarias, bajo un fuerte control militar, sin que se les dejara alguna libertad y </w:t>
      </w:r>
      <w:r w:rsidRPr="00D13792">
        <w:rPr>
          <w:rFonts w:eastAsia="Batang" w:cs="Times"/>
          <w:sz w:val="20"/>
          <w:szCs w:val="20"/>
        </w:rPr>
        <w:t xml:space="preserve">se les obligó a </w:t>
      </w:r>
      <w:r w:rsidRPr="00D13792">
        <w:rPr>
          <w:iCs/>
          <w:sz w:val="20"/>
          <w:szCs w:val="20"/>
        </w:rPr>
        <w:t>trabajar para alimentar y mantener a los militares</w:t>
      </w:r>
      <w:r w:rsidRPr="00D13792">
        <w:rPr>
          <w:rFonts w:eastAsia="Times"/>
          <w:sz w:val="20"/>
          <w:szCs w:val="20"/>
        </w:rPr>
        <w:t xml:space="preserve">. </w:t>
      </w:r>
      <w:r w:rsidRPr="00D13792">
        <w:rPr>
          <w:iCs/>
          <w:sz w:val="20"/>
          <w:szCs w:val="20"/>
        </w:rPr>
        <w:t xml:space="preserve">Los hombres fueron obligados a patrullar de nuevo la zona y </w:t>
      </w:r>
      <w:r w:rsidRPr="00D13792">
        <w:rPr>
          <w:rFonts w:eastAsia="Times"/>
          <w:sz w:val="20"/>
          <w:szCs w:val="20"/>
        </w:rPr>
        <w:t xml:space="preserve">algunas mujeres fueron violadas sexualmente. </w:t>
      </w:r>
      <w:r w:rsidRPr="00D13792">
        <w:rPr>
          <w:rFonts w:eastAsia="Batang" w:cs="Times"/>
          <w:sz w:val="20"/>
          <w:szCs w:val="20"/>
        </w:rPr>
        <w:t xml:space="preserve">Finalmente, entre los años </w:t>
      </w:r>
      <w:r w:rsidRPr="00D13792">
        <w:rPr>
          <w:rFonts w:eastAsia="Times"/>
          <w:sz w:val="20"/>
          <w:szCs w:val="20"/>
        </w:rPr>
        <w:t xml:space="preserve">1986 y 1987 los militares abandonaron la colonia. </w:t>
      </w:r>
    </w:p>
    <w:p w14:paraId="7236FB0E" w14:textId="77777777" w:rsidR="006A0E1C" w:rsidRPr="00D13792" w:rsidRDefault="006A0E1C" w:rsidP="006A0E1C">
      <w:pPr>
        <w:pStyle w:val="Prrafodelista2"/>
        <w:tabs>
          <w:tab w:val="left" w:pos="720"/>
        </w:tabs>
        <w:ind w:left="0" w:right="-90"/>
        <w:jc w:val="both"/>
        <w:rPr>
          <w:rFonts w:eastAsia="Times"/>
          <w:lang w:val="es-CR"/>
        </w:rPr>
      </w:pPr>
    </w:p>
    <w:p w14:paraId="424A3C86" w14:textId="77777777" w:rsidR="006A0E1C" w:rsidRPr="00D13792" w:rsidRDefault="006A0E1C" w:rsidP="006A0E1C">
      <w:pPr>
        <w:numPr>
          <w:ilvl w:val="0"/>
          <w:numId w:val="6"/>
        </w:numPr>
        <w:spacing w:line="240" w:lineRule="auto"/>
        <w:ind w:right="4"/>
        <w:rPr>
          <w:rFonts w:eastAsia="Batang" w:cs="Times"/>
          <w:sz w:val="20"/>
          <w:szCs w:val="20"/>
        </w:rPr>
      </w:pPr>
      <w:r w:rsidRPr="00D13792">
        <w:rPr>
          <w:rFonts w:eastAsia="Times"/>
          <w:sz w:val="20"/>
          <w:szCs w:val="20"/>
        </w:rPr>
        <w:t xml:space="preserve">Consta en la prueba presentada en este caso que hubo comunidades que quedaron completamente vacías durante mucho tiempo y esta situación perduró luego del 9 de marzo 1987, fecha en que Guatemala reconoció la competencia de este Tribunal, y que muchos de los miembros de la aldea Chichupac y comunidades vecinas del municipio de Rabinal </w:t>
      </w:r>
      <w:r w:rsidRPr="00D13792">
        <w:rPr>
          <w:rFonts w:eastAsia="Batang" w:cs="Times"/>
          <w:sz w:val="20"/>
          <w:szCs w:val="20"/>
        </w:rPr>
        <w:t>permanecen desplazados hasta el día de hoy</w:t>
      </w:r>
      <w:r w:rsidRPr="00D13792">
        <w:rPr>
          <w:rFonts w:eastAsia="Batang"/>
          <w:sz w:val="20"/>
          <w:szCs w:val="20"/>
          <w:vertAlign w:val="superscript"/>
        </w:rPr>
        <w:footnoteReference w:id="194"/>
      </w:r>
      <w:r w:rsidRPr="00D13792">
        <w:rPr>
          <w:rFonts w:eastAsia="Times"/>
          <w:sz w:val="20"/>
          <w:szCs w:val="20"/>
        </w:rPr>
        <w:t xml:space="preserve">. </w:t>
      </w:r>
      <w:r w:rsidRPr="00D13792">
        <w:rPr>
          <w:rFonts w:eastAsia="Batang" w:cs="Times"/>
          <w:sz w:val="20"/>
          <w:szCs w:val="20"/>
        </w:rPr>
        <w:t>A continuación, la Corte establecerá si dichas personas se vieron imposibilitadas de retornar a sus tierras con posterioridad a esa fecha. Seguidamente, como lo ha hecho en anteriores oportunidades</w:t>
      </w:r>
      <w:r w:rsidRPr="00D13792">
        <w:rPr>
          <w:sz w:val="20"/>
          <w:szCs w:val="20"/>
          <w:vertAlign w:val="superscript"/>
        </w:rPr>
        <w:footnoteReference w:id="195"/>
      </w:r>
      <w:r w:rsidRPr="00D13792">
        <w:rPr>
          <w:rFonts w:eastAsia="Batang" w:cs="Times"/>
          <w:sz w:val="20"/>
          <w:szCs w:val="20"/>
        </w:rPr>
        <w:t xml:space="preserve">, la Corte analizará </w:t>
      </w:r>
      <w:r w:rsidRPr="00D13792">
        <w:rPr>
          <w:sz w:val="20"/>
          <w:szCs w:val="20"/>
        </w:rPr>
        <w:t xml:space="preserve">la alegada omisión por parte del Estado de implementar las medidas necesarias para garantizar un retorno digno y seguro a favor de aquellas personas que permanecieron desplazadas luego </w:t>
      </w:r>
      <w:r w:rsidRPr="00D13792">
        <w:rPr>
          <w:rFonts w:eastAsia="Batang" w:cs="Times"/>
          <w:sz w:val="20"/>
          <w:szCs w:val="20"/>
        </w:rPr>
        <w:t>del 9 de marzo 1987, o bien, para garantizar su reasentamiento voluntario.</w:t>
      </w:r>
    </w:p>
    <w:p w14:paraId="3500C502" w14:textId="77777777" w:rsidR="006A0E1C" w:rsidRPr="00D13792" w:rsidRDefault="006A0E1C" w:rsidP="006A0E1C">
      <w:pPr>
        <w:pStyle w:val="Prrafodelista2"/>
        <w:tabs>
          <w:tab w:val="left" w:pos="720"/>
        </w:tabs>
        <w:ind w:left="0" w:right="-90"/>
        <w:jc w:val="both"/>
        <w:rPr>
          <w:rFonts w:eastAsia="Batang" w:cs="Times"/>
          <w:lang w:val="es-CR"/>
        </w:rPr>
      </w:pPr>
    </w:p>
    <w:p w14:paraId="7992BFE1" w14:textId="77777777" w:rsidR="006A0E1C" w:rsidRPr="00D13792" w:rsidRDefault="006A0E1C" w:rsidP="006A0E1C">
      <w:pPr>
        <w:pStyle w:val="Heading3"/>
        <w:tabs>
          <w:tab w:val="clear" w:pos="567"/>
        </w:tabs>
        <w:ind w:left="0"/>
        <w:rPr>
          <w:i/>
          <w:lang w:val="es-CR"/>
        </w:rPr>
      </w:pPr>
      <w:bookmarkStart w:id="218" w:name="_Toc460938883"/>
      <w:bookmarkStart w:id="219" w:name="_Toc469670050"/>
      <w:r w:rsidRPr="00D13792">
        <w:rPr>
          <w:i/>
          <w:lang w:val="es-CR"/>
        </w:rPr>
        <w:t>B.1. Imposibilidad de retorno de los miembros de la aldea Chichupac y comunidades vecinas del municipio de Rabinal</w:t>
      </w:r>
      <w:bookmarkEnd w:id="218"/>
      <w:bookmarkEnd w:id="219"/>
    </w:p>
    <w:p w14:paraId="0DD818FF" w14:textId="77777777" w:rsidR="006A0E1C" w:rsidRPr="00D13792" w:rsidRDefault="006A0E1C" w:rsidP="006A0E1C">
      <w:pPr>
        <w:pStyle w:val="Prrafodelista2"/>
        <w:tabs>
          <w:tab w:val="left" w:pos="720"/>
        </w:tabs>
        <w:ind w:left="0" w:right="-90"/>
        <w:jc w:val="both"/>
        <w:rPr>
          <w:rFonts w:eastAsia="Batang" w:cs="Times"/>
          <w:lang w:val="es-CR"/>
        </w:rPr>
      </w:pPr>
    </w:p>
    <w:p w14:paraId="3643A4A9" w14:textId="77777777" w:rsidR="006A0E1C" w:rsidRPr="00D13792" w:rsidRDefault="006A0E1C" w:rsidP="006A0E1C">
      <w:pPr>
        <w:numPr>
          <w:ilvl w:val="0"/>
          <w:numId w:val="6"/>
        </w:numPr>
        <w:spacing w:line="240" w:lineRule="auto"/>
        <w:ind w:right="4"/>
        <w:rPr>
          <w:rFonts w:eastAsia="Batang" w:cs="Times"/>
          <w:sz w:val="20"/>
          <w:szCs w:val="20"/>
        </w:rPr>
      </w:pPr>
      <w:r w:rsidRPr="00D13792">
        <w:rPr>
          <w:rFonts w:eastAsia="Times"/>
          <w:sz w:val="20"/>
          <w:szCs w:val="20"/>
        </w:rPr>
        <w:t>La Corte</w:t>
      </w:r>
      <w:r w:rsidRPr="00D13792">
        <w:rPr>
          <w:rFonts w:eastAsia="Batang" w:cs="Times"/>
          <w:sz w:val="20"/>
          <w:szCs w:val="20"/>
        </w:rPr>
        <w:t xml:space="preserve"> recuerda que el proceso de paz que concluyó el conflicto armado interno en Guatemala inició en el año 1996, es decir, casi 10 años después del reconocimiento de la competencia contenciosa de la Corte. Ese mismo año </w:t>
      </w:r>
      <w:r w:rsidRPr="00D13792">
        <w:rPr>
          <w:rFonts w:eastAsia="Times"/>
          <w:sz w:val="20"/>
          <w:szCs w:val="20"/>
        </w:rPr>
        <w:t xml:space="preserve">fueron disueltas legalmente las patrullas civiles </w:t>
      </w:r>
      <w:r w:rsidRPr="00D13792">
        <w:rPr>
          <w:rFonts w:eastAsia="Times" w:cs="Arial"/>
          <w:sz w:val="20"/>
          <w:szCs w:val="20"/>
        </w:rPr>
        <w:t xml:space="preserve">y se creó la Comisión de Esclarecimiento Histórico (CEH). </w:t>
      </w:r>
      <w:r w:rsidRPr="00D13792">
        <w:rPr>
          <w:sz w:val="20"/>
          <w:szCs w:val="20"/>
        </w:rPr>
        <w:t xml:space="preserve">Dados los antecedentes violentos que sobrevivieron y el contexto de violencia que permanecía vigente en Guatemala durante esos 10 años </w:t>
      </w:r>
      <w:r w:rsidRPr="00D13792">
        <w:rPr>
          <w:rFonts w:eastAsia="Batang" w:cs="Times"/>
          <w:sz w:val="20"/>
          <w:szCs w:val="20"/>
        </w:rPr>
        <w:t>en los que aún se prologó el conflicto armado</w:t>
      </w:r>
      <w:r w:rsidRPr="00D13792">
        <w:rPr>
          <w:sz w:val="20"/>
          <w:szCs w:val="20"/>
        </w:rPr>
        <w:t xml:space="preserve">, los miembros de la aldea Chichupac y comunidades vecinas se vieron imposibilitados de retornar a sus </w:t>
      </w:r>
      <w:r w:rsidRPr="00D13792">
        <w:rPr>
          <w:rFonts w:eastAsia="Batang" w:cs="Times"/>
          <w:sz w:val="20"/>
          <w:szCs w:val="20"/>
        </w:rPr>
        <w:t>territorios</w:t>
      </w:r>
      <w:r w:rsidRPr="00D13792">
        <w:rPr>
          <w:sz w:val="20"/>
          <w:szCs w:val="20"/>
        </w:rPr>
        <w:t xml:space="preserve"> durante dicho período, debido al temor fundado de ser objeto de violaciones a sus derechos a la vida e integridad personal, entre otros.</w:t>
      </w:r>
    </w:p>
    <w:p w14:paraId="5C10BFCF" w14:textId="77777777" w:rsidR="006A0E1C" w:rsidRPr="00D13792" w:rsidRDefault="006A0E1C" w:rsidP="006A0E1C">
      <w:pPr>
        <w:widowControl/>
        <w:adjustRightInd/>
        <w:spacing w:line="240" w:lineRule="auto"/>
        <w:jc w:val="left"/>
        <w:textAlignment w:val="auto"/>
        <w:rPr>
          <w:rFonts w:eastAsia="Calibri" w:cs="Arial"/>
          <w:b/>
          <w:sz w:val="20"/>
          <w:szCs w:val="20"/>
          <w:lang w:eastAsia="en-US"/>
        </w:rPr>
      </w:pPr>
    </w:p>
    <w:p w14:paraId="099B4EEE" w14:textId="77777777" w:rsidR="006A0E1C" w:rsidRPr="00D13792" w:rsidRDefault="006A0E1C" w:rsidP="006A0E1C">
      <w:pPr>
        <w:numPr>
          <w:ilvl w:val="0"/>
          <w:numId w:val="6"/>
        </w:numPr>
        <w:spacing w:line="240" w:lineRule="auto"/>
        <w:ind w:right="4"/>
        <w:rPr>
          <w:rFonts w:eastAsia="Times" w:cs="Arial"/>
          <w:sz w:val="20"/>
          <w:szCs w:val="20"/>
        </w:rPr>
      </w:pPr>
      <w:r w:rsidRPr="00D13792">
        <w:rPr>
          <w:rFonts w:eastAsia="Times"/>
          <w:sz w:val="20"/>
          <w:szCs w:val="20"/>
        </w:rPr>
        <w:t>En cuanto al período posterior al</w:t>
      </w:r>
      <w:r w:rsidRPr="00D13792">
        <w:rPr>
          <w:rFonts w:eastAsia="Batang" w:cs="Times"/>
          <w:sz w:val="20"/>
          <w:szCs w:val="20"/>
        </w:rPr>
        <w:t xml:space="preserve"> conflicto armado interno, </w:t>
      </w:r>
      <w:r w:rsidRPr="00D13792">
        <w:rPr>
          <w:rFonts w:eastAsia="Times" w:cs="Arial"/>
          <w:sz w:val="20"/>
          <w:szCs w:val="20"/>
        </w:rPr>
        <w:t xml:space="preserve">de la prueba se desprende que existe miedo e </w:t>
      </w:r>
      <w:r w:rsidRPr="00D13792">
        <w:rPr>
          <w:sz w:val="20"/>
          <w:szCs w:val="20"/>
        </w:rPr>
        <w:t>inseguridad</w:t>
      </w:r>
      <w:r w:rsidRPr="00D13792">
        <w:rPr>
          <w:rFonts w:eastAsia="Times" w:cs="Arial"/>
          <w:sz w:val="20"/>
          <w:szCs w:val="20"/>
        </w:rPr>
        <w:t xml:space="preserve"> de </w:t>
      </w:r>
      <w:r w:rsidRPr="00D13792">
        <w:rPr>
          <w:iCs/>
          <w:sz w:val="20"/>
          <w:szCs w:val="20"/>
        </w:rPr>
        <w:t xml:space="preserve">la población sobreviviente debido a la </w:t>
      </w:r>
      <w:r w:rsidRPr="00D13792">
        <w:rPr>
          <w:rFonts w:eastAsia="Times"/>
          <w:sz w:val="20"/>
          <w:szCs w:val="20"/>
        </w:rPr>
        <w:t>presencia</w:t>
      </w:r>
      <w:r w:rsidRPr="00D13792">
        <w:rPr>
          <w:iCs/>
          <w:sz w:val="20"/>
          <w:szCs w:val="20"/>
        </w:rPr>
        <w:t xml:space="preserve"> actual de los responsables </w:t>
      </w:r>
      <w:r w:rsidRPr="00D13792">
        <w:rPr>
          <w:rFonts w:eastAsia="Batang" w:cs="Times"/>
          <w:sz w:val="20"/>
          <w:szCs w:val="20"/>
        </w:rPr>
        <w:t xml:space="preserve">de la </w:t>
      </w:r>
      <w:r w:rsidRPr="00D13792">
        <w:rPr>
          <w:iCs/>
          <w:sz w:val="20"/>
          <w:szCs w:val="20"/>
        </w:rPr>
        <w:t>violencia en el entorno de Rabinal. Al respecto,</w:t>
      </w:r>
      <w:r w:rsidRPr="00D13792">
        <w:rPr>
          <w:rFonts w:eastAsia="Calibri" w:cs="Arial"/>
          <w:b/>
          <w:sz w:val="20"/>
          <w:szCs w:val="20"/>
        </w:rPr>
        <w:t xml:space="preserve"> </w:t>
      </w:r>
      <w:r w:rsidRPr="00D13792">
        <w:rPr>
          <w:rFonts w:eastAsia="Batang" w:cs="Times"/>
          <w:sz w:val="20"/>
          <w:szCs w:val="20"/>
        </w:rPr>
        <w:t>el perito Luis Raúl Francisco Salvadó Cardoza explicó que, en la actualidad,</w:t>
      </w:r>
      <w:r w:rsidRPr="00D13792">
        <w:rPr>
          <w:rFonts w:eastAsia="Calibri" w:cs="Arial"/>
          <w:sz w:val="20"/>
          <w:szCs w:val="20"/>
        </w:rPr>
        <w:t xml:space="preserve"> las personas </w:t>
      </w:r>
      <w:r w:rsidRPr="00D13792">
        <w:rPr>
          <w:rFonts w:eastAsia="Batang" w:cs="Times"/>
          <w:sz w:val="20"/>
          <w:szCs w:val="20"/>
        </w:rPr>
        <w:t xml:space="preserve">que tienen voluntad de retorno </w:t>
      </w:r>
      <w:r w:rsidRPr="00D13792">
        <w:rPr>
          <w:rFonts w:eastAsia="Times"/>
          <w:sz w:val="20"/>
          <w:szCs w:val="20"/>
        </w:rPr>
        <w:t>a las tierras que antes ocupaban o donde vivían, y que han tratado de retornar a las comunidades,</w:t>
      </w:r>
      <w:r w:rsidRPr="00D13792">
        <w:rPr>
          <w:rFonts w:eastAsia="Times" w:cs="Arial"/>
          <w:sz w:val="20"/>
          <w:szCs w:val="20"/>
        </w:rPr>
        <w:t xml:space="preserve"> </w:t>
      </w:r>
      <w:r w:rsidRPr="00D13792">
        <w:rPr>
          <w:rFonts w:eastAsia="Batang" w:cs="Times"/>
          <w:sz w:val="20"/>
          <w:szCs w:val="20"/>
        </w:rPr>
        <w:t>“han visto frecuentemente [en el pueblo] a los perpetradores de los crímenes, los delatores, sus torturadores, a los ex patrulleros que colaboraron en la represión”,</w:t>
      </w:r>
      <w:r w:rsidRPr="00D13792">
        <w:rPr>
          <w:rFonts w:eastAsia="Times" w:cs="Arial"/>
          <w:sz w:val="20"/>
          <w:szCs w:val="20"/>
        </w:rPr>
        <w:t xml:space="preserve"> “o </w:t>
      </w:r>
      <w:r w:rsidRPr="00D13792">
        <w:rPr>
          <w:rFonts w:eastAsia="Times"/>
          <w:sz w:val="20"/>
          <w:szCs w:val="20"/>
        </w:rPr>
        <w:t>los que entraron a la aldea a arrasar con las cosechas”.</w:t>
      </w:r>
      <w:r w:rsidRPr="00D13792">
        <w:rPr>
          <w:rFonts w:eastAsia="Times" w:cs="Arial"/>
          <w:sz w:val="20"/>
          <w:szCs w:val="20"/>
        </w:rPr>
        <w:t xml:space="preserve"> </w:t>
      </w:r>
      <w:r w:rsidRPr="00D13792">
        <w:rPr>
          <w:rFonts w:eastAsia="Batang" w:cs="Times"/>
          <w:sz w:val="20"/>
          <w:szCs w:val="20"/>
        </w:rPr>
        <w:t>Además, “antiguos comisionados militares y sus aliados locales usufructúan sus tierras”, lo que “les produce inseguridad y miedo”. Es así que “e</w:t>
      </w:r>
      <w:r w:rsidRPr="00D13792">
        <w:rPr>
          <w:rFonts w:eastAsia="Calibri" w:cs="Arial"/>
          <w:sz w:val="20"/>
          <w:szCs w:val="20"/>
        </w:rPr>
        <w:t>l deseo de retorno […] se ve afectado a causa de […] la presencia de las personas y las estructuras causantes del éxodo forzado y otras violaciones a los derechos humanos”</w:t>
      </w:r>
      <w:r w:rsidRPr="00D13792">
        <w:rPr>
          <w:rFonts w:eastAsia="Calibri"/>
          <w:sz w:val="20"/>
          <w:szCs w:val="20"/>
          <w:vertAlign w:val="superscript"/>
        </w:rPr>
        <w:footnoteReference w:id="196"/>
      </w:r>
      <w:r w:rsidRPr="00D13792">
        <w:rPr>
          <w:rFonts w:eastAsia="Calibri" w:cs="Arial"/>
          <w:sz w:val="20"/>
          <w:szCs w:val="20"/>
        </w:rPr>
        <w:t xml:space="preserve">. </w:t>
      </w:r>
      <w:r w:rsidRPr="00D13792">
        <w:rPr>
          <w:rFonts w:eastAsia="Batang" w:cs="Times"/>
          <w:sz w:val="20"/>
          <w:szCs w:val="20"/>
        </w:rPr>
        <w:t>Asimismo, l</w:t>
      </w:r>
      <w:r w:rsidRPr="00D13792">
        <w:rPr>
          <w:rFonts w:eastAsia="Calibri" w:cs="Arial"/>
          <w:sz w:val="20"/>
          <w:szCs w:val="20"/>
        </w:rPr>
        <w:t xml:space="preserve">a psicóloga Nieves Gómez Dupuis en su </w:t>
      </w:r>
      <w:r w:rsidRPr="00D13792">
        <w:rPr>
          <w:rFonts w:eastAsia="Times"/>
          <w:sz w:val="20"/>
          <w:szCs w:val="20"/>
        </w:rPr>
        <w:t>informe de 5 de mayo de 2010</w:t>
      </w:r>
      <w:r w:rsidRPr="00D13792">
        <w:rPr>
          <w:rFonts w:eastAsia="Calibri" w:cs="Arial"/>
          <w:sz w:val="20"/>
          <w:szCs w:val="20"/>
        </w:rPr>
        <w:t xml:space="preserve"> indicó que “</w:t>
      </w:r>
      <w:r w:rsidRPr="00D13792">
        <w:rPr>
          <w:rFonts w:eastAsia="Calibri"/>
          <w:sz w:val="20"/>
          <w:szCs w:val="20"/>
        </w:rPr>
        <w:t>[l]as víctimas y familiares señalan como responsables a ciertas personas del</w:t>
      </w:r>
      <w:r w:rsidRPr="00D13792">
        <w:rPr>
          <w:rFonts w:eastAsia="Calibri" w:cs="Arial"/>
          <w:sz w:val="20"/>
          <w:szCs w:val="20"/>
        </w:rPr>
        <w:t xml:space="preserve"> </w:t>
      </w:r>
      <w:r w:rsidRPr="00D13792">
        <w:rPr>
          <w:rFonts w:eastAsia="Calibri"/>
          <w:sz w:val="20"/>
          <w:szCs w:val="20"/>
        </w:rPr>
        <w:t xml:space="preserve">entorno municipal, sin embargo no </w:t>
      </w:r>
      <w:r w:rsidRPr="00D13792">
        <w:rPr>
          <w:rFonts w:eastAsia="Batang" w:cs="Times"/>
          <w:sz w:val="20"/>
          <w:szCs w:val="20"/>
        </w:rPr>
        <w:t>sienten</w:t>
      </w:r>
      <w:r w:rsidRPr="00D13792">
        <w:rPr>
          <w:rFonts w:eastAsia="Calibri"/>
          <w:sz w:val="20"/>
          <w:szCs w:val="20"/>
        </w:rPr>
        <w:t xml:space="preserve"> la confianza de aclarar quiénes</w:t>
      </w:r>
      <w:r w:rsidRPr="00D13792">
        <w:rPr>
          <w:rFonts w:eastAsia="Calibri" w:cs="Arial"/>
          <w:sz w:val="20"/>
          <w:szCs w:val="20"/>
        </w:rPr>
        <w:t xml:space="preserve"> </w:t>
      </w:r>
      <w:r w:rsidRPr="00D13792">
        <w:rPr>
          <w:rFonts w:eastAsia="Calibri"/>
          <w:sz w:val="20"/>
          <w:szCs w:val="20"/>
        </w:rPr>
        <w:t xml:space="preserve">son los victimarios que viven en las comunidades aledañas </w:t>
      </w:r>
      <w:r w:rsidRPr="00D13792">
        <w:rPr>
          <w:rFonts w:eastAsia="Calibri" w:cs="Arial"/>
          <w:sz w:val="20"/>
          <w:szCs w:val="20"/>
        </w:rPr>
        <w:t xml:space="preserve">y </w:t>
      </w:r>
      <w:r w:rsidRPr="00D13792">
        <w:rPr>
          <w:rFonts w:eastAsia="Calibri"/>
          <w:sz w:val="20"/>
          <w:szCs w:val="20"/>
        </w:rPr>
        <w:t>que también</w:t>
      </w:r>
      <w:r w:rsidRPr="00D13792">
        <w:rPr>
          <w:rFonts w:eastAsia="Calibri" w:cs="Arial"/>
          <w:sz w:val="20"/>
          <w:szCs w:val="20"/>
        </w:rPr>
        <w:t xml:space="preserve"> </w:t>
      </w:r>
      <w:r w:rsidRPr="00D13792">
        <w:rPr>
          <w:rFonts w:eastAsia="Calibri"/>
          <w:sz w:val="20"/>
          <w:szCs w:val="20"/>
        </w:rPr>
        <w:t xml:space="preserve">participaron en la delación </w:t>
      </w:r>
      <w:r w:rsidRPr="00D13792">
        <w:rPr>
          <w:rFonts w:eastAsia="Calibri" w:cs="Arial"/>
          <w:sz w:val="20"/>
          <w:szCs w:val="20"/>
        </w:rPr>
        <w:t xml:space="preserve">y </w:t>
      </w:r>
      <w:r w:rsidRPr="00D13792">
        <w:rPr>
          <w:rFonts w:eastAsia="Calibri"/>
          <w:sz w:val="20"/>
          <w:szCs w:val="20"/>
        </w:rPr>
        <w:t>la destrucción de la comunidad. El</w:t>
      </w:r>
      <w:r w:rsidRPr="00D13792">
        <w:rPr>
          <w:rFonts w:eastAsia="Calibri" w:cs="Arial"/>
          <w:sz w:val="20"/>
          <w:szCs w:val="20"/>
        </w:rPr>
        <w:t xml:space="preserve"> </w:t>
      </w:r>
      <w:r w:rsidRPr="00D13792">
        <w:rPr>
          <w:rFonts w:eastAsia="Calibri"/>
          <w:sz w:val="20"/>
          <w:szCs w:val="20"/>
        </w:rPr>
        <w:t xml:space="preserve">señalamiento de estas personas se envuelve en el silencio, </w:t>
      </w:r>
      <w:r w:rsidRPr="00D13792">
        <w:rPr>
          <w:rFonts w:eastAsia="Batang" w:cs="Times"/>
          <w:sz w:val="20"/>
          <w:szCs w:val="20"/>
        </w:rPr>
        <w:t>sin</w:t>
      </w:r>
      <w:r w:rsidRPr="00D13792">
        <w:rPr>
          <w:rFonts w:eastAsia="Calibri"/>
          <w:sz w:val="20"/>
          <w:szCs w:val="20"/>
        </w:rPr>
        <w:t xml:space="preserve"> embargo, en</w:t>
      </w:r>
      <w:r w:rsidRPr="00D13792">
        <w:rPr>
          <w:rFonts w:eastAsia="Calibri" w:cs="Arial"/>
          <w:sz w:val="20"/>
          <w:szCs w:val="20"/>
        </w:rPr>
        <w:t xml:space="preserve"> </w:t>
      </w:r>
      <w:r w:rsidRPr="00D13792">
        <w:rPr>
          <w:rFonts w:eastAsia="Calibri"/>
          <w:sz w:val="20"/>
          <w:szCs w:val="20"/>
        </w:rPr>
        <w:t>lo que sí se insiste es en que se ven obligados [a] encontrarse con ellos en</w:t>
      </w:r>
      <w:r w:rsidRPr="00D13792">
        <w:rPr>
          <w:rFonts w:eastAsia="Calibri" w:cs="Arial"/>
          <w:sz w:val="20"/>
          <w:szCs w:val="20"/>
        </w:rPr>
        <w:t xml:space="preserve"> </w:t>
      </w:r>
      <w:r w:rsidRPr="00D13792">
        <w:rPr>
          <w:rFonts w:eastAsia="Calibri"/>
          <w:sz w:val="20"/>
          <w:szCs w:val="20"/>
        </w:rPr>
        <w:t>espacios municipales colectivos”</w:t>
      </w:r>
      <w:r w:rsidRPr="00D13792">
        <w:rPr>
          <w:rFonts w:eastAsia="Calibri"/>
          <w:sz w:val="20"/>
          <w:szCs w:val="20"/>
          <w:vertAlign w:val="superscript"/>
        </w:rPr>
        <w:footnoteReference w:id="197"/>
      </w:r>
      <w:r w:rsidRPr="00D13792">
        <w:rPr>
          <w:rFonts w:eastAsia="Calibri"/>
          <w:sz w:val="20"/>
          <w:szCs w:val="20"/>
        </w:rPr>
        <w:t xml:space="preserve">. </w:t>
      </w:r>
    </w:p>
    <w:p w14:paraId="262FB510" w14:textId="77777777" w:rsidR="006A0E1C" w:rsidRPr="00D13792" w:rsidRDefault="006A0E1C" w:rsidP="006A0E1C">
      <w:pPr>
        <w:pStyle w:val="Prrafodelista2"/>
        <w:tabs>
          <w:tab w:val="left" w:pos="720"/>
        </w:tabs>
        <w:ind w:left="0" w:right="-90"/>
        <w:jc w:val="both"/>
        <w:rPr>
          <w:rFonts w:eastAsia="Calibri" w:cs="Arial"/>
          <w:lang w:val="es-CR"/>
        </w:rPr>
      </w:pPr>
    </w:p>
    <w:p w14:paraId="0F41EDEC" w14:textId="77777777" w:rsidR="006A0E1C" w:rsidRPr="00D13792" w:rsidRDefault="006A0E1C" w:rsidP="006A0E1C">
      <w:pPr>
        <w:numPr>
          <w:ilvl w:val="0"/>
          <w:numId w:val="6"/>
        </w:numPr>
        <w:spacing w:line="240" w:lineRule="auto"/>
        <w:ind w:right="4"/>
        <w:rPr>
          <w:rFonts w:eastAsia="Times" w:cs="Arial"/>
          <w:sz w:val="20"/>
          <w:szCs w:val="20"/>
        </w:rPr>
      </w:pPr>
      <w:r w:rsidRPr="00D13792">
        <w:rPr>
          <w:rFonts w:eastAsia="Calibri" w:cs="Arial"/>
          <w:sz w:val="20"/>
          <w:szCs w:val="20"/>
        </w:rPr>
        <w:t xml:space="preserve">Por otra parte, la Corte nota que </w:t>
      </w:r>
      <w:r w:rsidRPr="00D13792">
        <w:rPr>
          <w:rFonts w:eastAsia="Times" w:cs="Arial"/>
          <w:sz w:val="20"/>
          <w:szCs w:val="20"/>
        </w:rPr>
        <w:t xml:space="preserve">las </w:t>
      </w:r>
      <w:r w:rsidRPr="00D13792">
        <w:rPr>
          <w:rFonts w:eastAsia="Calibri" w:cs="Arial"/>
          <w:sz w:val="20"/>
          <w:szCs w:val="20"/>
        </w:rPr>
        <w:t xml:space="preserve">parcelas de los miembros de la aldea Chichupac y comunidades vecinas han sido ocupadas sin la autorización de sus anteriores ocupantes y </w:t>
      </w:r>
      <w:r w:rsidRPr="00D13792">
        <w:rPr>
          <w:iCs/>
          <w:sz w:val="20"/>
          <w:szCs w:val="20"/>
        </w:rPr>
        <w:t xml:space="preserve">propietarios originales, o bien, fueron vendidas por necesidad. Además, en algunos casos los documentos que acreditaban la posesión de sus tierras y bienes materiales fueron robados o destruidos cuando quemaron sus </w:t>
      </w:r>
      <w:r w:rsidRPr="00D13792">
        <w:rPr>
          <w:rFonts w:eastAsia="Batang" w:cs="Times"/>
          <w:sz w:val="20"/>
          <w:szCs w:val="20"/>
        </w:rPr>
        <w:t>viviendas, impidiendo el reclamo de dichos bienes</w:t>
      </w:r>
      <w:r w:rsidRPr="00D13792">
        <w:rPr>
          <w:rFonts w:eastAsia="Calibri"/>
          <w:sz w:val="20"/>
          <w:szCs w:val="20"/>
          <w:vertAlign w:val="superscript"/>
        </w:rPr>
        <w:footnoteReference w:id="198"/>
      </w:r>
      <w:r w:rsidRPr="00D13792">
        <w:rPr>
          <w:rFonts w:eastAsia="Batang" w:cs="Times"/>
          <w:sz w:val="20"/>
          <w:szCs w:val="20"/>
        </w:rPr>
        <w:t>.</w:t>
      </w:r>
    </w:p>
    <w:p w14:paraId="6F5138AB" w14:textId="77777777" w:rsidR="006A0E1C" w:rsidRPr="00D13792" w:rsidRDefault="006A0E1C" w:rsidP="006A0E1C">
      <w:pPr>
        <w:widowControl/>
        <w:adjustRightInd/>
        <w:spacing w:line="240" w:lineRule="auto"/>
        <w:contextualSpacing/>
        <w:textAlignment w:val="auto"/>
        <w:rPr>
          <w:rFonts w:eastAsia="Times" w:cs="Arial"/>
          <w:sz w:val="20"/>
          <w:szCs w:val="20"/>
          <w:lang w:eastAsia="en-US"/>
        </w:rPr>
      </w:pPr>
    </w:p>
    <w:p w14:paraId="19F7F255" w14:textId="77777777" w:rsidR="006A0E1C" w:rsidRPr="00D13792" w:rsidRDefault="006A0E1C" w:rsidP="006A0E1C">
      <w:pPr>
        <w:numPr>
          <w:ilvl w:val="0"/>
          <w:numId w:val="6"/>
        </w:numPr>
        <w:spacing w:line="240" w:lineRule="auto"/>
        <w:ind w:right="4"/>
        <w:rPr>
          <w:rFonts w:eastAsia="Times" w:cs="Arial"/>
          <w:sz w:val="20"/>
          <w:szCs w:val="20"/>
        </w:rPr>
      </w:pPr>
      <w:r w:rsidRPr="00D13792">
        <w:rPr>
          <w:rFonts w:eastAsia="Batang" w:cs="Times"/>
          <w:sz w:val="20"/>
          <w:szCs w:val="20"/>
        </w:rPr>
        <w:t xml:space="preserve">En razón de </w:t>
      </w:r>
      <w:r w:rsidRPr="00D13792">
        <w:rPr>
          <w:sz w:val="20"/>
          <w:szCs w:val="20"/>
        </w:rPr>
        <w:t>todo</w:t>
      </w:r>
      <w:r w:rsidRPr="00D13792">
        <w:rPr>
          <w:rFonts w:eastAsia="Batang" w:cs="Times"/>
          <w:sz w:val="20"/>
          <w:szCs w:val="20"/>
        </w:rPr>
        <w:t xml:space="preserve"> lo anterior, la Corte estima que actualmente los miembros de las comunidades que desean retornar a sus tierras se encuentran en la imposibilidad material de </w:t>
      </w:r>
      <w:r w:rsidRPr="00D13792">
        <w:rPr>
          <w:rFonts w:eastAsia="Batang" w:cs="Times"/>
          <w:sz w:val="20"/>
          <w:szCs w:val="20"/>
        </w:rPr>
        <w:lastRenderedPageBreak/>
        <w:t>hacerlo</w:t>
      </w:r>
      <w:r w:rsidRPr="00D13792">
        <w:rPr>
          <w:rFonts w:eastAsia="Times"/>
          <w:sz w:val="20"/>
          <w:szCs w:val="20"/>
        </w:rPr>
        <w:t>, por lo que se han visto forzadas a continuar en situación de desplazamiento.</w:t>
      </w:r>
      <w:r w:rsidRPr="00D13792">
        <w:rPr>
          <w:rFonts w:eastAsia="Times" w:cs="Arial"/>
          <w:sz w:val="20"/>
          <w:szCs w:val="20"/>
        </w:rPr>
        <w:t xml:space="preserve"> Por ello, </w:t>
      </w:r>
      <w:r w:rsidRPr="00D13792">
        <w:rPr>
          <w:rFonts w:eastAsia="Batang" w:cs="Times"/>
          <w:sz w:val="20"/>
          <w:szCs w:val="20"/>
        </w:rPr>
        <w:t xml:space="preserve">la libertad de circulación y de residencia de los miembros de la aldea Chichupac y comunidades vecinas del municipio de Rabinal que fueron desplazados, se encuentra limitada hasta la fecha por restricciones </w:t>
      </w:r>
      <w:r w:rsidRPr="00D13792">
        <w:rPr>
          <w:rFonts w:eastAsia="Batang" w:cs="Times"/>
          <w:i/>
          <w:sz w:val="20"/>
          <w:szCs w:val="20"/>
        </w:rPr>
        <w:t>de facto</w:t>
      </w:r>
      <w:r w:rsidRPr="00D13792">
        <w:rPr>
          <w:rFonts w:eastAsia="Batang" w:cs="Times"/>
          <w:sz w:val="20"/>
          <w:szCs w:val="20"/>
        </w:rPr>
        <w:t>.</w:t>
      </w:r>
    </w:p>
    <w:p w14:paraId="5818643E" w14:textId="77777777" w:rsidR="006A0E1C" w:rsidRPr="00D13792" w:rsidRDefault="006A0E1C" w:rsidP="006A0E1C">
      <w:pPr>
        <w:pStyle w:val="Heading3"/>
        <w:ind w:left="0"/>
        <w:rPr>
          <w:lang w:val="es-CR"/>
        </w:rPr>
      </w:pPr>
    </w:p>
    <w:p w14:paraId="3ACA95A9" w14:textId="77777777" w:rsidR="006A0E1C" w:rsidRPr="00D13792" w:rsidRDefault="006A0E1C" w:rsidP="006A0E1C">
      <w:pPr>
        <w:pStyle w:val="Heading3"/>
        <w:ind w:left="0"/>
        <w:rPr>
          <w:i/>
          <w:lang w:val="es-CR"/>
        </w:rPr>
      </w:pPr>
      <w:bookmarkStart w:id="220" w:name="_Toc460938884"/>
      <w:bookmarkStart w:id="221" w:name="_Toc469670051"/>
      <w:r w:rsidRPr="00D13792">
        <w:rPr>
          <w:rFonts w:eastAsia="Batang" w:cs="Times"/>
          <w:i/>
          <w:lang w:val="es-CR"/>
        </w:rPr>
        <w:t xml:space="preserve">B.2. Ausencia de </w:t>
      </w:r>
      <w:r w:rsidRPr="00D13792">
        <w:rPr>
          <w:i/>
          <w:lang w:val="es-CR"/>
        </w:rPr>
        <w:t>medidas adoptadas por el Estado para revertir los efectos del desplazamiento</w:t>
      </w:r>
      <w:bookmarkEnd w:id="220"/>
      <w:bookmarkEnd w:id="221"/>
    </w:p>
    <w:p w14:paraId="08DC46E5" w14:textId="77777777" w:rsidR="006A0E1C" w:rsidRPr="00D13792" w:rsidRDefault="006A0E1C" w:rsidP="006A0E1C">
      <w:pPr>
        <w:widowControl/>
        <w:adjustRightInd/>
        <w:spacing w:line="240" w:lineRule="auto"/>
        <w:contextualSpacing/>
        <w:textAlignment w:val="auto"/>
        <w:rPr>
          <w:rFonts w:eastAsia="Times" w:cs="Arial"/>
          <w:sz w:val="20"/>
          <w:szCs w:val="20"/>
          <w:lang w:eastAsia="en-US"/>
        </w:rPr>
      </w:pPr>
    </w:p>
    <w:p w14:paraId="05987226" w14:textId="77777777" w:rsidR="006A0E1C" w:rsidRPr="00D13792" w:rsidRDefault="006A0E1C" w:rsidP="006A0E1C">
      <w:pPr>
        <w:numPr>
          <w:ilvl w:val="0"/>
          <w:numId w:val="6"/>
        </w:numPr>
        <w:spacing w:line="240" w:lineRule="auto"/>
        <w:ind w:right="4"/>
        <w:rPr>
          <w:rFonts w:eastAsia="Times" w:cs="Arial"/>
          <w:sz w:val="20"/>
          <w:szCs w:val="20"/>
        </w:rPr>
      </w:pPr>
      <w:r w:rsidRPr="00D13792">
        <w:rPr>
          <w:rFonts w:eastAsia="Batang" w:cs="Times"/>
          <w:sz w:val="20"/>
          <w:szCs w:val="20"/>
        </w:rPr>
        <w:t xml:space="preserve">Primeramente, </w:t>
      </w:r>
      <w:r w:rsidRPr="00D13792">
        <w:rPr>
          <w:iCs/>
          <w:sz w:val="20"/>
          <w:szCs w:val="20"/>
        </w:rPr>
        <w:t xml:space="preserve">la Corte nota que </w:t>
      </w:r>
      <w:r w:rsidRPr="00D13792">
        <w:rPr>
          <w:rFonts w:eastAsia="Times" w:cs="Arial"/>
          <w:sz w:val="20"/>
          <w:szCs w:val="20"/>
        </w:rPr>
        <w:t xml:space="preserve">al menos los días 17 de </w:t>
      </w:r>
      <w:r w:rsidRPr="00D13792">
        <w:rPr>
          <w:rFonts w:eastAsia="Times"/>
          <w:sz w:val="20"/>
          <w:szCs w:val="20"/>
        </w:rPr>
        <w:t>enero</w:t>
      </w:r>
      <w:r w:rsidRPr="00D13792">
        <w:rPr>
          <w:rFonts w:eastAsia="Times" w:cs="Arial"/>
          <w:sz w:val="20"/>
          <w:szCs w:val="20"/>
        </w:rPr>
        <w:t xml:space="preserve"> de 1997, 25 de octubre de 2000, </w:t>
      </w:r>
      <w:r w:rsidRPr="00D13792">
        <w:rPr>
          <w:rFonts w:eastAsia="Times"/>
          <w:sz w:val="20"/>
          <w:szCs w:val="20"/>
        </w:rPr>
        <w:t xml:space="preserve">15 de noviembre de 2002, </w:t>
      </w:r>
      <w:r w:rsidRPr="00D13792">
        <w:rPr>
          <w:rFonts w:eastAsia="Times" w:cs="Arial"/>
          <w:sz w:val="20"/>
          <w:szCs w:val="20"/>
        </w:rPr>
        <w:t xml:space="preserve">12 y 27 de julio y 16 de agosto de 2005, y </w:t>
      </w:r>
      <w:r w:rsidRPr="00D13792">
        <w:rPr>
          <w:rFonts w:eastAsia="Times"/>
          <w:sz w:val="20"/>
          <w:szCs w:val="20"/>
        </w:rPr>
        <w:t xml:space="preserve">7 de abril y 6 de junio de </w:t>
      </w:r>
      <w:r w:rsidRPr="00D13792">
        <w:rPr>
          <w:rFonts w:eastAsia="Batang" w:cs="Times"/>
          <w:sz w:val="20"/>
          <w:szCs w:val="20"/>
        </w:rPr>
        <w:t>2006</w:t>
      </w:r>
      <w:r w:rsidRPr="00D13792">
        <w:rPr>
          <w:rFonts w:eastAsia="Times"/>
          <w:sz w:val="20"/>
          <w:szCs w:val="20"/>
          <w:vertAlign w:val="superscript"/>
        </w:rPr>
        <w:footnoteReference w:id="199"/>
      </w:r>
      <w:r w:rsidRPr="00D13792">
        <w:rPr>
          <w:rFonts w:eastAsia="Times"/>
          <w:sz w:val="20"/>
          <w:szCs w:val="20"/>
        </w:rPr>
        <w:t>,</w:t>
      </w:r>
      <w:r w:rsidRPr="00D13792">
        <w:rPr>
          <w:rFonts w:eastAsia="Times" w:cs="Arial"/>
          <w:sz w:val="20"/>
          <w:szCs w:val="20"/>
        </w:rPr>
        <w:t xml:space="preserve"> se denunció ante el Ministerio Público, entre otros hechos, la persecución que sufrieron las comunidades y el </w:t>
      </w:r>
      <w:r w:rsidRPr="00D13792">
        <w:rPr>
          <w:rFonts w:eastAsia="Batang" w:cs="Times"/>
          <w:sz w:val="20"/>
          <w:szCs w:val="20"/>
        </w:rPr>
        <w:t>desplazamiento</w:t>
      </w:r>
      <w:r w:rsidRPr="00D13792">
        <w:rPr>
          <w:rFonts w:eastAsia="Times" w:cs="Arial"/>
          <w:sz w:val="20"/>
          <w:szCs w:val="20"/>
        </w:rPr>
        <w:t xml:space="preserve"> de sus habitantes hacia las montañas y otros lugares de la zona a fin de salvar sus vidas. En algunas de estas denuncias se proporcionaron los nombres de las personas</w:t>
      </w:r>
      <w:r w:rsidRPr="00D13792">
        <w:rPr>
          <w:rFonts w:eastAsia="Times"/>
          <w:sz w:val="20"/>
          <w:szCs w:val="20"/>
        </w:rPr>
        <w:t xml:space="preserve"> que supuestamente habrían colaborado con el Ejército Nacional en esa época, y se informó que aún vivían en las comunidades vecinas del Rabinal </w:t>
      </w:r>
      <w:r w:rsidRPr="00D13792">
        <w:rPr>
          <w:rFonts w:eastAsia="Times" w:cs="Arial"/>
          <w:sz w:val="20"/>
          <w:szCs w:val="20"/>
        </w:rPr>
        <w:t>(</w:t>
      </w:r>
      <w:r w:rsidRPr="00D13792">
        <w:rPr>
          <w:rFonts w:eastAsia="Times" w:cs="Arial"/>
          <w:i/>
          <w:sz w:val="20"/>
          <w:szCs w:val="20"/>
        </w:rPr>
        <w:t xml:space="preserve">supra </w:t>
      </w:r>
      <w:r w:rsidRPr="00D13792">
        <w:rPr>
          <w:rFonts w:eastAsia="Times" w:cs="Arial"/>
          <w:sz w:val="20"/>
          <w:szCs w:val="20"/>
        </w:rPr>
        <w:t xml:space="preserve">párrs. 94 y 95 e </w:t>
      </w:r>
      <w:r w:rsidRPr="00D13792">
        <w:rPr>
          <w:rFonts w:eastAsia="Times" w:cs="Arial"/>
          <w:i/>
          <w:sz w:val="20"/>
          <w:szCs w:val="20"/>
        </w:rPr>
        <w:t>infra</w:t>
      </w:r>
      <w:r w:rsidRPr="00D13792">
        <w:rPr>
          <w:rFonts w:eastAsia="Times" w:cs="Arial"/>
          <w:sz w:val="20"/>
          <w:szCs w:val="20"/>
        </w:rPr>
        <w:t xml:space="preserve"> párr. 222, 227, 228, 234 y 254). </w:t>
      </w:r>
      <w:r w:rsidRPr="00D13792">
        <w:rPr>
          <w:rFonts w:eastAsia="Batang" w:cs="Times"/>
          <w:sz w:val="20"/>
          <w:szCs w:val="20"/>
        </w:rPr>
        <w:t xml:space="preserve">Asimismo, </w:t>
      </w:r>
      <w:r w:rsidRPr="00D13792">
        <w:rPr>
          <w:rFonts w:eastAsia="Times" w:cs="Arial"/>
          <w:sz w:val="20"/>
          <w:szCs w:val="20"/>
        </w:rPr>
        <w:t xml:space="preserve">el 27 de abril y 28 de junio de 1999, se puso en conocimiento del Ministerio Público que ex miembros de </w:t>
      </w:r>
      <w:r w:rsidRPr="00D13792">
        <w:rPr>
          <w:rFonts w:eastAsia="Times"/>
          <w:sz w:val="20"/>
          <w:szCs w:val="20"/>
        </w:rPr>
        <w:t xml:space="preserve">las fuerzas de seguridad estatal que </w:t>
      </w:r>
      <w:r w:rsidRPr="00D13792">
        <w:rPr>
          <w:rFonts w:eastAsia="Times" w:cs="Arial"/>
          <w:sz w:val="20"/>
          <w:szCs w:val="20"/>
        </w:rPr>
        <w:t>habrían participado en los hechos del</w:t>
      </w:r>
      <w:r w:rsidRPr="00D13792">
        <w:rPr>
          <w:rFonts w:eastAsia="Times"/>
          <w:sz w:val="20"/>
          <w:szCs w:val="20"/>
        </w:rPr>
        <w:t xml:space="preserve"> </w:t>
      </w:r>
      <w:r w:rsidRPr="00D13792">
        <w:rPr>
          <w:rFonts w:eastAsia="Times"/>
          <w:bCs/>
          <w:sz w:val="20"/>
          <w:szCs w:val="20"/>
        </w:rPr>
        <w:t>8 de enero de 1982</w:t>
      </w:r>
      <w:r w:rsidRPr="00D13792">
        <w:rPr>
          <w:rFonts w:eastAsia="Times" w:cs="Arial"/>
          <w:sz w:val="20"/>
          <w:szCs w:val="20"/>
        </w:rPr>
        <w:t>, seguían robando, violando a las mujeres, matando a personas en la zona y amenazando a los pobladores de la aldea Chichupac, así como se proporcionó los nombres de dichas personas (</w:t>
      </w:r>
      <w:r w:rsidRPr="00D13792">
        <w:rPr>
          <w:rFonts w:eastAsia="Times" w:cs="Arial"/>
          <w:i/>
          <w:sz w:val="20"/>
          <w:szCs w:val="20"/>
        </w:rPr>
        <w:t>infra</w:t>
      </w:r>
      <w:r w:rsidRPr="00D13792">
        <w:rPr>
          <w:rFonts w:eastAsia="Times" w:cs="Arial"/>
          <w:sz w:val="20"/>
          <w:szCs w:val="20"/>
        </w:rPr>
        <w:t xml:space="preserve"> párr. 222). </w:t>
      </w:r>
      <w:r w:rsidRPr="00D13792">
        <w:rPr>
          <w:rFonts w:eastAsia="Batang" w:cs="Times"/>
          <w:sz w:val="20"/>
          <w:szCs w:val="20"/>
        </w:rPr>
        <w:t xml:space="preserve">Sin embargo, no </w:t>
      </w:r>
      <w:r w:rsidRPr="00D13792">
        <w:rPr>
          <w:rFonts w:eastAsia="Times"/>
          <w:sz w:val="20"/>
          <w:szCs w:val="20"/>
        </w:rPr>
        <w:t xml:space="preserve">consta que </w:t>
      </w:r>
      <w:r w:rsidRPr="00D13792">
        <w:rPr>
          <w:rFonts w:eastAsia="Batang" w:cs="Times"/>
          <w:sz w:val="20"/>
          <w:szCs w:val="20"/>
        </w:rPr>
        <w:t>Guatemala</w:t>
      </w:r>
      <w:r w:rsidRPr="00D13792">
        <w:rPr>
          <w:rFonts w:eastAsia="Times"/>
          <w:sz w:val="20"/>
          <w:szCs w:val="20"/>
        </w:rPr>
        <w:t xml:space="preserve"> </w:t>
      </w:r>
      <w:r w:rsidRPr="00D13792">
        <w:rPr>
          <w:rFonts w:eastAsia="Batang" w:cs="Times"/>
          <w:sz w:val="20"/>
          <w:szCs w:val="20"/>
        </w:rPr>
        <w:t xml:space="preserve">haya implementado una investigación efectiva de los hechos violentos y desplazamiento sufrido por los miembros de la aldea Chichupac y comunidades vecinas, en especial, en lo que se refiere al señalamiento de que los responsables de la violencia </w:t>
      </w:r>
      <w:r w:rsidRPr="00D13792">
        <w:rPr>
          <w:rFonts w:eastAsia="Times" w:cs="Arial"/>
          <w:sz w:val="20"/>
          <w:szCs w:val="20"/>
        </w:rPr>
        <w:t xml:space="preserve">seguirían viviendo </w:t>
      </w:r>
      <w:r w:rsidRPr="00D13792">
        <w:rPr>
          <w:rFonts w:eastAsia="Times"/>
          <w:sz w:val="20"/>
          <w:szCs w:val="20"/>
        </w:rPr>
        <w:t xml:space="preserve">en las comunidades vecinas del Rabinal. Tampoco se investigaron las denuncias de que </w:t>
      </w:r>
      <w:r w:rsidRPr="00D13792">
        <w:rPr>
          <w:rFonts w:eastAsia="Times" w:cs="Arial"/>
          <w:sz w:val="20"/>
          <w:szCs w:val="20"/>
        </w:rPr>
        <w:t>en el año 1999,</w:t>
      </w:r>
      <w:r w:rsidRPr="00D13792">
        <w:rPr>
          <w:rFonts w:eastAsia="Times"/>
          <w:sz w:val="20"/>
          <w:szCs w:val="20"/>
        </w:rPr>
        <w:t xml:space="preserve"> algunos de los supuestos responsables seguirían </w:t>
      </w:r>
      <w:r w:rsidRPr="00D13792">
        <w:rPr>
          <w:rFonts w:eastAsia="Times" w:cs="Arial"/>
          <w:sz w:val="20"/>
          <w:szCs w:val="20"/>
        </w:rPr>
        <w:t>robando, violando a las mujeres, matando a personas en la zona y amenazando a los pobladores de la aldea Chichupac (</w:t>
      </w:r>
      <w:r w:rsidRPr="00D13792">
        <w:rPr>
          <w:rFonts w:eastAsia="Times" w:cs="Arial"/>
          <w:i/>
          <w:sz w:val="20"/>
          <w:szCs w:val="20"/>
        </w:rPr>
        <w:t>infra</w:t>
      </w:r>
      <w:r w:rsidRPr="00D13792">
        <w:rPr>
          <w:rFonts w:eastAsia="Times" w:cs="Arial"/>
          <w:sz w:val="20"/>
          <w:szCs w:val="20"/>
        </w:rPr>
        <w:t xml:space="preserve"> párrs. 222 y 223). </w:t>
      </w:r>
    </w:p>
    <w:p w14:paraId="445FBCB3" w14:textId="77777777" w:rsidR="006A0E1C" w:rsidRPr="00D13792" w:rsidRDefault="006A0E1C" w:rsidP="006A0E1C">
      <w:pPr>
        <w:widowControl/>
        <w:adjustRightInd/>
        <w:spacing w:line="240" w:lineRule="auto"/>
        <w:jc w:val="left"/>
        <w:textAlignment w:val="auto"/>
        <w:rPr>
          <w:rFonts w:eastAsia="Times" w:cs="Arial"/>
          <w:sz w:val="20"/>
          <w:szCs w:val="20"/>
          <w:lang w:eastAsia="en-US"/>
        </w:rPr>
      </w:pPr>
    </w:p>
    <w:p w14:paraId="27D6EEE7" w14:textId="77777777" w:rsidR="006A0E1C" w:rsidRPr="00D13792" w:rsidRDefault="006A0E1C" w:rsidP="006A0E1C">
      <w:pPr>
        <w:numPr>
          <w:ilvl w:val="0"/>
          <w:numId w:val="6"/>
        </w:numPr>
        <w:tabs>
          <w:tab w:val="left" w:pos="567"/>
        </w:tabs>
        <w:spacing w:line="240" w:lineRule="auto"/>
        <w:ind w:right="4"/>
        <w:rPr>
          <w:rFonts w:eastAsia="Times" w:cs="Arial"/>
          <w:sz w:val="20"/>
          <w:szCs w:val="20"/>
        </w:rPr>
      </w:pPr>
      <w:r w:rsidRPr="00D13792">
        <w:rPr>
          <w:rFonts w:eastAsia="Times" w:cs="Arial"/>
          <w:sz w:val="20"/>
          <w:szCs w:val="20"/>
        </w:rPr>
        <w:t>En segundo lugar, no consta que</w:t>
      </w:r>
      <w:r w:rsidRPr="00D13792">
        <w:rPr>
          <w:iCs/>
          <w:sz w:val="20"/>
          <w:szCs w:val="20"/>
        </w:rPr>
        <w:t xml:space="preserve"> el Estado haya establecido métodos para que los miembros de la </w:t>
      </w:r>
      <w:r w:rsidRPr="00D13792">
        <w:rPr>
          <w:sz w:val="20"/>
          <w:szCs w:val="20"/>
        </w:rPr>
        <w:t>aldea</w:t>
      </w:r>
      <w:r w:rsidRPr="00D13792">
        <w:rPr>
          <w:iCs/>
          <w:sz w:val="20"/>
          <w:szCs w:val="20"/>
        </w:rPr>
        <w:t xml:space="preserve"> Chichupac y comunidades vecinas que hayan perdido la documentación que acreditaba la posesión de sus tierras y bienes a causa de los hechos del presente caso obtengan dichos documentos o comprueben su posesión de formas alternativas </w:t>
      </w:r>
      <w:r w:rsidRPr="00D13792">
        <w:rPr>
          <w:rFonts w:eastAsia="Times" w:cs="Arial"/>
          <w:sz w:val="20"/>
          <w:szCs w:val="20"/>
        </w:rPr>
        <w:t>(</w:t>
      </w:r>
      <w:r w:rsidRPr="00D13792">
        <w:rPr>
          <w:rFonts w:eastAsia="Times" w:cs="Arial"/>
          <w:i/>
          <w:sz w:val="20"/>
          <w:szCs w:val="20"/>
        </w:rPr>
        <w:t>supra</w:t>
      </w:r>
      <w:r w:rsidRPr="00D13792">
        <w:rPr>
          <w:rFonts w:eastAsia="Times" w:cs="Arial"/>
          <w:sz w:val="20"/>
          <w:szCs w:val="20"/>
        </w:rPr>
        <w:t xml:space="preserve"> párr. 98)</w:t>
      </w:r>
      <w:r w:rsidRPr="00D13792">
        <w:rPr>
          <w:iCs/>
          <w:sz w:val="20"/>
          <w:szCs w:val="20"/>
        </w:rPr>
        <w:t xml:space="preserve">. </w:t>
      </w:r>
    </w:p>
    <w:p w14:paraId="7B97DF84" w14:textId="77777777" w:rsidR="006A0E1C" w:rsidRPr="00D13792" w:rsidRDefault="006A0E1C" w:rsidP="006A0E1C">
      <w:pPr>
        <w:widowControl/>
        <w:adjustRightInd/>
        <w:spacing w:line="240" w:lineRule="auto"/>
        <w:ind w:left="720"/>
        <w:contextualSpacing/>
        <w:jc w:val="left"/>
        <w:textAlignment w:val="auto"/>
        <w:rPr>
          <w:rFonts w:eastAsia="Calibri" w:cs="Arial"/>
          <w:sz w:val="20"/>
          <w:szCs w:val="20"/>
          <w:lang w:eastAsia="en-US"/>
        </w:rPr>
      </w:pPr>
    </w:p>
    <w:p w14:paraId="0C66D5B9" w14:textId="77777777" w:rsidR="006A0E1C" w:rsidRPr="00D13792" w:rsidRDefault="006A0E1C" w:rsidP="006A0E1C">
      <w:pPr>
        <w:numPr>
          <w:ilvl w:val="0"/>
          <w:numId w:val="6"/>
        </w:numPr>
        <w:tabs>
          <w:tab w:val="left" w:pos="567"/>
        </w:tabs>
        <w:spacing w:line="240" w:lineRule="auto"/>
        <w:ind w:right="4"/>
        <w:rPr>
          <w:rFonts w:eastAsia="Times"/>
          <w:bCs/>
          <w:sz w:val="20"/>
          <w:szCs w:val="20"/>
        </w:rPr>
      </w:pPr>
      <w:r w:rsidRPr="00D13792">
        <w:rPr>
          <w:rFonts w:eastAsia="Times"/>
          <w:sz w:val="20"/>
          <w:szCs w:val="20"/>
        </w:rPr>
        <w:t xml:space="preserve">En tercer lugar, durante la audiencia pública, los representantes informaron que </w:t>
      </w:r>
      <w:r w:rsidRPr="00D13792">
        <w:rPr>
          <w:rFonts w:eastAsia="Times"/>
          <w:bCs/>
          <w:sz w:val="20"/>
          <w:szCs w:val="20"/>
        </w:rPr>
        <w:t xml:space="preserve">hasta los últimos días de marzo de 2016 había una oficina municipal en Rabinal del Programa Nacional de Resarcimiento (PNR), la cual fue cerrada. El Estado no controvirtió la veracidad de esta información. Sin embargo, en </w:t>
      </w:r>
      <w:r w:rsidRPr="00D13792">
        <w:rPr>
          <w:rFonts w:eastAsia="Batang" w:cs="Times"/>
          <w:sz w:val="20"/>
          <w:szCs w:val="20"/>
        </w:rPr>
        <w:t xml:space="preserve">sus alegatos finales </w:t>
      </w:r>
      <w:r w:rsidRPr="00D13792">
        <w:rPr>
          <w:rFonts w:eastAsia="Calibri"/>
          <w:sz w:val="20"/>
          <w:szCs w:val="20"/>
        </w:rPr>
        <w:t>manifestó que a fin de revertir la situación de desplazamiento, en el año 2008 elaboró un diagnóstico sobre la Comunidad Chichupac, con el objeto de recopilar información básica para la atención del PNR. Dicho diagnóstico permitió conocer las condiciones económicas, sociales y culturales de la población, y de esa forma asentar las bases para la elaboración de los planes de resarcimiento llevados a cabo de una forma integral</w:t>
      </w:r>
      <w:r w:rsidRPr="00D13792">
        <w:rPr>
          <w:rFonts w:eastAsia="Times"/>
          <w:bCs/>
          <w:sz w:val="20"/>
          <w:szCs w:val="20"/>
        </w:rPr>
        <w:t xml:space="preserve">. </w:t>
      </w:r>
      <w:r w:rsidRPr="00D13792">
        <w:rPr>
          <w:rFonts w:eastAsia="Calibri"/>
          <w:sz w:val="20"/>
          <w:szCs w:val="20"/>
        </w:rPr>
        <w:t xml:space="preserve">Además, señaló que en el año 2008 se construyeron 80 casas de madera y lamina con un entortado de cemento. </w:t>
      </w:r>
    </w:p>
    <w:p w14:paraId="6021DCF7" w14:textId="77777777" w:rsidR="006A0E1C" w:rsidRPr="00D13792" w:rsidRDefault="006A0E1C" w:rsidP="006A0E1C">
      <w:pPr>
        <w:widowControl/>
        <w:adjustRightInd/>
        <w:spacing w:line="240" w:lineRule="auto"/>
        <w:jc w:val="left"/>
        <w:textAlignment w:val="auto"/>
        <w:rPr>
          <w:rFonts w:eastAsia="Times"/>
          <w:sz w:val="20"/>
          <w:szCs w:val="20"/>
          <w:lang w:eastAsia="en-US"/>
        </w:rPr>
      </w:pPr>
    </w:p>
    <w:p w14:paraId="0E26E9DE" w14:textId="77777777" w:rsidR="006A0E1C" w:rsidRPr="00D13792" w:rsidRDefault="006A0E1C" w:rsidP="006A0E1C">
      <w:pPr>
        <w:numPr>
          <w:ilvl w:val="0"/>
          <w:numId w:val="6"/>
        </w:numPr>
        <w:tabs>
          <w:tab w:val="left" w:pos="567"/>
        </w:tabs>
        <w:spacing w:line="240" w:lineRule="auto"/>
        <w:ind w:right="4"/>
        <w:rPr>
          <w:rFonts w:eastAsia="Times"/>
          <w:bCs/>
          <w:sz w:val="20"/>
          <w:szCs w:val="20"/>
        </w:rPr>
      </w:pPr>
      <w:r w:rsidRPr="00D13792">
        <w:rPr>
          <w:rFonts w:eastAsia="Batang" w:cs="Times"/>
          <w:sz w:val="20"/>
          <w:szCs w:val="20"/>
        </w:rPr>
        <w:t>Al respecto, l</w:t>
      </w:r>
      <w:r w:rsidRPr="00D13792">
        <w:rPr>
          <w:rFonts w:eastAsia="Calibri" w:cs="Arial"/>
          <w:sz w:val="20"/>
          <w:szCs w:val="20"/>
        </w:rPr>
        <w:t xml:space="preserve">a psicóloga Nieves Gómez Dupuis en su </w:t>
      </w:r>
      <w:r w:rsidRPr="00D13792">
        <w:rPr>
          <w:rFonts w:eastAsia="Times"/>
          <w:sz w:val="20"/>
          <w:szCs w:val="20"/>
        </w:rPr>
        <w:t xml:space="preserve">informe de 5 de mayo de 2010 señaló que, “[e]n el año 2009, </w:t>
      </w:r>
      <w:r w:rsidRPr="00D13792">
        <w:rPr>
          <w:rFonts w:eastAsia="Calibri"/>
          <w:sz w:val="20"/>
          <w:szCs w:val="20"/>
        </w:rPr>
        <w:t xml:space="preserve">el [PNR] prioriz[ó] la comunidad de Chichupac con el fin de llevar a cabo un proceso </w:t>
      </w:r>
      <w:r w:rsidRPr="00D13792">
        <w:rPr>
          <w:sz w:val="20"/>
          <w:szCs w:val="20"/>
        </w:rPr>
        <w:t>de</w:t>
      </w:r>
      <w:r w:rsidRPr="00D13792">
        <w:rPr>
          <w:rFonts w:eastAsia="Calibri"/>
          <w:sz w:val="20"/>
          <w:szCs w:val="20"/>
        </w:rPr>
        <w:t xml:space="preserve"> resarcimiento integral”. Para ello, en noviembre de 2009 solicitó al Equipo de Estudios Comunitarios </w:t>
      </w:r>
      <w:r w:rsidRPr="00D13792">
        <w:rPr>
          <w:rFonts w:eastAsia="Calibri" w:cs="Arial"/>
          <w:sz w:val="20"/>
          <w:szCs w:val="20"/>
        </w:rPr>
        <w:t xml:space="preserve">y </w:t>
      </w:r>
      <w:r w:rsidRPr="00D13792">
        <w:rPr>
          <w:rFonts w:eastAsia="Calibri"/>
          <w:sz w:val="20"/>
          <w:szCs w:val="20"/>
        </w:rPr>
        <w:t xml:space="preserve">Acción Psicosocial (ECAP) “realizar un diagnóstico </w:t>
      </w:r>
      <w:r w:rsidRPr="00D13792">
        <w:rPr>
          <w:rFonts w:eastAsia="Calibri" w:cs="Arial"/>
          <w:sz w:val="20"/>
          <w:szCs w:val="20"/>
        </w:rPr>
        <w:t xml:space="preserve">y </w:t>
      </w:r>
      <w:r w:rsidRPr="00D13792">
        <w:rPr>
          <w:rFonts w:eastAsia="Calibri"/>
          <w:sz w:val="20"/>
          <w:szCs w:val="20"/>
        </w:rPr>
        <w:t>propuesta de reparación integral para esta comunidad”. Sin embargo, “no [se ha logrado] una respuesta de resarcimiento de forma consensuada con</w:t>
      </w:r>
      <w:r w:rsidRPr="00D13792">
        <w:rPr>
          <w:rFonts w:eastAsia="Times"/>
          <w:bCs/>
          <w:sz w:val="20"/>
          <w:szCs w:val="20"/>
        </w:rPr>
        <w:t xml:space="preserve"> </w:t>
      </w:r>
      <w:r w:rsidRPr="00D13792">
        <w:rPr>
          <w:rFonts w:eastAsia="Calibri"/>
          <w:sz w:val="20"/>
          <w:szCs w:val="20"/>
        </w:rPr>
        <w:t xml:space="preserve">las víctimas, que sea clara y </w:t>
      </w:r>
      <w:r w:rsidRPr="00D13792">
        <w:rPr>
          <w:rFonts w:eastAsia="Calibri"/>
          <w:sz w:val="20"/>
          <w:szCs w:val="20"/>
        </w:rPr>
        <w:lastRenderedPageBreak/>
        <w:t xml:space="preserve">contundente y que recoja todas [sus] necesidades, [sino que] se llevan a cabo acciones aisladas como la construcción de viviendas o la entrega de indemnizaciones económicas, sin un </w:t>
      </w:r>
      <w:r w:rsidRPr="00D13792">
        <w:rPr>
          <w:rFonts w:eastAsia="Calibri" w:cs="Arial"/>
          <w:sz w:val="20"/>
          <w:szCs w:val="20"/>
        </w:rPr>
        <w:t xml:space="preserve">acompañamiento </w:t>
      </w:r>
      <w:r w:rsidRPr="00D13792">
        <w:rPr>
          <w:rFonts w:eastAsia="Calibri"/>
          <w:sz w:val="20"/>
          <w:szCs w:val="20"/>
        </w:rPr>
        <w:t>de medidas de salud, educación, justicia o memoria histórica”. En este sentido, si bien el PNR habría estado “en vías de otorgar vivienda, sin embargo[,] las personas no est[uvieron] de acuerdo con el tipo de vivienda que se les qu[ería] entregar,</w:t>
      </w:r>
      <w:r w:rsidRPr="00D13792">
        <w:rPr>
          <w:rFonts w:eastAsia="Calibri" w:cs="Arial"/>
          <w:i/>
          <w:iCs/>
          <w:sz w:val="20"/>
          <w:szCs w:val="20"/>
        </w:rPr>
        <w:t xml:space="preserve"> </w:t>
      </w:r>
      <w:r w:rsidRPr="00D13792">
        <w:rPr>
          <w:rFonts w:eastAsia="Calibri" w:cs="Arial"/>
          <w:sz w:val="20"/>
          <w:szCs w:val="20"/>
        </w:rPr>
        <w:t xml:space="preserve">y </w:t>
      </w:r>
      <w:r w:rsidRPr="00D13792">
        <w:rPr>
          <w:rFonts w:eastAsia="Calibri"/>
          <w:sz w:val="20"/>
          <w:szCs w:val="20"/>
        </w:rPr>
        <w:t xml:space="preserve">por la ausencia de una reparación integral”. Además, </w:t>
      </w:r>
      <w:r w:rsidRPr="00D13792">
        <w:rPr>
          <w:rFonts w:eastAsia="Calibri" w:cs="Arial"/>
          <w:sz w:val="20"/>
          <w:szCs w:val="20"/>
        </w:rPr>
        <w:t xml:space="preserve">“[l]as </w:t>
      </w:r>
      <w:r w:rsidRPr="00D13792">
        <w:rPr>
          <w:rFonts w:eastAsia="Calibri"/>
          <w:sz w:val="20"/>
          <w:szCs w:val="20"/>
        </w:rPr>
        <w:t xml:space="preserve">personas </w:t>
      </w:r>
      <w:r w:rsidRPr="00D13792">
        <w:rPr>
          <w:rFonts w:eastAsia="Calibri" w:cs="Arial"/>
          <w:sz w:val="20"/>
          <w:szCs w:val="20"/>
        </w:rPr>
        <w:t xml:space="preserve">que </w:t>
      </w:r>
      <w:r w:rsidRPr="00D13792">
        <w:rPr>
          <w:rFonts w:eastAsia="Calibri"/>
          <w:sz w:val="20"/>
          <w:szCs w:val="20"/>
        </w:rPr>
        <w:t xml:space="preserve">viven actualmente desplazadas como consecuencia de la </w:t>
      </w:r>
      <w:r w:rsidRPr="00D13792">
        <w:rPr>
          <w:rFonts w:eastAsia="Batang" w:cs="Times"/>
          <w:sz w:val="20"/>
          <w:szCs w:val="20"/>
        </w:rPr>
        <w:t>masacre</w:t>
      </w:r>
      <w:r w:rsidRPr="00D13792">
        <w:rPr>
          <w:rFonts w:eastAsia="Calibri"/>
          <w:sz w:val="20"/>
          <w:szCs w:val="20"/>
        </w:rPr>
        <w:t>,</w:t>
      </w:r>
      <w:r w:rsidRPr="00D13792">
        <w:rPr>
          <w:rFonts w:eastAsia="Calibri" w:cs="Arial"/>
          <w:sz w:val="20"/>
          <w:szCs w:val="20"/>
        </w:rPr>
        <w:t xml:space="preserve"> </w:t>
      </w:r>
      <w:r w:rsidRPr="00D13792">
        <w:rPr>
          <w:rFonts w:eastAsia="Calibri"/>
          <w:sz w:val="20"/>
          <w:szCs w:val="20"/>
        </w:rPr>
        <w:t>no son tomadas en cuenta para las medidas de</w:t>
      </w:r>
      <w:r w:rsidRPr="00D13792">
        <w:rPr>
          <w:rFonts w:eastAsia="Times"/>
          <w:bCs/>
          <w:sz w:val="20"/>
          <w:szCs w:val="20"/>
        </w:rPr>
        <w:t xml:space="preserve"> </w:t>
      </w:r>
      <w:r w:rsidRPr="00D13792">
        <w:rPr>
          <w:rFonts w:eastAsia="Calibri"/>
          <w:sz w:val="20"/>
          <w:szCs w:val="20"/>
        </w:rPr>
        <w:t>resarcimiento como por ejemplo, la construcción de vivienda</w:t>
      </w:r>
      <w:r w:rsidRPr="00D13792">
        <w:rPr>
          <w:rFonts w:eastAsia="Times"/>
          <w:bCs/>
          <w:sz w:val="20"/>
          <w:szCs w:val="20"/>
        </w:rPr>
        <w:t>”</w:t>
      </w:r>
      <w:r w:rsidRPr="00D13792">
        <w:rPr>
          <w:rFonts w:eastAsia="Times"/>
          <w:sz w:val="20"/>
          <w:szCs w:val="20"/>
          <w:vertAlign w:val="superscript"/>
        </w:rPr>
        <w:footnoteReference w:id="200"/>
      </w:r>
      <w:r w:rsidRPr="00D13792">
        <w:rPr>
          <w:rFonts w:eastAsia="Calibri"/>
          <w:sz w:val="20"/>
          <w:szCs w:val="20"/>
        </w:rPr>
        <w:t>.</w:t>
      </w:r>
      <w:r w:rsidRPr="00D13792">
        <w:rPr>
          <w:rFonts w:eastAsia="Times"/>
          <w:bCs/>
          <w:sz w:val="20"/>
          <w:szCs w:val="20"/>
        </w:rPr>
        <w:t xml:space="preserve"> </w:t>
      </w:r>
    </w:p>
    <w:p w14:paraId="05E69FFA" w14:textId="77777777" w:rsidR="006A0E1C" w:rsidRPr="00D13792" w:rsidRDefault="006A0E1C" w:rsidP="006A0E1C">
      <w:pPr>
        <w:widowControl/>
        <w:adjustRightInd/>
        <w:spacing w:line="240" w:lineRule="auto"/>
        <w:ind w:left="720"/>
        <w:contextualSpacing/>
        <w:jc w:val="left"/>
        <w:textAlignment w:val="auto"/>
        <w:rPr>
          <w:rFonts w:eastAsia="Times"/>
          <w:bCs/>
          <w:sz w:val="20"/>
          <w:szCs w:val="20"/>
          <w:lang w:eastAsia="en-US"/>
        </w:rPr>
      </w:pPr>
    </w:p>
    <w:p w14:paraId="7B93E161" w14:textId="77777777" w:rsidR="006A0E1C" w:rsidRPr="00D13792" w:rsidRDefault="006A0E1C" w:rsidP="006A0E1C">
      <w:pPr>
        <w:numPr>
          <w:ilvl w:val="0"/>
          <w:numId w:val="6"/>
        </w:numPr>
        <w:tabs>
          <w:tab w:val="left" w:pos="567"/>
        </w:tabs>
        <w:spacing w:line="240" w:lineRule="auto"/>
        <w:ind w:right="4"/>
        <w:rPr>
          <w:rFonts w:eastAsia="Times"/>
          <w:bCs/>
          <w:sz w:val="20"/>
          <w:szCs w:val="20"/>
        </w:rPr>
      </w:pPr>
      <w:r w:rsidRPr="00D13792">
        <w:rPr>
          <w:rFonts w:eastAsia="Times"/>
          <w:bCs/>
          <w:sz w:val="20"/>
          <w:szCs w:val="20"/>
        </w:rPr>
        <w:t xml:space="preserve">La Corte no cuenta con información sobre si el PNR contemplaría medidas concretas sobre un posible retorno </w:t>
      </w:r>
      <w:r w:rsidRPr="00D13792">
        <w:rPr>
          <w:rFonts w:cs="Verdana"/>
          <w:sz w:val="20"/>
          <w:szCs w:val="20"/>
        </w:rPr>
        <w:t xml:space="preserve">o </w:t>
      </w:r>
      <w:r w:rsidRPr="00D13792">
        <w:rPr>
          <w:rFonts w:eastAsia="Batang" w:cs="Times"/>
          <w:sz w:val="20"/>
          <w:szCs w:val="20"/>
        </w:rPr>
        <w:t>un</w:t>
      </w:r>
      <w:r w:rsidRPr="00D13792">
        <w:rPr>
          <w:rFonts w:cs="Verdana"/>
          <w:sz w:val="20"/>
          <w:szCs w:val="20"/>
        </w:rPr>
        <w:t xml:space="preserve"> reasentamiento voluntario y reintegración </w:t>
      </w:r>
      <w:r w:rsidRPr="00D13792">
        <w:rPr>
          <w:rFonts w:eastAsia="Batang" w:cs="Times"/>
          <w:sz w:val="20"/>
          <w:szCs w:val="20"/>
        </w:rPr>
        <w:t xml:space="preserve">de las personas que fueron desplazadas de la aldea Chichupac y comunidades vecinas del municipio de Rabinal, el cual incluya </w:t>
      </w:r>
      <w:r w:rsidRPr="00D13792">
        <w:rPr>
          <w:sz w:val="20"/>
          <w:szCs w:val="20"/>
        </w:rPr>
        <w:t>eventualmente</w:t>
      </w:r>
      <w:r w:rsidRPr="00D13792">
        <w:rPr>
          <w:rFonts w:eastAsia="Batang" w:cs="Times"/>
          <w:sz w:val="20"/>
          <w:szCs w:val="20"/>
        </w:rPr>
        <w:t xml:space="preserve"> su</w:t>
      </w:r>
      <w:r w:rsidRPr="00D13792">
        <w:rPr>
          <w:rFonts w:eastAsia="Times"/>
          <w:bCs/>
          <w:sz w:val="20"/>
          <w:szCs w:val="20"/>
        </w:rPr>
        <w:t xml:space="preserve"> </w:t>
      </w:r>
      <w:r w:rsidRPr="00D13792">
        <w:rPr>
          <w:rFonts w:cs="Verdana"/>
          <w:sz w:val="20"/>
          <w:szCs w:val="20"/>
        </w:rPr>
        <w:t>participación plena en la planificación y gestión.</w:t>
      </w:r>
      <w:r w:rsidRPr="00D13792">
        <w:rPr>
          <w:rFonts w:eastAsia="Times"/>
          <w:bCs/>
          <w:sz w:val="20"/>
          <w:szCs w:val="20"/>
        </w:rPr>
        <w:t xml:space="preserve"> Tampoco cuenta con información sobre </w:t>
      </w:r>
      <w:r w:rsidRPr="00D13792">
        <w:rPr>
          <w:rFonts w:eastAsia="Batang" w:cs="Times"/>
          <w:sz w:val="20"/>
          <w:szCs w:val="20"/>
        </w:rPr>
        <w:t>si, de contemplar dichas medidas, habrían sido eventualmente implementadas</w:t>
      </w:r>
      <w:r w:rsidRPr="00D13792">
        <w:rPr>
          <w:rFonts w:eastAsia="Times"/>
          <w:bCs/>
          <w:sz w:val="20"/>
          <w:szCs w:val="20"/>
        </w:rPr>
        <w:t xml:space="preserve">. </w:t>
      </w:r>
      <w:r w:rsidRPr="00D13792">
        <w:rPr>
          <w:rFonts w:eastAsia="Calibri"/>
          <w:sz w:val="20"/>
          <w:szCs w:val="20"/>
        </w:rPr>
        <w:t xml:space="preserve">Si bien consta que </w:t>
      </w:r>
      <w:r w:rsidRPr="00D13792">
        <w:rPr>
          <w:rFonts w:eastAsia="Times"/>
          <w:sz w:val="20"/>
          <w:szCs w:val="20"/>
        </w:rPr>
        <w:t>en el año 2009 y a solicitud del</w:t>
      </w:r>
      <w:r w:rsidRPr="00D13792">
        <w:rPr>
          <w:rFonts w:eastAsia="Calibri"/>
          <w:sz w:val="20"/>
          <w:szCs w:val="20"/>
        </w:rPr>
        <w:t xml:space="preserve"> PNR, </w:t>
      </w:r>
      <w:r w:rsidRPr="00D13792">
        <w:rPr>
          <w:rFonts w:eastAsia="Times"/>
          <w:sz w:val="20"/>
          <w:szCs w:val="20"/>
        </w:rPr>
        <w:t>e</w:t>
      </w:r>
      <w:r w:rsidRPr="00D13792">
        <w:rPr>
          <w:rFonts w:eastAsia="Calibri"/>
          <w:sz w:val="20"/>
          <w:szCs w:val="20"/>
        </w:rPr>
        <w:t xml:space="preserve">l Equipo de Estudios Comunitarios </w:t>
      </w:r>
      <w:r w:rsidRPr="00D13792">
        <w:rPr>
          <w:rFonts w:eastAsia="Calibri" w:cs="Arial"/>
          <w:sz w:val="20"/>
          <w:szCs w:val="20"/>
        </w:rPr>
        <w:t xml:space="preserve">y </w:t>
      </w:r>
      <w:r w:rsidRPr="00D13792">
        <w:rPr>
          <w:rFonts w:eastAsia="Calibri"/>
          <w:sz w:val="20"/>
          <w:szCs w:val="20"/>
        </w:rPr>
        <w:t xml:space="preserve">Acción Psicosocial (ECAP) elaboró un </w:t>
      </w:r>
      <w:r w:rsidRPr="00D13792">
        <w:rPr>
          <w:rFonts w:eastAsia="Times"/>
          <w:sz w:val="20"/>
          <w:szCs w:val="20"/>
        </w:rPr>
        <w:t xml:space="preserve">diagnóstico </w:t>
      </w:r>
      <w:r w:rsidRPr="00D13792">
        <w:rPr>
          <w:rFonts w:eastAsia="Calibri"/>
          <w:sz w:val="20"/>
          <w:szCs w:val="20"/>
        </w:rPr>
        <w:t xml:space="preserve">sobre la Comunidad Chichupac, </w:t>
      </w:r>
      <w:r w:rsidRPr="00D13792">
        <w:rPr>
          <w:rFonts w:eastAsia="Times"/>
          <w:bCs/>
          <w:sz w:val="20"/>
          <w:szCs w:val="20"/>
        </w:rPr>
        <w:t xml:space="preserve">no </w:t>
      </w:r>
      <w:r w:rsidRPr="00D13792">
        <w:rPr>
          <w:rFonts w:eastAsia="Calibri"/>
          <w:sz w:val="20"/>
          <w:szCs w:val="20"/>
        </w:rPr>
        <w:t xml:space="preserve">se tiene información sobre el eventual seguimiento a dicho diagnóstico. Más aún, la </w:t>
      </w:r>
      <w:r w:rsidRPr="00D13792">
        <w:rPr>
          <w:rFonts w:eastAsia="Times"/>
          <w:bCs/>
          <w:sz w:val="20"/>
          <w:szCs w:val="20"/>
        </w:rPr>
        <w:t>oficina municipal en Rabinal del PNR fue cerrada en los últimos días de marzo de 2016</w:t>
      </w:r>
      <w:r w:rsidRPr="00D13792">
        <w:rPr>
          <w:rFonts w:eastAsia="Calibri"/>
          <w:sz w:val="20"/>
          <w:szCs w:val="20"/>
        </w:rPr>
        <w:t xml:space="preserve">, sin que se tenga conocimiento si </w:t>
      </w:r>
      <w:r w:rsidRPr="00D13792">
        <w:rPr>
          <w:rFonts w:eastAsia="Times"/>
          <w:bCs/>
          <w:sz w:val="20"/>
          <w:szCs w:val="20"/>
        </w:rPr>
        <w:t>habría sido cerrada temporalmente o de manera definitiva.</w:t>
      </w:r>
    </w:p>
    <w:p w14:paraId="733A42D7" w14:textId="77777777" w:rsidR="006A0E1C" w:rsidRPr="00D13792" w:rsidRDefault="006A0E1C" w:rsidP="006A0E1C">
      <w:pPr>
        <w:widowControl/>
        <w:adjustRightInd/>
        <w:spacing w:line="240" w:lineRule="auto"/>
        <w:ind w:left="720"/>
        <w:contextualSpacing/>
        <w:jc w:val="left"/>
        <w:textAlignment w:val="auto"/>
        <w:rPr>
          <w:rFonts w:eastAsia="Times"/>
          <w:sz w:val="20"/>
          <w:szCs w:val="20"/>
          <w:lang w:eastAsia="en-US"/>
        </w:rPr>
      </w:pPr>
    </w:p>
    <w:p w14:paraId="1D233502" w14:textId="77777777" w:rsidR="006A0E1C" w:rsidRPr="00D13792" w:rsidRDefault="006A0E1C" w:rsidP="006A0E1C">
      <w:pPr>
        <w:numPr>
          <w:ilvl w:val="0"/>
          <w:numId w:val="6"/>
        </w:numPr>
        <w:tabs>
          <w:tab w:val="left" w:pos="567"/>
        </w:tabs>
        <w:spacing w:line="240" w:lineRule="auto"/>
        <w:ind w:right="4"/>
        <w:rPr>
          <w:rFonts w:eastAsia="Times"/>
          <w:bCs/>
          <w:sz w:val="20"/>
          <w:szCs w:val="20"/>
        </w:rPr>
      </w:pPr>
      <w:r w:rsidRPr="00D13792">
        <w:rPr>
          <w:rFonts w:eastAsia="Times"/>
          <w:sz w:val="20"/>
          <w:szCs w:val="20"/>
        </w:rPr>
        <w:t xml:space="preserve">Ahora bien, consta que el Estado ha realizado la construcción de viviendas </w:t>
      </w:r>
      <w:r w:rsidRPr="00D13792">
        <w:rPr>
          <w:rFonts w:eastAsia="Calibri"/>
          <w:sz w:val="20"/>
          <w:szCs w:val="20"/>
        </w:rPr>
        <w:t xml:space="preserve">y entregado algunas indemnizaciones económicas, sin embargo, este Tribunal no cuenta con información </w:t>
      </w:r>
      <w:r w:rsidRPr="00D13792">
        <w:rPr>
          <w:rFonts w:eastAsia="Times"/>
          <w:bCs/>
          <w:sz w:val="20"/>
          <w:szCs w:val="20"/>
        </w:rPr>
        <w:t xml:space="preserve">clara y precisa sobre los criterios que se han seguido al implementar dichas acciones, si su entrega se ha </w:t>
      </w:r>
      <w:r w:rsidRPr="00D13792">
        <w:rPr>
          <w:rFonts w:eastAsia="Batang" w:cs="Times"/>
          <w:sz w:val="20"/>
          <w:szCs w:val="20"/>
        </w:rPr>
        <w:t>realizado</w:t>
      </w:r>
      <w:r w:rsidRPr="00D13792">
        <w:rPr>
          <w:rFonts w:eastAsia="Times"/>
          <w:bCs/>
          <w:sz w:val="20"/>
          <w:szCs w:val="20"/>
        </w:rPr>
        <w:t xml:space="preserve"> a los propietarios </w:t>
      </w:r>
      <w:r w:rsidRPr="00D13792">
        <w:rPr>
          <w:rFonts w:eastAsia="Batang" w:cs="Times"/>
          <w:sz w:val="20"/>
          <w:szCs w:val="20"/>
        </w:rPr>
        <w:t>originales</w:t>
      </w:r>
      <w:r w:rsidRPr="00D13792">
        <w:rPr>
          <w:rFonts w:eastAsia="Times"/>
          <w:bCs/>
          <w:sz w:val="20"/>
          <w:szCs w:val="20"/>
        </w:rPr>
        <w:t xml:space="preserve"> de los territorios o a las personas que forman parte de los nuevos asentamientos, ni si </w:t>
      </w:r>
      <w:r w:rsidRPr="00D13792">
        <w:rPr>
          <w:rFonts w:eastAsia="Calibri"/>
          <w:sz w:val="20"/>
          <w:szCs w:val="20"/>
        </w:rPr>
        <w:t>responden a una estrategia de retorno</w:t>
      </w:r>
      <w:r w:rsidRPr="00D13792">
        <w:rPr>
          <w:rFonts w:eastAsia="Times"/>
          <w:sz w:val="20"/>
          <w:szCs w:val="20"/>
        </w:rPr>
        <w:t xml:space="preserve"> para revertir la </w:t>
      </w:r>
      <w:r w:rsidRPr="00D13792">
        <w:rPr>
          <w:sz w:val="20"/>
          <w:szCs w:val="20"/>
        </w:rPr>
        <w:t>situación</w:t>
      </w:r>
      <w:r w:rsidRPr="00D13792">
        <w:rPr>
          <w:rFonts w:eastAsia="Times"/>
          <w:sz w:val="20"/>
          <w:szCs w:val="20"/>
        </w:rPr>
        <w:t xml:space="preserve"> de desplazamiento de los miembros de las comunidades, y tampoco </w:t>
      </w:r>
      <w:r w:rsidRPr="00D13792">
        <w:rPr>
          <w:rFonts w:eastAsia="Times"/>
          <w:bCs/>
          <w:sz w:val="20"/>
          <w:szCs w:val="20"/>
        </w:rPr>
        <w:t>si son dirigidas a personas que viven dentro de las comunidades, o a personas que se encuentran desplazadas de estas.</w:t>
      </w:r>
    </w:p>
    <w:p w14:paraId="6AB54DCA" w14:textId="77777777" w:rsidR="006A0E1C" w:rsidRPr="00D13792" w:rsidRDefault="006A0E1C" w:rsidP="006A0E1C">
      <w:pPr>
        <w:widowControl/>
        <w:adjustRightInd/>
        <w:spacing w:line="240" w:lineRule="auto"/>
        <w:contextualSpacing/>
        <w:textAlignment w:val="auto"/>
        <w:rPr>
          <w:rFonts w:eastAsia="Times" w:cs="Arial"/>
          <w:sz w:val="20"/>
          <w:szCs w:val="20"/>
          <w:lang w:eastAsia="en-US"/>
        </w:rPr>
      </w:pPr>
    </w:p>
    <w:p w14:paraId="487623D6" w14:textId="77777777" w:rsidR="006A0E1C" w:rsidRPr="00D13792" w:rsidRDefault="006A0E1C" w:rsidP="006A0E1C">
      <w:pPr>
        <w:numPr>
          <w:ilvl w:val="0"/>
          <w:numId w:val="6"/>
        </w:numPr>
        <w:tabs>
          <w:tab w:val="left" w:pos="567"/>
        </w:tabs>
        <w:spacing w:line="240" w:lineRule="auto"/>
        <w:ind w:right="4"/>
        <w:rPr>
          <w:rFonts w:eastAsia="Times" w:cs="Arial"/>
          <w:sz w:val="20"/>
          <w:szCs w:val="20"/>
        </w:rPr>
      </w:pPr>
      <w:r w:rsidRPr="00D13792">
        <w:rPr>
          <w:rFonts w:eastAsia="Times"/>
          <w:sz w:val="20"/>
          <w:szCs w:val="20"/>
        </w:rPr>
        <w:t xml:space="preserve">Todo lo anterior permite a la Corte concluir que el Estado no adoptó medidas suficientes y efectivas para </w:t>
      </w:r>
      <w:r w:rsidRPr="00D13792">
        <w:rPr>
          <w:sz w:val="20"/>
          <w:szCs w:val="20"/>
        </w:rPr>
        <w:t>garantizar</w:t>
      </w:r>
      <w:r w:rsidRPr="00D13792">
        <w:rPr>
          <w:rFonts w:eastAsia="Times"/>
          <w:sz w:val="20"/>
          <w:szCs w:val="20"/>
        </w:rPr>
        <w:t xml:space="preserve"> a las personas desplazadas de Chichupac y comunidades vecinas, un retorno digno y seguro a sus lugares de residencia habitual o un reasentamiento voluntario en otra parte del país</w:t>
      </w:r>
      <w:r w:rsidRPr="00D13792">
        <w:rPr>
          <w:rFonts w:eastAsia="Batang" w:cs="Times"/>
          <w:sz w:val="20"/>
          <w:szCs w:val="20"/>
        </w:rPr>
        <w:t xml:space="preserve">, o, en su caso, una </w:t>
      </w:r>
      <w:r w:rsidRPr="00D13792">
        <w:rPr>
          <w:rFonts w:eastAsia="Times"/>
          <w:sz w:val="20"/>
          <w:szCs w:val="20"/>
        </w:rPr>
        <w:t>indemnización adecuada</w:t>
      </w:r>
      <w:r w:rsidRPr="00D13792">
        <w:rPr>
          <w:rFonts w:eastAsia="Batang" w:cs="Times"/>
          <w:sz w:val="20"/>
          <w:szCs w:val="20"/>
        </w:rPr>
        <w:t>.</w:t>
      </w:r>
      <w:r w:rsidRPr="00D13792">
        <w:rPr>
          <w:rFonts w:eastAsia="Times"/>
          <w:sz w:val="20"/>
          <w:szCs w:val="20"/>
        </w:rPr>
        <w:t xml:space="preserve"> Tampoco estableci</w:t>
      </w:r>
      <w:r w:rsidRPr="00D13792">
        <w:rPr>
          <w:sz w:val="20"/>
          <w:szCs w:val="20"/>
        </w:rPr>
        <w:t>ó</w:t>
      </w:r>
      <w:r w:rsidRPr="00D13792">
        <w:rPr>
          <w:rFonts w:eastAsia="Times"/>
          <w:sz w:val="20"/>
          <w:szCs w:val="20"/>
        </w:rPr>
        <w:t xml:space="preserve"> el Estado las condiciones ni proporcionó los medios indispensables para reparar o mitigar los efectos del desplazamiento de los miembros de las comunidades que se reasentaron con posterioridad al </w:t>
      </w:r>
      <w:r w:rsidRPr="00D13792">
        <w:rPr>
          <w:rFonts w:eastAsia="Batang" w:cs="Times"/>
          <w:sz w:val="20"/>
          <w:szCs w:val="20"/>
        </w:rPr>
        <w:t>9 de marzo 1987</w:t>
      </w:r>
      <w:r w:rsidRPr="00D13792">
        <w:rPr>
          <w:rFonts w:eastAsia="Times"/>
          <w:sz w:val="20"/>
          <w:szCs w:val="20"/>
        </w:rPr>
        <w:t xml:space="preserve">. En consecuencia, el Estado no garantizó la </w:t>
      </w:r>
      <w:r w:rsidRPr="00D13792">
        <w:rPr>
          <w:rFonts w:eastAsia="Batang" w:cs="Times"/>
          <w:sz w:val="20"/>
          <w:szCs w:val="20"/>
        </w:rPr>
        <w:t xml:space="preserve">libertad de circulación y de residencia de los miembros de la aldea Chichupac y comunidades vecinas del municipio de Rabinal que fueron desplazados de </w:t>
      </w:r>
      <w:r w:rsidRPr="00D13792">
        <w:rPr>
          <w:rFonts w:eastAsia="Times"/>
          <w:sz w:val="20"/>
          <w:szCs w:val="20"/>
        </w:rPr>
        <w:t xml:space="preserve">sus comunidades, en violación del </w:t>
      </w:r>
      <w:r w:rsidRPr="00D13792">
        <w:rPr>
          <w:rFonts w:eastAsia="Batang" w:cs="Times"/>
          <w:sz w:val="20"/>
          <w:szCs w:val="20"/>
        </w:rPr>
        <w:t>artículo 22.1 de la Convención Americana, en relación con el artículo 1.1 de la misma</w:t>
      </w:r>
      <w:r w:rsidRPr="00D13792">
        <w:rPr>
          <w:rFonts w:eastAsia="Times"/>
          <w:sz w:val="20"/>
          <w:szCs w:val="20"/>
        </w:rPr>
        <w:t>.</w:t>
      </w:r>
    </w:p>
    <w:p w14:paraId="7749A055" w14:textId="77777777" w:rsidR="006A0E1C" w:rsidRPr="00D13792" w:rsidRDefault="006A0E1C" w:rsidP="006A0E1C">
      <w:pPr>
        <w:widowControl/>
        <w:adjustRightInd/>
        <w:spacing w:line="240" w:lineRule="auto"/>
        <w:contextualSpacing/>
        <w:textAlignment w:val="auto"/>
        <w:rPr>
          <w:rFonts w:eastAsia="Times" w:cs="Arial"/>
          <w:sz w:val="20"/>
          <w:szCs w:val="20"/>
          <w:lang w:eastAsia="en-US"/>
        </w:rPr>
      </w:pPr>
    </w:p>
    <w:p w14:paraId="5E98C3AE" w14:textId="77777777" w:rsidR="006A0E1C" w:rsidRPr="00D13792" w:rsidRDefault="006A0E1C" w:rsidP="006A0E1C">
      <w:pPr>
        <w:pStyle w:val="Heading3"/>
        <w:ind w:left="0"/>
        <w:rPr>
          <w:i/>
          <w:lang w:val="es-CR"/>
        </w:rPr>
      </w:pPr>
      <w:bookmarkStart w:id="222" w:name="_Toc460938885"/>
      <w:bookmarkStart w:id="223" w:name="_Toc469670052"/>
      <w:r w:rsidRPr="00D13792">
        <w:rPr>
          <w:i/>
          <w:lang w:val="es-CR"/>
        </w:rPr>
        <w:t>B.3. Impactos del desplazamiento y la omisión de garantizar medidas de retorno en los miembros de la aldea Chichupac y comunidades vecinas de Rabinal</w:t>
      </w:r>
      <w:bookmarkEnd w:id="222"/>
      <w:bookmarkEnd w:id="223"/>
    </w:p>
    <w:p w14:paraId="2597CC25" w14:textId="77777777" w:rsidR="006A0E1C" w:rsidRPr="00D13792" w:rsidRDefault="006A0E1C" w:rsidP="006A0E1C">
      <w:pPr>
        <w:widowControl/>
        <w:adjustRightInd/>
        <w:spacing w:line="240" w:lineRule="auto"/>
        <w:textAlignment w:val="auto"/>
        <w:rPr>
          <w:rFonts w:eastAsia="Batang" w:cs="Times"/>
          <w:sz w:val="20"/>
          <w:szCs w:val="20"/>
          <w:lang w:eastAsia="en-US"/>
        </w:rPr>
      </w:pPr>
    </w:p>
    <w:p w14:paraId="4B7F6A6D"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Se desprende de la prueba remitida al Tribunal que el desplazamiento y la omisión de garantizar medidas de retorno o reasentamiento tuvieron graves efectos en el desarrollo de los proyectos de vida y relaciones familiares de los miembros de la comunidad maya achí de la aldea Chichupac y comunidades vecinas. En este sentido, el perito Luis Raúl Francisco Salvadó Cardoza y l</w:t>
      </w:r>
      <w:r w:rsidRPr="00D13792">
        <w:rPr>
          <w:rFonts w:eastAsia="Calibri" w:cs="Arial"/>
          <w:sz w:val="20"/>
          <w:szCs w:val="20"/>
        </w:rPr>
        <w:t xml:space="preserve">a psicóloga Nieves Gómez Dupuis </w:t>
      </w:r>
      <w:r w:rsidRPr="00D13792">
        <w:rPr>
          <w:rFonts w:eastAsia="Batang" w:cs="Times"/>
          <w:sz w:val="20"/>
          <w:szCs w:val="20"/>
        </w:rPr>
        <w:t xml:space="preserve">sostuvieron que, </w:t>
      </w:r>
      <w:r w:rsidRPr="00D13792">
        <w:rPr>
          <w:rFonts w:eastAsia="Calibri" w:cs="Arial"/>
          <w:sz w:val="20"/>
          <w:szCs w:val="20"/>
        </w:rPr>
        <w:t xml:space="preserve">como efecto directo del proceso de </w:t>
      </w:r>
      <w:r w:rsidRPr="00D13792">
        <w:rPr>
          <w:sz w:val="20"/>
          <w:szCs w:val="20"/>
        </w:rPr>
        <w:t>desplazamiento</w:t>
      </w:r>
      <w:r w:rsidRPr="00D13792">
        <w:rPr>
          <w:rFonts w:eastAsia="Calibri" w:cs="Arial"/>
          <w:sz w:val="20"/>
          <w:szCs w:val="20"/>
        </w:rPr>
        <w:t xml:space="preserve"> y </w:t>
      </w:r>
      <w:r w:rsidRPr="00D13792">
        <w:rPr>
          <w:rFonts w:eastAsia="Batang" w:cs="Times"/>
          <w:sz w:val="20"/>
          <w:szCs w:val="20"/>
        </w:rPr>
        <w:t>en el marco de estrategias de sobrevivencia</w:t>
      </w:r>
      <w:r w:rsidRPr="00D13792">
        <w:rPr>
          <w:rFonts w:eastAsia="Calibri" w:cs="Arial"/>
          <w:sz w:val="20"/>
          <w:szCs w:val="20"/>
        </w:rPr>
        <w:t xml:space="preserve">, se </w:t>
      </w:r>
      <w:r w:rsidRPr="00D13792">
        <w:rPr>
          <w:rFonts w:eastAsia="Batang" w:cs="Times"/>
          <w:sz w:val="20"/>
          <w:szCs w:val="20"/>
        </w:rPr>
        <w:t>produjeron abruptos cambios de rol</w:t>
      </w:r>
      <w:r w:rsidRPr="00D13792">
        <w:rPr>
          <w:rFonts w:eastAsia="Calibri" w:cs="Arial"/>
          <w:sz w:val="20"/>
          <w:szCs w:val="20"/>
        </w:rPr>
        <w:t xml:space="preserve"> y un cambio “brutal” en el proyecto de vida de las personas. Para ejemplificar lo anterior explicó: “[las] mujeres […] al esconderse en diferentes ciudades tuvieron que ‘lavar </w:t>
      </w:r>
      <w:r w:rsidRPr="00D13792">
        <w:rPr>
          <w:rFonts w:eastAsia="Calibri" w:cs="Arial"/>
          <w:sz w:val="20"/>
          <w:szCs w:val="20"/>
        </w:rPr>
        <w:lastRenderedPageBreak/>
        <w:t xml:space="preserve">ajeno’, hacer tortillas o tamales para vender de casa en casa, o </w:t>
      </w:r>
      <w:r w:rsidRPr="00D13792">
        <w:rPr>
          <w:rFonts w:eastAsia="Batang" w:cs="Times"/>
          <w:sz w:val="20"/>
          <w:szCs w:val="20"/>
        </w:rPr>
        <w:t>también</w:t>
      </w:r>
      <w:r w:rsidRPr="00D13792">
        <w:rPr>
          <w:rFonts w:eastAsia="Calibri" w:cs="Arial"/>
          <w:sz w:val="20"/>
          <w:szCs w:val="20"/>
        </w:rPr>
        <w:t xml:space="preserve"> emplearse en servicio doméstico, etc., mientras que en la comunidad previa eran amas de casa en unidades </w:t>
      </w:r>
      <w:r w:rsidRPr="00D13792">
        <w:rPr>
          <w:rFonts w:eastAsia="Batang" w:cs="Times"/>
          <w:sz w:val="20"/>
          <w:szCs w:val="20"/>
        </w:rPr>
        <w:t>familiares</w:t>
      </w:r>
      <w:r w:rsidRPr="00D13792">
        <w:rPr>
          <w:rFonts w:eastAsia="Calibri" w:cs="Arial"/>
          <w:sz w:val="20"/>
          <w:szCs w:val="20"/>
        </w:rPr>
        <w:t xml:space="preserve"> rurales”; “niños […] pasa[ro]n a ser jefes de familia [y hacerse] cargo de sus hermanos menores después del asesinato de sus padres, hasta encontrar a sus abuelos”; otros </w:t>
      </w:r>
      <w:r w:rsidRPr="00D13792">
        <w:rPr>
          <w:rFonts w:eastAsia="Batang" w:cs="Times"/>
          <w:sz w:val="20"/>
          <w:szCs w:val="20"/>
        </w:rPr>
        <w:t>“</w:t>
      </w:r>
      <w:r w:rsidRPr="00D13792">
        <w:rPr>
          <w:rFonts w:eastAsia="Calibri" w:cs="Arial"/>
          <w:sz w:val="20"/>
          <w:szCs w:val="20"/>
        </w:rPr>
        <w:t>pasaron de ser pequeños propietarios o usufructuarios de parcelas</w:t>
      </w:r>
      <w:r w:rsidRPr="00D13792">
        <w:rPr>
          <w:rFonts w:eastAsia="Batang" w:cs="Times"/>
          <w:sz w:val="20"/>
          <w:szCs w:val="20"/>
        </w:rPr>
        <w:t xml:space="preserve"> </w:t>
      </w:r>
      <w:r w:rsidRPr="00D13792">
        <w:rPr>
          <w:rFonts w:eastAsia="Calibri" w:cs="Arial"/>
          <w:sz w:val="20"/>
          <w:szCs w:val="20"/>
        </w:rPr>
        <w:t xml:space="preserve">agrícolas” a emplearse como “obreros de maquilas”, “albañiles”, “‘cargadores de bultos’ en diferentes mercados municipales del país”, “incorporarse como asalariados en fincas situadas en </w:t>
      </w:r>
      <w:r w:rsidRPr="00D13792">
        <w:rPr>
          <w:rFonts w:eastAsia="Batang" w:cs="Times"/>
          <w:sz w:val="20"/>
          <w:szCs w:val="20"/>
        </w:rPr>
        <w:t>diferentes</w:t>
      </w:r>
      <w:r w:rsidRPr="00D13792">
        <w:rPr>
          <w:rFonts w:eastAsia="Calibri" w:cs="Arial"/>
          <w:sz w:val="20"/>
          <w:szCs w:val="20"/>
        </w:rPr>
        <w:t xml:space="preserve"> departamentos” y trabajar en “oficios domésticos”</w:t>
      </w:r>
      <w:r w:rsidRPr="00D13792">
        <w:rPr>
          <w:rFonts w:eastAsia="Batang"/>
          <w:sz w:val="20"/>
          <w:szCs w:val="20"/>
          <w:vertAlign w:val="superscript"/>
        </w:rPr>
        <w:footnoteReference w:id="201"/>
      </w:r>
      <w:r w:rsidRPr="00D13792">
        <w:rPr>
          <w:rFonts w:eastAsia="Calibri"/>
          <w:sz w:val="20"/>
          <w:szCs w:val="20"/>
        </w:rPr>
        <w:t>.</w:t>
      </w:r>
    </w:p>
    <w:p w14:paraId="7222C045" w14:textId="77777777" w:rsidR="006A0E1C" w:rsidRPr="00D13792" w:rsidRDefault="006A0E1C" w:rsidP="006A0E1C">
      <w:pPr>
        <w:widowControl/>
        <w:adjustRightInd/>
        <w:spacing w:line="240" w:lineRule="auto"/>
        <w:ind w:left="720"/>
        <w:contextualSpacing/>
        <w:jc w:val="left"/>
        <w:textAlignment w:val="auto"/>
        <w:rPr>
          <w:rFonts w:eastAsia="Calibri" w:cs="Arial"/>
          <w:sz w:val="20"/>
          <w:szCs w:val="20"/>
          <w:lang w:eastAsia="en-US"/>
        </w:rPr>
      </w:pPr>
    </w:p>
    <w:p w14:paraId="3A370DC1"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 xml:space="preserve">Igualmente, para la Corte es evidente que el desplazamiento de los miembros de la aldea Chichupac y comunidades vecinas impactó gravemente la relación del pueblo maya achí con su territorio, así </w:t>
      </w:r>
      <w:r w:rsidRPr="00D13792">
        <w:rPr>
          <w:sz w:val="20"/>
          <w:szCs w:val="20"/>
        </w:rPr>
        <w:t>como</w:t>
      </w:r>
      <w:r w:rsidRPr="00D13792">
        <w:rPr>
          <w:rFonts w:eastAsia="Batang" w:cs="Times"/>
          <w:sz w:val="20"/>
          <w:szCs w:val="20"/>
        </w:rPr>
        <w:t xml:space="preserve"> los lazos comunitarios, tradicionales, culturales y ancestrales del grupo como tal. Al respecto,</w:t>
      </w:r>
      <w:r w:rsidRPr="00D13792">
        <w:rPr>
          <w:rFonts w:eastAsia="Calibri" w:cs="Arial"/>
          <w:sz w:val="20"/>
          <w:szCs w:val="20"/>
        </w:rPr>
        <w:t xml:space="preserve"> e</w:t>
      </w:r>
      <w:r w:rsidRPr="00D13792">
        <w:rPr>
          <w:rFonts w:eastAsia="Batang" w:cs="Times"/>
          <w:sz w:val="20"/>
          <w:szCs w:val="20"/>
        </w:rPr>
        <w:t>l perito Salvadó Cardoza indicó que “[e]</w:t>
      </w:r>
      <w:r w:rsidRPr="00D13792">
        <w:rPr>
          <w:rFonts w:eastAsia="Calibri" w:cs="Arial"/>
          <w:sz w:val="20"/>
          <w:szCs w:val="20"/>
        </w:rPr>
        <w:t>l desplazamiento rompió brutalmente los vínculos históricos que la población afectada tenía con su territorio, con la tierra y con las prácticas sociales que regían la cotidianidad”.</w:t>
      </w:r>
      <w:r w:rsidRPr="00D13792">
        <w:rPr>
          <w:rFonts w:eastAsia="Batang" w:cs="Times"/>
          <w:sz w:val="20"/>
          <w:szCs w:val="20"/>
        </w:rPr>
        <w:t xml:space="preserve"> Identificó entre los efectos comunales, “la </w:t>
      </w:r>
      <w:r w:rsidRPr="00D13792">
        <w:rPr>
          <w:rFonts w:eastAsia="Calibri" w:cs="Arial"/>
          <w:sz w:val="20"/>
          <w:szCs w:val="20"/>
        </w:rPr>
        <w:t>desarticulación del tejido</w:t>
      </w:r>
      <w:r w:rsidRPr="00D13792">
        <w:rPr>
          <w:rFonts w:eastAsia="Batang" w:cs="Times"/>
          <w:sz w:val="20"/>
          <w:szCs w:val="20"/>
        </w:rPr>
        <w:t xml:space="preserve"> </w:t>
      </w:r>
      <w:r w:rsidRPr="00D13792">
        <w:rPr>
          <w:rFonts w:eastAsia="Calibri" w:cs="Arial"/>
          <w:sz w:val="20"/>
          <w:szCs w:val="20"/>
        </w:rPr>
        <w:t xml:space="preserve">comunitario”, lo que “conllevó la ruptura de las relaciones sociales que se habían dado en cada comunidad para organizar la </w:t>
      </w:r>
      <w:r w:rsidRPr="00D13792">
        <w:rPr>
          <w:rFonts w:eastAsia="Batang" w:cs="Times"/>
          <w:sz w:val="20"/>
          <w:szCs w:val="20"/>
        </w:rPr>
        <w:t>convivencia</w:t>
      </w:r>
      <w:r w:rsidRPr="00D13792">
        <w:rPr>
          <w:rFonts w:eastAsia="Calibri" w:cs="Arial"/>
          <w:sz w:val="20"/>
          <w:szCs w:val="20"/>
        </w:rPr>
        <w:t xml:space="preserve">, la pérdida repentina de los canales tradicionales de transmisión de saberes </w:t>
      </w:r>
      <w:r w:rsidRPr="00D13792">
        <w:rPr>
          <w:rFonts w:eastAsia="Times"/>
          <w:sz w:val="20"/>
          <w:szCs w:val="20"/>
        </w:rPr>
        <w:t>[entre generaciones]</w:t>
      </w:r>
      <w:r w:rsidRPr="00D13792">
        <w:rPr>
          <w:rFonts w:eastAsia="Calibri" w:cs="Arial"/>
          <w:sz w:val="20"/>
          <w:szCs w:val="20"/>
        </w:rPr>
        <w:t>, la lógica cultural de las prácticas productivas [y] del uso de la tierra”, así como “l</w:t>
      </w:r>
      <w:r w:rsidRPr="00D13792">
        <w:rPr>
          <w:rFonts w:eastAsia="Times"/>
          <w:sz w:val="20"/>
          <w:szCs w:val="20"/>
        </w:rPr>
        <w:t>os marcadores de identidad se fueron rompiendo poco a poco”</w:t>
      </w:r>
      <w:r w:rsidRPr="00D13792">
        <w:rPr>
          <w:rFonts w:eastAsia="Calibri" w:cs="Arial"/>
          <w:sz w:val="20"/>
          <w:szCs w:val="20"/>
        </w:rPr>
        <w:t xml:space="preserve">. La “cohesión comunal se redujo”, “[s]e generó desconfianza entre personas” y </w:t>
      </w:r>
      <w:r w:rsidRPr="00D13792">
        <w:rPr>
          <w:rFonts w:eastAsia="Times"/>
          <w:sz w:val="20"/>
          <w:szCs w:val="20"/>
        </w:rPr>
        <w:t>“aislamiento de las personas entre sí”</w:t>
      </w:r>
      <w:r w:rsidRPr="00D13792">
        <w:rPr>
          <w:rFonts w:eastAsia="Calibri" w:cs="Arial"/>
          <w:sz w:val="20"/>
          <w:szCs w:val="20"/>
        </w:rPr>
        <w:t xml:space="preserve">, así como “[l]as organizaciones comunitarias se debilitaron profundamente al desaparecer el liderazgo previamente existente”. </w:t>
      </w:r>
      <w:r w:rsidRPr="00D13792">
        <w:rPr>
          <w:rFonts w:eastAsia="Batang" w:cs="Times"/>
          <w:sz w:val="20"/>
          <w:szCs w:val="20"/>
        </w:rPr>
        <w:t>Se impactó aspectos culturales de la población maya achí, ya que en las “</w:t>
      </w:r>
      <w:r w:rsidRPr="00D13792">
        <w:rPr>
          <w:rFonts w:eastAsia="Times"/>
          <w:sz w:val="20"/>
          <w:szCs w:val="20"/>
        </w:rPr>
        <w:t>nuevas estrategias de sobrevivencia lateral, los marcadores de identidad se esconden”</w:t>
      </w:r>
      <w:r w:rsidRPr="00D13792">
        <w:rPr>
          <w:rFonts w:eastAsia="Batang" w:cs="Times"/>
          <w:sz w:val="20"/>
          <w:szCs w:val="20"/>
        </w:rPr>
        <w:t xml:space="preserve">. Por un lado, en las mujeres, quienes </w:t>
      </w:r>
      <w:r w:rsidRPr="00D13792">
        <w:rPr>
          <w:rFonts w:eastAsia="Times"/>
          <w:sz w:val="20"/>
          <w:szCs w:val="20"/>
        </w:rPr>
        <w:t>“en la huida t[uvieron] que desprenderse de sus trajes tradicionales, de los trajes que habían tenido desde que nacieron […],</w:t>
      </w:r>
      <w:r w:rsidRPr="00D13792">
        <w:rPr>
          <w:rFonts w:eastAsia="Batang" w:cs="Times"/>
          <w:sz w:val="20"/>
          <w:szCs w:val="20"/>
        </w:rPr>
        <w:t xml:space="preserve"> y </w:t>
      </w:r>
      <w:r w:rsidRPr="00D13792">
        <w:rPr>
          <w:rFonts w:eastAsia="Times"/>
          <w:sz w:val="20"/>
          <w:szCs w:val="20"/>
        </w:rPr>
        <w:t>cambiárselo[s] por lo que ellas llaman ropa de fábrica”</w:t>
      </w:r>
      <w:r w:rsidRPr="00D13792">
        <w:rPr>
          <w:rFonts w:eastAsia="Batang" w:cs="Times"/>
          <w:sz w:val="20"/>
          <w:szCs w:val="20"/>
        </w:rPr>
        <w:t>, “</w:t>
      </w:r>
      <w:r w:rsidRPr="00D13792">
        <w:rPr>
          <w:rFonts w:eastAsia="Times"/>
          <w:sz w:val="20"/>
          <w:szCs w:val="20"/>
        </w:rPr>
        <w:t>en un proceso de mimetización muy doloroso que hace posible la sobrevivencia en el nuevo entorno”.</w:t>
      </w:r>
      <w:r w:rsidRPr="00D13792">
        <w:rPr>
          <w:rFonts w:eastAsia="Batang" w:cs="Times"/>
          <w:sz w:val="20"/>
          <w:szCs w:val="20"/>
        </w:rPr>
        <w:t xml:space="preserve"> </w:t>
      </w:r>
      <w:r w:rsidRPr="00D13792">
        <w:rPr>
          <w:rFonts w:eastAsia="Times"/>
          <w:sz w:val="20"/>
          <w:szCs w:val="20"/>
        </w:rPr>
        <w:t xml:space="preserve">Por otro lado, en </w:t>
      </w:r>
      <w:r w:rsidRPr="00D13792">
        <w:rPr>
          <w:rFonts w:eastAsia="Batang" w:cs="Times"/>
          <w:sz w:val="20"/>
          <w:szCs w:val="20"/>
        </w:rPr>
        <w:t>el uso del idioma achí que se empleaba en las relaciones sociales, comunitarias y familiares, debido a que al salir de las comunidades, sus miembros tuvieron que enfrentarse al mundo en español, el cual no es su primera lengua</w:t>
      </w:r>
      <w:r w:rsidRPr="00D13792">
        <w:rPr>
          <w:rFonts w:eastAsia="Calibri"/>
          <w:sz w:val="20"/>
          <w:szCs w:val="20"/>
          <w:vertAlign w:val="superscript"/>
        </w:rPr>
        <w:footnoteReference w:id="202"/>
      </w:r>
      <w:r w:rsidRPr="00D13792">
        <w:rPr>
          <w:rFonts w:eastAsia="Batang" w:cs="Times"/>
          <w:sz w:val="20"/>
          <w:szCs w:val="20"/>
        </w:rPr>
        <w:t>.</w:t>
      </w:r>
    </w:p>
    <w:p w14:paraId="6D177429" w14:textId="77777777" w:rsidR="006A0E1C" w:rsidRPr="00D13792" w:rsidRDefault="006A0E1C" w:rsidP="006A0E1C">
      <w:pPr>
        <w:pStyle w:val="Prrafodelista2"/>
        <w:tabs>
          <w:tab w:val="left" w:pos="720"/>
        </w:tabs>
        <w:ind w:left="0" w:right="-90"/>
        <w:jc w:val="both"/>
        <w:rPr>
          <w:rFonts w:eastAsia="Batang" w:cs="Times"/>
          <w:lang w:val="es-CR"/>
        </w:rPr>
      </w:pPr>
    </w:p>
    <w:p w14:paraId="37D03AF0"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En este mismo sentido, l</w:t>
      </w:r>
      <w:r w:rsidRPr="00D13792">
        <w:rPr>
          <w:rFonts w:eastAsia="Calibri" w:cs="Arial"/>
          <w:sz w:val="20"/>
          <w:szCs w:val="20"/>
        </w:rPr>
        <w:t>a psicóloga Gómez Dupuis explicó que “[</w:t>
      </w:r>
      <w:r w:rsidRPr="00D13792">
        <w:rPr>
          <w:rFonts w:eastAsia="Calibri"/>
          <w:sz w:val="20"/>
          <w:szCs w:val="20"/>
        </w:rPr>
        <w:t xml:space="preserve">l]a vida cotidiana, las celebraciones y los ritos giraban en torno a la tierra </w:t>
      </w:r>
      <w:r w:rsidRPr="00D13792">
        <w:rPr>
          <w:rFonts w:eastAsia="Calibri" w:cs="Arial"/>
          <w:sz w:val="20"/>
          <w:szCs w:val="20"/>
        </w:rPr>
        <w:t xml:space="preserve">y </w:t>
      </w:r>
      <w:r w:rsidRPr="00D13792">
        <w:rPr>
          <w:rFonts w:eastAsia="Calibri"/>
          <w:sz w:val="20"/>
          <w:szCs w:val="20"/>
        </w:rPr>
        <w:t>sus ciclos de producción</w:t>
      </w:r>
      <w:r w:rsidRPr="00D13792">
        <w:rPr>
          <w:rFonts w:eastAsia="Calibri" w:cs="Arial"/>
          <w:sz w:val="20"/>
          <w:szCs w:val="20"/>
        </w:rPr>
        <w:t xml:space="preserve">, y </w:t>
      </w:r>
      <w:r w:rsidRPr="00D13792">
        <w:rPr>
          <w:rFonts w:eastAsia="Calibri"/>
          <w:sz w:val="20"/>
          <w:szCs w:val="20"/>
        </w:rPr>
        <w:t xml:space="preserve">a la organización </w:t>
      </w:r>
      <w:r w:rsidRPr="00D13792">
        <w:rPr>
          <w:sz w:val="20"/>
          <w:szCs w:val="20"/>
        </w:rPr>
        <w:t>social</w:t>
      </w:r>
      <w:r w:rsidRPr="00D13792">
        <w:rPr>
          <w:rFonts w:eastAsia="Calibri"/>
          <w:sz w:val="20"/>
          <w:szCs w:val="20"/>
        </w:rPr>
        <w:t xml:space="preserve"> comunitaria”, y que</w:t>
      </w:r>
      <w:r w:rsidRPr="00D13792">
        <w:rPr>
          <w:rFonts w:eastAsia="Batang" w:cs="Times"/>
          <w:sz w:val="20"/>
          <w:szCs w:val="20"/>
        </w:rPr>
        <w:t xml:space="preserve"> </w:t>
      </w:r>
      <w:r w:rsidRPr="00D13792">
        <w:rPr>
          <w:rFonts w:eastAsia="Calibri" w:cs="Arial"/>
          <w:sz w:val="20"/>
          <w:szCs w:val="20"/>
        </w:rPr>
        <w:t xml:space="preserve">“el desplazamiento provocó la ruptura de redes de apoyo, </w:t>
      </w:r>
      <w:r w:rsidRPr="00D13792">
        <w:rPr>
          <w:rFonts w:eastAsia="Calibri"/>
          <w:sz w:val="20"/>
          <w:szCs w:val="20"/>
        </w:rPr>
        <w:t>la</w:t>
      </w:r>
      <w:r w:rsidRPr="00D13792">
        <w:rPr>
          <w:rFonts w:eastAsia="Calibri" w:cs="Arial"/>
          <w:sz w:val="20"/>
          <w:szCs w:val="20"/>
        </w:rPr>
        <w:t xml:space="preserve"> </w:t>
      </w:r>
      <w:r w:rsidRPr="00D13792">
        <w:rPr>
          <w:rFonts w:eastAsia="Calibri"/>
          <w:sz w:val="20"/>
          <w:szCs w:val="20"/>
        </w:rPr>
        <w:t xml:space="preserve">ruptura con la tierra </w:t>
      </w:r>
      <w:r w:rsidRPr="00D13792">
        <w:rPr>
          <w:rFonts w:eastAsia="Calibri" w:cs="Arial"/>
          <w:sz w:val="20"/>
          <w:szCs w:val="20"/>
        </w:rPr>
        <w:t xml:space="preserve">y </w:t>
      </w:r>
      <w:r w:rsidRPr="00D13792">
        <w:rPr>
          <w:rFonts w:eastAsia="Calibri"/>
          <w:sz w:val="20"/>
          <w:szCs w:val="20"/>
        </w:rPr>
        <w:t>la cultura ancestral”</w:t>
      </w:r>
      <w:r w:rsidRPr="00D13792">
        <w:rPr>
          <w:rFonts w:eastAsia="Calibri" w:cs="Arial"/>
          <w:sz w:val="20"/>
          <w:szCs w:val="20"/>
        </w:rPr>
        <w:t xml:space="preserve">. </w:t>
      </w:r>
      <w:r w:rsidRPr="00D13792">
        <w:rPr>
          <w:rFonts w:eastAsia="Batang" w:cs="Times"/>
          <w:sz w:val="20"/>
          <w:szCs w:val="20"/>
        </w:rPr>
        <w:t xml:space="preserve">Destacó que “[l]as prácticas culturales fueron gravemente dañadas por la exclusión y estigmatización hacia la población maya achí”. </w:t>
      </w:r>
    </w:p>
    <w:p w14:paraId="4A71CE59" w14:textId="77777777" w:rsidR="006A0E1C" w:rsidRPr="00D13792" w:rsidRDefault="006A0E1C" w:rsidP="006A0E1C">
      <w:pPr>
        <w:pStyle w:val="Prrafodelista2"/>
        <w:tabs>
          <w:tab w:val="left" w:pos="720"/>
        </w:tabs>
        <w:ind w:left="0" w:right="-90"/>
        <w:jc w:val="both"/>
        <w:rPr>
          <w:rFonts w:eastAsia="Batang" w:cs="Times"/>
          <w:lang w:val="es-CR"/>
        </w:rPr>
      </w:pPr>
    </w:p>
    <w:p w14:paraId="0B05F8EA"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La Corte considera que el testimonio rendido por el señor Napoleón García De Paz en la audiencia pública es consistente con dichos peritajes. El señor García relató a la Corte que después de sobrevivir los hechos del 26 de noviembre de 1982, en los que ocho personas fueron víctimas de desaparición, salió de su comunidad para refugiarse en las montañas. En ese lugar, también sobrevivió, junto con su esposa e hijos, los hechos de 2 de marzo de 1983, en los que ocho personas fueron ejecutadas (</w:t>
      </w:r>
      <w:r w:rsidRPr="00D13792">
        <w:rPr>
          <w:rFonts w:eastAsia="Batang" w:cs="Times"/>
          <w:i/>
          <w:sz w:val="20"/>
          <w:szCs w:val="20"/>
        </w:rPr>
        <w:t>supra</w:t>
      </w:r>
      <w:r w:rsidRPr="00D13792">
        <w:rPr>
          <w:rFonts w:eastAsia="Batang" w:cs="Times"/>
          <w:sz w:val="20"/>
          <w:szCs w:val="20"/>
        </w:rPr>
        <w:t xml:space="preserve"> párrs. 110 a 112). Explicó que posteriormente se fue a la ciudad de Guatemala y que actualmente vive en Rabinal sin haber retornado aún a su aldea. Sobre los hechos vividos y el desplazamiento, expresó que siente “un dolor […] porque uno es nativo de allí de esa aldea de Xeabaj […], entonces un </w:t>
      </w:r>
      <w:r w:rsidRPr="00D13792">
        <w:rPr>
          <w:rFonts w:eastAsia="Batang" w:cs="Times"/>
          <w:sz w:val="20"/>
          <w:szCs w:val="20"/>
        </w:rPr>
        <w:lastRenderedPageBreak/>
        <w:t>sentimiento le da a uno porque ya no es igual que llegamos ahorita, en la aldea, nada de gente, nada de familia, toda mi familia, mis hermanos los mataron, ya solo yo quedé […], duele mucho la raza maya que se termine, nos quieren terminar los que están en el Ejército, porque nosotros de indio, nos dicen, no valemos nada, porque no podemos muchos ni hablar el castellano, el español, por eso es que me da un sentimiento como pasó nuestras queridas comunidades […]. [Y]a ni yo he llegado a mi aldea porque […] me da miedo, cualquier cohetillo por allí yo pienso que ya viene el Ejército para arriba, pero no. ¿Por qué? Porque se queda uno traumado su mente”.</w:t>
      </w:r>
    </w:p>
    <w:p w14:paraId="7F2ACE8B" w14:textId="77777777" w:rsidR="006A0E1C" w:rsidRPr="00D13792" w:rsidRDefault="006A0E1C" w:rsidP="006A0E1C">
      <w:pPr>
        <w:pStyle w:val="ListParagraph"/>
        <w:spacing w:after="0" w:line="240" w:lineRule="auto"/>
        <w:rPr>
          <w:rFonts w:ascii="Verdana" w:eastAsia="Batang" w:hAnsi="Verdana" w:cs="Times"/>
          <w:sz w:val="20"/>
          <w:szCs w:val="20"/>
          <w:lang w:val="es-CR"/>
        </w:rPr>
      </w:pPr>
    </w:p>
    <w:p w14:paraId="2842AAC6"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Aunado a ello, la Corte constata que el desplazamiento forzado también afectó la vida religiosa de los miembros de la aldea Chichupac y comunidades vecinas. Según señaló la psicóloga Gómez Dupuis, “[d]urante estos años las personas dejaron de realizar sus devociones por la tierra, la lluvia, la cosecha, la salud, o la muerte y la relación con los ancestros. Con el paso del tiempo, las personas en la comunidad han ido recuperando sus prácticas culturales, y varios ancianos de la comunidad que lograron sobrevivir a la masacre perpetúan el conocimiento ancestral. Sin embargo, varias familias se convirtieron a nuevas religiones como la carismática y la evangélica. […] Las prácticas culturales también han ido perdiéndose en las personas que se desplazaron definitivamente a otros municipios y fundamentalmente los jóvenes que crecieron fuera de sus tierras ancestrales y asumiendo nuevas identidades”, “</w:t>
      </w:r>
      <w:r w:rsidRPr="00D13792">
        <w:rPr>
          <w:rFonts w:eastAsia="Calibri"/>
          <w:sz w:val="20"/>
          <w:szCs w:val="20"/>
        </w:rPr>
        <w:t>lejos</w:t>
      </w:r>
      <w:r w:rsidRPr="00D13792">
        <w:rPr>
          <w:rFonts w:eastAsia="Batang" w:cs="Times"/>
          <w:sz w:val="20"/>
          <w:szCs w:val="20"/>
        </w:rPr>
        <w:t xml:space="preserve"> </w:t>
      </w:r>
      <w:r w:rsidRPr="00D13792">
        <w:rPr>
          <w:rFonts w:eastAsia="Calibri" w:cs="Arial"/>
          <w:sz w:val="20"/>
          <w:szCs w:val="20"/>
        </w:rPr>
        <w:t xml:space="preserve">de </w:t>
      </w:r>
      <w:r w:rsidRPr="00D13792">
        <w:rPr>
          <w:rFonts w:eastAsia="Calibri"/>
          <w:sz w:val="20"/>
          <w:szCs w:val="20"/>
        </w:rPr>
        <w:t>su familia</w:t>
      </w:r>
      <w:r w:rsidRPr="00D13792">
        <w:rPr>
          <w:rFonts w:eastAsia="Calibri" w:cs="Arial"/>
          <w:sz w:val="20"/>
          <w:szCs w:val="20"/>
        </w:rPr>
        <w:t xml:space="preserve">, </w:t>
      </w:r>
      <w:r w:rsidRPr="00D13792">
        <w:rPr>
          <w:rFonts w:eastAsia="Calibri"/>
          <w:sz w:val="20"/>
          <w:szCs w:val="20"/>
        </w:rPr>
        <w:t xml:space="preserve">sus tradiciones, su traje tradicional </w:t>
      </w:r>
      <w:r w:rsidRPr="00D13792">
        <w:rPr>
          <w:rFonts w:eastAsia="Calibri" w:cs="Arial"/>
          <w:sz w:val="20"/>
          <w:szCs w:val="20"/>
        </w:rPr>
        <w:t xml:space="preserve">y </w:t>
      </w:r>
      <w:r w:rsidRPr="00D13792">
        <w:rPr>
          <w:rFonts w:eastAsia="Calibri"/>
          <w:sz w:val="20"/>
          <w:szCs w:val="20"/>
        </w:rPr>
        <w:t>su idioma”</w:t>
      </w:r>
      <w:r w:rsidRPr="00D13792">
        <w:rPr>
          <w:rFonts w:eastAsia="Calibri"/>
          <w:sz w:val="20"/>
          <w:szCs w:val="20"/>
          <w:vertAlign w:val="superscript"/>
        </w:rPr>
        <w:footnoteReference w:id="203"/>
      </w:r>
      <w:r w:rsidRPr="00D13792">
        <w:rPr>
          <w:rFonts w:eastAsia="Batang" w:cs="Times"/>
          <w:sz w:val="20"/>
          <w:szCs w:val="20"/>
        </w:rPr>
        <w:t xml:space="preserve">. </w:t>
      </w:r>
    </w:p>
    <w:p w14:paraId="209E4692" w14:textId="77777777" w:rsidR="006A0E1C" w:rsidRPr="00D13792" w:rsidRDefault="006A0E1C" w:rsidP="006A0E1C">
      <w:pPr>
        <w:widowControl/>
        <w:adjustRightInd/>
        <w:spacing w:line="240" w:lineRule="auto"/>
        <w:contextualSpacing/>
        <w:textAlignment w:val="auto"/>
        <w:rPr>
          <w:rFonts w:eastAsia="Batang" w:cs="Times"/>
          <w:sz w:val="20"/>
          <w:szCs w:val="20"/>
          <w:lang w:eastAsia="en-US"/>
        </w:rPr>
      </w:pPr>
    </w:p>
    <w:p w14:paraId="7306244E"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 xml:space="preserve">En este mismo sentido, el perito Salvadó Cardoza se refirió “a </w:t>
      </w:r>
      <w:r w:rsidRPr="00D13792">
        <w:rPr>
          <w:rFonts w:eastAsia="Calibri" w:cs="Arial"/>
          <w:sz w:val="20"/>
          <w:szCs w:val="20"/>
        </w:rPr>
        <w:t xml:space="preserve">la dificultad de realizar algunas prácticas </w:t>
      </w:r>
      <w:r w:rsidRPr="00D13792">
        <w:rPr>
          <w:rFonts w:eastAsia="Batang" w:cs="Times"/>
          <w:sz w:val="20"/>
          <w:szCs w:val="20"/>
        </w:rPr>
        <w:t>culturales</w:t>
      </w:r>
      <w:r w:rsidRPr="00D13792">
        <w:rPr>
          <w:rFonts w:eastAsia="Calibri" w:cs="Arial"/>
          <w:sz w:val="20"/>
          <w:szCs w:val="20"/>
        </w:rPr>
        <w:t xml:space="preserve"> en el nuevo entorno”, así como a los “cambios</w:t>
      </w:r>
      <w:r w:rsidRPr="00D13792">
        <w:rPr>
          <w:rFonts w:eastAsia="Batang" w:cs="Times"/>
          <w:sz w:val="20"/>
          <w:szCs w:val="20"/>
        </w:rPr>
        <w:t xml:space="preserve"> aparentemente súbitos de la </w:t>
      </w:r>
      <w:r w:rsidRPr="00D13792">
        <w:rPr>
          <w:sz w:val="20"/>
          <w:szCs w:val="20"/>
        </w:rPr>
        <w:t>religiosidad</w:t>
      </w:r>
      <w:r w:rsidRPr="00D13792">
        <w:rPr>
          <w:rFonts w:eastAsia="Batang" w:cs="Times"/>
          <w:sz w:val="20"/>
          <w:szCs w:val="20"/>
        </w:rPr>
        <w:t xml:space="preserve"> tradicional, hasta las nuevas iglesias evangélicas que aparecieron buscando adeptos”. Se refirió además a la afectación de las </w:t>
      </w:r>
      <w:r w:rsidRPr="00D13792">
        <w:rPr>
          <w:rFonts w:eastAsia="Times"/>
          <w:sz w:val="20"/>
          <w:szCs w:val="20"/>
        </w:rPr>
        <w:t>prácticas religiosas</w:t>
      </w:r>
      <w:r w:rsidRPr="00D13792">
        <w:rPr>
          <w:rFonts w:eastAsia="Batang" w:cs="Times"/>
          <w:sz w:val="20"/>
          <w:szCs w:val="20"/>
        </w:rPr>
        <w:t xml:space="preserve">, pues ya no se pudo acudir a los </w:t>
      </w:r>
      <w:r w:rsidRPr="00D13792">
        <w:rPr>
          <w:rFonts w:eastAsia="Times"/>
          <w:sz w:val="20"/>
          <w:szCs w:val="20"/>
        </w:rPr>
        <w:t xml:space="preserve">sitios sagrados tradicionales de Rabinal, </w:t>
      </w:r>
      <w:r w:rsidRPr="00D13792">
        <w:rPr>
          <w:rFonts w:eastAsia="Batang" w:cs="Times"/>
          <w:sz w:val="20"/>
          <w:szCs w:val="20"/>
        </w:rPr>
        <w:t>lo cual significó “un golpe muy duro para la comunidad y provocó la ruptura de la vida comunitaria”</w:t>
      </w:r>
      <w:r w:rsidRPr="00D13792">
        <w:rPr>
          <w:rFonts w:eastAsia="Calibri"/>
          <w:sz w:val="20"/>
          <w:szCs w:val="20"/>
          <w:vertAlign w:val="superscript"/>
        </w:rPr>
        <w:footnoteReference w:id="204"/>
      </w:r>
      <w:r w:rsidRPr="00D13792">
        <w:rPr>
          <w:rFonts w:eastAsia="Batang" w:cs="Times"/>
          <w:sz w:val="20"/>
          <w:szCs w:val="20"/>
        </w:rPr>
        <w:t>.</w:t>
      </w:r>
    </w:p>
    <w:p w14:paraId="4DABB94C" w14:textId="77777777" w:rsidR="006A0E1C" w:rsidRPr="00D13792" w:rsidRDefault="006A0E1C" w:rsidP="006A0E1C">
      <w:pPr>
        <w:pStyle w:val="ListParagraph"/>
        <w:spacing w:after="0" w:line="240" w:lineRule="auto"/>
        <w:rPr>
          <w:rFonts w:ascii="Verdana" w:hAnsi="Verdana"/>
          <w:sz w:val="20"/>
          <w:szCs w:val="20"/>
          <w:lang w:val="es-CR"/>
        </w:rPr>
      </w:pPr>
    </w:p>
    <w:p w14:paraId="4FF08747"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sz w:val="20"/>
          <w:szCs w:val="20"/>
        </w:rPr>
        <w:t xml:space="preserve">La Corte advierte que esta situación coincide con lo acontecido en los casos de las </w:t>
      </w:r>
      <w:r w:rsidRPr="00D13792">
        <w:rPr>
          <w:i/>
          <w:iCs/>
          <w:sz w:val="20"/>
          <w:szCs w:val="20"/>
        </w:rPr>
        <w:t xml:space="preserve">Masacres de Río Negro </w:t>
      </w:r>
      <w:r w:rsidRPr="00D13792">
        <w:rPr>
          <w:iCs/>
          <w:sz w:val="20"/>
          <w:szCs w:val="20"/>
        </w:rPr>
        <w:t>y</w:t>
      </w:r>
      <w:r w:rsidRPr="00D13792">
        <w:rPr>
          <w:i/>
          <w:iCs/>
          <w:sz w:val="20"/>
          <w:szCs w:val="20"/>
        </w:rPr>
        <w:t xml:space="preserve"> Masacre Plan de </w:t>
      </w:r>
      <w:r w:rsidRPr="00D13792">
        <w:rPr>
          <w:iCs/>
          <w:sz w:val="20"/>
          <w:szCs w:val="20"/>
        </w:rPr>
        <w:t>Sánchez,</w:t>
      </w:r>
      <w:r w:rsidRPr="00D13792">
        <w:rPr>
          <w:sz w:val="20"/>
          <w:szCs w:val="20"/>
        </w:rPr>
        <w:t xml:space="preserve"> en los cuales las víctimas fueron en su mayoría miembros del pueblo maya achí, entre ellos, niñas, niños, mujeres y hombres que residían en aldeas y comunidades del municipio de Rabinal, Departamento de Baja Verapaz, quienes se vieron obligados a desplazarse fuera de sus comunidades y refugiarse en las montañas, así como en otros lugares, debido a la persecución, violencia y destrucción de sus viviendas y comunidades en el marco del conflicto armado interno de Guatemala.</w:t>
      </w:r>
      <w:r w:rsidRPr="00D13792">
        <w:rPr>
          <w:rFonts w:eastAsia="Batang" w:cs="Times"/>
          <w:sz w:val="20"/>
          <w:szCs w:val="20"/>
        </w:rPr>
        <w:t xml:space="preserve"> En dichos casos</w:t>
      </w:r>
      <w:r w:rsidRPr="00D13792">
        <w:rPr>
          <w:sz w:val="20"/>
          <w:szCs w:val="20"/>
        </w:rPr>
        <w:t xml:space="preserve">, este Tribunal constató que, de igual modo, </w:t>
      </w:r>
      <w:r w:rsidRPr="00D13792">
        <w:rPr>
          <w:rFonts w:cs="Tahoma"/>
          <w:sz w:val="20"/>
          <w:szCs w:val="20"/>
        </w:rPr>
        <w:t xml:space="preserve">las personas que sufrieron </w:t>
      </w:r>
      <w:r w:rsidRPr="00D13792">
        <w:rPr>
          <w:sz w:val="20"/>
          <w:szCs w:val="20"/>
        </w:rPr>
        <w:t>el desplazamiento forzado</w:t>
      </w:r>
      <w:r w:rsidRPr="00D13792">
        <w:rPr>
          <w:rFonts w:cs="Tahoma"/>
          <w:sz w:val="20"/>
          <w:szCs w:val="20"/>
        </w:rPr>
        <w:t xml:space="preserve"> a lugares lejanos a su comunidad perdieron la oportunidad de participar en las actividades, los ritos, la espiritualidad y el ciclo de aprendizaje de la misma, de hablar su idioma y de portar su vestimenta, así como de practicar sus labores tradicionales</w:t>
      </w:r>
      <w:r w:rsidRPr="00D13792">
        <w:rPr>
          <w:sz w:val="20"/>
          <w:szCs w:val="20"/>
          <w:vertAlign w:val="superscript"/>
        </w:rPr>
        <w:footnoteReference w:id="205"/>
      </w:r>
      <w:r w:rsidRPr="00D13792">
        <w:rPr>
          <w:rFonts w:cs="Tahoma"/>
          <w:sz w:val="20"/>
          <w:szCs w:val="20"/>
        </w:rPr>
        <w:t>.</w:t>
      </w:r>
    </w:p>
    <w:p w14:paraId="5982937F" w14:textId="77777777" w:rsidR="006A0E1C" w:rsidRPr="00D13792" w:rsidRDefault="006A0E1C" w:rsidP="006A0E1C">
      <w:pPr>
        <w:widowControl/>
        <w:adjustRightInd/>
        <w:spacing w:line="240" w:lineRule="auto"/>
        <w:contextualSpacing/>
        <w:jc w:val="left"/>
        <w:textAlignment w:val="auto"/>
        <w:rPr>
          <w:rFonts w:eastAsia="Batang" w:cs="Times"/>
          <w:sz w:val="20"/>
          <w:szCs w:val="20"/>
          <w:lang w:eastAsia="en-US"/>
        </w:rPr>
      </w:pPr>
    </w:p>
    <w:p w14:paraId="01614DC6"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Batang" w:cs="Times"/>
          <w:sz w:val="20"/>
          <w:szCs w:val="20"/>
        </w:rPr>
        <w:t xml:space="preserve">En definitiva, la Corte considera que la falta de garantías de retorno a favor de los miembros de la aldea Chichupac y comunidades vecinas del municipio de Rabinal con posterioridad al </w:t>
      </w:r>
      <w:r w:rsidRPr="00D13792">
        <w:rPr>
          <w:rFonts w:eastAsia="Calibri" w:cs="Verdana"/>
          <w:sz w:val="20"/>
          <w:szCs w:val="20"/>
        </w:rPr>
        <w:t>9 de marzo de 1987</w:t>
      </w:r>
      <w:r w:rsidRPr="00D13792">
        <w:rPr>
          <w:rFonts w:eastAsia="Batang" w:cs="Times"/>
          <w:sz w:val="20"/>
          <w:szCs w:val="20"/>
        </w:rPr>
        <w:t xml:space="preserve">, ha afectado de forma particularmente grave las </w:t>
      </w:r>
      <w:r w:rsidRPr="00D13792">
        <w:rPr>
          <w:rFonts w:eastAsia="Times"/>
          <w:sz w:val="20"/>
          <w:szCs w:val="20"/>
        </w:rPr>
        <w:t xml:space="preserve">prácticas comunitarias, culturales y religiosas tradicionales, la estructura familiar y social, </w:t>
      </w:r>
      <w:r w:rsidRPr="00D13792">
        <w:rPr>
          <w:rFonts w:eastAsia="Batang" w:cs="Times"/>
          <w:sz w:val="20"/>
          <w:szCs w:val="20"/>
        </w:rPr>
        <w:t>los</w:t>
      </w:r>
      <w:r w:rsidRPr="00D13792">
        <w:rPr>
          <w:rFonts w:eastAsia="Times"/>
          <w:sz w:val="20"/>
          <w:szCs w:val="20"/>
        </w:rPr>
        <w:t xml:space="preserve"> marcadores de identidad</w:t>
      </w:r>
      <w:r w:rsidRPr="00D13792">
        <w:rPr>
          <w:rFonts w:eastAsia="Batang" w:cs="Times"/>
          <w:sz w:val="20"/>
          <w:szCs w:val="20"/>
        </w:rPr>
        <w:t xml:space="preserve"> y </w:t>
      </w:r>
      <w:r w:rsidRPr="00D13792">
        <w:rPr>
          <w:rFonts w:eastAsia="Times"/>
          <w:sz w:val="20"/>
          <w:szCs w:val="20"/>
        </w:rPr>
        <w:t xml:space="preserve">el idioma </w:t>
      </w:r>
      <w:r w:rsidRPr="00D13792">
        <w:rPr>
          <w:rFonts w:eastAsia="Batang" w:cs="Times"/>
          <w:sz w:val="20"/>
          <w:szCs w:val="20"/>
        </w:rPr>
        <w:t>del pueblo maya achí de dicha aldea y comunidades</w:t>
      </w:r>
      <w:r w:rsidRPr="00D13792">
        <w:rPr>
          <w:rFonts w:eastAsia="Times"/>
          <w:sz w:val="20"/>
          <w:szCs w:val="20"/>
        </w:rPr>
        <w:t xml:space="preserve">. </w:t>
      </w:r>
      <w:r w:rsidRPr="00D13792">
        <w:rPr>
          <w:rFonts w:eastAsia="Batang" w:cs="Times"/>
          <w:sz w:val="20"/>
          <w:szCs w:val="20"/>
        </w:rPr>
        <w:t xml:space="preserve">Lo anterior, debido a la ruptura de </w:t>
      </w:r>
      <w:r w:rsidRPr="00D13792">
        <w:rPr>
          <w:rFonts w:eastAsia="Calibri"/>
          <w:sz w:val="20"/>
          <w:szCs w:val="20"/>
        </w:rPr>
        <w:t>la cultura ancestral y</w:t>
      </w:r>
      <w:r w:rsidRPr="00D13792">
        <w:rPr>
          <w:rFonts w:eastAsia="Batang" w:cs="Times"/>
          <w:sz w:val="20"/>
          <w:szCs w:val="20"/>
        </w:rPr>
        <w:t xml:space="preserve"> de </w:t>
      </w:r>
      <w:r w:rsidRPr="00D13792">
        <w:rPr>
          <w:rFonts w:eastAsia="Calibri" w:cs="Arial"/>
          <w:sz w:val="20"/>
          <w:szCs w:val="20"/>
        </w:rPr>
        <w:t xml:space="preserve">los vínculos </w:t>
      </w:r>
      <w:r w:rsidRPr="00D13792">
        <w:rPr>
          <w:rFonts w:eastAsia="Batang" w:cs="Times"/>
          <w:sz w:val="20"/>
          <w:szCs w:val="20"/>
        </w:rPr>
        <w:t>históricos</w:t>
      </w:r>
      <w:r w:rsidRPr="00D13792">
        <w:rPr>
          <w:rFonts w:eastAsia="Calibri" w:cs="Arial"/>
          <w:sz w:val="20"/>
          <w:szCs w:val="20"/>
        </w:rPr>
        <w:t xml:space="preserve"> con el territorio </w:t>
      </w:r>
      <w:r w:rsidRPr="00D13792">
        <w:rPr>
          <w:rFonts w:eastAsia="Calibri" w:cs="Arial"/>
          <w:sz w:val="20"/>
          <w:szCs w:val="20"/>
        </w:rPr>
        <w:lastRenderedPageBreak/>
        <w:t>y con las prácticas sociales</w:t>
      </w:r>
      <w:r w:rsidRPr="00D13792">
        <w:rPr>
          <w:rFonts w:eastAsia="Batang" w:cs="Times"/>
          <w:sz w:val="20"/>
          <w:szCs w:val="20"/>
        </w:rPr>
        <w:t>,</w:t>
      </w:r>
      <w:r w:rsidRPr="00D13792">
        <w:rPr>
          <w:rFonts w:eastAsia="Calibri" w:cs="Arial"/>
          <w:sz w:val="20"/>
          <w:szCs w:val="20"/>
        </w:rPr>
        <w:t xml:space="preserve"> </w:t>
      </w:r>
      <w:r w:rsidRPr="00D13792">
        <w:rPr>
          <w:rFonts w:eastAsia="Batang" w:cs="Times"/>
          <w:sz w:val="20"/>
          <w:szCs w:val="20"/>
        </w:rPr>
        <w:t xml:space="preserve">la </w:t>
      </w:r>
      <w:r w:rsidRPr="00D13792">
        <w:rPr>
          <w:rFonts w:eastAsia="Calibri" w:cs="Arial"/>
          <w:sz w:val="20"/>
          <w:szCs w:val="20"/>
        </w:rPr>
        <w:t>desarticulación del tejido</w:t>
      </w:r>
      <w:r w:rsidRPr="00D13792">
        <w:rPr>
          <w:rFonts w:eastAsia="Batang" w:cs="Times"/>
          <w:sz w:val="20"/>
          <w:szCs w:val="20"/>
        </w:rPr>
        <w:t xml:space="preserve"> </w:t>
      </w:r>
      <w:r w:rsidRPr="00D13792">
        <w:rPr>
          <w:rFonts w:eastAsia="Calibri" w:cs="Arial"/>
          <w:sz w:val="20"/>
          <w:szCs w:val="20"/>
        </w:rPr>
        <w:t xml:space="preserve">comunitario y </w:t>
      </w:r>
      <w:r w:rsidRPr="00D13792">
        <w:rPr>
          <w:rFonts w:eastAsia="Batang" w:cs="Times"/>
          <w:sz w:val="20"/>
          <w:szCs w:val="20"/>
        </w:rPr>
        <w:t xml:space="preserve">la reducción de </w:t>
      </w:r>
      <w:r w:rsidRPr="00D13792">
        <w:rPr>
          <w:rFonts w:eastAsia="Calibri" w:cs="Arial"/>
          <w:sz w:val="20"/>
          <w:szCs w:val="20"/>
        </w:rPr>
        <w:t xml:space="preserve">la cohesión comunal. </w:t>
      </w:r>
      <w:r w:rsidRPr="00D13792">
        <w:rPr>
          <w:rFonts w:eastAsia="Times"/>
          <w:sz w:val="20"/>
          <w:szCs w:val="20"/>
        </w:rPr>
        <w:t>Todo ello</w:t>
      </w:r>
      <w:r w:rsidRPr="00D13792">
        <w:rPr>
          <w:rFonts w:eastAsia="Batang" w:cs="Times"/>
          <w:sz w:val="20"/>
          <w:szCs w:val="20"/>
        </w:rPr>
        <w:t xml:space="preserve"> ha significado una pérdida de parte de la cultura maya que aún no ha sido evaluada en su totalidad. En este sentido, la Corte destaca el impacto diferenciado que los hechos de violencia y el desplazamiento han tenido en la identidad étnica y cultural de los miembros de la aldea Chichupac y comunidades vecinas del municipio de Rabinal, lo cual los ha colocado </w:t>
      </w:r>
      <w:r w:rsidRPr="00D13792">
        <w:rPr>
          <w:sz w:val="20"/>
          <w:szCs w:val="20"/>
        </w:rPr>
        <w:t>en una situación de especial vulnerabilidad</w:t>
      </w:r>
      <w:r w:rsidRPr="00D13792">
        <w:rPr>
          <w:rFonts w:eastAsia="Batang" w:cs="Times"/>
          <w:sz w:val="20"/>
          <w:szCs w:val="20"/>
        </w:rPr>
        <w:t>.</w:t>
      </w:r>
    </w:p>
    <w:p w14:paraId="0CF16838" w14:textId="77777777" w:rsidR="006A0E1C" w:rsidRPr="00D13792" w:rsidRDefault="006A0E1C" w:rsidP="006A0E1C">
      <w:pPr>
        <w:pStyle w:val="Prrafodelista2"/>
        <w:tabs>
          <w:tab w:val="left" w:pos="720"/>
        </w:tabs>
        <w:ind w:left="0" w:right="-90"/>
        <w:jc w:val="both"/>
        <w:rPr>
          <w:rFonts w:eastAsia="Batang" w:cs="Times"/>
          <w:lang w:val="es-CR"/>
        </w:rPr>
      </w:pPr>
    </w:p>
    <w:p w14:paraId="2437E42B" w14:textId="77777777" w:rsidR="006A0E1C" w:rsidRPr="00D13792" w:rsidRDefault="006A0E1C" w:rsidP="006A0E1C">
      <w:pPr>
        <w:numPr>
          <w:ilvl w:val="0"/>
          <w:numId w:val="6"/>
        </w:numPr>
        <w:tabs>
          <w:tab w:val="left" w:pos="567"/>
        </w:tabs>
        <w:spacing w:line="240" w:lineRule="auto"/>
        <w:ind w:right="4"/>
        <w:rPr>
          <w:rFonts w:eastAsia="HiddenHorzOCR"/>
          <w:sz w:val="20"/>
          <w:szCs w:val="20"/>
        </w:rPr>
      </w:pPr>
      <w:r w:rsidRPr="00D13792">
        <w:rPr>
          <w:rFonts w:eastAsia="Times"/>
          <w:spacing w:val="-2"/>
          <w:sz w:val="20"/>
          <w:szCs w:val="20"/>
        </w:rPr>
        <w:t xml:space="preserve">Por otra parte, </w:t>
      </w:r>
      <w:r w:rsidRPr="00D13792">
        <w:rPr>
          <w:rFonts w:eastAsia="Batang" w:cs="Times"/>
          <w:sz w:val="20"/>
          <w:szCs w:val="20"/>
        </w:rPr>
        <w:t xml:space="preserve">la Corte destaca la existencia de claros indicios relacionados con el impacto diferenciado que el desplazamiento forzado y la omisión de garantizar medidas de retorno o reasentamiento tuvo en las mujeres de la aldea Chichupac y comunidades vecinas de Rabinal </w:t>
      </w:r>
      <w:r w:rsidRPr="00D13792">
        <w:rPr>
          <w:sz w:val="20"/>
          <w:szCs w:val="20"/>
        </w:rPr>
        <w:t>a nivel cultural, social, familiar e individual</w:t>
      </w:r>
      <w:r w:rsidRPr="00D13792">
        <w:rPr>
          <w:rFonts w:eastAsia="Batang" w:cs="Times"/>
          <w:sz w:val="20"/>
          <w:szCs w:val="20"/>
        </w:rPr>
        <w:t>. Ellas han tenido que asumir el cargo de sus familias y</w:t>
      </w:r>
      <w:r w:rsidRPr="00D13792">
        <w:rPr>
          <w:sz w:val="20"/>
          <w:szCs w:val="20"/>
        </w:rPr>
        <w:t xml:space="preserve"> junto a sus hijos enfrentar el dolor de la violencia a la que sobrevivieron</w:t>
      </w:r>
      <w:r w:rsidRPr="00D13792">
        <w:rPr>
          <w:rFonts w:eastAsia="Times" w:cs="Arial"/>
          <w:sz w:val="20"/>
          <w:szCs w:val="20"/>
        </w:rPr>
        <w:t>,</w:t>
      </w:r>
      <w:r w:rsidRPr="00D13792">
        <w:rPr>
          <w:sz w:val="20"/>
          <w:szCs w:val="20"/>
        </w:rPr>
        <w:t xml:space="preserve"> </w:t>
      </w:r>
      <w:r w:rsidRPr="00D13792">
        <w:rPr>
          <w:rFonts w:eastAsia="Batang" w:cs="Times"/>
          <w:sz w:val="20"/>
          <w:szCs w:val="20"/>
        </w:rPr>
        <w:t xml:space="preserve">lo cual las colocó en una especial situación de riesgo de sufrir otras formas de violencia. Dichos indicios, los cuales se indican a continuación, </w:t>
      </w:r>
      <w:r w:rsidRPr="00D13792">
        <w:rPr>
          <w:rFonts w:eastAsia="Times"/>
          <w:sz w:val="20"/>
          <w:szCs w:val="20"/>
        </w:rPr>
        <w:t xml:space="preserve">dimensionan el horror vivido y la situación </w:t>
      </w:r>
      <w:r w:rsidRPr="00D13792">
        <w:rPr>
          <w:rFonts w:eastAsia="Times" w:cs="Arial"/>
          <w:color w:val="000000"/>
          <w:sz w:val="20"/>
          <w:szCs w:val="20"/>
          <w:shd w:val="clear" w:color="auto" w:fill="FFFFFF"/>
        </w:rPr>
        <w:t>individual, familiar y colectiva</w:t>
      </w:r>
      <w:r w:rsidRPr="00D13792">
        <w:rPr>
          <w:rFonts w:eastAsia="Times"/>
          <w:sz w:val="20"/>
          <w:szCs w:val="20"/>
        </w:rPr>
        <w:t xml:space="preserve"> de las mujeres desplazadas durante el conflicto armado interno.</w:t>
      </w:r>
    </w:p>
    <w:p w14:paraId="0F3910F7" w14:textId="77777777" w:rsidR="006A0E1C" w:rsidRPr="00D13792" w:rsidRDefault="006A0E1C" w:rsidP="006A0E1C">
      <w:pPr>
        <w:pStyle w:val="ListParagraph"/>
        <w:spacing w:after="0" w:line="240" w:lineRule="auto"/>
        <w:rPr>
          <w:rFonts w:ascii="Verdana" w:eastAsia="Batang" w:hAnsi="Verdana" w:cs="Times"/>
          <w:sz w:val="20"/>
          <w:szCs w:val="20"/>
          <w:lang w:val="es-CR"/>
        </w:rPr>
      </w:pPr>
    </w:p>
    <w:p w14:paraId="1B4C8C91" w14:textId="77777777" w:rsidR="006A0E1C" w:rsidRPr="00D13792" w:rsidRDefault="006A0E1C" w:rsidP="006A0E1C">
      <w:pPr>
        <w:numPr>
          <w:ilvl w:val="0"/>
          <w:numId w:val="6"/>
        </w:numPr>
        <w:tabs>
          <w:tab w:val="left" w:pos="567"/>
        </w:tabs>
        <w:spacing w:line="240" w:lineRule="auto"/>
        <w:ind w:right="4"/>
        <w:rPr>
          <w:rFonts w:eastAsia="HiddenHorzOCR"/>
          <w:sz w:val="20"/>
          <w:szCs w:val="20"/>
        </w:rPr>
      </w:pPr>
      <w:r w:rsidRPr="00D13792">
        <w:rPr>
          <w:rFonts w:eastAsia="Batang" w:cs="Times"/>
          <w:sz w:val="20"/>
          <w:szCs w:val="20"/>
        </w:rPr>
        <w:t>Primero</w:t>
      </w:r>
      <w:r w:rsidRPr="00D13792">
        <w:rPr>
          <w:rFonts w:eastAsia="Times"/>
          <w:sz w:val="20"/>
          <w:szCs w:val="20"/>
        </w:rPr>
        <w:t xml:space="preserve">, el perito Alejandro Rodríguez Barilla </w:t>
      </w:r>
      <w:r w:rsidRPr="00D13792">
        <w:rPr>
          <w:rFonts w:eastAsia="Calibri" w:cs="Arial"/>
          <w:sz w:val="20"/>
          <w:szCs w:val="20"/>
        </w:rPr>
        <w:t xml:space="preserve">identificó que “[e]n el presente caso, las denuncias permiten inferir que un número no inferior a 18 mujeres sufrieron agresiones sexuales y fundamentalmente violaciones sexuales masivas por parte de miembros del Ejército y sus grupos </w:t>
      </w:r>
      <w:r w:rsidRPr="00D13792">
        <w:rPr>
          <w:sz w:val="20"/>
          <w:szCs w:val="20"/>
        </w:rPr>
        <w:t>paramilitares</w:t>
      </w:r>
      <w:r w:rsidRPr="00D13792">
        <w:rPr>
          <w:rFonts w:eastAsia="Calibri" w:cs="Arial"/>
          <w:sz w:val="20"/>
          <w:szCs w:val="20"/>
        </w:rPr>
        <w:t xml:space="preserve">” y que algunas de estas fueron perpetradas contra mujeres desplazadas y reubicadas en la “aldea modelo” La Colonia. </w:t>
      </w:r>
      <w:r w:rsidRPr="00D13792">
        <w:rPr>
          <w:rFonts w:eastAsia="Calibri" w:cs="Arial"/>
          <w:color w:val="1E1B1D"/>
          <w:sz w:val="20"/>
          <w:szCs w:val="20"/>
        </w:rPr>
        <w:t xml:space="preserve">A su vez, al menos cinco de las mujeres señaladas por el perito </w:t>
      </w:r>
      <w:r w:rsidRPr="00D13792">
        <w:rPr>
          <w:sz w:val="20"/>
          <w:szCs w:val="20"/>
          <w:lang w:eastAsia="es-MX"/>
        </w:rPr>
        <w:t>fueron víctimas</w:t>
      </w:r>
      <w:r w:rsidRPr="00D13792">
        <w:rPr>
          <w:rFonts w:eastAsia="Calibri" w:cs="Arial"/>
          <w:color w:val="1E1B1D"/>
          <w:sz w:val="20"/>
          <w:szCs w:val="20"/>
        </w:rPr>
        <w:t xml:space="preserve"> de </w:t>
      </w:r>
      <w:r w:rsidRPr="00D13792">
        <w:rPr>
          <w:sz w:val="20"/>
          <w:szCs w:val="20"/>
          <w:lang w:eastAsia="es-MX"/>
        </w:rPr>
        <w:t xml:space="preserve">violaciones sexuales que </w:t>
      </w:r>
      <w:r w:rsidRPr="00D13792">
        <w:rPr>
          <w:rFonts w:eastAsia="Times"/>
          <w:sz w:val="20"/>
          <w:szCs w:val="20"/>
        </w:rPr>
        <w:t>resultaron en embarazos</w:t>
      </w:r>
      <w:r w:rsidRPr="00D13792">
        <w:rPr>
          <w:rFonts w:eastAsia="Times" w:cs="Arial"/>
          <w:sz w:val="20"/>
          <w:szCs w:val="20"/>
        </w:rPr>
        <w:t xml:space="preserve"> y en el nacimiento de sus hijos</w:t>
      </w:r>
      <w:r w:rsidRPr="00D13792">
        <w:rPr>
          <w:rStyle w:val="FootnoteReference"/>
          <w:rFonts w:eastAsia="Times" w:cs="Arial"/>
          <w:sz w:val="20"/>
          <w:szCs w:val="20"/>
        </w:rPr>
        <w:t xml:space="preserve"> </w:t>
      </w:r>
      <w:r w:rsidRPr="00D13792">
        <w:rPr>
          <w:rStyle w:val="FootnoteReference"/>
          <w:rFonts w:eastAsia="Times" w:cs="Arial"/>
          <w:sz w:val="20"/>
          <w:szCs w:val="20"/>
        </w:rPr>
        <w:footnoteReference w:id="206"/>
      </w:r>
      <w:r w:rsidRPr="00D13792">
        <w:rPr>
          <w:rFonts w:eastAsia="Times" w:cs="Arial"/>
          <w:sz w:val="20"/>
          <w:szCs w:val="20"/>
        </w:rPr>
        <w:t>.</w:t>
      </w:r>
      <w:r w:rsidRPr="00D13792">
        <w:rPr>
          <w:rFonts w:eastAsia="Batang" w:cs="Times"/>
          <w:sz w:val="20"/>
          <w:szCs w:val="20"/>
        </w:rPr>
        <w:t xml:space="preserve"> </w:t>
      </w:r>
      <w:r w:rsidRPr="00D13792">
        <w:rPr>
          <w:rFonts w:eastAsia="Times" w:cs="Arial"/>
          <w:sz w:val="20"/>
          <w:szCs w:val="20"/>
        </w:rPr>
        <w:t xml:space="preserve">Segundo, </w:t>
      </w:r>
      <w:r w:rsidRPr="00D13792">
        <w:rPr>
          <w:sz w:val="20"/>
          <w:szCs w:val="20"/>
        </w:rPr>
        <w:t>el Informe de la CEH</w:t>
      </w:r>
      <w:r w:rsidRPr="00D13792">
        <w:rPr>
          <w:i/>
          <w:sz w:val="20"/>
          <w:szCs w:val="20"/>
        </w:rPr>
        <w:t xml:space="preserve"> </w:t>
      </w:r>
      <w:r w:rsidRPr="00D13792">
        <w:rPr>
          <w:sz w:val="20"/>
          <w:szCs w:val="20"/>
        </w:rPr>
        <w:t>reconoció que “</w:t>
      </w:r>
      <w:r w:rsidRPr="00D13792">
        <w:rPr>
          <w:rFonts w:eastAsia="HiddenHorzOCR" w:cs="HiddenHorzOCR"/>
          <w:sz w:val="20"/>
          <w:szCs w:val="20"/>
        </w:rPr>
        <w:t>p</w:t>
      </w:r>
      <w:r w:rsidRPr="00D13792">
        <w:rPr>
          <w:rFonts w:eastAsia="HiddenHorzOCR"/>
          <w:sz w:val="20"/>
          <w:szCs w:val="20"/>
        </w:rPr>
        <w:t xml:space="preserve">or su </w:t>
      </w:r>
      <w:r w:rsidRPr="00D13792">
        <w:rPr>
          <w:rFonts w:eastAsia="HiddenHorzOCR"/>
          <w:i/>
          <w:iCs/>
          <w:sz w:val="20"/>
          <w:szCs w:val="20"/>
        </w:rPr>
        <w:t xml:space="preserve">modus operandi, </w:t>
      </w:r>
      <w:r w:rsidRPr="00D13792">
        <w:rPr>
          <w:rFonts w:eastAsia="HiddenHorzOCR"/>
          <w:sz w:val="20"/>
          <w:szCs w:val="20"/>
        </w:rPr>
        <w:t xml:space="preserve">las violaciones sexuales originaron el éxodo de mujeres y la dispersión de comunidades enteras, rompieron lazos conyugales y sociales, generaron aislamiento social </w:t>
      </w:r>
      <w:r w:rsidRPr="00D13792">
        <w:rPr>
          <w:rFonts w:eastAsia="HiddenHorzOCR" w:cs="Arial"/>
          <w:sz w:val="20"/>
          <w:szCs w:val="20"/>
        </w:rPr>
        <w:t xml:space="preserve">y </w:t>
      </w:r>
      <w:r w:rsidRPr="00D13792">
        <w:rPr>
          <w:rFonts w:eastAsia="HiddenHorzOCR"/>
          <w:sz w:val="20"/>
          <w:szCs w:val="20"/>
        </w:rPr>
        <w:t xml:space="preserve">vergüenza comunitaria, provocaron abortos </w:t>
      </w:r>
      <w:r w:rsidRPr="00D13792">
        <w:rPr>
          <w:rFonts w:eastAsia="HiddenHorzOCR" w:cs="Arial"/>
          <w:sz w:val="20"/>
          <w:szCs w:val="20"/>
        </w:rPr>
        <w:t xml:space="preserve">y </w:t>
      </w:r>
      <w:r w:rsidRPr="00D13792">
        <w:rPr>
          <w:rFonts w:eastAsia="HiddenHorzOCR"/>
          <w:sz w:val="20"/>
          <w:szCs w:val="20"/>
        </w:rPr>
        <w:t xml:space="preserve">filicidios, impidieron matrimonios </w:t>
      </w:r>
      <w:r w:rsidRPr="00D13792">
        <w:rPr>
          <w:rFonts w:eastAsia="HiddenHorzOCR" w:cs="Arial"/>
          <w:sz w:val="20"/>
          <w:szCs w:val="20"/>
        </w:rPr>
        <w:t xml:space="preserve">y </w:t>
      </w:r>
      <w:r w:rsidRPr="00D13792">
        <w:rPr>
          <w:rFonts w:eastAsia="HiddenHorzOCR"/>
          <w:sz w:val="20"/>
          <w:szCs w:val="20"/>
        </w:rPr>
        <w:t>nacimientos</w:t>
      </w:r>
      <w:r w:rsidRPr="00D13792">
        <w:rPr>
          <w:rFonts w:eastAsia="Batang" w:cs="Times"/>
          <w:sz w:val="20"/>
          <w:szCs w:val="20"/>
        </w:rPr>
        <w:t xml:space="preserve"> </w:t>
      </w:r>
      <w:r w:rsidRPr="00D13792">
        <w:rPr>
          <w:rFonts w:eastAsia="HiddenHorzOCR"/>
          <w:sz w:val="20"/>
          <w:szCs w:val="20"/>
        </w:rPr>
        <w:t>dentro del grupo”. Asimismo, señaló que “</w:t>
      </w:r>
      <w:r w:rsidRPr="00D13792">
        <w:rPr>
          <w:sz w:val="20"/>
          <w:szCs w:val="20"/>
        </w:rPr>
        <w:t>[e]l estigma que marca a las mujeres mayas víctimas de violación sexual provoca el horror al rechazo familiar o comunitario. Algunas de las sobrevivientes de agresiones sexuales se desplazaron incluso a otra comunidad precisamente para no vivir la vergüenza de estar marcadas como ‘mujer violada’. Estas mujeres han tenido que sobrevivir al miedo de ‘ser descubiertas’ y al pánico de que otros las culpabilicen”</w:t>
      </w:r>
      <w:r w:rsidRPr="00D13792">
        <w:rPr>
          <w:rStyle w:val="FootnoteReference"/>
          <w:rFonts w:eastAsia="HiddenHorzOCR"/>
          <w:sz w:val="20"/>
          <w:szCs w:val="20"/>
        </w:rPr>
        <w:footnoteReference w:id="207"/>
      </w:r>
      <w:r w:rsidRPr="00D13792">
        <w:rPr>
          <w:rFonts w:eastAsia="HiddenHorzOCR"/>
          <w:sz w:val="20"/>
          <w:szCs w:val="20"/>
        </w:rPr>
        <w:t>.</w:t>
      </w:r>
    </w:p>
    <w:p w14:paraId="62B954AD" w14:textId="77777777" w:rsidR="006A0E1C" w:rsidRPr="00D13792" w:rsidRDefault="006A0E1C" w:rsidP="006A0E1C">
      <w:pPr>
        <w:pStyle w:val="Prrafodelista2"/>
        <w:tabs>
          <w:tab w:val="left" w:pos="720"/>
        </w:tabs>
        <w:ind w:left="0" w:right="-90"/>
        <w:jc w:val="both"/>
        <w:rPr>
          <w:rFonts w:eastAsia="Batang" w:cs="Times"/>
          <w:lang w:val="es-CR"/>
        </w:rPr>
      </w:pPr>
    </w:p>
    <w:p w14:paraId="7AF269AB" w14:textId="77777777" w:rsidR="006A0E1C" w:rsidRPr="00D13792" w:rsidRDefault="006A0E1C" w:rsidP="006A0E1C">
      <w:pPr>
        <w:numPr>
          <w:ilvl w:val="0"/>
          <w:numId w:val="6"/>
        </w:numPr>
        <w:tabs>
          <w:tab w:val="left" w:pos="567"/>
        </w:tabs>
        <w:spacing w:line="240" w:lineRule="auto"/>
        <w:ind w:right="4"/>
        <w:rPr>
          <w:rFonts w:eastAsia="Batang" w:cs="Times"/>
          <w:sz w:val="20"/>
          <w:szCs w:val="20"/>
        </w:rPr>
      </w:pPr>
      <w:r w:rsidRPr="00D13792">
        <w:rPr>
          <w:rFonts w:eastAsia="Times"/>
          <w:spacing w:val="-2"/>
          <w:sz w:val="20"/>
          <w:szCs w:val="20"/>
        </w:rPr>
        <w:t>Tercero</w:t>
      </w:r>
      <w:r w:rsidRPr="00D13792">
        <w:rPr>
          <w:rFonts w:eastAsia="Calibri" w:cs="Arial"/>
          <w:color w:val="1E1B1D"/>
          <w:sz w:val="20"/>
          <w:szCs w:val="20"/>
        </w:rPr>
        <w:t xml:space="preserve">, la Corte nota el testimonio de vida de la </w:t>
      </w:r>
      <w:r w:rsidRPr="00D13792">
        <w:rPr>
          <w:rFonts w:eastAsia="Batang" w:cs="Times"/>
          <w:sz w:val="20"/>
          <w:szCs w:val="20"/>
        </w:rPr>
        <w:t>señora Juana García Depaz, quien vivió la pérdida de los hombres de su entorno familiar, esto es, la muerte de su esposo, hermano e hijo, la desaparición de su padre, hermano y sobrino, así como la muerte de su hija, entre agosto de 1981 y agosto de 1986</w:t>
      </w:r>
      <w:r w:rsidRPr="00D13792">
        <w:rPr>
          <w:rFonts w:eastAsia="Batang" w:cs="Times"/>
          <w:sz w:val="20"/>
          <w:szCs w:val="20"/>
          <w:vertAlign w:val="superscript"/>
        </w:rPr>
        <w:footnoteReference w:id="208"/>
      </w:r>
      <w:r w:rsidRPr="00D13792">
        <w:rPr>
          <w:rFonts w:eastAsia="Batang" w:cs="Times"/>
          <w:sz w:val="20"/>
          <w:szCs w:val="20"/>
        </w:rPr>
        <w:t>. Fue capturada el 22 de octubre de 1983 por las fuerzas de seguridad del Estado, trasladada al destacamento militar de la cabecera municipal de Rabinal, en donde fue golpeada</w:t>
      </w:r>
      <w:r w:rsidRPr="00D13792">
        <w:rPr>
          <w:rFonts w:eastAsia="Times"/>
          <w:sz w:val="20"/>
          <w:szCs w:val="20"/>
        </w:rPr>
        <w:t xml:space="preserve">, violada sexualmente </w:t>
      </w:r>
      <w:r w:rsidRPr="00D13792">
        <w:rPr>
          <w:rFonts w:eastAsia="Times" w:cs="Arial"/>
          <w:sz w:val="20"/>
          <w:szCs w:val="20"/>
        </w:rPr>
        <w:t>por militares,</w:t>
      </w:r>
      <w:r w:rsidRPr="00D13792">
        <w:rPr>
          <w:rFonts w:eastAsia="Times"/>
          <w:sz w:val="20"/>
          <w:szCs w:val="20"/>
        </w:rPr>
        <w:t xml:space="preserve"> amenazada de muerte, colgada del cuello con un lazo e interrogada sobre la guerrilla. Posteriormente, fue trasladada a la colonia Pacux de Rabinal, y después a la colonia de Chichupac, en donde vivió bajo un fuerte control militar, se le obligó a </w:t>
      </w:r>
      <w:r w:rsidRPr="00D13792">
        <w:rPr>
          <w:iCs/>
          <w:sz w:val="20"/>
          <w:szCs w:val="20"/>
        </w:rPr>
        <w:t xml:space="preserve">trabajar para alimentar a los </w:t>
      </w:r>
      <w:r w:rsidRPr="00D13792">
        <w:rPr>
          <w:sz w:val="20"/>
          <w:szCs w:val="20"/>
        </w:rPr>
        <w:t xml:space="preserve">militares y fue violada sexualmente. Las violaciones sexuales llevadas a cabo </w:t>
      </w:r>
      <w:r w:rsidRPr="00D13792">
        <w:rPr>
          <w:rFonts w:eastAsia="Times"/>
          <w:sz w:val="20"/>
          <w:szCs w:val="20"/>
        </w:rPr>
        <w:t>e</w:t>
      </w:r>
      <w:r w:rsidRPr="00D13792">
        <w:rPr>
          <w:rFonts w:eastAsia="Times" w:cs="Arial"/>
          <w:sz w:val="20"/>
          <w:szCs w:val="20"/>
        </w:rPr>
        <w:t xml:space="preserve">n octubre de </w:t>
      </w:r>
      <w:r w:rsidRPr="00D13792">
        <w:rPr>
          <w:rFonts w:eastAsia="Times"/>
          <w:sz w:val="20"/>
          <w:szCs w:val="20"/>
        </w:rPr>
        <w:t xml:space="preserve">1982 </w:t>
      </w:r>
      <w:r w:rsidRPr="00D13792">
        <w:rPr>
          <w:rFonts w:eastAsia="Times" w:cs="Arial"/>
          <w:sz w:val="20"/>
          <w:szCs w:val="20"/>
        </w:rPr>
        <w:t xml:space="preserve">y junio de </w:t>
      </w:r>
      <w:r w:rsidRPr="00D13792">
        <w:rPr>
          <w:rFonts w:eastAsia="Times"/>
          <w:sz w:val="20"/>
          <w:szCs w:val="20"/>
        </w:rPr>
        <w:t>1985 resultaron en dos embarazos</w:t>
      </w:r>
      <w:r w:rsidRPr="00D13792">
        <w:rPr>
          <w:rFonts w:eastAsia="Times" w:cs="Arial"/>
          <w:sz w:val="20"/>
          <w:szCs w:val="20"/>
        </w:rPr>
        <w:t xml:space="preserve"> de los cuales nacieron sus hijos </w:t>
      </w:r>
      <w:r w:rsidRPr="00D13792">
        <w:rPr>
          <w:rFonts w:eastAsia="Times"/>
          <w:sz w:val="20"/>
          <w:szCs w:val="20"/>
        </w:rPr>
        <w:t>Edgar y Sandra Maribel García (</w:t>
      </w:r>
      <w:r w:rsidRPr="00D13792">
        <w:rPr>
          <w:rFonts w:eastAsia="Times"/>
          <w:i/>
          <w:sz w:val="20"/>
          <w:szCs w:val="20"/>
        </w:rPr>
        <w:t>supra</w:t>
      </w:r>
      <w:r w:rsidRPr="00D13792">
        <w:rPr>
          <w:rFonts w:eastAsia="Times"/>
          <w:sz w:val="20"/>
          <w:szCs w:val="20"/>
        </w:rPr>
        <w:t xml:space="preserve"> párr. 116). Con posterioridad al </w:t>
      </w:r>
      <w:r w:rsidRPr="00D13792">
        <w:rPr>
          <w:rFonts w:eastAsia="Batang" w:cs="Times"/>
          <w:sz w:val="20"/>
          <w:szCs w:val="20"/>
        </w:rPr>
        <w:t xml:space="preserve">9 de marzo 1987, </w:t>
      </w:r>
      <w:r w:rsidRPr="00D13792">
        <w:rPr>
          <w:rFonts w:eastAsia="Times"/>
          <w:sz w:val="20"/>
          <w:szCs w:val="20"/>
        </w:rPr>
        <w:t xml:space="preserve">Juana García vivió el desplazamiento forzado junto a su hija e hijo de aproximadamente 3 años y 1 año de edad, el cual se prolongó hasta la actualidad. Al respecto, durante la audiencia pública Juana García relató a este Tribunal: “nos quedamos sin ropa, sin nada, sin </w:t>
      </w:r>
      <w:r w:rsidRPr="00D13792">
        <w:rPr>
          <w:rFonts w:eastAsia="Batang" w:cs="Times"/>
          <w:sz w:val="20"/>
          <w:szCs w:val="20"/>
        </w:rPr>
        <w:t>vivienda</w:t>
      </w:r>
      <w:r w:rsidRPr="00D13792">
        <w:rPr>
          <w:rFonts w:eastAsia="Times"/>
          <w:sz w:val="20"/>
          <w:szCs w:val="20"/>
        </w:rPr>
        <w:t xml:space="preserve">, nos quedamos como un pájaro volando […]. </w:t>
      </w:r>
      <w:r w:rsidRPr="00D13792">
        <w:rPr>
          <w:rFonts w:eastAsia="Times"/>
          <w:sz w:val="20"/>
          <w:szCs w:val="20"/>
        </w:rPr>
        <w:lastRenderedPageBreak/>
        <w:t xml:space="preserve">Quedamos sin marido, sin esposos […]. Yo perdí mis hijos, no solo a las dos muertes[,] [también] los mayores, esos se desintegraron, se fueron […], durante nueve años perdí mis hijos […]. [V]í la muerte de mis hijos y de todos los vecinos. Yo sufrí mucho y sufrimos grandemente […]. Nos quedamos como afuera peregrinando […]. Hasta la fecha estamos desintegrados de familia”. Sin embrago y bajo estas circunstancias, Juana García inició la </w:t>
      </w:r>
      <w:r w:rsidRPr="00D13792">
        <w:rPr>
          <w:rFonts w:eastAsia="Batang" w:cs="Times"/>
          <w:sz w:val="20"/>
          <w:szCs w:val="20"/>
        </w:rPr>
        <w:t>búsqueda de los seres queridos</w:t>
      </w:r>
      <w:r w:rsidRPr="00D13792">
        <w:rPr>
          <w:rFonts w:eastAsia="Times" w:cs="Arial"/>
          <w:color w:val="000000"/>
          <w:sz w:val="20"/>
          <w:szCs w:val="20"/>
          <w:shd w:val="clear" w:color="auto" w:fill="FFFFFF"/>
        </w:rPr>
        <w:t xml:space="preserve"> que quedaron en los cementerios clandestinos y los que fueron víctimas de desaparición forzada,</w:t>
      </w:r>
      <w:r w:rsidRPr="00D13792">
        <w:rPr>
          <w:rFonts w:eastAsia="Times"/>
          <w:sz w:val="20"/>
          <w:szCs w:val="20"/>
        </w:rPr>
        <w:t xml:space="preserve"> denunció los hechos ocurridos a sus familiares, estuvo involucrada en las investigaciones penales que se siguieron a partir de dichas denuncias, y participó en los procedimientos de exhumación e identificación de sus familiares en 2000, 2002 y 2006. Además, relató a esta Corte que aún mantiene la búsqueda de su padre Adrián García Manuel y de su nieta, hija de Eusebia Grave García, a quien los militares se la llevaron de siete meses de nacida y quien estaría en Suecia actualmente</w:t>
      </w:r>
      <w:r w:rsidRPr="00D13792">
        <w:rPr>
          <w:rFonts w:eastAsia="Times"/>
          <w:sz w:val="20"/>
          <w:szCs w:val="20"/>
          <w:vertAlign w:val="superscript"/>
        </w:rPr>
        <w:footnoteReference w:id="209"/>
      </w:r>
      <w:r w:rsidRPr="00D13792">
        <w:rPr>
          <w:rFonts w:eastAsia="Times"/>
          <w:sz w:val="20"/>
          <w:szCs w:val="20"/>
        </w:rPr>
        <w:t>.</w:t>
      </w:r>
    </w:p>
    <w:p w14:paraId="40CCAE2C" w14:textId="77777777" w:rsidR="006A0E1C" w:rsidRPr="00D13792" w:rsidRDefault="006A0E1C" w:rsidP="006A0E1C">
      <w:pPr>
        <w:pStyle w:val="Prrafodelista2"/>
        <w:tabs>
          <w:tab w:val="left" w:pos="720"/>
        </w:tabs>
        <w:ind w:left="0" w:right="-90"/>
        <w:jc w:val="both"/>
        <w:rPr>
          <w:rFonts w:eastAsia="Batang" w:cs="Times"/>
          <w:lang w:val="es-CR"/>
        </w:rPr>
      </w:pPr>
    </w:p>
    <w:p w14:paraId="07429AF1" w14:textId="77777777" w:rsidR="006A0E1C" w:rsidRPr="00D13792" w:rsidRDefault="006A0E1C" w:rsidP="006A0E1C">
      <w:pPr>
        <w:numPr>
          <w:ilvl w:val="0"/>
          <w:numId w:val="6"/>
        </w:numPr>
        <w:tabs>
          <w:tab w:val="left" w:pos="567"/>
        </w:tabs>
        <w:spacing w:line="240" w:lineRule="auto"/>
        <w:ind w:right="4"/>
        <w:rPr>
          <w:color w:val="000000"/>
          <w:sz w:val="20"/>
          <w:szCs w:val="20"/>
        </w:rPr>
      </w:pPr>
      <w:r w:rsidRPr="00D13792">
        <w:rPr>
          <w:rFonts w:eastAsia="Times"/>
          <w:spacing w:val="-2"/>
          <w:sz w:val="20"/>
          <w:szCs w:val="20"/>
        </w:rPr>
        <w:t>Cuarto</w:t>
      </w:r>
      <w:r w:rsidRPr="00D13792">
        <w:rPr>
          <w:color w:val="000000"/>
          <w:sz w:val="20"/>
          <w:szCs w:val="20"/>
        </w:rPr>
        <w:t xml:space="preserve">, el </w:t>
      </w:r>
      <w:r w:rsidRPr="00D13792">
        <w:rPr>
          <w:sz w:val="20"/>
          <w:szCs w:val="20"/>
        </w:rPr>
        <w:t>Informe REMHI</w:t>
      </w:r>
      <w:r w:rsidRPr="00D13792">
        <w:rPr>
          <w:color w:val="000000"/>
          <w:sz w:val="20"/>
          <w:szCs w:val="20"/>
        </w:rPr>
        <w:t xml:space="preserve"> destacó que “[m]ujeres de todas las edades y etnias, desde diversas condiciones sociales y diferentes puntos geográficos, […] [t]uvieron que dedicarse a buscar a los desaparecidos y preservar la vida de los que quedaron y garantizar la sobrevivencia </w:t>
      </w:r>
      <w:r w:rsidRPr="00D13792">
        <w:rPr>
          <w:sz w:val="20"/>
          <w:szCs w:val="20"/>
        </w:rPr>
        <w:t>personal</w:t>
      </w:r>
      <w:r w:rsidRPr="00D13792">
        <w:rPr>
          <w:color w:val="000000"/>
          <w:sz w:val="20"/>
          <w:szCs w:val="20"/>
        </w:rPr>
        <w:t xml:space="preserve"> y familiar. Y todo ello, añadido al gran desgaste emocional que supone el impacto de la violencia y sus efectos en las mujeres, como la soledad, la sobrecarga y la valoración negativa de sí misma”</w:t>
      </w:r>
      <w:r w:rsidRPr="00D13792">
        <w:rPr>
          <w:rStyle w:val="FootnoteReference"/>
          <w:color w:val="000000"/>
          <w:sz w:val="20"/>
          <w:szCs w:val="20"/>
        </w:rPr>
        <w:footnoteReference w:id="210"/>
      </w:r>
      <w:r w:rsidRPr="00D13792">
        <w:rPr>
          <w:color w:val="000000"/>
          <w:sz w:val="20"/>
          <w:szCs w:val="20"/>
        </w:rPr>
        <w:t>.</w:t>
      </w:r>
    </w:p>
    <w:p w14:paraId="213EB192" w14:textId="77777777" w:rsidR="006A0E1C" w:rsidRPr="00D13792" w:rsidRDefault="006A0E1C" w:rsidP="006A0E1C">
      <w:pPr>
        <w:pStyle w:val="Prrafodelista2"/>
        <w:tabs>
          <w:tab w:val="left" w:pos="720"/>
        </w:tabs>
        <w:ind w:left="0" w:right="-90"/>
        <w:jc w:val="both"/>
        <w:rPr>
          <w:rFonts w:eastAsia="Batang" w:cs="Times"/>
          <w:lang w:val="es-CR"/>
        </w:rPr>
      </w:pPr>
    </w:p>
    <w:p w14:paraId="7D2EF358" w14:textId="77777777" w:rsidR="006A0E1C" w:rsidRPr="00D13792" w:rsidRDefault="006A0E1C" w:rsidP="006A0E1C">
      <w:pPr>
        <w:numPr>
          <w:ilvl w:val="0"/>
          <w:numId w:val="6"/>
        </w:numPr>
        <w:tabs>
          <w:tab w:val="left" w:pos="567"/>
        </w:tabs>
        <w:spacing w:line="240" w:lineRule="auto"/>
        <w:ind w:right="4"/>
        <w:rPr>
          <w:rFonts w:eastAsia="Times"/>
          <w:sz w:val="20"/>
          <w:szCs w:val="20"/>
        </w:rPr>
      </w:pPr>
      <w:r w:rsidRPr="00D13792">
        <w:rPr>
          <w:rFonts w:eastAsia="Times"/>
          <w:sz w:val="20"/>
          <w:szCs w:val="20"/>
        </w:rPr>
        <w:t xml:space="preserve">Finalmente, </w:t>
      </w:r>
      <w:r w:rsidRPr="00D13792">
        <w:rPr>
          <w:rFonts w:eastAsia="Times"/>
          <w:spacing w:val="-2"/>
          <w:sz w:val="20"/>
          <w:szCs w:val="20"/>
        </w:rPr>
        <w:t>la Corte entiende que el desplazamiento forzado incluyó una gran parte de niñas y niños</w:t>
      </w:r>
      <w:r w:rsidRPr="00D13792">
        <w:rPr>
          <w:rFonts w:eastAsia="Times"/>
          <w:sz w:val="20"/>
          <w:szCs w:val="20"/>
        </w:rPr>
        <w:t xml:space="preserve">, quienes además del impacto de sobrevivir a los hechos de violencia, se encontraron que su padre y su madre o uno de ellos murieron, se vieron forzados a vivir en una cultura que no era la de ellos, lo cual les causó pérdida de identidad y </w:t>
      </w:r>
      <w:r w:rsidRPr="00D13792">
        <w:rPr>
          <w:rFonts w:eastAsia="Batang" w:cs="Times"/>
          <w:sz w:val="20"/>
          <w:szCs w:val="20"/>
        </w:rPr>
        <w:t>desarraigo</w:t>
      </w:r>
      <w:r w:rsidRPr="00D13792">
        <w:rPr>
          <w:rFonts w:eastAsia="Times"/>
          <w:sz w:val="20"/>
          <w:szCs w:val="20"/>
        </w:rPr>
        <w:t xml:space="preserve"> cultural, y en algunos casos pasaron a hacerse cargo de sus hermanas y hermanos menores.</w:t>
      </w:r>
      <w:r w:rsidRPr="00D13792">
        <w:rPr>
          <w:rFonts w:eastAsia="Batang" w:cs="Times"/>
          <w:sz w:val="20"/>
          <w:szCs w:val="20"/>
        </w:rPr>
        <w:t xml:space="preserve"> La Corte destaca el impacto diferenciado que los hechos de violencia y el desplazamiento han tenido en las personas que eran niños y niñas en esa época, lo cual los colocó </w:t>
      </w:r>
      <w:r w:rsidRPr="00D13792">
        <w:rPr>
          <w:sz w:val="20"/>
          <w:szCs w:val="20"/>
        </w:rPr>
        <w:t>en una situación de especial vulnerabilidad</w:t>
      </w:r>
      <w:r w:rsidRPr="00D13792">
        <w:rPr>
          <w:rFonts w:eastAsia="Batang" w:cs="Times"/>
          <w:sz w:val="20"/>
          <w:szCs w:val="20"/>
        </w:rPr>
        <w:t>. De igual modo,</w:t>
      </w:r>
      <w:r w:rsidRPr="00D13792">
        <w:rPr>
          <w:rFonts w:eastAsia="Times"/>
          <w:sz w:val="20"/>
          <w:szCs w:val="20"/>
        </w:rPr>
        <w:t xml:space="preserve"> n</w:t>
      </w:r>
      <w:r w:rsidRPr="00D13792">
        <w:rPr>
          <w:sz w:val="20"/>
          <w:szCs w:val="20"/>
        </w:rPr>
        <w:t>o escapa al Tribunal las circunstancias de los primeros años de vida de las niñas y niños nacidos de las violaciones sexuales de sus madres en el marco del conflicto armado interno y que a su vez fueron víctimas de la violencia de la época, y quienes han sido especialmente vulnerables debido a las posibilidades de enfrentar la estigmatización, discriminación, abandono, infanticidio u otras formas de violencia</w:t>
      </w:r>
      <w:r w:rsidRPr="00D13792">
        <w:rPr>
          <w:rStyle w:val="FootnoteReference"/>
          <w:sz w:val="20"/>
          <w:szCs w:val="20"/>
        </w:rPr>
        <w:footnoteReference w:id="211"/>
      </w:r>
      <w:r w:rsidRPr="00D13792">
        <w:rPr>
          <w:sz w:val="20"/>
          <w:szCs w:val="20"/>
        </w:rPr>
        <w:t>.</w:t>
      </w:r>
    </w:p>
    <w:p w14:paraId="0D3A77D9" w14:textId="77777777" w:rsidR="006A0E1C" w:rsidRPr="00D13792" w:rsidRDefault="006A0E1C" w:rsidP="006A0E1C">
      <w:pPr>
        <w:widowControl/>
        <w:autoSpaceDE w:val="0"/>
        <w:autoSpaceDN w:val="0"/>
        <w:spacing w:line="240" w:lineRule="auto"/>
        <w:jc w:val="left"/>
        <w:textAlignment w:val="auto"/>
        <w:rPr>
          <w:rFonts w:eastAsia="Calibri"/>
          <w:sz w:val="20"/>
          <w:szCs w:val="20"/>
          <w:lang w:eastAsia="en-US"/>
        </w:rPr>
      </w:pPr>
    </w:p>
    <w:p w14:paraId="1714837F" w14:textId="77777777" w:rsidR="006A0E1C" w:rsidRPr="00D13792" w:rsidRDefault="006A0E1C" w:rsidP="006A0E1C">
      <w:pPr>
        <w:pStyle w:val="Heading3"/>
        <w:ind w:left="0"/>
        <w:rPr>
          <w:i/>
          <w:lang w:val="es-CR"/>
        </w:rPr>
      </w:pPr>
      <w:bookmarkStart w:id="224" w:name="_Toc460938886"/>
      <w:bookmarkStart w:id="225" w:name="_Toc469670053"/>
      <w:r w:rsidRPr="00D13792">
        <w:rPr>
          <w:i/>
          <w:lang w:val="es-CR"/>
        </w:rPr>
        <w:t>B.4. Conclusión</w:t>
      </w:r>
      <w:bookmarkEnd w:id="224"/>
      <w:bookmarkEnd w:id="225"/>
    </w:p>
    <w:p w14:paraId="09055371" w14:textId="77777777" w:rsidR="006A0E1C" w:rsidRPr="00D13792" w:rsidRDefault="006A0E1C" w:rsidP="006A0E1C">
      <w:pPr>
        <w:widowControl/>
        <w:adjustRightInd/>
        <w:spacing w:line="240" w:lineRule="auto"/>
        <w:textAlignment w:val="auto"/>
        <w:rPr>
          <w:rFonts w:eastAsia="Batang" w:cs="Times"/>
          <w:sz w:val="20"/>
          <w:szCs w:val="20"/>
          <w:lang w:eastAsia="en-US"/>
        </w:rPr>
      </w:pPr>
    </w:p>
    <w:p w14:paraId="2C5EC149" w14:textId="77777777" w:rsidR="006A0E1C" w:rsidRPr="00D13792" w:rsidRDefault="006A0E1C" w:rsidP="006A0E1C">
      <w:pPr>
        <w:numPr>
          <w:ilvl w:val="0"/>
          <w:numId w:val="6"/>
        </w:numPr>
        <w:tabs>
          <w:tab w:val="left" w:pos="567"/>
        </w:tabs>
        <w:spacing w:line="240" w:lineRule="auto"/>
        <w:ind w:right="4"/>
        <w:rPr>
          <w:rFonts w:eastAsia="Times"/>
          <w:spacing w:val="-2"/>
          <w:sz w:val="20"/>
          <w:szCs w:val="20"/>
        </w:rPr>
      </w:pPr>
      <w:r w:rsidRPr="00D13792">
        <w:rPr>
          <w:rFonts w:eastAsia="Times" w:cs="Arial"/>
          <w:color w:val="000000"/>
          <w:sz w:val="20"/>
          <w:szCs w:val="20"/>
          <w:shd w:val="clear" w:color="auto" w:fill="FFFFFF"/>
        </w:rPr>
        <w:t>En</w:t>
      </w:r>
      <w:r w:rsidRPr="00D13792">
        <w:rPr>
          <w:rFonts w:eastAsia="Batang" w:cs="Times"/>
          <w:sz w:val="20"/>
          <w:szCs w:val="20"/>
        </w:rPr>
        <w:t xml:space="preserve"> consecuencia, la Corte considera que el Estado de Guatemala es responsable por la violación de los derechos reconocidos en el artículo 22.1 de la Convención Americana, en relación con el artículo 1.1 de la misma</w:t>
      </w:r>
      <w:r w:rsidRPr="00D13792">
        <w:rPr>
          <w:spacing w:val="-2"/>
          <w:sz w:val="20"/>
          <w:szCs w:val="20"/>
        </w:rPr>
        <w:t>.</w:t>
      </w:r>
      <w:r w:rsidRPr="00D13792">
        <w:rPr>
          <w:rFonts w:eastAsia="Times"/>
          <w:sz w:val="20"/>
          <w:szCs w:val="20"/>
        </w:rPr>
        <w:t xml:space="preserve"> En esta Sentencia la Corte describió los problemas suscitados en la identificación efectiva de todas las presuntas víctimas del caso, lo cual, a su vez, dificulta determinar cuántas personas se vieron desplazadas. El 2 de junio de 2016 los representantes presentaron un listado de “Personas individualizadas y desplazadas”, indicando cuáles personas habrían permanecido en situación de desplazamiento con posterioridad al 9 de marzo de 1987, sin que el Estado presentara oposición a la calidad de víctimas desplazadas de dichas personas (</w:t>
      </w:r>
      <w:r w:rsidRPr="00D13792">
        <w:rPr>
          <w:rFonts w:eastAsia="Times"/>
          <w:i/>
          <w:sz w:val="20"/>
          <w:szCs w:val="20"/>
        </w:rPr>
        <w:t>supra</w:t>
      </w:r>
      <w:r w:rsidRPr="00D13792">
        <w:rPr>
          <w:rFonts w:eastAsia="Times"/>
          <w:sz w:val="20"/>
          <w:szCs w:val="20"/>
        </w:rPr>
        <w:t xml:space="preserve"> párrs. 10, 65 y 69). En aplicación del principio de buena fe y lealtad procesal de las partes en este caso, la Corte entiende que son víctimas de desplazamiento tales personas, las cuales se encuentran </w:t>
      </w:r>
      <w:r w:rsidRPr="00D13792">
        <w:rPr>
          <w:rFonts w:eastAsia="Batang" w:cs="Times"/>
          <w:sz w:val="20"/>
          <w:szCs w:val="20"/>
        </w:rPr>
        <w:t>identificadas en el Anexo II de esta Sentencia</w:t>
      </w:r>
      <w:r w:rsidRPr="00D13792">
        <w:rPr>
          <w:rFonts w:eastAsia="Times"/>
          <w:sz w:val="20"/>
          <w:szCs w:val="20"/>
        </w:rPr>
        <w:t xml:space="preserve">. </w:t>
      </w:r>
    </w:p>
    <w:p w14:paraId="4A29DFF1" w14:textId="77777777" w:rsidR="006A0E1C" w:rsidRPr="00D13792" w:rsidRDefault="006A0E1C" w:rsidP="006A0E1C">
      <w:pPr>
        <w:widowControl/>
        <w:adjustRightInd/>
        <w:spacing w:line="240" w:lineRule="auto"/>
        <w:contextualSpacing/>
        <w:textAlignment w:val="auto"/>
        <w:rPr>
          <w:sz w:val="20"/>
          <w:szCs w:val="20"/>
        </w:rPr>
      </w:pPr>
    </w:p>
    <w:p w14:paraId="4380F2E6" w14:textId="77777777" w:rsidR="006A0E1C" w:rsidRPr="00D13792" w:rsidRDefault="006A0E1C" w:rsidP="006A0E1C">
      <w:pPr>
        <w:numPr>
          <w:ilvl w:val="0"/>
          <w:numId w:val="6"/>
        </w:numPr>
        <w:tabs>
          <w:tab w:val="left" w:pos="567"/>
        </w:tabs>
        <w:spacing w:line="240" w:lineRule="auto"/>
        <w:ind w:right="4"/>
        <w:rPr>
          <w:sz w:val="20"/>
          <w:szCs w:val="20"/>
        </w:rPr>
      </w:pPr>
      <w:r w:rsidRPr="00D13792">
        <w:rPr>
          <w:rFonts w:eastAsia="Times"/>
          <w:sz w:val="20"/>
          <w:szCs w:val="20"/>
        </w:rPr>
        <w:t>Por</w:t>
      </w:r>
      <w:r w:rsidRPr="00D13792">
        <w:rPr>
          <w:sz w:val="20"/>
          <w:szCs w:val="20"/>
        </w:rPr>
        <w:t xml:space="preserve"> otro lado, este Tribunal estima que la alegada violación del artículo 12 de la Convención Americana ya fue debidamente considerada en la fundamentación de este Capítulo, sin que sea necesario emitir un pronunciamiento autónomo sobre este particular.</w:t>
      </w:r>
    </w:p>
    <w:p w14:paraId="44F32CEF" w14:textId="77777777" w:rsidR="006A0E1C" w:rsidRPr="00D13792" w:rsidRDefault="006A0E1C" w:rsidP="006A0E1C">
      <w:pPr>
        <w:widowControl/>
        <w:adjustRightInd/>
        <w:spacing w:line="240" w:lineRule="auto"/>
        <w:contextualSpacing/>
        <w:textAlignment w:val="auto"/>
        <w:rPr>
          <w:rFonts w:eastAsia="Times"/>
          <w:spacing w:val="-2"/>
          <w:sz w:val="20"/>
          <w:szCs w:val="20"/>
          <w:lang w:eastAsia="en-US"/>
        </w:rPr>
      </w:pPr>
    </w:p>
    <w:p w14:paraId="400F9C53" w14:textId="77777777" w:rsidR="006A0E1C" w:rsidRPr="00D13792" w:rsidRDefault="006A0E1C" w:rsidP="006A0E1C">
      <w:pPr>
        <w:numPr>
          <w:ilvl w:val="0"/>
          <w:numId w:val="6"/>
        </w:numPr>
        <w:tabs>
          <w:tab w:val="left" w:pos="567"/>
        </w:tabs>
        <w:spacing w:line="240" w:lineRule="auto"/>
        <w:ind w:right="4"/>
        <w:rPr>
          <w:rFonts w:eastAsia="Times"/>
          <w:spacing w:val="-2"/>
          <w:sz w:val="20"/>
          <w:szCs w:val="20"/>
        </w:rPr>
      </w:pPr>
      <w:r w:rsidRPr="00D13792">
        <w:rPr>
          <w:rFonts w:eastAsia="Times"/>
          <w:sz w:val="20"/>
          <w:szCs w:val="20"/>
        </w:rPr>
        <w:t xml:space="preserve">Finalmente, la Corte observa que la Comisión también alegó que Guatemala violó el artículo 16 de la Convención Americana. El artículo 16.1 de la Convención Americana establece que quienes están bajo la jurisdicción de los Estados Partes tienen el derecho y la libertad de asociarse libremente con otras personas, sin intervención de las autoridades públicas que limiten o entorpezcan el ejercicio del referido derecho. Se trata, pues, del </w:t>
      </w:r>
      <w:r w:rsidRPr="00D13792">
        <w:rPr>
          <w:rFonts w:eastAsia="Batang" w:cs="Times"/>
          <w:sz w:val="20"/>
          <w:szCs w:val="20"/>
        </w:rPr>
        <w:t>derecho</w:t>
      </w:r>
      <w:r w:rsidRPr="00D13792">
        <w:rPr>
          <w:rFonts w:eastAsia="Times"/>
          <w:sz w:val="20"/>
          <w:szCs w:val="20"/>
        </w:rPr>
        <w:t xml:space="preserve"> a agruparse con la finalidad de buscar la realización común de un fin lícito, sin presiones o intromisiones que puedan alterar o desnaturalizar dicha finalidad</w:t>
      </w:r>
      <w:r w:rsidRPr="00D13792">
        <w:rPr>
          <w:rFonts w:eastAsia="Times"/>
          <w:sz w:val="20"/>
          <w:szCs w:val="20"/>
          <w:vertAlign w:val="superscript"/>
        </w:rPr>
        <w:footnoteReference w:id="212"/>
      </w:r>
      <w:r w:rsidRPr="00D13792">
        <w:rPr>
          <w:rFonts w:eastAsia="Times"/>
          <w:sz w:val="20"/>
          <w:szCs w:val="20"/>
        </w:rPr>
        <w:t xml:space="preserve">. </w:t>
      </w:r>
      <w:r w:rsidRPr="00D13792">
        <w:rPr>
          <w:rFonts w:eastAsia="Calibri" w:cs="Verdana"/>
          <w:sz w:val="20"/>
          <w:szCs w:val="20"/>
        </w:rPr>
        <w:t>Asimismo, el artículo 16.2 de dicho</w:t>
      </w:r>
      <w:r w:rsidRPr="00D13792">
        <w:rPr>
          <w:rFonts w:eastAsia="Times"/>
          <w:sz w:val="20"/>
          <w:szCs w:val="20"/>
        </w:rPr>
        <w:t xml:space="preserve"> </w:t>
      </w:r>
      <w:r w:rsidRPr="00D13792">
        <w:rPr>
          <w:rFonts w:eastAsia="Calibri" w:cs="Verdana"/>
          <w:sz w:val="20"/>
          <w:szCs w:val="20"/>
        </w:rPr>
        <w:t xml:space="preserve">tratado establece que el ejercicio del derecho a asociarse libremente “sólo puede estar sujeto a las restricciones </w:t>
      </w:r>
      <w:r w:rsidRPr="00D13792">
        <w:rPr>
          <w:sz w:val="20"/>
          <w:szCs w:val="20"/>
        </w:rPr>
        <w:t>previstas</w:t>
      </w:r>
      <w:r w:rsidRPr="00D13792">
        <w:rPr>
          <w:rFonts w:eastAsia="Calibri" w:cs="Verdana"/>
          <w:sz w:val="20"/>
          <w:szCs w:val="20"/>
        </w:rPr>
        <w:t xml:space="preserve"> por la ley que sean necesarias en una sociedad democrática, en interés de la seguridad nacional, de la seguridad o del orden públicos, o para proteger la salud o la moral públicas o los derechos y libertades de los demás”. </w:t>
      </w:r>
      <w:r w:rsidRPr="00D13792">
        <w:rPr>
          <w:rFonts w:eastAsia="Times"/>
          <w:sz w:val="20"/>
          <w:szCs w:val="20"/>
        </w:rPr>
        <w:t xml:space="preserve">En el presente caso y tal como lo hizo en el </w:t>
      </w:r>
      <w:r w:rsidRPr="00D13792">
        <w:rPr>
          <w:rFonts w:eastAsia="Times"/>
          <w:bCs/>
          <w:i/>
          <w:color w:val="000000"/>
          <w:sz w:val="20"/>
          <w:szCs w:val="20"/>
          <w:shd w:val="clear" w:color="auto" w:fill="FFFFFF"/>
        </w:rPr>
        <w:t>Caso Masacres de Río Negro Vs. Guatemala</w:t>
      </w:r>
      <w:r w:rsidRPr="00D13792">
        <w:rPr>
          <w:rFonts w:eastAsia="Times"/>
          <w:bCs/>
          <w:i/>
          <w:color w:val="000000"/>
          <w:sz w:val="20"/>
          <w:szCs w:val="20"/>
          <w:shd w:val="clear" w:color="auto" w:fill="FFFFFF"/>
          <w:vertAlign w:val="superscript"/>
        </w:rPr>
        <w:footnoteReference w:id="213"/>
      </w:r>
      <w:r w:rsidRPr="00D13792">
        <w:rPr>
          <w:rFonts w:eastAsia="Times"/>
          <w:sz w:val="20"/>
          <w:szCs w:val="20"/>
        </w:rPr>
        <w:t>, la Corte considera que la aldea Chichupac y comunidades vecinas del Rabinal no puede asimilarse necesariamente a una “asociación” en los términos del artículo 16 de la Convención Americana. Al respecto, la Corte destaca que la Comisión no expresó las razones por las cuales dichas comunidades, las cuales tienen un carácter indígena, les asistiría el derecho reconocido en el artículo 16 de la Convención. Por lo tanto, el Tribunal estima que dicha disposición no es aplicable a los hechos del presente caso.</w:t>
      </w:r>
    </w:p>
    <w:p w14:paraId="31ECEB47" w14:textId="77777777" w:rsidR="006A0E1C" w:rsidRPr="00D13792" w:rsidRDefault="006A0E1C" w:rsidP="006A0E1C">
      <w:pPr>
        <w:autoSpaceDE w:val="0"/>
        <w:autoSpaceDN w:val="0"/>
        <w:spacing w:line="240" w:lineRule="auto"/>
        <w:rPr>
          <w:rFonts w:cs="Calibri,Bold"/>
          <w:b/>
          <w:bCs/>
          <w:sz w:val="20"/>
          <w:szCs w:val="20"/>
        </w:rPr>
      </w:pPr>
    </w:p>
    <w:p w14:paraId="690AD570" w14:textId="77777777" w:rsidR="006A0E1C" w:rsidRPr="00D13792" w:rsidRDefault="006A0E1C" w:rsidP="006A0E1C">
      <w:pPr>
        <w:pStyle w:val="Heading1"/>
        <w:rPr>
          <w:lang w:val="es-CR"/>
        </w:rPr>
      </w:pPr>
      <w:bookmarkStart w:id="226" w:name="_Toc455631232"/>
      <w:bookmarkStart w:id="227" w:name="_Toc460938887"/>
      <w:bookmarkStart w:id="228" w:name="_Toc469670054"/>
      <w:r w:rsidRPr="00D13792">
        <w:rPr>
          <w:lang w:val="es-CR"/>
        </w:rPr>
        <w:lastRenderedPageBreak/>
        <w:t>IX.III</w:t>
      </w:r>
      <w:bookmarkEnd w:id="226"/>
      <w:bookmarkEnd w:id="227"/>
      <w:bookmarkEnd w:id="228"/>
    </w:p>
    <w:p w14:paraId="5FAB10F0" w14:textId="77777777" w:rsidR="006A0E1C" w:rsidRPr="00D13792" w:rsidRDefault="006A0E1C" w:rsidP="006A0E1C">
      <w:pPr>
        <w:pStyle w:val="Heading1"/>
        <w:rPr>
          <w:lang w:val="es-CR"/>
        </w:rPr>
      </w:pPr>
      <w:bookmarkStart w:id="229" w:name="_Toc469670055"/>
      <w:r w:rsidRPr="00D13792">
        <w:rPr>
          <w:lang w:val="es-CR"/>
        </w:rPr>
        <w:t>GARANTÍAS Y PROTECCIÓN JUDICIALES</w:t>
      </w:r>
      <w:r w:rsidRPr="00D13792">
        <w:rPr>
          <w:rFonts w:eastAsia="MS Mincho"/>
          <w:color w:val="000000"/>
          <w:vertAlign w:val="superscript"/>
          <w:lang w:val="es-CR" w:eastAsia="en-US" w:bidi="en-US"/>
        </w:rPr>
        <w:footnoteReference w:id="214"/>
      </w:r>
      <w:r w:rsidRPr="00D13792">
        <w:rPr>
          <w:lang w:val="es-CR"/>
        </w:rPr>
        <w:t xml:space="preserve"> DE LA CONVENCIÓN AMERICANA, e incumplimiento de LOS ARTÍCULOS I.B DE LA CONVENCIÓN INTERAMERICANA SOBRE DESAPARICIÓN FORZADA DE PERSONAS</w:t>
      </w:r>
      <w:r w:rsidRPr="00D13792">
        <w:rPr>
          <w:rStyle w:val="FootnoteReference"/>
          <w:lang w:val="es-CR"/>
        </w:rPr>
        <w:footnoteReference w:id="215"/>
      </w:r>
      <w:r w:rsidRPr="00D13792">
        <w:rPr>
          <w:lang w:val="es-CR"/>
        </w:rPr>
        <w:t>, 1, 6 Y 8 DE LA CONVENCIÓN INTERAMERICANA PARA PREVENIR Y SANCIONAR LA TORTURA</w:t>
      </w:r>
      <w:r w:rsidRPr="00D13792">
        <w:rPr>
          <w:rStyle w:val="FootnoteReference"/>
          <w:lang w:val="es-CR"/>
        </w:rPr>
        <w:footnoteReference w:id="216"/>
      </w:r>
      <w:r w:rsidRPr="00D13792">
        <w:rPr>
          <w:lang w:val="es-CR"/>
        </w:rPr>
        <w:t>, Y 7.B DE LA CONVENCIÓN INTERAMERICANA PARA PREVENIR, SANCIONAR Y ERRADICAR LA VIOLENCIA CONTRA LA MUJER</w:t>
      </w:r>
      <w:r w:rsidRPr="00D13792">
        <w:rPr>
          <w:rStyle w:val="FootnoteReference"/>
          <w:lang w:val="es-CR"/>
        </w:rPr>
        <w:footnoteReference w:id="217"/>
      </w:r>
      <w:bookmarkEnd w:id="229"/>
    </w:p>
    <w:p w14:paraId="40B5AC91" w14:textId="77777777" w:rsidR="006A0E1C" w:rsidRPr="00D13792" w:rsidRDefault="006A0E1C" w:rsidP="006A0E1C">
      <w:pPr>
        <w:pStyle w:val="ListParagraph"/>
        <w:spacing w:after="0" w:line="240" w:lineRule="auto"/>
        <w:jc w:val="both"/>
        <w:rPr>
          <w:rFonts w:ascii="Verdana" w:hAnsi="Verdana" w:cs="Arial"/>
          <w:b/>
          <w:i/>
          <w:color w:val="000000"/>
          <w:sz w:val="20"/>
          <w:szCs w:val="20"/>
          <w:lang w:val="es-CR" w:eastAsia="es-ES"/>
        </w:rPr>
      </w:pPr>
    </w:p>
    <w:p w14:paraId="14AA074D" w14:textId="77777777" w:rsidR="006A0E1C" w:rsidRPr="00D13792" w:rsidRDefault="006A0E1C" w:rsidP="006A0E1C">
      <w:pPr>
        <w:pStyle w:val="Heading2"/>
        <w:numPr>
          <w:ilvl w:val="0"/>
          <w:numId w:val="40"/>
        </w:numPr>
        <w:tabs>
          <w:tab w:val="clear" w:pos="720"/>
          <w:tab w:val="left" w:pos="0"/>
        </w:tabs>
        <w:ind w:left="0" w:firstLine="0"/>
        <w:rPr>
          <w:lang w:val="es-CR"/>
        </w:rPr>
      </w:pPr>
      <w:bookmarkStart w:id="230" w:name="_Toc469670056"/>
      <w:r w:rsidRPr="00D13792">
        <w:rPr>
          <w:lang w:val="es-CR"/>
        </w:rPr>
        <w:t>Alegatos de la Comisión y las partes</w:t>
      </w:r>
      <w:bookmarkEnd w:id="230"/>
    </w:p>
    <w:p w14:paraId="59E6D988" w14:textId="77777777" w:rsidR="006A0E1C" w:rsidRPr="00D13792" w:rsidRDefault="006A0E1C" w:rsidP="006A0E1C">
      <w:pPr>
        <w:pStyle w:val="ListParagraph"/>
        <w:spacing w:after="0" w:line="240" w:lineRule="auto"/>
        <w:jc w:val="both"/>
        <w:rPr>
          <w:rFonts w:ascii="Verdana" w:hAnsi="Verdana" w:cs="Arial"/>
          <w:color w:val="000000"/>
          <w:sz w:val="20"/>
          <w:szCs w:val="20"/>
          <w:lang w:val="es-CR" w:eastAsia="es-ES"/>
        </w:rPr>
      </w:pPr>
    </w:p>
    <w:p w14:paraId="083417F7" w14:textId="77777777" w:rsidR="006A0E1C" w:rsidRPr="00D13792" w:rsidRDefault="006A0E1C" w:rsidP="006A0E1C">
      <w:pPr>
        <w:numPr>
          <w:ilvl w:val="0"/>
          <w:numId w:val="6"/>
        </w:numPr>
        <w:tabs>
          <w:tab w:val="left" w:pos="567"/>
        </w:tabs>
        <w:spacing w:line="240" w:lineRule="auto"/>
        <w:ind w:right="4"/>
        <w:rPr>
          <w:rFonts w:cs="Arial"/>
          <w:color w:val="000000"/>
          <w:sz w:val="20"/>
          <w:szCs w:val="20"/>
          <w:lang w:eastAsia="es-ES"/>
        </w:rPr>
      </w:pPr>
      <w:r w:rsidRPr="00D13792">
        <w:rPr>
          <w:rFonts w:cs="Arial"/>
          <w:color w:val="000000"/>
          <w:sz w:val="20"/>
          <w:szCs w:val="20"/>
          <w:lang w:eastAsia="es-ES"/>
        </w:rPr>
        <w:t xml:space="preserve">La </w:t>
      </w:r>
      <w:r w:rsidRPr="00D13792">
        <w:rPr>
          <w:rFonts w:cs="Arial"/>
          <w:b/>
          <w:i/>
          <w:color w:val="000000"/>
          <w:sz w:val="20"/>
          <w:szCs w:val="20"/>
          <w:lang w:eastAsia="es-ES"/>
        </w:rPr>
        <w:t xml:space="preserve">Comisión </w:t>
      </w:r>
      <w:r w:rsidRPr="00D13792">
        <w:rPr>
          <w:rFonts w:cs="Arial"/>
          <w:color w:val="000000"/>
          <w:sz w:val="20"/>
          <w:szCs w:val="20"/>
          <w:lang w:eastAsia="es-ES"/>
        </w:rPr>
        <w:t xml:space="preserve">alegó que los hechos del caso forman parte de una situación en que prevalece un alto índice de impunidad. Señaló que han transcurrido más de 32 años desde los hechos y 21 años de presentada la denuncia; no obstante, estos siguen en total impunidad. Sostuvo que este lapso no es razonable, resaltó diversas deficiencias y obstaculizaciones en la investigación, y </w:t>
      </w:r>
      <w:r w:rsidRPr="00D13792">
        <w:rPr>
          <w:sz w:val="20"/>
          <w:szCs w:val="20"/>
        </w:rPr>
        <w:t>argumentó</w:t>
      </w:r>
      <w:r w:rsidRPr="00D13792">
        <w:rPr>
          <w:rFonts w:cs="Arial"/>
          <w:color w:val="000000"/>
          <w:sz w:val="20"/>
          <w:szCs w:val="20"/>
          <w:lang w:eastAsia="es-ES"/>
        </w:rPr>
        <w:t xml:space="preserve"> que Guatemala no ha llevado a cabo una identificación exhaustiva de los restos exhumados ni ha adoptado medidas dirigidas a localizar el paradero de las personas desaparecidas. También señaló que la falta de una adecuada calificación de los hechos de desaparición forzada constituye un factor adicional de impunidad. Sobre este punto, resaltó que la aplicación del tipo penal de desaparición forzada no vulnera el principio de legalidad en aquellos casos en que no se ha determinado el paradero de la persona desaparecida una vez que el delito ha entrado en vigor. </w:t>
      </w:r>
      <w:r w:rsidRPr="00D13792">
        <w:rPr>
          <w:color w:val="000000"/>
          <w:sz w:val="20"/>
          <w:szCs w:val="20"/>
          <w:lang w:eastAsia="es-ES"/>
        </w:rPr>
        <w:t xml:space="preserve">Por lo anterior, concluyó que el Estado violó los artículos 8.1 y 25 de la Convención Americana, en relación con el artículo 1.1 de la misma, así como el artículo I.b) de la CIDFP, en perjuicio de las personas desaparecidas y los familiares de las víctimas señaladas en el “Anexo único” al Informe de Fondo. </w:t>
      </w:r>
      <w:r w:rsidRPr="00D13792">
        <w:rPr>
          <w:rFonts w:cs="Arial"/>
          <w:color w:val="000000"/>
          <w:sz w:val="20"/>
          <w:szCs w:val="20"/>
          <w:lang w:eastAsia="es-ES"/>
        </w:rPr>
        <w:t xml:space="preserve">Por otra parte, la Comisión señaló que los hechos del caso </w:t>
      </w:r>
      <w:r w:rsidRPr="00D13792">
        <w:rPr>
          <w:rFonts w:cs="Arial"/>
          <w:sz w:val="20"/>
          <w:szCs w:val="20"/>
        </w:rPr>
        <w:t>se enmarcan dentro de la figura del genocidio y que</w:t>
      </w:r>
      <w:r w:rsidRPr="00D13792">
        <w:rPr>
          <w:rFonts w:cs="Arial"/>
          <w:color w:val="000000"/>
          <w:sz w:val="20"/>
          <w:szCs w:val="20"/>
          <w:lang w:eastAsia="es-ES"/>
        </w:rPr>
        <w:t xml:space="preserve"> “la verificación del patrón de discriminación racial consistente en señalar y perseguir a los miembros del pueblo indígena maya como simpatizantes de la insurgencia, exigían de Guatemala una especial diligencia en la investigación y juzgamiento de los perpetradores”. Al haberse abstenido de ello, los Tribunales guatemaltecos vulneraron el artículo 24 de la </w:t>
      </w:r>
      <w:r w:rsidRPr="00D13792">
        <w:rPr>
          <w:rFonts w:cs="Arial"/>
          <w:color w:val="000000"/>
          <w:sz w:val="20"/>
          <w:szCs w:val="20"/>
          <w:lang w:eastAsia="es-ES"/>
        </w:rPr>
        <w:lastRenderedPageBreak/>
        <w:t xml:space="preserve">Convención, en relación con el artículo 1.1 de la misma, en perjuicio de los miembros de la aldea Chichupac y comunidades vecinas. </w:t>
      </w:r>
    </w:p>
    <w:p w14:paraId="5188253D" w14:textId="77777777" w:rsidR="006A0E1C" w:rsidRPr="00D13792" w:rsidRDefault="006A0E1C" w:rsidP="006A0E1C">
      <w:pPr>
        <w:pStyle w:val="ListParagraph"/>
        <w:spacing w:after="0" w:line="240" w:lineRule="auto"/>
        <w:ind w:left="0"/>
        <w:jc w:val="both"/>
        <w:rPr>
          <w:rFonts w:ascii="Verdana" w:hAnsi="Verdana" w:cs="Arial"/>
          <w:color w:val="000000"/>
          <w:sz w:val="20"/>
          <w:szCs w:val="20"/>
          <w:lang w:val="es-CR" w:eastAsia="es-ES"/>
        </w:rPr>
      </w:pPr>
    </w:p>
    <w:p w14:paraId="6F096C13" w14:textId="77777777" w:rsidR="006A0E1C" w:rsidRPr="00D13792" w:rsidRDefault="006A0E1C" w:rsidP="006A0E1C">
      <w:pPr>
        <w:pStyle w:val="Prrafodelista2"/>
        <w:numPr>
          <w:ilvl w:val="0"/>
          <w:numId w:val="23"/>
        </w:numPr>
        <w:tabs>
          <w:tab w:val="left" w:pos="720"/>
        </w:tabs>
        <w:ind w:right="-90"/>
        <w:jc w:val="both"/>
        <w:rPr>
          <w:b/>
          <w:color w:val="000000"/>
          <w:lang w:val="es-CR" w:eastAsia="es-ES"/>
        </w:rPr>
      </w:pPr>
      <w:r w:rsidRPr="00D13792">
        <w:rPr>
          <w:rFonts w:cs="Arial"/>
          <w:color w:val="000000"/>
          <w:lang w:val="es-CR" w:eastAsia="es-ES"/>
        </w:rPr>
        <w:t xml:space="preserve">Los </w:t>
      </w:r>
      <w:r w:rsidRPr="00D13792">
        <w:rPr>
          <w:rFonts w:cs="Arial"/>
          <w:b/>
          <w:i/>
          <w:color w:val="000000"/>
          <w:lang w:val="es-CR" w:eastAsia="es-ES"/>
        </w:rPr>
        <w:t>representantes</w:t>
      </w:r>
      <w:r w:rsidRPr="00D13792">
        <w:rPr>
          <w:rFonts w:cs="Arial"/>
          <w:color w:val="000000"/>
          <w:lang w:val="es-CR" w:eastAsia="es-ES"/>
        </w:rPr>
        <w:t xml:space="preserve"> alegaron que en un marco de constante impunidad, </w:t>
      </w:r>
      <w:r w:rsidRPr="00D13792">
        <w:rPr>
          <w:color w:val="000000"/>
          <w:lang w:val="es-CR" w:eastAsia="es-ES"/>
        </w:rPr>
        <w:t>múltiples denuncias han sido presentadas ante el Ministerio Público desde el año 1993. Sin embargo, en ningún proceso penal relacionado con los hechos se ha superado la fase de investigación, a pesar de existir claras líneas de investigación que podrían determinar a los culpables. También señalaron que el plazo que ha transcurrido no es razonable. Destacaron diversos obstáculos en la investigación, manifestaron que esto causa profundo dolor y angustia en la totalidad de las víctimas y concluyeron que Guatemala violó los derechos a las garantías judiciales y la protección judicial respecto de estas.</w:t>
      </w:r>
      <w:r w:rsidRPr="00D13792">
        <w:rPr>
          <w:b/>
          <w:color w:val="000000"/>
          <w:lang w:val="es-CR" w:eastAsia="es-ES"/>
        </w:rPr>
        <w:t xml:space="preserve"> </w:t>
      </w:r>
      <w:r w:rsidRPr="00D13792">
        <w:rPr>
          <w:color w:val="000000"/>
          <w:lang w:val="es-CR" w:eastAsia="es-ES"/>
        </w:rPr>
        <w:t xml:space="preserve">Asimismo, indicaron </w:t>
      </w:r>
      <w:r w:rsidRPr="00D13792">
        <w:rPr>
          <w:lang w:val="es-CR"/>
        </w:rPr>
        <w:t xml:space="preserve">que el conocimiento del paradero de las víctimas es parte del derecho a conocer la verdad que asiste no solo a sus familiares sino a la población guatemalteca entera. </w:t>
      </w:r>
      <w:r w:rsidRPr="00D13792">
        <w:rPr>
          <w:color w:val="000000"/>
          <w:lang w:val="es-CR" w:eastAsia="es-ES"/>
        </w:rPr>
        <w:t xml:space="preserve">Por otra parte, </w:t>
      </w:r>
      <w:r w:rsidRPr="00D13792">
        <w:rPr>
          <w:lang w:val="es-CR"/>
        </w:rPr>
        <w:t xml:space="preserve">alegaron que existen elementos de contexto que evidencian que los actos de miembros del Estado fueron cometidos “con la intención de destruir total o parcialmente” al </w:t>
      </w:r>
      <w:r w:rsidRPr="00D13792">
        <w:rPr>
          <w:rFonts w:cs="Verdana"/>
          <w:lang w:val="es-CR"/>
        </w:rPr>
        <w:t>grupo étnico de la comunidad maya de la aldea Chichupac y</w:t>
      </w:r>
      <w:r w:rsidRPr="00D13792">
        <w:rPr>
          <w:lang w:val="es-CR"/>
        </w:rPr>
        <w:t xml:space="preserve"> </w:t>
      </w:r>
      <w:r w:rsidRPr="00D13792">
        <w:rPr>
          <w:rFonts w:cs="Verdana"/>
          <w:lang w:val="es-CR"/>
        </w:rPr>
        <w:t xml:space="preserve">comunidades vecinas, y </w:t>
      </w:r>
      <w:r w:rsidRPr="00D13792">
        <w:rPr>
          <w:color w:val="000000"/>
          <w:lang w:val="es-CR" w:eastAsia="es-ES"/>
        </w:rPr>
        <w:t xml:space="preserve">señalaron que la falta de investigación de los hechos se relaciona directa y profundamente con el contexto actual de discriminación racial que se vive en Guatemala. </w:t>
      </w:r>
    </w:p>
    <w:p w14:paraId="578409B7" w14:textId="77777777" w:rsidR="006A0E1C" w:rsidRPr="00D13792" w:rsidRDefault="006A0E1C" w:rsidP="006A0E1C">
      <w:pPr>
        <w:pStyle w:val="ListParagraph"/>
        <w:spacing w:after="0" w:line="240" w:lineRule="auto"/>
        <w:ind w:left="0"/>
        <w:jc w:val="both"/>
        <w:rPr>
          <w:rFonts w:ascii="Verdana" w:eastAsia="Calibri" w:hAnsi="Verdana"/>
          <w:b/>
          <w:bCs/>
          <w:color w:val="000000"/>
          <w:sz w:val="20"/>
          <w:szCs w:val="20"/>
          <w:lang w:val="es-CR"/>
        </w:rPr>
      </w:pPr>
    </w:p>
    <w:p w14:paraId="7F759236" w14:textId="77777777" w:rsidR="006A0E1C" w:rsidRPr="00D13792" w:rsidRDefault="006A0E1C" w:rsidP="006A0E1C">
      <w:pPr>
        <w:pStyle w:val="Prrafodelista2"/>
        <w:numPr>
          <w:ilvl w:val="0"/>
          <w:numId w:val="23"/>
        </w:numPr>
        <w:tabs>
          <w:tab w:val="left" w:pos="720"/>
        </w:tabs>
        <w:ind w:right="-90"/>
        <w:jc w:val="both"/>
        <w:rPr>
          <w:rFonts w:eastAsia="Calibri"/>
          <w:lang w:val="es-CR"/>
        </w:rPr>
      </w:pPr>
      <w:r w:rsidRPr="00D13792">
        <w:rPr>
          <w:rFonts w:eastAsia="Calibri"/>
          <w:lang w:val="es-CR"/>
        </w:rPr>
        <w:t xml:space="preserve">En su </w:t>
      </w:r>
      <w:r w:rsidRPr="00D13792">
        <w:rPr>
          <w:lang w:val="es-CR" w:eastAsia="es-ES"/>
        </w:rPr>
        <w:t>contestación</w:t>
      </w:r>
      <w:r w:rsidRPr="00D13792">
        <w:rPr>
          <w:rFonts w:eastAsia="Calibri"/>
          <w:lang w:val="es-CR"/>
        </w:rPr>
        <w:t xml:space="preserve">, el </w:t>
      </w:r>
      <w:r w:rsidRPr="00D13792">
        <w:rPr>
          <w:rFonts w:eastAsia="Calibri"/>
          <w:b/>
          <w:i/>
          <w:lang w:val="es-CR"/>
        </w:rPr>
        <w:t>Estado</w:t>
      </w:r>
      <w:r w:rsidRPr="00D13792">
        <w:rPr>
          <w:rFonts w:eastAsia="Calibri"/>
          <w:lang w:val="es-CR"/>
        </w:rPr>
        <w:t xml:space="preserve"> sostuvo que ha </w:t>
      </w:r>
      <w:r w:rsidRPr="00D13792">
        <w:rPr>
          <w:lang w:val="es-CR" w:eastAsia="es-ES"/>
        </w:rPr>
        <w:t>realizado</w:t>
      </w:r>
      <w:r w:rsidRPr="00D13792">
        <w:rPr>
          <w:rFonts w:eastAsia="Calibri"/>
          <w:lang w:val="es-CR"/>
        </w:rPr>
        <w:t xml:space="preserve"> lo posible de acuerdo con su capacidad </w:t>
      </w:r>
      <w:r w:rsidRPr="00D13792">
        <w:rPr>
          <w:rFonts w:cs="Verdana"/>
          <w:lang w:val="es-CR"/>
        </w:rPr>
        <w:t>potencial</w:t>
      </w:r>
      <w:r w:rsidRPr="00D13792">
        <w:rPr>
          <w:rFonts w:eastAsia="Calibri"/>
          <w:lang w:val="es-CR"/>
        </w:rPr>
        <w:t xml:space="preserve"> para cumplir con su obligación de investigar</w:t>
      </w:r>
      <w:r w:rsidRPr="00D13792">
        <w:rPr>
          <w:rFonts w:eastAsia="Calibri"/>
          <w:b/>
          <w:lang w:val="es-CR"/>
        </w:rPr>
        <w:t xml:space="preserve"> </w:t>
      </w:r>
      <w:r w:rsidRPr="00D13792">
        <w:rPr>
          <w:rFonts w:eastAsia="Calibri"/>
          <w:lang w:val="es-CR"/>
        </w:rPr>
        <w:t>y que las autoridades encargadas han sido</w:t>
      </w:r>
      <w:r w:rsidRPr="00D13792">
        <w:rPr>
          <w:lang w:val="es-CR"/>
        </w:rPr>
        <w:t xml:space="preserve"> </w:t>
      </w:r>
      <w:r w:rsidRPr="00D13792">
        <w:rPr>
          <w:rFonts w:eastAsia="Calibri"/>
          <w:lang w:val="es-CR"/>
        </w:rPr>
        <w:t>serias y diligentes. Informó sobre la apertura de diversos expedientes y detalló las diligencias realizadas dentro de los mismos</w:t>
      </w:r>
      <w:r w:rsidRPr="00D13792">
        <w:rPr>
          <w:rStyle w:val="FootnoteReference"/>
          <w:rFonts w:eastAsia="Calibri"/>
          <w:lang w:val="es-CR"/>
        </w:rPr>
        <w:footnoteReference w:id="218"/>
      </w:r>
      <w:r w:rsidRPr="00D13792">
        <w:rPr>
          <w:rFonts w:eastAsia="Calibri"/>
          <w:lang w:val="es-CR"/>
        </w:rPr>
        <w:t xml:space="preserve">, entre ellas, la identificación de 30 víctimas. En cuanto al deber de investigar dentro de un plazo razonable, Guatemala se refirió a la complejidad de los hechos, a la “notable inactividad” de las víctimas en la última década y a “las diversas” </w:t>
      </w:r>
      <w:r w:rsidRPr="00D13792">
        <w:rPr>
          <w:rFonts w:cs="Arial"/>
          <w:lang w:val="es-CR" w:eastAsia="es-ES"/>
        </w:rPr>
        <w:t>diligencias</w:t>
      </w:r>
      <w:r w:rsidRPr="00D13792">
        <w:rPr>
          <w:rFonts w:eastAsia="Calibri"/>
          <w:lang w:val="es-CR"/>
        </w:rPr>
        <w:t xml:space="preserve"> de investigación llevadas a cabo. Por otra parte, alegó “la legalidad y procedencia de la Amnistía promulgada” a través de la Ley de Reconciliación Nacional (LRN). Respecto de los delitos a los cuales, según el Estado, no es aplicable la amnistía de conformidad con la LRN, sostuvo que no sería aplicable el delito de genocidio a los hechos del caso, dado que el enfrentamiento guatemalteco no se originó como un conflicto de carácter interétnico, y que los delitos de desaparición forzada y tortura solo pueden ser imputados respecto a hechos acaecidos posteriormente a su tipificación y entrada en vigencia en el año 1996. En cuanto al delito de desaparición forzada, reiteró que este es permanente, mas no continuado (</w:t>
      </w:r>
      <w:r w:rsidRPr="00D13792">
        <w:rPr>
          <w:rFonts w:eastAsia="Calibri"/>
          <w:i/>
          <w:lang w:val="es-CR"/>
        </w:rPr>
        <w:t xml:space="preserve">supra </w:t>
      </w:r>
      <w:r w:rsidRPr="00D13792">
        <w:rPr>
          <w:rFonts w:eastAsia="Calibri"/>
          <w:lang w:val="es-CR"/>
        </w:rPr>
        <w:t>párrs. 15 y 128).</w:t>
      </w:r>
      <w:r w:rsidRPr="00D13792">
        <w:rPr>
          <w:rFonts w:eastAsia="Calibri"/>
          <w:b/>
          <w:lang w:val="es-CR"/>
        </w:rPr>
        <w:t xml:space="preserve"> </w:t>
      </w:r>
      <w:r w:rsidRPr="00D13792">
        <w:rPr>
          <w:rFonts w:eastAsia="Calibri"/>
          <w:lang w:val="es-CR"/>
        </w:rPr>
        <w:t xml:space="preserve">Así, indicó que “aunque no sea posible ejercer la persecución penal respecto a hechos ocurridos en el marco del enfrentamiento armado interno […] el Estado de Guatemala acepta [la] responsabilidad y obligación de investigar la verdad histórica y reparar o resarcir a las víctimas a nivel interno”. Finalmente, refirió que </w:t>
      </w:r>
      <w:r w:rsidRPr="00D13792">
        <w:rPr>
          <w:lang w:val="es-CR"/>
        </w:rPr>
        <w:t xml:space="preserve">el enfrentamiento no fue una forma de discriminación contra el pueblo </w:t>
      </w:r>
      <w:r w:rsidRPr="00D13792">
        <w:rPr>
          <w:rFonts w:eastAsia="Calibri"/>
          <w:lang w:val="es-CR"/>
        </w:rPr>
        <w:t>maya, sino que fue un conflicto que se originó para derrocar al Gobierno, por lo que solicitó a la Corte declarar que no violó el derecho a la igualdad.</w:t>
      </w:r>
    </w:p>
    <w:p w14:paraId="5C770E90" w14:textId="77777777" w:rsidR="006A0E1C" w:rsidRPr="00D13792" w:rsidRDefault="006A0E1C" w:rsidP="006A0E1C">
      <w:pPr>
        <w:pStyle w:val="ListParagraph"/>
        <w:spacing w:after="0" w:line="240" w:lineRule="auto"/>
        <w:ind w:left="0"/>
        <w:jc w:val="both"/>
        <w:rPr>
          <w:rFonts w:ascii="Verdana" w:eastAsia="Calibri" w:hAnsi="Verdana"/>
          <w:color w:val="000000"/>
          <w:sz w:val="20"/>
          <w:szCs w:val="20"/>
          <w:lang w:val="es-CR"/>
        </w:rPr>
      </w:pPr>
    </w:p>
    <w:p w14:paraId="5E768859"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Como ya se señaló, en la audiencia pública el Estado reconoció su responsabilidad internacional por la violación de los artículos 8 y 25 de la Convención (</w:t>
      </w:r>
      <w:r w:rsidRPr="00D13792">
        <w:rPr>
          <w:rFonts w:eastAsia="Calibri"/>
          <w:i/>
          <w:color w:val="000000"/>
          <w:lang w:val="es-CR"/>
        </w:rPr>
        <w:t xml:space="preserve">supra </w:t>
      </w:r>
      <w:r w:rsidRPr="00D13792">
        <w:rPr>
          <w:rFonts w:eastAsia="Calibri"/>
          <w:color w:val="000000"/>
          <w:lang w:val="es-CR"/>
        </w:rPr>
        <w:t>párr. 51, 55 y 56).</w:t>
      </w:r>
    </w:p>
    <w:p w14:paraId="0459969A" w14:textId="77777777" w:rsidR="006A0E1C" w:rsidRPr="00D13792" w:rsidRDefault="006A0E1C" w:rsidP="006A0E1C">
      <w:pPr>
        <w:pStyle w:val="Heading2"/>
        <w:rPr>
          <w:rFonts w:eastAsia="Calibri"/>
          <w:lang w:val="es-CR"/>
        </w:rPr>
      </w:pPr>
    </w:p>
    <w:p w14:paraId="7BF3445E" w14:textId="77777777" w:rsidR="006A0E1C" w:rsidRPr="00D13792" w:rsidRDefault="006A0E1C" w:rsidP="006A0E1C">
      <w:pPr>
        <w:pStyle w:val="Heading2"/>
        <w:numPr>
          <w:ilvl w:val="0"/>
          <w:numId w:val="40"/>
        </w:numPr>
        <w:tabs>
          <w:tab w:val="clear" w:pos="720"/>
          <w:tab w:val="left" w:pos="0"/>
        </w:tabs>
        <w:ind w:left="0" w:firstLine="0"/>
        <w:rPr>
          <w:rFonts w:cs="Arial"/>
          <w:lang w:val="es-CR" w:eastAsia="es-ES"/>
        </w:rPr>
      </w:pPr>
      <w:bookmarkStart w:id="231" w:name="_Toc469670057"/>
      <w:r w:rsidRPr="00D13792">
        <w:rPr>
          <w:rFonts w:cs="Arial"/>
          <w:lang w:val="es-CR" w:eastAsia="es-ES"/>
        </w:rPr>
        <w:t>Consideraciones de la Corte</w:t>
      </w:r>
      <w:bookmarkEnd w:id="231"/>
    </w:p>
    <w:p w14:paraId="3E92D3B8" w14:textId="77777777" w:rsidR="006A0E1C" w:rsidRPr="00D13792" w:rsidRDefault="006A0E1C" w:rsidP="006A0E1C">
      <w:pPr>
        <w:spacing w:line="240" w:lineRule="auto"/>
        <w:rPr>
          <w:rFonts w:cs="Arial"/>
          <w:b/>
          <w:i/>
          <w:color w:val="000000"/>
          <w:sz w:val="20"/>
          <w:szCs w:val="20"/>
          <w:lang w:eastAsia="es-ES"/>
        </w:rPr>
      </w:pPr>
    </w:p>
    <w:p w14:paraId="21D10034"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 xml:space="preserve">El Estado ha manifestado su reconocimiento de responsabilidad por la violación de los artículos 8 y 25 de la Convención. Sin embargo, como se ha señalado, el Estado no especificó los hechos que generarían dichas violaciones ni en perjuicio de quiénes se configurarían. Dado que este caso versa sobre una </w:t>
      </w:r>
      <w:r w:rsidRPr="00D13792">
        <w:rPr>
          <w:rFonts w:eastAsia="Calibri"/>
          <w:color w:val="000000"/>
          <w:lang w:val="es-CR"/>
        </w:rPr>
        <w:t>pluralidad</w:t>
      </w:r>
      <w:r w:rsidRPr="00D13792">
        <w:rPr>
          <w:color w:val="000000"/>
          <w:lang w:val="es-CR"/>
        </w:rPr>
        <w:t xml:space="preserve"> de violaciones graves de derechos humanos sucedidas en el marco del conflicto armado interno en Guatemala, a continuación la Corte se referirá a su </w:t>
      </w:r>
      <w:r w:rsidRPr="00D13792">
        <w:rPr>
          <w:color w:val="000000"/>
          <w:lang w:val="es-CR"/>
        </w:rPr>
        <w:lastRenderedPageBreak/>
        <w:t xml:space="preserve">jurisprudencia en torno al deber de investigar, juzgar y, en su caso, sancionar a los responsables de tales violaciones cuando son cometidas dentro de un contexto como el del presente caso, y detallará los factores que configuraron un incumplimiento del Estado de dichos deberes. </w:t>
      </w:r>
    </w:p>
    <w:p w14:paraId="6A0193DE"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color w:val="000000"/>
          <w:sz w:val="20"/>
          <w:szCs w:val="20"/>
          <w:lang w:val="es-CR"/>
        </w:rPr>
      </w:pPr>
    </w:p>
    <w:p w14:paraId="5992A8B4"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rFonts w:cs="Verdana"/>
          <w:color w:val="000000"/>
          <w:lang w:val="es-CR"/>
        </w:rPr>
        <w:t xml:space="preserve">La Corte </w:t>
      </w:r>
      <w:r w:rsidRPr="00D13792">
        <w:rPr>
          <w:rFonts w:eastAsia="Calibri" w:cs="Verdana"/>
          <w:color w:val="000000"/>
          <w:lang w:val="es-CR"/>
        </w:rPr>
        <w:t xml:space="preserve">recuerda que, en virtud de la protección otorgada por los artículos 8 y 25 de la Convención, los Estados están obligados a suministrar recursos judiciales efectivos a las víctimas de </w:t>
      </w:r>
      <w:r w:rsidRPr="00D13792">
        <w:rPr>
          <w:rFonts w:eastAsia="Calibri"/>
          <w:color w:val="000000"/>
          <w:lang w:val="es-CR"/>
        </w:rPr>
        <w:t>violaciones</w:t>
      </w:r>
      <w:r w:rsidRPr="00D13792">
        <w:rPr>
          <w:rFonts w:eastAsia="Calibri" w:cs="Verdana"/>
          <w:color w:val="000000"/>
          <w:lang w:val="es-CR"/>
        </w:rPr>
        <w:t xml:space="preserve"> de los derechos humanos, que deben ser sustanciados de conformidad con las reglas del debido proceso legal</w:t>
      </w:r>
      <w:r w:rsidRPr="00D13792">
        <w:rPr>
          <w:rStyle w:val="FootnoteReference"/>
          <w:rFonts w:cs="Verdana"/>
          <w:color w:val="000000"/>
          <w:lang w:val="es-CR"/>
        </w:rPr>
        <w:footnoteReference w:id="219"/>
      </w:r>
      <w:r w:rsidRPr="00D13792">
        <w:rPr>
          <w:rFonts w:cs="Verdana"/>
          <w:color w:val="000000"/>
          <w:lang w:val="es-CR"/>
        </w:rPr>
        <w:t xml:space="preserve">. </w:t>
      </w:r>
    </w:p>
    <w:p w14:paraId="6A5EE14C" w14:textId="77777777" w:rsidR="006A0E1C" w:rsidRPr="00D13792" w:rsidRDefault="006A0E1C" w:rsidP="006A0E1C">
      <w:pPr>
        <w:pStyle w:val="ListParagraph"/>
        <w:spacing w:after="0" w:line="240" w:lineRule="auto"/>
        <w:jc w:val="both"/>
        <w:rPr>
          <w:rFonts w:ascii="Verdana" w:hAnsi="Verdana"/>
          <w:color w:val="000000"/>
          <w:sz w:val="20"/>
          <w:szCs w:val="20"/>
          <w:lang w:val="es-CR"/>
        </w:rPr>
      </w:pPr>
    </w:p>
    <w:p w14:paraId="54F60DA1"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rFonts w:cs="Verdana"/>
          <w:color w:val="000000"/>
          <w:lang w:val="es-CR"/>
        </w:rPr>
        <w:t>Asimismo, este Tribunal ha señalado que en una sociedad democrática se debe conocer la verdad sobre los hechos de graves violaciones de derechos humanos. Esta es una justa expectativa que el Estado debe satisfacer</w:t>
      </w:r>
      <w:r w:rsidRPr="00D13792">
        <w:rPr>
          <w:rStyle w:val="FootnoteReference"/>
          <w:rFonts w:cs="Verdana"/>
          <w:color w:val="000000"/>
          <w:lang w:val="es-CR"/>
        </w:rPr>
        <w:footnoteReference w:id="220"/>
      </w:r>
      <w:r w:rsidRPr="00D13792">
        <w:rPr>
          <w:rFonts w:cs="Verdana"/>
          <w:color w:val="000000"/>
          <w:lang w:val="es-CR"/>
        </w:rPr>
        <w:t xml:space="preserve">, por un lado, mediante la obligación de investigar de oficio y, por el otro, con </w:t>
      </w:r>
      <w:r w:rsidRPr="00D13792">
        <w:rPr>
          <w:rFonts w:cs="Arial"/>
          <w:color w:val="000000"/>
          <w:lang w:val="es-CR" w:eastAsia="es-ES"/>
        </w:rPr>
        <w:t>la</w:t>
      </w:r>
      <w:r w:rsidRPr="00D13792">
        <w:rPr>
          <w:rFonts w:cs="Verdana"/>
          <w:color w:val="000000"/>
          <w:lang w:val="es-CR"/>
        </w:rPr>
        <w:t xml:space="preserve"> divulgación pública de los resultados de los procesos penales e investigativos</w:t>
      </w:r>
      <w:r w:rsidRPr="00D13792">
        <w:rPr>
          <w:rStyle w:val="FootnoteReference"/>
          <w:rFonts w:cs="Verdana"/>
          <w:color w:val="000000"/>
          <w:lang w:val="es-CR"/>
        </w:rPr>
        <w:footnoteReference w:id="221"/>
      </w:r>
      <w:r w:rsidRPr="00D13792">
        <w:rPr>
          <w:rFonts w:cs="Verdana"/>
          <w:color w:val="000000"/>
          <w:lang w:val="es-CR"/>
        </w:rPr>
        <w:t>. Esto exige del Estado la determinación procesal de los patrones de actuación conjunta y de todas las personas que de diversas formas participaron en dichas violaciones y sus correspondientes responsabilidades</w:t>
      </w:r>
      <w:r w:rsidRPr="00D13792">
        <w:rPr>
          <w:rStyle w:val="FootnoteReference"/>
          <w:rFonts w:cs="Verdana"/>
          <w:color w:val="000000"/>
          <w:lang w:val="es-CR"/>
        </w:rPr>
        <w:footnoteReference w:id="222"/>
      </w:r>
      <w:r w:rsidRPr="00D13792">
        <w:rPr>
          <w:rFonts w:cs="Verdana"/>
          <w:color w:val="000000"/>
          <w:lang w:val="es-CR"/>
        </w:rPr>
        <w:t xml:space="preserve"> y reparar a las víctimas del caso. Por ello, en ocasiones anteriores la Corte ha considerado que las autoridades encargadas de las investigaciones tienen el deber de asegurar que en el curso de las mismas se valoren los patrones sistemáticos que permitieron la comisión de graves violaciones de los derechos humanos, como los sucedidos en el presente caso</w:t>
      </w:r>
      <w:r w:rsidRPr="00D13792">
        <w:rPr>
          <w:rStyle w:val="FootnoteReference"/>
          <w:rFonts w:cs="Verdana"/>
          <w:color w:val="000000"/>
          <w:lang w:val="es-CR"/>
        </w:rPr>
        <w:footnoteReference w:id="223"/>
      </w:r>
      <w:r w:rsidRPr="00D13792">
        <w:rPr>
          <w:rFonts w:cs="Verdana"/>
          <w:color w:val="000000"/>
          <w:lang w:val="es-CR"/>
        </w:rPr>
        <w:t>. En aras de garantizar su efectividad, la investigación debe ser conducida tomando en cuenta la complejidad de este tipo de hechos y de la estructura en la cual se ubican las personas probablemente involucradas en los mismos, de acuerdo al contexto en que ocurrieron, particularmente en contextos de ataques masivos y sistemáticos o generalizados hacia algún sector de la población</w:t>
      </w:r>
      <w:r w:rsidRPr="00D13792">
        <w:rPr>
          <w:rFonts w:cs="Verdana"/>
          <w:color w:val="000000"/>
          <w:vertAlign w:val="superscript"/>
          <w:lang w:val="es-CR"/>
        </w:rPr>
        <w:footnoteReference w:id="224"/>
      </w:r>
      <w:r w:rsidRPr="00D13792">
        <w:rPr>
          <w:rFonts w:cs="Verdana"/>
          <w:color w:val="000000"/>
          <w:lang w:val="es-CR"/>
        </w:rPr>
        <w:t>, evitando así omisiones en la recaudación de prueba y en el seguimiento de líneas lógicas de investigación</w:t>
      </w:r>
      <w:r w:rsidRPr="00D13792">
        <w:rPr>
          <w:rStyle w:val="FootnoteReference"/>
          <w:rFonts w:cs="Verdana"/>
          <w:color w:val="000000"/>
          <w:lang w:val="es-CR"/>
        </w:rPr>
        <w:footnoteReference w:id="225"/>
      </w:r>
      <w:r w:rsidRPr="00D13792">
        <w:rPr>
          <w:rFonts w:cs="Verdana"/>
          <w:color w:val="000000"/>
          <w:lang w:val="es-CR"/>
        </w:rPr>
        <w:t xml:space="preserve">. Por ello, las autoridades </w:t>
      </w:r>
      <w:r w:rsidRPr="00D13792">
        <w:rPr>
          <w:rFonts w:eastAsia="Calibri"/>
          <w:color w:val="000000"/>
          <w:lang w:val="es-CR"/>
        </w:rPr>
        <w:t>estatales</w:t>
      </w:r>
      <w:r w:rsidRPr="00D13792">
        <w:rPr>
          <w:rFonts w:cs="Verdana"/>
          <w:color w:val="000000"/>
          <w:lang w:val="es-CR"/>
        </w:rPr>
        <w:t xml:space="preserve"> están obligadas a colaborar en la recaudación de la prueba para alcanzar los objetivos de una investigación y abstenerse de realizar actos que impliquen obstrucciones para la marcha del proceso investigativo</w:t>
      </w:r>
      <w:r w:rsidRPr="00D13792">
        <w:rPr>
          <w:rStyle w:val="FootnoteReference"/>
          <w:rFonts w:cs="Verdana"/>
          <w:color w:val="000000"/>
          <w:lang w:val="es-CR"/>
        </w:rPr>
        <w:footnoteReference w:id="226"/>
      </w:r>
      <w:r w:rsidRPr="00D13792">
        <w:rPr>
          <w:rFonts w:cs="Verdana"/>
          <w:color w:val="000000"/>
          <w:lang w:val="es-CR"/>
        </w:rPr>
        <w:t>.</w:t>
      </w:r>
    </w:p>
    <w:p w14:paraId="7E75BE57"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color w:val="000000"/>
          <w:sz w:val="20"/>
          <w:szCs w:val="20"/>
          <w:lang w:val="es-CR"/>
        </w:rPr>
      </w:pPr>
    </w:p>
    <w:p w14:paraId="0613FC2E"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 xml:space="preserve">Dada su importancia, la obligación de investigar en el presente caso no puede ser ejecutada de </w:t>
      </w:r>
      <w:r w:rsidRPr="00D13792">
        <w:rPr>
          <w:rFonts w:eastAsia="Calibri"/>
          <w:color w:val="000000"/>
          <w:lang w:val="es-CR"/>
        </w:rPr>
        <w:t>cualquier</w:t>
      </w:r>
      <w:r w:rsidRPr="00D13792">
        <w:rPr>
          <w:color w:val="000000"/>
          <w:lang w:val="es-CR"/>
        </w:rPr>
        <w:t xml:space="preserve"> manera, sino que debe realizarse de acuerdo a los estándares establecidos por las normas y la jurisprudencia </w:t>
      </w:r>
      <w:r w:rsidRPr="00D13792">
        <w:rPr>
          <w:rFonts w:cs="Verdana"/>
          <w:color w:val="000000"/>
          <w:lang w:val="es-CR"/>
        </w:rPr>
        <w:t>internacionales</w:t>
      </w:r>
      <w:r w:rsidRPr="00D13792">
        <w:rPr>
          <w:color w:val="000000"/>
          <w:lang w:val="es-CR"/>
        </w:rPr>
        <w:t xml:space="preserve"> que caracterizan a las investigaciones de graves violaciones a los derechos </w:t>
      </w:r>
      <w:r w:rsidRPr="00D13792">
        <w:rPr>
          <w:rFonts w:cs="Arial"/>
          <w:color w:val="000000"/>
          <w:lang w:val="es-CR" w:eastAsia="es-ES"/>
        </w:rPr>
        <w:t>humanos</w:t>
      </w:r>
      <w:r w:rsidRPr="00D13792">
        <w:rPr>
          <w:color w:val="000000"/>
          <w:lang w:val="es-CR"/>
        </w:rPr>
        <w:t xml:space="preserve">, </w:t>
      </w:r>
      <w:r w:rsidRPr="00D13792">
        <w:rPr>
          <w:color w:val="000000"/>
          <w:lang w:val="es-CR" w:eastAsia="es-ES"/>
        </w:rPr>
        <w:t>lo cual supone, en primer término,</w:t>
      </w:r>
      <w:r w:rsidRPr="00D13792">
        <w:rPr>
          <w:color w:val="000000"/>
          <w:lang w:val="es-CR"/>
        </w:rPr>
        <w:t xml:space="preserve"> </w:t>
      </w:r>
      <w:r w:rsidRPr="00D13792">
        <w:rPr>
          <w:rFonts w:eastAsia="Calibri"/>
          <w:color w:val="000000"/>
          <w:lang w:val="es-CR"/>
        </w:rPr>
        <w:t xml:space="preserve">generar un marco normativo interno adecuado y/u organizar el sistema de </w:t>
      </w:r>
      <w:r w:rsidRPr="00D13792">
        <w:rPr>
          <w:rFonts w:eastAsia="Calibri"/>
          <w:color w:val="000000"/>
          <w:lang w:val="es-CR"/>
        </w:rPr>
        <w:lastRenderedPageBreak/>
        <w:t xml:space="preserve">administración de justicia de forma tal que su funcionamiento asegure la realización de investigaciones </w:t>
      </w:r>
      <w:r w:rsidRPr="00D13792">
        <w:rPr>
          <w:rFonts w:eastAsia="Calibri"/>
          <w:i/>
          <w:color w:val="000000"/>
          <w:lang w:val="es-CR"/>
        </w:rPr>
        <w:t xml:space="preserve">ex officio, </w:t>
      </w:r>
      <w:r w:rsidRPr="00D13792">
        <w:rPr>
          <w:rFonts w:eastAsia="Calibri"/>
          <w:color w:val="000000"/>
          <w:lang w:val="es-CR"/>
        </w:rPr>
        <w:t>sin dilación, serias y efectivas</w:t>
      </w:r>
      <w:r w:rsidRPr="00D13792">
        <w:rPr>
          <w:rFonts w:eastAsia="Calibri"/>
          <w:color w:val="000000"/>
          <w:vertAlign w:val="superscript"/>
          <w:lang w:val="es-CR"/>
        </w:rPr>
        <w:footnoteReference w:id="227"/>
      </w:r>
      <w:r w:rsidRPr="00D13792">
        <w:rPr>
          <w:rFonts w:eastAsia="Calibri"/>
          <w:color w:val="000000"/>
          <w:lang w:val="es-CR"/>
        </w:rPr>
        <w:t xml:space="preserve">. </w:t>
      </w:r>
    </w:p>
    <w:p w14:paraId="47BE2BD4" w14:textId="77777777" w:rsidR="006A0E1C" w:rsidRPr="00D13792" w:rsidRDefault="006A0E1C" w:rsidP="006A0E1C">
      <w:pPr>
        <w:pStyle w:val="ListParagraph"/>
        <w:autoSpaceDE w:val="0"/>
        <w:autoSpaceDN w:val="0"/>
        <w:adjustRightInd w:val="0"/>
        <w:spacing w:after="0" w:line="240" w:lineRule="auto"/>
        <w:ind w:left="0"/>
        <w:jc w:val="both"/>
        <w:rPr>
          <w:rFonts w:ascii="Verdana" w:hAnsi="Verdana" w:cs="Arial"/>
          <w:b/>
          <w:i/>
          <w:color w:val="000000"/>
          <w:sz w:val="20"/>
          <w:szCs w:val="20"/>
          <w:lang w:val="es-CR" w:eastAsia="es-ES"/>
        </w:rPr>
      </w:pPr>
    </w:p>
    <w:p w14:paraId="65A449EB"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color w:val="000000"/>
          <w:lang w:val="es-CR"/>
        </w:rPr>
        <w:t>De</w:t>
      </w:r>
      <w:r w:rsidRPr="00D13792">
        <w:rPr>
          <w:rFonts w:eastAsia="Calibri"/>
          <w:color w:val="000000"/>
          <w:lang w:val="es-CR"/>
        </w:rPr>
        <w:t xml:space="preserve"> igual modo, dicho deber impone </w:t>
      </w:r>
      <w:r w:rsidRPr="00D13792">
        <w:rPr>
          <w:rFonts w:eastAsia="Times"/>
          <w:color w:val="000000"/>
          <w:lang w:val="es-CR" w:eastAsia="es-ES"/>
        </w:rPr>
        <w:t xml:space="preserve">la remoción de todo obstáculo </w:t>
      </w:r>
      <w:r w:rsidRPr="00D13792">
        <w:rPr>
          <w:rFonts w:eastAsia="Times"/>
          <w:i/>
          <w:color w:val="000000"/>
          <w:lang w:val="es-CR" w:eastAsia="es-ES"/>
        </w:rPr>
        <w:t xml:space="preserve">de jure </w:t>
      </w:r>
      <w:r w:rsidRPr="00D13792">
        <w:rPr>
          <w:rFonts w:eastAsia="Times"/>
          <w:color w:val="000000"/>
          <w:lang w:val="es-CR" w:eastAsia="es-ES"/>
        </w:rPr>
        <w:t>y</w:t>
      </w:r>
      <w:r w:rsidRPr="00D13792">
        <w:rPr>
          <w:rFonts w:eastAsia="Times"/>
          <w:i/>
          <w:color w:val="000000"/>
          <w:lang w:val="es-CR" w:eastAsia="es-ES"/>
        </w:rPr>
        <w:t xml:space="preserve"> de facto </w:t>
      </w:r>
      <w:r w:rsidRPr="00D13792">
        <w:rPr>
          <w:rFonts w:eastAsia="Times"/>
          <w:color w:val="000000"/>
          <w:lang w:val="es-CR" w:eastAsia="es-ES"/>
        </w:rPr>
        <w:t xml:space="preserve">que impida la investigación y juzgamiento de los hechos y, en su caso, la sanción de todos los responsables de las </w:t>
      </w:r>
      <w:r w:rsidRPr="00D13792">
        <w:rPr>
          <w:rFonts w:eastAsia="Calibri"/>
          <w:color w:val="000000"/>
          <w:lang w:val="es-CR"/>
        </w:rPr>
        <w:t>violaciones</w:t>
      </w:r>
      <w:r w:rsidRPr="00D13792">
        <w:rPr>
          <w:rFonts w:eastAsia="Times"/>
          <w:color w:val="000000"/>
          <w:lang w:val="es-CR" w:eastAsia="es-ES"/>
        </w:rPr>
        <w:t xml:space="preserve"> declaradas, </w:t>
      </w:r>
      <w:r w:rsidRPr="00D13792">
        <w:rPr>
          <w:rFonts w:cs="Verdana"/>
          <w:color w:val="000000"/>
          <w:lang w:val="es-CR"/>
        </w:rPr>
        <w:t>así</w:t>
      </w:r>
      <w:r w:rsidRPr="00D13792">
        <w:rPr>
          <w:rFonts w:eastAsia="Times"/>
          <w:color w:val="000000"/>
          <w:lang w:val="es-CR" w:eastAsia="es-ES"/>
        </w:rPr>
        <w:t xml:space="preserve"> como la </w:t>
      </w:r>
      <w:r w:rsidRPr="00D13792">
        <w:rPr>
          <w:rFonts w:cs="Arial"/>
          <w:color w:val="000000"/>
          <w:lang w:val="es-CR" w:eastAsia="es-ES"/>
        </w:rPr>
        <w:t>búsqueda</w:t>
      </w:r>
      <w:r w:rsidRPr="00D13792">
        <w:rPr>
          <w:rFonts w:eastAsia="Times"/>
          <w:color w:val="000000"/>
          <w:lang w:val="es-CR" w:eastAsia="es-ES"/>
        </w:rPr>
        <w:t xml:space="preserve"> de la verdad.</w:t>
      </w:r>
      <w:r w:rsidRPr="00D13792">
        <w:rPr>
          <w:rFonts w:eastAsia="Times"/>
          <w:color w:val="000000"/>
          <w:lang w:val="es-CR"/>
        </w:rPr>
        <w:t xml:space="preserve"> </w:t>
      </w:r>
      <w:r w:rsidRPr="00D13792">
        <w:rPr>
          <w:rFonts w:cs="Verdana"/>
          <w:color w:val="000000"/>
          <w:lang w:val="es-CR"/>
        </w:rPr>
        <w:t>Por esta razón, en el presente caso, el cual versa sobre graves violaciones de derechos humanos cometidas dentro de un contexto de violaciones masivas y sistemáticas, la obligación de investigar no puede desecharse o condicionarse por actos o disposiciones normativas internas de ninguna índole</w:t>
      </w:r>
      <w:r w:rsidRPr="00D13792">
        <w:rPr>
          <w:rStyle w:val="FootnoteReference"/>
          <w:rFonts w:cs="Verdana"/>
          <w:color w:val="000000"/>
          <w:lang w:val="es-CR"/>
        </w:rPr>
        <w:footnoteReference w:id="228"/>
      </w:r>
      <w:r w:rsidRPr="00D13792">
        <w:rPr>
          <w:rFonts w:cs="Verdana"/>
          <w:color w:val="000000"/>
          <w:lang w:val="es-CR"/>
        </w:rPr>
        <w:t>.</w:t>
      </w:r>
    </w:p>
    <w:p w14:paraId="6AB49768" w14:textId="77777777" w:rsidR="006A0E1C" w:rsidRPr="00D13792" w:rsidRDefault="006A0E1C" w:rsidP="006A0E1C">
      <w:pPr>
        <w:pStyle w:val="ListParagraph"/>
        <w:spacing w:after="0" w:line="240" w:lineRule="auto"/>
        <w:jc w:val="both"/>
        <w:rPr>
          <w:rFonts w:ascii="Verdana" w:eastAsia="Calibri" w:hAnsi="Verdana"/>
          <w:color w:val="000000"/>
          <w:sz w:val="20"/>
          <w:szCs w:val="20"/>
          <w:lang w:val="es-CR"/>
        </w:rPr>
      </w:pPr>
    </w:p>
    <w:p w14:paraId="2D216539" w14:textId="77777777" w:rsidR="006A0E1C" w:rsidRPr="00D13792" w:rsidRDefault="006A0E1C" w:rsidP="006A0E1C">
      <w:pPr>
        <w:pStyle w:val="Prrafodelista2"/>
        <w:numPr>
          <w:ilvl w:val="0"/>
          <w:numId w:val="23"/>
        </w:numPr>
        <w:tabs>
          <w:tab w:val="left" w:pos="720"/>
        </w:tabs>
        <w:ind w:right="-90"/>
        <w:jc w:val="both"/>
        <w:rPr>
          <w:rFonts w:eastAsia="Calibri"/>
          <w:b/>
          <w:bCs/>
          <w:color w:val="000000"/>
          <w:lang w:val="es-CR"/>
        </w:rPr>
      </w:pPr>
      <w:r w:rsidRPr="00D13792">
        <w:rPr>
          <w:rFonts w:cs="Verdana"/>
          <w:color w:val="000000"/>
          <w:lang w:val="es-CR"/>
        </w:rPr>
        <w:t>Además, la Corte considera pertinente señalar que la obligación de investigar, juzgar y, en su caso, sancionar a los responsables de hechos violatorios de los derechos humanos no se deriva solamente de la Convención Americana. En determinadas circunstancias y dependiendo de la naturaleza de los hechos, esta obligación también se desprende de otros instrumentos interamericanos en la materia que establecen la obligación a cargo de los Estados Partes de investigar las conductas prohibidas por tales tratados</w:t>
      </w:r>
      <w:r w:rsidRPr="00D13792">
        <w:rPr>
          <w:rStyle w:val="FootnoteReference"/>
          <w:rFonts w:cs="Verdana"/>
          <w:color w:val="000000"/>
          <w:lang w:val="es-CR"/>
        </w:rPr>
        <w:footnoteReference w:id="229"/>
      </w:r>
      <w:r w:rsidRPr="00D13792">
        <w:rPr>
          <w:rFonts w:cs="Verdana"/>
          <w:color w:val="000000"/>
          <w:lang w:val="es-CR"/>
        </w:rPr>
        <w:t xml:space="preserve">. </w:t>
      </w:r>
      <w:r w:rsidRPr="00D13792">
        <w:rPr>
          <w:rFonts w:eastAsia="Calibri"/>
          <w:color w:val="000000"/>
          <w:lang w:val="es-CR"/>
        </w:rPr>
        <w:t xml:space="preserve">Al respecto, este Tribunal nota que, en este caso, la obligación de investigar a cargo del Estado contraída a partir de la ratificación de la Convención Americana y que se mantiene vigente en la actualidad, </w:t>
      </w:r>
      <w:r w:rsidRPr="00D13792">
        <w:rPr>
          <w:rFonts w:cs="Arial"/>
          <w:color w:val="000000"/>
          <w:lang w:val="es-CR" w:eastAsia="es-ES"/>
        </w:rPr>
        <w:t>fue</w:t>
      </w:r>
      <w:r w:rsidRPr="00D13792">
        <w:rPr>
          <w:rFonts w:eastAsia="Calibri"/>
          <w:color w:val="000000"/>
          <w:lang w:val="es-CR"/>
        </w:rPr>
        <w:t xml:space="preserve"> reafirmada por Guatemala con motivo del depósito del instrumento de ratificación de: i) la Convención Interamericana para Prevenir y Sancionar la Tortura el</w:t>
      </w:r>
      <w:r w:rsidRPr="00D13792">
        <w:rPr>
          <w:rFonts w:cs="Verdana"/>
          <w:color w:val="000000"/>
          <w:lang w:val="es-CR"/>
        </w:rPr>
        <w:t xml:space="preserve"> </w:t>
      </w:r>
      <w:r w:rsidRPr="00D13792">
        <w:rPr>
          <w:color w:val="000000"/>
          <w:lang w:val="es-CR"/>
        </w:rPr>
        <w:t xml:space="preserve">29 de enero </w:t>
      </w:r>
      <w:r w:rsidRPr="00D13792">
        <w:rPr>
          <w:rFonts w:cs="Verdana"/>
          <w:color w:val="000000"/>
          <w:lang w:val="es-CR"/>
        </w:rPr>
        <w:t>de 1987</w:t>
      </w:r>
      <w:r w:rsidRPr="00D13792">
        <w:rPr>
          <w:rFonts w:eastAsia="Calibri"/>
          <w:color w:val="000000"/>
          <w:lang w:val="es-CR"/>
        </w:rPr>
        <w:t>; ii) la Convención de Belém do Pará el 4 de abril de 1995, y iii) la Convención Interamericana sobre Desaparición Forzada de Personas (CIDFP) el 25 de febrero de 2000, por lo que el Estado debía velar por su cumplimiento a partir de esos momentos</w:t>
      </w:r>
      <w:r w:rsidRPr="00D13792">
        <w:rPr>
          <w:rFonts w:eastAsia="Calibri"/>
          <w:color w:val="000000"/>
          <w:vertAlign w:val="superscript"/>
          <w:lang w:val="es-CR"/>
        </w:rPr>
        <w:footnoteReference w:id="230"/>
      </w:r>
      <w:r w:rsidRPr="00D13792">
        <w:rPr>
          <w:rFonts w:eastAsia="Calibri"/>
          <w:color w:val="000000"/>
          <w:lang w:val="es-CR"/>
        </w:rPr>
        <w:t xml:space="preserve">, aun cuando estas no habían sido adoptadas por Guatemala al momento de los hechos del caso. </w:t>
      </w:r>
    </w:p>
    <w:p w14:paraId="7534F985" w14:textId="77777777" w:rsidR="006A0E1C" w:rsidRPr="00D13792" w:rsidRDefault="006A0E1C" w:rsidP="006A0E1C">
      <w:pPr>
        <w:pStyle w:val="ListParagraph"/>
        <w:spacing w:after="0" w:line="240" w:lineRule="auto"/>
        <w:jc w:val="both"/>
        <w:rPr>
          <w:rFonts w:ascii="Verdana" w:eastAsia="Calibri" w:hAnsi="Verdana"/>
          <w:b/>
          <w:bCs/>
          <w:color w:val="000000"/>
          <w:sz w:val="20"/>
          <w:szCs w:val="20"/>
          <w:lang w:val="es-CR"/>
        </w:rPr>
      </w:pPr>
    </w:p>
    <w:p w14:paraId="0C555DE7" w14:textId="77777777" w:rsidR="006A0E1C" w:rsidRPr="00B07943" w:rsidRDefault="006A0E1C" w:rsidP="006A0E1C">
      <w:pPr>
        <w:pStyle w:val="Prrafodelista2"/>
        <w:numPr>
          <w:ilvl w:val="0"/>
          <w:numId w:val="23"/>
        </w:numPr>
        <w:tabs>
          <w:tab w:val="left" w:pos="720"/>
        </w:tabs>
        <w:ind w:right="-90"/>
        <w:jc w:val="both"/>
        <w:rPr>
          <w:color w:val="000000"/>
          <w:lang w:val="es-CR"/>
        </w:rPr>
      </w:pPr>
      <w:r w:rsidRPr="00B07943">
        <w:rPr>
          <w:color w:val="000000"/>
          <w:spacing w:val="-3"/>
          <w:lang w:val="es-CR"/>
        </w:rPr>
        <w:t>Además, debido a que en el presente caso algunas personas fueron obligadas a trabajar contra su voluntad (</w:t>
      </w:r>
      <w:r w:rsidRPr="00B07943">
        <w:rPr>
          <w:i/>
          <w:color w:val="000000"/>
          <w:spacing w:val="-3"/>
          <w:lang w:val="es-CR"/>
        </w:rPr>
        <w:t xml:space="preserve">supra </w:t>
      </w:r>
      <w:r w:rsidRPr="00B07943">
        <w:rPr>
          <w:color w:val="000000"/>
          <w:spacing w:val="-3"/>
          <w:lang w:val="es-CR"/>
        </w:rPr>
        <w:t xml:space="preserve">párrs. 97 y 116), la Corte recuerda que la protección contra la esclavitud y servidumbre es una obligación internacional </w:t>
      </w:r>
      <w:r w:rsidRPr="00B07943">
        <w:rPr>
          <w:i/>
          <w:iCs/>
          <w:color w:val="000000"/>
          <w:spacing w:val="-3"/>
          <w:lang w:val="es-CR"/>
        </w:rPr>
        <w:t xml:space="preserve">erga omnes, </w:t>
      </w:r>
      <w:r w:rsidRPr="00B07943">
        <w:rPr>
          <w:color w:val="000000"/>
          <w:spacing w:val="-3"/>
          <w:lang w:val="es-CR"/>
        </w:rPr>
        <w:t xml:space="preserve">constitutiva de delito internacional y de carácter imprescriptible, </w:t>
      </w:r>
      <w:r w:rsidRPr="00B07943">
        <w:rPr>
          <w:rFonts w:cs="Arial"/>
          <w:iCs/>
          <w:lang w:val="es-CR"/>
        </w:rPr>
        <w:t xml:space="preserve">cuya prohibición alcanzó el estatus de </w:t>
      </w:r>
      <w:r w:rsidRPr="00B07943">
        <w:rPr>
          <w:rFonts w:cs="Arial"/>
          <w:i/>
          <w:iCs/>
          <w:lang w:val="es-CR"/>
        </w:rPr>
        <w:t>jus cogens</w:t>
      </w:r>
      <w:r w:rsidRPr="00D13792">
        <w:rPr>
          <w:rStyle w:val="FootnoteReference"/>
          <w:color w:val="000000"/>
          <w:spacing w:val="-3"/>
          <w:lang w:val="es-CR"/>
        </w:rPr>
        <w:footnoteReference w:id="231"/>
      </w:r>
      <w:r w:rsidRPr="00B07943">
        <w:rPr>
          <w:color w:val="000000"/>
          <w:spacing w:val="-3"/>
          <w:lang w:val="es-CR"/>
        </w:rPr>
        <w:t xml:space="preserve">. Por estos motivos, cuando </w:t>
      </w:r>
      <w:r w:rsidRPr="00B07943">
        <w:rPr>
          <w:rFonts w:cs="Verdana"/>
          <w:color w:val="000000"/>
          <w:lang w:val="es-CR"/>
        </w:rPr>
        <w:t>los</w:t>
      </w:r>
      <w:r w:rsidRPr="00B07943">
        <w:rPr>
          <w:color w:val="000000"/>
          <w:spacing w:val="-3"/>
          <w:lang w:val="es-CR"/>
        </w:rPr>
        <w:t xml:space="preserve"> Estados tengan conocimiento de un acto que pudiese ser constitutivo de esclavitud o servidumbre, en los términos de lo dispuesto por el artículo 6 de la Convención Americana, deben iniciar </w:t>
      </w:r>
      <w:r w:rsidRPr="00B07943">
        <w:rPr>
          <w:i/>
          <w:color w:val="000000"/>
          <w:spacing w:val="-3"/>
          <w:lang w:val="es-CR"/>
        </w:rPr>
        <w:t>ex officio</w:t>
      </w:r>
      <w:r w:rsidRPr="00B07943">
        <w:rPr>
          <w:color w:val="000000"/>
          <w:spacing w:val="-3"/>
          <w:lang w:val="es-CR"/>
        </w:rPr>
        <w:t xml:space="preserve"> la investigación pertinente a efecto</w:t>
      </w:r>
      <w:r>
        <w:rPr>
          <w:color w:val="000000"/>
          <w:spacing w:val="-3"/>
          <w:lang w:val="es-CR"/>
        </w:rPr>
        <w:t>s</w:t>
      </w:r>
      <w:r w:rsidRPr="00B07943">
        <w:rPr>
          <w:color w:val="000000"/>
          <w:spacing w:val="-3"/>
          <w:lang w:val="es-CR"/>
        </w:rPr>
        <w:t xml:space="preserve"> de establecer las responsabilidades individuales que correspondan</w:t>
      </w:r>
      <w:r w:rsidRPr="00D13792">
        <w:rPr>
          <w:rStyle w:val="FootnoteReference"/>
          <w:color w:val="000000"/>
          <w:spacing w:val="-3"/>
          <w:lang w:val="es-CR"/>
        </w:rPr>
        <w:footnoteReference w:id="232"/>
      </w:r>
      <w:r w:rsidRPr="00B07943">
        <w:rPr>
          <w:color w:val="000000"/>
          <w:spacing w:val="-3"/>
          <w:lang w:val="es-CR"/>
        </w:rPr>
        <w:t xml:space="preserve">. </w:t>
      </w:r>
    </w:p>
    <w:p w14:paraId="420020B0" w14:textId="77777777" w:rsidR="006A0E1C" w:rsidRPr="00B07943" w:rsidRDefault="006A0E1C" w:rsidP="006A0E1C">
      <w:pPr>
        <w:pStyle w:val="Prrafodelista2"/>
        <w:tabs>
          <w:tab w:val="left" w:pos="720"/>
        </w:tabs>
        <w:ind w:left="0" w:right="-90"/>
        <w:jc w:val="both"/>
        <w:rPr>
          <w:rFonts w:eastAsia="Calibri"/>
          <w:color w:val="000000"/>
          <w:lang w:val="es-CR"/>
        </w:rPr>
      </w:pPr>
    </w:p>
    <w:p w14:paraId="19F2DB81" w14:textId="77777777" w:rsidR="006A0E1C" w:rsidRPr="00605BAC" w:rsidRDefault="006A0E1C" w:rsidP="006A0E1C">
      <w:pPr>
        <w:pStyle w:val="Prrafodelista2"/>
        <w:numPr>
          <w:ilvl w:val="0"/>
          <w:numId w:val="23"/>
        </w:numPr>
        <w:tabs>
          <w:tab w:val="left" w:pos="720"/>
        </w:tabs>
        <w:ind w:right="-90"/>
        <w:jc w:val="both"/>
        <w:rPr>
          <w:rFonts w:eastAsia="Calibri"/>
          <w:color w:val="000000"/>
        </w:rPr>
      </w:pPr>
      <w:r w:rsidRPr="00605BAC">
        <w:rPr>
          <w:rFonts w:eastAsia="Calibri"/>
          <w:color w:val="000000"/>
          <w:lang w:val="es-CR"/>
        </w:rPr>
        <w:t xml:space="preserve">Como se ha </w:t>
      </w:r>
      <w:r w:rsidRPr="00605BAC">
        <w:rPr>
          <w:color w:val="000000"/>
          <w:spacing w:val="-3"/>
          <w:lang w:val="es-CR"/>
        </w:rPr>
        <w:t>señalado</w:t>
      </w:r>
      <w:r w:rsidRPr="00605BAC">
        <w:rPr>
          <w:rFonts w:eastAsia="Calibri"/>
          <w:color w:val="000000"/>
          <w:lang w:val="es-CR"/>
        </w:rPr>
        <w:t xml:space="preserve"> (</w:t>
      </w:r>
      <w:r w:rsidRPr="00605BAC">
        <w:rPr>
          <w:rFonts w:eastAsia="Calibri"/>
          <w:i/>
          <w:color w:val="000000"/>
          <w:lang w:val="es-CR"/>
        </w:rPr>
        <w:t xml:space="preserve">supra </w:t>
      </w:r>
      <w:r w:rsidRPr="00605BAC">
        <w:rPr>
          <w:rFonts w:eastAsia="Calibri"/>
          <w:color w:val="000000"/>
          <w:lang w:val="es-CR"/>
        </w:rPr>
        <w:t xml:space="preserve">párrs. 121 y 122), consta en el acervo probatorio que en este caso se abrieron, por un lado, una investigación ante la Unidad de Casos Especiales y Violaciones a los Derechos Humanos del Ministerio Público y otra ante el Procurador de los Derechos Humanos en relación con la masacre de 8 de enero de 1982 y, por otro lado, nueve expedientes relacionados con los hechos del caso cometidos antes y después de dicha masacre. </w:t>
      </w:r>
    </w:p>
    <w:p w14:paraId="14DB95FE" w14:textId="77777777" w:rsidR="006A0E1C" w:rsidRPr="00D13792" w:rsidRDefault="006A0E1C" w:rsidP="006A0E1C">
      <w:pPr>
        <w:pStyle w:val="Prrafodelista2"/>
        <w:tabs>
          <w:tab w:val="left" w:pos="720"/>
        </w:tabs>
        <w:ind w:left="0" w:right="-90"/>
        <w:jc w:val="both"/>
        <w:rPr>
          <w:rFonts w:eastAsia="Calibri"/>
          <w:color w:val="000000"/>
          <w:lang w:val="es-CR"/>
        </w:rPr>
      </w:pPr>
      <w:r w:rsidRPr="00D13792">
        <w:rPr>
          <w:rFonts w:eastAsia="Calibri"/>
          <w:color w:val="000000"/>
          <w:lang w:val="es-CR"/>
        </w:rPr>
        <w:t xml:space="preserve">A continuación, el Tribunal constatará lo pertinente en torno a estas investigaciones, a la luz de los estándares expuestos. </w:t>
      </w:r>
    </w:p>
    <w:p w14:paraId="4715F89B" w14:textId="77777777" w:rsidR="006A0E1C" w:rsidRDefault="006A0E1C" w:rsidP="006A0E1C">
      <w:pPr>
        <w:widowControl/>
        <w:adjustRightInd/>
        <w:spacing w:line="240" w:lineRule="auto"/>
        <w:textAlignment w:val="auto"/>
        <w:rPr>
          <w:rFonts w:eastAsia="Calibri"/>
          <w:color w:val="000000"/>
          <w:sz w:val="20"/>
          <w:szCs w:val="20"/>
          <w:lang w:eastAsia="es-MX"/>
        </w:rPr>
      </w:pPr>
      <w:r>
        <w:rPr>
          <w:rFonts w:eastAsia="Calibri"/>
          <w:color w:val="000000"/>
          <w:sz w:val="20"/>
          <w:szCs w:val="20"/>
        </w:rPr>
        <w:br w:type="page"/>
      </w:r>
    </w:p>
    <w:p w14:paraId="30EF2927"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color w:val="000000"/>
          <w:sz w:val="20"/>
          <w:szCs w:val="20"/>
          <w:lang w:val="es-CR"/>
        </w:rPr>
      </w:pPr>
    </w:p>
    <w:p w14:paraId="620A84A6" w14:textId="77777777" w:rsidR="006A0E1C" w:rsidRPr="00D13792" w:rsidRDefault="006A0E1C" w:rsidP="006A0E1C">
      <w:pPr>
        <w:pStyle w:val="Heading3"/>
        <w:ind w:left="0"/>
        <w:rPr>
          <w:i/>
          <w:lang w:val="es-CR"/>
        </w:rPr>
      </w:pPr>
      <w:bookmarkStart w:id="232" w:name="_Toc460938891"/>
      <w:bookmarkStart w:id="233" w:name="_Toc469670058"/>
      <w:r w:rsidRPr="00D13792">
        <w:rPr>
          <w:i/>
          <w:lang w:val="es-CR"/>
        </w:rPr>
        <w:t>B.1. Falta de debida diligencia y obstaculización</w:t>
      </w:r>
      <w:bookmarkEnd w:id="232"/>
      <w:bookmarkEnd w:id="233"/>
      <w:r w:rsidRPr="00D13792">
        <w:rPr>
          <w:i/>
          <w:lang w:val="es-CR"/>
        </w:rPr>
        <w:t xml:space="preserve"> </w:t>
      </w:r>
    </w:p>
    <w:p w14:paraId="488FB915" w14:textId="77777777" w:rsidR="006A0E1C" w:rsidRPr="00D13792" w:rsidRDefault="006A0E1C" w:rsidP="006A0E1C">
      <w:pPr>
        <w:pStyle w:val="ListParagraph"/>
        <w:spacing w:after="0" w:line="240" w:lineRule="auto"/>
        <w:ind w:left="0"/>
        <w:jc w:val="both"/>
        <w:rPr>
          <w:rFonts w:ascii="Verdana" w:eastAsia="Calibri" w:hAnsi="Verdana"/>
          <w:b/>
          <w:i/>
          <w:color w:val="000000"/>
          <w:sz w:val="20"/>
          <w:szCs w:val="20"/>
          <w:lang w:val="es-CR"/>
        </w:rPr>
      </w:pPr>
    </w:p>
    <w:p w14:paraId="4CBC403B" w14:textId="77777777" w:rsidR="006A0E1C" w:rsidRPr="00D13792" w:rsidRDefault="006A0E1C" w:rsidP="006A0E1C">
      <w:pPr>
        <w:autoSpaceDE w:val="0"/>
        <w:autoSpaceDN w:val="0"/>
        <w:spacing w:line="240" w:lineRule="auto"/>
        <w:rPr>
          <w:rFonts w:eastAsia="Calibri"/>
          <w:b/>
          <w:i/>
          <w:color w:val="000000"/>
          <w:sz w:val="20"/>
          <w:szCs w:val="20"/>
        </w:rPr>
      </w:pPr>
      <w:r w:rsidRPr="00D13792">
        <w:rPr>
          <w:rFonts w:eastAsia="Calibri"/>
          <w:b/>
          <w:i/>
          <w:color w:val="000000"/>
          <w:sz w:val="20"/>
          <w:szCs w:val="20"/>
        </w:rPr>
        <w:t>B.1.1. Expediente No. 001-2005-95839, abierto en relación con la masacre de 8 de enero de 1982</w:t>
      </w:r>
    </w:p>
    <w:p w14:paraId="6CF8FCF6"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color w:val="000000"/>
          <w:sz w:val="20"/>
          <w:szCs w:val="20"/>
          <w:lang w:val="es-CR"/>
        </w:rPr>
      </w:pPr>
    </w:p>
    <w:p w14:paraId="270D47EE"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rFonts w:eastAsia="Calibri"/>
          <w:color w:val="000000"/>
          <w:lang w:val="es-CR"/>
        </w:rPr>
        <w:t>A partir de una evaluación del Expediente No. 001-2005-95839 ante la Unidad de Casos Especiales y Violaciones a los Derechos Humanos del Ministerio Público, abierto en el año 1993 a raíz de una denuncia interpuesta en relación con la masacre de 8 de enero de 1982</w:t>
      </w:r>
      <w:r w:rsidRPr="00D13792">
        <w:rPr>
          <w:rStyle w:val="FootnoteReference"/>
          <w:rFonts w:cs="Arial"/>
          <w:lang w:val="es-CR"/>
        </w:rPr>
        <w:footnoteReference w:id="233"/>
      </w:r>
      <w:r w:rsidRPr="00D13792">
        <w:rPr>
          <w:rFonts w:eastAsia="Calibri"/>
          <w:color w:val="000000"/>
          <w:lang w:val="es-CR"/>
        </w:rPr>
        <w:t>, el Tribunal constató lo siguiente.</w:t>
      </w:r>
    </w:p>
    <w:p w14:paraId="438D31EE"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color w:val="000000"/>
          <w:sz w:val="20"/>
          <w:szCs w:val="20"/>
          <w:lang w:val="es-CR"/>
        </w:rPr>
      </w:pPr>
    </w:p>
    <w:p w14:paraId="1AC14158" w14:textId="77777777" w:rsidR="006A0E1C" w:rsidRPr="00D13792" w:rsidRDefault="006A0E1C" w:rsidP="006A0E1C">
      <w:pPr>
        <w:autoSpaceDE w:val="0"/>
        <w:autoSpaceDN w:val="0"/>
        <w:spacing w:line="240" w:lineRule="auto"/>
        <w:rPr>
          <w:rFonts w:eastAsia="Calibri"/>
          <w:i/>
          <w:color w:val="000000"/>
          <w:sz w:val="20"/>
          <w:szCs w:val="20"/>
        </w:rPr>
      </w:pPr>
      <w:r w:rsidRPr="00D13792">
        <w:rPr>
          <w:rFonts w:eastAsia="Calibri"/>
          <w:i/>
          <w:color w:val="000000"/>
          <w:sz w:val="20"/>
          <w:szCs w:val="20"/>
        </w:rPr>
        <w:t xml:space="preserve">B.1.1.1. Falta de actividad investigativa seria y oportuna </w:t>
      </w:r>
    </w:p>
    <w:p w14:paraId="02F48432" w14:textId="77777777" w:rsidR="006A0E1C" w:rsidRPr="00D13792" w:rsidRDefault="006A0E1C" w:rsidP="006A0E1C">
      <w:pPr>
        <w:pStyle w:val="ListParagraph"/>
        <w:autoSpaceDE w:val="0"/>
        <w:autoSpaceDN w:val="0"/>
        <w:adjustRightInd w:val="0"/>
        <w:spacing w:after="0" w:line="240" w:lineRule="auto"/>
        <w:ind w:left="1440"/>
        <w:jc w:val="both"/>
        <w:rPr>
          <w:rFonts w:ascii="Verdana" w:eastAsia="Calibri" w:hAnsi="Verdana"/>
          <w:i/>
          <w:color w:val="000000"/>
          <w:sz w:val="20"/>
          <w:szCs w:val="20"/>
          <w:lang w:val="es-CR"/>
        </w:rPr>
      </w:pPr>
      <w:r w:rsidRPr="00D13792">
        <w:rPr>
          <w:rFonts w:ascii="Verdana" w:eastAsia="Calibri" w:hAnsi="Verdana"/>
          <w:i/>
          <w:color w:val="000000"/>
          <w:sz w:val="20"/>
          <w:szCs w:val="20"/>
          <w:lang w:val="es-CR"/>
        </w:rPr>
        <w:t xml:space="preserve"> </w:t>
      </w:r>
    </w:p>
    <w:p w14:paraId="7980209E"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color w:val="000000"/>
          <w:lang w:val="es-CR"/>
        </w:rPr>
        <w:t xml:space="preserve">Si bien se constata cierta actividad investigativa de las autoridades encargadas, no se agotaron todas las medidas que debían realizarse a fin de esclarecer los hechos e identificar a los posibles autores de </w:t>
      </w:r>
      <w:r w:rsidRPr="00D13792">
        <w:rPr>
          <w:rFonts w:eastAsia="Calibri"/>
          <w:color w:val="000000"/>
          <w:lang w:val="es-CR"/>
        </w:rPr>
        <w:t>los</w:t>
      </w:r>
      <w:r w:rsidRPr="00D13792">
        <w:rPr>
          <w:color w:val="000000"/>
          <w:lang w:val="es-CR"/>
        </w:rPr>
        <w:t xml:space="preserve"> mismos, y varias de las diligencias realizadas se debieron al impulso procesal de los familiares de las víctimas. Asimismo, el Tribunal ha constatado que en diversas ocasiones cesó la actividad investigativa durante largos períodos de tiempo o se registraron demoras en la realización de las diligencias. </w:t>
      </w:r>
    </w:p>
    <w:p w14:paraId="43703EEB" w14:textId="77777777" w:rsidR="006A0E1C" w:rsidRPr="00D13792" w:rsidRDefault="006A0E1C" w:rsidP="006A0E1C">
      <w:pPr>
        <w:pStyle w:val="ListParagraph"/>
        <w:spacing w:after="0" w:line="240" w:lineRule="auto"/>
        <w:jc w:val="both"/>
        <w:rPr>
          <w:rFonts w:ascii="Verdana" w:hAnsi="Verdana"/>
          <w:color w:val="000000"/>
          <w:sz w:val="20"/>
          <w:szCs w:val="20"/>
          <w:lang w:val="es-CR"/>
        </w:rPr>
      </w:pPr>
    </w:p>
    <w:p w14:paraId="442A8EF8"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color w:val="000000"/>
          <w:lang w:val="es-CR"/>
        </w:rPr>
        <w:t xml:space="preserve">En este sentido, el Tribunal destaca, en primer lugar, que el 10 de agosto de 1993 el Médico Forense Departamental entregó al Juzgado de Primera </w:t>
      </w:r>
      <w:r w:rsidRPr="00D13792">
        <w:rPr>
          <w:rFonts w:eastAsia="Calibri"/>
          <w:color w:val="000000"/>
          <w:lang w:val="es-CR"/>
        </w:rPr>
        <w:t xml:space="preserve">Instancia </w:t>
      </w:r>
      <w:r w:rsidRPr="00D13792">
        <w:rPr>
          <w:rFonts w:cs="Arial"/>
          <w:color w:val="000000"/>
          <w:lang w:val="es-CR"/>
        </w:rPr>
        <w:t>Penal, Narcoactividad y Delitos contra el Ambiente de Salamá</w:t>
      </w:r>
      <w:r w:rsidRPr="00D13792">
        <w:rPr>
          <w:color w:val="000000"/>
          <w:lang w:val="es-CR"/>
        </w:rPr>
        <w:t>, una caja con objetos asociados a los restos óseos exhumados ese año</w:t>
      </w:r>
      <w:r w:rsidRPr="00D13792">
        <w:rPr>
          <w:rStyle w:val="FootnoteReference"/>
          <w:rFonts w:cs="Arial"/>
          <w:lang w:val="es-CR"/>
        </w:rPr>
        <w:footnoteReference w:id="234"/>
      </w:r>
      <w:r w:rsidRPr="00D13792">
        <w:rPr>
          <w:color w:val="000000"/>
          <w:lang w:val="es-CR"/>
        </w:rPr>
        <w:t>. Sin embargo, no se registra actividad alguna de seguimiento sino hasta el 5 de febrero de 1998, cuando el Juez de Primera Instancia solicitó al Juez de Paz de Rabinal, quien había sido comisionado para practicar la diligencia de exhumación, que informara sobre las actuaciones realizadas</w:t>
      </w:r>
      <w:r w:rsidRPr="00D13792">
        <w:rPr>
          <w:rStyle w:val="FootnoteReference"/>
          <w:rFonts w:cs="Arial"/>
          <w:lang w:val="es-CR"/>
        </w:rPr>
        <w:footnoteReference w:id="235"/>
      </w:r>
      <w:r w:rsidRPr="00D13792">
        <w:rPr>
          <w:color w:val="000000"/>
          <w:lang w:val="es-CR"/>
        </w:rPr>
        <w:t>. Luego de aproximadamente cuatro años y medio, esta última acción se realizó por el impuso procesal de los familiares de las víctimas, quienes solicitaron en diciembre de 1997 que se continuara la investigación</w:t>
      </w:r>
      <w:r w:rsidRPr="00D13792">
        <w:rPr>
          <w:rStyle w:val="FootnoteReference"/>
          <w:rFonts w:cs="Arial"/>
          <w:lang w:val="es-CR"/>
        </w:rPr>
        <w:footnoteReference w:id="236"/>
      </w:r>
      <w:r w:rsidRPr="00D13792">
        <w:rPr>
          <w:color w:val="000000"/>
          <w:lang w:val="es-CR"/>
        </w:rPr>
        <w:t xml:space="preserve"> y en enero de 1998 que se solicitara al Juez de Paz el expediente en el que se practicó la exhumación</w:t>
      </w:r>
      <w:r w:rsidRPr="00D13792">
        <w:rPr>
          <w:rStyle w:val="FootnoteReference"/>
          <w:rFonts w:cs="Arial"/>
          <w:lang w:val="es-CR"/>
        </w:rPr>
        <w:footnoteReference w:id="237"/>
      </w:r>
      <w:r w:rsidRPr="00D13792">
        <w:rPr>
          <w:color w:val="000000"/>
          <w:lang w:val="es-CR"/>
        </w:rPr>
        <w:t>.</w:t>
      </w:r>
      <w:r w:rsidRPr="00D13792">
        <w:rPr>
          <w:rFonts w:eastAsia="Calibri"/>
          <w:b/>
          <w:color w:val="000000"/>
          <w:lang w:val="es-CR"/>
        </w:rPr>
        <w:t xml:space="preserve"> </w:t>
      </w:r>
    </w:p>
    <w:p w14:paraId="2FBB9284" w14:textId="77777777" w:rsidR="006A0E1C" w:rsidRPr="00D13792" w:rsidRDefault="006A0E1C" w:rsidP="006A0E1C">
      <w:pPr>
        <w:pStyle w:val="ListParagraph"/>
        <w:spacing w:after="0" w:line="240" w:lineRule="auto"/>
        <w:jc w:val="both"/>
        <w:rPr>
          <w:rFonts w:ascii="Verdana" w:eastAsia="Calibri" w:hAnsi="Verdana"/>
          <w:b/>
          <w:color w:val="000000"/>
          <w:sz w:val="20"/>
          <w:szCs w:val="20"/>
          <w:lang w:val="es-CR"/>
        </w:rPr>
      </w:pPr>
    </w:p>
    <w:p w14:paraId="49F0A44D"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rFonts w:eastAsia="Calibri"/>
          <w:color w:val="000000"/>
          <w:lang w:val="es-CR"/>
        </w:rPr>
        <w:t xml:space="preserve">En segundo lugar, el Tribunal advierte que solo fueron identificadas siete personas de un </w:t>
      </w:r>
      <w:r w:rsidRPr="00D13792">
        <w:rPr>
          <w:rFonts w:cs="Arial"/>
          <w:lang w:val="es-CR"/>
        </w:rPr>
        <w:t>número mínimo de 31 individuos</w:t>
      </w:r>
      <w:r w:rsidRPr="00D13792">
        <w:rPr>
          <w:rFonts w:eastAsia="Calibri"/>
          <w:color w:val="000000"/>
          <w:lang w:val="es-CR"/>
        </w:rPr>
        <w:t>, cuyos restos fueron exhumados en mayo de 1993 (</w:t>
      </w:r>
      <w:r w:rsidRPr="00D13792">
        <w:rPr>
          <w:rFonts w:eastAsia="Calibri"/>
          <w:i/>
          <w:color w:val="000000"/>
          <w:lang w:val="es-CR"/>
        </w:rPr>
        <w:t xml:space="preserve">supra </w:t>
      </w:r>
      <w:r w:rsidRPr="00D13792">
        <w:rPr>
          <w:rFonts w:eastAsia="Calibri"/>
          <w:color w:val="000000"/>
          <w:lang w:val="es-CR"/>
        </w:rPr>
        <w:t>párrs. 91 y 105)</w:t>
      </w:r>
      <w:r w:rsidRPr="00D13792">
        <w:rPr>
          <w:rStyle w:val="FootnoteReference"/>
          <w:rFonts w:cs="Arial"/>
          <w:lang w:val="es-CR"/>
        </w:rPr>
        <w:footnoteReference w:id="238"/>
      </w:r>
      <w:r w:rsidRPr="00D13792">
        <w:rPr>
          <w:rFonts w:eastAsia="Calibri"/>
          <w:color w:val="000000"/>
          <w:lang w:val="es-CR"/>
        </w:rPr>
        <w:t xml:space="preserve">. No se desprende del expediente que se haya realizado </w:t>
      </w:r>
      <w:r w:rsidRPr="00D13792">
        <w:rPr>
          <w:color w:val="000000"/>
          <w:lang w:val="es-CR"/>
        </w:rPr>
        <w:t>alguna</w:t>
      </w:r>
      <w:r w:rsidRPr="00D13792">
        <w:rPr>
          <w:rFonts w:eastAsia="Calibri"/>
          <w:color w:val="000000"/>
          <w:lang w:val="es-CR"/>
        </w:rPr>
        <w:t xml:space="preserve"> actividad posterior dirigida a identificar a las personas restantes. En cuanto a este punto, la Corte</w:t>
      </w:r>
      <w:r w:rsidRPr="00D13792">
        <w:rPr>
          <w:rFonts w:cs="Verdana"/>
          <w:color w:val="000000"/>
          <w:lang w:val="es-CR"/>
        </w:rPr>
        <w:t xml:space="preserve"> ha señalado que, en </w:t>
      </w:r>
      <w:r w:rsidRPr="00D13792">
        <w:rPr>
          <w:color w:val="000000"/>
          <w:lang w:val="es-CR"/>
        </w:rPr>
        <w:t xml:space="preserve">casos de graves violaciones de derechos humanos, como las de </w:t>
      </w:r>
      <w:r w:rsidRPr="00D13792">
        <w:rPr>
          <w:rFonts w:eastAsia="Calibri"/>
          <w:color w:val="000000"/>
          <w:lang w:val="es-CR"/>
        </w:rPr>
        <w:t>este</w:t>
      </w:r>
      <w:r w:rsidRPr="00D13792">
        <w:rPr>
          <w:color w:val="000000"/>
          <w:lang w:val="es-CR"/>
        </w:rPr>
        <w:t xml:space="preserve"> caso, la exhumación e identificación de las víctimas fallecidas forma parte de la obligación de investigar a cargo del Estado. Por lo tanto, se trata de un deber que debe ser realizado </w:t>
      </w:r>
      <w:r w:rsidRPr="00D13792">
        <w:rPr>
          <w:i/>
          <w:color w:val="000000"/>
          <w:lang w:val="es-CR"/>
        </w:rPr>
        <w:t>ex officio,</w:t>
      </w:r>
      <w:r w:rsidRPr="00D13792">
        <w:rPr>
          <w:color w:val="000000"/>
          <w:lang w:val="es-CR"/>
        </w:rPr>
        <w:t xml:space="preserve"> ya que “dentro del deber de investigar subsiste el derecho de los familiares de la víctima a conocer cuál </w:t>
      </w:r>
      <w:r w:rsidRPr="00D13792">
        <w:rPr>
          <w:color w:val="000000"/>
          <w:lang w:val="es-CR"/>
        </w:rPr>
        <w:lastRenderedPageBreak/>
        <w:t>fue el destino de esta y, en su caso, dónde se encuentran sus restos”</w:t>
      </w:r>
      <w:r w:rsidRPr="00D13792">
        <w:rPr>
          <w:rStyle w:val="FootnoteReference"/>
          <w:color w:val="000000"/>
          <w:lang w:val="es-CR"/>
        </w:rPr>
        <w:footnoteReference w:id="239"/>
      </w:r>
      <w:r w:rsidRPr="00D13792">
        <w:rPr>
          <w:color w:val="000000"/>
          <w:lang w:val="es-CR"/>
        </w:rPr>
        <w:t>. En esa medida, corresponde al Estado satisfacer esas justas expectativas con los medios a su alcance.</w:t>
      </w:r>
    </w:p>
    <w:p w14:paraId="2FDBE95A" w14:textId="77777777" w:rsidR="006A0E1C" w:rsidRPr="00D13792" w:rsidRDefault="006A0E1C" w:rsidP="006A0E1C">
      <w:pPr>
        <w:pStyle w:val="ListParagraph"/>
        <w:spacing w:after="0" w:line="240" w:lineRule="auto"/>
        <w:jc w:val="both"/>
        <w:rPr>
          <w:rFonts w:ascii="Verdana" w:hAnsi="Verdana"/>
          <w:color w:val="000000"/>
          <w:sz w:val="20"/>
          <w:szCs w:val="20"/>
          <w:lang w:val="es-CR"/>
        </w:rPr>
      </w:pPr>
    </w:p>
    <w:p w14:paraId="2293F132"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color w:val="000000"/>
          <w:lang w:val="es-CR"/>
        </w:rPr>
        <w:t>En tercer lugar, en diciembre de 1997</w:t>
      </w:r>
      <w:r w:rsidRPr="00D13792">
        <w:rPr>
          <w:rStyle w:val="FootnoteReference"/>
          <w:color w:val="000000"/>
          <w:lang w:val="es-CR"/>
        </w:rPr>
        <w:footnoteReference w:id="240"/>
      </w:r>
      <w:r w:rsidRPr="00D13792">
        <w:rPr>
          <w:color w:val="000000"/>
          <w:lang w:val="es-CR"/>
        </w:rPr>
        <w:t>, así como abril</w:t>
      </w:r>
      <w:r w:rsidRPr="00D13792">
        <w:rPr>
          <w:rStyle w:val="FootnoteReference"/>
          <w:rFonts w:cs="Arial"/>
          <w:lang w:val="es-CR"/>
        </w:rPr>
        <w:footnoteReference w:id="241"/>
      </w:r>
      <w:r w:rsidRPr="00D13792">
        <w:rPr>
          <w:color w:val="000000"/>
          <w:lang w:val="es-CR"/>
        </w:rPr>
        <w:t xml:space="preserve"> y junio de 1999</w:t>
      </w:r>
      <w:r w:rsidRPr="00D13792">
        <w:rPr>
          <w:rStyle w:val="FootnoteReference"/>
          <w:rFonts w:cs="Arial"/>
          <w:lang w:val="es-CR"/>
        </w:rPr>
        <w:footnoteReference w:id="242"/>
      </w:r>
      <w:r w:rsidRPr="00D13792">
        <w:rPr>
          <w:color w:val="000000"/>
          <w:lang w:val="es-CR"/>
        </w:rPr>
        <w:t xml:space="preserve"> la Fiscalía Distrital </w:t>
      </w:r>
      <w:r w:rsidRPr="00D13792">
        <w:rPr>
          <w:rFonts w:cs="Arial"/>
          <w:lang w:val="es-CR"/>
        </w:rPr>
        <w:t>del Ministerio Público de Salamá</w:t>
      </w:r>
      <w:r w:rsidRPr="00D13792">
        <w:rPr>
          <w:color w:val="000000"/>
          <w:lang w:val="es-CR"/>
        </w:rPr>
        <w:t xml:space="preserve"> recibió, a través de las declaraciones de al menos tres </w:t>
      </w:r>
      <w:r w:rsidRPr="00D13792">
        <w:rPr>
          <w:rFonts w:eastAsia="Calibri"/>
          <w:color w:val="000000"/>
          <w:lang w:val="es-CR"/>
        </w:rPr>
        <w:t>personas</w:t>
      </w:r>
      <w:r w:rsidRPr="00D13792">
        <w:rPr>
          <w:color w:val="000000"/>
          <w:lang w:val="es-CR"/>
        </w:rPr>
        <w:t>, los nombres de al menos 18 de los presuntos responsables de la masacre. Los declarantes solicitaron la aprehensión de estos en abril y junio de 1999, denunciaron que seguían robando, violando a mujeres y amenazando a los pobladores (</w:t>
      </w:r>
      <w:r w:rsidRPr="00D13792">
        <w:rPr>
          <w:i/>
          <w:color w:val="000000"/>
          <w:lang w:val="es-CR"/>
        </w:rPr>
        <w:t>supra</w:t>
      </w:r>
      <w:r w:rsidRPr="00D13792">
        <w:rPr>
          <w:color w:val="000000"/>
          <w:lang w:val="es-CR"/>
        </w:rPr>
        <w:t xml:space="preserve"> párrs. 98 y 183), y también aportaron las direcciones donde dichas personas podrían ser localizadas. Si bien en junio de 2000, es decir, un año después, el Auxiliar Fiscal solicitó </w:t>
      </w:r>
      <w:r w:rsidRPr="00D13792">
        <w:rPr>
          <w:rFonts w:cs="Arial"/>
          <w:lang w:val="es-CR"/>
        </w:rPr>
        <w:t xml:space="preserve">al Jefe del Departamento de Cédulas de Vecindad de Rabinal, </w:t>
      </w:r>
      <w:r w:rsidRPr="00D13792">
        <w:rPr>
          <w:color w:val="000000"/>
          <w:lang w:val="es-CR"/>
        </w:rPr>
        <w:t>las cédulas de 14 de las personas señaladas</w:t>
      </w:r>
      <w:r w:rsidRPr="00D13792">
        <w:rPr>
          <w:rStyle w:val="FootnoteReference"/>
          <w:rFonts w:cs="Arial"/>
          <w:lang w:val="es-CR"/>
        </w:rPr>
        <w:footnoteReference w:id="243"/>
      </w:r>
      <w:r w:rsidRPr="00D13792">
        <w:rPr>
          <w:color w:val="000000"/>
          <w:lang w:val="es-CR"/>
        </w:rPr>
        <w:t>, solo recibió 13 pues uno no fue localizado</w:t>
      </w:r>
      <w:r w:rsidRPr="00D13792">
        <w:rPr>
          <w:rStyle w:val="FootnoteReference"/>
          <w:rFonts w:cs="Arial"/>
          <w:lang w:val="es-CR"/>
        </w:rPr>
        <w:footnoteReference w:id="244"/>
      </w:r>
      <w:r w:rsidRPr="00D13792">
        <w:rPr>
          <w:color w:val="000000"/>
          <w:lang w:val="es-CR"/>
        </w:rPr>
        <w:t xml:space="preserve"> y no se registra ninguna actuación posterior respecto de estas personas.</w:t>
      </w:r>
      <w:r w:rsidRPr="00D13792">
        <w:rPr>
          <w:rFonts w:eastAsia="Calibri"/>
          <w:b/>
          <w:color w:val="000000"/>
          <w:lang w:val="es-CR"/>
        </w:rPr>
        <w:t xml:space="preserve"> </w:t>
      </w:r>
      <w:r w:rsidRPr="00D13792">
        <w:rPr>
          <w:rFonts w:eastAsia="Calibri"/>
          <w:color w:val="000000"/>
          <w:lang w:val="es-CR"/>
        </w:rPr>
        <w:t>Posteriormente, en julio</w:t>
      </w:r>
      <w:r w:rsidRPr="00D13792">
        <w:rPr>
          <w:rFonts w:eastAsia="Calibri"/>
          <w:color w:val="000000"/>
          <w:vertAlign w:val="superscript"/>
          <w:lang w:val="es-CR"/>
        </w:rPr>
        <w:footnoteReference w:id="245"/>
      </w:r>
      <w:r w:rsidRPr="00D13792">
        <w:rPr>
          <w:rFonts w:eastAsia="Calibri"/>
          <w:color w:val="000000"/>
          <w:lang w:val="es-CR"/>
        </w:rPr>
        <w:t xml:space="preserve"> y agosto</w:t>
      </w:r>
      <w:r w:rsidRPr="00D13792">
        <w:rPr>
          <w:rFonts w:eastAsia="Calibri"/>
          <w:color w:val="000000"/>
          <w:vertAlign w:val="superscript"/>
          <w:lang w:val="es-CR"/>
        </w:rPr>
        <w:footnoteReference w:id="246"/>
      </w:r>
      <w:r w:rsidRPr="00D13792">
        <w:rPr>
          <w:rFonts w:eastAsia="Calibri"/>
          <w:color w:val="000000"/>
          <w:lang w:val="es-CR"/>
        </w:rPr>
        <w:t xml:space="preserve"> de 2005 la “Fiscalía Especial del Ministerio Público” recibió quince declaraciones, en las cuales se describen los hechos del 8 de enero de 1982, así como otros hechos ocurridos antes y después de esa fecha, entre lo cual se destaca la muerte de familiares, el desplazamiento forzado, trabajos forzosos, violaciones sexuales, necesidades y persecución que sufrieron, la quema de casas y sembríos, y el robo de animales, así como se señalaron a algunos de los presuntos responsables</w:t>
      </w:r>
      <w:r w:rsidRPr="00D13792">
        <w:rPr>
          <w:rFonts w:eastAsia="Calibri"/>
          <w:color w:val="000000"/>
          <w:vertAlign w:val="superscript"/>
          <w:lang w:val="es-CR"/>
        </w:rPr>
        <w:footnoteReference w:id="247"/>
      </w:r>
      <w:r w:rsidRPr="00D13792">
        <w:rPr>
          <w:rFonts w:eastAsia="Calibri"/>
          <w:color w:val="000000"/>
          <w:lang w:val="es-CR"/>
        </w:rPr>
        <w:t>. Sin embargo,</w:t>
      </w:r>
      <w:r w:rsidRPr="00D13792">
        <w:rPr>
          <w:rFonts w:eastAsia="Calibri"/>
          <w:b/>
          <w:color w:val="000000"/>
          <w:lang w:val="es-CR"/>
        </w:rPr>
        <w:t xml:space="preserve"> </w:t>
      </w:r>
      <w:r w:rsidRPr="00D13792">
        <w:rPr>
          <w:color w:val="000000"/>
          <w:lang w:val="es-CR"/>
        </w:rPr>
        <w:t xml:space="preserve">no consta alguna otra diligencia dirigida a esclarecer su responsabilidad por la masacre. No se registra, por ejemplo, que </w:t>
      </w:r>
      <w:r w:rsidRPr="00D13792">
        <w:rPr>
          <w:rFonts w:cs="Arial"/>
          <w:color w:val="000000"/>
          <w:lang w:val="es-CR"/>
        </w:rPr>
        <w:t xml:space="preserve">se haya llamado a declarar a ninguna de las personas mencionadas por los declarantes. Este punto será abordado igualmente en el apartado B.2 </w:t>
      </w:r>
      <w:r w:rsidRPr="00D13792">
        <w:rPr>
          <w:rFonts w:cs="Arial"/>
          <w:i/>
          <w:color w:val="000000"/>
          <w:lang w:val="es-CR"/>
        </w:rPr>
        <w:t>infra.</w:t>
      </w:r>
    </w:p>
    <w:p w14:paraId="2098DA4A" w14:textId="77777777" w:rsidR="006A0E1C" w:rsidRPr="00D13792" w:rsidRDefault="006A0E1C" w:rsidP="006A0E1C">
      <w:pPr>
        <w:pStyle w:val="Prrafodelista2"/>
        <w:tabs>
          <w:tab w:val="left" w:pos="720"/>
        </w:tabs>
        <w:ind w:left="0" w:right="-90"/>
        <w:jc w:val="both"/>
        <w:rPr>
          <w:rFonts w:eastAsia="Calibri"/>
          <w:b/>
          <w:color w:val="000000"/>
          <w:lang w:val="es-CR"/>
        </w:rPr>
      </w:pPr>
    </w:p>
    <w:p w14:paraId="22FB1B88"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rFonts w:eastAsia="Calibri"/>
          <w:color w:val="000000"/>
          <w:lang w:val="es-CR"/>
        </w:rPr>
        <w:t xml:space="preserve">En cuarto lugar, no consta que se haya realizado diligencia alguna a fin de investigar los robos, violaciones y amenazas que, según las mencionadas declaraciones de abril y junio de </w:t>
      </w:r>
      <w:r w:rsidRPr="00D13792">
        <w:rPr>
          <w:rFonts w:eastAsia="Calibri"/>
          <w:color w:val="000000"/>
          <w:lang w:val="es-CR"/>
        </w:rPr>
        <w:lastRenderedPageBreak/>
        <w:t xml:space="preserve">1999, seguirían cometiendo los presuntos responsables de la masacre. </w:t>
      </w:r>
      <w:r w:rsidRPr="00D13792">
        <w:rPr>
          <w:rFonts w:cs="Arial"/>
          <w:color w:val="000000"/>
          <w:lang w:val="es-CR"/>
        </w:rPr>
        <w:t xml:space="preserve">Además, </w:t>
      </w:r>
      <w:r w:rsidRPr="00D13792">
        <w:rPr>
          <w:rFonts w:eastAsia="Calibri"/>
          <w:color w:val="000000"/>
          <w:lang w:val="es-CR"/>
        </w:rPr>
        <w:t xml:space="preserve">el Tribunal observa que, en declaraciones de 14 de septiembre de 2005 </w:t>
      </w:r>
      <w:r w:rsidRPr="00D13792">
        <w:rPr>
          <w:rFonts w:cs="Arial"/>
          <w:lang w:val="es-CR"/>
        </w:rPr>
        <w:t>ante el Auxiliar Fiscal de la Fiscalía Distrital del Ministerio Público de Salamá</w:t>
      </w:r>
      <w:r w:rsidRPr="00D13792">
        <w:rPr>
          <w:rFonts w:eastAsia="Calibri"/>
          <w:color w:val="000000"/>
          <w:lang w:val="es-CR"/>
        </w:rPr>
        <w:t>, tanto la señora Máxima Emiliana García Valey</w:t>
      </w:r>
      <w:r w:rsidRPr="00D13792">
        <w:rPr>
          <w:rStyle w:val="FootnoteReference"/>
          <w:rFonts w:cs="Arial"/>
          <w:lang w:val="es-CR"/>
        </w:rPr>
        <w:footnoteReference w:id="248"/>
      </w:r>
      <w:r w:rsidRPr="00D13792">
        <w:rPr>
          <w:rFonts w:eastAsia="Calibri"/>
          <w:color w:val="000000"/>
          <w:lang w:val="es-CR"/>
        </w:rPr>
        <w:t xml:space="preserve"> como la señora Fabiana Chen Galiego</w:t>
      </w:r>
      <w:r w:rsidRPr="00D13792">
        <w:rPr>
          <w:rStyle w:val="FootnoteReference"/>
          <w:rFonts w:cs="Arial"/>
          <w:lang w:val="es-CR"/>
        </w:rPr>
        <w:footnoteReference w:id="249"/>
      </w:r>
      <w:r w:rsidRPr="00D13792">
        <w:rPr>
          <w:rFonts w:eastAsia="Calibri"/>
          <w:color w:val="000000"/>
          <w:lang w:val="es-CR"/>
        </w:rPr>
        <w:t xml:space="preserve"> se retractaron respecto de la participación de personas que en declaraciones anteriores habían señalado como responsables de la masacre de 8 de enero de 1982. </w:t>
      </w:r>
    </w:p>
    <w:p w14:paraId="165BF14C" w14:textId="77777777" w:rsidR="006A0E1C" w:rsidRPr="00D13792" w:rsidRDefault="006A0E1C" w:rsidP="006A0E1C">
      <w:pPr>
        <w:pStyle w:val="Prrafodelista2"/>
        <w:tabs>
          <w:tab w:val="left" w:pos="720"/>
        </w:tabs>
        <w:ind w:left="0" w:right="-90"/>
        <w:jc w:val="both"/>
        <w:rPr>
          <w:rFonts w:eastAsia="Calibri"/>
          <w:b/>
          <w:color w:val="000000"/>
          <w:lang w:val="es-CR"/>
        </w:rPr>
      </w:pPr>
    </w:p>
    <w:p w14:paraId="6044AF9F"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rFonts w:eastAsia="Calibri"/>
          <w:color w:val="000000"/>
          <w:lang w:val="es-CR"/>
        </w:rPr>
        <w:t>Al respecto</w:t>
      </w:r>
      <w:r w:rsidRPr="00D13792">
        <w:rPr>
          <w:rFonts w:cs="Arial"/>
          <w:color w:val="000000"/>
          <w:lang w:val="es-CR"/>
        </w:rPr>
        <w:t xml:space="preserve">, </w:t>
      </w:r>
      <w:r w:rsidRPr="00D13792">
        <w:rPr>
          <w:color w:val="000000"/>
          <w:spacing w:val="-2"/>
          <w:lang w:val="es-CR"/>
        </w:rPr>
        <w:t>la Corte recuerda que, para garantizar un debido proceso, el Estado debe facilitar todos los medios necesarios para proteger a los operadores de justicia, investigadores, testigos y familiares de las víctimas de hostigamientos y amenazas que tengan como finalidad entorpecer el proceso, evitar el esclarecimiento de los hechos y encubrir a los responsables de los mismos, pues de lo contrario eso tendría un efecto amedrentador e intimidante en quienes investigan y en quienes podrían ser testigos, afectando seriamente la efectividad de la investigación. En efecto, las amenazas e intimidaciones sufridas por testigos en el proceso interno no pueden verse aisladamente, sino que se deben considerar en el marco de obstaculizaciones de la investigación del caso, ya que</w:t>
      </w:r>
      <w:r w:rsidRPr="00D13792">
        <w:rPr>
          <w:b/>
          <w:color w:val="000000"/>
          <w:spacing w:val="-2"/>
          <w:lang w:val="es-CR"/>
        </w:rPr>
        <w:t xml:space="preserve"> </w:t>
      </w:r>
      <w:r w:rsidRPr="00D13792">
        <w:rPr>
          <w:color w:val="000000"/>
          <w:spacing w:val="-2"/>
          <w:lang w:val="es-CR"/>
        </w:rPr>
        <w:t>tales hechos se convierten en otro medio para perpetuar la impunidad e impedir que se conozca la verdad de lo ocurrido</w:t>
      </w:r>
      <w:r w:rsidRPr="00D13792">
        <w:rPr>
          <w:color w:val="000000"/>
          <w:spacing w:val="-2"/>
          <w:vertAlign w:val="superscript"/>
          <w:lang w:val="es-CR"/>
        </w:rPr>
        <w:footnoteReference w:id="250"/>
      </w:r>
      <w:r w:rsidRPr="00D13792">
        <w:rPr>
          <w:color w:val="000000"/>
          <w:spacing w:val="-2"/>
          <w:lang w:val="es-CR"/>
        </w:rPr>
        <w:t>.</w:t>
      </w:r>
    </w:p>
    <w:p w14:paraId="46125DBF"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color w:val="000000"/>
          <w:sz w:val="20"/>
          <w:szCs w:val="20"/>
          <w:lang w:val="es-CR"/>
        </w:rPr>
      </w:pPr>
    </w:p>
    <w:p w14:paraId="49A3534F"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color w:val="000000"/>
          <w:lang w:val="es-CR"/>
        </w:rPr>
        <w:t xml:space="preserve">En quinto lugar, los días 5 de diciembre de 1997 y 21 de enero y 12 de mayo de 2000 </w:t>
      </w:r>
      <w:r w:rsidRPr="00D13792">
        <w:rPr>
          <w:rFonts w:cs="Arial"/>
          <w:color w:val="000000"/>
          <w:lang w:val="es-CR"/>
        </w:rPr>
        <w:t xml:space="preserve">Miguel Sic Osorio, Fabiana Chen Galiego y Teresa </w:t>
      </w:r>
      <w:r w:rsidRPr="00D13792">
        <w:rPr>
          <w:color w:val="000000"/>
          <w:lang w:val="es-CR"/>
        </w:rPr>
        <w:t>Cacaj</w:t>
      </w:r>
      <w:r w:rsidRPr="00D13792">
        <w:rPr>
          <w:rFonts w:cs="Arial"/>
          <w:color w:val="000000"/>
          <w:lang w:val="es-CR"/>
        </w:rPr>
        <w:t xml:space="preserve"> Cahuec solicitaron al</w:t>
      </w:r>
      <w:r w:rsidRPr="00D13792">
        <w:rPr>
          <w:rFonts w:cs="Arial"/>
          <w:lang w:val="es-CR"/>
        </w:rPr>
        <w:t xml:space="preserve"> Juez de Primera Instancia del Ramo Penal de Salamá y a</w:t>
      </w:r>
      <w:r w:rsidRPr="00D13792">
        <w:rPr>
          <w:rFonts w:cs="Arial"/>
          <w:color w:val="000000"/>
          <w:lang w:val="es-CR"/>
        </w:rPr>
        <w:t xml:space="preserve"> la Fiscalía Distrital de Baja Verapaz, respectivamente, que </w:t>
      </w:r>
      <w:r w:rsidRPr="00D13792">
        <w:rPr>
          <w:color w:val="000000"/>
          <w:spacing w:val="-2"/>
          <w:lang w:val="es-CR"/>
        </w:rPr>
        <w:t>ordenaran</w:t>
      </w:r>
      <w:r w:rsidRPr="00D13792">
        <w:rPr>
          <w:rFonts w:cs="Arial"/>
          <w:color w:val="000000"/>
          <w:lang w:val="es-CR"/>
        </w:rPr>
        <w:t xml:space="preserve"> un peritaje sobre el material balístico encontrado en un cementerio clandestino durante la exhumación de mayo de 1993</w:t>
      </w:r>
      <w:r w:rsidRPr="00D13792">
        <w:rPr>
          <w:rStyle w:val="FootnoteReference"/>
          <w:rFonts w:cs="Arial"/>
          <w:lang w:val="es-CR"/>
        </w:rPr>
        <w:footnoteReference w:id="251"/>
      </w:r>
      <w:r w:rsidRPr="00D13792">
        <w:rPr>
          <w:rFonts w:cs="Arial"/>
          <w:color w:val="000000"/>
          <w:lang w:val="es-CR"/>
        </w:rPr>
        <w:t xml:space="preserve">. El Auxiliar Fiscal de la Fiscalía Distrital remitió las evidencias recolectadas a </w:t>
      </w:r>
      <w:r w:rsidRPr="00D13792">
        <w:rPr>
          <w:rFonts w:cs="Arial"/>
          <w:lang w:val="es-CR"/>
        </w:rPr>
        <w:t>la Sub-dirección Técnico Científica del Ministerio Público para el peritaje correspondiente recién el 21 de junio de 2000</w:t>
      </w:r>
      <w:r w:rsidRPr="00D13792">
        <w:rPr>
          <w:rStyle w:val="FootnoteReference"/>
          <w:rFonts w:cs="Arial"/>
          <w:lang w:val="es-CR"/>
        </w:rPr>
        <w:footnoteReference w:id="252"/>
      </w:r>
      <w:r w:rsidRPr="00D13792">
        <w:rPr>
          <w:rFonts w:cs="Arial"/>
          <w:color w:val="000000"/>
          <w:lang w:val="es-CR"/>
        </w:rPr>
        <w:t xml:space="preserve">, es decir, siete años después de que fueron encontrados dichos objetos y dos años y medio luego de la solicitud inicial de los familiares mencionados. </w:t>
      </w:r>
      <w:r w:rsidRPr="00D13792">
        <w:rPr>
          <w:rFonts w:eastAsia="Calibri"/>
          <w:color w:val="000000"/>
          <w:lang w:val="es-CR"/>
        </w:rPr>
        <w:t>Aunado a ello, no consta que se haya realizado diligencia de seguimiento alguna en relación con el informe pericial elaborado por el Técnico de Investigaciones Criminalísticas de la Sección de Balística del Ministerio Público y remitido a la Fiscalía Distrital de Salamá el 5 de julio de 2000</w:t>
      </w:r>
      <w:r w:rsidRPr="00D13792">
        <w:rPr>
          <w:rStyle w:val="FootnoteReference"/>
          <w:rFonts w:cs="Arial"/>
          <w:lang w:val="es-CR"/>
        </w:rPr>
        <w:footnoteReference w:id="253"/>
      </w:r>
      <w:r w:rsidRPr="00D13792">
        <w:rPr>
          <w:rFonts w:eastAsia="Calibri"/>
          <w:color w:val="000000"/>
          <w:lang w:val="es-CR"/>
        </w:rPr>
        <w:t xml:space="preserve">. </w:t>
      </w:r>
    </w:p>
    <w:p w14:paraId="19BFDF42" w14:textId="77777777" w:rsidR="006A0E1C" w:rsidRPr="00D13792" w:rsidRDefault="006A0E1C" w:rsidP="006A0E1C">
      <w:pPr>
        <w:pStyle w:val="ListParagraph"/>
        <w:spacing w:after="0" w:line="240" w:lineRule="auto"/>
        <w:jc w:val="both"/>
        <w:rPr>
          <w:rFonts w:ascii="Verdana" w:eastAsia="Calibri" w:hAnsi="Verdana"/>
          <w:color w:val="000000"/>
          <w:sz w:val="20"/>
          <w:szCs w:val="20"/>
          <w:lang w:val="es-CR"/>
        </w:rPr>
      </w:pPr>
    </w:p>
    <w:p w14:paraId="70E4AD7B" w14:textId="77777777" w:rsidR="006A0E1C" w:rsidRPr="00D13792" w:rsidRDefault="006A0E1C" w:rsidP="006A0E1C">
      <w:pPr>
        <w:pStyle w:val="Prrafodelista2"/>
        <w:numPr>
          <w:ilvl w:val="0"/>
          <w:numId w:val="23"/>
        </w:numPr>
        <w:tabs>
          <w:tab w:val="left" w:pos="720"/>
        </w:tabs>
        <w:ind w:right="-90"/>
        <w:jc w:val="both"/>
        <w:rPr>
          <w:rFonts w:cs="Arial"/>
          <w:lang w:val="es-CR"/>
        </w:rPr>
      </w:pPr>
      <w:r w:rsidRPr="00D13792">
        <w:rPr>
          <w:rFonts w:eastAsia="Calibri"/>
          <w:color w:val="000000"/>
          <w:lang w:val="es-CR"/>
        </w:rPr>
        <w:t xml:space="preserve">En sexto lugar, en junio de 1999, enero y mayo de 2000, y diciembre de 2005, dichas personas requirieron a la Fiscalía Distrital de Baja Verapaz que solicitara al Ministerio de Defensa Nacional, un informe </w:t>
      </w:r>
      <w:r w:rsidRPr="00D13792">
        <w:rPr>
          <w:rFonts w:cs="Arial"/>
          <w:lang w:val="es-CR"/>
        </w:rPr>
        <w:t xml:space="preserve">acerca de los nombres del Ministro de la Defensa Nacional, Jefe del Estado Mayor General y demás autoridades militares asignadas a la zona de Baja Verapaz </w:t>
      </w:r>
      <w:r w:rsidRPr="00D13792">
        <w:rPr>
          <w:rFonts w:cs="Arial"/>
          <w:lang w:val="es-CR"/>
        </w:rPr>
        <w:lastRenderedPageBreak/>
        <w:t>en el año 1982</w:t>
      </w:r>
      <w:r w:rsidRPr="00D13792">
        <w:rPr>
          <w:rStyle w:val="FootnoteReference"/>
          <w:rFonts w:cs="Arial"/>
          <w:lang w:val="es-CR"/>
        </w:rPr>
        <w:footnoteReference w:id="254"/>
      </w:r>
      <w:r w:rsidRPr="00D13792">
        <w:rPr>
          <w:rFonts w:eastAsia="Calibri"/>
          <w:color w:val="000000"/>
          <w:lang w:val="es-CR"/>
        </w:rPr>
        <w:t xml:space="preserve">; sin embargo, no hay registro de que se haya dado respuesta alguna a estas cuatro solicitudes, interpuestas durante el curso de seis años. </w:t>
      </w:r>
    </w:p>
    <w:p w14:paraId="0FE044F8" w14:textId="77777777" w:rsidR="006A0E1C" w:rsidRPr="00D13792" w:rsidRDefault="006A0E1C" w:rsidP="006A0E1C">
      <w:pPr>
        <w:pStyle w:val="ListParagraph"/>
        <w:spacing w:after="0" w:line="240" w:lineRule="auto"/>
        <w:jc w:val="both"/>
        <w:rPr>
          <w:rFonts w:ascii="Verdana" w:eastAsia="Calibri" w:hAnsi="Verdana"/>
          <w:color w:val="000000"/>
          <w:sz w:val="20"/>
          <w:szCs w:val="20"/>
          <w:lang w:val="es-CR"/>
        </w:rPr>
      </w:pPr>
    </w:p>
    <w:p w14:paraId="29C2862F"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 xml:space="preserve">En séptimo lugar, el Tribunal nota que el 9 de septiembre de 2002 el Auxiliar Fiscal de la Fiscalía Especial del Ministerio Público solicitó al Registro Civil de la Municipalidad de Rabinal, las certificaciones de las partidas de defunción de 34 personas “cuyas osamentas fueron </w:t>
      </w:r>
      <w:r w:rsidRPr="00D13792">
        <w:rPr>
          <w:rFonts w:cs="Arial"/>
          <w:color w:val="000000"/>
          <w:lang w:val="es-CR"/>
        </w:rPr>
        <w:t>encontradas en Chichupac [en la] exhumación del 06 de junio al 07 de julio de 1993 practicada por […la FAFG]”</w:t>
      </w:r>
      <w:r w:rsidRPr="00D13792">
        <w:rPr>
          <w:rStyle w:val="FootnoteReference"/>
          <w:rFonts w:cs="Arial"/>
          <w:lang w:val="es-CR"/>
        </w:rPr>
        <w:footnoteReference w:id="255"/>
      </w:r>
      <w:r w:rsidRPr="00D13792">
        <w:rPr>
          <w:rFonts w:cs="Arial"/>
          <w:color w:val="000000"/>
          <w:lang w:val="es-CR"/>
        </w:rPr>
        <w:t xml:space="preserve">. Al respecto, la Corte nota </w:t>
      </w:r>
      <w:r w:rsidRPr="00D13792">
        <w:rPr>
          <w:rFonts w:eastAsia="Calibri"/>
          <w:color w:val="000000"/>
          <w:lang w:val="es-CR"/>
        </w:rPr>
        <w:t>que</w:t>
      </w:r>
      <w:r w:rsidRPr="00D13792">
        <w:rPr>
          <w:rFonts w:cs="Arial"/>
          <w:color w:val="000000"/>
          <w:lang w:val="es-CR"/>
        </w:rPr>
        <w:t>: i) la exhumación inició el 6 de mayo de 1993 y no el 6 de junio como indica la solicitud</w:t>
      </w:r>
      <w:r w:rsidRPr="00D13792">
        <w:rPr>
          <w:rStyle w:val="FootnoteReference"/>
          <w:rFonts w:cs="Arial"/>
          <w:lang w:val="es-CR"/>
        </w:rPr>
        <w:footnoteReference w:id="256"/>
      </w:r>
      <w:r w:rsidRPr="00D13792">
        <w:rPr>
          <w:rFonts w:cs="Arial"/>
          <w:color w:val="000000"/>
          <w:lang w:val="es-CR"/>
        </w:rPr>
        <w:t xml:space="preserve">; ii) </w:t>
      </w:r>
      <w:r w:rsidRPr="00D13792">
        <w:rPr>
          <w:color w:val="000000"/>
          <w:lang w:val="es-CR"/>
        </w:rPr>
        <w:t>el listado de personas remitido por el Auxiliar Fiscal al Registro Civil contiene los nombres de 34 personas, pese a que en la exhumación mencionada solo se recuperaron las osamentas de 31 personas, de las cuales solo se identificaron siete (</w:t>
      </w:r>
      <w:r w:rsidRPr="00D13792">
        <w:rPr>
          <w:i/>
          <w:color w:val="000000"/>
          <w:lang w:val="es-CR"/>
        </w:rPr>
        <w:t xml:space="preserve">supra </w:t>
      </w:r>
      <w:r w:rsidRPr="00D13792">
        <w:rPr>
          <w:color w:val="000000"/>
          <w:lang w:val="es-CR"/>
        </w:rPr>
        <w:t>párrs. 91 y 105), y iii) algunos de los nombres que aparecen en el listado remitido por el Auxiliar Fiscal al Registro Civil no aparecen en las declaraciones recabadas dentro de este proceso</w:t>
      </w:r>
      <w:r w:rsidRPr="00D13792">
        <w:rPr>
          <w:rStyle w:val="FootnoteReference"/>
          <w:color w:val="000000"/>
          <w:lang w:val="es-CR"/>
        </w:rPr>
        <w:footnoteReference w:id="257"/>
      </w:r>
      <w:r w:rsidRPr="00D13792">
        <w:rPr>
          <w:color w:val="000000"/>
          <w:lang w:val="es-CR"/>
        </w:rPr>
        <w:t xml:space="preserve"> y no es claro para el Tribunal el motivo por el cual fueron incluidos. Asimismo, </w:t>
      </w:r>
      <w:r w:rsidRPr="00D13792">
        <w:rPr>
          <w:rFonts w:cs="Arial"/>
          <w:lang w:val="es-CR"/>
        </w:rPr>
        <w:t>el 11 de noviembre de 2002 la Registradora Civil envió las certificaciones de las Partidas de Defunciones solicitadas, indicando que “la mayoría no se encontraron en los libros respectivos”</w:t>
      </w:r>
      <w:r w:rsidRPr="00D13792">
        <w:rPr>
          <w:rStyle w:val="FootnoteReference"/>
          <w:rFonts w:cs="Arial"/>
          <w:lang w:val="es-CR"/>
        </w:rPr>
        <w:footnoteReference w:id="258"/>
      </w:r>
      <w:r w:rsidRPr="00D13792">
        <w:rPr>
          <w:rFonts w:cs="Arial"/>
          <w:lang w:val="es-CR"/>
        </w:rPr>
        <w:t xml:space="preserve">, sin embargo, no consta alguna actuación posterior al respecto. </w:t>
      </w:r>
      <w:r w:rsidRPr="00D13792">
        <w:rPr>
          <w:color w:val="000000"/>
          <w:lang w:val="es-CR"/>
        </w:rPr>
        <w:t xml:space="preserve">Todo ello demuestra una falta de rigurosidad en la investigación. </w:t>
      </w:r>
    </w:p>
    <w:p w14:paraId="26A2735F" w14:textId="77777777" w:rsidR="006A0E1C" w:rsidRPr="00D13792" w:rsidRDefault="006A0E1C" w:rsidP="006A0E1C">
      <w:pPr>
        <w:pStyle w:val="ListParagraph"/>
        <w:spacing w:after="0" w:line="240" w:lineRule="auto"/>
        <w:jc w:val="both"/>
        <w:rPr>
          <w:rFonts w:ascii="Verdana" w:eastAsia="Calibri" w:hAnsi="Verdana"/>
          <w:color w:val="000000"/>
          <w:sz w:val="20"/>
          <w:szCs w:val="20"/>
          <w:lang w:val="es-CR"/>
        </w:rPr>
      </w:pPr>
    </w:p>
    <w:p w14:paraId="4130C320"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Como punto octavo, en los meses de octubre de 2000</w:t>
      </w:r>
      <w:r w:rsidRPr="00D13792">
        <w:rPr>
          <w:rStyle w:val="FootnoteReference"/>
          <w:rFonts w:cs="Arial"/>
          <w:lang w:val="es-CR"/>
        </w:rPr>
        <w:footnoteReference w:id="259"/>
      </w:r>
      <w:r w:rsidRPr="00D13792">
        <w:rPr>
          <w:rFonts w:eastAsia="Calibri"/>
          <w:color w:val="000000"/>
          <w:lang w:val="es-CR"/>
        </w:rPr>
        <w:t>, noviembre de 2002</w:t>
      </w:r>
      <w:r w:rsidRPr="00D13792">
        <w:rPr>
          <w:rStyle w:val="FootnoteReference"/>
          <w:rFonts w:cs="Arial"/>
          <w:lang w:val="es-CR"/>
        </w:rPr>
        <w:footnoteReference w:id="260"/>
      </w:r>
      <w:r w:rsidRPr="00D13792">
        <w:rPr>
          <w:rFonts w:eastAsia="Calibri"/>
          <w:color w:val="000000"/>
          <w:lang w:val="es-CR"/>
        </w:rPr>
        <w:t>, así como julio y agosto de 2005</w:t>
      </w:r>
      <w:r w:rsidRPr="00D13792">
        <w:rPr>
          <w:rFonts w:eastAsia="Calibri"/>
          <w:color w:val="000000"/>
          <w:vertAlign w:val="superscript"/>
          <w:lang w:val="es-CR"/>
        </w:rPr>
        <w:footnoteReference w:id="261"/>
      </w:r>
      <w:r w:rsidRPr="00D13792">
        <w:rPr>
          <w:rFonts w:eastAsia="Calibri"/>
          <w:color w:val="000000"/>
          <w:lang w:val="es-CR"/>
        </w:rPr>
        <w:t xml:space="preserve">, al menos 18 personas declararon dentro del proceso y denunciaron, </w:t>
      </w:r>
      <w:r w:rsidRPr="00D13792">
        <w:rPr>
          <w:rFonts w:eastAsia="Calibri"/>
          <w:color w:val="000000"/>
          <w:lang w:val="es-CR"/>
        </w:rPr>
        <w:lastRenderedPageBreak/>
        <w:t xml:space="preserve">entre otros, </w:t>
      </w:r>
      <w:r w:rsidRPr="00D13792">
        <w:rPr>
          <w:rFonts w:cs="Arial"/>
          <w:color w:val="000000"/>
          <w:lang w:val="es-CR"/>
        </w:rPr>
        <w:t xml:space="preserve">la muerte y desaparición de familiares, el desplazamiento forzado, trabajos forzosos, violencia y violación sexual, necesidades y persecución que sufrieron, torturas, la quema de casas y sembradíos, y el robo de animales. No consta que se haya realizado diligencia investigativa alguna en relación con los hechos denunciados. Este punto será abordado en el apartado B.2 </w:t>
      </w:r>
      <w:r w:rsidRPr="00D13792">
        <w:rPr>
          <w:rFonts w:cs="Arial"/>
          <w:i/>
          <w:color w:val="000000"/>
          <w:lang w:val="es-CR"/>
        </w:rPr>
        <w:t>infra.</w:t>
      </w:r>
    </w:p>
    <w:p w14:paraId="06BA84A3" w14:textId="77777777" w:rsidR="006A0E1C" w:rsidRPr="00D13792" w:rsidRDefault="006A0E1C" w:rsidP="006A0E1C">
      <w:pPr>
        <w:pStyle w:val="Prrafodelista2"/>
        <w:tabs>
          <w:tab w:val="left" w:pos="720"/>
        </w:tabs>
        <w:ind w:left="0" w:right="-90"/>
        <w:jc w:val="both"/>
        <w:rPr>
          <w:rFonts w:eastAsia="Calibri"/>
          <w:color w:val="000000"/>
          <w:lang w:val="es-CR"/>
        </w:rPr>
      </w:pPr>
    </w:p>
    <w:p w14:paraId="3C7F04CE"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Por último y como noveno punto, no consta actividad investigativa con posterioridad a septiembre de 2005</w:t>
      </w:r>
      <w:r w:rsidRPr="00D13792">
        <w:rPr>
          <w:rStyle w:val="FootnoteReference"/>
          <w:rFonts w:cs="Arial"/>
          <w:lang w:val="es-CR"/>
        </w:rPr>
        <w:footnoteReference w:id="262"/>
      </w:r>
      <w:r w:rsidRPr="00D13792">
        <w:rPr>
          <w:rFonts w:eastAsia="Calibri"/>
          <w:color w:val="000000"/>
          <w:lang w:val="es-CR"/>
        </w:rPr>
        <w:t>, fecha en que se recibieron diversas declaraciones, y hasta marzo de 2011, fecha a partir de la cual se recibieron diversas declaraciones en calidad de anticipo de prueba</w:t>
      </w:r>
      <w:r w:rsidRPr="00D13792">
        <w:rPr>
          <w:rStyle w:val="FootnoteReference"/>
          <w:rFonts w:cs="Arial"/>
          <w:lang w:val="es-CR"/>
        </w:rPr>
        <w:footnoteReference w:id="263"/>
      </w:r>
      <w:r w:rsidRPr="00D13792">
        <w:rPr>
          <w:rFonts w:cs="Arial"/>
          <w:color w:val="000000"/>
          <w:lang w:val="es-CR"/>
        </w:rPr>
        <w:t xml:space="preserve">. Tampoco consta que se haya dado seguimiento alguno a la información recabada en dichas oportunidades. </w:t>
      </w:r>
    </w:p>
    <w:p w14:paraId="6FE83763" w14:textId="77777777" w:rsidR="006A0E1C" w:rsidRPr="00D13792" w:rsidRDefault="006A0E1C" w:rsidP="006A0E1C">
      <w:pPr>
        <w:pStyle w:val="ListParagraph"/>
        <w:autoSpaceDE w:val="0"/>
        <w:autoSpaceDN w:val="0"/>
        <w:adjustRightInd w:val="0"/>
        <w:spacing w:after="0" w:line="240" w:lineRule="auto"/>
        <w:jc w:val="both"/>
        <w:rPr>
          <w:rFonts w:ascii="Verdana" w:eastAsia="Calibri" w:hAnsi="Verdana"/>
          <w:i/>
          <w:color w:val="000000"/>
          <w:sz w:val="20"/>
          <w:szCs w:val="20"/>
          <w:lang w:val="es-CR"/>
        </w:rPr>
      </w:pPr>
    </w:p>
    <w:p w14:paraId="3AA1C807" w14:textId="77777777" w:rsidR="006A0E1C" w:rsidRPr="00D13792" w:rsidRDefault="006A0E1C" w:rsidP="006A0E1C">
      <w:pPr>
        <w:autoSpaceDE w:val="0"/>
        <w:autoSpaceDN w:val="0"/>
        <w:spacing w:line="240" w:lineRule="auto"/>
        <w:rPr>
          <w:rFonts w:eastAsia="Calibri"/>
          <w:i/>
          <w:color w:val="000000"/>
          <w:sz w:val="20"/>
          <w:szCs w:val="20"/>
        </w:rPr>
      </w:pPr>
      <w:r w:rsidRPr="00D13792">
        <w:rPr>
          <w:rFonts w:eastAsia="Calibri"/>
          <w:i/>
          <w:color w:val="000000"/>
          <w:sz w:val="20"/>
          <w:szCs w:val="20"/>
        </w:rPr>
        <w:t>B.1.1.2. Incumplimiento del deber de garantizar la participación de los familiares</w:t>
      </w:r>
    </w:p>
    <w:p w14:paraId="6B838025" w14:textId="77777777" w:rsidR="006A0E1C" w:rsidRPr="00D13792" w:rsidRDefault="006A0E1C" w:rsidP="006A0E1C">
      <w:pPr>
        <w:autoSpaceDE w:val="0"/>
        <w:autoSpaceDN w:val="0"/>
        <w:spacing w:line="240" w:lineRule="auto"/>
        <w:ind w:left="360"/>
        <w:rPr>
          <w:color w:val="000000"/>
          <w:sz w:val="20"/>
          <w:szCs w:val="20"/>
        </w:rPr>
      </w:pPr>
    </w:p>
    <w:p w14:paraId="2ED7EFD9"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color w:val="000000"/>
          <w:lang w:val="es-CR"/>
        </w:rPr>
        <w:t xml:space="preserve">Por otra parte, </w:t>
      </w:r>
      <w:r w:rsidRPr="00D13792">
        <w:rPr>
          <w:rFonts w:cs="Arial"/>
          <w:color w:val="000000"/>
          <w:lang w:val="es-CR"/>
        </w:rPr>
        <w:t xml:space="preserve">este Tribunal </w:t>
      </w:r>
      <w:r w:rsidRPr="00D13792">
        <w:rPr>
          <w:rFonts w:eastAsia="Calibri" w:cs="Verdana"/>
          <w:color w:val="000000"/>
          <w:lang w:val="es-CR"/>
        </w:rPr>
        <w:t xml:space="preserve">recuerda que, de conformidad con el derecho reconocido en el artículo 8.1 de la </w:t>
      </w:r>
      <w:r w:rsidRPr="00D13792">
        <w:rPr>
          <w:rFonts w:eastAsia="Calibri"/>
          <w:color w:val="000000"/>
          <w:lang w:val="es-CR"/>
        </w:rPr>
        <w:t>Convención</w:t>
      </w:r>
      <w:r w:rsidRPr="00D13792">
        <w:rPr>
          <w:rFonts w:eastAsia="Calibri" w:cs="Verdana"/>
          <w:color w:val="000000"/>
          <w:lang w:val="es-CR"/>
        </w:rPr>
        <w:t xml:space="preserve"> Americana, en relación con el artículo 1.1 de la misma, los Estados tienen la obligación de garantizar el derecho de las víctimas o sus familiares de participar en todas las etapas de los respectivos procesos, de manera que puedan hacer planteamientos, recibir informaciones, aportar pruebas, formular alegaciones y, en síntesis, hacer valer sus derechos. Dicha participación deberá tener como finalidad el acceso a la justicia, el conocimiento de la verdad de lo ocurrido y el otorgamiento de una justa </w:t>
      </w:r>
      <w:r w:rsidRPr="00D13792">
        <w:rPr>
          <w:color w:val="000000"/>
          <w:spacing w:val="-2"/>
          <w:lang w:val="es-CR"/>
        </w:rPr>
        <w:t>reparación</w:t>
      </w:r>
      <w:r w:rsidRPr="00D13792">
        <w:rPr>
          <w:rStyle w:val="FootnoteReference"/>
          <w:rFonts w:eastAsia="Calibri"/>
          <w:color w:val="000000"/>
          <w:lang w:val="es-CR"/>
        </w:rPr>
        <w:footnoteReference w:id="264"/>
      </w:r>
      <w:r w:rsidRPr="00D13792">
        <w:rPr>
          <w:rFonts w:eastAsia="Calibri" w:cs="Verdana"/>
          <w:color w:val="000000"/>
          <w:lang w:val="es-CR"/>
        </w:rPr>
        <w:t xml:space="preserve">. En cuanto a este punto, la Corte constata que </w:t>
      </w:r>
      <w:r w:rsidRPr="00D13792">
        <w:rPr>
          <w:rFonts w:eastAsia="Calibri"/>
          <w:color w:val="000000"/>
          <w:lang w:val="es-CR"/>
        </w:rPr>
        <w:t>los días 5 de diciembre de 1997</w:t>
      </w:r>
      <w:r w:rsidRPr="00D13792">
        <w:rPr>
          <w:rStyle w:val="FootnoteReference"/>
          <w:rFonts w:cs="Arial"/>
          <w:lang w:val="es-CR"/>
        </w:rPr>
        <w:footnoteReference w:id="265"/>
      </w:r>
      <w:r w:rsidRPr="00D13792">
        <w:rPr>
          <w:rFonts w:eastAsia="Calibri"/>
          <w:color w:val="000000"/>
          <w:lang w:val="es-CR"/>
        </w:rPr>
        <w:t xml:space="preserve"> y</w:t>
      </w:r>
      <w:r w:rsidRPr="00D13792">
        <w:rPr>
          <w:rFonts w:cs="Arial"/>
          <w:color w:val="000000"/>
          <w:lang w:val="es-CR"/>
        </w:rPr>
        <w:t xml:space="preserve"> 29 de enero de 1998</w:t>
      </w:r>
      <w:r w:rsidRPr="00D13792">
        <w:rPr>
          <w:rStyle w:val="FootnoteReference"/>
          <w:rFonts w:cs="Arial"/>
          <w:lang w:val="es-CR"/>
        </w:rPr>
        <w:footnoteReference w:id="266"/>
      </w:r>
      <w:r w:rsidRPr="00D13792">
        <w:rPr>
          <w:rFonts w:cs="Arial"/>
          <w:color w:val="000000"/>
          <w:lang w:val="es-CR"/>
        </w:rPr>
        <w:t xml:space="preserve"> Miguel Sic Osorio, Fabiana Chen Galiego y Teresa </w:t>
      </w:r>
      <w:r w:rsidRPr="00D13792">
        <w:rPr>
          <w:color w:val="000000"/>
          <w:lang w:val="es-CR"/>
        </w:rPr>
        <w:t>Cacaj</w:t>
      </w:r>
      <w:r w:rsidRPr="00D13792">
        <w:rPr>
          <w:rFonts w:cs="Arial"/>
          <w:color w:val="000000"/>
          <w:lang w:val="es-CR"/>
        </w:rPr>
        <w:t xml:space="preserve"> Cahuec solicitaron al Juzgado de Primera Instancia, adherirse al proceso como </w:t>
      </w:r>
      <w:r w:rsidRPr="00D13792">
        <w:rPr>
          <w:color w:val="000000"/>
          <w:lang w:val="es-CR"/>
        </w:rPr>
        <w:t>querellantes</w:t>
      </w:r>
      <w:r w:rsidRPr="00D13792">
        <w:rPr>
          <w:rFonts w:cs="Arial"/>
          <w:color w:val="000000"/>
          <w:lang w:val="es-CR"/>
        </w:rPr>
        <w:t>. Sin embargo, fue recién en marzo de 1999, es decir, más de un año después de la primera solicitud, que esta fue resuelta, debido a que se había extraviado el expediente No. 255-93, dentro del cual se practicó la diligencia de exhumación de 1993</w:t>
      </w:r>
      <w:r w:rsidRPr="00D13792">
        <w:rPr>
          <w:rStyle w:val="FootnoteReference"/>
          <w:rFonts w:cs="Arial"/>
          <w:lang w:val="es-CR"/>
        </w:rPr>
        <w:footnoteReference w:id="267"/>
      </w:r>
      <w:r w:rsidRPr="00D13792">
        <w:rPr>
          <w:rFonts w:cs="Arial"/>
          <w:color w:val="000000"/>
          <w:lang w:val="es-CR"/>
        </w:rPr>
        <w:t xml:space="preserve">. Al respecto, </w:t>
      </w:r>
      <w:r w:rsidRPr="00D13792">
        <w:rPr>
          <w:rFonts w:eastAsia="Calibri" w:cs="Verdana"/>
          <w:color w:val="000000"/>
          <w:lang w:val="es-CR"/>
        </w:rPr>
        <w:t xml:space="preserve">la Corte considera que la demora de más de un año en resolver la solicitud de adherirse al proceso vulneró el derecho de participar en el mismo de dichos familiares. Por otra parte, esta Corte considera que el “extravío” del expediente No. 255-93 Of. 4to denota por sí mismo una falta de debida diligencia en la investigación. </w:t>
      </w:r>
    </w:p>
    <w:p w14:paraId="2D191A98" w14:textId="77777777" w:rsidR="006A0E1C" w:rsidRPr="00D13792" w:rsidRDefault="006A0E1C" w:rsidP="006A0E1C">
      <w:pPr>
        <w:autoSpaceDE w:val="0"/>
        <w:autoSpaceDN w:val="0"/>
        <w:spacing w:line="240" w:lineRule="auto"/>
        <w:rPr>
          <w:rFonts w:eastAsia="Calibri"/>
          <w:color w:val="000000"/>
          <w:sz w:val="20"/>
          <w:szCs w:val="20"/>
        </w:rPr>
      </w:pPr>
    </w:p>
    <w:p w14:paraId="371E0CFD" w14:textId="77777777" w:rsidR="006A0E1C" w:rsidRPr="00D13792" w:rsidRDefault="006A0E1C" w:rsidP="006A0E1C">
      <w:pPr>
        <w:autoSpaceDE w:val="0"/>
        <w:autoSpaceDN w:val="0"/>
        <w:spacing w:line="240" w:lineRule="auto"/>
        <w:rPr>
          <w:rFonts w:eastAsia="Calibri"/>
          <w:i/>
          <w:color w:val="000000"/>
          <w:sz w:val="20"/>
          <w:szCs w:val="20"/>
        </w:rPr>
      </w:pPr>
      <w:r w:rsidRPr="00D13792">
        <w:rPr>
          <w:rFonts w:eastAsia="Calibri"/>
          <w:i/>
          <w:color w:val="000000"/>
          <w:sz w:val="20"/>
          <w:szCs w:val="20"/>
        </w:rPr>
        <w:t>B.1.1.3. Obstaculización</w:t>
      </w:r>
    </w:p>
    <w:p w14:paraId="16E52299" w14:textId="77777777" w:rsidR="006A0E1C" w:rsidRPr="00D13792" w:rsidRDefault="006A0E1C" w:rsidP="006A0E1C">
      <w:pPr>
        <w:autoSpaceDE w:val="0"/>
        <w:autoSpaceDN w:val="0"/>
        <w:spacing w:line="240" w:lineRule="auto"/>
        <w:ind w:left="720"/>
        <w:rPr>
          <w:rFonts w:eastAsia="Calibri"/>
          <w:color w:val="000000"/>
          <w:sz w:val="20"/>
          <w:szCs w:val="20"/>
        </w:rPr>
      </w:pPr>
    </w:p>
    <w:p w14:paraId="6F6D1581"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rFonts w:eastAsia="Calibri"/>
          <w:color w:val="000000"/>
          <w:lang w:val="es-CR"/>
        </w:rPr>
        <w:t>Por último,</w:t>
      </w:r>
      <w:r w:rsidRPr="00D13792">
        <w:rPr>
          <w:color w:val="000000"/>
          <w:spacing w:val="-2"/>
          <w:lang w:val="es-CR"/>
        </w:rPr>
        <w:t xml:space="preserve"> esta Corte ha señalado que las autoridades estatales están</w:t>
      </w:r>
      <w:r w:rsidRPr="00D13792">
        <w:rPr>
          <w:rFonts w:eastAsia="Batang" w:cs="Verdana"/>
          <w:color w:val="000000"/>
          <w:lang w:val="es-CR"/>
        </w:rPr>
        <w:t xml:space="preserve"> obligadas a colaborar en la obtención de la prueba para alcanzar los objetivos de una investigación y abstenerse de </w:t>
      </w:r>
      <w:r w:rsidRPr="00D13792">
        <w:rPr>
          <w:rFonts w:eastAsia="Batang" w:cs="Verdana"/>
          <w:color w:val="000000"/>
          <w:lang w:val="es-CR"/>
        </w:rPr>
        <w:lastRenderedPageBreak/>
        <w:t>realizar actos que impliquen obstrucciones para la marcha del proceso investigativo</w:t>
      </w:r>
      <w:r w:rsidRPr="00D13792">
        <w:rPr>
          <w:color w:val="000000"/>
          <w:vertAlign w:val="superscript"/>
          <w:lang w:val="es-CR"/>
        </w:rPr>
        <w:footnoteReference w:id="268"/>
      </w:r>
      <w:r w:rsidRPr="00D13792">
        <w:rPr>
          <w:rFonts w:eastAsia="Batang" w:cs="Verdana"/>
          <w:color w:val="000000"/>
          <w:lang w:val="es-CR"/>
        </w:rPr>
        <w:t xml:space="preserve">. </w:t>
      </w:r>
      <w:r w:rsidRPr="00D13792">
        <w:rPr>
          <w:color w:val="000000"/>
          <w:spacing w:val="-2"/>
          <w:lang w:val="es-CR"/>
        </w:rPr>
        <w:t xml:space="preserve">Al </w:t>
      </w:r>
      <w:r w:rsidRPr="00D13792">
        <w:rPr>
          <w:rFonts w:cs="Arial"/>
          <w:color w:val="000000"/>
          <w:lang w:val="es-CR"/>
        </w:rPr>
        <w:t>respecto</w:t>
      </w:r>
      <w:r w:rsidRPr="00D13792">
        <w:rPr>
          <w:color w:val="000000"/>
          <w:spacing w:val="-2"/>
          <w:lang w:val="es-CR"/>
        </w:rPr>
        <w:t xml:space="preserve">, </w:t>
      </w:r>
      <w:r w:rsidRPr="00D13792">
        <w:rPr>
          <w:rFonts w:eastAsia="Calibri"/>
          <w:color w:val="000000"/>
          <w:lang w:val="es-CR"/>
        </w:rPr>
        <w:t xml:space="preserve">el Tribunal constató que, ante la solicitud del Juez de Primera Instancia de </w:t>
      </w:r>
      <w:r w:rsidRPr="00D13792">
        <w:rPr>
          <w:rFonts w:cs="Arial"/>
          <w:lang w:val="es-CR"/>
        </w:rPr>
        <w:t>7 de mayo de 1993</w:t>
      </w:r>
      <w:r w:rsidRPr="00D13792">
        <w:rPr>
          <w:rStyle w:val="FootnoteReference"/>
          <w:rFonts w:cs="Arial"/>
          <w:lang w:val="es-CR"/>
        </w:rPr>
        <w:footnoteReference w:id="269"/>
      </w:r>
      <w:r w:rsidRPr="00D13792">
        <w:rPr>
          <w:rFonts w:cs="Arial"/>
          <w:lang w:val="es-CR"/>
        </w:rPr>
        <w:t xml:space="preserve"> de</w:t>
      </w:r>
      <w:r w:rsidRPr="00D13792">
        <w:rPr>
          <w:rFonts w:eastAsia="Calibri"/>
          <w:color w:val="000000"/>
          <w:lang w:val="es-CR"/>
        </w:rPr>
        <w:t xml:space="preserve"> los nombres de las personas que se desempeñaban como comisionados militares y ayudantes de comisionados en el municipio de Rabinal en 1982, así como información sobre si se les </w:t>
      </w:r>
      <w:r w:rsidRPr="00D13792">
        <w:rPr>
          <w:rFonts w:cs="Arial"/>
          <w:lang w:val="es-CR"/>
        </w:rPr>
        <w:t>asignó alguna comisión el 8 de enero de ese año,</w:t>
      </w:r>
      <w:r w:rsidRPr="00D13792">
        <w:rPr>
          <w:rFonts w:eastAsia="Calibri"/>
          <w:color w:val="000000"/>
          <w:lang w:val="es-CR"/>
        </w:rPr>
        <w:t xml:space="preserve"> el Comandante de Reservas Militares respondió el 9 de mayo de 1993, que </w:t>
      </w:r>
      <w:r w:rsidRPr="00D13792">
        <w:rPr>
          <w:color w:val="000000"/>
          <w:lang w:val="es-CR"/>
        </w:rPr>
        <w:t>“durante el año 1982 no existían comisionados militares en dicha aldea ya que esa área era tomada como zona de operaciones de la delincuencia terrorista</w:t>
      </w:r>
      <w:r w:rsidRPr="00D13792">
        <w:rPr>
          <w:lang w:val="es-CR"/>
        </w:rPr>
        <w:t>[,…] así […] no pudo nombrarse ninguna comisión el 8 de enero de 1982”</w:t>
      </w:r>
      <w:r w:rsidRPr="00D13792">
        <w:rPr>
          <w:rStyle w:val="FootnoteReference"/>
          <w:lang w:val="es-CR"/>
        </w:rPr>
        <w:footnoteReference w:id="270"/>
      </w:r>
      <w:r w:rsidRPr="00D13792">
        <w:rPr>
          <w:lang w:val="es-CR"/>
        </w:rPr>
        <w:t>.</w:t>
      </w:r>
      <w:r w:rsidRPr="00D13792">
        <w:rPr>
          <w:color w:val="000000"/>
          <w:lang w:val="es-CR"/>
        </w:rPr>
        <w:t xml:space="preserve"> </w:t>
      </w:r>
      <w:r w:rsidRPr="00D13792">
        <w:rPr>
          <w:rFonts w:eastAsia="Calibri"/>
          <w:color w:val="000000"/>
          <w:lang w:val="es-CR"/>
        </w:rPr>
        <w:t xml:space="preserve">Como se ha señalado, según la CEH, el municipio de Rabinal fue considerado por el Ejército como un área estratégica durante el conflicto armado interno, y entre los años 1981 y 1983 </w:t>
      </w:r>
      <w:r w:rsidRPr="00D13792">
        <w:rPr>
          <w:color w:val="000000"/>
          <w:lang w:val="es-CR"/>
        </w:rPr>
        <w:t>grupos militares o paramilitares asesinaron por lo menos un 20% de la población del municipio (</w:t>
      </w:r>
      <w:r w:rsidRPr="00D13792">
        <w:rPr>
          <w:i/>
          <w:color w:val="000000"/>
          <w:lang w:val="es-CR"/>
        </w:rPr>
        <w:t xml:space="preserve">supra </w:t>
      </w:r>
      <w:r w:rsidRPr="00D13792">
        <w:rPr>
          <w:color w:val="000000"/>
          <w:lang w:val="es-CR"/>
        </w:rPr>
        <w:t>párr. 84). Además, fueron miembros del Ejército de Guatemala asignados al destacamento de Rabinal, policías judiciales y comisionados militares quienes perpetraron la masacre en la clínica de la aldea Chichupac el 8 de enero de 1982 (</w:t>
      </w:r>
      <w:r w:rsidRPr="00D13792">
        <w:rPr>
          <w:i/>
          <w:color w:val="000000"/>
          <w:lang w:val="es-CR"/>
        </w:rPr>
        <w:t xml:space="preserve">supra </w:t>
      </w:r>
      <w:r w:rsidRPr="00D13792">
        <w:rPr>
          <w:color w:val="000000"/>
          <w:lang w:val="es-CR"/>
        </w:rPr>
        <w:t xml:space="preserve">párrs. 89 y 90). Así, esta negación de la existencia de comisionados miliares en la zona en el año 1982, y </w:t>
      </w:r>
      <w:r w:rsidRPr="00D13792">
        <w:rPr>
          <w:lang w:val="es-CR"/>
        </w:rPr>
        <w:t>de la presencia y participación de militares en operaciones,</w:t>
      </w:r>
      <w:r w:rsidRPr="00D13792">
        <w:rPr>
          <w:color w:val="000000"/>
          <w:lang w:val="es-CR"/>
        </w:rPr>
        <w:t xml:space="preserve"> constituyó un claro intento de ocultar los nombres de las personas posiblemente responsables de la masacre. </w:t>
      </w:r>
    </w:p>
    <w:p w14:paraId="46DEF278"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color w:val="000000"/>
          <w:sz w:val="20"/>
          <w:szCs w:val="20"/>
          <w:lang w:val="es-CR"/>
        </w:rPr>
      </w:pPr>
    </w:p>
    <w:p w14:paraId="7208C221" w14:textId="77777777" w:rsidR="006A0E1C" w:rsidRPr="00D13792" w:rsidRDefault="006A0E1C" w:rsidP="006A0E1C">
      <w:pPr>
        <w:autoSpaceDE w:val="0"/>
        <w:autoSpaceDN w:val="0"/>
        <w:spacing w:line="240" w:lineRule="auto"/>
        <w:rPr>
          <w:rFonts w:eastAsia="Calibri"/>
          <w:i/>
          <w:color w:val="000000"/>
          <w:sz w:val="20"/>
          <w:szCs w:val="20"/>
        </w:rPr>
      </w:pPr>
      <w:r w:rsidRPr="00D13792">
        <w:rPr>
          <w:rFonts w:eastAsia="Calibri"/>
          <w:i/>
          <w:color w:val="000000"/>
          <w:sz w:val="20"/>
          <w:szCs w:val="20"/>
        </w:rPr>
        <w:t xml:space="preserve">B.1.1.4. Conclusión en cuanto al Expediente </w:t>
      </w:r>
      <w:r w:rsidRPr="00D13792">
        <w:rPr>
          <w:rFonts w:eastAsia="Calibri"/>
          <w:color w:val="000000"/>
          <w:sz w:val="20"/>
          <w:szCs w:val="20"/>
        </w:rPr>
        <w:t xml:space="preserve">No. 001-2005-95839 </w:t>
      </w:r>
    </w:p>
    <w:p w14:paraId="550C5257" w14:textId="77777777" w:rsidR="006A0E1C" w:rsidRPr="00D13792" w:rsidRDefault="006A0E1C" w:rsidP="006A0E1C">
      <w:pPr>
        <w:pStyle w:val="ListParagraph"/>
        <w:autoSpaceDE w:val="0"/>
        <w:autoSpaceDN w:val="0"/>
        <w:adjustRightInd w:val="0"/>
        <w:spacing w:after="0" w:line="240" w:lineRule="auto"/>
        <w:jc w:val="both"/>
        <w:rPr>
          <w:rFonts w:ascii="Verdana" w:eastAsia="Calibri" w:hAnsi="Verdana"/>
          <w:b/>
          <w:color w:val="000000"/>
          <w:sz w:val="20"/>
          <w:szCs w:val="20"/>
          <w:lang w:val="es-CR"/>
        </w:rPr>
      </w:pPr>
    </w:p>
    <w:p w14:paraId="54BFB23D"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rFonts w:eastAsia="Calibri"/>
          <w:color w:val="000000"/>
          <w:lang w:val="es-CR"/>
        </w:rPr>
        <w:t xml:space="preserve">De lo anterior se desprende que, en el marco de la investigación de la masacre de 8 de enero de 1982, el Estado incurrió en una serie de faltas de debida diligencia y al menos una obstaculización que han impedido la investigación efectiva, juzgamiento y eventual sanción de los responsables. </w:t>
      </w:r>
    </w:p>
    <w:p w14:paraId="5925B7CF"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color w:val="000000"/>
          <w:sz w:val="20"/>
          <w:szCs w:val="20"/>
          <w:lang w:val="es-CR"/>
        </w:rPr>
      </w:pPr>
    </w:p>
    <w:p w14:paraId="17095E63" w14:textId="77777777" w:rsidR="006A0E1C" w:rsidRPr="00D13792" w:rsidRDefault="006A0E1C" w:rsidP="006A0E1C">
      <w:pPr>
        <w:autoSpaceDE w:val="0"/>
        <w:autoSpaceDN w:val="0"/>
        <w:spacing w:line="240" w:lineRule="auto"/>
        <w:rPr>
          <w:rFonts w:eastAsia="Calibri"/>
          <w:b/>
          <w:i/>
          <w:color w:val="000000"/>
          <w:sz w:val="20"/>
          <w:szCs w:val="20"/>
        </w:rPr>
      </w:pPr>
      <w:r w:rsidRPr="00D13792">
        <w:rPr>
          <w:rFonts w:eastAsia="Calibri"/>
          <w:b/>
          <w:i/>
          <w:color w:val="000000"/>
          <w:sz w:val="20"/>
          <w:szCs w:val="20"/>
        </w:rPr>
        <w:t>B.1.2. Expedientes abiertos en relación con hechos ocurridos antes y después de la masacre de 8 de enero de 1982</w:t>
      </w:r>
    </w:p>
    <w:p w14:paraId="5D76BBCD"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i/>
          <w:color w:val="000000"/>
          <w:sz w:val="20"/>
          <w:szCs w:val="20"/>
          <w:lang w:val="es-CR"/>
        </w:rPr>
      </w:pPr>
    </w:p>
    <w:p w14:paraId="2F0F9E63" w14:textId="77777777" w:rsidR="006A0E1C" w:rsidRPr="00D13792" w:rsidRDefault="006A0E1C" w:rsidP="006A0E1C">
      <w:pPr>
        <w:pStyle w:val="Prrafodelista2"/>
        <w:numPr>
          <w:ilvl w:val="0"/>
          <w:numId w:val="23"/>
        </w:numPr>
        <w:tabs>
          <w:tab w:val="left" w:pos="720"/>
        </w:tabs>
        <w:ind w:right="-90"/>
        <w:jc w:val="both"/>
        <w:rPr>
          <w:rFonts w:eastAsia="Calibri"/>
          <w:b/>
          <w:color w:val="000000"/>
          <w:lang w:val="es-CR"/>
        </w:rPr>
      </w:pPr>
      <w:r w:rsidRPr="00D13792">
        <w:rPr>
          <w:rFonts w:eastAsia="Calibri"/>
          <w:color w:val="000000"/>
          <w:lang w:val="es-CR"/>
        </w:rPr>
        <w:t>A partir de una evaluación de los</w:t>
      </w:r>
      <w:r w:rsidRPr="00D13792">
        <w:rPr>
          <w:rFonts w:cs="Arial"/>
          <w:color w:val="000000"/>
          <w:lang w:val="es-CR"/>
        </w:rPr>
        <w:t xml:space="preserve"> nueve expedientes abiertos en relación con los hechos</w:t>
      </w:r>
      <w:r w:rsidRPr="00D13792">
        <w:rPr>
          <w:lang w:val="es-CR"/>
        </w:rPr>
        <w:t xml:space="preserve"> </w:t>
      </w:r>
      <w:r w:rsidRPr="00D13792">
        <w:rPr>
          <w:rFonts w:cs="Arial"/>
          <w:color w:val="000000"/>
          <w:lang w:val="es-CR"/>
        </w:rPr>
        <w:t>ocurridos antes y después de la masacre de 8 de enero de 1982,</w:t>
      </w:r>
      <w:r w:rsidRPr="00D13792">
        <w:rPr>
          <w:rFonts w:eastAsia="Calibri"/>
          <w:color w:val="000000"/>
          <w:lang w:val="es-CR"/>
        </w:rPr>
        <w:t xml:space="preserve"> el Tribunal ha verificado lo siguiente. </w:t>
      </w:r>
    </w:p>
    <w:p w14:paraId="053BF98F" w14:textId="77777777" w:rsidR="006A0E1C" w:rsidRPr="00D13792" w:rsidRDefault="006A0E1C" w:rsidP="006A0E1C">
      <w:pPr>
        <w:pStyle w:val="ListParagraph"/>
        <w:autoSpaceDE w:val="0"/>
        <w:autoSpaceDN w:val="0"/>
        <w:adjustRightInd w:val="0"/>
        <w:spacing w:after="0" w:line="240" w:lineRule="auto"/>
        <w:jc w:val="both"/>
        <w:rPr>
          <w:rFonts w:ascii="Verdana" w:eastAsia="Calibri" w:hAnsi="Verdana"/>
          <w:color w:val="000000"/>
          <w:sz w:val="20"/>
          <w:szCs w:val="20"/>
          <w:lang w:val="es-CR"/>
        </w:rPr>
      </w:pPr>
    </w:p>
    <w:p w14:paraId="68E1A243"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 xml:space="preserve">En primer lugar, en siete expedientes </w:t>
      </w:r>
      <w:r w:rsidRPr="00D13792">
        <w:rPr>
          <w:rFonts w:eastAsia="Calibri"/>
          <w:lang w:val="es-CR"/>
        </w:rPr>
        <w:t>no se advierten acciones</w:t>
      </w:r>
      <w:r w:rsidRPr="00D13792">
        <w:rPr>
          <w:color w:val="000000"/>
          <w:lang w:val="es-CR"/>
        </w:rPr>
        <w:t xml:space="preserve"> dirigidas a la determinación de los responsables de los hechos. En dos de estos - el expediente</w:t>
      </w:r>
      <w:r w:rsidRPr="00D13792">
        <w:rPr>
          <w:rFonts w:cs="Arial"/>
          <w:lang w:val="es-CR"/>
        </w:rPr>
        <w:t xml:space="preserve"> No. 811-95 Of. 1ro ante la Fiscalía Distrital del Ministerio Público de Salamá, </w:t>
      </w:r>
      <w:r w:rsidRPr="00D13792">
        <w:rPr>
          <w:rFonts w:cs="Verdana"/>
          <w:color w:val="000000"/>
          <w:lang w:val="es-CR"/>
        </w:rPr>
        <w:t>en el cual se denunció la desaparición de familiares de María Teresa Sic Osorio, Albertina Sic Cuxum y Alejandra Galiego Mendoza</w:t>
      </w:r>
      <w:r w:rsidRPr="00D13792">
        <w:rPr>
          <w:rStyle w:val="FootnoteReference"/>
          <w:rFonts w:cs="Verdana"/>
          <w:color w:val="000000"/>
          <w:lang w:val="es-CR"/>
        </w:rPr>
        <w:footnoteReference w:id="271"/>
      </w:r>
      <w:r w:rsidRPr="00D13792">
        <w:rPr>
          <w:rFonts w:cs="Verdana"/>
          <w:color w:val="000000"/>
          <w:lang w:val="es-CR"/>
        </w:rPr>
        <w:t xml:space="preserve">, entre otros, </w:t>
      </w:r>
      <w:r w:rsidRPr="00D13792">
        <w:rPr>
          <w:lang w:val="es-CR"/>
        </w:rPr>
        <w:t>y el expediente No. 248-2006-169 ante la Fiscalía Municipal del Ministerio Público de Rabinal, en el que se denunció el desplazamiento forzado de la familia del señor Chen Tahuico y la muerte de su hijo</w:t>
      </w:r>
      <w:r w:rsidRPr="00D13792">
        <w:rPr>
          <w:rStyle w:val="FootnoteReference"/>
          <w:lang w:val="es-CR"/>
        </w:rPr>
        <w:footnoteReference w:id="272"/>
      </w:r>
      <w:r w:rsidRPr="00D13792">
        <w:rPr>
          <w:lang w:val="es-CR"/>
        </w:rPr>
        <w:t xml:space="preserve">- </w:t>
      </w:r>
      <w:r w:rsidRPr="00D13792">
        <w:rPr>
          <w:color w:val="000000"/>
          <w:lang w:val="es-CR"/>
        </w:rPr>
        <w:t>no se registra actividad investigativa alguna. Este Tribunal ha señalado que</w:t>
      </w:r>
      <w:r w:rsidRPr="00D13792" w:rsidDel="00EF5150">
        <w:rPr>
          <w:color w:val="000000"/>
          <w:lang w:val="es-CR"/>
        </w:rPr>
        <w:t xml:space="preserve"> la búsqueda efectiva de la verdad corresponde al Estado y no </w:t>
      </w:r>
      <w:r w:rsidRPr="00D13792" w:rsidDel="00EF5150">
        <w:rPr>
          <w:rFonts w:eastAsia="Calibri"/>
          <w:color w:val="000000"/>
          <w:lang w:val="es-CR"/>
        </w:rPr>
        <w:t>depende</w:t>
      </w:r>
      <w:r w:rsidRPr="00D13792" w:rsidDel="00EF5150">
        <w:rPr>
          <w:color w:val="000000"/>
          <w:lang w:val="es-CR"/>
        </w:rPr>
        <w:t xml:space="preserve"> de la </w:t>
      </w:r>
      <w:r w:rsidRPr="00D13792" w:rsidDel="00EF5150">
        <w:rPr>
          <w:color w:val="000000"/>
          <w:lang w:val="es-CR"/>
        </w:rPr>
        <w:lastRenderedPageBreak/>
        <w:t>iniciativa procesal de la víctima o de sus familiares</w:t>
      </w:r>
      <w:r w:rsidRPr="00D13792">
        <w:rPr>
          <w:color w:val="000000"/>
          <w:lang w:val="es-CR"/>
        </w:rPr>
        <w:t>,</w:t>
      </w:r>
      <w:r w:rsidRPr="00D13792" w:rsidDel="00EF5150">
        <w:rPr>
          <w:color w:val="000000"/>
          <w:lang w:val="es-CR"/>
        </w:rPr>
        <w:t xml:space="preserve"> o de la aportación privada de elementos probatorio</w:t>
      </w:r>
      <w:r w:rsidRPr="00D13792">
        <w:rPr>
          <w:color w:val="000000"/>
          <w:lang w:val="es-CR"/>
        </w:rPr>
        <w:t>s</w:t>
      </w:r>
      <w:r w:rsidRPr="00D13792">
        <w:rPr>
          <w:rStyle w:val="FootnoteReference"/>
          <w:rFonts w:cs="Verdana"/>
          <w:color w:val="000000"/>
          <w:lang w:val="es-CR"/>
        </w:rPr>
        <w:footnoteReference w:id="273"/>
      </w:r>
      <w:r w:rsidRPr="00D13792">
        <w:rPr>
          <w:color w:val="000000"/>
          <w:lang w:val="es-CR"/>
        </w:rPr>
        <w:t>. P</w:t>
      </w:r>
      <w:r w:rsidRPr="00D13792">
        <w:rPr>
          <w:rFonts w:cs="Verdana"/>
          <w:color w:val="000000"/>
          <w:lang w:val="es-CR"/>
        </w:rPr>
        <w:t>or ello, la Corte considera particularmente problemático que el 15 de agosto de 1995 el Fiscal Distrital de Salamá ordenó el archivo del expediente No. 811-95 Of. 1ro debido a que “no aparec[ía] individualizado el imputado”</w:t>
      </w:r>
      <w:r w:rsidRPr="00D13792">
        <w:rPr>
          <w:rStyle w:val="FootnoteReference"/>
          <w:rFonts w:cs="Calibri,Bold"/>
          <w:bCs/>
          <w:lang w:val="es-CR"/>
        </w:rPr>
        <w:footnoteReference w:id="274"/>
      </w:r>
      <w:r w:rsidRPr="00D13792">
        <w:rPr>
          <w:rFonts w:cs="Verdana"/>
          <w:color w:val="000000"/>
          <w:lang w:val="es-CR"/>
        </w:rPr>
        <w:t>. El caso fue archivado solamente un mes después de la denuncia interpuesta el 12 de julio de 1995, sin que se ordenara una investigación a fin de determinar a los responsables ni localizar a las personas desaparecidas, entre ellas, Lorenzo Depaz Siprian, Leonardo Cahuec Gonzalez, Juan Mendoza Alvarado y José Cruz Mendoza Sucup.</w:t>
      </w:r>
      <w:r w:rsidRPr="00D13792">
        <w:rPr>
          <w:rFonts w:eastAsia="Calibri"/>
          <w:color w:val="000000"/>
          <w:lang w:val="es-CR"/>
        </w:rPr>
        <w:t xml:space="preserve"> Por otra parte</w:t>
      </w:r>
      <w:r w:rsidRPr="00D13792">
        <w:rPr>
          <w:color w:val="000000"/>
          <w:lang w:val="es-CR"/>
        </w:rPr>
        <w:t>, en otros cinco expedientes</w:t>
      </w:r>
      <w:r w:rsidRPr="00D13792">
        <w:rPr>
          <w:rStyle w:val="FootnoteReference"/>
          <w:color w:val="000000"/>
          <w:lang w:val="es-CR"/>
        </w:rPr>
        <w:footnoteReference w:id="275"/>
      </w:r>
      <w:r w:rsidRPr="00D13792">
        <w:rPr>
          <w:color w:val="000000"/>
          <w:lang w:val="es-CR"/>
        </w:rPr>
        <w:t xml:space="preserve">, las actuaciones se limitaron a la exhumación y, en </w:t>
      </w:r>
      <w:r w:rsidRPr="00D13792">
        <w:rPr>
          <w:rFonts w:eastAsia="Calibri"/>
          <w:color w:val="000000"/>
          <w:lang w:val="es-CR"/>
        </w:rPr>
        <w:t>algunos</w:t>
      </w:r>
      <w:r w:rsidRPr="00D13792">
        <w:rPr>
          <w:color w:val="000000"/>
          <w:lang w:val="es-CR"/>
        </w:rPr>
        <w:t xml:space="preserve"> casos, a la entrega de restos a sus familiares, pese a que los familiares solicitaron otras medidas de investigación</w:t>
      </w:r>
      <w:r w:rsidRPr="00D13792">
        <w:rPr>
          <w:rStyle w:val="FootnoteReference"/>
          <w:color w:val="000000"/>
          <w:lang w:val="es-CR"/>
        </w:rPr>
        <w:footnoteReference w:id="276"/>
      </w:r>
      <w:r w:rsidRPr="00D13792">
        <w:rPr>
          <w:color w:val="000000"/>
          <w:lang w:val="es-CR"/>
        </w:rPr>
        <w:t>. No escapa a la Corte que entre los años 1995 y 2010 se denunciaron en estos cinco expedientes</w:t>
      </w:r>
      <w:r w:rsidRPr="00D13792">
        <w:rPr>
          <w:rStyle w:val="FootnoteReference"/>
          <w:color w:val="000000"/>
          <w:lang w:val="es-CR"/>
        </w:rPr>
        <w:footnoteReference w:id="277"/>
      </w:r>
      <w:r w:rsidRPr="00D13792">
        <w:rPr>
          <w:color w:val="000000"/>
          <w:lang w:val="es-CR"/>
        </w:rPr>
        <w:t xml:space="preserve">, ejecuciones, torturas, violación sexual, desplazamiento forzado, trabajos forzosos y desapariciones. El Tribunal se referirá a este punto </w:t>
      </w:r>
      <w:r w:rsidRPr="00D13792">
        <w:rPr>
          <w:rFonts w:cs="Arial"/>
          <w:color w:val="000000"/>
          <w:lang w:val="es-CR"/>
        </w:rPr>
        <w:t xml:space="preserve">en el apartado B.2 </w:t>
      </w:r>
      <w:r w:rsidRPr="00D13792">
        <w:rPr>
          <w:rFonts w:cs="Arial"/>
          <w:i/>
          <w:color w:val="000000"/>
          <w:lang w:val="es-CR"/>
        </w:rPr>
        <w:t>infra.</w:t>
      </w:r>
      <w:r w:rsidRPr="00D13792">
        <w:rPr>
          <w:i/>
          <w:color w:val="000000"/>
          <w:lang w:val="es-CR"/>
        </w:rPr>
        <w:t xml:space="preserve"> </w:t>
      </w:r>
    </w:p>
    <w:p w14:paraId="331AD0D6" w14:textId="77777777" w:rsidR="006A0E1C" w:rsidRPr="00D13792" w:rsidRDefault="006A0E1C" w:rsidP="006A0E1C">
      <w:pPr>
        <w:pStyle w:val="Prrafodelista2"/>
        <w:tabs>
          <w:tab w:val="left" w:pos="720"/>
        </w:tabs>
        <w:ind w:left="0" w:right="-90"/>
        <w:jc w:val="both"/>
        <w:rPr>
          <w:rFonts w:eastAsia="Calibri"/>
          <w:color w:val="000000"/>
          <w:lang w:val="es-CR"/>
        </w:rPr>
      </w:pPr>
    </w:p>
    <w:p w14:paraId="26CA7C2F"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 xml:space="preserve">En segundo lugar, este Tribunal ha registrado demoras de cinco a diez años en la realización de las exhumaciones en cementerios clandestinos solicitadas por los familiares </w:t>
      </w:r>
      <w:r w:rsidRPr="00D13792">
        <w:rPr>
          <w:rFonts w:cs="Arial"/>
          <w:color w:val="000000"/>
          <w:lang w:val="es-CR"/>
        </w:rPr>
        <w:t>de</w:t>
      </w:r>
      <w:r w:rsidRPr="00D13792">
        <w:rPr>
          <w:rFonts w:eastAsia="Calibri"/>
          <w:color w:val="000000"/>
          <w:lang w:val="es-CR"/>
        </w:rPr>
        <w:t xml:space="preserve"> las víctimas</w:t>
      </w:r>
      <w:r w:rsidRPr="00D13792">
        <w:rPr>
          <w:rStyle w:val="FootnoteReference"/>
          <w:rFonts w:eastAsia="Calibri"/>
          <w:color w:val="000000"/>
          <w:lang w:val="es-CR"/>
        </w:rPr>
        <w:footnoteReference w:id="278"/>
      </w:r>
      <w:r w:rsidRPr="00D13792">
        <w:rPr>
          <w:rFonts w:cs="Arial"/>
          <w:color w:val="000000"/>
          <w:lang w:val="es-CR"/>
        </w:rPr>
        <w:t xml:space="preserve">. Lo anterior, pese a que los familiares señalaron los lugares donde se encontrarían </w:t>
      </w:r>
      <w:r w:rsidRPr="00D13792">
        <w:rPr>
          <w:rFonts w:cs="Arial"/>
          <w:color w:val="000000"/>
          <w:lang w:val="es-CR"/>
        </w:rPr>
        <w:lastRenderedPageBreak/>
        <w:t xml:space="preserve">enterradas dichas personas. Asimismo, </w:t>
      </w:r>
      <w:r w:rsidRPr="00D13792">
        <w:rPr>
          <w:rFonts w:eastAsia="Calibri"/>
          <w:color w:val="000000"/>
          <w:lang w:val="es-CR"/>
        </w:rPr>
        <w:t xml:space="preserve">los restos del señor Elías </w:t>
      </w:r>
      <w:r w:rsidRPr="00D13792">
        <w:rPr>
          <w:rStyle w:val="CommentReference"/>
          <w:rFonts w:cs="Arial"/>
          <w:color w:val="000000"/>
          <w:sz w:val="20"/>
          <w:szCs w:val="20"/>
          <w:lang w:val="es-CR"/>
        </w:rPr>
        <w:t xml:space="preserve">Milián Gonzalez fueron entregados a su hija, la señora Tarcila Milián, por el Auxiliar </w:t>
      </w:r>
      <w:r w:rsidRPr="00D13792">
        <w:rPr>
          <w:rFonts w:cs="Arial"/>
          <w:lang w:val="es-CR"/>
        </w:rPr>
        <w:t>Fiscal de la Fiscalía Municipal del Ministerio Público de Rabinal</w:t>
      </w:r>
      <w:r w:rsidRPr="00D13792">
        <w:rPr>
          <w:rStyle w:val="CommentReference"/>
          <w:rFonts w:cs="Arial"/>
          <w:color w:val="000000"/>
          <w:sz w:val="20"/>
          <w:szCs w:val="20"/>
          <w:lang w:val="es-CR"/>
        </w:rPr>
        <w:t xml:space="preserve"> el 18 de abril de 2012</w:t>
      </w:r>
      <w:r w:rsidRPr="00D13792">
        <w:rPr>
          <w:rStyle w:val="FootnoteReference"/>
          <w:rFonts w:cs="Arial"/>
          <w:lang w:val="es-CR"/>
        </w:rPr>
        <w:footnoteReference w:id="279"/>
      </w:r>
      <w:r w:rsidRPr="00D13792">
        <w:rPr>
          <w:rStyle w:val="CommentReference"/>
          <w:rFonts w:cs="Arial"/>
          <w:color w:val="000000"/>
          <w:sz w:val="20"/>
          <w:szCs w:val="20"/>
          <w:lang w:val="es-CR"/>
        </w:rPr>
        <w:t>, 10 meses después de que ya habían sido exhumados e identificados</w:t>
      </w:r>
      <w:r w:rsidRPr="00D13792">
        <w:rPr>
          <w:rStyle w:val="FootnoteReference"/>
          <w:lang w:val="es-CR"/>
        </w:rPr>
        <w:footnoteReference w:id="280"/>
      </w:r>
      <w:r w:rsidRPr="00D13792">
        <w:rPr>
          <w:rStyle w:val="CommentReference"/>
          <w:rFonts w:cs="Arial"/>
          <w:color w:val="000000"/>
          <w:sz w:val="20"/>
          <w:szCs w:val="20"/>
          <w:lang w:val="es-CR"/>
        </w:rPr>
        <w:t xml:space="preserve">, sin que se desprenda del expediente la razón de dicha demora. </w:t>
      </w:r>
      <w:r w:rsidRPr="00D13792">
        <w:rPr>
          <w:rFonts w:cs="Arial"/>
          <w:color w:val="000000"/>
          <w:lang w:val="es-CR"/>
        </w:rPr>
        <w:t>Por otra parte, pese a que en abril de 2006 el señor Miguel Chen Tahuico manifestó a la Fiscalía del Ministerio Público de Rabinal que no pudo enterrar a su hijo en un cementerio legal debido a la “intensa persecución” que sufrió, y que además señaló dónde lo enterró y solicitó su exhumación, no se registra que dicha solicitud haya sido atendida</w:t>
      </w:r>
      <w:r w:rsidRPr="00D13792">
        <w:rPr>
          <w:rStyle w:val="FootnoteReference"/>
          <w:rFonts w:cs="Arial"/>
          <w:color w:val="000000"/>
          <w:lang w:val="es-CR"/>
        </w:rPr>
        <w:footnoteReference w:id="281"/>
      </w:r>
      <w:r w:rsidRPr="00D13792">
        <w:rPr>
          <w:rFonts w:cs="Arial"/>
          <w:color w:val="000000"/>
          <w:lang w:val="es-CR"/>
        </w:rPr>
        <w:t xml:space="preserve">. </w:t>
      </w:r>
      <w:r w:rsidRPr="00D13792">
        <w:rPr>
          <w:color w:val="000000"/>
          <w:lang w:val="es-CR" w:eastAsia="es-ES"/>
        </w:rPr>
        <w:t>De todo lo anterior se desprende que las exhumaciones realizadas se han llevado a cabo a partir de solicitudes y denuncias hechas por familiares de las víctimas, y que la iniciativa del Estado para la búsqueda e identificación de víctimas ha sido mínima.</w:t>
      </w:r>
    </w:p>
    <w:p w14:paraId="410AD3C4"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color w:val="000000"/>
          <w:sz w:val="20"/>
          <w:szCs w:val="20"/>
          <w:lang w:val="es-CR"/>
        </w:rPr>
      </w:pPr>
    </w:p>
    <w:p w14:paraId="576AE4FC" w14:textId="77777777" w:rsidR="006A0E1C" w:rsidRPr="00D13792" w:rsidRDefault="006A0E1C" w:rsidP="006A0E1C">
      <w:pPr>
        <w:pStyle w:val="Prrafodelista2"/>
        <w:numPr>
          <w:ilvl w:val="0"/>
          <w:numId w:val="23"/>
        </w:numPr>
        <w:tabs>
          <w:tab w:val="left" w:pos="720"/>
        </w:tabs>
        <w:ind w:right="-90"/>
        <w:jc w:val="both"/>
        <w:rPr>
          <w:rFonts w:cs="Verdana"/>
          <w:color w:val="000000"/>
          <w:lang w:val="es-CR"/>
        </w:rPr>
      </w:pPr>
      <w:r w:rsidRPr="00D13792">
        <w:rPr>
          <w:color w:val="000000"/>
          <w:lang w:val="es-CR" w:eastAsia="es-ES"/>
        </w:rPr>
        <w:t xml:space="preserve">Al respecto, </w:t>
      </w:r>
      <w:r w:rsidRPr="00D13792">
        <w:rPr>
          <w:rFonts w:cs="Verdana"/>
          <w:color w:val="000000"/>
          <w:lang w:val="es-CR"/>
        </w:rPr>
        <w:t xml:space="preserve">la Corte recuerda que el paso del tiempo guarda una relación directamente proporcional con la limitación –y en algunos casos, la imposibilidad- para obtener las pruebas y/o testimonios, </w:t>
      </w:r>
      <w:r w:rsidRPr="00D13792">
        <w:rPr>
          <w:rFonts w:eastAsia="Calibri"/>
          <w:color w:val="000000"/>
          <w:lang w:val="es-CR"/>
        </w:rPr>
        <w:t>dificultando</w:t>
      </w:r>
      <w:r w:rsidRPr="00D13792">
        <w:rPr>
          <w:rFonts w:cs="Verdana"/>
          <w:color w:val="000000"/>
          <w:lang w:val="es-CR"/>
        </w:rPr>
        <w:t xml:space="preserve"> y aún tornando nugatoria o ineficaz, la práctica de diligencias probatorias a fin de esclarecer los hechos materia de investigación, identificar a los posibles autores y partícipes, y determinar las eventuales responsabilidades penales. Sin perjuicio de </w:t>
      </w:r>
      <w:r w:rsidRPr="00D13792">
        <w:rPr>
          <w:rFonts w:cs="Verdana"/>
          <w:color w:val="000000"/>
          <w:lang w:val="es-CR"/>
        </w:rPr>
        <w:lastRenderedPageBreak/>
        <w:t>ello, las autoridades nacionales no están eximidas de realizar todos los esfuerzos necesarios en cumplimiento de su obligación de investigar</w:t>
      </w:r>
      <w:r w:rsidRPr="00D13792">
        <w:rPr>
          <w:rStyle w:val="FootnoteReference"/>
          <w:color w:val="000000"/>
          <w:lang w:val="es-CR"/>
        </w:rPr>
        <w:footnoteReference w:id="282"/>
      </w:r>
      <w:r w:rsidRPr="00D13792">
        <w:rPr>
          <w:rFonts w:cs="Verdana"/>
          <w:color w:val="000000"/>
          <w:lang w:val="es-CR"/>
        </w:rPr>
        <w:t xml:space="preserve">. </w:t>
      </w:r>
    </w:p>
    <w:p w14:paraId="3ADF8F22" w14:textId="77777777" w:rsidR="006A0E1C" w:rsidRPr="00D13792" w:rsidRDefault="006A0E1C" w:rsidP="006A0E1C">
      <w:pPr>
        <w:pStyle w:val="ListParagraph"/>
        <w:autoSpaceDE w:val="0"/>
        <w:autoSpaceDN w:val="0"/>
        <w:adjustRightInd w:val="0"/>
        <w:spacing w:after="0" w:line="240" w:lineRule="auto"/>
        <w:ind w:left="0" w:right="-138"/>
        <w:contextualSpacing w:val="0"/>
        <w:jc w:val="both"/>
        <w:rPr>
          <w:rFonts w:ascii="Verdana" w:hAnsi="Verdana"/>
          <w:b/>
          <w:color w:val="000000"/>
          <w:sz w:val="20"/>
          <w:szCs w:val="20"/>
          <w:lang w:val="es-CR"/>
        </w:rPr>
      </w:pPr>
    </w:p>
    <w:p w14:paraId="2D82E14C"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En tercer lugar, el Tribunal observa que en febrero de 2003 se entregaron las trece</w:t>
      </w:r>
      <w:r w:rsidRPr="00D13792">
        <w:rPr>
          <w:rStyle w:val="FootnoteReference"/>
          <w:lang w:val="es-CR"/>
        </w:rPr>
        <w:footnoteReference w:id="283"/>
      </w:r>
      <w:r w:rsidRPr="00D13792">
        <w:rPr>
          <w:rFonts w:eastAsia="Calibri"/>
          <w:color w:val="000000"/>
          <w:lang w:val="es-CR"/>
        </w:rPr>
        <w:t xml:space="preserve"> osamentas recuperadas en la exhumación de abril de 2002</w:t>
      </w:r>
      <w:r w:rsidRPr="00D13792">
        <w:rPr>
          <w:rStyle w:val="FootnoteReference"/>
          <w:lang w:val="es-CR"/>
        </w:rPr>
        <w:footnoteReference w:id="284"/>
      </w:r>
      <w:r w:rsidRPr="00D13792">
        <w:rPr>
          <w:rFonts w:eastAsia="Calibri"/>
          <w:color w:val="000000"/>
          <w:lang w:val="es-CR"/>
        </w:rPr>
        <w:t xml:space="preserve"> a Francisco Sic y a Máxima Emiliana García Valey, pese a que únicamente dos de estas osamentas correspondían a sus familiares</w:t>
      </w:r>
      <w:r w:rsidRPr="00D13792">
        <w:rPr>
          <w:rStyle w:val="FootnoteReference"/>
          <w:lang w:val="es-CR"/>
        </w:rPr>
        <w:footnoteReference w:id="285"/>
      </w:r>
      <w:r w:rsidRPr="00D13792">
        <w:rPr>
          <w:rFonts w:eastAsia="Calibri"/>
          <w:color w:val="000000"/>
          <w:lang w:val="es-CR"/>
        </w:rPr>
        <w:t xml:space="preserve">. </w:t>
      </w:r>
      <w:r w:rsidRPr="00D13792">
        <w:rPr>
          <w:rFonts w:cs="Verdana"/>
          <w:color w:val="000000"/>
          <w:spacing w:val="-2"/>
          <w:lang w:val="es-CR"/>
        </w:rPr>
        <w:t xml:space="preserve">La Corte </w:t>
      </w:r>
      <w:r w:rsidRPr="00D13792">
        <w:rPr>
          <w:rFonts w:eastAsia="Calibri"/>
          <w:color w:val="000000"/>
          <w:lang w:val="es-CR"/>
        </w:rPr>
        <w:t>recuerda</w:t>
      </w:r>
      <w:r w:rsidRPr="00D13792">
        <w:rPr>
          <w:rFonts w:cs="Verdana"/>
          <w:color w:val="000000"/>
          <w:spacing w:val="-2"/>
          <w:lang w:val="es-CR"/>
        </w:rPr>
        <w:t xml:space="preserve"> que recibir el cuerpo de una persona fallecida es de suma importancia para sus familiares, ya que les permite sepultarlo de acuerdo a sus creencias, así como cerrar el proceso de duelo</w:t>
      </w:r>
      <w:r w:rsidRPr="00D13792">
        <w:rPr>
          <w:color w:val="000000"/>
          <w:spacing w:val="-2"/>
          <w:vertAlign w:val="superscript"/>
          <w:lang w:val="es-CR"/>
        </w:rPr>
        <w:footnoteReference w:id="286"/>
      </w:r>
      <w:r w:rsidRPr="00D13792">
        <w:rPr>
          <w:rFonts w:cs="Verdana"/>
          <w:color w:val="000000"/>
          <w:spacing w:val="-2"/>
          <w:lang w:val="es-CR"/>
        </w:rPr>
        <w:t>.</w:t>
      </w:r>
      <w:r w:rsidRPr="00D13792">
        <w:rPr>
          <w:rFonts w:eastAsia="Calibri"/>
          <w:color w:val="000000"/>
          <w:lang w:val="es-CR"/>
        </w:rPr>
        <w:t xml:space="preserve"> Si bien Francisco Sic y Máxima Emiliana García Valey</w:t>
      </w:r>
      <w:r w:rsidRPr="00D13792" w:rsidDel="00433941">
        <w:rPr>
          <w:rFonts w:eastAsia="Calibri"/>
          <w:color w:val="000000"/>
          <w:lang w:val="es-CR"/>
        </w:rPr>
        <w:t xml:space="preserve"> </w:t>
      </w:r>
      <w:r w:rsidRPr="00D13792">
        <w:rPr>
          <w:rFonts w:eastAsia="Calibri"/>
          <w:color w:val="000000"/>
          <w:lang w:val="es-CR"/>
        </w:rPr>
        <w:t>se “compromet[ieron] a entregar a los otros familiares las osamentas”</w:t>
      </w:r>
      <w:r w:rsidRPr="00D13792">
        <w:rPr>
          <w:rStyle w:val="FootnoteReference"/>
          <w:lang w:val="es-CR"/>
        </w:rPr>
        <w:footnoteReference w:id="287"/>
      </w:r>
      <w:r w:rsidRPr="00D13792">
        <w:rPr>
          <w:rFonts w:eastAsia="Calibri"/>
          <w:color w:val="000000"/>
          <w:lang w:val="es-CR"/>
        </w:rPr>
        <w:t>, la Corte considera que esta era una obligación del Estado que no podía ser delegada a terceras personas</w:t>
      </w:r>
      <w:r w:rsidRPr="00D13792">
        <w:rPr>
          <w:rStyle w:val="FootnoteReference"/>
          <w:rFonts w:eastAsia="Calibri"/>
          <w:color w:val="000000"/>
          <w:lang w:val="es-CR"/>
        </w:rPr>
        <w:footnoteReference w:id="288"/>
      </w:r>
      <w:r w:rsidRPr="00D13792">
        <w:rPr>
          <w:rFonts w:eastAsia="Calibri"/>
          <w:color w:val="000000"/>
          <w:lang w:val="es-CR"/>
        </w:rPr>
        <w:t xml:space="preserve">. </w:t>
      </w:r>
    </w:p>
    <w:p w14:paraId="1109E133" w14:textId="77777777" w:rsidR="006A0E1C" w:rsidRPr="00D13792" w:rsidRDefault="006A0E1C" w:rsidP="006A0E1C">
      <w:pPr>
        <w:spacing w:line="240" w:lineRule="auto"/>
        <w:ind w:left="-142" w:right="-138"/>
        <w:rPr>
          <w:b/>
          <w:color w:val="000000"/>
          <w:sz w:val="20"/>
          <w:szCs w:val="20"/>
        </w:rPr>
      </w:pPr>
    </w:p>
    <w:p w14:paraId="43112B08"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rFonts w:eastAsia="Calibri"/>
          <w:color w:val="000000"/>
          <w:lang w:val="es-CR"/>
        </w:rPr>
        <w:t>En cuarto lugar, no consta en el expediente ante este Tribunal que se haya realizado alguna diligencia adicional dirigida a identificar a cinco personas cuyas osamentas fueron exhumadas en abril de 2002</w:t>
      </w:r>
      <w:r w:rsidRPr="00D13792">
        <w:rPr>
          <w:rStyle w:val="FootnoteReference"/>
          <w:rFonts w:eastAsia="Calibri"/>
          <w:color w:val="000000"/>
          <w:lang w:val="es-CR"/>
        </w:rPr>
        <w:footnoteReference w:id="289"/>
      </w:r>
      <w:r w:rsidRPr="00D13792">
        <w:rPr>
          <w:rFonts w:eastAsia="Calibri"/>
          <w:color w:val="000000"/>
          <w:lang w:val="es-CR"/>
        </w:rPr>
        <w:t>, mayo de 2007</w:t>
      </w:r>
      <w:r w:rsidRPr="00D13792">
        <w:rPr>
          <w:rStyle w:val="FootnoteReference"/>
          <w:lang w:val="es-CR"/>
        </w:rPr>
        <w:footnoteReference w:id="290"/>
      </w:r>
      <w:r w:rsidRPr="00D13792">
        <w:rPr>
          <w:rFonts w:eastAsia="Calibri"/>
          <w:color w:val="000000"/>
          <w:lang w:val="es-CR"/>
        </w:rPr>
        <w:t xml:space="preserve"> y marzo de 2013</w:t>
      </w:r>
      <w:r w:rsidRPr="00D13792">
        <w:rPr>
          <w:rStyle w:val="FootnoteReference"/>
          <w:rFonts w:eastAsia="Calibri"/>
          <w:color w:val="000000"/>
          <w:lang w:val="es-CR"/>
        </w:rPr>
        <w:footnoteReference w:id="291"/>
      </w:r>
      <w:r w:rsidRPr="00D13792">
        <w:rPr>
          <w:rFonts w:eastAsia="Calibri"/>
          <w:color w:val="000000"/>
          <w:lang w:val="es-CR"/>
        </w:rPr>
        <w:t xml:space="preserve"> pero no identificadas en dichas ocasiones. Tampoco constan actuaciones posteriores a dicha exhumación de marzo de 2013, realizada dentro del marco del expediente No. M.P. 247-1997-1378 ante la Fiscalía Distrital del Ministerio Público de Salamá, dirigidas a encontrar a Gregorio (o Gorgonio) Gonzales Gonzales,</w:t>
      </w:r>
      <w:r w:rsidRPr="00D13792" w:rsidDel="00D11FC7">
        <w:rPr>
          <w:rFonts w:eastAsia="Calibri"/>
          <w:color w:val="000000"/>
          <w:lang w:val="es-CR"/>
        </w:rPr>
        <w:t xml:space="preserve"> </w:t>
      </w:r>
      <w:r w:rsidRPr="00D13792">
        <w:rPr>
          <w:rFonts w:cs="Arial"/>
          <w:lang w:val="es-CR"/>
        </w:rPr>
        <w:t>Gabino Román,</w:t>
      </w:r>
      <w:r w:rsidRPr="00D13792" w:rsidDel="00D11FC7">
        <w:rPr>
          <w:rFonts w:eastAsia="Calibri"/>
          <w:color w:val="000000"/>
          <w:lang w:val="es-CR"/>
        </w:rPr>
        <w:t xml:space="preserve"> </w:t>
      </w:r>
      <w:r w:rsidRPr="00D13792">
        <w:rPr>
          <w:rFonts w:cs="Arial"/>
          <w:lang w:val="es-CR"/>
        </w:rPr>
        <w:t>Cruz Pérez Amperez,</w:t>
      </w:r>
      <w:r w:rsidRPr="00D13792" w:rsidDel="00D11FC7">
        <w:rPr>
          <w:rFonts w:eastAsia="Calibri"/>
          <w:color w:val="000000"/>
          <w:lang w:val="es-CR"/>
        </w:rPr>
        <w:t xml:space="preserve"> </w:t>
      </w:r>
      <w:r w:rsidRPr="00D13792">
        <w:rPr>
          <w:rFonts w:cs="Arial"/>
          <w:lang w:val="es-CR"/>
        </w:rPr>
        <w:t>Eustaquio Ixtecoc y Rafael Depaz. Más aún, en el “Dictamen Pericial de la Investigación Antropológico Forense llevada a cabo en el Cementerio San Francisco, Aldea Chuateguá”, presentada por la FAFG al Ministerio Público en diciembre de 2014 dentro de dicho proceso, no se menciona que se haya buscado al señor Dionicio Bachán en las exhumaciones de marzo de 2012 o marzo de 2013, pese a que su desaparición también fue denunciada el 8 de mayo de 2003 en dicho expediente</w:t>
      </w:r>
      <w:r w:rsidRPr="00D13792">
        <w:rPr>
          <w:rFonts w:eastAsia="Calibri"/>
          <w:color w:val="000000"/>
          <w:lang w:val="es-CR"/>
        </w:rPr>
        <w:t xml:space="preserve"> No. M.P. 247-</w:t>
      </w:r>
      <w:r w:rsidRPr="00D13792">
        <w:rPr>
          <w:rFonts w:eastAsia="Calibri"/>
          <w:color w:val="000000"/>
          <w:lang w:val="es-CR"/>
        </w:rPr>
        <w:lastRenderedPageBreak/>
        <w:t>1997-1378</w:t>
      </w:r>
      <w:r w:rsidRPr="00D13792">
        <w:rPr>
          <w:rStyle w:val="FootnoteReference"/>
          <w:lang w:val="es-CR"/>
        </w:rPr>
        <w:footnoteReference w:id="292"/>
      </w:r>
      <w:r w:rsidRPr="00D13792">
        <w:rPr>
          <w:rFonts w:cs="Arial"/>
          <w:lang w:val="es-CR"/>
        </w:rPr>
        <w:t>. Por otra parte, el Tribunal no cuenta con información sobre las acciones dirigidas a encontrar a Pedro Siana, Casimiro Siana, Juan Pérez Sic, María Concepción Chen Sic, Marcelo Sic Chen, Jorge Galeano Román y Enrique Mendoza Sis, todos ellos víctimas de desaparición forzada (</w:t>
      </w:r>
      <w:r w:rsidRPr="00D13792">
        <w:rPr>
          <w:rFonts w:cs="Arial"/>
          <w:i/>
          <w:lang w:val="es-CR"/>
        </w:rPr>
        <w:t xml:space="preserve">supra </w:t>
      </w:r>
      <w:r w:rsidRPr="00D13792">
        <w:rPr>
          <w:rFonts w:cs="Arial"/>
          <w:lang w:val="es-CR"/>
        </w:rPr>
        <w:t xml:space="preserve">párrs. 148, 156 y 160). </w:t>
      </w:r>
      <w:r w:rsidRPr="00D13792">
        <w:rPr>
          <w:color w:val="000000"/>
          <w:lang w:val="es-CR"/>
        </w:rPr>
        <w:t>El Tribunal considera que ello continúa acrecentando la incertidumbre de los familiares sobre el paradero de las víctimas, lo que cual afecta su derecho a conocer lo sucedido a éstas.</w:t>
      </w:r>
    </w:p>
    <w:p w14:paraId="04ACB304" w14:textId="77777777" w:rsidR="006A0E1C" w:rsidRPr="00D13792" w:rsidRDefault="006A0E1C" w:rsidP="006A0E1C">
      <w:pPr>
        <w:pStyle w:val="ListParagraph"/>
        <w:autoSpaceDE w:val="0"/>
        <w:autoSpaceDN w:val="0"/>
        <w:adjustRightInd w:val="0"/>
        <w:spacing w:after="0" w:line="240" w:lineRule="auto"/>
        <w:jc w:val="both"/>
        <w:rPr>
          <w:rFonts w:ascii="Verdana" w:hAnsi="Verdana" w:cs="Arial"/>
          <w:color w:val="000000"/>
          <w:sz w:val="20"/>
          <w:szCs w:val="20"/>
          <w:lang w:val="es-CR"/>
        </w:rPr>
      </w:pPr>
    </w:p>
    <w:p w14:paraId="705C6383" w14:textId="77777777" w:rsidR="006A0E1C" w:rsidRPr="00D13792" w:rsidRDefault="006A0E1C" w:rsidP="006A0E1C">
      <w:pPr>
        <w:pStyle w:val="Prrafodelista2"/>
        <w:numPr>
          <w:ilvl w:val="0"/>
          <w:numId w:val="23"/>
        </w:numPr>
        <w:tabs>
          <w:tab w:val="left" w:pos="720"/>
        </w:tabs>
        <w:ind w:right="-90"/>
        <w:jc w:val="both"/>
        <w:rPr>
          <w:rFonts w:cs="Calibri,Bold"/>
          <w:bCs/>
          <w:color w:val="000000"/>
          <w:lang w:val="es-CR"/>
        </w:rPr>
      </w:pPr>
      <w:r w:rsidRPr="00D13792">
        <w:rPr>
          <w:rFonts w:cs="Calibri,Bold"/>
          <w:bCs/>
          <w:color w:val="000000"/>
          <w:lang w:val="es-CR"/>
        </w:rPr>
        <w:t>En quinto lugar, las primeras diligencias dirigidas a la determinación de los responsables dentro del expediente No. 802-95 Of. 6to ante la Fiscal Distrital del Ministerio Público de Salamá tuvieron lugar en febrero de 2010, es decir, 15 años después de interpuestas las denuncias de ejecuciones, desapariciones, detención arbitraria, trabajos forzosos, así como violación sexual que constan en el mismo</w:t>
      </w:r>
      <w:r w:rsidRPr="00D13792">
        <w:rPr>
          <w:rStyle w:val="FootnoteReference"/>
          <w:rFonts w:cs="Calibri,Bold"/>
          <w:bCs/>
          <w:color w:val="000000"/>
          <w:lang w:val="es-CR"/>
        </w:rPr>
        <w:footnoteReference w:id="293"/>
      </w:r>
      <w:r w:rsidRPr="00D13792">
        <w:rPr>
          <w:rFonts w:cs="Calibri,Bold"/>
          <w:bCs/>
          <w:color w:val="000000"/>
          <w:lang w:val="es-CR"/>
        </w:rPr>
        <w:t>. Asimismo, las diez personas investigadas por el Ministerio Público a partir de esta fecha pertenecían a las PAC, y no consta que se haya investigado a algún miembro del Ejército guatemalteco</w:t>
      </w:r>
      <w:r w:rsidRPr="00D13792">
        <w:rPr>
          <w:rStyle w:val="FootnoteReference"/>
          <w:rFonts w:cs="Calibri,Bold"/>
          <w:bCs/>
          <w:color w:val="000000"/>
          <w:lang w:val="es-CR"/>
        </w:rPr>
        <w:footnoteReference w:id="294"/>
      </w:r>
      <w:r w:rsidRPr="00D13792">
        <w:rPr>
          <w:rFonts w:cs="Calibri,Bold"/>
          <w:bCs/>
          <w:color w:val="000000"/>
          <w:lang w:val="es-CR"/>
        </w:rPr>
        <w:t>, pese a que las denuncias interpuestas también señalaban la participación de estos</w:t>
      </w:r>
      <w:r w:rsidRPr="00D13792">
        <w:rPr>
          <w:rStyle w:val="FootnoteReference"/>
          <w:rFonts w:cs="Arial"/>
          <w:lang w:val="es-CR"/>
        </w:rPr>
        <w:footnoteReference w:id="295"/>
      </w:r>
      <w:r w:rsidRPr="00D13792">
        <w:rPr>
          <w:rFonts w:cs="Calibri,Bold"/>
          <w:bCs/>
          <w:color w:val="000000"/>
          <w:lang w:val="es-CR"/>
        </w:rPr>
        <w:t>. Por otra parte, solo se tomó la declaración de una de las personas investigadas</w:t>
      </w:r>
      <w:r w:rsidRPr="00D13792">
        <w:rPr>
          <w:rStyle w:val="FootnoteReference"/>
          <w:rFonts w:cs="Arial"/>
          <w:lang w:val="es-CR"/>
        </w:rPr>
        <w:footnoteReference w:id="296"/>
      </w:r>
      <w:r w:rsidRPr="00D13792">
        <w:rPr>
          <w:rFonts w:cs="Calibri,Bold"/>
          <w:bCs/>
          <w:color w:val="000000"/>
          <w:lang w:val="es-CR"/>
        </w:rPr>
        <w:t>, dos de estas fallecieron y no constan diligencias adicionales dirigidas a ubicar a las demás</w:t>
      </w:r>
      <w:r w:rsidRPr="00D13792">
        <w:rPr>
          <w:rStyle w:val="FootnoteReference"/>
          <w:rFonts w:cs="Arial"/>
          <w:lang w:val="es-CR"/>
        </w:rPr>
        <w:footnoteReference w:id="297"/>
      </w:r>
      <w:r w:rsidRPr="00D13792">
        <w:rPr>
          <w:rFonts w:cs="Calibri,Bold"/>
          <w:bCs/>
          <w:color w:val="000000"/>
          <w:lang w:val="es-CR"/>
        </w:rPr>
        <w:t xml:space="preserve">. </w:t>
      </w:r>
      <w:r w:rsidRPr="00D13792">
        <w:rPr>
          <w:rFonts w:eastAsia="Times New Roman" w:cs="Arial"/>
          <w:lang w:val="es-CR" w:eastAsia="es-CR" w:bidi="ar-SA"/>
        </w:rPr>
        <w:t xml:space="preserve">Los días 17 de julio y 4 de octubre de 2013 el Auxiliar Fiscal de </w:t>
      </w:r>
      <w:r w:rsidRPr="00D13792">
        <w:rPr>
          <w:rFonts w:cs="Arial"/>
          <w:lang w:val="es-CR"/>
        </w:rPr>
        <w:t>la Fiscalía Distrital</w:t>
      </w:r>
      <w:r w:rsidRPr="00D13792">
        <w:rPr>
          <w:rFonts w:eastAsia="Times New Roman" w:cs="Arial"/>
          <w:lang w:val="es-CR" w:eastAsia="es-CR" w:bidi="ar-SA"/>
        </w:rPr>
        <w:t xml:space="preserve"> informó a la COPREDEH que </w:t>
      </w:r>
      <w:r w:rsidRPr="00D13792">
        <w:rPr>
          <w:rFonts w:cs="Arial"/>
          <w:lang w:val="es-CR"/>
        </w:rPr>
        <w:t xml:space="preserve">los procesos tramitados ante esta </w:t>
      </w:r>
      <w:r w:rsidRPr="00D13792">
        <w:rPr>
          <w:rFonts w:eastAsia="Times New Roman" w:cs="Arial"/>
          <w:lang w:val="es-CR" w:eastAsia="es-CR" w:bidi="ar-SA"/>
        </w:rPr>
        <w:t>“se enc[ontraban] en fase de investigación”</w:t>
      </w:r>
      <w:r w:rsidRPr="00D13792">
        <w:rPr>
          <w:rFonts w:eastAsia="Times New Roman" w:cs="Arial"/>
          <w:vertAlign w:val="superscript"/>
          <w:lang w:val="es-CR" w:eastAsia="es-CR" w:bidi="ar-SA"/>
        </w:rPr>
        <w:footnoteReference w:id="298"/>
      </w:r>
      <w:r w:rsidRPr="00D13792">
        <w:rPr>
          <w:rFonts w:eastAsia="Times New Roman" w:cs="Arial"/>
          <w:lang w:val="es-CR" w:eastAsia="es-CR" w:bidi="ar-SA"/>
        </w:rPr>
        <w:t xml:space="preserve">. No consta en la prueba ante esta Corte alguna actuación posterior. </w:t>
      </w:r>
      <w:r w:rsidRPr="00D13792">
        <w:rPr>
          <w:rFonts w:cs="Arial"/>
          <w:color w:val="000000"/>
          <w:lang w:val="es-CR"/>
        </w:rPr>
        <w:t xml:space="preserve">Este punto será abordado también en el apartado B.2 </w:t>
      </w:r>
      <w:r w:rsidRPr="00D13792">
        <w:rPr>
          <w:rFonts w:cs="Arial"/>
          <w:i/>
          <w:color w:val="000000"/>
          <w:lang w:val="es-CR"/>
        </w:rPr>
        <w:t>infra.</w:t>
      </w:r>
    </w:p>
    <w:p w14:paraId="2362883C" w14:textId="77777777" w:rsidR="006A0E1C" w:rsidRPr="00D13792" w:rsidRDefault="006A0E1C" w:rsidP="006A0E1C">
      <w:pPr>
        <w:pStyle w:val="Prrafodelista2"/>
        <w:tabs>
          <w:tab w:val="left" w:pos="720"/>
        </w:tabs>
        <w:ind w:left="0" w:right="-90"/>
        <w:jc w:val="both"/>
        <w:rPr>
          <w:rFonts w:cs="Calibri,Bold"/>
          <w:bCs/>
          <w:color w:val="000000"/>
          <w:lang w:val="es-CR"/>
        </w:rPr>
      </w:pPr>
    </w:p>
    <w:p w14:paraId="16113227" w14:textId="77777777" w:rsidR="006A0E1C" w:rsidRPr="00D13792" w:rsidRDefault="006A0E1C" w:rsidP="006A0E1C">
      <w:pPr>
        <w:pStyle w:val="Prrafodelista2"/>
        <w:numPr>
          <w:ilvl w:val="0"/>
          <w:numId w:val="23"/>
        </w:numPr>
        <w:tabs>
          <w:tab w:val="left" w:pos="720"/>
        </w:tabs>
        <w:ind w:right="-90"/>
        <w:jc w:val="both"/>
        <w:rPr>
          <w:rFonts w:cs="Calibri,Bold"/>
          <w:bCs/>
          <w:color w:val="000000"/>
          <w:lang w:val="es-CR"/>
        </w:rPr>
      </w:pPr>
      <w:r w:rsidRPr="00D13792">
        <w:rPr>
          <w:rFonts w:eastAsia="Calibri"/>
          <w:color w:val="000000"/>
          <w:lang w:val="es-CR"/>
        </w:rPr>
        <w:t>En sexto lugar, el Tribunal observa que, dentro del Expediente M.P. 247-2006-441, en el que se denunció la desaparición de familiares de Juana García Depaz</w:t>
      </w:r>
      <w:r w:rsidRPr="00D13792">
        <w:rPr>
          <w:rStyle w:val="FootnoteReference"/>
          <w:rFonts w:eastAsia="Calibri"/>
          <w:color w:val="000000"/>
          <w:lang w:val="es-CR"/>
        </w:rPr>
        <w:footnoteReference w:id="299"/>
      </w:r>
      <w:r w:rsidRPr="00D13792">
        <w:rPr>
          <w:rFonts w:eastAsia="Calibri"/>
          <w:color w:val="000000"/>
          <w:lang w:val="es-CR"/>
        </w:rPr>
        <w:t>, e</w:t>
      </w:r>
      <w:r w:rsidRPr="00D13792">
        <w:rPr>
          <w:rFonts w:cs="Calibri,Bold"/>
          <w:bCs/>
          <w:color w:val="000000"/>
          <w:lang w:val="es-CR"/>
        </w:rPr>
        <w:t xml:space="preserve">l 18 de julio de 2013 el </w:t>
      </w:r>
      <w:r w:rsidRPr="00D13792">
        <w:rPr>
          <w:rStyle w:val="CommentReference"/>
          <w:rFonts w:cs="Arial"/>
          <w:color w:val="000000"/>
          <w:sz w:val="20"/>
          <w:szCs w:val="20"/>
          <w:lang w:val="es-CR"/>
        </w:rPr>
        <w:t xml:space="preserve">Auxiliar Fiscal I solicitó al Juez de Primera Instancia Penal que se tomara la declaración testimonial de aquella con carácter de anticipo de prueba, </w:t>
      </w:r>
      <w:r w:rsidRPr="00D13792">
        <w:rPr>
          <w:rStyle w:val="CommentReference"/>
          <w:rFonts w:cs="Arial"/>
          <w:sz w:val="20"/>
          <w:szCs w:val="20"/>
          <w:lang w:val="es-CR"/>
        </w:rPr>
        <w:t xml:space="preserve">y que esta se considerara “como acto definitivo el cual en su momento no se podrá reproducir en debate debido a la edad avanzada” </w:t>
      </w:r>
      <w:r w:rsidRPr="00D13792">
        <w:rPr>
          <w:rStyle w:val="CommentReference"/>
          <w:rFonts w:cs="Arial"/>
          <w:sz w:val="20"/>
          <w:szCs w:val="20"/>
          <w:lang w:val="es-CR"/>
        </w:rPr>
        <w:lastRenderedPageBreak/>
        <w:t>de la señora García</w:t>
      </w:r>
      <w:r w:rsidRPr="00D13792">
        <w:rPr>
          <w:rStyle w:val="FootnoteReference"/>
          <w:rFonts w:cs="Arial"/>
          <w:lang w:val="es-CR"/>
        </w:rPr>
        <w:footnoteReference w:id="300"/>
      </w:r>
      <w:r w:rsidRPr="00D13792">
        <w:rPr>
          <w:rStyle w:val="CommentReference"/>
          <w:rFonts w:cs="Arial"/>
          <w:color w:val="000000"/>
          <w:sz w:val="20"/>
          <w:szCs w:val="20"/>
          <w:lang w:val="es-CR"/>
        </w:rPr>
        <w:t xml:space="preserve">. Sin embargo, no consta dentro el expediente si el Juez atendió esta solicitud. Por otro lado, en marzo de 2015, es decir, casi dos años después, el Auxiliar Fiscal I envió un oficio al Director de las Oficinas de Control Migratorio y </w:t>
      </w:r>
      <w:r w:rsidRPr="00D13792">
        <w:rPr>
          <w:rFonts w:cs="Calibri,Bold"/>
          <w:bCs/>
          <w:color w:val="000000"/>
          <w:lang w:val="es-CR"/>
        </w:rPr>
        <w:t xml:space="preserve">a la Dirección </w:t>
      </w:r>
      <w:r w:rsidRPr="00D13792">
        <w:rPr>
          <w:rFonts w:eastAsia="Calibri"/>
          <w:color w:val="000000"/>
          <w:lang w:val="es-CR"/>
        </w:rPr>
        <w:t>General</w:t>
      </w:r>
      <w:r w:rsidRPr="00D13792">
        <w:rPr>
          <w:rFonts w:cs="Calibri,Bold"/>
          <w:bCs/>
          <w:color w:val="000000"/>
          <w:lang w:val="es-CR"/>
        </w:rPr>
        <w:t xml:space="preserve"> del Sistema Penitenciario, consultando si </w:t>
      </w:r>
      <w:r w:rsidRPr="00D13792">
        <w:rPr>
          <w:rStyle w:val="CommentReference"/>
          <w:rFonts w:cs="Arial"/>
          <w:color w:val="000000"/>
          <w:sz w:val="20"/>
          <w:szCs w:val="20"/>
          <w:lang w:val="es-CR"/>
        </w:rPr>
        <w:t>las personas Adrián García Manuel, Hugo García Depaz y el niño Abraham (o Agapito) Alvarado Depaz habían salido del país o habían sido detenidas</w:t>
      </w:r>
      <w:r w:rsidRPr="00D13792">
        <w:rPr>
          <w:rFonts w:cs="Calibri,Bold"/>
          <w:bCs/>
          <w:color w:val="000000"/>
          <w:lang w:val="es-CR"/>
        </w:rPr>
        <w:t xml:space="preserve"> entre los años 1980 y 1990</w:t>
      </w:r>
      <w:r w:rsidRPr="00D13792">
        <w:rPr>
          <w:rStyle w:val="FootnoteReference"/>
          <w:rFonts w:cs="Calibri,Bold"/>
          <w:bCs/>
          <w:lang w:val="es-CR"/>
        </w:rPr>
        <w:footnoteReference w:id="301"/>
      </w:r>
      <w:r w:rsidRPr="00D13792">
        <w:rPr>
          <w:rStyle w:val="CommentReference"/>
          <w:rFonts w:cs="Arial"/>
          <w:color w:val="000000"/>
          <w:sz w:val="20"/>
          <w:szCs w:val="20"/>
          <w:lang w:val="es-CR"/>
        </w:rPr>
        <w:t>. Dado que en el año 2008 se identificaron los restos de Hugo García Depaz y Abraham Alvarado Depaz, no hay claridad sobre las razones por las cuales se solicitó dicha información (</w:t>
      </w:r>
      <w:r w:rsidRPr="00D13792">
        <w:rPr>
          <w:rStyle w:val="CommentReference"/>
          <w:rFonts w:cs="Arial"/>
          <w:i/>
          <w:color w:val="000000"/>
          <w:sz w:val="20"/>
          <w:szCs w:val="20"/>
          <w:lang w:val="es-CR"/>
        </w:rPr>
        <w:t xml:space="preserve">supra </w:t>
      </w:r>
      <w:r w:rsidRPr="00D13792">
        <w:rPr>
          <w:rStyle w:val="CommentReference"/>
          <w:rFonts w:cs="Arial"/>
          <w:color w:val="000000"/>
          <w:sz w:val="20"/>
          <w:szCs w:val="20"/>
          <w:lang w:val="es-CR"/>
        </w:rPr>
        <w:t xml:space="preserve">párrs. 100, 149 y 155). Por otra parte, no </w:t>
      </w:r>
      <w:r w:rsidRPr="00D13792">
        <w:rPr>
          <w:rFonts w:cs="Calibri,Bold"/>
          <w:bCs/>
          <w:lang w:val="es-CR"/>
        </w:rPr>
        <w:t xml:space="preserve">constan en el expediente actuaciones posteriores dirigidas a encontrar los restos del </w:t>
      </w:r>
      <w:r w:rsidRPr="00D13792">
        <w:rPr>
          <w:lang w:val="es-CR"/>
        </w:rPr>
        <w:t>señor Adrián García Manuel ni determinar su paradero.</w:t>
      </w:r>
    </w:p>
    <w:p w14:paraId="2CBDB92B" w14:textId="77777777" w:rsidR="006A0E1C" w:rsidRPr="00D13792" w:rsidRDefault="006A0E1C" w:rsidP="006A0E1C">
      <w:pPr>
        <w:pStyle w:val="ListParagraph"/>
        <w:spacing w:after="0" w:line="240" w:lineRule="auto"/>
        <w:ind w:left="0"/>
        <w:jc w:val="both"/>
        <w:rPr>
          <w:rFonts w:ascii="Verdana" w:hAnsi="Verdana" w:cs="Calibri,Bold"/>
          <w:bCs/>
          <w:color w:val="000000"/>
          <w:sz w:val="20"/>
          <w:szCs w:val="20"/>
          <w:lang w:val="es-CR"/>
        </w:rPr>
      </w:pPr>
    </w:p>
    <w:p w14:paraId="0575668A" w14:textId="77777777" w:rsidR="006A0E1C" w:rsidRPr="00D13792" w:rsidRDefault="006A0E1C" w:rsidP="006A0E1C">
      <w:pPr>
        <w:pStyle w:val="Prrafodelista2"/>
        <w:numPr>
          <w:ilvl w:val="0"/>
          <w:numId w:val="23"/>
        </w:numPr>
        <w:tabs>
          <w:tab w:val="left" w:pos="720"/>
        </w:tabs>
        <w:ind w:right="-90"/>
        <w:jc w:val="both"/>
        <w:rPr>
          <w:rFonts w:cs="Calibri,Bold"/>
          <w:bCs/>
          <w:color w:val="000000"/>
          <w:lang w:val="es-CR"/>
        </w:rPr>
      </w:pPr>
      <w:r w:rsidRPr="00D13792">
        <w:rPr>
          <w:rFonts w:eastAsia="Batang" w:cs="Arial"/>
          <w:color w:val="000000"/>
          <w:lang w:val="es-CR"/>
        </w:rPr>
        <w:t xml:space="preserve">En séptimo lugar, en el expediente </w:t>
      </w:r>
      <w:r w:rsidRPr="00D13792">
        <w:rPr>
          <w:rFonts w:cs="Calibri,Bold"/>
          <w:bCs/>
          <w:lang w:val="es-CR"/>
        </w:rPr>
        <w:t xml:space="preserve">No. M.P. 247-1997-1378 ante la Fiscalía Distrital del Ministerio Público de Salamá, constan lapsos de uno a cinco años sin </w:t>
      </w:r>
      <w:r w:rsidRPr="00D13792">
        <w:rPr>
          <w:rFonts w:eastAsia="Batang" w:cs="Arial"/>
          <w:color w:val="000000"/>
          <w:lang w:val="es-CR"/>
        </w:rPr>
        <w:t>actividad investigativa alguna</w:t>
      </w:r>
      <w:r w:rsidRPr="00D13792">
        <w:rPr>
          <w:rStyle w:val="FootnoteReference"/>
          <w:rFonts w:eastAsia="Batang" w:cs="Arial"/>
          <w:color w:val="000000"/>
          <w:lang w:val="es-CR"/>
        </w:rPr>
        <w:footnoteReference w:id="302"/>
      </w:r>
      <w:r w:rsidRPr="00D13792">
        <w:rPr>
          <w:lang w:val="es-CR"/>
        </w:rPr>
        <w:t>. Además, no consta que se haya investigado la denuncia por parte de la señora Francisca González Tecú de que en enero de 2010 alguien le ofreció dinero a cambio de que retirara su denuncia contra una persona que había señalado como responsable de la muerte de su padre</w:t>
      </w:r>
      <w:r w:rsidRPr="00D13792">
        <w:rPr>
          <w:rStyle w:val="FootnoteReference"/>
          <w:lang w:val="es-CR"/>
        </w:rPr>
        <w:footnoteReference w:id="303"/>
      </w:r>
      <w:r w:rsidRPr="00D13792">
        <w:rPr>
          <w:lang w:val="es-CR"/>
        </w:rPr>
        <w:t>.</w:t>
      </w:r>
    </w:p>
    <w:p w14:paraId="03EB6D4A" w14:textId="77777777" w:rsidR="006A0E1C" w:rsidRPr="00D13792" w:rsidRDefault="006A0E1C" w:rsidP="006A0E1C">
      <w:pPr>
        <w:pStyle w:val="Prrafodelista2"/>
        <w:tabs>
          <w:tab w:val="left" w:pos="720"/>
        </w:tabs>
        <w:ind w:left="0" w:right="-90"/>
        <w:jc w:val="both"/>
        <w:rPr>
          <w:rFonts w:cs="Calibri,Bold"/>
          <w:bCs/>
          <w:color w:val="000000"/>
          <w:lang w:val="es-CR"/>
        </w:rPr>
      </w:pPr>
    </w:p>
    <w:p w14:paraId="79CC695A" w14:textId="77777777" w:rsidR="006A0E1C" w:rsidRPr="00D13792" w:rsidRDefault="006A0E1C" w:rsidP="006A0E1C">
      <w:pPr>
        <w:pStyle w:val="Prrafodelista2"/>
        <w:numPr>
          <w:ilvl w:val="0"/>
          <w:numId w:val="23"/>
        </w:numPr>
        <w:tabs>
          <w:tab w:val="left" w:pos="720"/>
        </w:tabs>
        <w:ind w:right="-90"/>
        <w:jc w:val="both"/>
        <w:rPr>
          <w:rFonts w:cs="Calibri,Bold"/>
          <w:bCs/>
          <w:color w:val="000000"/>
          <w:lang w:val="es-CR"/>
        </w:rPr>
      </w:pPr>
      <w:r w:rsidRPr="00D13792">
        <w:rPr>
          <w:color w:val="000000"/>
          <w:lang w:val="es-CR"/>
        </w:rPr>
        <w:t xml:space="preserve">En cuanto a estos puntos, la Corte ha precisado que no le compete sustituir a la jurisdicción interna, estableciendo las modalidades </w:t>
      </w:r>
      <w:r w:rsidRPr="00D13792">
        <w:rPr>
          <w:rStyle w:val="CommentReference"/>
          <w:rFonts w:cs="Arial"/>
          <w:color w:val="000000"/>
          <w:sz w:val="20"/>
          <w:szCs w:val="20"/>
          <w:lang w:val="es-CR"/>
        </w:rPr>
        <w:t>específicas</w:t>
      </w:r>
      <w:r w:rsidRPr="00D13792">
        <w:rPr>
          <w:color w:val="000000"/>
          <w:lang w:val="es-CR"/>
        </w:rPr>
        <w:t xml:space="preserve"> de investigación y juzgamiento en un caso concreto para obtener un mejor o más eficaz resultado, sino constatar si en los pasos efectivamente dados a nivel </w:t>
      </w:r>
      <w:r w:rsidRPr="00D13792">
        <w:rPr>
          <w:rFonts w:eastAsia="Calibri"/>
          <w:color w:val="000000"/>
          <w:lang w:val="es-CR"/>
        </w:rPr>
        <w:t>interno</w:t>
      </w:r>
      <w:r w:rsidRPr="00D13792">
        <w:rPr>
          <w:color w:val="000000"/>
          <w:lang w:val="es-CR"/>
        </w:rPr>
        <w:t xml:space="preserve"> se violaron o no obligaciones internacionales del Estado derivadas de los artículos 8 y 25 de la Convención Americana</w:t>
      </w:r>
      <w:r w:rsidRPr="00D13792">
        <w:rPr>
          <w:color w:val="000000"/>
          <w:vertAlign w:val="superscript"/>
          <w:lang w:val="es-CR"/>
        </w:rPr>
        <w:footnoteReference w:id="304"/>
      </w:r>
      <w:r w:rsidRPr="00D13792">
        <w:rPr>
          <w:color w:val="000000"/>
          <w:lang w:val="es-CR"/>
        </w:rPr>
        <w:t xml:space="preserve">. Sin embargo, en el presente caso, de lo detallado anteriormente se desprende que </w:t>
      </w:r>
      <w:r w:rsidRPr="00D13792">
        <w:rPr>
          <w:rFonts w:eastAsia="Batang" w:cs="Arial"/>
          <w:color w:val="000000"/>
          <w:lang w:val="es-CR"/>
        </w:rPr>
        <w:t xml:space="preserve">las actuaciones de investigación en relación con los hechos ocurridos antes y después de la masacre de 8 de enero de 1982 han sido tardías e incompletas, constituyendo una falta de debida diligencia en la investigación de los mismos. </w:t>
      </w:r>
    </w:p>
    <w:p w14:paraId="31F287C0" w14:textId="77777777" w:rsidR="006A0E1C" w:rsidRPr="00D13792" w:rsidRDefault="006A0E1C" w:rsidP="006A0E1C">
      <w:pPr>
        <w:pStyle w:val="ListParagraph"/>
        <w:spacing w:after="0"/>
        <w:rPr>
          <w:rStyle w:val="CommentReference"/>
          <w:rFonts w:ascii="Verdana" w:eastAsia="MS Mincho" w:hAnsi="Verdana"/>
          <w:lang w:val="es-CR" w:eastAsia="en-US" w:bidi="en-US"/>
        </w:rPr>
      </w:pPr>
    </w:p>
    <w:p w14:paraId="404E9383" w14:textId="77777777" w:rsidR="006A0E1C" w:rsidRPr="00D13792" w:rsidRDefault="006A0E1C" w:rsidP="006A0E1C">
      <w:pPr>
        <w:pStyle w:val="Heading3"/>
        <w:ind w:left="0"/>
        <w:rPr>
          <w:i/>
          <w:lang w:val="es-CR"/>
        </w:rPr>
      </w:pPr>
      <w:bookmarkStart w:id="234" w:name="_Toc460938892"/>
      <w:bookmarkStart w:id="235" w:name="_Toc469670059"/>
      <w:r w:rsidRPr="00D13792">
        <w:rPr>
          <w:i/>
          <w:lang w:val="es-CR"/>
        </w:rPr>
        <w:t>B.2. Falta de investigación de graves violaciones de derechos humanos</w:t>
      </w:r>
      <w:bookmarkEnd w:id="234"/>
      <w:bookmarkEnd w:id="235"/>
    </w:p>
    <w:p w14:paraId="217DDC5D"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i/>
          <w:color w:val="000000"/>
          <w:sz w:val="20"/>
          <w:szCs w:val="20"/>
          <w:lang w:val="es-CR"/>
        </w:rPr>
      </w:pPr>
    </w:p>
    <w:p w14:paraId="747B921B" w14:textId="77777777" w:rsidR="006A0E1C" w:rsidRPr="00D13792" w:rsidRDefault="006A0E1C" w:rsidP="006A0E1C">
      <w:pPr>
        <w:pStyle w:val="Prrafodelista2"/>
        <w:numPr>
          <w:ilvl w:val="0"/>
          <w:numId w:val="23"/>
        </w:numPr>
        <w:tabs>
          <w:tab w:val="left" w:pos="720"/>
        </w:tabs>
        <w:ind w:right="-90"/>
        <w:jc w:val="both"/>
        <w:rPr>
          <w:rFonts w:eastAsia="Calibri"/>
          <w:color w:val="000000"/>
          <w:lang w:val="es-CR"/>
        </w:rPr>
      </w:pPr>
      <w:r w:rsidRPr="00D13792">
        <w:rPr>
          <w:rFonts w:eastAsia="Calibri"/>
          <w:color w:val="000000"/>
          <w:lang w:val="es-CR"/>
        </w:rPr>
        <w:t>La Corte destaca que los hechos del presente caso se refieren a desapariciones forzadas y desplazamiento forzado (</w:t>
      </w:r>
      <w:r w:rsidRPr="00D13792">
        <w:rPr>
          <w:rFonts w:eastAsia="Calibri"/>
          <w:i/>
          <w:color w:val="000000"/>
          <w:lang w:val="es-CR"/>
        </w:rPr>
        <w:t xml:space="preserve">supra </w:t>
      </w:r>
      <w:r w:rsidRPr="00D13792">
        <w:rPr>
          <w:rFonts w:eastAsia="Calibri"/>
          <w:color w:val="000000"/>
          <w:lang w:val="es-CR"/>
        </w:rPr>
        <w:t>párrs. 160 y 203), así como a las denuncias sobre ejecuciones, actos de tortura, violencia y violación sexual, y trabajos forzosos, entre otros (</w:t>
      </w:r>
      <w:r w:rsidRPr="00D13792">
        <w:rPr>
          <w:rFonts w:eastAsia="Calibri"/>
          <w:i/>
          <w:color w:val="000000"/>
          <w:lang w:val="es-CR"/>
        </w:rPr>
        <w:t>supra</w:t>
      </w:r>
      <w:r w:rsidRPr="00D13792">
        <w:rPr>
          <w:rFonts w:eastAsia="Calibri"/>
          <w:color w:val="000000"/>
          <w:lang w:val="es-CR"/>
        </w:rPr>
        <w:t xml:space="preserve"> párrs. 222, 228, 234 y 239), todo ello dentro de un contexto de violaciones graves, masivas y sistemáticas de los derechos humanos en Guatemala (</w:t>
      </w:r>
      <w:r w:rsidRPr="00D13792">
        <w:rPr>
          <w:rFonts w:eastAsia="Calibri"/>
          <w:i/>
          <w:color w:val="000000"/>
          <w:lang w:val="es-CR"/>
        </w:rPr>
        <w:t xml:space="preserve">supra </w:t>
      </w:r>
      <w:r w:rsidRPr="00D13792">
        <w:rPr>
          <w:rFonts w:eastAsia="Calibri"/>
          <w:color w:val="000000"/>
          <w:lang w:val="es-CR"/>
        </w:rPr>
        <w:t>párrs. 76 a 81). Estos hechos han sido puestos en conocimiento del Estado en diversas oportunidades a partir del año 1993, sin embargo, como ya se señaló, no han sido investigados debidamente y, en algunos casos, incluso, no se ha realizado investigación alguna en torno a los mismos (</w:t>
      </w:r>
      <w:r w:rsidRPr="00D13792">
        <w:rPr>
          <w:rFonts w:eastAsia="Calibri"/>
          <w:i/>
          <w:color w:val="000000"/>
          <w:lang w:val="es-CR"/>
        </w:rPr>
        <w:t xml:space="preserve">supra </w:t>
      </w:r>
      <w:r w:rsidRPr="00D13792">
        <w:rPr>
          <w:rFonts w:eastAsia="Calibri"/>
          <w:color w:val="000000"/>
          <w:lang w:val="es-CR"/>
        </w:rPr>
        <w:t>párrs. 218 a 241).</w:t>
      </w:r>
    </w:p>
    <w:p w14:paraId="43A10A19"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i/>
          <w:color w:val="000000"/>
          <w:sz w:val="20"/>
          <w:szCs w:val="20"/>
          <w:lang w:val="es-CR"/>
        </w:rPr>
      </w:pPr>
    </w:p>
    <w:p w14:paraId="140D3754"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 xml:space="preserve">El Tribunal estima que la falta de investigación de las desapariciones forzadas, ejecuciones extrajudiciales, trabajos forzosos, torturas y </w:t>
      </w:r>
      <w:r w:rsidRPr="00D13792">
        <w:rPr>
          <w:rFonts w:eastAsia="Calibri"/>
          <w:color w:val="000000"/>
          <w:lang w:val="es-CR"/>
        </w:rPr>
        <w:t>violencia</w:t>
      </w:r>
      <w:r w:rsidRPr="00D13792">
        <w:rPr>
          <w:color w:val="000000"/>
          <w:lang w:val="es-CR"/>
        </w:rPr>
        <w:t xml:space="preserve"> sexual en conflictos armados y/o dentro de patrones sistemáticos, como los ocurridos y denunciados en el presente caso, constituyen un incumplimiento de las obligaciones del Estado frente a graves violaciones a derechos humanos, las cuales contravienen normas inderogables y generan obligaciones para los Estados</w:t>
      </w:r>
      <w:r w:rsidRPr="00D13792">
        <w:rPr>
          <w:color w:val="000000"/>
          <w:vertAlign w:val="superscript"/>
          <w:lang w:val="es-CR"/>
        </w:rPr>
        <w:footnoteReference w:id="305"/>
      </w:r>
      <w:r w:rsidRPr="00D13792">
        <w:rPr>
          <w:color w:val="000000"/>
          <w:lang w:val="es-CR"/>
        </w:rPr>
        <w:t xml:space="preserve"> como la de investigar y sancionar dichas prácticas, de conformidad con la Convención Americana y, en este caso, a la luz de la CIDFP, la CIPST y la Convención de Belém do Pará.</w:t>
      </w:r>
    </w:p>
    <w:p w14:paraId="5A10479D" w14:textId="77777777" w:rsidR="006A0E1C" w:rsidRPr="00D13792" w:rsidRDefault="006A0E1C" w:rsidP="006A0E1C">
      <w:pPr>
        <w:pStyle w:val="ListParagraph"/>
        <w:spacing w:after="0" w:line="240" w:lineRule="auto"/>
        <w:ind w:left="0"/>
        <w:jc w:val="both"/>
        <w:rPr>
          <w:rFonts w:ascii="Verdana" w:hAnsi="Verdana"/>
          <w:color w:val="000000"/>
          <w:sz w:val="20"/>
          <w:szCs w:val="20"/>
          <w:lang w:val="es-CR"/>
        </w:rPr>
      </w:pPr>
    </w:p>
    <w:p w14:paraId="3D98316B"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En este mismo sentido, la Corte recuerda que la propia Ley de Reconciliación Nacional (LRN) de Guatemala</w:t>
      </w:r>
      <w:r w:rsidRPr="00D13792">
        <w:rPr>
          <w:rStyle w:val="FootnoteReference"/>
          <w:color w:val="000000"/>
          <w:lang w:val="es-CR"/>
        </w:rPr>
        <w:footnoteReference w:id="306"/>
      </w:r>
      <w:r w:rsidRPr="00D13792">
        <w:rPr>
          <w:color w:val="000000"/>
          <w:lang w:val="es-CR"/>
        </w:rPr>
        <w:t xml:space="preserve"> establece en su artículo 8 que “[l]a extinción de la responsabilidad penal [por determinados delitos </w:t>
      </w:r>
      <w:r w:rsidRPr="00D13792">
        <w:rPr>
          <w:rFonts w:eastAsia="Calibri"/>
          <w:color w:val="000000"/>
          <w:lang w:val="es-CR"/>
        </w:rPr>
        <w:t>cometidos</w:t>
      </w:r>
      <w:r w:rsidRPr="00D13792">
        <w:rPr>
          <w:color w:val="000000"/>
          <w:lang w:val="es-CR"/>
        </w:rPr>
        <w:t xml:space="preserve"> durante el conflicto armado interno] a que se refiere esta ley, no será aplicable a los delitos de genocidio, tortura y desaparición forzada, así como aquellos delitos que sean imprescriptibles o que no admitan extinción de la responsabilidad penal, de conformidad con el derecho interno o los tratados internacionales ratificados por Guatemala”. </w:t>
      </w:r>
    </w:p>
    <w:p w14:paraId="12ACB87B" w14:textId="77777777" w:rsidR="006A0E1C" w:rsidRPr="00D13792" w:rsidRDefault="006A0E1C" w:rsidP="006A0E1C">
      <w:pPr>
        <w:pStyle w:val="ListParagraph"/>
        <w:spacing w:after="0" w:line="240" w:lineRule="auto"/>
        <w:ind w:left="0"/>
        <w:jc w:val="both"/>
        <w:rPr>
          <w:rFonts w:ascii="Verdana" w:hAnsi="Verdana"/>
          <w:color w:val="000000"/>
          <w:sz w:val="20"/>
          <w:szCs w:val="20"/>
          <w:lang w:val="es-CR"/>
        </w:rPr>
      </w:pPr>
    </w:p>
    <w:p w14:paraId="072DFBA9" w14:textId="77777777" w:rsidR="006A0E1C" w:rsidRPr="00D13792" w:rsidRDefault="006A0E1C" w:rsidP="006A0E1C">
      <w:pPr>
        <w:pStyle w:val="Prrafodelista2"/>
        <w:numPr>
          <w:ilvl w:val="0"/>
          <w:numId w:val="23"/>
        </w:numPr>
        <w:tabs>
          <w:tab w:val="left" w:pos="720"/>
        </w:tabs>
        <w:ind w:right="-90"/>
        <w:jc w:val="both"/>
        <w:rPr>
          <w:rFonts w:eastAsia="Calibri"/>
          <w:i/>
          <w:color w:val="000000"/>
          <w:lang w:val="es-CR"/>
        </w:rPr>
      </w:pPr>
      <w:r w:rsidRPr="00D13792">
        <w:rPr>
          <w:color w:val="000000"/>
          <w:lang w:val="es-CR"/>
        </w:rPr>
        <w:t>En cuanto a este punto, no consta en el acervo probatorio que se haya aplicado la LRN en los procesos iniciados en el presente caso. No obstante,</w:t>
      </w:r>
      <w:r w:rsidRPr="00D13792">
        <w:rPr>
          <w:b/>
          <w:color w:val="000000"/>
          <w:lang w:val="es-CR"/>
        </w:rPr>
        <w:t xml:space="preserve"> </w:t>
      </w:r>
      <w:r w:rsidRPr="00D13792">
        <w:rPr>
          <w:color w:val="000000"/>
          <w:lang w:val="es-CR"/>
        </w:rPr>
        <w:t xml:space="preserve">el Estado alegó que, en la investigación y juzgamiento de los hechos del caso, no serían aplicables los tipos penales de desaparición forzada y tortura, puesto que dichos delitos no se encontraban tipificados en su legislación para el momento en que ocurrieron los hechos. </w:t>
      </w:r>
    </w:p>
    <w:p w14:paraId="0A1C45FC" w14:textId="77777777" w:rsidR="006A0E1C" w:rsidRPr="00D13792" w:rsidRDefault="006A0E1C" w:rsidP="006A0E1C">
      <w:pPr>
        <w:pStyle w:val="ListParagraph"/>
        <w:spacing w:after="0" w:line="240" w:lineRule="auto"/>
        <w:ind w:left="0"/>
        <w:jc w:val="both"/>
        <w:rPr>
          <w:rFonts w:ascii="Verdana" w:hAnsi="Verdana"/>
          <w:color w:val="000000"/>
          <w:sz w:val="20"/>
          <w:szCs w:val="20"/>
          <w:lang w:val="es-CR"/>
        </w:rPr>
      </w:pPr>
    </w:p>
    <w:p w14:paraId="79B581E0"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 xml:space="preserve">Al respecto, de acuerdo con su vasta y reiterada jurisprudencia sobre la obligación de investigar, juzgar y, en su caso, sancionar, la Corte ha establecido que son inadmisibles las disposiciones de amnistía, las </w:t>
      </w:r>
      <w:r w:rsidRPr="00D13792">
        <w:rPr>
          <w:rFonts w:eastAsia="Calibri"/>
          <w:color w:val="000000"/>
          <w:lang w:val="es-CR"/>
        </w:rPr>
        <w:t>disposiciones</w:t>
      </w:r>
      <w:r w:rsidRPr="00D13792">
        <w:rPr>
          <w:color w:val="000000"/>
          <w:lang w:val="es-CR"/>
        </w:rPr>
        <w:t xml:space="preserve"> de prescripción, así como otras pretendidas excluyentes de responsabilidad que en realidad sean pretexto para impedir la investigación de violaciones graves de los derechos humanos</w:t>
      </w:r>
      <w:r w:rsidRPr="00D13792">
        <w:rPr>
          <w:rStyle w:val="FootnoteReference"/>
          <w:color w:val="000000"/>
          <w:lang w:val="es-CR"/>
        </w:rPr>
        <w:footnoteReference w:id="307"/>
      </w:r>
      <w:r w:rsidRPr="00D13792">
        <w:rPr>
          <w:color w:val="000000"/>
          <w:lang w:val="es-CR"/>
        </w:rPr>
        <w:t>.</w:t>
      </w:r>
    </w:p>
    <w:p w14:paraId="43446A75" w14:textId="77777777" w:rsidR="006A0E1C" w:rsidRPr="00D13792" w:rsidRDefault="006A0E1C" w:rsidP="006A0E1C">
      <w:pPr>
        <w:pStyle w:val="ListParagraph"/>
        <w:tabs>
          <w:tab w:val="left" w:pos="720"/>
        </w:tabs>
        <w:spacing w:after="0" w:line="240" w:lineRule="auto"/>
        <w:ind w:left="15"/>
        <w:jc w:val="both"/>
        <w:rPr>
          <w:rFonts w:ascii="Verdana" w:hAnsi="Verdana"/>
          <w:color w:val="000000"/>
          <w:sz w:val="20"/>
          <w:szCs w:val="20"/>
          <w:lang w:val="es-CR"/>
        </w:rPr>
      </w:pPr>
    </w:p>
    <w:p w14:paraId="32B4DC8D"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 xml:space="preserve">En particular, este Tribunal ya señaló </w:t>
      </w:r>
      <w:r w:rsidRPr="00D13792">
        <w:rPr>
          <w:lang w:val="es-CR"/>
        </w:rPr>
        <w:t xml:space="preserve">que en su jurisprudencia ha conocido de casos en que la falta en un inicio de la tipificación del delito autónomo de desaparición forzada de personas no obstaculizó el desarrollo de procesos penales a nivel interno, por lo que no resultó </w:t>
      </w:r>
      <w:r w:rsidRPr="00D13792">
        <w:rPr>
          <w:i/>
          <w:lang w:val="es-CR"/>
        </w:rPr>
        <w:t>per se</w:t>
      </w:r>
      <w:r w:rsidRPr="00D13792">
        <w:rPr>
          <w:lang w:val="es-CR"/>
        </w:rPr>
        <w:t xml:space="preserve"> en una violación de las obligaciones convencionales estatales (</w:t>
      </w:r>
      <w:r w:rsidRPr="00D13792">
        <w:rPr>
          <w:i/>
          <w:lang w:val="es-CR"/>
        </w:rPr>
        <w:t>supra</w:t>
      </w:r>
      <w:r w:rsidRPr="00D13792">
        <w:rPr>
          <w:lang w:val="es-CR"/>
        </w:rPr>
        <w:t xml:space="preserve"> párr. 136). Lo anterior no obsta que el Estado realice investigaciones con base en el delito de desaparición forzada </w:t>
      </w:r>
      <w:r w:rsidRPr="00D13792">
        <w:rPr>
          <w:color w:val="000000"/>
          <w:lang w:val="es-CR"/>
        </w:rPr>
        <w:t xml:space="preserve">en aquellos casos en los que no se ha determinado el paradero de la persona </w:t>
      </w:r>
      <w:r w:rsidRPr="00D13792">
        <w:rPr>
          <w:rFonts w:eastAsia="Calibri"/>
          <w:color w:val="000000"/>
          <w:lang w:val="es-CR"/>
        </w:rPr>
        <w:t>desaparecida</w:t>
      </w:r>
      <w:r w:rsidRPr="00D13792">
        <w:rPr>
          <w:color w:val="000000"/>
          <w:lang w:val="es-CR"/>
        </w:rPr>
        <w:t xml:space="preserve"> o se hubieren identificado sus restos para la fecha en que entró en vigor la tipificación de dicho delito en 1996. En esos casos, la conducta delictiva continúa y, por ende, el tipo penal resulta aplicable. La Corte ya ha establecido que la aplicación del tipo penal de </w:t>
      </w:r>
      <w:r w:rsidRPr="00D13792">
        <w:rPr>
          <w:color w:val="000000"/>
          <w:lang w:val="es-CR"/>
        </w:rPr>
        <w:lastRenderedPageBreak/>
        <w:t>desaparición forzada bajo los supuestos señalados no vulnera el principio de legalidad, ni implica una aplicación retroactiva de la norma penal</w:t>
      </w:r>
      <w:r w:rsidRPr="00D13792">
        <w:rPr>
          <w:rStyle w:val="FootnoteReference"/>
          <w:color w:val="000000"/>
          <w:lang w:val="es-CR"/>
        </w:rPr>
        <w:footnoteReference w:id="308"/>
      </w:r>
      <w:r w:rsidRPr="00D13792">
        <w:rPr>
          <w:color w:val="000000"/>
          <w:lang w:val="es-CR"/>
        </w:rPr>
        <w:t>.</w:t>
      </w:r>
    </w:p>
    <w:p w14:paraId="5F7DE317" w14:textId="77777777" w:rsidR="006A0E1C" w:rsidRPr="00D13792" w:rsidRDefault="006A0E1C" w:rsidP="006A0E1C">
      <w:pPr>
        <w:pStyle w:val="ListParagraph"/>
        <w:tabs>
          <w:tab w:val="left" w:pos="720"/>
        </w:tabs>
        <w:spacing w:after="0" w:line="240" w:lineRule="auto"/>
        <w:ind w:left="15"/>
        <w:jc w:val="both"/>
        <w:rPr>
          <w:rFonts w:ascii="Verdana" w:hAnsi="Verdana"/>
          <w:color w:val="000000"/>
          <w:sz w:val="20"/>
          <w:szCs w:val="20"/>
          <w:lang w:val="es-CR"/>
        </w:rPr>
      </w:pPr>
    </w:p>
    <w:p w14:paraId="7B7DC956" w14:textId="77777777" w:rsidR="006A0E1C" w:rsidRPr="00D13792" w:rsidRDefault="006A0E1C" w:rsidP="006A0E1C">
      <w:pPr>
        <w:pStyle w:val="Prrafodelista2"/>
        <w:numPr>
          <w:ilvl w:val="0"/>
          <w:numId w:val="23"/>
        </w:numPr>
        <w:tabs>
          <w:tab w:val="left" w:pos="720"/>
        </w:tabs>
        <w:ind w:right="-90"/>
        <w:jc w:val="both"/>
        <w:rPr>
          <w:rFonts w:eastAsia="Calibri"/>
          <w:i/>
          <w:color w:val="000000"/>
          <w:lang w:val="es-CR"/>
        </w:rPr>
      </w:pPr>
      <w:r w:rsidRPr="00D13792">
        <w:rPr>
          <w:color w:val="000000"/>
          <w:lang w:val="es-CR"/>
        </w:rPr>
        <w:t>Por otra parte, los representantes y la Comisión alegaron que los hechos del presente caso constituyen actos de genocidio, mientras que Guatemala</w:t>
      </w:r>
      <w:r w:rsidRPr="00D13792">
        <w:rPr>
          <w:color w:val="000000"/>
          <w:spacing w:val="-3"/>
          <w:lang w:val="es-CR"/>
        </w:rPr>
        <w:t xml:space="preserve"> alegó que dicho delito </w:t>
      </w:r>
      <w:r w:rsidRPr="00D13792">
        <w:rPr>
          <w:rFonts w:eastAsia="Calibri"/>
          <w:color w:val="000000"/>
          <w:lang w:val="es-CR"/>
        </w:rPr>
        <w:t xml:space="preserve">no sería aplicable a los hechos del caso, “dado que </w:t>
      </w:r>
      <w:r w:rsidRPr="00D13792">
        <w:rPr>
          <w:color w:val="000000"/>
          <w:lang w:val="es-CR"/>
        </w:rPr>
        <w:t>el</w:t>
      </w:r>
      <w:r w:rsidRPr="00D13792">
        <w:rPr>
          <w:rFonts w:eastAsia="Calibri"/>
          <w:color w:val="000000"/>
          <w:lang w:val="es-CR"/>
        </w:rPr>
        <w:t xml:space="preserve"> enfrentamiento guatemalteco no se originó como un conflicto de carácter interétnico”. </w:t>
      </w:r>
    </w:p>
    <w:p w14:paraId="23A1DC3C" w14:textId="77777777" w:rsidR="006A0E1C" w:rsidRPr="00D13792" w:rsidRDefault="006A0E1C" w:rsidP="006A0E1C">
      <w:pPr>
        <w:pStyle w:val="Prrafodelista2"/>
        <w:tabs>
          <w:tab w:val="left" w:pos="720"/>
        </w:tabs>
        <w:ind w:left="0" w:right="-90"/>
        <w:jc w:val="both"/>
        <w:rPr>
          <w:rFonts w:eastAsia="Calibri"/>
          <w:color w:val="000000"/>
          <w:sz w:val="14"/>
          <w:lang w:val="es-CR"/>
        </w:rPr>
      </w:pPr>
    </w:p>
    <w:p w14:paraId="138AA42B" w14:textId="77777777" w:rsidR="006A0E1C" w:rsidRPr="00D13792" w:rsidRDefault="006A0E1C" w:rsidP="006A0E1C">
      <w:pPr>
        <w:pStyle w:val="Prrafodelista2"/>
        <w:numPr>
          <w:ilvl w:val="0"/>
          <w:numId w:val="23"/>
        </w:numPr>
        <w:tabs>
          <w:tab w:val="left" w:pos="720"/>
        </w:tabs>
        <w:ind w:right="-90"/>
        <w:jc w:val="both"/>
        <w:rPr>
          <w:rFonts w:eastAsia="Calibri"/>
          <w:i/>
          <w:color w:val="000000"/>
          <w:lang w:val="es-CR"/>
        </w:rPr>
      </w:pPr>
      <w:r w:rsidRPr="00D13792">
        <w:rPr>
          <w:lang w:val="es-CR"/>
        </w:rPr>
        <w:t>En esta Sentencia ya se estableció que la Corte no tiene competencia temporal para pronunciarse sobre una gran parte de los hechos y las violaciones de derechos humanos alegadas por la Comisión y los representantes (</w:t>
      </w:r>
      <w:r w:rsidRPr="00D13792">
        <w:rPr>
          <w:i/>
          <w:lang w:val="es-CR"/>
        </w:rPr>
        <w:t xml:space="preserve">supra </w:t>
      </w:r>
      <w:r w:rsidRPr="00D13792">
        <w:rPr>
          <w:lang w:val="es-CR"/>
        </w:rPr>
        <w:t>párrs. 24). Por este motivo, el Tribunal no cuenta con los elementos para realizar una calificación como la solicitada por la Comisión y los representantes, en caso de que ello fuera procedente</w:t>
      </w:r>
      <w:r w:rsidRPr="00D13792">
        <w:rPr>
          <w:rStyle w:val="FootnoteReference"/>
          <w:lang w:val="es-CR"/>
        </w:rPr>
        <w:footnoteReference w:id="309"/>
      </w:r>
      <w:r w:rsidRPr="00D13792">
        <w:rPr>
          <w:lang w:val="es-CR"/>
        </w:rPr>
        <w:t>.</w:t>
      </w:r>
      <w:r w:rsidRPr="00D13792">
        <w:rPr>
          <w:rFonts w:eastAsia="Calibri"/>
          <w:i/>
          <w:color w:val="000000"/>
          <w:lang w:val="es-CR"/>
        </w:rPr>
        <w:t xml:space="preserve"> </w:t>
      </w:r>
      <w:r w:rsidRPr="00D13792">
        <w:rPr>
          <w:rFonts w:eastAsia="Calibri"/>
          <w:color w:val="000000"/>
          <w:lang w:val="es-CR"/>
        </w:rPr>
        <w:t xml:space="preserve">Sin perjuicio de ello, la Corte </w:t>
      </w:r>
      <w:r w:rsidRPr="00D13792">
        <w:rPr>
          <w:color w:val="000000"/>
          <w:spacing w:val="-3"/>
          <w:lang w:val="es-CR"/>
        </w:rPr>
        <w:t xml:space="preserve">recuerda que Guatemala ratificó la Convención para la Prevención y la Sanción del Delito de Genocidio (CPSDG) el 13 de enero de 1950, es decir, con </w:t>
      </w:r>
      <w:r w:rsidRPr="00D13792">
        <w:rPr>
          <w:color w:val="000000"/>
          <w:lang w:val="es-CR"/>
        </w:rPr>
        <w:t>anterioridad</w:t>
      </w:r>
      <w:r w:rsidRPr="00D13792">
        <w:rPr>
          <w:color w:val="000000"/>
          <w:spacing w:val="-3"/>
          <w:lang w:val="es-CR"/>
        </w:rPr>
        <w:t xml:space="preserve"> a los hechos del presente caso. El Artículo I de dicho tratado obliga a las Partes contratantes a sancionar este delito</w:t>
      </w:r>
      <w:r w:rsidRPr="00D13792">
        <w:rPr>
          <w:rStyle w:val="FootnoteReference"/>
          <w:color w:val="000000"/>
          <w:spacing w:val="-3"/>
          <w:lang w:val="es-CR"/>
        </w:rPr>
        <w:footnoteReference w:id="310"/>
      </w:r>
      <w:r w:rsidRPr="00D13792">
        <w:rPr>
          <w:color w:val="000000"/>
          <w:spacing w:val="-3"/>
          <w:lang w:val="es-CR"/>
        </w:rPr>
        <w:t>.</w:t>
      </w:r>
    </w:p>
    <w:p w14:paraId="48C8CC34" w14:textId="77777777" w:rsidR="006A0E1C" w:rsidRPr="00D13792" w:rsidRDefault="006A0E1C" w:rsidP="006A0E1C">
      <w:pPr>
        <w:pStyle w:val="ListParagraph"/>
        <w:tabs>
          <w:tab w:val="left" w:pos="720"/>
        </w:tabs>
        <w:autoSpaceDE w:val="0"/>
        <w:autoSpaceDN w:val="0"/>
        <w:adjustRightInd w:val="0"/>
        <w:spacing w:after="0" w:line="240" w:lineRule="auto"/>
        <w:ind w:left="15"/>
        <w:jc w:val="both"/>
        <w:rPr>
          <w:rFonts w:ascii="Verdana" w:eastAsia="Calibri" w:hAnsi="Verdana"/>
          <w:i/>
          <w:color w:val="000000"/>
          <w:sz w:val="20"/>
          <w:szCs w:val="20"/>
          <w:lang w:val="es-CR"/>
        </w:rPr>
      </w:pPr>
    </w:p>
    <w:p w14:paraId="5A4EC4C6"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spacing w:val="-3"/>
          <w:lang w:val="es-CR"/>
        </w:rPr>
        <w:t xml:space="preserve">Asimismo, en este caso ya se estableció que, </w:t>
      </w:r>
      <w:r w:rsidRPr="00D13792">
        <w:rPr>
          <w:bCs/>
          <w:color w:val="000000"/>
          <w:lang w:val="es-CR"/>
        </w:rPr>
        <w:t xml:space="preserve">bajo </w:t>
      </w:r>
      <w:r w:rsidRPr="00D13792">
        <w:rPr>
          <w:color w:val="000000"/>
          <w:lang w:val="es-CR"/>
        </w:rPr>
        <w:t xml:space="preserve">la “Doctrina de Seguridad Nacional” (1978-1983), el Ejército identificó, entre otros, a los miembros del pueblo indígena maya como “enemigo interno”, </w:t>
      </w:r>
      <w:r w:rsidRPr="00D13792">
        <w:rPr>
          <w:rFonts w:eastAsia="Calibri"/>
          <w:color w:val="000000"/>
          <w:lang w:val="es-CR"/>
        </w:rPr>
        <w:t>por</w:t>
      </w:r>
      <w:r w:rsidRPr="00D13792">
        <w:rPr>
          <w:color w:val="000000"/>
          <w:lang w:val="es-CR"/>
        </w:rPr>
        <w:t xml:space="preserve"> considerar que constituían o podían constituir la base social de la guerrilla (</w:t>
      </w:r>
      <w:r w:rsidRPr="00D13792">
        <w:rPr>
          <w:i/>
          <w:color w:val="000000"/>
          <w:lang w:val="es-CR"/>
        </w:rPr>
        <w:t xml:space="preserve">supra </w:t>
      </w:r>
      <w:r w:rsidRPr="00D13792">
        <w:rPr>
          <w:color w:val="000000"/>
          <w:lang w:val="es-CR"/>
        </w:rPr>
        <w:t>párrs. 77 y 84). Como ya se señaló, en su Informe Final de junio 1999, la CEH explicó que la identificación entre las comunidades mayas y la insurgencia, y la saña e indiscriminación con que se realizaban las “operaciones militares contra centenares de comunidades mayas en el occidente y noroccidente del país, en particular entre 1981 y 1983”, se apoyó en tradicionales prejuicios racistas. Aunado a ello, tomando en cuenta las masacres realizadas en las aldeas de Plan de Sánchez, Río Negro y Chichupac, entre otras, la CEH sostuvo que:</w:t>
      </w:r>
    </w:p>
    <w:p w14:paraId="1ADFD0A0" w14:textId="77777777" w:rsidR="006A0E1C" w:rsidRPr="00D13792" w:rsidRDefault="006A0E1C" w:rsidP="006A0E1C">
      <w:pPr>
        <w:pStyle w:val="ListParagraph"/>
        <w:spacing w:after="0" w:line="240" w:lineRule="auto"/>
        <w:jc w:val="both"/>
        <w:rPr>
          <w:rFonts w:ascii="Verdana" w:hAnsi="Verdana"/>
          <w:color w:val="000000"/>
          <w:sz w:val="16"/>
          <w:szCs w:val="20"/>
          <w:lang w:val="es-CR"/>
        </w:rPr>
      </w:pPr>
    </w:p>
    <w:p w14:paraId="175344CC" w14:textId="77777777" w:rsidR="006A0E1C" w:rsidRPr="00D13792" w:rsidRDefault="006A0E1C" w:rsidP="006A0E1C">
      <w:pPr>
        <w:pStyle w:val="ListParagraph"/>
        <w:tabs>
          <w:tab w:val="left" w:pos="450"/>
        </w:tabs>
        <w:autoSpaceDE w:val="0"/>
        <w:autoSpaceDN w:val="0"/>
        <w:adjustRightInd w:val="0"/>
        <w:spacing w:after="0" w:line="240" w:lineRule="auto"/>
        <w:ind w:left="360" w:right="468"/>
        <w:jc w:val="both"/>
        <w:rPr>
          <w:rFonts w:ascii="Verdana" w:hAnsi="Verdana"/>
          <w:color w:val="000000"/>
          <w:sz w:val="16"/>
          <w:szCs w:val="20"/>
          <w:lang w:val="es-CR"/>
        </w:rPr>
      </w:pPr>
      <w:r w:rsidRPr="00D13792">
        <w:rPr>
          <w:rFonts w:ascii="Verdana" w:hAnsi="Verdana"/>
          <w:color w:val="000000"/>
          <w:sz w:val="16"/>
          <w:szCs w:val="20"/>
          <w:lang w:val="es-CR"/>
        </w:rPr>
        <w:t>“el conjunto de violaciones de derechos humanos perpetradas por el Estado contra la población maya-achí durante los años 1980-1983 permite concluir que se cometieron actos de genocidio inspirados por una determinación estratégica que también revistió carácter genocida, por cuanto el objetivo de la campaña militar realizada en el área de Rabinal fue la destrucción parcial del pueblo maya-achí, como requisito necesario para mantener absoluto control sobre un área militarmente estratégica y separar a la guerrilla de su supuesta base social. […] Esta percepción de equivalencia de identidad entre la población maya-achí de Rabinal y la guerrilla, condujo, en un momento del enfrentamiento, a una campaña orientada a la aniquilación parcial del pueblo maya-achí de Rabinal, que se encontraba en total estado de indefensión”</w:t>
      </w:r>
      <w:r w:rsidRPr="00D13792">
        <w:rPr>
          <w:rStyle w:val="FootnoteReference"/>
          <w:rFonts w:ascii="Verdana" w:hAnsi="Verdana"/>
          <w:color w:val="000000"/>
          <w:sz w:val="16"/>
          <w:szCs w:val="20"/>
          <w:lang w:val="es-CR"/>
        </w:rPr>
        <w:footnoteReference w:id="311"/>
      </w:r>
      <w:r w:rsidRPr="00D13792">
        <w:rPr>
          <w:rFonts w:ascii="Verdana" w:hAnsi="Verdana"/>
          <w:color w:val="000000"/>
          <w:sz w:val="16"/>
          <w:szCs w:val="20"/>
          <w:lang w:val="es-CR"/>
        </w:rPr>
        <w:t xml:space="preserve">. </w:t>
      </w:r>
    </w:p>
    <w:p w14:paraId="70830233" w14:textId="77777777" w:rsidR="006A0E1C" w:rsidRPr="00D13792" w:rsidRDefault="006A0E1C" w:rsidP="006A0E1C">
      <w:pPr>
        <w:tabs>
          <w:tab w:val="left" w:pos="720"/>
        </w:tabs>
        <w:autoSpaceDE w:val="0"/>
        <w:autoSpaceDN w:val="0"/>
        <w:spacing w:line="240" w:lineRule="auto"/>
        <w:rPr>
          <w:rFonts w:eastAsia="Calibri"/>
          <w:i/>
          <w:color w:val="000000"/>
          <w:sz w:val="16"/>
          <w:szCs w:val="20"/>
        </w:rPr>
      </w:pPr>
    </w:p>
    <w:p w14:paraId="6CF8524A" w14:textId="77777777" w:rsidR="006A0E1C" w:rsidRPr="00D13792" w:rsidRDefault="006A0E1C" w:rsidP="006A0E1C">
      <w:pPr>
        <w:pStyle w:val="Prrafodelista2"/>
        <w:numPr>
          <w:ilvl w:val="0"/>
          <w:numId w:val="23"/>
        </w:numPr>
        <w:tabs>
          <w:tab w:val="left" w:pos="720"/>
        </w:tabs>
        <w:ind w:right="-90"/>
        <w:jc w:val="both"/>
        <w:rPr>
          <w:rFonts w:eastAsia="Calibri"/>
          <w:i/>
          <w:color w:val="000000"/>
          <w:lang w:val="es-CR"/>
        </w:rPr>
      </w:pPr>
      <w:r w:rsidRPr="00D13792">
        <w:rPr>
          <w:rFonts w:eastAsia="Calibri"/>
          <w:color w:val="000000"/>
          <w:lang w:val="es-CR"/>
        </w:rPr>
        <w:t xml:space="preserve">La Corte recuerda que los casos </w:t>
      </w:r>
      <w:r w:rsidRPr="00D13792">
        <w:rPr>
          <w:rStyle w:val="Strong"/>
          <w:b w:val="0"/>
          <w:i/>
          <w:color w:val="000000"/>
          <w:shd w:val="clear" w:color="auto" w:fill="FFFFFF"/>
          <w:lang w:val="es-CR"/>
        </w:rPr>
        <w:t>Masacre Plan de Sánchez</w:t>
      </w:r>
      <w:r w:rsidRPr="00D13792">
        <w:rPr>
          <w:rStyle w:val="Strong"/>
          <w:b w:val="0"/>
          <w:color w:val="000000"/>
          <w:shd w:val="clear" w:color="auto" w:fill="FFFFFF"/>
          <w:lang w:val="es-CR"/>
        </w:rPr>
        <w:t xml:space="preserve"> y</w:t>
      </w:r>
      <w:r w:rsidRPr="00D13792">
        <w:rPr>
          <w:rStyle w:val="Strong"/>
          <w:color w:val="000000"/>
          <w:shd w:val="clear" w:color="auto" w:fill="FFFFFF"/>
          <w:lang w:val="es-CR"/>
        </w:rPr>
        <w:t xml:space="preserve"> </w:t>
      </w:r>
      <w:r w:rsidRPr="00D13792">
        <w:rPr>
          <w:i/>
          <w:color w:val="000000"/>
          <w:lang w:val="es-CR"/>
        </w:rPr>
        <w:t xml:space="preserve">Masacres de Río Negro, </w:t>
      </w:r>
      <w:r w:rsidRPr="00D13792">
        <w:rPr>
          <w:color w:val="000000"/>
          <w:lang w:val="es-CR"/>
        </w:rPr>
        <w:t xml:space="preserve">ambos conocidos por este Tribunal, también se refieren a masacres, ejecuciones, violaciones sexuales y torturas, </w:t>
      </w:r>
      <w:r w:rsidRPr="00D13792">
        <w:rPr>
          <w:rFonts w:eastAsia="Calibri"/>
          <w:color w:val="000000"/>
          <w:lang w:val="es-CR"/>
        </w:rPr>
        <w:t>entre</w:t>
      </w:r>
      <w:r w:rsidRPr="00D13792">
        <w:rPr>
          <w:color w:val="000000"/>
          <w:lang w:val="es-CR"/>
        </w:rPr>
        <w:t xml:space="preserve"> otros, que tuvieron lugar en la primera mitad de la década de los 80 en el marco del conflicto armado interno guatemalteco, todos estos contra miembros del pueblo maya achí, entre ellos, niñas, niños, mujeres y hombres que residían en aldeas y comunidades del municipio de Rabinal, y atribuidos a miembros de las fuerzas de seguridad del Estado. En el </w:t>
      </w:r>
      <w:r w:rsidRPr="00D13792">
        <w:rPr>
          <w:color w:val="000000"/>
          <w:lang w:val="es-CR"/>
        </w:rPr>
        <w:lastRenderedPageBreak/>
        <w:t xml:space="preserve">caso de la </w:t>
      </w:r>
      <w:r w:rsidRPr="00D13792">
        <w:rPr>
          <w:i/>
          <w:color w:val="000000"/>
          <w:lang w:val="es-CR"/>
        </w:rPr>
        <w:t xml:space="preserve">Masacre de Plan de Sánchez, </w:t>
      </w:r>
      <w:r w:rsidRPr="00D13792">
        <w:rPr>
          <w:color w:val="000000"/>
          <w:lang w:val="es-CR"/>
        </w:rPr>
        <w:t>se denunció la comisión de diversos delitos, entre ellos, el de genocidio, en junio de 1997</w:t>
      </w:r>
      <w:r w:rsidRPr="00D13792">
        <w:rPr>
          <w:rStyle w:val="FootnoteReference"/>
          <w:color w:val="000000"/>
          <w:lang w:val="es-CR"/>
        </w:rPr>
        <w:footnoteReference w:id="312"/>
      </w:r>
      <w:r w:rsidRPr="00D13792">
        <w:rPr>
          <w:color w:val="000000"/>
          <w:lang w:val="es-CR"/>
        </w:rPr>
        <w:t xml:space="preserve">. </w:t>
      </w:r>
    </w:p>
    <w:p w14:paraId="0D79D327" w14:textId="77777777" w:rsidR="006A0E1C" w:rsidRPr="00D13792" w:rsidRDefault="006A0E1C" w:rsidP="006A0E1C">
      <w:pPr>
        <w:pStyle w:val="ListParagraph"/>
        <w:tabs>
          <w:tab w:val="left" w:pos="720"/>
        </w:tabs>
        <w:autoSpaceDE w:val="0"/>
        <w:autoSpaceDN w:val="0"/>
        <w:adjustRightInd w:val="0"/>
        <w:spacing w:after="0" w:line="240" w:lineRule="auto"/>
        <w:ind w:left="15"/>
        <w:jc w:val="both"/>
        <w:rPr>
          <w:rFonts w:ascii="Verdana" w:eastAsia="Calibri" w:hAnsi="Verdana"/>
          <w:i/>
          <w:color w:val="000000"/>
          <w:sz w:val="20"/>
          <w:szCs w:val="20"/>
          <w:lang w:val="es-CR"/>
        </w:rPr>
      </w:pPr>
    </w:p>
    <w:p w14:paraId="15A632CC" w14:textId="77777777" w:rsidR="006A0E1C" w:rsidRPr="00D13792" w:rsidRDefault="006A0E1C" w:rsidP="006A0E1C">
      <w:pPr>
        <w:pStyle w:val="Prrafodelista2"/>
        <w:numPr>
          <w:ilvl w:val="0"/>
          <w:numId w:val="23"/>
        </w:numPr>
        <w:tabs>
          <w:tab w:val="left" w:pos="720"/>
        </w:tabs>
        <w:ind w:right="-90"/>
        <w:jc w:val="both"/>
        <w:rPr>
          <w:rFonts w:cs="Arial"/>
          <w:color w:val="000000"/>
          <w:lang w:val="es-CR"/>
        </w:rPr>
      </w:pPr>
      <w:r w:rsidRPr="00D13792">
        <w:rPr>
          <w:rFonts w:cs="Arial"/>
          <w:color w:val="000000"/>
          <w:lang w:val="es-CR"/>
        </w:rPr>
        <w:t xml:space="preserve">En este contexto, consta que el 2 de septiembre de 1996 el Procurador de los Derechos Humanos dictó una resolución relacionada con los cementerios clandestinos localizados en las aldeas de Plan de Sánchez, Río Negro y Chichupac, entre otras, en la cual </w:t>
      </w:r>
      <w:r w:rsidRPr="00D13792">
        <w:rPr>
          <w:rFonts w:eastAsia="Calibri"/>
          <w:color w:val="000000"/>
          <w:lang w:val="es-CR"/>
        </w:rPr>
        <w:t>indicó</w:t>
      </w:r>
      <w:r w:rsidRPr="00D13792">
        <w:rPr>
          <w:rFonts w:cs="Arial"/>
          <w:color w:val="000000"/>
          <w:lang w:val="es-CR"/>
        </w:rPr>
        <w:t xml:space="preserve"> que las matanzas cometidas en dichos lugares no eran aisladas y constituían crímenes de lesa humanidad</w:t>
      </w:r>
      <w:r w:rsidRPr="00D13792">
        <w:rPr>
          <w:rFonts w:cs="Arial"/>
          <w:lang w:val="es-CR"/>
        </w:rPr>
        <w:t xml:space="preserve">, señalando como responsables “en forma directa a las autoridades civiles y militares que en la fecha de ejecución de los actos, ejercía[n] funciones de jurisdicción en el lugar de los hechos”, así como a “los gobiernos de la República de la fecha en que sucedieron los hechos y a los Ministros de la Defensa Nacional y de Gobernación de esos gobiernos”. También recomendó al Fiscal General de la Nación “una severa, pronta y continuada investigación y prosecución de estos gravísimos hechos, hasta lograr el castigo para los </w:t>
      </w:r>
      <w:r w:rsidRPr="00D13792">
        <w:rPr>
          <w:rFonts w:cs="Arial"/>
          <w:bCs/>
          <w:lang w:val="es-CR"/>
        </w:rPr>
        <w:t>responsables”</w:t>
      </w:r>
      <w:r w:rsidRPr="00D13792">
        <w:rPr>
          <w:rStyle w:val="FootnoteReference"/>
          <w:rFonts w:cs="Arial"/>
          <w:color w:val="000000"/>
          <w:lang w:val="es-CR"/>
        </w:rPr>
        <w:t xml:space="preserve"> </w:t>
      </w:r>
      <w:r w:rsidRPr="00D13792">
        <w:rPr>
          <w:rStyle w:val="FootnoteReference"/>
          <w:rFonts w:cs="Arial"/>
          <w:color w:val="000000"/>
          <w:lang w:val="es-CR"/>
        </w:rPr>
        <w:footnoteReference w:id="313"/>
      </w:r>
      <w:r w:rsidRPr="00D13792">
        <w:rPr>
          <w:rFonts w:cs="Arial"/>
          <w:color w:val="000000"/>
          <w:lang w:val="es-CR"/>
        </w:rPr>
        <w:t xml:space="preserve">. </w:t>
      </w:r>
    </w:p>
    <w:p w14:paraId="23F7755B" w14:textId="77777777" w:rsidR="006A0E1C" w:rsidRPr="00D13792" w:rsidRDefault="006A0E1C" w:rsidP="006A0E1C">
      <w:pPr>
        <w:pStyle w:val="ListParagraph"/>
        <w:spacing w:after="0"/>
        <w:rPr>
          <w:rFonts w:cs="Arial"/>
          <w:color w:val="000000"/>
          <w:lang w:val="es-CR"/>
        </w:rPr>
      </w:pPr>
    </w:p>
    <w:p w14:paraId="675DF534" w14:textId="77777777" w:rsidR="006A0E1C" w:rsidRPr="00D13792" w:rsidRDefault="006A0E1C" w:rsidP="006A0E1C">
      <w:pPr>
        <w:pStyle w:val="Prrafodelista2"/>
        <w:numPr>
          <w:ilvl w:val="0"/>
          <w:numId w:val="23"/>
        </w:numPr>
        <w:tabs>
          <w:tab w:val="left" w:pos="720"/>
        </w:tabs>
        <w:ind w:right="-90"/>
        <w:jc w:val="both"/>
        <w:rPr>
          <w:rFonts w:cs="Arial"/>
          <w:color w:val="000000"/>
          <w:lang w:val="es-CR"/>
        </w:rPr>
      </w:pPr>
      <w:r w:rsidRPr="00D13792">
        <w:rPr>
          <w:rFonts w:cs="Arial"/>
          <w:color w:val="000000"/>
          <w:lang w:val="es-CR"/>
        </w:rPr>
        <w:t>Por otra parte, los días 25 de octubre de 2000 y 12 de julio de 2005 el señor Miguel Sic Osorio acudió ante la Unidad de Asuntos Internos adscrita a la Fiscalía de Delitos Administrativos</w:t>
      </w:r>
      <w:r w:rsidRPr="00D13792">
        <w:rPr>
          <w:rStyle w:val="FootnoteReference"/>
          <w:rFonts w:cs="Arial"/>
          <w:color w:val="000000"/>
          <w:lang w:val="es-CR"/>
        </w:rPr>
        <w:footnoteReference w:id="314"/>
      </w:r>
      <w:r w:rsidRPr="00D13792">
        <w:rPr>
          <w:rFonts w:cs="Arial"/>
          <w:color w:val="000000"/>
          <w:lang w:val="es-CR"/>
        </w:rPr>
        <w:t xml:space="preserve"> y declaró que “los patrulleros y los comisionados militares […] por discriminación querían terminar con nosotros porque dijeron que querían terminar con los indios”. También manifestó que “[h]asta antes de la masacre habían personas que practicaban la religión Maya y con la masacre mataron a todos los sacerdotes Mayas”</w:t>
      </w:r>
      <w:r w:rsidRPr="00D13792">
        <w:rPr>
          <w:rStyle w:val="FootnoteReference"/>
          <w:rFonts w:cs="Arial"/>
          <w:color w:val="000000"/>
          <w:lang w:val="es-CR"/>
        </w:rPr>
        <w:footnoteReference w:id="315"/>
      </w:r>
      <w:r w:rsidRPr="00D13792">
        <w:rPr>
          <w:rFonts w:cs="Arial"/>
          <w:color w:val="000000"/>
          <w:lang w:val="es-CR"/>
        </w:rPr>
        <w:t xml:space="preserve">. Además, la Corte destaca que </w:t>
      </w:r>
      <w:r w:rsidRPr="00D13792">
        <w:rPr>
          <w:rFonts w:cs="Calibri,Bold"/>
          <w:bCs/>
          <w:lang w:val="es-CR"/>
        </w:rPr>
        <w:t xml:space="preserve">el 18 de julio de 2013 el </w:t>
      </w:r>
      <w:r w:rsidRPr="00D13792">
        <w:rPr>
          <w:rStyle w:val="CommentReference"/>
          <w:rFonts w:cs="Arial"/>
          <w:sz w:val="20"/>
          <w:szCs w:val="20"/>
          <w:lang w:val="es-CR"/>
        </w:rPr>
        <w:t>Auxiliar Fiscal I de la Fiscalía Municipal del Ministerio Público de Rabinal señaló al Juez de Primera Instancia Penal de Narcoactividad y Delitos contra el Medio Ambiente que los hechos denunciados por la señora Juana García Depaz incluían “delitos de lesa humanidad”</w:t>
      </w:r>
      <w:r w:rsidRPr="00D13792">
        <w:rPr>
          <w:rStyle w:val="FootnoteReference"/>
          <w:rFonts w:cs="Arial"/>
          <w:lang w:val="es-CR"/>
        </w:rPr>
        <w:footnoteReference w:id="316"/>
      </w:r>
      <w:r w:rsidRPr="00D13792">
        <w:rPr>
          <w:rStyle w:val="CommentReference"/>
          <w:rFonts w:cs="Arial"/>
          <w:sz w:val="20"/>
          <w:szCs w:val="20"/>
          <w:lang w:val="es-CR"/>
        </w:rPr>
        <w:t xml:space="preserve">. En similar sentido, dentro del </w:t>
      </w:r>
      <w:r w:rsidRPr="00D13792">
        <w:rPr>
          <w:lang w:val="es-CR"/>
        </w:rPr>
        <w:t>expediente M.P. 247/1999/492 con Causa 255-93 Of. 4to, consta un oficio del Auxiliar Fiscal del Ministerio Público de Baja Verapaz dirigido a la Fiscalía de la Unidad de Casos Especiales y Violaciones de Derechos Humanos, de 14 de junio de 2006, por medio del cual se remite el expediente “que hace referencia al genocidio cometido en la Aldea de Chichupac [M]unicipio de Rabinal […]”</w:t>
      </w:r>
      <w:r w:rsidRPr="00D13792">
        <w:rPr>
          <w:rStyle w:val="FootnoteReference"/>
          <w:lang w:val="es-CR"/>
        </w:rPr>
        <w:footnoteReference w:id="317"/>
      </w:r>
      <w:r w:rsidRPr="00D13792">
        <w:rPr>
          <w:lang w:val="es-CR"/>
        </w:rPr>
        <w:t>.</w:t>
      </w:r>
    </w:p>
    <w:p w14:paraId="1A94C13B" w14:textId="77777777" w:rsidR="006A0E1C" w:rsidRPr="00D13792" w:rsidRDefault="006A0E1C" w:rsidP="006A0E1C">
      <w:pPr>
        <w:pStyle w:val="ListParagraph"/>
        <w:spacing w:after="0" w:line="240" w:lineRule="auto"/>
        <w:ind w:left="0"/>
        <w:jc w:val="both"/>
        <w:rPr>
          <w:rFonts w:ascii="Verdana" w:hAnsi="Verdana" w:cs="Arial"/>
          <w:color w:val="000000"/>
          <w:sz w:val="20"/>
          <w:szCs w:val="20"/>
          <w:lang w:val="es-CR"/>
        </w:rPr>
      </w:pPr>
    </w:p>
    <w:p w14:paraId="57C5B924" w14:textId="77777777" w:rsidR="006A0E1C" w:rsidRPr="00D13792" w:rsidRDefault="006A0E1C" w:rsidP="006A0E1C">
      <w:pPr>
        <w:pStyle w:val="Prrafodelista2"/>
        <w:numPr>
          <w:ilvl w:val="0"/>
          <w:numId w:val="23"/>
        </w:numPr>
        <w:tabs>
          <w:tab w:val="left" w:pos="720"/>
        </w:tabs>
        <w:ind w:right="-90"/>
        <w:jc w:val="both"/>
        <w:rPr>
          <w:rFonts w:cs="Arial"/>
          <w:color w:val="000000"/>
          <w:lang w:val="es-CR"/>
        </w:rPr>
      </w:pPr>
      <w:r w:rsidRPr="00D13792">
        <w:rPr>
          <w:rFonts w:cs="Arial"/>
          <w:color w:val="000000"/>
          <w:lang w:val="es-CR"/>
        </w:rPr>
        <w:t xml:space="preserve">De lo anterior, se desprende que, al menos desde el año 1996 el Estado tenía conocimiento de que existían posibles crímenes de lesa humanidad en el Municipio de Rabinal, y al menos desde junio de 1999, fecha en que la CEH publicó su Informe Final, tenía conocimiento de que los hechos cometidos en este caso posiblemente fueron motivados por conceptos racistas y/o constituyeron actos de genocidio. Por tanto, el Estado tenía la obligación de investigar los hechos del caso tomando en cuenta dichos alegatos, pero no consta de la prueba que esto se haya hecho, pese a que el Tribunal solicitó al Estado dicha información. De </w:t>
      </w:r>
      <w:r w:rsidRPr="00D13792">
        <w:rPr>
          <w:rFonts w:cs="Arial"/>
          <w:color w:val="000000"/>
          <w:lang w:val="es-CR"/>
        </w:rPr>
        <w:lastRenderedPageBreak/>
        <w:t>este modo, Guatemala no puede alegar</w:t>
      </w:r>
      <w:r w:rsidRPr="00D13792">
        <w:rPr>
          <w:color w:val="000000"/>
          <w:spacing w:val="-3"/>
          <w:lang w:val="es-CR"/>
        </w:rPr>
        <w:t xml:space="preserve"> que “</w:t>
      </w:r>
      <w:r w:rsidRPr="00D13792">
        <w:rPr>
          <w:rFonts w:eastAsia="Calibri"/>
          <w:color w:val="000000"/>
          <w:lang w:val="es-CR"/>
        </w:rPr>
        <w:t xml:space="preserve">no sería aplicable el delito de genocidio a los hechos del caso”, sin que conste que se haya realizado una investigación en </w:t>
      </w:r>
      <w:r w:rsidRPr="00D13792">
        <w:rPr>
          <w:rFonts w:cs="Arial"/>
          <w:color w:val="000000"/>
          <w:lang w:val="es-CR"/>
        </w:rPr>
        <w:t>cuanto a este aspecto</w:t>
      </w:r>
      <w:r w:rsidRPr="00D13792">
        <w:rPr>
          <w:rFonts w:eastAsia="Calibri"/>
          <w:color w:val="000000"/>
          <w:lang w:val="es-CR"/>
        </w:rPr>
        <w:t xml:space="preserve"> a fin de esclarecer los hechos y determinar las responsabilidades que correspondan.</w:t>
      </w:r>
    </w:p>
    <w:p w14:paraId="575C8992" w14:textId="77777777" w:rsidR="006A0E1C" w:rsidRPr="00D13792" w:rsidRDefault="006A0E1C" w:rsidP="006A0E1C">
      <w:pPr>
        <w:pStyle w:val="Prrafodelista2"/>
        <w:tabs>
          <w:tab w:val="left" w:pos="720"/>
        </w:tabs>
        <w:ind w:left="0" w:right="-90"/>
        <w:jc w:val="both"/>
        <w:rPr>
          <w:rFonts w:cs="Arial"/>
          <w:color w:val="000000"/>
          <w:lang w:val="es-CR"/>
        </w:rPr>
      </w:pPr>
    </w:p>
    <w:p w14:paraId="14168AAC" w14:textId="77777777" w:rsidR="006A0E1C" w:rsidRPr="00D13792" w:rsidRDefault="006A0E1C" w:rsidP="006A0E1C">
      <w:pPr>
        <w:pStyle w:val="Prrafodelista2"/>
        <w:numPr>
          <w:ilvl w:val="0"/>
          <w:numId w:val="23"/>
        </w:numPr>
        <w:tabs>
          <w:tab w:val="left" w:pos="720"/>
        </w:tabs>
        <w:ind w:right="-90"/>
        <w:jc w:val="both"/>
        <w:rPr>
          <w:rFonts w:cs="Arial"/>
          <w:color w:val="000000"/>
          <w:lang w:val="es-CR"/>
        </w:rPr>
      </w:pPr>
      <w:r w:rsidRPr="00D13792">
        <w:rPr>
          <w:rFonts w:cs="Arial"/>
          <w:color w:val="000000"/>
          <w:lang w:val="es-CR"/>
        </w:rPr>
        <w:t xml:space="preserve">Finalmente, en cuanto a la falta de investigación de las violaciones sexuales cometidas por agentes de seguridad del Estado en el presente caso, </w:t>
      </w:r>
      <w:r w:rsidRPr="00D13792">
        <w:rPr>
          <w:lang w:val="es-CR"/>
        </w:rPr>
        <w:t>la Corte considera que toda vez que existan indicios de violencia sexual en el marco de un conflicto armado interno, esta no debe ser tratada como un delito colateral, sino que su investigación debe formar parte de cada etapa de la estrategia global de investigación de posibles torturas, crímenes de lesa humanidad, crímenes de guerra o actos de genocidio que pudieran haberse cometido</w:t>
      </w:r>
      <w:r w:rsidRPr="00D13792">
        <w:rPr>
          <w:rStyle w:val="FootnoteReference"/>
          <w:color w:val="000000"/>
          <w:lang w:val="es-CR"/>
        </w:rPr>
        <w:footnoteReference w:id="318"/>
      </w:r>
      <w:r w:rsidRPr="00D13792">
        <w:rPr>
          <w:lang w:val="es-CR"/>
        </w:rPr>
        <w:t>. La investigación de violencia sexual deberá llevarse a cabo respetando las características culturales de las víctimas. Por otra parte, se deberán investigar posibles vínculos entre los responsables directos de la violencia sexual y sus superiores jerárquicos, así como la existencia de componentes que demostrarían una intención discriminatoria y/o la intención cometer un genocidio</w:t>
      </w:r>
      <w:r w:rsidRPr="00D13792">
        <w:rPr>
          <w:rStyle w:val="FootnoteReference"/>
          <w:lang w:val="es-CR"/>
        </w:rPr>
        <w:footnoteReference w:id="319"/>
      </w:r>
      <w:r w:rsidRPr="00D13792">
        <w:rPr>
          <w:lang w:val="es-CR"/>
        </w:rPr>
        <w:t>.</w:t>
      </w:r>
      <w:r w:rsidRPr="00D13792">
        <w:rPr>
          <w:sz w:val="16"/>
          <w:szCs w:val="16"/>
          <w:lang w:val="es-CR"/>
        </w:rPr>
        <w:t xml:space="preserve">  </w:t>
      </w:r>
    </w:p>
    <w:p w14:paraId="3FD299CA" w14:textId="77777777" w:rsidR="006A0E1C" w:rsidRPr="00D13792" w:rsidRDefault="006A0E1C" w:rsidP="006A0E1C">
      <w:pPr>
        <w:pStyle w:val="Prrafodelista2"/>
        <w:tabs>
          <w:tab w:val="left" w:pos="720"/>
        </w:tabs>
        <w:ind w:left="0" w:right="-90"/>
        <w:jc w:val="both"/>
        <w:rPr>
          <w:rFonts w:cs="Arial"/>
          <w:i/>
          <w:color w:val="000000"/>
          <w:lang w:val="es-CR"/>
        </w:rPr>
      </w:pPr>
    </w:p>
    <w:p w14:paraId="0D62A1CB" w14:textId="77777777" w:rsidR="006A0E1C" w:rsidRPr="00D13792" w:rsidRDefault="006A0E1C" w:rsidP="006A0E1C">
      <w:pPr>
        <w:pStyle w:val="Prrafodelista2"/>
        <w:numPr>
          <w:ilvl w:val="0"/>
          <w:numId w:val="23"/>
        </w:numPr>
        <w:tabs>
          <w:tab w:val="left" w:pos="720"/>
        </w:tabs>
        <w:ind w:right="-90"/>
        <w:jc w:val="both"/>
        <w:rPr>
          <w:rFonts w:cs="Arial"/>
          <w:color w:val="000000"/>
          <w:lang w:val="es-CR"/>
        </w:rPr>
      </w:pPr>
      <w:r w:rsidRPr="00D13792">
        <w:rPr>
          <w:rFonts w:eastAsia="Calibri"/>
          <w:color w:val="000000"/>
          <w:lang w:val="es-CR"/>
        </w:rPr>
        <w:t xml:space="preserve">Por lo anterior, la Corte considera que el Estado incumplió su obligación de investigar las graves violaciones de derechos humanos ocurridas y/o alegadas en el presente caso, inclusive, la alegada comisión de violencia y violación sexual, trabajos forzosos, torturas, crímenes de lesa humanidad, crímenes de guerra y actos de genocidio.  </w:t>
      </w:r>
    </w:p>
    <w:p w14:paraId="1BE5A032" w14:textId="77777777" w:rsidR="006A0E1C" w:rsidRPr="00D13792" w:rsidRDefault="006A0E1C" w:rsidP="006A0E1C">
      <w:pPr>
        <w:pStyle w:val="ListParagraph"/>
        <w:spacing w:after="0" w:line="240" w:lineRule="auto"/>
        <w:jc w:val="both"/>
        <w:rPr>
          <w:rFonts w:ascii="Verdana" w:hAnsi="Verdana" w:cs="Arial"/>
          <w:color w:val="000000"/>
          <w:sz w:val="20"/>
          <w:szCs w:val="20"/>
          <w:lang w:val="es-CR"/>
        </w:rPr>
      </w:pPr>
    </w:p>
    <w:p w14:paraId="533F6186" w14:textId="77777777" w:rsidR="006A0E1C" w:rsidRPr="00D13792" w:rsidRDefault="006A0E1C" w:rsidP="006A0E1C">
      <w:pPr>
        <w:pStyle w:val="Prrafodelista2"/>
        <w:numPr>
          <w:ilvl w:val="0"/>
          <w:numId w:val="23"/>
        </w:numPr>
        <w:tabs>
          <w:tab w:val="left" w:pos="720"/>
        </w:tabs>
        <w:ind w:right="-90"/>
        <w:jc w:val="both"/>
        <w:rPr>
          <w:rFonts w:eastAsia="Batang"/>
          <w:bCs/>
          <w:snapToGrid w:val="0"/>
          <w:color w:val="000000"/>
          <w:kern w:val="32"/>
          <w:lang w:val="es-CR" w:eastAsia="es-ES"/>
        </w:rPr>
      </w:pPr>
      <w:r w:rsidRPr="00D13792">
        <w:rPr>
          <w:rFonts w:eastAsia="Batang"/>
          <w:bCs/>
          <w:snapToGrid w:val="0"/>
          <w:color w:val="000000"/>
          <w:kern w:val="32"/>
          <w:lang w:val="es-CR" w:eastAsia="es-ES"/>
        </w:rPr>
        <w:t>Ahora bien, la Comisión alegó que el Estado violó el artículo 24 de la Convención Americana al haberse abstenido de investigar el patrón de discriminación racial que permitió la persecución del pueblo indígena maya. Al respecto, en casos anteriores, la Corte ha establecido violaciones al artículo 24 de la Convención cuando se constató una vulneración al acceso a la justicia con base en criterios discriminatorios</w:t>
      </w:r>
      <w:r w:rsidRPr="00D13792">
        <w:rPr>
          <w:rStyle w:val="FootnoteReference"/>
          <w:rFonts w:eastAsia="Batang"/>
          <w:bCs/>
          <w:snapToGrid w:val="0"/>
          <w:color w:val="000000"/>
          <w:kern w:val="32"/>
          <w:lang w:val="es-CR" w:eastAsia="es-ES"/>
        </w:rPr>
        <w:footnoteReference w:id="320"/>
      </w:r>
      <w:r w:rsidRPr="00D13792">
        <w:rPr>
          <w:rFonts w:eastAsia="Batang"/>
          <w:bCs/>
          <w:snapToGrid w:val="0"/>
          <w:color w:val="000000"/>
          <w:kern w:val="32"/>
          <w:lang w:val="es-CR" w:eastAsia="es-ES"/>
        </w:rPr>
        <w:t xml:space="preserve">. Sin embargo, en este caso, la Comisión no </w:t>
      </w:r>
      <w:r w:rsidRPr="00D13792">
        <w:rPr>
          <w:rFonts w:eastAsia="Batang"/>
          <w:bCs/>
          <w:snapToGrid w:val="0"/>
          <w:color w:val="000000"/>
          <w:kern w:val="32"/>
          <w:lang w:val="es-CR" w:eastAsia="es-ES"/>
        </w:rPr>
        <w:lastRenderedPageBreak/>
        <w:t>alegó hechos concretos de discriminación en el marco de las investigaciones que constituyeran obstáculos para que los familiares de las víctimas pudieran acceder a la justicia, en razón a su pertenencia al pueblo indígena maya. De este modo, la Corte no cuenta con elementos suficientes para pronunciarse sobre esta alegada violación.</w:t>
      </w:r>
      <w:r w:rsidRPr="00D13792">
        <w:rPr>
          <w:rFonts w:cs="Verdana"/>
          <w:color w:val="000000"/>
          <w:lang w:val="es-CR"/>
        </w:rPr>
        <w:t xml:space="preserve"> </w:t>
      </w:r>
    </w:p>
    <w:p w14:paraId="418D36D5" w14:textId="77777777" w:rsidR="006A0E1C" w:rsidRPr="00D13792" w:rsidRDefault="006A0E1C" w:rsidP="006A0E1C">
      <w:pPr>
        <w:pStyle w:val="ListParagraph"/>
        <w:tabs>
          <w:tab w:val="left" w:pos="720"/>
        </w:tabs>
        <w:autoSpaceDE w:val="0"/>
        <w:autoSpaceDN w:val="0"/>
        <w:adjustRightInd w:val="0"/>
        <w:spacing w:after="0" w:line="240" w:lineRule="auto"/>
        <w:ind w:left="15"/>
        <w:jc w:val="both"/>
        <w:rPr>
          <w:rFonts w:ascii="Verdana" w:eastAsia="Batang" w:hAnsi="Verdana"/>
          <w:bCs/>
          <w:snapToGrid w:val="0"/>
          <w:color w:val="000000"/>
          <w:kern w:val="32"/>
          <w:sz w:val="16"/>
          <w:szCs w:val="20"/>
          <w:lang w:val="es-CR" w:eastAsia="es-ES"/>
        </w:rPr>
      </w:pPr>
    </w:p>
    <w:p w14:paraId="617D6B75" w14:textId="77777777" w:rsidR="006A0E1C" w:rsidRPr="00D13792" w:rsidRDefault="006A0E1C" w:rsidP="006A0E1C">
      <w:pPr>
        <w:pStyle w:val="Heading3"/>
        <w:ind w:left="0"/>
        <w:rPr>
          <w:i/>
          <w:lang w:val="es-CR"/>
        </w:rPr>
      </w:pPr>
      <w:bookmarkStart w:id="236" w:name="_Toc460938893"/>
      <w:bookmarkStart w:id="237" w:name="_Toc469670060"/>
      <w:r w:rsidRPr="00D13792">
        <w:rPr>
          <w:i/>
          <w:lang w:val="es-CR"/>
        </w:rPr>
        <w:t>B.3. Derecho a conocer la verdad y plazo razonable</w:t>
      </w:r>
      <w:bookmarkEnd w:id="236"/>
      <w:bookmarkEnd w:id="237"/>
      <w:r w:rsidRPr="00D13792">
        <w:rPr>
          <w:i/>
          <w:lang w:val="es-CR"/>
        </w:rPr>
        <w:t xml:space="preserve"> </w:t>
      </w:r>
    </w:p>
    <w:p w14:paraId="23905ECB"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i/>
          <w:color w:val="000000"/>
          <w:sz w:val="16"/>
          <w:szCs w:val="20"/>
          <w:lang w:val="es-CR"/>
        </w:rPr>
      </w:pPr>
    </w:p>
    <w:p w14:paraId="74914BD0" w14:textId="77777777" w:rsidR="006A0E1C" w:rsidRPr="00D13792" w:rsidRDefault="006A0E1C" w:rsidP="006A0E1C">
      <w:pPr>
        <w:pStyle w:val="Prrafodelista2"/>
        <w:numPr>
          <w:ilvl w:val="0"/>
          <w:numId w:val="23"/>
        </w:numPr>
        <w:tabs>
          <w:tab w:val="left" w:pos="720"/>
        </w:tabs>
        <w:ind w:right="-90"/>
        <w:jc w:val="both"/>
        <w:rPr>
          <w:i/>
          <w:color w:val="000000"/>
          <w:lang w:val="es-CR"/>
        </w:rPr>
      </w:pPr>
      <w:r w:rsidRPr="00D13792">
        <w:rPr>
          <w:color w:val="000000"/>
          <w:lang w:val="es-CR"/>
        </w:rPr>
        <w:t xml:space="preserve">En cuanto a la celeridad del proceso en general, este Tribunal ha señalado que el “plazo razonable” al que se refiere el artículo 8.1 de la Convención se debe apreciar en relación con la </w:t>
      </w:r>
      <w:r w:rsidRPr="00D13792">
        <w:rPr>
          <w:rFonts w:eastAsia="Batang"/>
          <w:bCs/>
          <w:snapToGrid w:val="0"/>
          <w:color w:val="000000"/>
          <w:kern w:val="32"/>
          <w:lang w:val="es-CR" w:eastAsia="es-ES"/>
        </w:rPr>
        <w:t>duración</w:t>
      </w:r>
      <w:r w:rsidRPr="00D13792">
        <w:rPr>
          <w:color w:val="000000"/>
          <w:lang w:val="es-CR"/>
        </w:rPr>
        <w:t xml:space="preserve"> total del procedimiento que se desarrolla hasta que se dicta la sentencia definitiva. El derecho de acceso a la justicia implica que la solución de la controversia se </w:t>
      </w:r>
      <w:r w:rsidRPr="00D13792">
        <w:rPr>
          <w:rFonts w:eastAsia="Batang"/>
          <w:bCs/>
          <w:snapToGrid w:val="0"/>
          <w:color w:val="000000"/>
          <w:kern w:val="32"/>
          <w:lang w:val="es-CR" w:eastAsia="es-ES"/>
        </w:rPr>
        <w:t>produzca</w:t>
      </w:r>
      <w:r w:rsidRPr="00D13792">
        <w:rPr>
          <w:color w:val="000000"/>
          <w:lang w:val="es-CR"/>
        </w:rPr>
        <w:t xml:space="preserve"> en tiempo razonable, ya que una demora prolongada puede llegar a constituir, por sí misma, una violación de las garantías judiciales</w:t>
      </w:r>
      <w:r w:rsidRPr="00D13792">
        <w:rPr>
          <w:rStyle w:val="FootnoteReference"/>
          <w:color w:val="000000"/>
          <w:lang w:val="es-CR"/>
        </w:rPr>
        <w:footnoteReference w:id="321"/>
      </w:r>
      <w:r w:rsidRPr="00D13792">
        <w:rPr>
          <w:color w:val="000000"/>
          <w:lang w:val="es-CR"/>
        </w:rPr>
        <w:t xml:space="preserve">. </w:t>
      </w:r>
      <w:r w:rsidRPr="00D13792">
        <w:rPr>
          <w:rFonts w:cs="Verdana"/>
          <w:color w:val="000000"/>
          <w:lang w:val="es-CR"/>
        </w:rPr>
        <w:t>En ese sentido, la Corte usualmente ha considerado los siguientes elementos para determinar la razonabilidad del plazo: a) la complejidad del asunto; b) la actividad procesal del interesado; c) la conducta de las autoridades judiciales, y d) la afectación generada en la situación jurídica de la persona involucrada en el proceso. Sin embargo, en este caso han transcurrido aproximadamente 34 años desde que ocurrió la masacre de la clínica de la aldea de Chichupac, entre 30 y 35 años aproximadamente desde que sucedieron los demás hechos del caso, y más de dos décadas desde que se recibieron las primeras denuncias, sin que ninguna de las investigaciones analizadas en este capítulo haya superado la etapa investigativa. Es decir, el caso se encuentra en total impunidad y, por tanto, la Corte considera evidente que la investigación no se ha llevado a cabo dentro de un plazo razonable.</w:t>
      </w:r>
    </w:p>
    <w:p w14:paraId="05166201" w14:textId="77777777" w:rsidR="006A0E1C" w:rsidRPr="00D13792" w:rsidRDefault="006A0E1C" w:rsidP="006A0E1C">
      <w:pPr>
        <w:autoSpaceDE w:val="0"/>
        <w:autoSpaceDN w:val="0"/>
        <w:spacing w:line="240" w:lineRule="auto"/>
        <w:ind w:left="-142" w:right="-138"/>
        <w:rPr>
          <w:i/>
          <w:color w:val="000000"/>
          <w:sz w:val="20"/>
          <w:szCs w:val="20"/>
        </w:rPr>
      </w:pPr>
    </w:p>
    <w:p w14:paraId="46BA6228"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spacing w:val="-2"/>
          <w:lang w:val="es-CR"/>
        </w:rPr>
        <w:t xml:space="preserve">Por otra parte, este Tribunal ha </w:t>
      </w:r>
      <w:r w:rsidRPr="00D13792">
        <w:rPr>
          <w:rFonts w:cs="Arial"/>
          <w:color w:val="000000"/>
          <w:spacing w:val="-2"/>
          <w:lang w:val="es-CR"/>
        </w:rPr>
        <w:t>determinado</w:t>
      </w:r>
      <w:r w:rsidRPr="00D13792">
        <w:rPr>
          <w:color w:val="000000"/>
          <w:spacing w:val="-2"/>
          <w:lang w:val="es-CR"/>
        </w:rPr>
        <w:t xml:space="preserve"> que toda persona, incluyendo los familiares de las víctimas de graves violaciones a derechos humanos, tiene el derecho a conocer la verdad. En </w:t>
      </w:r>
      <w:r w:rsidRPr="00D13792">
        <w:rPr>
          <w:rFonts w:cs="Verdana"/>
          <w:color w:val="000000"/>
          <w:lang w:val="es-CR"/>
        </w:rPr>
        <w:t>consecuencia</w:t>
      </w:r>
      <w:r w:rsidRPr="00D13792">
        <w:rPr>
          <w:color w:val="000000"/>
          <w:spacing w:val="-2"/>
          <w:lang w:val="es-CR"/>
        </w:rPr>
        <w:t xml:space="preserve">, los </w:t>
      </w:r>
      <w:r w:rsidRPr="00D13792">
        <w:rPr>
          <w:rFonts w:cs="Verdana"/>
          <w:color w:val="000000"/>
          <w:lang w:val="es-CR"/>
        </w:rPr>
        <w:t>familiares</w:t>
      </w:r>
      <w:r w:rsidRPr="00D13792">
        <w:rPr>
          <w:color w:val="000000"/>
          <w:spacing w:val="-2"/>
          <w:lang w:val="es-CR"/>
        </w:rPr>
        <w:t xml:space="preserve"> de las víctimas y la sociedad deben ser informados de </w:t>
      </w:r>
      <w:r w:rsidRPr="00D13792">
        <w:rPr>
          <w:rFonts w:eastAsia="Batang"/>
          <w:bCs/>
          <w:snapToGrid w:val="0"/>
          <w:color w:val="000000"/>
          <w:kern w:val="32"/>
          <w:lang w:val="es-CR" w:eastAsia="es-ES"/>
        </w:rPr>
        <w:t>todo</w:t>
      </w:r>
      <w:r w:rsidRPr="00D13792">
        <w:rPr>
          <w:color w:val="000000"/>
          <w:spacing w:val="-2"/>
          <w:lang w:val="es-CR"/>
        </w:rPr>
        <w:t xml:space="preserve"> lo sucedido con relación a </w:t>
      </w:r>
      <w:r w:rsidRPr="00D13792">
        <w:rPr>
          <w:rFonts w:cs="Verdana"/>
          <w:color w:val="000000"/>
          <w:lang w:val="es-CR"/>
        </w:rPr>
        <w:t>dichas</w:t>
      </w:r>
      <w:r w:rsidRPr="00D13792">
        <w:rPr>
          <w:color w:val="000000"/>
          <w:spacing w:val="-2"/>
          <w:lang w:val="es-CR"/>
        </w:rPr>
        <w:t xml:space="preserve"> violaciones</w:t>
      </w:r>
      <w:r w:rsidRPr="00D13792">
        <w:rPr>
          <w:color w:val="000000"/>
          <w:vertAlign w:val="superscript"/>
          <w:lang w:val="es-CR"/>
        </w:rPr>
        <w:footnoteReference w:id="322"/>
      </w:r>
      <w:r w:rsidRPr="00D13792">
        <w:rPr>
          <w:color w:val="000000"/>
          <w:spacing w:val="-2"/>
          <w:lang w:val="es-CR"/>
        </w:rPr>
        <w:t>. S</w:t>
      </w:r>
      <w:r w:rsidRPr="00D13792">
        <w:rPr>
          <w:color w:val="000000"/>
          <w:lang w:val="es-CR"/>
        </w:rPr>
        <w:t>i bien el derecho a conocer la verdad se ha enmarcado fundamentalmente en el derecho de acceso a la justicia</w:t>
      </w:r>
      <w:r w:rsidRPr="00D13792">
        <w:rPr>
          <w:color w:val="000000"/>
          <w:vertAlign w:val="superscript"/>
          <w:lang w:val="es-CR"/>
        </w:rPr>
        <w:footnoteReference w:id="323"/>
      </w:r>
      <w:r w:rsidRPr="00D13792">
        <w:rPr>
          <w:color w:val="000000"/>
          <w:lang w:val="es-CR"/>
        </w:rPr>
        <w:t>, aquel tiene una naturaleza amplia y su vulneración puede afectar distintos derechos consagrados en la Convención Americana</w:t>
      </w:r>
      <w:r w:rsidRPr="00D13792">
        <w:rPr>
          <w:color w:val="000000"/>
          <w:vertAlign w:val="superscript"/>
          <w:lang w:val="es-CR"/>
        </w:rPr>
        <w:footnoteReference w:id="324"/>
      </w:r>
      <w:r w:rsidRPr="00D13792">
        <w:rPr>
          <w:color w:val="000000"/>
          <w:lang w:val="es-CR"/>
        </w:rPr>
        <w:t xml:space="preserve">, dependiendo del contexto y circunstancias particulares del caso. </w:t>
      </w:r>
    </w:p>
    <w:p w14:paraId="77546F4C" w14:textId="77777777" w:rsidR="006A0E1C" w:rsidRPr="00D13792" w:rsidRDefault="006A0E1C" w:rsidP="006A0E1C">
      <w:pPr>
        <w:pStyle w:val="ListParagraph"/>
        <w:tabs>
          <w:tab w:val="left" w:pos="720"/>
        </w:tabs>
        <w:autoSpaceDE w:val="0"/>
        <w:autoSpaceDN w:val="0"/>
        <w:adjustRightInd w:val="0"/>
        <w:spacing w:after="0" w:line="240" w:lineRule="auto"/>
        <w:ind w:left="15"/>
        <w:jc w:val="both"/>
        <w:rPr>
          <w:rFonts w:ascii="Verdana" w:hAnsi="Verdana"/>
          <w:color w:val="000000"/>
          <w:spacing w:val="-2"/>
          <w:sz w:val="20"/>
          <w:szCs w:val="20"/>
          <w:lang w:val="es-CR"/>
        </w:rPr>
      </w:pPr>
    </w:p>
    <w:p w14:paraId="7D3E9D7C" w14:textId="77777777" w:rsidR="006A0E1C" w:rsidRPr="00D13792" w:rsidRDefault="006A0E1C" w:rsidP="006A0E1C">
      <w:pPr>
        <w:pStyle w:val="Prrafodelista2"/>
        <w:numPr>
          <w:ilvl w:val="0"/>
          <w:numId w:val="23"/>
        </w:numPr>
        <w:tabs>
          <w:tab w:val="left" w:pos="720"/>
        </w:tabs>
        <w:ind w:right="-90"/>
        <w:jc w:val="both"/>
        <w:rPr>
          <w:color w:val="000000"/>
          <w:spacing w:val="-2"/>
          <w:lang w:val="es-CR"/>
        </w:rPr>
      </w:pPr>
      <w:r w:rsidRPr="00D13792">
        <w:rPr>
          <w:color w:val="000000"/>
          <w:spacing w:val="-2"/>
          <w:lang w:val="es-CR"/>
        </w:rPr>
        <w:lastRenderedPageBreak/>
        <w:t xml:space="preserve">La Corte ha considerado el contenido del derecho a conocer la verdad en su jurisprudencia, en particular en casos de desaparición forzada, ya que el derecho a </w:t>
      </w:r>
      <w:r w:rsidRPr="00D13792">
        <w:rPr>
          <w:rFonts w:eastAsia="Batang"/>
          <w:bCs/>
          <w:snapToGrid w:val="0"/>
          <w:color w:val="000000"/>
          <w:kern w:val="32"/>
          <w:lang w:val="es-CR" w:eastAsia="es-ES"/>
        </w:rPr>
        <w:t>conocer</w:t>
      </w:r>
      <w:r w:rsidRPr="00D13792">
        <w:rPr>
          <w:color w:val="000000"/>
          <w:spacing w:val="-2"/>
          <w:lang w:val="es-CR"/>
        </w:rPr>
        <w:t xml:space="preserve"> el paradero de las víctimas desaparecidas constituye un componente esencial del derecho a </w:t>
      </w:r>
      <w:r w:rsidRPr="00D13792">
        <w:rPr>
          <w:rFonts w:cs="Verdana"/>
          <w:color w:val="000000"/>
          <w:lang w:val="es-CR"/>
        </w:rPr>
        <w:t>conocer</w:t>
      </w:r>
      <w:r w:rsidRPr="00D13792">
        <w:rPr>
          <w:color w:val="000000"/>
          <w:lang w:val="es-CR"/>
        </w:rPr>
        <w:t xml:space="preserve"> </w:t>
      </w:r>
      <w:r w:rsidRPr="00D13792">
        <w:rPr>
          <w:color w:val="000000"/>
          <w:spacing w:val="-2"/>
          <w:lang w:val="es-CR"/>
        </w:rPr>
        <w:t>la verdad.</w:t>
      </w:r>
      <w:r w:rsidRPr="00D13792">
        <w:rPr>
          <w:color w:val="000000"/>
          <w:lang w:val="es-CR"/>
        </w:rPr>
        <w:t xml:space="preserve"> Sin embargo, hasta la fecha aún se desconoce el paradero de las personas desaparecidas y, como se señaló, existen restos recuperados durante las exhumaciones que aún no han sido identificados (</w:t>
      </w:r>
      <w:r w:rsidRPr="00D13792">
        <w:rPr>
          <w:i/>
          <w:color w:val="000000"/>
          <w:lang w:val="es-CR"/>
        </w:rPr>
        <w:t xml:space="preserve">supra </w:t>
      </w:r>
      <w:r w:rsidRPr="00D13792">
        <w:rPr>
          <w:color w:val="000000"/>
          <w:lang w:val="es-CR"/>
        </w:rPr>
        <w:t>párr. 147).</w:t>
      </w:r>
      <w:r w:rsidRPr="00D13792">
        <w:rPr>
          <w:color w:val="000000"/>
          <w:spacing w:val="-2"/>
          <w:lang w:val="es-CR"/>
        </w:rPr>
        <w:t xml:space="preserve"> En virtud de las consideraciones anteriores, la Corte declara la violación del derecho a </w:t>
      </w:r>
      <w:r w:rsidRPr="00D13792">
        <w:rPr>
          <w:color w:val="000000"/>
          <w:lang w:val="es-CR"/>
        </w:rPr>
        <w:t xml:space="preserve">conocer </w:t>
      </w:r>
      <w:r w:rsidRPr="00D13792">
        <w:rPr>
          <w:color w:val="000000"/>
          <w:spacing w:val="-2"/>
          <w:lang w:val="es-CR"/>
        </w:rPr>
        <w:t>la verdad, en perjuicio de los familiares de las víctimas de desaparición forzada. En este caso, como en otros, dicha violación se enmarca en el derecho de acceso a la justicia.</w:t>
      </w:r>
    </w:p>
    <w:p w14:paraId="662C8705" w14:textId="77777777" w:rsidR="006A0E1C" w:rsidRPr="00D13792" w:rsidRDefault="006A0E1C" w:rsidP="006A0E1C">
      <w:pPr>
        <w:pStyle w:val="ListParagraph"/>
        <w:autoSpaceDE w:val="0"/>
        <w:autoSpaceDN w:val="0"/>
        <w:adjustRightInd w:val="0"/>
        <w:spacing w:after="0" w:line="240" w:lineRule="auto"/>
        <w:ind w:left="0"/>
        <w:jc w:val="both"/>
        <w:rPr>
          <w:rFonts w:ascii="Verdana" w:eastAsia="Calibri" w:hAnsi="Verdana"/>
          <w:b/>
          <w:i/>
          <w:color w:val="000000"/>
          <w:sz w:val="20"/>
          <w:szCs w:val="20"/>
          <w:lang w:val="es-CR"/>
        </w:rPr>
      </w:pPr>
    </w:p>
    <w:p w14:paraId="5544B716" w14:textId="77777777" w:rsidR="006A0E1C" w:rsidRPr="00D13792" w:rsidRDefault="006A0E1C" w:rsidP="006A0E1C">
      <w:pPr>
        <w:pStyle w:val="Heading3"/>
        <w:ind w:left="0"/>
        <w:rPr>
          <w:i/>
          <w:lang w:val="es-CR"/>
        </w:rPr>
      </w:pPr>
      <w:bookmarkStart w:id="238" w:name="_Toc460938894"/>
      <w:bookmarkStart w:id="239" w:name="_Toc469670061"/>
      <w:r w:rsidRPr="00D13792">
        <w:rPr>
          <w:i/>
          <w:lang w:val="es-CR"/>
        </w:rPr>
        <w:t>B.4. Conclusiones</w:t>
      </w:r>
      <w:bookmarkEnd w:id="238"/>
      <w:bookmarkEnd w:id="239"/>
      <w:r w:rsidRPr="00D13792">
        <w:rPr>
          <w:i/>
          <w:lang w:val="es-CR"/>
        </w:rPr>
        <w:t xml:space="preserve"> </w:t>
      </w:r>
    </w:p>
    <w:p w14:paraId="4830B2E4" w14:textId="77777777" w:rsidR="006A0E1C" w:rsidRPr="00D13792" w:rsidRDefault="006A0E1C" w:rsidP="006A0E1C">
      <w:pPr>
        <w:autoSpaceDE w:val="0"/>
        <w:autoSpaceDN w:val="0"/>
        <w:spacing w:line="240" w:lineRule="auto"/>
        <w:ind w:left="-142" w:right="-138"/>
        <w:rPr>
          <w:rFonts w:cs="Verdana"/>
          <w:color w:val="000000"/>
          <w:sz w:val="20"/>
          <w:szCs w:val="20"/>
        </w:rPr>
      </w:pPr>
    </w:p>
    <w:p w14:paraId="0F4B9DE3" w14:textId="77777777" w:rsidR="006A0E1C" w:rsidRPr="00D13792" w:rsidRDefault="006A0E1C" w:rsidP="006A0E1C">
      <w:pPr>
        <w:pStyle w:val="Prrafodelista2"/>
        <w:numPr>
          <w:ilvl w:val="0"/>
          <w:numId w:val="23"/>
        </w:numPr>
        <w:tabs>
          <w:tab w:val="left" w:pos="720"/>
        </w:tabs>
        <w:ind w:right="-90"/>
        <w:jc w:val="both"/>
        <w:rPr>
          <w:rFonts w:cs="Verdana"/>
          <w:color w:val="000000"/>
          <w:lang w:val="es-CR"/>
        </w:rPr>
      </w:pPr>
      <w:r w:rsidRPr="00D13792">
        <w:rPr>
          <w:color w:val="000000"/>
          <w:lang w:val="es-CR"/>
        </w:rPr>
        <w:t xml:space="preserve">La Corte considera que, de conformidad con la Convención Americana, vigente al momento de las masacres, el Estado tenía la obligación de investigar con la debida diligencia todos los hechos del presente caso, obligación que se encontraba pendiente al momento del reconocimiento de la competencia contenciosa de la Corte el 9 de marzo de 1987. Dicha obligación fue reafirmada por el Estado con motivo del depósito del instrumento de ratificación de la Convención Interamericana para Prevenir y Sancionar la Tortura, la Convención de Belém do Pará, la Convención Interamericana sobre Desaparición Forzada de Personas y </w:t>
      </w:r>
      <w:r w:rsidRPr="00D13792">
        <w:rPr>
          <w:color w:val="000000"/>
          <w:spacing w:val="-3"/>
          <w:lang w:val="es-CR"/>
        </w:rPr>
        <w:t>la Convención para la Prevención y la Sanción del Delito de Genocidio</w:t>
      </w:r>
      <w:r w:rsidRPr="00D13792">
        <w:rPr>
          <w:color w:val="000000"/>
          <w:lang w:val="es-CR"/>
        </w:rPr>
        <w:t xml:space="preserve"> (</w:t>
      </w:r>
      <w:r w:rsidRPr="00D13792">
        <w:rPr>
          <w:i/>
          <w:color w:val="000000"/>
          <w:lang w:val="es-CR"/>
        </w:rPr>
        <w:t>supra</w:t>
      </w:r>
      <w:r w:rsidRPr="00D13792">
        <w:rPr>
          <w:color w:val="000000"/>
          <w:lang w:val="es-CR"/>
        </w:rPr>
        <w:t xml:space="preserve"> párrs. 215 y 250), por lo que el Estado debía velar por su cumplimiento a partir del momento de que las ratificó. </w:t>
      </w:r>
    </w:p>
    <w:p w14:paraId="62F4C4C3" w14:textId="77777777" w:rsidR="006A0E1C" w:rsidRPr="00D13792" w:rsidRDefault="006A0E1C" w:rsidP="006A0E1C">
      <w:pPr>
        <w:autoSpaceDE w:val="0"/>
        <w:autoSpaceDN w:val="0"/>
        <w:spacing w:line="240" w:lineRule="auto"/>
        <w:ind w:left="-142" w:right="-138"/>
        <w:rPr>
          <w:color w:val="000000"/>
          <w:sz w:val="20"/>
          <w:szCs w:val="20"/>
        </w:rPr>
      </w:pPr>
    </w:p>
    <w:p w14:paraId="632D48A0"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A más de 30 años de sucedidos los hechos y 23 años de las primeras denuncias (</w:t>
      </w:r>
      <w:r w:rsidRPr="00D13792">
        <w:rPr>
          <w:i/>
          <w:color w:val="000000"/>
          <w:lang w:val="es-CR"/>
        </w:rPr>
        <w:t xml:space="preserve">supra </w:t>
      </w:r>
      <w:r w:rsidRPr="00D13792">
        <w:rPr>
          <w:color w:val="000000"/>
          <w:lang w:val="es-CR"/>
        </w:rPr>
        <w:t xml:space="preserve">párr. 259), las investigaciones abiertas en relación con los hechos de este caso permanecen en etapa de investigación, se constatan demoras prolongadas y omisiones en el recaudo de prueba, y en la mayoría de los expedientes examinados </w:t>
      </w:r>
      <w:r w:rsidRPr="00D13792">
        <w:rPr>
          <w:rFonts w:eastAsia="Calibri"/>
          <w:lang w:val="es-CR"/>
        </w:rPr>
        <w:t>no se advierten acciones</w:t>
      </w:r>
      <w:r w:rsidRPr="00D13792">
        <w:rPr>
          <w:color w:val="000000"/>
          <w:lang w:val="es-CR"/>
        </w:rPr>
        <w:t xml:space="preserve"> dirigidas a la determinación de los responsables de los hechos, o bien, solo se realizaron indagaciones respecto de miembros de las PAC, sin que </w:t>
      </w:r>
      <w:r w:rsidRPr="00D13792">
        <w:rPr>
          <w:rFonts w:cs="Calibri,Bold"/>
          <w:bCs/>
          <w:color w:val="000000"/>
          <w:lang w:val="es-CR"/>
        </w:rPr>
        <w:t xml:space="preserve">se haya investigado a algún miembro del ejército guatemalteco. Lo anterior, pese a que en reiteradas oportunidades se denunció la participación de estos últimos en los hechos y a que los denunciantes brindaron los nombres de los presuntos responsables y los lugares donde podrían ser encontrados. </w:t>
      </w:r>
      <w:r w:rsidRPr="00D13792">
        <w:rPr>
          <w:color w:val="000000"/>
          <w:lang w:val="es-CR"/>
        </w:rPr>
        <w:t xml:space="preserve">Así, el Tribunal estima que la investigación, persecución, captura, enjuiciamiento y eventual sanción de los responsables de los hechos del caso cometidos en contra de los miembros de la aldea de Chichupac y comunidades vecinas del municipio de Rabinal, incluyendo los autores materiales e intelectuales, no ha sido dirigida eficazmente, con debida diligencia y dentro de un plazo razonable de modo que se examinen de forma completa y exhaustiva la multiplicidad de graves violaciones a los derechos humanos ocasionadas o alegadas, dentro del particular contexto en el cual sucedieron. Por otra parte, las investigaciones tampoco han sido encaminadas hacia la localización de todas las víctimas desaparecidas, ni han sido debida y oportunamente identificados todos los restos encontrados en las diversas exhumaciones realizadas, se reitera, a partir del impulso procesal de los familiares de las víctimas. Todo ello ha vulnerado, en particular, el derecho a la verdad de los familiares de las víctimas desaparecidas. </w:t>
      </w:r>
    </w:p>
    <w:p w14:paraId="5B480F85" w14:textId="77777777" w:rsidR="006A0E1C" w:rsidRPr="00D13792" w:rsidRDefault="006A0E1C" w:rsidP="006A0E1C">
      <w:pPr>
        <w:pStyle w:val="Prrafodelista2"/>
        <w:tabs>
          <w:tab w:val="left" w:pos="720"/>
        </w:tabs>
        <w:ind w:left="0" w:right="-90"/>
        <w:jc w:val="both"/>
        <w:rPr>
          <w:color w:val="000000"/>
          <w:u w:val="single"/>
          <w:lang w:val="es-CR"/>
        </w:rPr>
      </w:pPr>
    </w:p>
    <w:p w14:paraId="768842A5"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t xml:space="preserve">Este </w:t>
      </w:r>
      <w:r w:rsidRPr="00D13792">
        <w:rPr>
          <w:rFonts w:cs="Verdana"/>
          <w:color w:val="000000"/>
          <w:lang w:val="es-CR"/>
        </w:rPr>
        <w:t>Tribunal ha señalado que “Guatemala tiene un problema grave con respecto a la impunidad que impera en el país, específicamente con relación a las violaciones sistemáticas de los derechos humanos ocurridas durante el conflicto armado”</w:t>
      </w:r>
      <w:r w:rsidRPr="00D13792">
        <w:rPr>
          <w:rStyle w:val="FootnoteReference"/>
          <w:rFonts w:cs="Verdana"/>
          <w:color w:val="000000"/>
          <w:lang w:val="es-CR"/>
        </w:rPr>
        <w:footnoteReference w:id="325"/>
      </w:r>
      <w:r w:rsidRPr="00D13792">
        <w:rPr>
          <w:rFonts w:cs="Verdana"/>
          <w:color w:val="000000"/>
          <w:lang w:val="es-CR"/>
        </w:rPr>
        <w:t>.</w:t>
      </w:r>
      <w:r w:rsidRPr="00D13792">
        <w:rPr>
          <w:color w:val="000000"/>
          <w:lang w:val="es-CR"/>
        </w:rPr>
        <w:t xml:space="preserve"> La Corte considera que la actuación del Estado en la investigación de los hechos del presente caso</w:t>
      </w:r>
      <w:r w:rsidRPr="00D13792">
        <w:rPr>
          <w:rFonts w:cs="Calibri,Bold"/>
          <w:bCs/>
          <w:color w:val="000000"/>
          <w:lang w:val="es-CR"/>
        </w:rPr>
        <w:t xml:space="preserve"> demuestra una clara voluntad por parte de las autoridades de que los mismos permanezcan en la más absoluta impunidad, lo cual resulta en una responsabilidad agravada por el incumplimiento de su deber de investigar graves violaciones a los derechos humanos. </w:t>
      </w:r>
    </w:p>
    <w:p w14:paraId="6471B245" w14:textId="77777777" w:rsidR="006A0E1C" w:rsidRPr="00D13792" w:rsidRDefault="006A0E1C" w:rsidP="006A0E1C">
      <w:pPr>
        <w:pStyle w:val="Prrafodelista2"/>
        <w:tabs>
          <w:tab w:val="left" w:pos="720"/>
        </w:tabs>
        <w:ind w:left="0" w:right="-90"/>
        <w:jc w:val="both"/>
        <w:rPr>
          <w:color w:val="000000"/>
          <w:lang w:val="es-CR"/>
        </w:rPr>
      </w:pPr>
    </w:p>
    <w:p w14:paraId="78D0E47E" w14:textId="77777777" w:rsidR="006A0E1C" w:rsidRPr="00D13792" w:rsidRDefault="006A0E1C" w:rsidP="006A0E1C">
      <w:pPr>
        <w:pStyle w:val="Prrafodelista2"/>
        <w:numPr>
          <w:ilvl w:val="0"/>
          <w:numId w:val="23"/>
        </w:numPr>
        <w:tabs>
          <w:tab w:val="left" w:pos="720"/>
        </w:tabs>
        <w:ind w:right="-90"/>
        <w:jc w:val="both"/>
        <w:rPr>
          <w:color w:val="000000"/>
          <w:lang w:val="es-CR"/>
        </w:rPr>
      </w:pPr>
      <w:r w:rsidRPr="00D13792">
        <w:rPr>
          <w:color w:val="000000"/>
          <w:lang w:val="es-CR"/>
        </w:rPr>
        <w:lastRenderedPageBreak/>
        <w:t>Teniendo en cuenta las anteriores consideraciones, así como el acervo probatorio del presente caso y el reconocimiento parcial de responsabilidad internacional efectuado por el Estado (</w:t>
      </w:r>
      <w:r w:rsidRPr="00D13792">
        <w:rPr>
          <w:i/>
          <w:color w:val="000000"/>
          <w:lang w:val="es-CR"/>
        </w:rPr>
        <w:t>supra</w:t>
      </w:r>
      <w:r w:rsidRPr="00D13792">
        <w:rPr>
          <w:color w:val="000000"/>
          <w:lang w:val="es-CR"/>
        </w:rPr>
        <w:t xml:space="preserve"> párrs. 55 a 58), esta Corte estima que Guatemala es responsable de la violación de los derechos reconocidos en los artículos 8.1 y 25.1 de la Convención Americana, en relación con el artículo 1.1 de la misma, así como por el incumplimiento de las obligaciones establecidas en el artículo I.b) de la Convención Interamericana sobre Desaparición Forzada de Personas, el artículo 7.b de la Convención de Belém do Pará, y en aplicación del principio </w:t>
      </w:r>
      <w:r w:rsidRPr="00D13792">
        <w:rPr>
          <w:i/>
          <w:color w:val="000000"/>
          <w:lang w:val="es-CR"/>
        </w:rPr>
        <w:t>iura novit curia,</w:t>
      </w:r>
      <w:r w:rsidRPr="00D13792">
        <w:rPr>
          <w:color w:val="000000"/>
          <w:lang w:val="es-CR"/>
        </w:rPr>
        <w:t xml:space="preserve"> también en relación con los </w:t>
      </w:r>
      <w:r w:rsidRPr="00D13792">
        <w:rPr>
          <w:rFonts w:eastAsia="Batang"/>
          <w:bCs/>
          <w:snapToGrid w:val="0"/>
          <w:color w:val="000000"/>
          <w:kern w:val="32"/>
          <w:lang w:val="es-CR" w:eastAsia="es-ES"/>
        </w:rPr>
        <w:t>artículos</w:t>
      </w:r>
      <w:r w:rsidRPr="00D13792">
        <w:rPr>
          <w:color w:val="000000"/>
          <w:lang w:val="es-CR"/>
        </w:rPr>
        <w:t xml:space="preserve"> 1, 6 y 8 de la Convención Interamericana para Prevenir y Sancionar la Tortura, en perjuicio de las víctimas del presente caso o sus familiares, en sus respectivas circunstancias. Los nombres de tales personas están identificados en el Anexo I de esta Sentencia, en el cual se incorporan, en aplicación del principio de buena fe y lealtad procesal, los nombres que aparecen en el “Anexo único” al Informe de Fondo de la Comisión y en el </w:t>
      </w:r>
      <w:r w:rsidRPr="00D13792">
        <w:rPr>
          <w:lang w:val="es-CR"/>
        </w:rPr>
        <w:t xml:space="preserve">“Listado General de Víctimas” remitido por </w:t>
      </w:r>
      <w:r w:rsidRPr="00D13792">
        <w:rPr>
          <w:color w:val="000000"/>
          <w:lang w:val="es-CR"/>
        </w:rPr>
        <w:t xml:space="preserve">los representantes el 2 de junio de 2016, conforme lo verificado. </w:t>
      </w:r>
    </w:p>
    <w:p w14:paraId="00DAB767" w14:textId="77777777" w:rsidR="006A0E1C" w:rsidRPr="00D13792" w:rsidRDefault="006A0E1C" w:rsidP="006A0E1C">
      <w:pPr>
        <w:tabs>
          <w:tab w:val="left" w:pos="567"/>
        </w:tabs>
        <w:spacing w:line="240" w:lineRule="auto"/>
        <w:ind w:right="4"/>
        <w:rPr>
          <w:sz w:val="16"/>
        </w:rPr>
      </w:pPr>
    </w:p>
    <w:p w14:paraId="61BAA72F" w14:textId="77777777" w:rsidR="006A0E1C" w:rsidRPr="00D13792" w:rsidRDefault="006A0E1C" w:rsidP="006A0E1C">
      <w:pPr>
        <w:keepNext/>
        <w:widowControl/>
        <w:adjustRightInd/>
        <w:spacing w:line="240" w:lineRule="auto"/>
        <w:ind w:left="-720"/>
        <w:jc w:val="center"/>
        <w:textAlignment w:val="auto"/>
        <w:outlineLvl w:val="0"/>
        <w:rPr>
          <w:rFonts w:eastAsia="Batang" w:cs="Times"/>
          <w:sz w:val="20"/>
          <w:szCs w:val="20"/>
          <w:lang w:eastAsia="en-US"/>
        </w:rPr>
      </w:pPr>
      <w:bookmarkStart w:id="240" w:name="_Toc337405896"/>
      <w:bookmarkStart w:id="241" w:name="_Toc469670062"/>
      <w:r w:rsidRPr="00D13792">
        <w:rPr>
          <w:rStyle w:val="Heading1Char"/>
        </w:rPr>
        <w:t>X</w:t>
      </w:r>
      <w:r w:rsidRPr="00D13792">
        <w:rPr>
          <w:rStyle w:val="Heading1Char"/>
        </w:rPr>
        <w:br/>
      </w:r>
      <w:bookmarkStart w:id="242" w:name="_Toc302669942"/>
      <w:bookmarkStart w:id="243" w:name="_Toc300622804"/>
      <w:r w:rsidRPr="00D13792">
        <w:rPr>
          <w:rStyle w:val="Heading1Char"/>
        </w:rPr>
        <w:t>REPARACIONES</w:t>
      </w:r>
      <w:bookmarkEnd w:id="242"/>
      <w:bookmarkEnd w:id="243"/>
      <w:r w:rsidRPr="00D13792">
        <w:rPr>
          <w:rFonts w:eastAsia="Batang"/>
          <w:b/>
          <w:bCs/>
          <w:kern w:val="32"/>
          <w:sz w:val="20"/>
          <w:szCs w:val="20"/>
          <w:lang w:eastAsia="en-US"/>
        </w:rPr>
        <w:br/>
        <w:t>(Aplicación del artículo 63.1 de la Convención Americana)</w:t>
      </w:r>
      <w:bookmarkEnd w:id="240"/>
      <w:bookmarkEnd w:id="241"/>
    </w:p>
    <w:p w14:paraId="50AC9BD4" w14:textId="77777777" w:rsidR="006A0E1C" w:rsidRPr="00D13792" w:rsidRDefault="006A0E1C" w:rsidP="006A0E1C">
      <w:pPr>
        <w:widowControl/>
        <w:adjustRightInd/>
        <w:spacing w:line="240" w:lineRule="auto"/>
        <w:ind w:left="-720"/>
        <w:textAlignment w:val="auto"/>
        <w:rPr>
          <w:rFonts w:eastAsia="Batang" w:cs="Times"/>
          <w:sz w:val="16"/>
          <w:szCs w:val="20"/>
          <w:lang w:eastAsia="en-US"/>
        </w:rPr>
      </w:pPr>
    </w:p>
    <w:p w14:paraId="08E2EC96" w14:textId="77777777" w:rsidR="006A0E1C" w:rsidRPr="00D13792" w:rsidRDefault="006A0E1C" w:rsidP="006A0E1C">
      <w:pPr>
        <w:pStyle w:val="Prrafodelista2"/>
        <w:numPr>
          <w:ilvl w:val="0"/>
          <w:numId w:val="23"/>
        </w:numPr>
        <w:tabs>
          <w:tab w:val="left" w:pos="720"/>
        </w:tabs>
        <w:ind w:right="-90"/>
        <w:jc w:val="both"/>
        <w:rPr>
          <w:rFonts w:eastAsia="Calibri"/>
          <w:lang w:val="es-CR"/>
        </w:rPr>
      </w:pPr>
      <w:r w:rsidRPr="00D13792">
        <w:rPr>
          <w:rFonts w:eastAsia="Calibri"/>
          <w:spacing w:val="-2"/>
          <w:lang w:val="es-CR"/>
        </w:rPr>
        <w:t>Sobre la base de lo dispuesto en el artículo 63.1 de la Convención Americana</w:t>
      </w:r>
      <w:r w:rsidRPr="00D13792">
        <w:rPr>
          <w:rFonts w:eastAsia="Calibri"/>
          <w:spacing w:val="-2"/>
          <w:vertAlign w:val="superscript"/>
          <w:lang w:val="es-CR"/>
        </w:rPr>
        <w:footnoteReference w:id="326"/>
      </w:r>
      <w:r w:rsidRPr="00D13792">
        <w:rPr>
          <w:rFonts w:eastAsia="Calibri"/>
          <w:spacing w:val="-2"/>
          <w:lang w:val="es-CR"/>
        </w:rPr>
        <w:t xml:space="preserve">, la Corte ha indicado que toda violación de una obligación internacional que haya producido daño comporta el deber de repararlo adecuadamente, y que esa disposición recoge una norma consuetudinaria que constituye uno de los principios fundamentales del Derecho </w:t>
      </w:r>
      <w:r w:rsidRPr="00D13792">
        <w:rPr>
          <w:rFonts w:eastAsia="Batang"/>
          <w:bCs/>
          <w:snapToGrid w:val="0"/>
          <w:color w:val="000000"/>
          <w:kern w:val="32"/>
          <w:lang w:val="es-CR" w:eastAsia="es-ES"/>
        </w:rPr>
        <w:t>Internacional</w:t>
      </w:r>
      <w:r w:rsidRPr="00D13792">
        <w:rPr>
          <w:rFonts w:eastAsia="Calibri"/>
          <w:spacing w:val="-2"/>
          <w:lang w:val="es-CR"/>
        </w:rPr>
        <w:t xml:space="preserve"> contemporáneo sobre responsabilidad de un Estado</w:t>
      </w:r>
      <w:r w:rsidRPr="00D13792">
        <w:rPr>
          <w:rFonts w:eastAsia="Calibri"/>
          <w:spacing w:val="-2"/>
          <w:vertAlign w:val="superscript"/>
          <w:lang w:val="es-CR"/>
        </w:rPr>
        <w:footnoteReference w:id="327"/>
      </w:r>
      <w:r w:rsidRPr="00D13792">
        <w:rPr>
          <w:rFonts w:eastAsia="Calibri"/>
          <w:spacing w:val="-2"/>
          <w:lang w:val="es-CR"/>
        </w:rPr>
        <w:t>.</w:t>
      </w:r>
    </w:p>
    <w:p w14:paraId="049ADE6F" w14:textId="77777777" w:rsidR="006A0E1C" w:rsidRPr="00D13792" w:rsidRDefault="006A0E1C" w:rsidP="006A0E1C">
      <w:pPr>
        <w:widowControl/>
        <w:adjustRightInd/>
        <w:spacing w:line="240" w:lineRule="auto"/>
        <w:textAlignment w:val="auto"/>
        <w:rPr>
          <w:rFonts w:eastAsia="Batang" w:cs="Times"/>
          <w:spacing w:val="-2"/>
          <w:sz w:val="20"/>
          <w:szCs w:val="20"/>
          <w:lang w:eastAsia="en-US"/>
        </w:rPr>
      </w:pPr>
    </w:p>
    <w:p w14:paraId="4453F4AF" w14:textId="77777777" w:rsidR="006A0E1C" w:rsidRPr="00D13792" w:rsidRDefault="006A0E1C" w:rsidP="006A0E1C">
      <w:pPr>
        <w:pStyle w:val="Prrafodelista2"/>
        <w:numPr>
          <w:ilvl w:val="0"/>
          <w:numId w:val="23"/>
        </w:numPr>
        <w:tabs>
          <w:tab w:val="left" w:pos="720"/>
        </w:tabs>
        <w:ind w:right="-90"/>
        <w:jc w:val="both"/>
        <w:rPr>
          <w:rFonts w:eastAsia="Calibri"/>
          <w:spacing w:val="-2"/>
          <w:lang w:val="es-CR"/>
        </w:rPr>
      </w:pPr>
      <w:r w:rsidRPr="00D13792">
        <w:rPr>
          <w:rFonts w:eastAsia="Calibri"/>
          <w:spacing w:val="-2"/>
          <w:lang w:val="es-CR"/>
        </w:rPr>
        <w:t xml:space="preserve">La Corte ha </w:t>
      </w:r>
      <w:r w:rsidRPr="00D13792">
        <w:rPr>
          <w:spacing w:val="-2"/>
          <w:lang w:val="es-CR"/>
        </w:rPr>
        <w:t>establecido</w:t>
      </w:r>
      <w:r w:rsidRPr="00D13792">
        <w:rPr>
          <w:rFonts w:eastAsia="Calibri"/>
          <w:spacing w:val="-2"/>
          <w:lang w:val="es-CR"/>
        </w:rPr>
        <w:t xml:space="preserve"> que las reparaciones deben tener un nexo causal con los hechos del caso, las violaciones declaradas, los daños </w:t>
      </w:r>
      <w:r w:rsidRPr="00D13792">
        <w:rPr>
          <w:lang w:val="es-CR"/>
        </w:rPr>
        <w:t>acreditados</w:t>
      </w:r>
      <w:r w:rsidRPr="00D13792">
        <w:rPr>
          <w:rFonts w:eastAsia="Calibri"/>
          <w:spacing w:val="-2"/>
          <w:lang w:val="es-CR"/>
        </w:rPr>
        <w:t xml:space="preserve">, así como las medidas solicitadas </w:t>
      </w:r>
      <w:r w:rsidRPr="00D13792">
        <w:rPr>
          <w:rFonts w:eastAsia="Batang"/>
          <w:bCs/>
          <w:snapToGrid w:val="0"/>
          <w:color w:val="000000"/>
          <w:kern w:val="32"/>
          <w:lang w:val="es-CR" w:eastAsia="es-ES"/>
        </w:rPr>
        <w:t>para</w:t>
      </w:r>
      <w:r w:rsidRPr="00D13792">
        <w:rPr>
          <w:rFonts w:eastAsia="Calibri"/>
          <w:spacing w:val="-2"/>
          <w:lang w:val="es-CR"/>
        </w:rPr>
        <w:t xml:space="preserve"> reparar los daños </w:t>
      </w:r>
      <w:r w:rsidRPr="00D13792">
        <w:rPr>
          <w:rFonts w:eastAsia="Calibri" w:cs="Arial"/>
          <w:spacing w:val="-2"/>
          <w:lang w:val="es-CR"/>
        </w:rPr>
        <w:t>respectivos</w:t>
      </w:r>
      <w:r w:rsidRPr="00D13792">
        <w:rPr>
          <w:rFonts w:eastAsia="Calibri"/>
          <w:spacing w:val="-2"/>
          <w:vertAlign w:val="superscript"/>
          <w:lang w:val="es-CR"/>
        </w:rPr>
        <w:footnoteReference w:id="328"/>
      </w:r>
      <w:r w:rsidRPr="00D13792">
        <w:rPr>
          <w:rFonts w:eastAsia="Calibri"/>
          <w:spacing w:val="-2"/>
          <w:lang w:val="es-CR"/>
        </w:rPr>
        <w:t>.</w:t>
      </w:r>
    </w:p>
    <w:p w14:paraId="63DEA56E" w14:textId="77777777" w:rsidR="006A0E1C" w:rsidRPr="00D13792" w:rsidRDefault="006A0E1C" w:rsidP="006A0E1C">
      <w:pPr>
        <w:widowControl/>
        <w:adjustRightInd/>
        <w:spacing w:line="240" w:lineRule="auto"/>
        <w:ind w:left="-709"/>
        <w:textAlignment w:val="auto"/>
        <w:rPr>
          <w:rFonts w:eastAsia="Batang" w:cs="Times"/>
          <w:spacing w:val="-2"/>
          <w:sz w:val="20"/>
          <w:szCs w:val="20"/>
          <w:lang w:eastAsia="en-US"/>
        </w:rPr>
      </w:pPr>
    </w:p>
    <w:p w14:paraId="6F7D4E37" w14:textId="77777777" w:rsidR="006A0E1C" w:rsidRPr="00D13792" w:rsidRDefault="006A0E1C" w:rsidP="006A0E1C">
      <w:pPr>
        <w:pStyle w:val="Prrafodelista2"/>
        <w:numPr>
          <w:ilvl w:val="0"/>
          <w:numId w:val="23"/>
        </w:numPr>
        <w:tabs>
          <w:tab w:val="left" w:pos="720"/>
        </w:tabs>
        <w:ind w:right="-90"/>
        <w:jc w:val="both"/>
        <w:rPr>
          <w:rFonts w:eastAsia="Calibri"/>
          <w:spacing w:val="-2"/>
          <w:lang w:val="es-CR"/>
        </w:rPr>
      </w:pPr>
      <w:r w:rsidRPr="00D13792">
        <w:rPr>
          <w:rFonts w:eastAsia="Calibri"/>
          <w:spacing w:val="-2"/>
          <w:lang w:val="es-CR"/>
        </w:rPr>
        <w:t xml:space="preserve">En consideración de las violaciones a la Convención declaradas en los capítulos anteriores, la Corte </w:t>
      </w:r>
      <w:r w:rsidRPr="00D13792">
        <w:rPr>
          <w:spacing w:val="-2"/>
          <w:lang w:val="es-CR"/>
        </w:rPr>
        <w:t>procede</w:t>
      </w:r>
      <w:r w:rsidRPr="00D13792">
        <w:rPr>
          <w:rFonts w:eastAsia="Calibri"/>
          <w:spacing w:val="-2"/>
          <w:lang w:val="es-CR"/>
        </w:rPr>
        <w:t xml:space="preserve"> a analizar las pretensiones </w:t>
      </w:r>
      <w:r w:rsidRPr="00D13792">
        <w:rPr>
          <w:lang w:val="es-CR"/>
        </w:rPr>
        <w:t>presentadas</w:t>
      </w:r>
      <w:r w:rsidRPr="00D13792">
        <w:rPr>
          <w:rFonts w:eastAsia="Calibri"/>
          <w:spacing w:val="-2"/>
          <w:lang w:val="es-CR"/>
        </w:rPr>
        <w:t xml:space="preserve"> por la Comisión y los representantes, </w:t>
      </w:r>
      <w:r w:rsidRPr="00D13792">
        <w:rPr>
          <w:lang w:val="es-CR"/>
        </w:rPr>
        <w:t>así como los argumentos del Estado,</w:t>
      </w:r>
      <w:r w:rsidRPr="00D13792">
        <w:rPr>
          <w:rFonts w:eastAsia="Calibri"/>
          <w:spacing w:val="-2"/>
          <w:lang w:val="es-CR"/>
        </w:rPr>
        <w:t xml:space="preserve"> a la luz de los criterios fijados en su jurisprudencia en relación con la naturaleza y alcance de la obligación de reparar, con el objeto de disponer las medidas dirigidas a reparar los daños ocasionados a las víctimas</w:t>
      </w:r>
      <w:r w:rsidRPr="00D13792">
        <w:rPr>
          <w:rFonts w:eastAsia="Calibri"/>
          <w:spacing w:val="-2"/>
          <w:vertAlign w:val="superscript"/>
          <w:lang w:val="es-CR"/>
        </w:rPr>
        <w:footnoteReference w:id="329"/>
      </w:r>
      <w:r w:rsidRPr="00D13792">
        <w:rPr>
          <w:rFonts w:eastAsia="Calibri"/>
          <w:spacing w:val="-2"/>
          <w:lang w:val="es-CR"/>
        </w:rPr>
        <w:t>.</w:t>
      </w:r>
    </w:p>
    <w:p w14:paraId="352E8B58"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MS Mincho"/>
          <w:sz w:val="20"/>
          <w:szCs w:val="20"/>
          <w:lang w:eastAsia="en-US"/>
        </w:rPr>
      </w:pPr>
    </w:p>
    <w:p w14:paraId="55A47015" w14:textId="77777777" w:rsidR="006A0E1C" w:rsidRPr="00D13792" w:rsidRDefault="006A0E1C" w:rsidP="006A0E1C">
      <w:pPr>
        <w:numPr>
          <w:ilvl w:val="0"/>
          <w:numId w:val="23"/>
        </w:numPr>
        <w:tabs>
          <w:tab w:val="left" w:pos="0"/>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20"/>
          <w:szCs w:val="20"/>
        </w:rPr>
      </w:pPr>
      <w:bookmarkStart w:id="244" w:name="_Toc337405897"/>
      <w:r w:rsidRPr="00D13792">
        <w:rPr>
          <w:rFonts w:eastAsia="Calibri"/>
          <w:sz w:val="20"/>
          <w:szCs w:val="20"/>
        </w:rPr>
        <w:t>L</w:t>
      </w:r>
      <w:r w:rsidRPr="00D13792">
        <w:rPr>
          <w:rFonts w:eastAsia="MS Mincho"/>
          <w:sz w:val="20"/>
          <w:szCs w:val="20"/>
        </w:rPr>
        <w:t xml:space="preserve">a Corte estima pertinente reiterar que, con motivo de la denegación de justicia en perjuicio de las víctimas de graves violaciones a derechos humanos, como las del presente caso, se presenta una diversidad de afectaciones tanto en la esfera individual como colectiva. En este sentido, resulta evidente que las víctimas de una impunidad prolongada sufran distintas afectaciones por la búsqueda de justicia no sólo de carácter material, sino también otros sufrimientos y daños de carácter psicológico, físico y en su proyecto de vida, así como otras posibles alteraciones en sus relaciones sociales y la dinámica de sus familias y comunidades. Este Tribunal ha señalado que estos daños se intensifican por la falta de apoyo de las autoridades estatales en la búsqueda efectiva e identificación de los restos, y la </w:t>
      </w:r>
      <w:r w:rsidRPr="00D13792">
        <w:rPr>
          <w:rFonts w:eastAsia="MS Mincho"/>
          <w:sz w:val="20"/>
          <w:szCs w:val="20"/>
        </w:rPr>
        <w:lastRenderedPageBreak/>
        <w:t>imposibilidad de honrar apropiadamente a sus seres queridos. Frente a ello, la Corte ha considerado la necesidad de otorgar diversas medidas de reparación, a fin de resarcir los daños de manera integral, por lo que, además de las compensaciones pecuniarias, las medidas de satisfacción, restitución, rehabilitación y garantías de no repetición tienen especial relevancia por la gravedad de las afectaciones y el carácter colectivo de los daños ocasionados</w:t>
      </w:r>
      <w:r w:rsidRPr="00D13792">
        <w:rPr>
          <w:rFonts w:eastAsia="MS Mincho"/>
          <w:sz w:val="20"/>
          <w:szCs w:val="20"/>
          <w:vertAlign w:val="superscript"/>
        </w:rPr>
        <w:footnoteReference w:id="330"/>
      </w:r>
      <w:r w:rsidRPr="00D13792">
        <w:rPr>
          <w:rFonts w:eastAsia="MS Mincho"/>
          <w:sz w:val="20"/>
          <w:szCs w:val="20"/>
        </w:rPr>
        <w:t>.</w:t>
      </w:r>
    </w:p>
    <w:p w14:paraId="206CA98D"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20"/>
          <w:szCs w:val="20"/>
        </w:rPr>
      </w:pPr>
    </w:p>
    <w:p w14:paraId="03B14A7D" w14:textId="77777777" w:rsidR="006A0E1C" w:rsidRPr="00D13792" w:rsidRDefault="006A0E1C" w:rsidP="006A0E1C">
      <w:pPr>
        <w:pStyle w:val="Heading2"/>
        <w:rPr>
          <w:rFonts w:eastAsia="MS Mincho"/>
          <w:lang w:val="es-CR"/>
        </w:rPr>
      </w:pPr>
      <w:bookmarkStart w:id="245" w:name="_Toc455631235"/>
      <w:bookmarkStart w:id="246" w:name="_Toc469670063"/>
      <w:r w:rsidRPr="00D13792">
        <w:rPr>
          <w:rFonts w:eastAsia="MS Mincho"/>
          <w:lang w:val="es-CR"/>
        </w:rPr>
        <w:t>A. Parte Lesionada</w:t>
      </w:r>
      <w:bookmarkEnd w:id="244"/>
      <w:bookmarkEnd w:id="245"/>
      <w:bookmarkEnd w:id="246"/>
    </w:p>
    <w:p w14:paraId="43833CBB" w14:textId="77777777" w:rsidR="006A0E1C" w:rsidRPr="00D13792" w:rsidRDefault="006A0E1C" w:rsidP="006A0E1C">
      <w:pPr>
        <w:keepNext/>
        <w:keepLines/>
        <w:widowControl/>
        <w:adjustRightInd/>
        <w:spacing w:line="240" w:lineRule="auto"/>
        <w:ind w:left="720"/>
        <w:textAlignment w:val="auto"/>
        <w:outlineLvl w:val="1"/>
        <w:rPr>
          <w:i/>
          <w:sz w:val="16"/>
          <w:szCs w:val="20"/>
        </w:rPr>
      </w:pPr>
    </w:p>
    <w:p w14:paraId="1CBDA8EE"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eastAsia="Calibri"/>
          <w:lang w:val="es-CR"/>
        </w:rPr>
        <w:t>En el presente caso,</w:t>
      </w:r>
      <w:r w:rsidRPr="00D13792">
        <w:rPr>
          <w:rFonts w:eastAsia="Calibri"/>
          <w:b/>
          <w:lang w:val="es-CR"/>
        </w:rPr>
        <w:t xml:space="preserve"> </w:t>
      </w:r>
      <w:r w:rsidRPr="00D13792">
        <w:rPr>
          <w:lang w:val="es-CR"/>
        </w:rPr>
        <w:t xml:space="preserve">la </w:t>
      </w:r>
      <w:r w:rsidRPr="00D13792">
        <w:rPr>
          <w:b/>
          <w:i/>
          <w:lang w:val="es-CR"/>
        </w:rPr>
        <w:t>Comisión</w:t>
      </w:r>
      <w:r w:rsidRPr="00D13792">
        <w:rPr>
          <w:lang w:val="es-CR"/>
        </w:rPr>
        <w:t xml:space="preserve"> solicitó a la Corte que ordene al Estado </w:t>
      </w:r>
      <w:r w:rsidRPr="00D13792">
        <w:rPr>
          <w:rFonts w:eastAsia="Calibri" w:cs="Arial"/>
          <w:lang w:val="es-CR"/>
        </w:rPr>
        <w:t xml:space="preserve">establecer mecanismos que permitan: i) “la identificación completa de las víctimas ejecutadas”; ii) “la determinación de las personas desaparecidas en las masacres” y “las sobrevivientes de las mismas”, y iii) “la identificación completa de los familiares de las víctimas </w:t>
      </w:r>
      <w:r w:rsidRPr="00D13792">
        <w:rPr>
          <w:lang w:val="es-CR"/>
        </w:rPr>
        <w:t>ejecutadas</w:t>
      </w:r>
      <w:r w:rsidRPr="00D13792">
        <w:rPr>
          <w:rFonts w:eastAsia="Calibri" w:cs="Arial"/>
          <w:lang w:val="es-CR"/>
        </w:rPr>
        <w:t xml:space="preserve"> y desaparecidas, de manera que puedan ser beneficiarios de las reparaciones”.</w:t>
      </w:r>
      <w:r w:rsidRPr="00D13792">
        <w:rPr>
          <w:rFonts w:eastAsia="Calibri" w:cs="Arial"/>
          <w:b/>
          <w:lang w:val="es-CR"/>
        </w:rPr>
        <w:t xml:space="preserve"> </w:t>
      </w:r>
      <w:r w:rsidRPr="00D13792">
        <w:rPr>
          <w:rFonts w:cs="Verdana"/>
          <w:lang w:val="es-CR"/>
        </w:rPr>
        <w:t xml:space="preserve">Los </w:t>
      </w:r>
      <w:r w:rsidRPr="00D13792">
        <w:rPr>
          <w:rFonts w:cs="Verdana"/>
          <w:b/>
          <w:i/>
          <w:lang w:val="es-CR"/>
        </w:rPr>
        <w:t>representantes</w:t>
      </w:r>
      <w:r w:rsidRPr="00D13792">
        <w:rPr>
          <w:rFonts w:cs="Verdana"/>
          <w:lang w:val="es-CR"/>
        </w:rPr>
        <w:t xml:space="preserve"> solicitaron la creación de “un mecanismo de identificación de todas las víctimas sobrevivientes de las masacres[, así como de] los familiares de éstas[,] y que la Corte deje abierta la posibilidad para que aquellas víctimas sobrevivientes [que] sean identificadas por el Estado sean incluidas como víctimas y, en consecuencia, como beneficiarias de las reparaciones”.</w:t>
      </w:r>
    </w:p>
    <w:p w14:paraId="33066184" w14:textId="77777777" w:rsidR="006A0E1C" w:rsidRPr="00D13792" w:rsidRDefault="006A0E1C" w:rsidP="006A0E1C">
      <w:pPr>
        <w:widowControl/>
        <w:adjustRightInd/>
        <w:spacing w:line="240" w:lineRule="auto"/>
        <w:ind w:left="-709"/>
        <w:contextualSpacing/>
        <w:textAlignment w:val="auto"/>
        <w:rPr>
          <w:rFonts w:eastAsia="MS Mincho"/>
          <w:sz w:val="20"/>
          <w:szCs w:val="20"/>
          <w:lang w:eastAsia="en-US"/>
        </w:rPr>
      </w:pPr>
    </w:p>
    <w:p w14:paraId="16D7E17E" w14:textId="77777777" w:rsidR="006A0E1C" w:rsidRPr="00D13792" w:rsidRDefault="006A0E1C" w:rsidP="006A0E1C">
      <w:pPr>
        <w:pStyle w:val="Prrafodelista2"/>
        <w:numPr>
          <w:ilvl w:val="0"/>
          <w:numId w:val="23"/>
        </w:numPr>
        <w:tabs>
          <w:tab w:val="left" w:pos="720"/>
        </w:tabs>
        <w:ind w:right="-90"/>
        <w:jc w:val="both"/>
        <w:rPr>
          <w:lang w:val="es-CR"/>
        </w:rPr>
      </w:pPr>
      <w:r w:rsidRPr="00D13792">
        <w:rPr>
          <w:lang w:val="es-CR"/>
        </w:rPr>
        <w:t xml:space="preserve">El </w:t>
      </w:r>
      <w:r w:rsidRPr="00D13792">
        <w:rPr>
          <w:b/>
          <w:i/>
          <w:lang w:val="es-CR"/>
        </w:rPr>
        <w:t>Estado</w:t>
      </w:r>
      <w:r w:rsidRPr="00D13792">
        <w:rPr>
          <w:lang w:val="es-CR"/>
        </w:rPr>
        <w:t xml:space="preserve"> se refirió a los esfuerzos que se encontraría realizando para localizar, exhumar e identificar los restos de las víctimas en el municipio de Rabinal (</w:t>
      </w:r>
      <w:r w:rsidRPr="00D13792">
        <w:rPr>
          <w:i/>
          <w:lang w:val="es-CR"/>
        </w:rPr>
        <w:t xml:space="preserve">infra </w:t>
      </w:r>
      <w:r w:rsidRPr="00D13792">
        <w:rPr>
          <w:lang w:val="es-CR"/>
        </w:rPr>
        <w:t>párr. 291). Asimismo, se refirió a los criterios utilizados para establecer la calificación de beneficiario del Programa Nacional de Resarcimiento (PNR), a la flexibilización de condiciones para el empadronamiento de la población en los registros civiles y la creación del Registro Nacional de las Personas (RENAP), el cual tiene como objetivo organizar y mantener el registro único de identificación de las personas naturales. Así, sostuvo que “cuenta con un mecanismo que permite la identificación de personas para que puedan posteriormente ser beneficiarios de reparaciones”.</w:t>
      </w:r>
    </w:p>
    <w:p w14:paraId="72F25EC2" w14:textId="77777777" w:rsidR="006A0E1C" w:rsidRPr="00D13792" w:rsidRDefault="006A0E1C" w:rsidP="006A0E1C">
      <w:pPr>
        <w:pStyle w:val="ListParagraph"/>
        <w:spacing w:after="0" w:line="240" w:lineRule="auto"/>
        <w:rPr>
          <w:lang w:val="es-CR"/>
        </w:rPr>
      </w:pPr>
    </w:p>
    <w:p w14:paraId="572A3D53" w14:textId="77777777" w:rsidR="006A0E1C" w:rsidRPr="00D13792" w:rsidRDefault="006A0E1C" w:rsidP="006A0E1C">
      <w:pPr>
        <w:pStyle w:val="Prrafodelista2"/>
        <w:numPr>
          <w:ilvl w:val="0"/>
          <w:numId w:val="23"/>
        </w:numPr>
        <w:tabs>
          <w:tab w:val="left" w:pos="720"/>
        </w:tabs>
        <w:ind w:right="-90"/>
        <w:jc w:val="both"/>
        <w:rPr>
          <w:lang w:val="es-CR"/>
        </w:rPr>
      </w:pPr>
      <w:r w:rsidRPr="00D13792">
        <w:rPr>
          <w:lang w:val="es-CR"/>
        </w:rPr>
        <w:t xml:space="preserve">El </w:t>
      </w:r>
      <w:r w:rsidRPr="00D13792">
        <w:rPr>
          <w:b/>
          <w:i/>
          <w:lang w:val="es-CR"/>
        </w:rPr>
        <w:t>Tribunal</w:t>
      </w:r>
      <w:r w:rsidRPr="00D13792">
        <w:rPr>
          <w:rFonts w:cs="Verdana"/>
          <w:lang w:val="es-CR"/>
        </w:rPr>
        <w:t xml:space="preserve"> considera parte lesionada, en los términos del artículo 63.1 de la Convención, a quien ha sido declarado </w:t>
      </w:r>
      <w:r w:rsidRPr="00D13792">
        <w:rPr>
          <w:lang w:val="es-CR"/>
        </w:rPr>
        <w:t>víctima</w:t>
      </w:r>
      <w:r w:rsidRPr="00D13792">
        <w:rPr>
          <w:rFonts w:cs="Verdana"/>
          <w:lang w:val="es-CR"/>
        </w:rPr>
        <w:t xml:space="preserve"> </w:t>
      </w:r>
      <w:r w:rsidRPr="00D13792">
        <w:rPr>
          <w:lang w:val="es-CR"/>
        </w:rPr>
        <w:t>de</w:t>
      </w:r>
      <w:r w:rsidRPr="00D13792">
        <w:rPr>
          <w:rFonts w:cs="Verdana"/>
          <w:lang w:val="es-CR"/>
        </w:rPr>
        <w:t xml:space="preserve"> la violación de algún derecho reconocido en la </w:t>
      </w:r>
      <w:r w:rsidRPr="00D13792">
        <w:rPr>
          <w:lang w:val="es-CR"/>
        </w:rPr>
        <w:t>misma</w:t>
      </w:r>
      <w:r w:rsidRPr="00D13792">
        <w:rPr>
          <w:rStyle w:val="FootnoteReference"/>
          <w:lang w:val="es-CR"/>
        </w:rPr>
        <w:footnoteReference w:id="331"/>
      </w:r>
      <w:r w:rsidRPr="00D13792">
        <w:rPr>
          <w:rFonts w:cs="Verdana"/>
          <w:lang w:val="es-CR"/>
        </w:rPr>
        <w:t xml:space="preserve">. Por lo tanto, la Corte considera como “parte lesionada” del caso a aquellas personas </w:t>
      </w:r>
      <w:r w:rsidRPr="00D13792">
        <w:rPr>
          <w:rFonts w:eastAsia="Calibri"/>
          <w:spacing w:val="-2"/>
          <w:lang w:val="es-CR"/>
        </w:rPr>
        <w:t>referidas</w:t>
      </w:r>
      <w:r w:rsidRPr="00D13792">
        <w:rPr>
          <w:rFonts w:cs="Verdana"/>
          <w:lang w:val="es-CR"/>
        </w:rPr>
        <w:t xml:space="preserve"> en los Anexos I y II de esta Sentencia, quienes en su carácter </w:t>
      </w:r>
      <w:r w:rsidRPr="00D13792">
        <w:rPr>
          <w:lang w:val="es-CR"/>
        </w:rPr>
        <w:t>de</w:t>
      </w:r>
      <w:r w:rsidRPr="00D13792">
        <w:rPr>
          <w:rFonts w:cs="Verdana"/>
          <w:lang w:val="es-CR"/>
        </w:rPr>
        <w:t xml:space="preserve"> víctimas de las violaciones declaradas de conformidad con los párrafos 155, 156, 160, 164, 203, 265, serán consideradas beneficiarias de las reparaciones que ordene el Tribunal. Respecto de dichas personas, la Corte encontró, dentro del acervo probatorio, la prueba necesaria para verificar su identidad (</w:t>
      </w:r>
      <w:r w:rsidRPr="00D13792">
        <w:rPr>
          <w:rFonts w:cs="Verdana"/>
          <w:i/>
          <w:lang w:val="es-CR"/>
        </w:rPr>
        <w:t xml:space="preserve">supra </w:t>
      </w:r>
      <w:r w:rsidRPr="00D13792">
        <w:rPr>
          <w:rFonts w:cs="Verdana"/>
          <w:lang w:val="es-CR"/>
        </w:rPr>
        <w:t>párr. 65).</w:t>
      </w:r>
    </w:p>
    <w:p w14:paraId="0A7F74F1" w14:textId="77777777" w:rsidR="006A0E1C" w:rsidRPr="00D13792" w:rsidRDefault="006A0E1C" w:rsidP="006A0E1C">
      <w:pPr>
        <w:widowControl/>
        <w:adjustRightInd/>
        <w:spacing w:line="240" w:lineRule="auto"/>
        <w:textAlignment w:val="auto"/>
        <w:rPr>
          <w:rFonts w:eastAsia="MS Mincho" w:cs="Times"/>
          <w:sz w:val="20"/>
          <w:lang w:eastAsia="en-US"/>
        </w:rPr>
      </w:pPr>
    </w:p>
    <w:p w14:paraId="56B60895"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eastAsia="Batang" w:cs="Times"/>
          <w:lang w:val="es-CR"/>
        </w:rPr>
        <w:t xml:space="preserve">Por otro lado, no fue posible encontrar dentro del acervo probatorio, la documentación necesaria para verificar la identidad de las personas que se encuentran en el Anexo III de esta Sentencia. Asimismo, </w:t>
      </w:r>
      <w:r w:rsidRPr="00D13792">
        <w:rPr>
          <w:szCs w:val="16"/>
          <w:lang w:val="es-CR"/>
        </w:rPr>
        <w:t>en el Anexo IV del presente Fallo se incluyen los nombres de personas presuntamente desplazadas, pero respecto de quiénes los representantes no especificaron si permanecieron desplazadas con posterioridad al 9 de marzo de 1987, fecha en que Guatemala reconoció la competencia contenciosa de este Tribunal.</w:t>
      </w:r>
      <w:r w:rsidRPr="00D13792">
        <w:rPr>
          <w:rFonts w:eastAsia="Batang" w:cs="Times"/>
          <w:lang w:val="es-CR"/>
        </w:rPr>
        <w:t xml:space="preserve"> </w:t>
      </w:r>
    </w:p>
    <w:p w14:paraId="20741D77"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MS Mincho"/>
          <w:sz w:val="20"/>
          <w:szCs w:val="20"/>
          <w:lang w:eastAsia="en-US"/>
        </w:rPr>
      </w:pPr>
    </w:p>
    <w:p w14:paraId="219B0FD6"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eastAsia="Batang" w:cs="Times"/>
          <w:lang w:val="es-CR"/>
        </w:rPr>
        <w:t>Debido a que la Corte ya estableció que en el presente caso se justifica razonablemente la aplicación de la excepción prevista en el artículo 35.2 del Reglamento,</w:t>
      </w:r>
      <w:r w:rsidRPr="00D13792">
        <w:rPr>
          <w:rFonts w:eastAsia="Batang" w:cs="Times"/>
          <w:b/>
          <w:lang w:val="es-CR"/>
        </w:rPr>
        <w:t xml:space="preserve"> </w:t>
      </w:r>
      <w:r w:rsidRPr="00D13792">
        <w:rPr>
          <w:rFonts w:eastAsia="Batang" w:cs="Times"/>
          <w:lang w:val="es-CR"/>
        </w:rPr>
        <w:t xml:space="preserve">la Corte considera pertinente que, en un plazo de seis meses contado a partir de la notificación de esta Sentencia, los representantes aporten al Tribunal, la documentación que acredite la identidad de las personas que aparecen en el Anexo III de esta Sentencia, así como que especifiquen si las </w:t>
      </w:r>
      <w:r w:rsidRPr="00D13792">
        <w:rPr>
          <w:rFonts w:eastAsia="Batang" w:cs="Times"/>
          <w:lang w:val="es-CR"/>
        </w:rPr>
        <w:lastRenderedPageBreak/>
        <w:t>personas que figuran en el Anexo IV permanecieron en situación de desplazamiento con posterioridad al 9 de marzo de 1987. Lo anterior, con el propósito de que dichas personas puedan ser consideradas víctimas del presente caso en tanto se identifiquen o se compruebe que permanecieron desplazados luego de dicha fecha. Para tal efecto, el Tribunal evaluará lo correspondiente en el ejercicio de sus facultades de supervisión del presente Fallo.</w:t>
      </w:r>
      <w:r w:rsidRPr="00D13792">
        <w:rPr>
          <w:rFonts w:eastAsia="Batang" w:cs="Times"/>
          <w:b/>
          <w:lang w:val="es-CR"/>
        </w:rPr>
        <w:t xml:space="preserve">  </w:t>
      </w:r>
    </w:p>
    <w:p w14:paraId="54BB41A8"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MS Mincho"/>
          <w:sz w:val="20"/>
          <w:szCs w:val="20"/>
          <w:lang w:eastAsia="en-US"/>
        </w:rPr>
      </w:pPr>
    </w:p>
    <w:p w14:paraId="2ED2BDB9"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 xml:space="preserve">Lo dispuesto en este subacápite no excluye el derecho de aquellas personas miembros de la aldea Chichupac o comunidades vecinas de Xeabaj, Chijom, Coyojá, El Tablón, Toloxcoc, Chirrum, </w:t>
      </w:r>
      <w:r w:rsidRPr="00D13792">
        <w:rPr>
          <w:rFonts w:eastAsia="Batang" w:cs="Times"/>
          <w:iCs/>
          <w:lang w:val="es-CR"/>
        </w:rPr>
        <w:t>El Chol</w:t>
      </w:r>
      <w:r w:rsidRPr="00D13792">
        <w:rPr>
          <w:rFonts w:eastAsia="Batang" w:cs="Times"/>
          <w:lang w:val="es-CR"/>
        </w:rPr>
        <w:t xml:space="preserve"> y El Apazote que no fueron presentadas como víctimas por los representantes o la Comisión, o bien, que figuran en los Anexos III o IV de esta Sentencia y no sean incorporadas como víctimas dentro del plazo de 6 meses establecido </w:t>
      </w:r>
      <w:r w:rsidRPr="00D13792">
        <w:rPr>
          <w:rFonts w:eastAsia="Batang" w:cs="Times"/>
          <w:i/>
          <w:lang w:val="es-CR"/>
        </w:rPr>
        <w:t>supra,</w:t>
      </w:r>
      <w:r w:rsidRPr="00D13792">
        <w:rPr>
          <w:rFonts w:eastAsia="Batang" w:cs="Times"/>
          <w:lang w:val="es-CR"/>
        </w:rPr>
        <w:t xml:space="preserve"> de demandar, conforme al derecho interno, las medidas resarcitorias correspondientes a su favor.</w:t>
      </w:r>
    </w:p>
    <w:p w14:paraId="65C52710" w14:textId="77777777" w:rsidR="006A0E1C" w:rsidRPr="00D13792" w:rsidRDefault="006A0E1C" w:rsidP="006A0E1C">
      <w:pPr>
        <w:widowControl/>
        <w:tabs>
          <w:tab w:val="left" w:pos="720"/>
        </w:tabs>
        <w:adjustRightInd/>
        <w:spacing w:line="240" w:lineRule="auto"/>
        <w:textAlignment w:val="auto"/>
        <w:rPr>
          <w:rFonts w:eastAsia="Times"/>
          <w:sz w:val="20"/>
          <w:szCs w:val="20"/>
          <w:lang w:eastAsia="en-US"/>
        </w:rPr>
      </w:pPr>
    </w:p>
    <w:p w14:paraId="57788E3E" w14:textId="77777777" w:rsidR="006A0E1C" w:rsidRPr="00D13792" w:rsidRDefault="006A0E1C" w:rsidP="006A0E1C">
      <w:pPr>
        <w:pStyle w:val="Heading2"/>
        <w:rPr>
          <w:rFonts w:eastAsia="MS Mincho"/>
          <w:lang w:val="es-CR"/>
        </w:rPr>
      </w:pPr>
      <w:bookmarkStart w:id="247" w:name="_Toc455631236"/>
      <w:bookmarkStart w:id="248" w:name="_Toc469670064"/>
      <w:bookmarkStart w:id="249" w:name="_Toc337405898"/>
      <w:r w:rsidRPr="00D13792">
        <w:rPr>
          <w:rFonts w:eastAsia="MS Mincho"/>
          <w:lang w:val="es-CR"/>
        </w:rPr>
        <w:t>B. Programa Nacional de Resarcimiento</w:t>
      </w:r>
      <w:bookmarkEnd w:id="247"/>
      <w:bookmarkEnd w:id="248"/>
      <w:r w:rsidRPr="00D13792">
        <w:rPr>
          <w:rFonts w:eastAsia="MS Mincho"/>
          <w:lang w:val="es-CR"/>
        </w:rPr>
        <w:t xml:space="preserve"> </w:t>
      </w:r>
    </w:p>
    <w:p w14:paraId="46F5BCE9" w14:textId="77777777" w:rsidR="006A0E1C" w:rsidRPr="00D13792" w:rsidRDefault="006A0E1C" w:rsidP="006A0E1C">
      <w:pPr>
        <w:keepNext/>
        <w:keepLines/>
        <w:widowControl/>
        <w:tabs>
          <w:tab w:val="left" w:pos="720"/>
        </w:tabs>
        <w:adjustRightInd/>
        <w:spacing w:line="240" w:lineRule="auto"/>
        <w:textAlignment w:val="auto"/>
        <w:outlineLvl w:val="1"/>
        <w:rPr>
          <w:rFonts w:eastAsia="MS Mincho" w:cs="Times"/>
          <w:bCs/>
          <w:i/>
          <w:sz w:val="20"/>
          <w:szCs w:val="20"/>
          <w:lang w:eastAsia="en-US"/>
        </w:rPr>
      </w:pPr>
    </w:p>
    <w:p w14:paraId="5C5D0F0F" w14:textId="77777777" w:rsidR="006A0E1C" w:rsidRPr="00D13792" w:rsidRDefault="006A0E1C" w:rsidP="006A0E1C">
      <w:pPr>
        <w:pStyle w:val="Prrafodelista2"/>
        <w:numPr>
          <w:ilvl w:val="0"/>
          <w:numId w:val="23"/>
        </w:numPr>
        <w:tabs>
          <w:tab w:val="left" w:pos="720"/>
        </w:tabs>
        <w:ind w:right="-90"/>
        <w:jc w:val="both"/>
        <w:rPr>
          <w:rFonts w:eastAsia="Calibri" w:cs="Cambria"/>
          <w:lang w:val="es-CR"/>
        </w:rPr>
      </w:pPr>
      <w:r w:rsidRPr="00D13792">
        <w:rPr>
          <w:lang w:val="es-CR"/>
        </w:rPr>
        <w:t>El</w:t>
      </w:r>
      <w:r w:rsidRPr="00D13792">
        <w:rPr>
          <w:b/>
          <w:i/>
          <w:lang w:val="es-CR"/>
        </w:rPr>
        <w:t xml:space="preserve"> Estado</w:t>
      </w:r>
      <w:r w:rsidRPr="00D13792">
        <w:rPr>
          <w:lang w:val="es-CR"/>
        </w:rPr>
        <w:t xml:space="preserve"> señaló en su contestación que </w:t>
      </w:r>
      <w:r w:rsidRPr="00D13792">
        <w:rPr>
          <w:rFonts w:eastAsia="Calibri"/>
          <w:lang w:val="es-CR"/>
        </w:rPr>
        <w:t xml:space="preserve">ya cuenta con una política pública de resarcimiento, dirigida a la </w:t>
      </w:r>
      <w:r w:rsidRPr="00D13792">
        <w:rPr>
          <w:rFonts w:cs="Verdana"/>
          <w:lang w:val="es-CR"/>
        </w:rPr>
        <w:t>reparación</w:t>
      </w:r>
      <w:r w:rsidRPr="00D13792">
        <w:rPr>
          <w:rFonts w:eastAsia="Calibri"/>
          <w:lang w:val="es-CR"/>
        </w:rPr>
        <w:t xml:space="preserve"> de víctimas de violaciones a derechos humanos sufridas en el enfrentamiento armado interno, a través del Programa Nacional de Resarcimiento (PNR). Indicó que dicha política fue creada a partir de las negociaciones de paz, y contempla medidas de reparación individual y colectiva, en los aspectos material, moral y cultural. Aclaró que en la actualidad, dicho Programa ha sido susceptible de mejoras en cuanto a los procedimientos para ser beneficiarios, así como la determinación de las formas y montos de la reparación. Sostuvo que el PNR otorga las medidas de restitución material, indemnización económica, atención psicosocial, rehabilitación y “medidas de dignificación de las víctimas (resarcimiento moral y comunitario)”, y cuenta con una oficina en el municipio de Rabinal, así como con personal apto para la atención de las víctimas y sus </w:t>
      </w:r>
      <w:r w:rsidRPr="00D13792">
        <w:rPr>
          <w:lang w:val="es-CR"/>
        </w:rPr>
        <w:t>familiares</w:t>
      </w:r>
      <w:r w:rsidRPr="00D13792">
        <w:rPr>
          <w:rFonts w:eastAsia="Calibri"/>
          <w:lang w:val="es-CR"/>
        </w:rPr>
        <w:t xml:space="preserve"> en idioma maya achí. Cuestionó que la Corte “se convierta en una instancia paralela de reparación para algunas de las víctimas del enfrentamiento armado […], con procedimientos y reparaciones distintas para determinar a los beneficiarios y para definir las formas y montos de reparaciones que además de rebasar las capacidades financieras del Estado, entorpecen el adecuado funcionamiento del Programa”.</w:t>
      </w:r>
      <w:r w:rsidRPr="00D13792">
        <w:rPr>
          <w:rFonts w:eastAsia="Calibri"/>
          <w:b/>
          <w:sz w:val="14"/>
          <w:lang w:val="es-CR"/>
        </w:rPr>
        <w:t xml:space="preserve"> </w:t>
      </w:r>
      <w:r w:rsidRPr="00D13792">
        <w:rPr>
          <w:rFonts w:eastAsia="Calibri"/>
          <w:lang w:val="es-CR"/>
        </w:rPr>
        <w:t>Además, sostuvo que “</w:t>
      </w:r>
      <w:r w:rsidRPr="00D13792">
        <w:rPr>
          <w:lang w:val="es-CR"/>
        </w:rPr>
        <w:t>la mayoría” de las víctimas ya han sido resarcidas a través del PNR y firmaron un finiquito en el cual se obligaron a no presentar en el futuro alguna otra reclamación en contra del Estado por los hechos del caso. Así, presentó una lista de las 67 personas que indica “ya han recibido su resarcimiento por parte de dicho programa”.</w:t>
      </w:r>
    </w:p>
    <w:p w14:paraId="7917992C" w14:textId="77777777" w:rsidR="006A0E1C" w:rsidRPr="00D13792" w:rsidRDefault="006A0E1C" w:rsidP="006A0E1C">
      <w:pPr>
        <w:widowControl/>
        <w:adjustRightInd/>
        <w:spacing w:line="240" w:lineRule="auto"/>
        <w:textAlignment w:val="auto"/>
        <w:rPr>
          <w:rFonts w:eastAsia="Batang" w:cs="Cambria"/>
          <w:sz w:val="20"/>
          <w:szCs w:val="20"/>
          <w:lang w:eastAsia="en-US"/>
        </w:rPr>
      </w:pPr>
    </w:p>
    <w:p w14:paraId="195C2E50" w14:textId="77777777" w:rsidR="006A0E1C" w:rsidRPr="00D13792" w:rsidRDefault="006A0E1C" w:rsidP="006A0E1C">
      <w:pPr>
        <w:pStyle w:val="Prrafodelista2"/>
        <w:numPr>
          <w:ilvl w:val="0"/>
          <w:numId w:val="23"/>
        </w:numPr>
        <w:shd w:val="clear" w:color="auto" w:fill="FFFFFF" w:themeFill="background1"/>
        <w:tabs>
          <w:tab w:val="left" w:pos="720"/>
        </w:tabs>
        <w:ind w:right="-90"/>
        <w:jc w:val="both"/>
        <w:rPr>
          <w:rFonts w:eastAsia="Calibri"/>
          <w:lang w:val="es-CR"/>
        </w:rPr>
      </w:pPr>
      <w:r w:rsidRPr="00D13792">
        <w:rPr>
          <w:rFonts w:eastAsia="Calibri"/>
          <w:lang w:val="es-CR"/>
        </w:rPr>
        <w:t xml:space="preserve">Los </w:t>
      </w:r>
      <w:r w:rsidRPr="00D13792">
        <w:rPr>
          <w:rFonts w:eastAsia="Calibri"/>
          <w:b/>
          <w:i/>
          <w:lang w:val="es-CR"/>
        </w:rPr>
        <w:t>representantes</w:t>
      </w:r>
      <w:r w:rsidRPr="00D13792">
        <w:rPr>
          <w:rFonts w:eastAsia="Calibri"/>
          <w:lang w:val="es-CR"/>
        </w:rPr>
        <w:t xml:space="preserve"> sostuvieron que, desde el punto de vista formal, el PNR “no es cuestionable” en cuanto a sus objetivos, sin embargo, “la letra” dista “enorme[mente]” de la realidad. Destacaron diversos problemas con la ejecución del programa</w:t>
      </w:r>
      <w:r w:rsidRPr="00D13792">
        <w:rPr>
          <w:rFonts w:eastAsia="Calibri" w:cs="Cambria"/>
          <w:vertAlign w:val="superscript"/>
          <w:lang w:val="es-CR"/>
        </w:rPr>
        <w:footnoteReference w:id="332"/>
      </w:r>
      <w:r w:rsidRPr="00D13792">
        <w:rPr>
          <w:rFonts w:eastAsia="Calibri"/>
          <w:lang w:val="es-CR"/>
        </w:rPr>
        <w:t xml:space="preserve">, y sostuvieron que los montos económicos que el PNR otorga “no constituyen un resarcimiento que compense justa y dignamente el daño moral” causado realmente a sus comunidades. En su escrito de observaciones a las excepciones preliminares señalaron que: </w:t>
      </w:r>
      <w:r w:rsidRPr="00D13792">
        <w:rPr>
          <w:rFonts w:eastAsia="Calibri"/>
          <w:shd w:val="clear" w:color="auto" w:fill="FFFFFF" w:themeFill="background1"/>
          <w:lang w:val="es-CR"/>
        </w:rPr>
        <w:t xml:space="preserve">i) “dicho programa ha fijado una cantidad techo para resarcir a las víctimas, no importando el número de víctimas que una familia haya perdido y reportado”, y ii) el programa “no resarce a todas las víctimas por cada </w:t>
      </w:r>
      <w:r w:rsidRPr="00D13792">
        <w:rPr>
          <w:rFonts w:eastAsia="Calibri"/>
          <w:shd w:val="clear" w:color="auto" w:fill="FFFFFF" w:themeFill="background1"/>
          <w:lang w:val="es-CR"/>
        </w:rPr>
        <w:lastRenderedPageBreak/>
        <w:t>una de las violaciones contempladas en el artículo 3 del Acuerdo gubernativo 43-2005. Las violaciones como desplazamiento forzado y muertes por enfermedades, hambres y condiciones infrahumanas ocurridas durante el desplazamiento forzado en las montañas y en otros lugares, tampoco son resarcidas”. Así, solicitaron a la Corte determinar que el PRN “</w:t>
      </w:r>
      <w:r w:rsidRPr="00D13792">
        <w:rPr>
          <w:rFonts w:eastAsia="Calibri" w:cs="Verdana"/>
          <w:shd w:val="clear" w:color="auto" w:fill="FFFFFF" w:themeFill="background1"/>
          <w:lang w:val="es-CR"/>
        </w:rPr>
        <w:t>no responde a los estándares internacionales de reparación aceptados”.</w:t>
      </w:r>
      <w:r w:rsidRPr="00D13792">
        <w:rPr>
          <w:rFonts w:eastAsia="Calibri" w:cs="Verdana"/>
          <w:b/>
          <w:shd w:val="clear" w:color="auto" w:fill="FFFFFF" w:themeFill="background1"/>
          <w:lang w:val="es-CR"/>
        </w:rPr>
        <w:t xml:space="preserve"> </w:t>
      </w:r>
      <w:r w:rsidRPr="00D13792">
        <w:rPr>
          <w:rFonts w:eastAsia="Calibri"/>
          <w:shd w:val="clear" w:color="auto" w:fill="FFFFFF" w:themeFill="background1"/>
          <w:lang w:val="es-CR"/>
        </w:rPr>
        <w:t>En la audiencia pública alegaron que el PNR “no ha sido efectivo ni ha reparado de forma integral, transformadora y satisfactoriamente a las víctimas y a las comunidades”. Además, señalaron que a finales de marzo de 2016 cerró la oficina del PRN en el municipio de Rabinal y no “sabe[n] por qué”.</w:t>
      </w:r>
      <w:r w:rsidRPr="00D13792">
        <w:rPr>
          <w:rFonts w:eastAsia="Calibri"/>
          <w:b/>
          <w:shd w:val="clear" w:color="auto" w:fill="FFC000"/>
          <w:lang w:val="es-CR"/>
        </w:rPr>
        <w:t xml:space="preserve"> </w:t>
      </w:r>
    </w:p>
    <w:p w14:paraId="00697A53" w14:textId="77777777" w:rsidR="006A0E1C" w:rsidRPr="00D13792" w:rsidRDefault="006A0E1C" w:rsidP="006A0E1C">
      <w:pPr>
        <w:widowControl/>
        <w:shd w:val="clear" w:color="auto" w:fill="FFFFFF" w:themeFill="background1"/>
        <w:autoSpaceDE w:val="0"/>
        <w:autoSpaceDN w:val="0"/>
        <w:spacing w:line="240" w:lineRule="auto"/>
        <w:ind w:left="-709"/>
        <w:textAlignment w:val="auto"/>
        <w:rPr>
          <w:rFonts w:eastAsia="Batang" w:cs="Cambria"/>
          <w:sz w:val="20"/>
          <w:szCs w:val="20"/>
          <w:lang w:eastAsia="en-US"/>
        </w:rPr>
      </w:pPr>
    </w:p>
    <w:p w14:paraId="69866BA9" w14:textId="77777777" w:rsidR="006A0E1C" w:rsidRPr="00D13792" w:rsidRDefault="006A0E1C" w:rsidP="006A0E1C">
      <w:pPr>
        <w:pStyle w:val="Prrafodelista2"/>
        <w:numPr>
          <w:ilvl w:val="0"/>
          <w:numId w:val="23"/>
        </w:numPr>
        <w:tabs>
          <w:tab w:val="left" w:pos="720"/>
        </w:tabs>
        <w:ind w:right="-90"/>
        <w:jc w:val="both"/>
        <w:rPr>
          <w:rFonts w:eastAsia="Batang" w:cs="Times"/>
          <w:i/>
          <w:spacing w:val="-2"/>
          <w:lang w:val="es-CR"/>
        </w:rPr>
      </w:pPr>
      <w:r w:rsidRPr="00D13792">
        <w:rPr>
          <w:rFonts w:eastAsia="Batang" w:cs="Times"/>
          <w:lang w:val="es-CR"/>
        </w:rPr>
        <w:t>La</w:t>
      </w:r>
      <w:r w:rsidRPr="00D13792">
        <w:rPr>
          <w:rFonts w:eastAsia="Batang" w:cs="Times"/>
          <w:b/>
          <w:i/>
          <w:lang w:val="es-CR"/>
        </w:rPr>
        <w:t xml:space="preserve"> Comisión</w:t>
      </w:r>
      <w:r w:rsidRPr="00D13792">
        <w:rPr>
          <w:rFonts w:eastAsia="Batang" w:cs="Times"/>
          <w:lang w:val="es-CR"/>
        </w:rPr>
        <w:t xml:space="preserve"> indicó que no contaba con información específica sobre la relación de las reparaciones otorgadas por el PRN con la totalidad de los hechos y violaciones declaradas en el presente caso.</w:t>
      </w:r>
      <w:r w:rsidRPr="00D13792">
        <w:rPr>
          <w:rFonts w:eastAsia="Batang" w:cs="Times"/>
          <w:b/>
          <w:lang w:val="es-CR"/>
        </w:rPr>
        <w:t xml:space="preserve"> </w:t>
      </w:r>
      <w:r w:rsidRPr="00D13792">
        <w:rPr>
          <w:rFonts w:eastAsia="Batang" w:cs="Times"/>
          <w:shd w:val="clear" w:color="auto" w:fill="FFFFFF" w:themeFill="background1"/>
          <w:lang w:val="es-CR"/>
        </w:rPr>
        <w:t>En sus alegatos finales escritos, reconoció y valoró</w:t>
      </w:r>
      <w:r w:rsidRPr="00D13792">
        <w:rPr>
          <w:rFonts w:eastAsia="Batang" w:cs="Cambria"/>
          <w:shd w:val="clear" w:color="auto" w:fill="FFFFFF" w:themeFill="background1"/>
          <w:lang w:val="es-CR"/>
        </w:rPr>
        <w:t xml:space="preserve"> los </w:t>
      </w:r>
      <w:r w:rsidRPr="00D13792">
        <w:rPr>
          <w:rFonts w:eastAsia="Calibri"/>
          <w:shd w:val="clear" w:color="auto" w:fill="FFFFFF" w:themeFill="background1"/>
          <w:lang w:val="es-CR"/>
        </w:rPr>
        <w:t>programas</w:t>
      </w:r>
      <w:r w:rsidRPr="00D13792">
        <w:rPr>
          <w:rFonts w:eastAsia="Batang" w:cs="Cambria"/>
          <w:shd w:val="clear" w:color="auto" w:fill="FFFFFF" w:themeFill="background1"/>
          <w:lang w:val="es-CR"/>
        </w:rPr>
        <w:t xml:space="preserve"> administrativos de </w:t>
      </w:r>
      <w:r w:rsidRPr="00D13792">
        <w:rPr>
          <w:rFonts w:eastAsia="Batang" w:cs="Times"/>
          <w:shd w:val="clear" w:color="auto" w:fill="FFFFFF" w:themeFill="background1"/>
          <w:lang w:val="es-CR"/>
        </w:rPr>
        <w:t>reparación que establecen los Estados por graves violaciones a los derechos humanos. Sin embargo, alegó que los mismos no pueden sustituir las reparaciones a ser dictadas por la Corte en el marco de un caso individual, debido a que: i) las víctimas del caso han pasado por procesos judiciales internos para llegar al sistema interamericano y actualmente se encuentran a la espera de una decisión, también judicial, en que la Corte establezca las violaciones cometidas en su perjuicio y fije directamente las reparaciones que les corresponden, sin necesidad de acudir a nuevos procedimientos para acreditar su calidad de víctimas frente a las autoridades estatales; ii) las reparaciones dictadas en el ámbito internacional por la Corte tienen contenidos y alcances específicos que son determinados por el Tribunal atendiendo a las circunstancias propias del caso; iii) en virtud del carácter independiente que tiene la reparación internacional, no corresponde a los organismos del sistema interamericano sujetar dicha reparación para una víctima de violación a sus derechos convencionales a los instrumentos de carácter interno del Estado, los cuales pueden adolecer de defectos, imperfecciones o insuficiencias, y iv) el PRN tiene serias deficiencias en su implementación</w:t>
      </w:r>
      <w:r w:rsidRPr="00D13792">
        <w:rPr>
          <w:rFonts w:eastAsia="Batang" w:cs="Cambria"/>
          <w:shd w:val="clear" w:color="auto" w:fill="FFFFFF" w:themeFill="background1"/>
          <w:lang w:val="es-CR"/>
        </w:rPr>
        <w:t>.</w:t>
      </w:r>
    </w:p>
    <w:p w14:paraId="64DD245C" w14:textId="77777777" w:rsidR="006A0E1C" w:rsidRPr="00D13792" w:rsidRDefault="006A0E1C" w:rsidP="006A0E1C">
      <w:pPr>
        <w:keepNext/>
        <w:keepLines/>
        <w:tabs>
          <w:tab w:val="left" w:pos="-709"/>
          <w:tab w:val="left" w:pos="0"/>
          <w:tab w:val="left" w:pos="142"/>
          <w:tab w:val="left" w:pos="1440"/>
          <w:tab w:val="left" w:pos="2880"/>
          <w:tab w:val="left" w:pos="3600"/>
          <w:tab w:val="left" w:pos="4320"/>
          <w:tab w:val="left" w:pos="5760"/>
          <w:tab w:val="left" w:pos="6480"/>
          <w:tab w:val="left" w:pos="7200"/>
          <w:tab w:val="left" w:pos="7920"/>
        </w:tabs>
        <w:autoSpaceDE w:val="0"/>
        <w:autoSpaceDN w:val="0"/>
        <w:spacing w:line="240" w:lineRule="auto"/>
        <w:ind w:right="-138"/>
        <w:textAlignment w:val="auto"/>
        <w:outlineLvl w:val="1"/>
        <w:rPr>
          <w:rFonts w:eastAsia="Batang" w:cs="Times"/>
          <w:i/>
          <w:spacing w:val="-2"/>
          <w:sz w:val="20"/>
          <w:szCs w:val="20"/>
          <w:lang w:eastAsia="en-US"/>
        </w:rPr>
      </w:pPr>
    </w:p>
    <w:p w14:paraId="12C8D037" w14:textId="77777777" w:rsidR="006A0E1C" w:rsidRPr="00D13792" w:rsidRDefault="006A0E1C" w:rsidP="006A0E1C">
      <w:pPr>
        <w:pStyle w:val="Prrafodelista2"/>
        <w:numPr>
          <w:ilvl w:val="0"/>
          <w:numId w:val="23"/>
        </w:numPr>
        <w:tabs>
          <w:tab w:val="left" w:pos="720"/>
        </w:tabs>
        <w:ind w:right="-90"/>
        <w:jc w:val="both"/>
        <w:rPr>
          <w:rFonts w:cs="Helvetica"/>
          <w:color w:val="000000"/>
          <w:lang w:val="es-CR"/>
        </w:rPr>
      </w:pPr>
      <w:r w:rsidRPr="00D13792">
        <w:rPr>
          <w:rFonts w:eastAsia="Batang" w:cs="Cambria"/>
          <w:lang w:val="es-CR"/>
        </w:rPr>
        <w:t xml:space="preserve">La </w:t>
      </w:r>
      <w:r w:rsidRPr="00D13792">
        <w:rPr>
          <w:rFonts w:eastAsia="Batang" w:cs="Cambria"/>
          <w:b/>
          <w:i/>
          <w:lang w:val="es-CR"/>
        </w:rPr>
        <w:t>Corte</w:t>
      </w:r>
      <w:r w:rsidRPr="00D13792">
        <w:rPr>
          <w:rFonts w:eastAsia="Batang" w:cs="Cambria"/>
          <w:lang w:val="es-CR"/>
        </w:rPr>
        <w:t xml:space="preserve"> valora y reconoce las acciones emprendidas por el Estado a través del Programa Nacional de Resarcimiento (PNR) para reparar las violaciones a los derechos humanos perpetradas en el marco del conflicto armado interno en Guatemala. Sin embargo, en el presente caso, no se desprende de la prueba aportada por el Estado que las personas resarcidas a través del PNR se hayan “</w:t>
      </w:r>
      <w:r w:rsidRPr="00D13792">
        <w:rPr>
          <w:lang w:val="es-CR"/>
        </w:rPr>
        <w:t>obliga[do] a no presentar en el futuro alguna otra reclamación en contra del Estado” por los hechos del caso, como alega Guatemala. Por lo contrario, los convenios y finiquitos de “Pago de Resarcimiento Económico” presentados expresamente indican que subsiste el derecho de las personas resarcidas a ser beneficiarios de otras medidas otorgadas por el PNR “que completen el resarcimiento integral”</w:t>
      </w:r>
      <w:r w:rsidRPr="00D13792">
        <w:rPr>
          <w:rStyle w:val="FootnoteReference"/>
          <w:lang w:val="es-CR"/>
        </w:rPr>
        <w:footnoteReference w:id="333"/>
      </w:r>
      <w:r w:rsidRPr="00D13792">
        <w:rPr>
          <w:lang w:val="es-CR"/>
        </w:rPr>
        <w:t xml:space="preserve"> y/o de “acudir ante los órganos jurisdiccionales competentes para tramitar los procesos legales que puedan derivarse de la violación de derechos humanos sufrida por la víctima antes identificada”</w:t>
      </w:r>
      <w:r w:rsidRPr="00D13792">
        <w:rPr>
          <w:rStyle w:val="FootnoteReference"/>
          <w:lang w:val="es-CR"/>
        </w:rPr>
        <w:footnoteReference w:id="334"/>
      </w:r>
      <w:r w:rsidRPr="00D13792">
        <w:rPr>
          <w:lang w:val="es-CR"/>
        </w:rPr>
        <w:t xml:space="preserve">. </w:t>
      </w:r>
    </w:p>
    <w:p w14:paraId="3CE88BF2" w14:textId="77777777" w:rsidR="006A0E1C" w:rsidRPr="00D13792" w:rsidRDefault="006A0E1C" w:rsidP="006A0E1C">
      <w:pPr>
        <w:pStyle w:val="Prrafodelista2"/>
        <w:tabs>
          <w:tab w:val="left" w:pos="720"/>
        </w:tabs>
        <w:ind w:left="0" w:right="-90"/>
        <w:jc w:val="both"/>
        <w:rPr>
          <w:rFonts w:cs="Helvetica"/>
          <w:color w:val="000000"/>
          <w:lang w:val="es-CR"/>
        </w:rPr>
      </w:pPr>
    </w:p>
    <w:p w14:paraId="404DA512" w14:textId="77777777" w:rsidR="006A0E1C" w:rsidRPr="00D13792" w:rsidRDefault="006A0E1C" w:rsidP="006A0E1C">
      <w:pPr>
        <w:pStyle w:val="Prrafodelista2"/>
        <w:numPr>
          <w:ilvl w:val="0"/>
          <w:numId w:val="23"/>
        </w:numPr>
        <w:tabs>
          <w:tab w:val="left" w:pos="720"/>
        </w:tabs>
        <w:ind w:right="-90"/>
        <w:jc w:val="both"/>
        <w:rPr>
          <w:rFonts w:cs="Helvetica"/>
          <w:color w:val="000000"/>
          <w:lang w:val="es-CR"/>
        </w:rPr>
      </w:pPr>
      <w:r w:rsidRPr="00D13792">
        <w:rPr>
          <w:lang w:val="es-CR"/>
        </w:rPr>
        <w:t xml:space="preserve">Por otra parte, </w:t>
      </w:r>
      <w:r w:rsidRPr="00D13792">
        <w:rPr>
          <w:rFonts w:eastAsia="Batang" w:cs="Cambria"/>
          <w:lang w:val="es-CR"/>
        </w:rPr>
        <w:t xml:space="preserve">de la información aportada por el Estado únicamente se comprueba el </w:t>
      </w:r>
      <w:r w:rsidRPr="00D13792">
        <w:rPr>
          <w:lang w:val="es-CR"/>
        </w:rPr>
        <w:t>pago</w:t>
      </w:r>
      <w:r w:rsidRPr="00D13792">
        <w:rPr>
          <w:rFonts w:eastAsia="Batang" w:cs="Cambria"/>
          <w:lang w:val="es-CR"/>
        </w:rPr>
        <w:t xml:space="preserve"> de algunas </w:t>
      </w:r>
      <w:r w:rsidRPr="00D13792">
        <w:rPr>
          <w:rFonts w:cs="Tahoma"/>
          <w:lang w:val="es-CR"/>
        </w:rPr>
        <w:t>indemnizaciones</w:t>
      </w:r>
      <w:r w:rsidRPr="00D13792">
        <w:rPr>
          <w:rStyle w:val="FootnoteReference"/>
          <w:rFonts w:cs="Tahoma"/>
          <w:lang w:val="es-CR"/>
        </w:rPr>
        <w:footnoteReference w:id="335"/>
      </w:r>
      <w:r w:rsidRPr="00D13792">
        <w:rPr>
          <w:rFonts w:eastAsia="Batang" w:cs="Cambria"/>
          <w:lang w:val="es-CR"/>
        </w:rPr>
        <w:t xml:space="preserve"> a un universo parcial de víctimas por hechos que en su mayoría se encuentran por fuera de la competencia temporal de la Corte, tales como “masacres”, ejecuciones, torturas y violencia sexual</w:t>
      </w:r>
      <w:r w:rsidRPr="00D13792">
        <w:rPr>
          <w:rStyle w:val="FootnoteReference"/>
          <w:rFonts w:eastAsia="Batang" w:cs="Cambria"/>
          <w:lang w:val="es-CR"/>
        </w:rPr>
        <w:footnoteReference w:id="336"/>
      </w:r>
      <w:r w:rsidRPr="00D13792">
        <w:rPr>
          <w:rFonts w:eastAsia="Batang" w:cs="Cambria"/>
          <w:lang w:val="es-CR"/>
        </w:rPr>
        <w:t xml:space="preserve">. Por tanto, no se desprende con claridad la relación </w:t>
      </w:r>
      <w:r w:rsidRPr="00D13792">
        <w:rPr>
          <w:rFonts w:eastAsia="Batang" w:cs="Cambria"/>
          <w:lang w:val="es-CR"/>
        </w:rPr>
        <w:lastRenderedPageBreak/>
        <w:t>de dichas entregas con las violaciones de derechos humanos establecidas en esta Sentencia. Asimismo, en los mencionados finiquitos no se indican los criterios empleados por la Comisión Nacional de Resarcimiento al momento de establecer los montos y conceptos de las indemnizaciones a favor de las víctimas</w:t>
      </w:r>
      <w:r w:rsidRPr="00D13792">
        <w:rPr>
          <w:rStyle w:val="FootnoteReference"/>
          <w:rFonts w:eastAsia="Batang" w:cs="Cambria"/>
          <w:lang w:val="es-CR"/>
        </w:rPr>
        <w:footnoteReference w:id="337"/>
      </w:r>
      <w:r w:rsidRPr="00D13792">
        <w:rPr>
          <w:rFonts w:eastAsia="Batang" w:cs="Cambria"/>
          <w:lang w:val="es-CR"/>
        </w:rPr>
        <w:t xml:space="preserve">. </w:t>
      </w:r>
      <w:r w:rsidRPr="00D13792">
        <w:rPr>
          <w:rFonts w:eastAsia="Batang" w:cs="Times"/>
          <w:lang w:val="es-CR"/>
        </w:rPr>
        <w:t>En vista de lo anterior, la Corte considera que el Estado no ha comprobado que se haya reparado a las víctimas del presente caso de manera integral por los daños derivados de las violaciones de derechos humanos establecidas en esta Sentencia</w:t>
      </w:r>
      <w:r w:rsidRPr="00D13792">
        <w:rPr>
          <w:rFonts w:eastAsia="Batang" w:cs="Cambria"/>
          <w:lang w:val="es-CR"/>
        </w:rPr>
        <w:t xml:space="preserve">. Por otra parte, la Corte nota que el Estado no controvirtió la aseveración de los representantes de que el PNR </w:t>
      </w:r>
      <w:r w:rsidRPr="00D13792">
        <w:rPr>
          <w:rFonts w:eastAsia="Calibri"/>
          <w:lang w:val="es-CR"/>
        </w:rPr>
        <w:t>“ha fijado una cantidad techo para resarcir a las víctimas, no importando el número de víctimas que una familia haya perdido y reportado”</w:t>
      </w:r>
      <w:r w:rsidRPr="00D13792">
        <w:rPr>
          <w:rStyle w:val="FootnoteReference"/>
          <w:rFonts w:cs="Helvetica"/>
          <w:color w:val="000000"/>
          <w:lang w:val="es-CR"/>
        </w:rPr>
        <w:footnoteReference w:id="338"/>
      </w:r>
      <w:r w:rsidRPr="00D13792">
        <w:rPr>
          <w:rFonts w:eastAsia="Batang" w:cs="Cambria"/>
          <w:lang w:val="es-CR"/>
        </w:rPr>
        <w:t xml:space="preserve">. Tampoco controvirtió lo manifestado en la audiencia por los representantes, en sentido que se cerró la oficina del PNR correspondiente al municipio de Rabinal. Por tanto, existe incertidumbre respecto de la continuidad del Programa en esta zona. </w:t>
      </w:r>
    </w:p>
    <w:p w14:paraId="7DC27B6D" w14:textId="77777777" w:rsidR="006A0E1C" w:rsidRPr="00D13792" w:rsidRDefault="006A0E1C" w:rsidP="006A0E1C">
      <w:pPr>
        <w:keepNext/>
        <w:keepLines/>
        <w:widowControl/>
        <w:tabs>
          <w:tab w:val="left" w:pos="142"/>
        </w:tabs>
        <w:adjustRightInd/>
        <w:spacing w:line="240" w:lineRule="auto"/>
        <w:ind w:left="-709"/>
        <w:contextualSpacing/>
        <w:textAlignment w:val="auto"/>
        <w:outlineLvl w:val="1"/>
        <w:rPr>
          <w:rFonts w:eastAsia="Calibri" w:cs="Cambria"/>
          <w:sz w:val="20"/>
          <w:szCs w:val="20"/>
          <w:lang w:eastAsia="en-US"/>
        </w:rPr>
      </w:pPr>
    </w:p>
    <w:p w14:paraId="29060746" w14:textId="77777777" w:rsidR="006A0E1C" w:rsidRPr="00D13792" w:rsidRDefault="006A0E1C" w:rsidP="006A0E1C">
      <w:pPr>
        <w:pStyle w:val="Prrafodelista2"/>
        <w:numPr>
          <w:ilvl w:val="0"/>
          <w:numId w:val="23"/>
        </w:numPr>
        <w:tabs>
          <w:tab w:val="left" w:pos="720"/>
        </w:tabs>
        <w:ind w:right="-90"/>
        <w:jc w:val="both"/>
        <w:rPr>
          <w:rFonts w:cs="Times"/>
          <w:bCs/>
          <w:lang w:val="es-CR"/>
        </w:rPr>
      </w:pPr>
      <w:r w:rsidRPr="00D13792">
        <w:rPr>
          <w:rFonts w:eastAsia="Batang" w:cs="Times"/>
          <w:lang w:val="es-CR"/>
        </w:rPr>
        <w:t xml:space="preserve">La Corte recuerda que, de conformidad con el artículo 63.1 de la Convención Americana, le corresponde velar por que </w:t>
      </w:r>
      <w:r w:rsidRPr="00D13792">
        <w:rPr>
          <w:rFonts w:cs="Tahoma"/>
          <w:lang w:val="es-CR"/>
        </w:rPr>
        <w:t xml:space="preserve">se reparen las consecuencias de las </w:t>
      </w:r>
      <w:r w:rsidRPr="00D13792">
        <w:rPr>
          <w:rFonts w:eastAsia="Batang" w:cs="Times"/>
          <w:lang w:val="es-CR"/>
        </w:rPr>
        <w:t>violaciones</w:t>
      </w:r>
      <w:r w:rsidRPr="00D13792">
        <w:rPr>
          <w:rFonts w:cs="Tahoma"/>
          <w:lang w:val="es-CR"/>
        </w:rPr>
        <w:t xml:space="preserve"> de los derechos humanos declaradas en esta Sentencia, así como disponer las reparaciones a que hubiera lugar a la parte lesionada, de conformidad con estándares internacionales y su jurisprudencia constante en la materia (</w:t>
      </w:r>
      <w:r w:rsidRPr="00D13792">
        <w:rPr>
          <w:rFonts w:cs="Tahoma"/>
          <w:i/>
          <w:lang w:val="es-CR"/>
        </w:rPr>
        <w:t>supra</w:t>
      </w:r>
      <w:r w:rsidRPr="00D13792">
        <w:rPr>
          <w:rFonts w:cs="Tahoma"/>
          <w:lang w:val="es-CR"/>
        </w:rPr>
        <w:t xml:space="preserve"> párrs. 266, 268 y 272)</w:t>
      </w:r>
      <w:r w:rsidRPr="00D13792">
        <w:rPr>
          <w:rFonts w:eastAsia="Batang" w:cs="Times"/>
          <w:lang w:val="es-CR"/>
        </w:rPr>
        <w:t xml:space="preserve">. En consecuencia, el Tribunal dispondrá las medidas </w:t>
      </w:r>
      <w:r w:rsidRPr="00D13792">
        <w:rPr>
          <w:rFonts w:cs="Tahoma"/>
          <w:lang w:val="es-CR"/>
        </w:rPr>
        <w:t>necesarias</w:t>
      </w:r>
      <w:r w:rsidRPr="00D13792">
        <w:rPr>
          <w:rFonts w:eastAsia="Batang" w:cs="Times"/>
          <w:lang w:val="es-CR"/>
        </w:rPr>
        <w:t xml:space="preserve"> para este propósito</w:t>
      </w:r>
      <w:r w:rsidRPr="00D13792">
        <w:rPr>
          <w:rFonts w:eastAsia="Batang" w:cs="Times"/>
          <w:bCs/>
          <w:lang w:val="es-CR"/>
        </w:rPr>
        <w:t>.</w:t>
      </w:r>
      <w:r w:rsidRPr="00D13792">
        <w:rPr>
          <w:rFonts w:eastAsia="Batang" w:cs="Times"/>
          <w:lang w:val="es-CR"/>
        </w:rPr>
        <w:t xml:space="preserve"> Sin perjuicio de ello, las medidas de </w:t>
      </w:r>
      <w:r w:rsidRPr="00D13792">
        <w:rPr>
          <w:rFonts w:eastAsia="Batang" w:cs="Cambria"/>
          <w:lang w:val="es-CR"/>
        </w:rPr>
        <w:t xml:space="preserve">reparación </w:t>
      </w:r>
      <w:r w:rsidRPr="00D13792">
        <w:rPr>
          <w:rFonts w:eastAsia="Batang" w:cs="Times"/>
          <w:lang w:val="es-CR"/>
        </w:rPr>
        <w:t xml:space="preserve">que ya han sido entregadas a víctimas del presente caso a nivel interno a través del PNR por las violaciones declaradas en esta Sentencia, cuando corresponda, deben ser reconocidas como parte de la reparación debida a estas y serán tomadas en cuenta. </w:t>
      </w:r>
    </w:p>
    <w:p w14:paraId="6751D9E0" w14:textId="77777777" w:rsidR="006A0E1C" w:rsidRPr="00D13792" w:rsidRDefault="006A0E1C" w:rsidP="006A0E1C">
      <w:pPr>
        <w:keepNext/>
        <w:keepLines/>
        <w:widowControl/>
        <w:tabs>
          <w:tab w:val="left" w:pos="360"/>
        </w:tabs>
        <w:adjustRightInd/>
        <w:spacing w:line="240" w:lineRule="auto"/>
        <w:ind w:left="360"/>
        <w:contextualSpacing/>
        <w:textAlignment w:val="auto"/>
        <w:outlineLvl w:val="1"/>
        <w:rPr>
          <w:rFonts w:eastAsia="MS Mincho"/>
          <w:b/>
          <w:bCs/>
          <w:sz w:val="20"/>
          <w:szCs w:val="20"/>
          <w:lang w:eastAsia="en-US"/>
        </w:rPr>
      </w:pPr>
    </w:p>
    <w:p w14:paraId="4A205139" w14:textId="77777777" w:rsidR="006A0E1C" w:rsidRPr="00D13792" w:rsidRDefault="006A0E1C" w:rsidP="006A0E1C">
      <w:pPr>
        <w:pStyle w:val="Heading2"/>
        <w:rPr>
          <w:rFonts w:eastAsia="MS Mincho"/>
          <w:lang w:val="es-CR"/>
        </w:rPr>
      </w:pPr>
      <w:bookmarkStart w:id="250" w:name="_Toc455631239"/>
      <w:bookmarkStart w:id="251" w:name="_Toc469670065"/>
      <w:r w:rsidRPr="00D13792">
        <w:rPr>
          <w:rFonts w:eastAsia="MS Mincho"/>
          <w:lang w:val="es-CR"/>
        </w:rPr>
        <w:t xml:space="preserve">C. Obligación de investigar los hechos e identificar, juzgar y, en su caso, sancionar a los responsables, así como </w:t>
      </w:r>
      <w:bookmarkEnd w:id="249"/>
      <w:r w:rsidRPr="00D13792">
        <w:rPr>
          <w:rFonts w:eastAsia="MS Mincho"/>
          <w:lang w:val="es-CR"/>
        </w:rPr>
        <w:t>de determinar el paradero de las víctimas desaparecidas, y recuperar e identificar las personas inhumadas en fosas clandestinas</w:t>
      </w:r>
      <w:bookmarkEnd w:id="250"/>
      <w:bookmarkEnd w:id="251"/>
    </w:p>
    <w:p w14:paraId="54D8D24B" w14:textId="77777777" w:rsidR="006A0E1C" w:rsidRPr="00D13792" w:rsidRDefault="006A0E1C" w:rsidP="006A0E1C">
      <w:pPr>
        <w:widowControl/>
        <w:adjustRightInd/>
        <w:spacing w:line="240" w:lineRule="auto"/>
        <w:ind w:left="720"/>
        <w:contextualSpacing/>
        <w:textAlignment w:val="auto"/>
        <w:rPr>
          <w:rFonts w:eastAsia="MS Mincho"/>
          <w:b/>
          <w:bCs/>
          <w:sz w:val="20"/>
          <w:szCs w:val="20"/>
          <w:lang w:eastAsia="en-US"/>
        </w:rPr>
      </w:pPr>
    </w:p>
    <w:p w14:paraId="1D08783E" w14:textId="77777777" w:rsidR="006A0E1C" w:rsidRPr="00D13792" w:rsidRDefault="006A0E1C" w:rsidP="006A0E1C">
      <w:pPr>
        <w:widowControl/>
        <w:tabs>
          <w:tab w:val="left" w:pos="720"/>
        </w:tabs>
        <w:adjustRightInd/>
        <w:spacing w:line="240" w:lineRule="auto"/>
        <w:textAlignment w:val="auto"/>
        <w:rPr>
          <w:rFonts w:eastAsia="Batang" w:cs="Verdana"/>
          <w:b/>
          <w:i/>
          <w:sz w:val="20"/>
          <w:szCs w:val="20"/>
          <w:lang w:eastAsia="en-US"/>
        </w:rPr>
      </w:pPr>
      <w:r w:rsidRPr="00D13792">
        <w:rPr>
          <w:rFonts w:eastAsia="Batang" w:cs="Verdana"/>
          <w:b/>
          <w:i/>
          <w:sz w:val="20"/>
          <w:szCs w:val="20"/>
          <w:lang w:eastAsia="en-US"/>
        </w:rPr>
        <w:t>C.1. Investigación completa, determinación, enjuiciamiento y eventual sanción de los responsables materiales e intelectuales</w:t>
      </w:r>
    </w:p>
    <w:p w14:paraId="68F992B3" w14:textId="77777777" w:rsidR="006A0E1C" w:rsidRPr="00D13792" w:rsidRDefault="006A0E1C" w:rsidP="006A0E1C">
      <w:pPr>
        <w:tabs>
          <w:tab w:val="left" w:pos="720"/>
          <w:tab w:val="left" w:pos="216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20"/>
          <w:szCs w:val="20"/>
          <w:lang w:eastAsia="en-US"/>
        </w:rPr>
      </w:pPr>
    </w:p>
    <w:p w14:paraId="497DD55D" w14:textId="77777777" w:rsidR="006A0E1C" w:rsidRPr="00D13792" w:rsidRDefault="006A0E1C" w:rsidP="006A0E1C">
      <w:pPr>
        <w:pStyle w:val="Prrafodelista2"/>
        <w:numPr>
          <w:ilvl w:val="0"/>
          <w:numId w:val="23"/>
        </w:numPr>
        <w:tabs>
          <w:tab w:val="left" w:pos="720"/>
        </w:tabs>
        <w:ind w:right="-90"/>
        <w:jc w:val="both"/>
        <w:rPr>
          <w:rFonts w:eastAsia="Batang" w:cs="Arial"/>
          <w:lang w:val="es-CR"/>
        </w:rPr>
      </w:pPr>
      <w:r w:rsidRPr="00D13792">
        <w:rPr>
          <w:rFonts w:cs="Times"/>
          <w:lang w:val="es-CR"/>
        </w:rPr>
        <w:t xml:space="preserve">La </w:t>
      </w:r>
      <w:r w:rsidRPr="00D13792">
        <w:rPr>
          <w:rFonts w:cs="Times"/>
          <w:b/>
          <w:i/>
          <w:lang w:val="es-CR"/>
        </w:rPr>
        <w:t>Comisión</w:t>
      </w:r>
      <w:r w:rsidRPr="00D13792">
        <w:rPr>
          <w:rFonts w:cs="Times"/>
          <w:lang w:val="es-CR"/>
        </w:rPr>
        <w:t xml:space="preserve"> solicitó a la Corte que ordene al Estado</w:t>
      </w:r>
      <w:r w:rsidRPr="00D13792">
        <w:rPr>
          <w:rFonts w:eastAsia="Batang" w:cs="Arial"/>
          <w:lang w:val="es-CR"/>
        </w:rPr>
        <w:t xml:space="preserve"> llevar a cabo, concluir y reabrir, según corresponda, los </w:t>
      </w:r>
      <w:r w:rsidRPr="00D13792">
        <w:rPr>
          <w:lang w:val="es-CR"/>
        </w:rPr>
        <w:t>procedimientos</w:t>
      </w:r>
      <w:r w:rsidRPr="00D13792">
        <w:rPr>
          <w:rFonts w:eastAsia="Batang" w:cs="Arial"/>
          <w:lang w:val="es-CR"/>
        </w:rPr>
        <w:t xml:space="preserve"> internos relacionados con las violaciones de derechos humanos </w:t>
      </w:r>
      <w:r w:rsidRPr="00D13792">
        <w:rPr>
          <w:lang w:val="es-CR"/>
        </w:rPr>
        <w:t>declaradas</w:t>
      </w:r>
      <w:r w:rsidRPr="00D13792">
        <w:rPr>
          <w:rFonts w:eastAsia="Batang" w:cs="Arial"/>
          <w:lang w:val="es-CR"/>
        </w:rPr>
        <w:t xml:space="preserve"> en el Informe de Fondo y conducir las investigaciones de manera </w:t>
      </w:r>
      <w:r w:rsidRPr="00D13792">
        <w:rPr>
          <w:rFonts w:cs="Tahoma"/>
          <w:lang w:val="es-CR"/>
        </w:rPr>
        <w:t>imparcial</w:t>
      </w:r>
      <w:r w:rsidRPr="00D13792">
        <w:rPr>
          <w:rFonts w:eastAsia="Batang" w:cs="Arial"/>
          <w:lang w:val="es-CR"/>
        </w:rPr>
        <w:t xml:space="preserve">, efectiva y </w:t>
      </w:r>
      <w:r w:rsidRPr="00D13792">
        <w:rPr>
          <w:rFonts w:eastAsia="Batang" w:cs="Times"/>
          <w:lang w:val="es-CR"/>
        </w:rPr>
        <w:t>dentro</w:t>
      </w:r>
      <w:r w:rsidRPr="00D13792">
        <w:rPr>
          <w:rFonts w:eastAsia="Batang" w:cs="Arial"/>
          <w:lang w:val="es-CR"/>
        </w:rPr>
        <w:t xml:space="preserve"> de un plazo razonable con el objeto de esclarecer hechos en forma completa, identificar a los autores intelectuales y materiales e imponer las sanciones que correspondan.</w:t>
      </w:r>
      <w:r w:rsidRPr="00D13792">
        <w:rPr>
          <w:rFonts w:eastAsia="Batang" w:cs="Arial"/>
          <w:b/>
          <w:lang w:val="es-CR"/>
        </w:rPr>
        <w:t xml:space="preserve"> </w:t>
      </w:r>
      <w:r w:rsidRPr="00D13792">
        <w:rPr>
          <w:rFonts w:eastAsia="Batang" w:cs="Arial"/>
          <w:lang w:val="es-CR"/>
        </w:rPr>
        <w:t>Asimismo,</w:t>
      </w:r>
      <w:r w:rsidRPr="00D13792">
        <w:rPr>
          <w:rFonts w:cs="Times"/>
          <w:lang w:val="es-CR"/>
        </w:rPr>
        <w:t xml:space="preserve"> solicitó que el Estado disponga</w:t>
      </w:r>
      <w:r w:rsidRPr="00D13792">
        <w:rPr>
          <w:rFonts w:eastAsia="Batang" w:cs="Arial"/>
          <w:lang w:val="es-CR"/>
        </w:rPr>
        <w:t xml:space="preserve"> las medidas </w:t>
      </w:r>
      <w:r w:rsidRPr="00D13792">
        <w:rPr>
          <w:lang w:val="es-CR"/>
        </w:rPr>
        <w:t>administrativas</w:t>
      </w:r>
      <w:r w:rsidRPr="00D13792">
        <w:rPr>
          <w:rFonts w:eastAsia="Batang" w:cs="Arial"/>
          <w:lang w:val="es-CR"/>
        </w:rPr>
        <w:t xml:space="preserve">, disciplinarias o penales correspondientes frente a las acciones u omisiones de los funcionarios estatales que han contribuido a la </w:t>
      </w:r>
      <w:r w:rsidRPr="00D13792">
        <w:rPr>
          <w:rFonts w:eastAsia="Batang" w:cs="Times"/>
          <w:lang w:val="es-CR"/>
        </w:rPr>
        <w:t>denegación</w:t>
      </w:r>
      <w:r w:rsidRPr="00D13792">
        <w:rPr>
          <w:rFonts w:eastAsia="Batang" w:cs="Arial"/>
          <w:lang w:val="es-CR"/>
        </w:rPr>
        <w:t xml:space="preserve"> de justicia </w:t>
      </w:r>
      <w:r w:rsidRPr="00D13792">
        <w:rPr>
          <w:rFonts w:eastAsia="Calibri"/>
          <w:lang w:val="es-CR"/>
        </w:rPr>
        <w:t>e impunidad en la que se encuentran los hechos del caso o que participaron en medidas para</w:t>
      </w:r>
      <w:r w:rsidRPr="00D13792">
        <w:rPr>
          <w:rFonts w:eastAsia="Batang" w:cs="Arial"/>
          <w:lang w:val="es-CR"/>
        </w:rPr>
        <w:t xml:space="preserve"> </w:t>
      </w:r>
      <w:r w:rsidRPr="00D13792">
        <w:rPr>
          <w:rFonts w:eastAsia="Calibri"/>
          <w:lang w:val="es-CR"/>
        </w:rPr>
        <w:t>obstaculizar los procesos destinados a identificar y sancionar a los responsables</w:t>
      </w:r>
      <w:r w:rsidRPr="00D13792">
        <w:rPr>
          <w:rFonts w:eastAsia="Batang" w:cs="Arial"/>
          <w:lang w:val="es-CR"/>
        </w:rPr>
        <w:t>.</w:t>
      </w:r>
    </w:p>
    <w:p w14:paraId="7B6F1FAE" w14:textId="77777777" w:rsidR="006A0E1C" w:rsidRPr="00D13792" w:rsidRDefault="006A0E1C" w:rsidP="006A0E1C">
      <w:pPr>
        <w:widowControl/>
        <w:autoSpaceDE w:val="0"/>
        <w:autoSpaceDN w:val="0"/>
        <w:spacing w:line="240" w:lineRule="auto"/>
        <w:contextualSpacing/>
        <w:textAlignment w:val="auto"/>
        <w:rPr>
          <w:rFonts w:eastAsia="Calibri" w:cs="Arial"/>
          <w:b/>
          <w:sz w:val="20"/>
          <w:szCs w:val="20"/>
          <w:lang w:eastAsia="en-US"/>
        </w:rPr>
      </w:pPr>
    </w:p>
    <w:p w14:paraId="711F60AD" w14:textId="77777777" w:rsidR="006A0E1C" w:rsidRPr="00D13792" w:rsidRDefault="006A0E1C" w:rsidP="006A0E1C">
      <w:pPr>
        <w:pStyle w:val="Prrafodelista2"/>
        <w:numPr>
          <w:ilvl w:val="0"/>
          <w:numId w:val="23"/>
        </w:numPr>
        <w:tabs>
          <w:tab w:val="left" w:pos="720"/>
        </w:tabs>
        <w:ind w:right="-90"/>
        <w:jc w:val="both"/>
        <w:rPr>
          <w:rFonts w:eastAsia="Batang" w:cs="Arial"/>
          <w:b/>
          <w:lang w:val="es-CR"/>
        </w:rPr>
      </w:pPr>
      <w:r w:rsidRPr="00D13792">
        <w:rPr>
          <w:rFonts w:cs="Arial"/>
          <w:lang w:val="es-CR"/>
        </w:rPr>
        <w:t xml:space="preserve">Los </w:t>
      </w:r>
      <w:r w:rsidRPr="00D13792">
        <w:rPr>
          <w:rFonts w:cs="Arial"/>
          <w:b/>
          <w:i/>
          <w:lang w:val="es-CR"/>
        </w:rPr>
        <w:t>representantes</w:t>
      </w:r>
      <w:r w:rsidRPr="00D13792">
        <w:rPr>
          <w:rFonts w:cs="Arial"/>
          <w:lang w:val="es-CR"/>
        </w:rPr>
        <w:t xml:space="preserve"> </w:t>
      </w:r>
      <w:r w:rsidRPr="00D13792">
        <w:rPr>
          <w:rFonts w:cs="Tahoma"/>
          <w:lang w:val="es-CR"/>
        </w:rPr>
        <w:t>solicitaron</w:t>
      </w:r>
      <w:r w:rsidRPr="00D13792">
        <w:rPr>
          <w:rFonts w:cs="Arial"/>
          <w:lang w:val="es-CR"/>
        </w:rPr>
        <w:t xml:space="preserve"> a la Corte que ordene al Estado</w:t>
      </w:r>
      <w:r w:rsidRPr="00D13792">
        <w:rPr>
          <w:rFonts w:eastAsia="Batang" w:cs="Calibri"/>
          <w:lang w:val="es-CR"/>
        </w:rPr>
        <w:t xml:space="preserve"> realizar las averiguaciones necesarias y completas sobre los hechos examinados, basándose en líneas de investigación lógicas y de conformidad con los criterios establecidos en la jurisprudencia de la Corte en relación con violaciones graves de derechos humanos</w:t>
      </w:r>
      <w:r w:rsidRPr="00D13792">
        <w:rPr>
          <w:rFonts w:eastAsia="Calibri" w:cs="Calibri"/>
          <w:lang w:val="es-CR"/>
        </w:rPr>
        <w:t xml:space="preserve">, incluyendo desapariciones forzadas, </w:t>
      </w:r>
      <w:r w:rsidRPr="00D13792">
        <w:rPr>
          <w:rFonts w:eastAsia="Calibri" w:cs="Calibri"/>
          <w:lang w:val="es-CR"/>
        </w:rPr>
        <w:lastRenderedPageBreak/>
        <w:t>ejecuciones extrajudiciales y torturas</w:t>
      </w:r>
      <w:r w:rsidRPr="00D13792">
        <w:rPr>
          <w:rFonts w:eastAsia="Batang" w:cs="Calibri"/>
          <w:lang w:val="es-CR"/>
        </w:rPr>
        <w:t>.</w:t>
      </w:r>
      <w:r w:rsidRPr="00D13792" w:rsidDel="00202D8A">
        <w:rPr>
          <w:rFonts w:eastAsia="Batang" w:cs="Calibri"/>
          <w:lang w:val="es-CR"/>
        </w:rPr>
        <w:t xml:space="preserve"> </w:t>
      </w:r>
      <w:r w:rsidRPr="00D13792">
        <w:rPr>
          <w:rFonts w:eastAsia="Batang" w:cs="Calibri"/>
          <w:lang w:val="es-CR"/>
        </w:rPr>
        <w:t>En la audiencia pública solicitaron, en particular, la “persecución” de la desaparición forzada y las alegadas torturas, violaciones sexuales, genocidio, crímenes de lesa humanidad y crímenes de guerra.</w:t>
      </w:r>
    </w:p>
    <w:p w14:paraId="5BCCC076" w14:textId="77777777" w:rsidR="006A0E1C" w:rsidRPr="00D13792" w:rsidRDefault="006A0E1C" w:rsidP="006A0E1C">
      <w:pPr>
        <w:widowControl/>
        <w:autoSpaceDE w:val="0"/>
        <w:autoSpaceDN w:val="0"/>
        <w:spacing w:line="240" w:lineRule="auto"/>
        <w:contextualSpacing/>
        <w:textAlignment w:val="auto"/>
        <w:rPr>
          <w:rFonts w:eastAsia="Calibri" w:cs="Arial"/>
          <w:b/>
          <w:sz w:val="20"/>
          <w:szCs w:val="20"/>
          <w:lang w:eastAsia="en-US"/>
        </w:rPr>
      </w:pPr>
    </w:p>
    <w:p w14:paraId="59005332" w14:textId="77777777" w:rsidR="006A0E1C" w:rsidRPr="00D13792" w:rsidRDefault="006A0E1C" w:rsidP="006A0E1C">
      <w:pPr>
        <w:pStyle w:val="Prrafodelista2"/>
        <w:numPr>
          <w:ilvl w:val="0"/>
          <w:numId w:val="23"/>
        </w:numPr>
        <w:tabs>
          <w:tab w:val="left" w:pos="720"/>
        </w:tabs>
        <w:ind w:right="-90"/>
        <w:jc w:val="both"/>
        <w:rPr>
          <w:rFonts w:eastAsia="Batang" w:cs="Arial"/>
          <w:b/>
          <w:lang w:val="es-CR"/>
        </w:rPr>
      </w:pPr>
      <w:r w:rsidRPr="00D13792">
        <w:rPr>
          <w:rFonts w:eastAsia="Batang" w:cs="Times"/>
          <w:lang w:val="es-CR"/>
        </w:rPr>
        <w:t xml:space="preserve">El </w:t>
      </w:r>
      <w:r w:rsidRPr="00D13792">
        <w:rPr>
          <w:rFonts w:eastAsia="Batang" w:cs="Times"/>
          <w:b/>
          <w:i/>
          <w:lang w:val="es-CR"/>
        </w:rPr>
        <w:t>Estado</w:t>
      </w:r>
      <w:r w:rsidRPr="00D13792">
        <w:rPr>
          <w:rFonts w:eastAsia="Batang" w:cs="Times"/>
          <w:lang w:val="es-CR"/>
        </w:rPr>
        <w:t xml:space="preserve"> señaló que en ningún momento se ha negado a continuar con las investigaciones de los hechos. Manifestó que esto debe entenderse en observancia a que el Ejército y la guerrilla pactaron que no habría persecución penal para ninguno de los dos bandos implicados, por los hechos cometidos por cada uno durante el enfrentamiento armado interno, esto con el objetivo de lograr la firma de la paz en Guatemala en 1996. Según el Estado, el Ministerio Público continúa realizando la investigación de los hechos, pero si logra determinar que alguno de los hechos se enmarca dentro de los supuestos contemplados en la Ley de Reconciliación Nacional, no se podría perseguir penalmente a los miembros de la </w:t>
      </w:r>
      <w:r w:rsidRPr="00D13792">
        <w:rPr>
          <w:lang w:val="es-CR"/>
        </w:rPr>
        <w:t>guerrilla</w:t>
      </w:r>
      <w:r w:rsidRPr="00D13792">
        <w:rPr>
          <w:rFonts w:eastAsia="Batang" w:cs="Times"/>
          <w:lang w:val="es-CR"/>
        </w:rPr>
        <w:t xml:space="preserve"> o del Ejército. Asimismo, valoró las recomendaciones realizadas, resaltando que las mismas pueden orientar a los jueces para la interpretación y aplicación de la ley, pero aclaró que no debe ignorar la aplicación y vigencia de las leyes nacionales, que tienen consideraciones relativas a garantías procesales y causas de extinción de la responsabilidad penal, cuya modificación o derogación corresponde con exclusividad al Congreso de la República de Guatemala.</w:t>
      </w:r>
      <w:r w:rsidRPr="00D13792">
        <w:rPr>
          <w:rFonts w:eastAsia="Batang" w:cs="Times"/>
          <w:b/>
          <w:lang w:val="es-CR"/>
        </w:rPr>
        <w:t xml:space="preserve"> </w:t>
      </w:r>
      <w:r w:rsidRPr="00D13792">
        <w:rPr>
          <w:rFonts w:eastAsia="Batang" w:cs="Times"/>
          <w:lang w:val="es-CR"/>
        </w:rPr>
        <w:t>Finalmente, el</w:t>
      </w:r>
      <w:r w:rsidRPr="00D13792">
        <w:rPr>
          <w:rFonts w:eastAsia="Batang" w:cs="Times"/>
          <w:b/>
          <w:i/>
          <w:lang w:val="es-CR"/>
        </w:rPr>
        <w:t xml:space="preserve"> </w:t>
      </w:r>
      <w:r w:rsidRPr="00D13792">
        <w:rPr>
          <w:rFonts w:eastAsia="Batang" w:cs="Times"/>
          <w:lang w:val="es-CR"/>
        </w:rPr>
        <w:t xml:space="preserve">Estado sostuvo que dispone de medidas administrativas, disciplinarias y penales para la investigación y sanción de empleados y funcionarios públicos en el desempeño de sus funciones, sin embargo, “no puede someter a </w:t>
      </w:r>
      <w:r w:rsidRPr="00D13792">
        <w:rPr>
          <w:rFonts w:cs="Tahoma"/>
          <w:lang w:val="es-CR"/>
        </w:rPr>
        <w:t>ningún</w:t>
      </w:r>
      <w:r w:rsidRPr="00D13792">
        <w:rPr>
          <w:rFonts w:eastAsia="Batang" w:cs="Times"/>
          <w:lang w:val="es-CR"/>
        </w:rPr>
        <w:t xml:space="preserve"> empleado o funcionario a medidas disciplinarias sin que exista una acusación directa y concreta”.</w:t>
      </w:r>
    </w:p>
    <w:p w14:paraId="7C848751" w14:textId="77777777" w:rsidR="006A0E1C" w:rsidRPr="00D13792" w:rsidRDefault="006A0E1C" w:rsidP="006A0E1C">
      <w:pPr>
        <w:widowControl/>
        <w:adjustRightInd/>
        <w:spacing w:line="240" w:lineRule="auto"/>
        <w:ind w:left="720"/>
        <w:contextualSpacing/>
        <w:textAlignment w:val="auto"/>
        <w:rPr>
          <w:rFonts w:eastAsia="Calibri" w:cs="Arial"/>
          <w:b/>
          <w:sz w:val="20"/>
          <w:szCs w:val="20"/>
          <w:lang w:eastAsia="en-US"/>
        </w:rPr>
      </w:pPr>
    </w:p>
    <w:p w14:paraId="03482CAF" w14:textId="77777777" w:rsidR="006A0E1C" w:rsidRPr="00D13792" w:rsidRDefault="006A0E1C" w:rsidP="006A0E1C">
      <w:pPr>
        <w:pStyle w:val="Prrafodelista2"/>
        <w:numPr>
          <w:ilvl w:val="0"/>
          <w:numId w:val="23"/>
        </w:numPr>
        <w:tabs>
          <w:tab w:val="left" w:pos="720"/>
          <w:tab w:val="left" w:pos="9090"/>
        </w:tabs>
        <w:ind w:right="-90"/>
        <w:jc w:val="both"/>
        <w:rPr>
          <w:rFonts w:eastAsia="Batang" w:cs="Times"/>
          <w:lang w:val="es-CR"/>
        </w:rPr>
      </w:pPr>
      <w:r w:rsidRPr="00D13792">
        <w:rPr>
          <w:rFonts w:eastAsia="Batang" w:cs="Verdana"/>
          <w:lang w:val="es-CR"/>
        </w:rPr>
        <w:t>La</w:t>
      </w:r>
      <w:r w:rsidRPr="00D13792">
        <w:rPr>
          <w:rFonts w:eastAsia="Batang" w:cs="Verdana"/>
          <w:i/>
          <w:lang w:val="es-CR"/>
        </w:rPr>
        <w:t xml:space="preserve"> </w:t>
      </w:r>
      <w:r w:rsidRPr="00D13792">
        <w:rPr>
          <w:rFonts w:eastAsia="Batang" w:cs="Verdana"/>
          <w:b/>
          <w:i/>
          <w:lang w:val="es-CR"/>
        </w:rPr>
        <w:t>Corte</w:t>
      </w:r>
      <w:r w:rsidRPr="00D13792">
        <w:rPr>
          <w:rFonts w:eastAsia="Batang" w:cs="Arial"/>
          <w:lang w:val="es-CR"/>
        </w:rPr>
        <w:t xml:space="preserve"> valora la disposición del Estado de promover las investigaciones penales del presente caso. No obstante, </w:t>
      </w:r>
      <w:r w:rsidRPr="00D13792">
        <w:rPr>
          <w:lang w:val="es-CR"/>
        </w:rPr>
        <w:t>teniendo</w:t>
      </w:r>
      <w:r w:rsidRPr="00D13792">
        <w:rPr>
          <w:rFonts w:eastAsia="Batang" w:cs="Times"/>
          <w:lang w:val="es-CR"/>
        </w:rPr>
        <w:t xml:space="preserve"> en cuenta las conclusiones señaladas en el Capítulo IX.III de esta Sentencia, el Tribunal dispone que el Estado debe remover todos los obstáculos, </w:t>
      </w:r>
      <w:r w:rsidRPr="00D13792">
        <w:rPr>
          <w:rFonts w:eastAsia="Batang" w:cs="Times"/>
          <w:i/>
          <w:iCs/>
          <w:lang w:val="es-CR"/>
        </w:rPr>
        <w:t>de facto</w:t>
      </w:r>
      <w:r w:rsidRPr="00D13792">
        <w:rPr>
          <w:rFonts w:eastAsia="Batang" w:cs="Times"/>
          <w:iCs/>
          <w:lang w:val="es-CR"/>
        </w:rPr>
        <w:t xml:space="preserve"> y </w:t>
      </w:r>
      <w:r w:rsidRPr="00D13792">
        <w:rPr>
          <w:rFonts w:eastAsia="Batang" w:cs="Times"/>
          <w:i/>
          <w:iCs/>
          <w:lang w:val="es-CR"/>
        </w:rPr>
        <w:t>de jure</w:t>
      </w:r>
      <w:r w:rsidRPr="00D13792">
        <w:rPr>
          <w:rFonts w:eastAsia="Batang" w:cs="Times"/>
          <w:lang w:val="es-CR"/>
        </w:rPr>
        <w:t xml:space="preserve">, que mantienen la impunidad en este caso, e iniciar, continuar, impulsar y/o reabrir las investigaciones que sean necesarias para </w:t>
      </w:r>
      <w:r w:rsidRPr="00D13792">
        <w:rPr>
          <w:lang w:val="es-CR"/>
        </w:rPr>
        <w:t xml:space="preserve">individualizar, juzgar </w:t>
      </w:r>
      <w:r w:rsidRPr="00D13792">
        <w:rPr>
          <w:rFonts w:eastAsia="Batang" w:cs="Times"/>
          <w:lang w:val="es-CR"/>
        </w:rPr>
        <w:t xml:space="preserve">y, en su caso, sancionar a los responsables de </w:t>
      </w:r>
      <w:r w:rsidRPr="00370D5D">
        <w:rPr>
          <w:rFonts w:eastAsia="Batang" w:cs="Times"/>
          <w:lang w:val="es-CR"/>
        </w:rPr>
        <w:t xml:space="preserve">las violaciones de los derechos humanos </w:t>
      </w:r>
      <w:r w:rsidRPr="00D13792">
        <w:rPr>
          <w:rFonts w:eastAsia="Batang" w:cs="Times"/>
          <w:lang w:val="es-CR"/>
        </w:rPr>
        <w:t xml:space="preserve">objeto </w:t>
      </w:r>
      <w:r w:rsidRPr="00D13792">
        <w:rPr>
          <w:rFonts w:cs="Tahoma"/>
          <w:lang w:val="es-CR"/>
        </w:rPr>
        <w:t>del</w:t>
      </w:r>
      <w:r w:rsidRPr="00D13792">
        <w:rPr>
          <w:rFonts w:eastAsia="Batang" w:cs="Times"/>
          <w:lang w:val="es-CR"/>
        </w:rPr>
        <w:t xml:space="preserve"> presente caso. El Estado debe impulsar, reabrir, dirigir, continuar y concluir las investigaciones y procesos pertinentes, según corresponda, en un plazo razonable, con el fin de establecer la verdad de los hechos, tomando en cuenta que han transcurrido entre 30 y 35 años desde que sucedieron. </w:t>
      </w:r>
      <w:r w:rsidRPr="00D13792">
        <w:rPr>
          <w:rFonts w:eastAsia="Batang" w:cs="Verdana"/>
          <w:lang w:val="es-CR"/>
        </w:rPr>
        <w:t>En particular, el Estado deberá</w:t>
      </w:r>
      <w:r w:rsidRPr="00D13792">
        <w:rPr>
          <w:rFonts w:eastAsia="Batang" w:cs="Times"/>
          <w:lang w:val="es-CR"/>
        </w:rPr>
        <w:t xml:space="preserve"> velar por que se observen los siguientes criterios</w:t>
      </w:r>
      <w:r w:rsidRPr="00D13792">
        <w:rPr>
          <w:rFonts w:eastAsia="Batang" w:cs="Verdana"/>
          <w:lang w:val="es-CR"/>
        </w:rPr>
        <w:t>:</w:t>
      </w:r>
    </w:p>
    <w:p w14:paraId="02E6EB9A"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20"/>
          <w:szCs w:val="20"/>
        </w:rPr>
      </w:pPr>
    </w:p>
    <w:p w14:paraId="6FE924FF" w14:textId="77777777" w:rsidR="006A0E1C" w:rsidRPr="00D13792" w:rsidRDefault="006A0E1C" w:rsidP="006A0E1C">
      <w:pPr>
        <w:widowControl/>
        <w:numPr>
          <w:ilvl w:val="0"/>
          <w:numId w:val="10"/>
        </w:numPr>
        <w:adjustRightInd/>
        <w:spacing w:line="240" w:lineRule="auto"/>
        <w:ind w:right="99" w:firstLine="0"/>
        <w:textAlignment w:val="auto"/>
        <w:rPr>
          <w:rFonts w:eastAsia="Batang" w:cs="Arial"/>
          <w:sz w:val="20"/>
          <w:szCs w:val="20"/>
          <w:lang w:eastAsia="en-US"/>
        </w:rPr>
      </w:pPr>
      <w:r w:rsidRPr="00D13792">
        <w:rPr>
          <w:rFonts w:eastAsia="Batang" w:cs="Arial"/>
          <w:sz w:val="20"/>
          <w:szCs w:val="20"/>
          <w:lang w:eastAsia="en-US"/>
        </w:rPr>
        <w:t>en consideración de la gravedad de los hechos, no podrá aplicar leyes de amnistía ni disposiciones de prescripción, ni esgrimir pretendidas excluyentes de responsabilidad, que en realidad sean pretexto para impedir la investigación;</w:t>
      </w:r>
    </w:p>
    <w:p w14:paraId="5E3D485C" w14:textId="77777777" w:rsidR="006A0E1C" w:rsidRPr="00D13792" w:rsidRDefault="006A0E1C" w:rsidP="006A0E1C">
      <w:pPr>
        <w:widowControl/>
        <w:tabs>
          <w:tab w:val="num" w:pos="720"/>
        </w:tabs>
        <w:adjustRightInd/>
        <w:spacing w:line="240" w:lineRule="auto"/>
        <w:ind w:left="720" w:right="99"/>
        <w:textAlignment w:val="auto"/>
        <w:rPr>
          <w:rFonts w:eastAsia="Batang" w:cs="Arial"/>
          <w:sz w:val="20"/>
          <w:szCs w:val="20"/>
          <w:lang w:eastAsia="en-US"/>
        </w:rPr>
      </w:pPr>
    </w:p>
    <w:p w14:paraId="700DE230" w14:textId="77777777" w:rsidR="006A0E1C" w:rsidRPr="00D13792" w:rsidRDefault="006A0E1C" w:rsidP="006A0E1C">
      <w:pPr>
        <w:widowControl/>
        <w:numPr>
          <w:ilvl w:val="0"/>
          <w:numId w:val="10"/>
        </w:numPr>
        <w:adjustRightInd/>
        <w:spacing w:line="240" w:lineRule="auto"/>
        <w:ind w:right="99" w:firstLine="0"/>
        <w:textAlignment w:val="auto"/>
        <w:rPr>
          <w:rFonts w:eastAsia="Batang" w:cs="Arial"/>
          <w:sz w:val="20"/>
          <w:szCs w:val="20"/>
          <w:lang w:eastAsia="en-US"/>
        </w:rPr>
      </w:pPr>
      <w:r w:rsidRPr="00D13792">
        <w:rPr>
          <w:rFonts w:eastAsia="Batang" w:cs="Times"/>
          <w:sz w:val="20"/>
          <w:szCs w:val="20"/>
          <w:lang w:eastAsia="en-US"/>
        </w:rPr>
        <w:t>deberá investigar de oficio y de forma</w:t>
      </w:r>
      <w:r w:rsidRPr="00D13792">
        <w:rPr>
          <w:rFonts w:eastAsia="Batang" w:cs="Arial"/>
          <w:sz w:val="20"/>
          <w:szCs w:val="20"/>
          <w:lang w:eastAsia="en-US"/>
        </w:rPr>
        <w:t xml:space="preserve"> efectiva los hechos del presente caso, tomando en cuenta el patrón sistemático de violaciones graves y masivas de derechos humanos existente en la época en que estos ocurrieron. En particular, debe investigar</w:t>
      </w:r>
      <w:r w:rsidRPr="00D13792">
        <w:rPr>
          <w:rFonts w:eastAsia="Batang" w:cs="Times"/>
          <w:sz w:val="20"/>
          <w:szCs w:val="20"/>
          <w:lang w:eastAsia="en-US"/>
        </w:rPr>
        <w:t xml:space="preserve"> efectivamente </w:t>
      </w:r>
      <w:r w:rsidRPr="00D13792">
        <w:rPr>
          <w:rFonts w:eastAsia="Batang" w:cs="Arial"/>
          <w:sz w:val="20"/>
          <w:szCs w:val="20"/>
          <w:lang w:eastAsia="en-US"/>
        </w:rPr>
        <w:t>las</w:t>
      </w:r>
      <w:r w:rsidRPr="00D13792">
        <w:rPr>
          <w:rFonts w:eastAsia="Batang" w:cs="Times"/>
          <w:sz w:val="20"/>
          <w:szCs w:val="20"/>
          <w:lang w:eastAsia="en-US"/>
        </w:rPr>
        <w:t xml:space="preserve"> desapariciones forzadas y desplazamientos forzosos, las alegadas torturas, ejecuciones extrajudiciales, violaciones sexuales y trabajos forzosos, así como las denuncias de que se cometieron crímenes de lesa humanidad, crímenes de guerra y/o genocidio;</w:t>
      </w:r>
    </w:p>
    <w:p w14:paraId="5FAB3370" w14:textId="77777777" w:rsidR="006A0E1C" w:rsidRPr="00D13792" w:rsidRDefault="006A0E1C" w:rsidP="006A0E1C">
      <w:pPr>
        <w:widowControl/>
        <w:tabs>
          <w:tab w:val="num" w:pos="720"/>
        </w:tabs>
        <w:adjustRightInd/>
        <w:spacing w:line="240" w:lineRule="auto"/>
        <w:ind w:left="720" w:right="99"/>
        <w:textAlignment w:val="auto"/>
        <w:rPr>
          <w:rFonts w:eastAsia="Batang" w:cs="Arial"/>
          <w:sz w:val="20"/>
          <w:szCs w:val="20"/>
          <w:lang w:eastAsia="en-US"/>
        </w:rPr>
      </w:pPr>
    </w:p>
    <w:p w14:paraId="45E12E06" w14:textId="77777777" w:rsidR="006A0E1C" w:rsidRPr="00D13792" w:rsidRDefault="006A0E1C" w:rsidP="006A0E1C">
      <w:pPr>
        <w:widowControl/>
        <w:numPr>
          <w:ilvl w:val="0"/>
          <w:numId w:val="10"/>
        </w:numPr>
        <w:adjustRightInd/>
        <w:spacing w:line="240" w:lineRule="auto"/>
        <w:ind w:right="99" w:firstLine="0"/>
        <w:textAlignment w:val="auto"/>
        <w:rPr>
          <w:rFonts w:eastAsia="Batang" w:cs="Arial"/>
          <w:sz w:val="20"/>
          <w:szCs w:val="20"/>
          <w:lang w:eastAsia="en-US"/>
        </w:rPr>
      </w:pPr>
      <w:r w:rsidRPr="00D13792">
        <w:rPr>
          <w:rFonts w:eastAsia="Batang" w:cs="Arial"/>
          <w:sz w:val="20"/>
          <w:szCs w:val="20"/>
          <w:lang w:eastAsia="en-US"/>
        </w:rPr>
        <w:t xml:space="preserve">deberá determinar la identidad de los presuntos autores materiales e intelectuales de los hechos. La debida diligencia en la investigación implica </w:t>
      </w:r>
      <w:r w:rsidRPr="00D13792">
        <w:rPr>
          <w:rFonts w:eastAsia="Batang" w:cs="Times"/>
          <w:sz w:val="20"/>
          <w:szCs w:val="20"/>
          <w:lang w:eastAsia="en-US"/>
        </w:rPr>
        <w:t>que todas las autoridades estatales están obligadas a colaborar en la recaudación de la prueba, por lo que deberán brindar al juez de la causa toda la información que requiera y abstenerse de actos que impliquen la obstrucción para la marcha del proceso investigativo, y</w:t>
      </w:r>
    </w:p>
    <w:p w14:paraId="6AAF69F4" w14:textId="77777777" w:rsidR="006A0E1C" w:rsidRPr="00D13792" w:rsidRDefault="006A0E1C" w:rsidP="006A0E1C">
      <w:pPr>
        <w:widowControl/>
        <w:tabs>
          <w:tab w:val="num" w:pos="720"/>
        </w:tabs>
        <w:adjustRightInd/>
        <w:spacing w:line="240" w:lineRule="auto"/>
        <w:ind w:left="720" w:right="99"/>
        <w:textAlignment w:val="auto"/>
        <w:rPr>
          <w:rFonts w:eastAsia="Batang" w:cs="Arial"/>
          <w:sz w:val="20"/>
          <w:szCs w:val="20"/>
          <w:lang w:eastAsia="en-US"/>
        </w:rPr>
      </w:pPr>
    </w:p>
    <w:p w14:paraId="6680A44F" w14:textId="77777777" w:rsidR="006A0E1C" w:rsidRPr="00D13792" w:rsidRDefault="006A0E1C" w:rsidP="006A0E1C">
      <w:pPr>
        <w:widowControl/>
        <w:numPr>
          <w:ilvl w:val="0"/>
          <w:numId w:val="10"/>
        </w:numPr>
        <w:adjustRightInd/>
        <w:spacing w:line="240" w:lineRule="auto"/>
        <w:ind w:right="99" w:firstLine="0"/>
        <w:textAlignment w:val="auto"/>
        <w:rPr>
          <w:rFonts w:eastAsia="Batang" w:cs="Arial"/>
          <w:sz w:val="20"/>
          <w:szCs w:val="20"/>
          <w:lang w:eastAsia="en-US"/>
        </w:rPr>
      </w:pPr>
      <w:r w:rsidRPr="00D13792">
        <w:rPr>
          <w:rFonts w:eastAsia="Batang" w:cs="Arial"/>
          <w:sz w:val="20"/>
          <w:szCs w:val="20"/>
          <w:lang w:eastAsia="en-US"/>
        </w:rPr>
        <w:t xml:space="preserve">deberá </w:t>
      </w:r>
      <w:r w:rsidRPr="00D13792">
        <w:rPr>
          <w:rFonts w:eastAsia="Batang" w:cs="Times"/>
          <w:sz w:val="20"/>
          <w:szCs w:val="20"/>
          <w:lang w:eastAsia="en-US"/>
        </w:rPr>
        <w:t xml:space="preserve">asegurar que </w:t>
      </w:r>
      <w:r w:rsidRPr="00D13792">
        <w:rPr>
          <w:rFonts w:eastAsia="Batang" w:cs="TimesNewRomanPSMT"/>
          <w:sz w:val="20"/>
          <w:szCs w:val="20"/>
          <w:lang w:eastAsia="en-US" w:bidi="en-US"/>
        </w:rPr>
        <w:t xml:space="preserve">los distintos órganos del sistema de justicia involucrados en el caso cuenten con los recursos humanos, materiales, técnicos y científicos necesarios para desempeñar sus tareas de manera adecuada, independiente e </w:t>
      </w:r>
      <w:r w:rsidRPr="00D13792">
        <w:rPr>
          <w:rFonts w:eastAsia="Batang" w:cs="TimesNewRomanPSMT"/>
          <w:sz w:val="20"/>
          <w:szCs w:val="20"/>
          <w:lang w:eastAsia="en-US" w:bidi="en-US"/>
        </w:rPr>
        <w:lastRenderedPageBreak/>
        <w:t>imparcial, y que las personas que participen en la investigación, entre ellas las víctimas o sus representantes, testigos y operadores de justicia, cuenten con las debidas garantías de seguridad</w:t>
      </w:r>
      <w:r w:rsidRPr="00D13792">
        <w:rPr>
          <w:rFonts w:eastAsia="Batang" w:cs="TimesNewRomanPSMT"/>
          <w:sz w:val="20"/>
          <w:szCs w:val="20"/>
          <w:vertAlign w:val="superscript"/>
          <w:lang w:eastAsia="en-US" w:bidi="en-US"/>
        </w:rPr>
        <w:footnoteReference w:id="339"/>
      </w:r>
      <w:r w:rsidRPr="00D13792">
        <w:rPr>
          <w:rFonts w:eastAsia="Batang" w:cs="Times"/>
          <w:sz w:val="20"/>
          <w:szCs w:val="20"/>
          <w:lang w:eastAsia="en-US"/>
        </w:rPr>
        <w:t>.</w:t>
      </w:r>
    </w:p>
    <w:p w14:paraId="702C4F66" w14:textId="77777777" w:rsidR="006A0E1C" w:rsidRPr="00D13792" w:rsidRDefault="006A0E1C" w:rsidP="006A0E1C">
      <w:pPr>
        <w:widowControl/>
        <w:adjustRightInd/>
        <w:spacing w:line="240" w:lineRule="auto"/>
        <w:ind w:right="99"/>
        <w:textAlignment w:val="auto"/>
        <w:rPr>
          <w:rFonts w:eastAsia="Batang" w:cs="Arial"/>
          <w:sz w:val="20"/>
          <w:szCs w:val="20"/>
          <w:lang w:eastAsia="en-US"/>
        </w:rPr>
      </w:pPr>
    </w:p>
    <w:p w14:paraId="6EEF010D"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Conforme a su jurisprudencia constante</w:t>
      </w:r>
      <w:r w:rsidRPr="00D13792">
        <w:rPr>
          <w:rFonts w:eastAsia="Batang" w:cs="Times"/>
          <w:vertAlign w:val="superscript"/>
          <w:lang w:val="es-CR"/>
        </w:rPr>
        <w:footnoteReference w:id="340"/>
      </w:r>
      <w:r w:rsidRPr="00D13792">
        <w:rPr>
          <w:rFonts w:eastAsia="Batang" w:cs="Times"/>
          <w:lang w:val="es-CR"/>
        </w:rPr>
        <w:t xml:space="preserve">, la Corte considera que el Estado debe asegurar el pleno acceso y capacidad de actuar de las víctimas o sus familiares en todas las etapas de la investigación y el </w:t>
      </w:r>
      <w:r w:rsidRPr="00D13792">
        <w:rPr>
          <w:lang w:val="es-CR"/>
        </w:rPr>
        <w:t>juzgamiento</w:t>
      </w:r>
      <w:r w:rsidRPr="00D13792">
        <w:rPr>
          <w:rFonts w:eastAsia="Batang" w:cs="Times"/>
          <w:lang w:val="es-CR"/>
        </w:rPr>
        <w:t xml:space="preserve"> de los responsables, </w:t>
      </w:r>
      <w:r w:rsidRPr="00D13792">
        <w:rPr>
          <w:rFonts w:cs="Tahoma"/>
          <w:lang w:val="es-CR"/>
        </w:rPr>
        <w:t>de</w:t>
      </w:r>
      <w:r w:rsidRPr="00D13792">
        <w:rPr>
          <w:rFonts w:eastAsia="Batang" w:cs="Times"/>
          <w:lang w:val="es-CR"/>
        </w:rPr>
        <w:t xml:space="preserve"> acuerdo con la ley interna y las normas de la Convención Americana. Adicionalmente, los resultados de los procesos correspondientes deberán ser públicamente divulgados para que la sociedad guatemalteca conozca los hechos objeto del presente caso, así como a sus responsables.</w:t>
      </w:r>
    </w:p>
    <w:p w14:paraId="62083972"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Times"/>
          <w:sz w:val="20"/>
          <w:szCs w:val="20"/>
          <w:lang w:eastAsia="en-US"/>
        </w:rPr>
      </w:pPr>
    </w:p>
    <w:p w14:paraId="7090AFA4"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Tal como lo ha hecho en otros casos</w:t>
      </w:r>
      <w:r w:rsidRPr="00D13792">
        <w:rPr>
          <w:rFonts w:eastAsia="Batang" w:cs="Times"/>
          <w:vertAlign w:val="superscript"/>
          <w:lang w:val="es-CR"/>
        </w:rPr>
        <w:footnoteReference w:id="341"/>
      </w:r>
      <w:r w:rsidRPr="00D13792">
        <w:rPr>
          <w:rFonts w:eastAsia="Batang" w:cs="Times"/>
          <w:lang w:val="es-CR"/>
        </w:rPr>
        <w:t xml:space="preserve">, la Corte valora la publicación del informe de la CEH, </w:t>
      </w:r>
      <w:r w:rsidRPr="00D13792">
        <w:rPr>
          <w:rFonts w:eastAsia="Batang" w:cs="Times"/>
          <w:i/>
          <w:lang w:val="es-CR"/>
        </w:rPr>
        <w:t>Guatemala: Memoria del Silencio</w:t>
      </w:r>
      <w:r w:rsidRPr="00D13792">
        <w:rPr>
          <w:rFonts w:eastAsia="Batang" w:cs="Times"/>
          <w:lang w:val="es-CR"/>
        </w:rPr>
        <w:t xml:space="preserve">, el cual incluye una parte de los hechos ocurridos en el presente caso, como un esfuerzo que ha contribuido a la búsqueda y determinación de la verdad de un período histórico de Guatemala. Sin desconocer lo anterior, la Corte </w:t>
      </w:r>
      <w:r w:rsidRPr="00D13792">
        <w:rPr>
          <w:rFonts w:cs="Tahoma"/>
          <w:lang w:val="es-CR"/>
        </w:rPr>
        <w:t>considera</w:t>
      </w:r>
      <w:r w:rsidRPr="00D13792">
        <w:rPr>
          <w:rFonts w:eastAsia="Batang" w:cs="Times"/>
          <w:lang w:val="es-CR"/>
        </w:rPr>
        <w:t xml:space="preserve"> pertinente precisar que los elementos de “verdad histórica” contenidos en ese informe no completan o sustituyen la obligación del Estado de establecer la verdad y asegurar la determinación judicial de responsabilidades individuales o estatales a través de los procesos pertinentes. </w:t>
      </w:r>
    </w:p>
    <w:p w14:paraId="79AF0FA0"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Batang" w:cs="Times"/>
          <w:sz w:val="20"/>
          <w:szCs w:val="20"/>
          <w:lang w:eastAsia="en-US"/>
        </w:rPr>
      </w:pPr>
    </w:p>
    <w:p w14:paraId="4BF76070"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 xml:space="preserve">La investigación de los hechos es un deber jurídico propio del Estado, por lo que cada acto procesal que lleve a cabo debe reflejar el compromiso asumido por Guatemala a fin de erradicar la impunidad de los hechos, obligación de garantía que se desprende del artículo 1.1 de la Convención Americana. </w:t>
      </w:r>
      <w:r w:rsidRPr="00D13792">
        <w:rPr>
          <w:rFonts w:eastAsia="Batang" w:cs="Helvetica"/>
          <w:lang w:val="es-CR"/>
        </w:rPr>
        <w:t xml:space="preserve">Para cumplir con dicha </w:t>
      </w:r>
      <w:r w:rsidRPr="00D13792">
        <w:rPr>
          <w:rFonts w:eastAsia="Batang" w:cs="Times"/>
          <w:lang w:val="es-CR"/>
        </w:rPr>
        <w:t>obligación, el Estado tiene que combatir ésta por todos los medios legales disponibles, ya que la impunidad “propicia la repetición crónica de las violaciones de derechos humanos y la total indefensión de las víctimas y sus familiares”</w:t>
      </w:r>
      <w:r w:rsidRPr="00D13792">
        <w:rPr>
          <w:rFonts w:eastAsia="Batang" w:cs="Times"/>
          <w:vertAlign w:val="superscript"/>
          <w:lang w:val="es-CR"/>
        </w:rPr>
        <w:footnoteReference w:id="342"/>
      </w:r>
      <w:r w:rsidRPr="00D13792">
        <w:rPr>
          <w:rFonts w:eastAsia="Batang" w:cs="Times"/>
          <w:lang w:val="es-CR"/>
        </w:rPr>
        <w:t xml:space="preserve">. Asimismo, el Estado tiene que </w:t>
      </w:r>
      <w:r w:rsidRPr="00D13792">
        <w:rPr>
          <w:rFonts w:eastAsia="Batang" w:cs="Verdana"/>
          <w:lang w:val="es-CR"/>
        </w:rPr>
        <w:t>“organizar todo el aparato gubernamental y, en general, todas las estructuras a través de las cuales se manifiesta el ejercicio del poder público, de manera tal que sean capaces de asegurar jurídicamente el libre y pleno ejercicio de los derechos humanos”</w:t>
      </w:r>
      <w:r w:rsidRPr="00D13792">
        <w:rPr>
          <w:rFonts w:eastAsia="Batang" w:cs="Verdana"/>
          <w:vertAlign w:val="superscript"/>
          <w:lang w:val="es-CR"/>
        </w:rPr>
        <w:footnoteReference w:id="343"/>
      </w:r>
      <w:r w:rsidRPr="00D13792">
        <w:rPr>
          <w:rFonts w:eastAsia="Batang" w:cs="Verdana"/>
          <w:lang w:val="es-CR"/>
        </w:rPr>
        <w:t>.</w:t>
      </w:r>
    </w:p>
    <w:p w14:paraId="6C3B9781" w14:textId="77777777" w:rsidR="006A0E1C" w:rsidRPr="00D13792" w:rsidRDefault="006A0E1C" w:rsidP="006A0E1C">
      <w:pPr>
        <w:widowControl/>
        <w:adjustRightInd/>
        <w:spacing w:line="240" w:lineRule="auto"/>
        <w:ind w:left="720"/>
        <w:contextualSpacing/>
        <w:jc w:val="left"/>
        <w:textAlignment w:val="auto"/>
        <w:rPr>
          <w:rFonts w:eastAsia="Calibri"/>
          <w:sz w:val="20"/>
          <w:szCs w:val="20"/>
          <w:lang w:eastAsia="en-US"/>
        </w:rPr>
      </w:pPr>
    </w:p>
    <w:p w14:paraId="45302281" w14:textId="77777777" w:rsidR="006A0E1C" w:rsidRPr="00D13792" w:rsidRDefault="006A0E1C" w:rsidP="006A0E1C">
      <w:pPr>
        <w:pStyle w:val="Prrafodelista2"/>
        <w:numPr>
          <w:ilvl w:val="0"/>
          <w:numId w:val="23"/>
        </w:numPr>
        <w:tabs>
          <w:tab w:val="left" w:pos="720"/>
        </w:tabs>
        <w:ind w:right="-90"/>
        <w:jc w:val="both"/>
        <w:rPr>
          <w:rFonts w:eastAsia="Batang" w:cs="Times"/>
          <w:sz w:val="22"/>
          <w:lang w:val="es-CR"/>
        </w:rPr>
      </w:pPr>
      <w:r w:rsidRPr="00D13792">
        <w:rPr>
          <w:rFonts w:eastAsia="Batang" w:cs="Times"/>
          <w:lang w:val="es-CR"/>
        </w:rPr>
        <w:t xml:space="preserve">Asimismo, cuando un </w:t>
      </w:r>
      <w:r w:rsidRPr="00D13792">
        <w:rPr>
          <w:rFonts w:eastAsia="Batang" w:cs="Times"/>
          <w:bCs/>
          <w:lang w:val="es-CR"/>
        </w:rPr>
        <w:t>Estado es parte de tratados internacionales como la Convención Americana sobre Derechos Humanos</w:t>
      </w:r>
      <w:r w:rsidRPr="00D13792">
        <w:rPr>
          <w:rFonts w:eastAsia="Batang" w:cs="Times"/>
          <w:lang w:val="es-CR"/>
        </w:rPr>
        <w:t>, la Convención Interamericana para Prevenir y Sancionar la Tortura, la Convención Interamericana sobre Desaparición Forzada de Personas,</w:t>
      </w:r>
      <w:r w:rsidRPr="00D13792">
        <w:rPr>
          <w:rFonts w:eastAsia="Batang"/>
          <w:lang w:val="es-CR"/>
        </w:rPr>
        <w:t xml:space="preserve"> y la Convención Interamericana para Prevenir, Sancionar y Erradicar la Violencia contra la Mujer,</w:t>
      </w:r>
      <w:r w:rsidRPr="00D13792">
        <w:rPr>
          <w:rFonts w:eastAsia="Batang" w:cs="Times"/>
          <w:lang w:val="es-CR"/>
        </w:rPr>
        <w:t xml:space="preserve"> dichos tratados obligan a </w:t>
      </w:r>
      <w:r w:rsidRPr="00D13792">
        <w:rPr>
          <w:rFonts w:eastAsia="Batang" w:cs="Times"/>
          <w:bCs/>
          <w:lang w:val="es-CR"/>
        </w:rPr>
        <w:t xml:space="preserve">todos sus órganos, incluido el poder judicial, cuyos miembros </w:t>
      </w:r>
      <w:r w:rsidRPr="00D13792">
        <w:rPr>
          <w:rFonts w:eastAsia="Batang" w:cs="Times"/>
          <w:lang w:val="es-CR"/>
        </w:rPr>
        <w:t xml:space="preserve">deben velar por que los efectos de las disposiciones de dichos tratados no se vean mermados por la aplicación de normas o interpretaciones contrarias a su objeto y fin. Los jueces y órganos vinculados a la administración de justicia en todos los niveles están en la obligación de ejercer </w:t>
      </w:r>
      <w:r w:rsidRPr="00D13792">
        <w:rPr>
          <w:rFonts w:eastAsia="Batang" w:cs="Times"/>
          <w:i/>
          <w:lang w:val="es-CR"/>
        </w:rPr>
        <w:t>ex officio</w:t>
      </w:r>
      <w:r w:rsidRPr="00D13792">
        <w:rPr>
          <w:rFonts w:eastAsia="Batang" w:cs="Times"/>
          <w:lang w:val="es-CR"/>
        </w:rPr>
        <w:t xml:space="preserve"> un “control de convencionalidad” entre las normas internas y los tratados de derechos humanos de los cuales es Parte el Estado, evidentemente en el marco de sus respectivas competencias y de las regulaciones procesales correspondientes. En esta tarea, los jueces y órganos vinculados a la administración de justicia, como el ministerio público, deben tener en </w:t>
      </w:r>
      <w:r w:rsidRPr="00D13792">
        <w:rPr>
          <w:rFonts w:eastAsia="Batang" w:cs="Times"/>
          <w:lang w:val="es-CR"/>
        </w:rPr>
        <w:lastRenderedPageBreak/>
        <w:t>cuenta no solamente la Convención Americana y demás instrumentos interamericanos, sino también la interpretación que de estos ha hecho la Corte Interamericana</w:t>
      </w:r>
      <w:r w:rsidRPr="00D13792">
        <w:rPr>
          <w:rFonts w:eastAsia="Batang" w:cs="Times"/>
          <w:vertAlign w:val="superscript"/>
          <w:lang w:val="es-CR"/>
        </w:rPr>
        <w:footnoteReference w:id="344"/>
      </w:r>
      <w:r w:rsidRPr="00D13792">
        <w:rPr>
          <w:rFonts w:eastAsia="Batang" w:cs="Times"/>
          <w:lang w:val="es-CR"/>
        </w:rPr>
        <w:t xml:space="preserve">. </w:t>
      </w:r>
    </w:p>
    <w:p w14:paraId="62A88567"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textAlignment w:val="auto"/>
        <w:rPr>
          <w:rFonts w:eastAsia="Batang" w:cs="Times"/>
          <w:sz w:val="20"/>
          <w:szCs w:val="20"/>
          <w:u w:val="single"/>
          <w:lang w:eastAsia="en-US"/>
        </w:rPr>
      </w:pPr>
    </w:p>
    <w:p w14:paraId="7612B8C0" w14:textId="77777777" w:rsidR="006A0E1C" w:rsidRPr="00D13792" w:rsidRDefault="006A0E1C" w:rsidP="006A0E1C">
      <w:pPr>
        <w:tabs>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MS Mincho" w:cs="Times"/>
          <w:b/>
          <w:sz w:val="20"/>
          <w:szCs w:val="20"/>
          <w:lang w:eastAsia="en-US"/>
        </w:rPr>
      </w:pPr>
      <w:r w:rsidRPr="00D13792">
        <w:rPr>
          <w:rFonts w:eastAsia="MS Mincho" w:cs="Times"/>
          <w:b/>
          <w:i/>
          <w:sz w:val="20"/>
          <w:szCs w:val="20"/>
          <w:lang w:eastAsia="en-US"/>
        </w:rPr>
        <w:t xml:space="preserve">C.2. </w:t>
      </w:r>
      <w:r w:rsidRPr="00D13792">
        <w:rPr>
          <w:rFonts w:eastAsia="Batang" w:cs="Times"/>
          <w:b/>
          <w:i/>
          <w:sz w:val="20"/>
          <w:lang w:eastAsia="en-US"/>
        </w:rPr>
        <w:t>Determinación del paradero</w:t>
      </w:r>
      <w:r w:rsidRPr="00D13792">
        <w:rPr>
          <w:rFonts w:eastAsia="MS Mincho"/>
          <w:b/>
          <w:i/>
          <w:sz w:val="20"/>
          <w:szCs w:val="20"/>
        </w:rPr>
        <w:t xml:space="preserve"> de las víctimas desaparecidas, así como</w:t>
      </w:r>
      <w:r w:rsidRPr="00D13792">
        <w:rPr>
          <w:rFonts w:eastAsia="Batang" w:cs="Times"/>
          <w:b/>
          <w:i/>
          <w:sz w:val="20"/>
          <w:lang w:eastAsia="en-US"/>
        </w:rPr>
        <w:t xml:space="preserve"> </w:t>
      </w:r>
      <w:r w:rsidRPr="00D13792">
        <w:rPr>
          <w:rFonts w:eastAsia="Batang" w:cs="Verdana-Italic"/>
          <w:b/>
          <w:i/>
          <w:iCs/>
          <w:sz w:val="20"/>
          <w:lang w:eastAsia="en-US" w:bidi="en-US"/>
        </w:rPr>
        <w:t xml:space="preserve">recuperación </w:t>
      </w:r>
      <w:r w:rsidRPr="00D13792">
        <w:rPr>
          <w:rFonts w:eastAsia="Batang" w:cs="Times"/>
          <w:b/>
          <w:i/>
          <w:sz w:val="20"/>
          <w:lang w:eastAsia="en-US"/>
        </w:rPr>
        <w:t xml:space="preserve">e identificación </w:t>
      </w:r>
      <w:r w:rsidRPr="00D13792">
        <w:rPr>
          <w:rFonts w:eastAsia="MS Mincho"/>
          <w:b/>
          <w:i/>
          <w:sz w:val="20"/>
          <w:szCs w:val="20"/>
        </w:rPr>
        <w:t xml:space="preserve">de los restos </w:t>
      </w:r>
      <w:r w:rsidRPr="00D13792">
        <w:rPr>
          <w:rFonts w:eastAsia="Batang" w:cs="Times"/>
          <w:b/>
          <w:i/>
          <w:sz w:val="20"/>
          <w:lang w:eastAsia="en-US"/>
        </w:rPr>
        <w:t>de las víctimas desaparecidas</w:t>
      </w:r>
      <w:r w:rsidRPr="00D13792">
        <w:rPr>
          <w:rFonts w:eastAsia="MS Mincho" w:cs="Times"/>
          <w:b/>
          <w:i/>
          <w:sz w:val="20"/>
          <w:szCs w:val="20"/>
          <w:lang w:eastAsia="en-US"/>
        </w:rPr>
        <w:t xml:space="preserve"> </w:t>
      </w:r>
      <w:r w:rsidRPr="00D13792">
        <w:rPr>
          <w:rFonts w:eastAsia="MS Mincho"/>
          <w:b/>
          <w:i/>
          <w:sz w:val="20"/>
          <w:szCs w:val="20"/>
        </w:rPr>
        <w:t>y de las personas</w:t>
      </w:r>
      <w:r w:rsidRPr="00D13792">
        <w:rPr>
          <w:rFonts w:eastAsia="MS Mincho" w:cs="Times"/>
          <w:b/>
          <w:i/>
          <w:sz w:val="20"/>
          <w:szCs w:val="20"/>
          <w:lang w:eastAsia="en-US"/>
        </w:rPr>
        <w:t xml:space="preserve"> inhumadas en fosas clandestinas </w:t>
      </w:r>
    </w:p>
    <w:p w14:paraId="47469303" w14:textId="77777777" w:rsidR="006A0E1C" w:rsidRPr="00D13792" w:rsidRDefault="006A0E1C" w:rsidP="006A0E1C">
      <w:pPr>
        <w:tabs>
          <w:tab w:val="left" w:pos="720"/>
          <w:tab w:val="left" w:pos="2160"/>
          <w:tab w:val="left" w:pos="2880"/>
          <w:tab w:val="left" w:pos="3600"/>
          <w:tab w:val="left" w:pos="4320"/>
          <w:tab w:val="left" w:pos="5760"/>
          <w:tab w:val="left" w:pos="6480"/>
          <w:tab w:val="left" w:pos="7200"/>
          <w:tab w:val="left" w:pos="7920"/>
        </w:tabs>
        <w:adjustRightInd/>
        <w:spacing w:line="240" w:lineRule="auto"/>
        <w:textAlignment w:val="auto"/>
        <w:rPr>
          <w:rFonts w:eastAsia="MS Mincho"/>
          <w:i/>
          <w:sz w:val="18"/>
          <w:szCs w:val="20"/>
          <w:lang w:eastAsia="en-US"/>
        </w:rPr>
      </w:pPr>
    </w:p>
    <w:p w14:paraId="7982BE44" w14:textId="77777777" w:rsidR="006A0E1C" w:rsidRPr="00D13792" w:rsidRDefault="006A0E1C" w:rsidP="006A0E1C">
      <w:pPr>
        <w:pStyle w:val="Prrafodelista2"/>
        <w:numPr>
          <w:ilvl w:val="0"/>
          <w:numId w:val="23"/>
        </w:numPr>
        <w:tabs>
          <w:tab w:val="left" w:pos="720"/>
        </w:tabs>
        <w:ind w:right="-90"/>
        <w:jc w:val="both"/>
        <w:rPr>
          <w:rFonts w:cs="Times"/>
          <w:lang w:val="es-CR"/>
        </w:rPr>
      </w:pPr>
      <w:bookmarkStart w:id="252" w:name="_Toc302669944"/>
      <w:bookmarkStart w:id="253" w:name="_Toc300622806"/>
      <w:bookmarkStart w:id="254" w:name="_Toc297286425"/>
      <w:bookmarkStart w:id="255" w:name="_Toc293493453"/>
      <w:r w:rsidRPr="00D13792">
        <w:rPr>
          <w:rFonts w:cs="Times"/>
          <w:lang w:val="es-CR"/>
        </w:rPr>
        <w:t xml:space="preserve">La </w:t>
      </w:r>
      <w:r w:rsidRPr="00D13792">
        <w:rPr>
          <w:rFonts w:cs="Times"/>
          <w:b/>
          <w:i/>
          <w:lang w:val="es-CR"/>
        </w:rPr>
        <w:t>Comisión</w:t>
      </w:r>
      <w:r w:rsidRPr="00D13792">
        <w:rPr>
          <w:rFonts w:cs="Times"/>
          <w:lang w:val="es-CR"/>
        </w:rPr>
        <w:t xml:space="preserve"> </w:t>
      </w:r>
      <w:r w:rsidRPr="00D13792">
        <w:rPr>
          <w:rFonts w:eastAsia="Batang" w:cs="Times"/>
          <w:lang w:val="es-CR"/>
        </w:rPr>
        <w:t>solicitó</w:t>
      </w:r>
      <w:r w:rsidRPr="00D13792">
        <w:rPr>
          <w:rFonts w:cs="Times"/>
          <w:lang w:val="es-CR"/>
        </w:rPr>
        <w:t xml:space="preserve"> a la Corte que ordene al Estado localizar y entregar a las familias los restos mortales de las víctimas desaparecidas, así como </w:t>
      </w:r>
      <w:r w:rsidRPr="00D13792">
        <w:rPr>
          <w:rFonts w:eastAsia="Calibri"/>
          <w:lang w:val="es-CR"/>
        </w:rPr>
        <w:t>proveer lo necesario para dar continuidad a la</w:t>
      </w:r>
      <w:r w:rsidRPr="00D13792">
        <w:rPr>
          <w:rFonts w:cs="Times"/>
          <w:lang w:val="es-CR"/>
        </w:rPr>
        <w:t xml:space="preserve"> </w:t>
      </w:r>
      <w:r w:rsidRPr="00D13792">
        <w:rPr>
          <w:rFonts w:eastAsia="Calibri"/>
          <w:lang w:val="es-CR"/>
        </w:rPr>
        <w:t>identificación y devolución de los restos mortales de las víctimas ejecutadas</w:t>
      </w:r>
      <w:r w:rsidRPr="00D13792">
        <w:rPr>
          <w:rFonts w:cs="Times"/>
          <w:lang w:val="es-CR"/>
        </w:rPr>
        <w:t>.</w:t>
      </w:r>
      <w:r w:rsidRPr="00D13792">
        <w:rPr>
          <w:b/>
          <w:lang w:val="es-CR"/>
        </w:rPr>
        <w:t xml:space="preserve"> </w:t>
      </w:r>
      <w:r w:rsidRPr="00D13792">
        <w:rPr>
          <w:rFonts w:cs="Times"/>
          <w:lang w:val="es-CR"/>
        </w:rPr>
        <w:t xml:space="preserve">Los </w:t>
      </w:r>
      <w:r w:rsidRPr="00D13792">
        <w:rPr>
          <w:rFonts w:cs="Times"/>
          <w:b/>
          <w:i/>
          <w:lang w:val="es-CR"/>
        </w:rPr>
        <w:t xml:space="preserve">representantes </w:t>
      </w:r>
      <w:r w:rsidRPr="00D13792">
        <w:rPr>
          <w:rFonts w:cs="Times"/>
          <w:lang w:val="es-CR"/>
        </w:rPr>
        <w:t>no se refirieron a este punto en su escrito de solicitudes y argumentos</w:t>
      </w:r>
      <w:r w:rsidRPr="00D13792">
        <w:rPr>
          <w:rFonts w:cs="Times"/>
          <w:vertAlign w:val="superscript"/>
          <w:lang w:val="es-CR"/>
        </w:rPr>
        <w:footnoteReference w:id="345"/>
      </w:r>
      <w:r w:rsidRPr="00D13792">
        <w:rPr>
          <w:rFonts w:cs="Times"/>
          <w:lang w:val="es-CR"/>
        </w:rPr>
        <w:t>.</w:t>
      </w:r>
    </w:p>
    <w:p w14:paraId="27CA314A"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MS Mincho"/>
          <w:sz w:val="20"/>
          <w:szCs w:val="20"/>
          <w:lang w:eastAsia="en-US"/>
        </w:rPr>
      </w:pPr>
    </w:p>
    <w:p w14:paraId="12D19DA8" w14:textId="77777777" w:rsidR="006A0E1C" w:rsidRPr="00D13792" w:rsidRDefault="006A0E1C" w:rsidP="006A0E1C">
      <w:pPr>
        <w:pStyle w:val="Prrafodelista2"/>
        <w:numPr>
          <w:ilvl w:val="0"/>
          <w:numId w:val="23"/>
        </w:numPr>
        <w:tabs>
          <w:tab w:val="left" w:pos="720"/>
        </w:tabs>
        <w:ind w:right="-90"/>
        <w:jc w:val="both"/>
        <w:rPr>
          <w:rFonts w:cs="Arial"/>
          <w:b/>
          <w:lang w:val="es-CR"/>
        </w:rPr>
      </w:pPr>
      <w:r w:rsidRPr="00D13792">
        <w:rPr>
          <w:lang w:val="es-CR"/>
        </w:rPr>
        <w:t xml:space="preserve">El </w:t>
      </w:r>
      <w:r w:rsidRPr="00D13792">
        <w:rPr>
          <w:b/>
          <w:i/>
          <w:lang w:val="es-CR"/>
        </w:rPr>
        <w:t>Estado</w:t>
      </w:r>
      <w:r w:rsidRPr="00D13792">
        <w:rPr>
          <w:lang w:val="es-CR"/>
        </w:rPr>
        <w:t xml:space="preserve"> sostuvo que el 19 de julio de 2007 inició su funcionamiento </w:t>
      </w:r>
      <w:r w:rsidRPr="00D13792">
        <w:rPr>
          <w:rFonts w:eastAsia="Calibri"/>
          <w:lang w:val="es-CR"/>
        </w:rPr>
        <w:t xml:space="preserve">el Instituto Nacional de Ciencias Forenses de </w:t>
      </w:r>
      <w:r w:rsidRPr="00D13792">
        <w:rPr>
          <w:rFonts w:eastAsia="Batang" w:cs="Times"/>
          <w:lang w:val="es-CR"/>
        </w:rPr>
        <w:t>Guatemala</w:t>
      </w:r>
      <w:r w:rsidRPr="00D13792">
        <w:rPr>
          <w:rFonts w:eastAsia="Calibri"/>
          <w:lang w:val="es-CR"/>
        </w:rPr>
        <w:t xml:space="preserve"> (INACIF), una </w:t>
      </w:r>
      <w:r w:rsidRPr="00D13792">
        <w:rPr>
          <w:lang w:val="es-CR"/>
        </w:rPr>
        <w:t>institución</w:t>
      </w:r>
      <w:r w:rsidRPr="00D13792">
        <w:rPr>
          <w:rFonts w:eastAsia="Calibri"/>
          <w:lang w:val="es-CR"/>
        </w:rPr>
        <w:t xml:space="preserve"> auxiliar de la administración de justicia cuyo fin principal es la prestación del servicio de investigación </w:t>
      </w:r>
      <w:r w:rsidRPr="00D13792">
        <w:rPr>
          <w:rFonts w:cs="Times"/>
          <w:lang w:val="es-CR"/>
        </w:rPr>
        <w:t>científica</w:t>
      </w:r>
      <w:r w:rsidRPr="00D13792">
        <w:rPr>
          <w:rFonts w:eastAsia="Calibri"/>
          <w:lang w:val="es-CR"/>
        </w:rPr>
        <w:t xml:space="preserve"> de forma independiente y la emisión de dictámenes técnicos científicos que doten a la función jurisdiccional, con medios de prueba válidos y fehacientes en los procesos judiciales. Señaló que el 11 de diciembre de 2012 se suscribió un Convenio de Colaboración entre el INACIF y la Fundación de Antropología Forense de </w:t>
      </w:r>
      <w:r w:rsidRPr="00D13792">
        <w:rPr>
          <w:rFonts w:cs="Tahoma"/>
          <w:lang w:val="es-CR"/>
        </w:rPr>
        <w:t>Guatemala</w:t>
      </w:r>
      <w:r w:rsidRPr="00D13792">
        <w:rPr>
          <w:rFonts w:eastAsia="Calibri"/>
          <w:lang w:val="es-CR"/>
        </w:rPr>
        <w:t xml:space="preserve"> (FAFG) por un plazo de cinco años</w:t>
      </w:r>
      <w:r w:rsidRPr="00D13792">
        <w:rPr>
          <w:rFonts w:eastAsia="Calibri" w:cs="Times"/>
          <w:vertAlign w:val="superscript"/>
          <w:lang w:val="es-CR"/>
        </w:rPr>
        <w:footnoteReference w:id="346"/>
      </w:r>
      <w:r w:rsidRPr="00D13792">
        <w:rPr>
          <w:rFonts w:eastAsia="Calibri"/>
          <w:lang w:val="es-CR"/>
        </w:rPr>
        <w:t>. Por otra parte, destacó que la iniciativa de ley 3590, “</w:t>
      </w:r>
      <w:r w:rsidRPr="00D13792">
        <w:rPr>
          <w:rFonts w:eastAsia="Calibri"/>
          <w:iCs/>
          <w:lang w:val="es-CR"/>
        </w:rPr>
        <w:t>Ley de la Comisión de</w:t>
      </w:r>
      <w:r w:rsidRPr="00D13792">
        <w:rPr>
          <w:rFonts w:eastAsia="Calibri"/>
          <w:lang w:val="es-CR"/>
        </w:rPr>
        <w:t xml:space="preserve"> </w:t>
      </w:r>
      <w:r w:rsidRPr="00D13792">
        <w:rPr>
          <w:rFonts w:eastAsia="Calibri"/>
          <w:iCs/>
          <w:lang w:val="es-CR"/>
        </w:rPr>
        <w:t>Búsqueda de Personas Víctimas de la Desaparición Forzada y otras Formas de</w:t>
      </w:r>
      <w:r w:rsidRPr="00D13792">
        <w:rPr>
          <w:rFonts w:eastAsia="Calibri"/>
          <w:lang w:val="es-CR"/>
        </w:rPr>
        <w:t xml:space="preserve"> </w:t>
      </w:r>
      <w:r w:rsidRPr="00D13792">
        <w:rPr>
          <w:rFonts w:eastAsia="Calibri"/>
          <w:iCs/>
          <w:lang w:val="es-CR"/>
        </w:rPr>
        <w:t xml:space="preserve">Desaparición”, </w:t>
      </w:r>
      <w:r w:rsidRPr="00D13792">
        <w:rPr>
          <w:rFonts w:eastAsia="Calibri"/>
          <w:lang w:val="es-CR"/>
        </w:rPr>
        <w:t xml:space="preserve">tiene como objetivo el diseño, evaluación y ejecución de planes de búsqueda de personas víctimas de desaparición, a través del estudio, documentación, sistematización, análisis, registro y seguimiento de los casos de desaparición forzada y otras formas de desaparición. Según el Estado, esta iniciativa de ley se encuentra en proceso de aprobación ante el Congreso de la República y cuenta con los dictámenes favorables de la Comisión de Finanzas y Moneda y de la Comisión de Legislación y Puntos Constitucionales de 29 de agosto de 2007 y 22 de marzo del año 2011, respectivamente. Finalmente, resaltó las dificultades que ha enfrentado “en la labor de localización, identificación y entrega de las víctimas”, en particular, en relación con los análisis de ADN. </w:t>
      </w:r>
    </w:p>
    <w:p w14:paraId="0E99EB3C"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MS Mincho" w:cs="Arial"/>
          <w:b/>
          <w:sz w:val="18"/>
          <w:szCs w:val="20"/>
        </w:rPr>
      </w:pPr>
    </w:p>
    <w:p w14:paraId="41E20EED" w14:textId="77777777" w:rsidR="006A0E1C" w:rsidRPr="00D13792" w:rsidRDefault="006A0E1C" w:rsidP="006A0E1C">
      <w:pPr>
        <w:pStyle w:val="Prrafodelista2"/>
        <w:numPr>
          <w:ilvl w:val="0"/>
          <w:numId w:val="23"/>
        </w:numPr>
        <w:tabs>
          <w:tab w:val="left" w:pos="720"/>
        </w:tabs>
        <w:ind w:right="-90"/>
        <w:jc w:val="both"/>
        <w:rPr>
          <w:rFonts w:eastAsia="Batang" w:cs="Times"/>
          <w:spacing w:val="-2"/>
          <w:lang w:val="es-CR"/>
        </w:rPr>
      </w:pPr>
      <w:r w:rsidRPr="00D13792">
        <w:rPr>
          <w:rFonts w:eastAsia="Batang" w:cs="Verdana"/>
          <w:lang w:val="es-CR"/>
        </w:rPr>
        <w:t xml:space="preserve">La </w:t>
      </w:r>
      <w:r w:rsidRPr="00D13792">
        <w:rPr>
          <w:rFonts w:eastAsia="Batang" w:cs="Verdana"/>
          <w:b/>
          <w:i/>
          <w:lang w:val="es-CR"/>
        </w:rPr>
        <w:t>Corte</w:t>
      </w:r>
      <w:r w:rsidRPr="00D13792">
        <w:rPr>
          <w:rFonts w:eastAsia="Batang" w:cs="Verdana"/>
          <w:lang w:val="es-CR"/>
        </w:rPr>
        <w:t xml:space="preserve"> considera que es</w:t>
      </w:r>
      <w:r w:rsidRPr="00D13792">
        <w:rPr>
          <w:rFonts w:eastAsia="Batang" w:cs="Verdana"/>
          <w:spacing w:val="-2"/>
          <w:lang w:val="es-CR"/>
        </w:rPr>
        <w:t xml:space="preserve"> una expectativa justa de los </w:t>
      </w:r>
      <w:r w:rsidRPr="00D13792">
        <w:rPr>
          <w:rFonts w:eastAsia="Batang" w:cs="Cambria"/>
          <w:spacing w:val="-2"/>
          <w:lang w:val="es-CR"/>
        </w:rPr>
        <w:t>familiares</w:t>
      </w:r>
      <w:r w:rsidRPr="00D13792">
        <w:rPr>
          <w:rFonts w:eastAsia="Batang" w:cs="Verdana"/>
          <w:spacing w:val="-2"/>
          <w:lang w:val="es-CR"/>
        </w:rPr>
        <w:t xml:space="preserve"> de las víctimas de las desapariciones forzadas que se </w:t>
      </w:r>
      <w:r w:rsidRPr="00D13792">
        <w:rPr>
          <w:rFonts w:eastAsia="Batang" w:cs="Times"/>
          <w:lang w:val="es-CR"/>
        </w:rPr>
        <w:t>identifique</w:t>
      </w:r>
      <w:r w:rsidRPr="00D13792">
        <w:rPr>
          <w:rFonts w:eastAsia="Batang" w:cs="Verdana"/>
          <w:spacing w:val="-2"/>
          <w:lang w:val="es-CR"/>
        </w:rPr>
        <w:t xml:space="preserve"> el paradero de estas o </w:t>
      </w:r>
      <w:r w:rsidRPr="00D13792">
        <w:rPr>
          <w:rFonts w:eastAsia="Batang" w:cs="Times"/>
          <w:spacing w:val="-2"/>
          <w:lang w:val="es-CR"/>
        </w:rPr>
        <w:t>se hallen sus restos de modo que se determine con certeza su identidad,</w:t>
      </w:r>
      <w:r w:rsidRPr="00D13792">
        <w:rPr>
          <w:rFonts w:eastAsia="Batang" w:cs="Verdana"/>
          <w:spacing w:val="-2"/>
          <w:lang w:val="es-CR"/>
        </w:rPr>
        <w:t xml:space="preserve"> lo que constituye una medida de reparación y, por lo tanto, genera el deber correlativo para el Estado de satisfacerla</w:t>
      </w:r>
      <w:r w:rsidRPr="00D13792">
        <w:rPr>
          <w:rFonts w:eastAsia="Batang" w:cs="Verdana"/>
          <w:spacing w:val="-2"/>
          <w:vertAlign w:val="superscript"/>
          <w:lang w:val="es-CR"/>
        </w:rPr>
        <w:footnoteReference w:id="347"/>
      </w:r>
      <w:r w:rsidRPr="00D13792">
        <w:rPr>
          <w:rFonts w:eastAsia="Batang" w:cs="Verdana"/>
          <w:spacing w:val="-2"/>
          <w:lang w:val="es-CR"/>
        </w:rPr>
        <w:t xml:space="preserve">. A su vez, esto permite a los familiares aliviar la </w:t>
      </w:r>
      <w:r w:rsidRPr="00D13792">
        <w:rPr>
          <w:rFonts w:cs="Tahoma"/>
          <w:lang w:val="es-CR"/>
        </w:rPr>
        <w:t>angustia</w:t>
      </w:r>
      <w:r w:rsidRPr="00D13792">
        <w:rPr>
          <w:rFonts w:eastAsia="Batang" w:cs="Verdana"/>
          <w:spacing w:val="-2"/>
          <w:lang w:val="es-CR"/>
        </w:rPr>
        <w:t xml:space="preserve"> y sufrimiento causados por dicha incertidumbre</w:t>
      </w:r>
      <w:r w:rsidRPr="00D13792">
        <w:rPr>
          <w:rFonts w:eastAsia="Batang" w:cs="Verdana"/>
          <w:spacing w:val="-2"/>
          <w:vertAlign w:val="superscript"/>
          <w:lang w:val="es-CR"/>
        </w:rPr>
        <w:footnoteReference w:id="348"/>
      </w:r>
      <w:r w:rsidRPr="00D13792">
        <w:rPr>
          <w:rFonts w:eastAsia="Batang" w:cs="Verdana"/>
          <w:spacing w:val="-2"/>
          <w:lang w:val="es-CR"/>
        </w:rPr>
        <w:t xml:space="preserve">. Es igualmente una expectativa justa de los </w:t>
      </w:r>
      <w:r w:rsidRPr="00D13792">
        <w:rPr>
          <w:rFonts w:eastAsia="Batang" w:cs="Cambria"/>
          <w:spacing w:val="-2"/>
          <w:lang w:val="es-CR"/>
        </w:rPr>
        <w:t>familiares</w:t>
      </w:r>
      <w:r w:rsidRPr="00D13792">
        <w:rPr>
          <w:rFonts w:eastAsia="Batang" w:cs="Verdana"/>
          <w:spacing w:val="-2"/>
          <w:lang w:val="es-CR"/>
        </w:rPr>
        <w:t xml:space="preserve"> la </w:t>
      </w:r>
      <w:r w:rsidRPr="00D13792">
        <w:rPr>
          <w:rFonts w:eastAsia="Batang" w:cs="Verdana-Italic"/>
          <w:iCs/>
          <w:lang w:val="es-CR"/>
        </w:rPr>
        <w:t xml:space="preserve">recuperación </w:t>
      </w:r>
      <w:r w:rsidRPr="00D13792">
        <w:rPr>
          <w:rFonts w:eastAsia="Batang" w:cs="Times"/>
          <w:lang w:val="es-CR"/>
        </w:rPr>
        <w:t xml:space="preserve">e identificación </w:t>
      </w:r>
      <w:r w:rsidRPr="00D13792">
        <w:rPr>
          <w:lang w:val="es-CR"/>
        </w:rPr>
        <w:t xml:space="preserve">de los restos </w:t>
      </w:r>
      <w:r w:rsidRPr="00D13792">
        <w:rPr>
          <w:rFonts w:eastAsia="Batang" w:cs="Times"/>
          <w:lang w:val="es-CR"/>
        </w:rPr>
        <w:t xml:space="preserve">de las </w:t>
      </w:r>
      <w:r w:rsidRPr="00D13792">
        <w:rPr>
          <w:lang w:val="es-CR"/>
        </w:rPr>
        <w:t>personas que fallecieron y que fueron</w:t>
      </w:r>
      <w:r w:rsidRPr="00D13792">
        <w:rPr>
          <w:rFonts w:cs="Times"/>
          <w:lang w:val="es-CR"/>
        </w:rPr>
        <w:t xml:space="preserve"> inhumadas en fosas clandestinas </w:t>
      </w:r>
      <w:r w:rsidRPr="00D13792">
        <w:rPr>
          <w:lang w:val="es-CR"/>
        </w:rPr>
        <w:t>a raíz de los hechos del caso</w:t>
      </w:r>
      <w:r w:rsidRPr="00D13792">
        <w:rPr>
          <w:rFonts w:eastAsia="Batang" w:cs="Verdana"/>
          <w:spacing w:val="-2"/>
          <w:lang w:val="es-CR"/>
        </w:rPr>
        <w:t xml:space="preserve">. Recibir el cuerpo de una persona desaparecida forzadamente o ejecutada es de suma importancia para sus familiares, ya que les permite sepultarlos de acuerdo a sus creencias, así como cerrar el proceso de duelo. Adicionalmente, el Tribunal considera que los restos son una </w:t>
      </w:r>
      <w:r w:rsidRPr="00D13792">
        <w:rPr>
          <w:rFonts w:eastAsia="Batang" w:cs="Verdana"/>
          <w:spacing w:val="-2"/>
          <w:lang w:val="es-CR"/>
        </w:rPr>
        <w:lastRenderedPageBreak/>
        <w:t>prueba de lo sucedido y, junto al lugar en el cual sean encontrados, pueden proporcionar información valiosa sobre los autores de las violaciones o la institución a la que pertenecían</w:t>
      </w:r>
      <w:r w:rsidRPr="00D13792">
        <w:rPr>
          <w:rFonts w:eastAsia="Batang" w:cs="Times"/>
          <w:spacing w:val="-2"/>
          <w:vertAlign w:val="superscript"/>
          <w:lang w:val="es-CR"/>
        </w:rPr>
        <w:footnoteReference w:id="349"/>
      </w:r>
      <w:r w:rsidRPr="00D13792">
        <w:rPr>
          <w:rFonts w:eastAsia="Batang" w:cs="Verdana"/>
          <w:spacing w:val="-2"/>
          <w:lang w:val="es-CR"/>
        </w:rPr>
        <w:t>.</w:t>
      </w:r>
    </w:p>
    <w:p w14:paraId="1863616F" w14:textId="77777777" w:rsidR="006A0E1C" w:rsidRPr="00D13792" w:rsidRDefault="006A0E1C" w:rsidP="006A0E1C">
      <w:pPr>
        <w:tabs>
          <w:tab w:val="left" w:pos="-709"/>
          <w:tab w:val="left" w:pos="0"/>
          <w:tab w:val="left" w:pos="720"/>
          <w:tab w:val="left" w:pos="1440"/>
          <w:tab w:val="left" w:pos="2880"/>
          <w:tab w:val="left" w:pos="3600"/>
          <w:tab w:val="left" w:pos="4320"/>
          <w:tab w:val="left" w:pos="5760"/>
          <w:tab w:val="left" w:pos="6480"/>
          <w:tab w:val="left" w:pos="7200"/>
          <w:tab w:val="left" w:pos="7920"/>
        </w:tabs>
        <w:autoSpaceDE w:val="0"/>
        <w:autoSpaceDN w:val="0"/>
        <w:spacing w:line="240" w:lineRule="auto"/>
        <w:ind w:right="-138"/>
        <w:textAlignment w:val="auto"/>
        <w:rPr>
          <w:rFonts w:eastAsia="Batang" w:cs="Times"/>
          <w:spacing w:val="-2"/>
          <w:sz w:val="20"/>
          <w:szCs w:val="20"/>
          <w:lang w:eastAsia="en-US"/>
        </w:rPr>
      </w:pPr>
    </w:p>
    <w:p w14:paraId="379D8FCE" w14:textId="77777777" w:rsidR="006A0E1C" w:rsidRPr="00D13792" w:rsidRDefault="006A0E1C" w:rsidP="006A0E1C">
      <w:pPr>
        <w:pStyle w:val="Prrafodelista2"/>
        <w:numPr>
          <w:ilvl w:val="0"/>
          <w:numId w:val="23"/>
        </w:numPr>
        <w:tabs>
          <w:tab w:val="left" w:pos="720"/>
        </w:tabs>
        <w:ind w:right="-90"/>
        <w:jc w:val="both"/>
        <w:rPr>
          <w:lang w:val="es-CR"/>
        </w:rPr>
      </w:pPr>
      <w:r w:rsidRPr="00D13792">
        <w:rPr>
          <w:lang w:val="es-CR"/>
        </w:rPr>
        <w:t xml:space="preserve">La Corte valora la </w:t>
      </w:r>
      <w:r w:rsidRPr="00D13792">
        <w:rPr>
          <w:rFonts w:eastAsia="Batang" w:cs="Times"/>
          <w:lang w:val="es-CR"/>
        </w:rPr>
        <w:t>voluntad</w:t>
      </w:r>
      <w:r w:rsidRPr="00D13792">
        <w:rPr>
          <w:lang w:val="es-CR"/>
        </w:rPr>
        <w:t xml:space="preserve"> manifestada por el Estado de emprender las labores de búsqueda, recuperación y entrega de los restos de las personas desaparecidas o ejecutadas a sus familiares. No obstante, la Corte constató que en el </w:t>
      </w:r>
      <w:r w:rsidRPr="00D13792">
        <w:rPr>
          <w:rFonts w:cs="Tahoma"/>
          <w:lang w:val="es-CR"/>
        </w:rPr>
        <w:t>caso</w:t>
      </w:r>
      <w:r w:rsidRPr="00D13792">
        <w:rPr>
          <w:lang w:val="es-CR"/>
        </w:rPr>
        <w:t xml:space="preserve"> concreto, </w:t>
      </w:r>
      <w:r w:rsidRPr="00D13792">
        <w:rPr>
          <w:rFonts w:eastAsia="Batang" w:cs="Times"/>
          <w:lang w:val="es-CR"/>
        </w:rPr>
        <w:t xml:space="preserve">las investigaciones iniciadas no han estado encaminadas hacia la localización de todas las víctimas desaparecidas, ni han sido debida y oportunamente identificados todos los restos encontrados en las diversas exhumaciones realizadas por el impulso procesal de los familiares </w:t>
      </w:r>
      <w:r w:rsidRPr="00D13792">
        <w:rPr>
          <w:rFonts w:eastAsia="Calibri"/>
          <w:lang w:val="es-CR"/>
        </w:rPr>
        <w:t>(</w:t>
      </w:r>
      <w:r w:rsidRPr="00D13792">
        <w:rPr>
          <w:rFonts w:eastAsia="Calibri"/>
          <w:i/>
          <w:lang w:val="es-CR"/>
        </w:rPr>
        <w:t>supra</w:t>
      </w:r>
      <w:r w:rsidRPr="00D13792">
        <w:rPr>
          <w:rFonts w:eastAsia="Calibri"/>
          <w:lang w:val="es-CR"/>
        </w:rPr>
        <w:t xml:space="preserve"> párr. 263). </w:t>
      </w:r>
    </w:p>
    <w:p w14:paraId="32A29952" w14:textId="77777777" w:rsidR="006A0E1C" w:rsidRPr="00D13792" w:rsidRDefault="006A0E1C" w:rsidP="006A0E1C">
      <w:pPr>
        <w:tabs>
          <w:tab w:val="left" w:pos="-72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MS Mincho"/>
          <w:b/>
          <w:sz w:val="20"/>
          <w:szCs w:val="20"/>
          <w:lang w:eastAsia="en-US"/>
        </w:rPr>
      </w:pPr>
    </w:p>
    <w:p w14:paraId="22E09D35" w14:textId="77777777" w:rsidR="006A0E1C" w:rsidRPr="00D13792" w:rsidRDefault="006A0E1C" w:rsidP="006A0E1C">
      <w:pPr>
        <w:pStyle w:val="Prrafodelista2"/>
        <w:numPr>
          <w:ilvl w:val="0"/>
          <w:numId w:val="23"/>
        </w:numPr>
        <w:tabs>
          <w:tab w:val="left" w:pos="720"/>
        </w:tabs>
        <w:ind w:right="-90"/>
        <w:jc w:val="both"/>
        <w:rPr>
          <w:rFonts w:eastAsia="Batang" w:cs="Times"/>
          <w:spacing w:val="-2"/>
          <w:lang w:val="es-CR"/>
        </w:rPr>
      </w:pPr>
      <w:r w:rsidRPr="00D13792">
        <w:rPr>
          <w:rFonts w:eastAsia="Batang" w:cs="Times"/>
          <w:spacing w:val="-2"/>
          <w:lang w:val="es-CR"/>
        </w:rPr>
        <w:t xml:space="preserve">En consecuencia, la Corte considera que el Estado debe realizar o continuar, de manera sistemática, rigurosa y con los recursos humanos y económicos adecuados, </w:t>
      </w:r>
      <w:r w:rsidRPr="00D13792">
        <w:rPr>
          <w:rFonts w:eastAsia="Batang" w:cs="Cambria"/>
          <w:spacing w:val="-2"/>
          <w:lang w:val="es-CR"/>
        </w:rPr>
        <w:t>las</w:t>
      </w:r>
      <w:r w:rsidRPr="00D13792">
        <w:rPr>
          <w:rFonts w:eastAsia="Batang" w:cs="Times"/>
          <w:spacing w:val="-2"/>
          <w:lang w:val="es-CR"/>
        </w:rPr>
        <w:t xml:space="preserve"> acciones necesarias tanto</w:t>
      </w:r>
      <w:r w:rsidRPr="00D13792">
        <w:rPr>
          <w:rFonts w:cs="Verdana"/>
          <w:spacing w:val="-2"/>
          <w:lang w:val="es-CR"/>
        </w:rPr>
        <w:t xml:space="preserve"> para </w:t>
      </w:r>
      <w:r w:rsidRPr="00D13792">
        <w:rPr>
          <w:rFonts w:cs="Times"/>
          <w:lang w:val="es-CR"/>
        </w:rPr>
        <w:t xml:space="preserve">determinar el paradero de los miembros de la aldea de Chichupac y comunidades vecinas desaparecidos forzadamente, así como localizar, exhumar e identificar a las </w:t>
      </w:r>
      <w:r w:rsidRPr="00D13792">
        <w:rPr>
          <w:rFonts w:eastAsia="Batang" w:cs="Times"/>
          <w:spacing w:val="-2"/>
          <w:lang w:val="es-CR"/>
        </w:rPr>
        <w:t>personas</w:t>
      </w:r>
      <w:r w:rsidRPr="00D13792">
        <w:rPr>
          <w:rFonts w:cs="Times"/>
          <w:lang w:val="es-CR"/>
        </w:rPr>
        <w:t xml:space="preserve"> que </w:t>
      </w:r>
      <w:r w:rsidRPr="00D13792">
        <w:rPr>
          <w:lang w:val="es-CR"/>
        </w:rPr>
        <w:t>fallecieron y que fueron</w:t>
      </w:r>
      <w:r w:rsidRPr="00D13792">
        <w:rPr>
          <w:rFonts w:cs="Times"/>
          <w:lang w:val="es-CR"/>
        </w:rPr>
        <w:t xml:space="preserve"> inhumadas en fosas clandestinas </w:t>
      </w:r>
      <w:r w:rsidRPr="00D13792">
        <w:rPr>
          <w:lang w:val="es-CR"/>
        </w:rPr>
        <w:t>a raíz de los hechos del caso</w:t>
      </w:r>
      <w:r w:rsidRPr="00D13792">
        <w:rPr>
          <w:rFonts w:eastAsia="Batang" w:cs="Times"/>
          <w:spacing w:val="-2"/>
          <w:lang w:val="es-CR"/>
        </w:rPr>
        <w:t>. Para ello, el Estado deberá emplear todos los medios técnicos y científicos necesarios, tomando en cuenta las normas nacionales o internacionales pertinentes en la materia</w:t>
      </w:r>
      <w:r w:rsidRPr="00D13792">
        <w:rPr>
          <w:rFonts w:cs="Times"/>
          <w:spacing w:val="-2"/>
          <w:vertAlign w:val="superscript"/>
          <w:lang w:val="es-CR"/>
        </w:rPr>
        <w:footnoteReference w:id="350"/>
      </w:r>
      <w:r w:rsidRPr="00D13792">
        <w:rPr>
          <w:rFonts w:eastAsia="Batang" w:cs="Times"/>
          <w:spacing w:val="-2"/>
          <w:lang w:val="es-CR"/>
        </w:rPr>
        <w:t xml:space="preserve"> y procurar concluir con el total de las </w:t>
      </w:r>
      <w:r w:rsidRPr="00D13792">
        <w:rPr>
          <w:rFonts w:eastAsia="Batang" w:cs="Times"/>
          <w:lang w:val="es-CR"/>
        </w:rPr>
        <w:t>exhumaciones</w:t>
      </w:r>
      <w:r w:rsidRPr="00D13792">
        <w:rPr>
          <w:rFonts w:eastAsia="Batang" w:cs="Times"/>
          <w:spacing w:val="-2"/>
          <w:lang w:val="es-CR"/>
        </w:rPr>
        <w:t xml:space="preserve"> que sean necesarias en un plazo de 2 años, contados a partir de la notificación de la presente Sentencia. </w:t>
      </w:r>
    </w:p>
    <w:p w14:paraId="1DFBB97F" w14:textId="77777777" w:rsidR="006A0E1C" w:rsidRPr="00D13792" w:rsidRDefault="006A0E1C" w:rsidP="006A0E1C">
      <w:pPr>
        <w:widowControl/>
        <w:tabs>
          <w:tab w:val="left" w:pos="-720"/>
        </w:tabs>
        <w:adjustRightInd/>
        <w:spacing w:line="240" w:lineRule="auto"/>
        <w:contextualSpacing/>
        <w:textAlignment w:val="auto"/>
        <w:rPr>
          <w:rFonts w:eastAsia="Calibri"/>
          <w:spacing w:val="-2"/>
          <w:sz w:val="20"/>
          <w:szCs w:val="20"/>
          <w:lang w:eastAsia="en-US"/>
        </w:rPr>
      </w:pPr>
    </w:p>
    <w:p w14:paraId="5D07FC4D" w14:textId="77777777" w:rsidR="006A0E1C" w:rsidRPr="00D13792" w:rsidRDefault="006A0E1C" w:rsidP="006A0E1C">
      <w:pPr>
        <w:pStyle w:val="Prrafodelista2"/>
        <w:numPr>
          <w:ilvl w:val="0"/>
          <w:numId w:val="23"/>
        </w:numPr>
        <w:tabs>
          <w:tab w:val="left" w:pos="720"/>
        </w:tabs>
        <w:ind w:right="-90"/>
        <w:jc w:val="both"/>
        <w:rPr>
          <w:rFonts w:eastAsia="Batang" w:cs="Times"/>
          <w:spacing w:val="-2"/>
          <w:lang w:val="es-CR"/>
        </w:rPr>
      </w:pPr>
      <w:r w:rsidRPr="00D13792">
        <w:rPr>
          <w:rFonts w:eastAsia="Batang"/>
          <w:lang w:val="es-CR"/>
        </w:rPr>
        <w:t xml:space="preserve">En caso de identificar los restos, estos deberán ser entregados a sus familiares, previa </w:t>
      </w:r>
      <w:r w:rsidRPr="00D13792">
        <w:rPr>
          <w:rFonts w:cs="Times"/>
          <w:lang w:val="es-CR"/>
        </w:rPr>
        <w:t>comprobación</w:t>
      </w:r>
      <w:r w:rsidRPr="00D13792">
        <w:rPr>
          <w:rFonts w:eastAsia="Batang"/>
          <w:lang w:val="es-CR"/>
        </w:rPr>
        <w:t xml:space="preserve"> genética de filiación o reconocimiento por los medios adecuados e idóneos, según sea el caso, a la mayor brevedad y sin costo alguno </w:t>
      </w:r>
      <w:r w:rsidRPr="00D13792">
        <w:rPr>
          <w:lang w:val="es-CR"/>
        </w:rPr>
        <w:t>para</w:t>
      </w:r>
      <w:r w:rsidRPr="00D13792">
        <w:rPr>
          <w:rFonts w:eastAsia="Batang"/>
          <w:lang w:val="es-CR"/>
        </w:rPr>
        <w:t xml:space="preserve"> dichos familiares. Además, el Estado deberá cubrir los gastos fúnebres, en su caso, de común acuerdo con los familiares</w:t>
      </w:r>
      <w:r w:rsidRPr="00D13792">
        <w:rPr>
          <w:rFonts w:eastAsia="Calibri"/>
          <w:vertAlign w:val="superscript"/>
          <w:lang w:val="es-CR"/>
        </w:rPr>
        <w:footnoteReference w:id="351"/>
      </w:r>
      <w:r w:rsidRPr="00D13792">
        <w:rPr>
          <w:rFonts w:eastAsia="Batang"/>
          <w:lang w:val="es-CR"/>
        </w:rPr>
        <w:t>. Ahora bien, en cuanto a los problemas señalados por el Estado en realizar los análisis de ADN (</w:t>
      </w:r>
      <w:r w:rsidRPr="00D13792">
        <w:rPr>
          <w:rFonts w:eastAsia="Batang"/>
          <w:i/>
          <w:lang w:val="es-CR"/>
        </w:rPr>
        <w:t>supra</w:t>
      </w:r>
      <w:r w:rsidRPr="00D13792">
        <w:rPr>
          <w:rFonts w:eastAsia="Batang"/>
          <w:lang w:val="es-CR"/>
        </w:rPr>
        <w:t xml:space="preserve"> párr. 291), la Corte recuerda que los estándares internacionales exigen que la entrega de restos ocurra cuando la víctima esté claramente identificada, es decir, una vez que se haya conseguido una identificación positiva</w:t>
      </w:r>
      <w:r w:rsidRPr="00D13792">
        <w:rPr>
          <w:rFonts w:eastAsia="Batang"/>
          <w:vertAlign w:val="superscript"/>
          <w:lang w:val="es-CR"/>
        </w:rPr>
        <w:footnoteReference w:id="352"/>
      </w:r>
      <w:r w:rsidRPr="00D13792">
        <w:rPr>
          <w:rFonts w:eastAsia="Batang"/>
          <w:lang w:val="es-CR"/>
        </w:rPr>
        <w:t>. Sobre este punto, el Protocolo de Minnesota del año 1991 establece que “el cuerpo debe ser identificado por testigos confiables y otros métodos objetivos”</w:t>
      </w:r>
      <w:r w:rsidRPr="00D13792">
        <w:rPr>
          <w:rFonts w:eastAsia="Batang"/>
          <w:vertAlign w:val="superscript"/>
          <w:lang w:val="es-CR"/>
        </w:rPr>
        <w:footnoteReference w:id="353"/>
      </w:r>
      <w:r w:rsidRPr="00D13792">
        <w:rPr>
          <w:rFonts w:eastAsia="Batang"/>
          <w:lang w:val="es-CR"/>
        </w:rPr>
        <w:t>. La Corte reconoce que, debido a las circunstancias específicas de un caso, es posible que la identificación y entrega de restos mortales no pueda estar respaldada por al menos un método científico</w:t>
      </w:r>
      <w:r w:rsidRPr="00D13792">
        <w:rPr>
          <w:rFonts w:eastAsia="Batang"/>
          <w:vertAlign w:val="superscript"/>
          <w:lang w:val="es-CR"/>
        </w:rPr>
        <w:footnoteReference w:id="354"/>
      </w:r>
      <w:r w:rsidRPr="00D13792">
        <w:rPr>
          <w:rFonts w:eastAsia="Batang"/>
          <w:lang w:val="es-CR"/>
        </w:rPr>
        <w:t xml:space="preserve"> y la única opción práctica en dichos casos sea la identificación mediante el reconocimiento de los restos efectuado por familiares o conocidos de la persona desaparecida, así como la comparación de datos entre el perfil biológico (sexo, edad, estatura), sus características individuales (lesiones antiguas, defectos congénitos, tatuajes y rasgos dentales), sus objetos y documentos personales portados. En este sentido, el Comité </w:t>
      </w:r>
      <w:r w:rsidRPr="00D13792">
        <w:rPr>
          <w:rFonts w:eastAsia="Batang"/>
          <w:lang w:val="es-CR"/>
        </w:rPr>
        <w:lastRenderedPageBreak/>
        <w:t>Internacional de la Cruz Roja ha considerado que los métodos visuales deben utilizarse “como único medio de identificación sólo cuando los cuerpos no están descompuestos ni mutilados, y cuando se tiene una idea fundamentada de la identidad de la víctima, por ejemplo cuando hay testigos que han presenciado el asesinato y el entierro de una persona”</w:t>
      </w:r>
      <w:r w:rsidRPr="00D13792">
        <w:rPr>
          <w:rFonts w:eastAsia="Batang" w:cs="Times"/>
          <w:spacing w:val="-2"/>
          <w:vertAlign w:val="superscript"/>
          <w:lang w:val="es-CR"/>
        </w:rPr>
        <w:footnoteReference w:id="355"/>
      </w:r>
      <w:r w:rsidRPr="00D13792">
        <w:rPr>
          <w:rFonts w:eastAsia="Batang" w:cs="Times"/>
          <w:spacing w:val="-2"/>
          <w:lang w:val="es-CR"/>
        </w:rPr>
        <w:t>.</w:t>
      </w:r>
    </w:p>
    <w:p w14:paraId="1666F489" w14:textId="77777777" w:rsidR="006A0E1C" w:rsidRPr="00D13792" w:rsidRDefault="006A0E1C" w:rsidP="006A0E1C">
      <w:pPr>
        <w:widowControl/>
        <w:tabs>
          <w:tab w:val="left" w:pos="-720"/>
        </w:tabs>
        <w:adjustRightInd/>
        <w:spacing w:line="240" w:lineRule="auto"/>
        <w:contextualSpacing/>
        <w:textAlignment w:val="auto"/>
        <w:rPr>
          <w:rFonts w:eastAsia="Calibri"/>
          <w:spacing w:val="-2"/>
          <w:sz w:val="20"/>
          <w:szCs w:val="20"/>
          <w:lang w:eastAsia="en-US"/>
        </w:rPr>
      </w:pPr>
    </w:p>
    <w:p w14:paraId="06BFE817" w14:textId="77777777" w:rsidR="006A0E1C" w:rsidRPr="00D13792" w:rsidRDefault="006A0E1C" w:rsidP="006A0E1C">
      <w:pPr>
        <w:widowControl/>
        <w:numPr>
          <w:ilvl w:val="0"/>
          <w:numId w:val="23"/>
        </w:numPr>
        <w:tabs>
          <w:tab w:val="left" w:pos="720"/>
        </w:tabs>
        <w:adjustRightInd/>
        <w:spacing w:line="240" w:lineRule="auto"/>
        <w:ind w:right="-90"/>
        <w:textAlignment w:val="auto"/>
        <w:rPr>
          <w:rFonts w:eastAsia="Batang" w:cs="Times"/>
          <w:spacing w:val="-2"/>
          <w:sz w:val="20"/>
          <w:szCs w:val="20"/>
          <w:lang w:eastAsia="en-US" w:bidi="en-US"/>
        </w:rPr>
      </w:pPr>
      <w:r w:rsidRPr="00D13792">
        <w:rPr>
          <w:rFonts w:eastAsia="Batang" w:cs="Times"/>
          <w:sz w:val="20"/>
          <w:szCs w:val="20"/>
          <w:lang w:eastAsia="en-US" w:bidi="en-US"/>
        </w:rPr>
        <w:t>Para hacer efectiva y viable la eventual localización, exhumación, identificación y entrega</w:t>
      </w:r>
      <w:r w:rsidRPr="00D13792">
        <w:rPr>
          <w:rFonts w:eastAsia="Batang" w:cs="Times"/>
          <w:spacing w:val="-2"/>
          <w:sz w:val="20"/>
          <w:szCs w:val="20"/>
          <w:lang w:eastAsia="en-US" w:bidi="en-US"/>
        </w:rPr>
        <w:t xml:space="preserve"> a sus familiares de los restos</w:t>
      </w:r>
      <w:r w:rsidRPr="00D13792">
        <w:rPr>
          <w:rFonts w:eastAsia="MS Mincho" w:cs="Times"/>
          <w:spacing w:val="-2"/>
          <w:sz w:val="20"/>
          <w:szCs w:val="20"/>
          <w:lang w:eastAsia="en-US" w:bidi="en-US"/>
        </w:rPr>
        <w:t xml:space="preserve">, este </w:t>
      </w:r>
      <w:r w:rsidRPr="00D13792">
        <w:rPr>
          <w:rFonts w:eastAsia="MS Mincho" w:cs="Times"/>
          <w:spacing w:val="-2"/>
          <w:sz w:val="20"/>
          <w:szCs w:val="16"/>
          <w:lang w:eastAsia="en-US" w:bidi="en-US"/>
        </w:rPr>
        <w:t>Tribunal dispone que</w:t>
      </w:r>
      <w:r w:rsidRPr="00D13792">
        <w:rPr>
          <w:rFonts w:eastAsia="Batang" w:cs="Times"/>
          <w:spacing w:val="-2"/>
          <w:sz w:val="20"/>
          <w:szCs w:val="16"/>
          <w:lang w:eastAsia="en-US" w:bidi="en-US"/>
        </w:rPr>
        <w:t xml:space="preserve"> el Estado deberá </w:t>
      </w:r>
      <w:r w:rsidRPr="00D13792">
        <w:rPr>
          <w:rFonts w:eastAsia="Batang" w:cs="Verdana-Italic"/>
          <w:iCs/>
          <w:spacing w:val="-2"/>
          <w:sz w:val="20"/>
          <w:szCs w:val="16"/>
        </w:rPr>
        <w:t>establecer una estrategia de comunicación con los familiares y acordar un marco de acción coordinada, para procurar su participación, conocimiento y presencia.</w:t>
      </w:r>
      <w:r w:rsidRPr="00D13792">
        <w:rPr>
          <w:rFonts w:eastAsia="Batang" w:cs="Verdana-Italic"/>
          <w:iCs/>
          <w:spacing w:val="-2"/>
          <w:sz w:val="32"/>
        </w:rPr>
        <w:t xml:space="preserve"> </w:t>
      </w:r>
    </w:p>
    <w:p w14:paraId="0B37764D" w14:textId="77777777" w:rsidR="006A0E1C" w:rsidRPr="00D13792" w:rsidRDefault="006A0E1C" w:rsidP="006A0E1C">
      <w:pPr>
        <w:widowControl/>
        <w:tabs>
          <w:tab w:val="left" w:pos="-720"/>
        </w:tabs>
        <w:adjustRightInd/>
        <w:spacing w:line="240" w:lineRule="auto"/>
        <w:textAlignment w:val="auto"/>
        <w:rPr>
          <w:rFonts w:eastAsia="Batang" w:cs="Times"/>
          <w:sz w:val="20"/>
          <w:szCs w:val="20"/>
          <w:lang w:eastAsia="en-US"/>
        </w:rPr>
      </w:pPr>
    </w:p>
    <w:p w14:paraId="69C2276F"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Por último, en cuanto a la creación de la referida “</w:t>
      </w:r>
      <w:r w:rsidRPr="00D13792">
        <w:rPr>
          <w:rFonts w:eastAsia="Calibri"/>
          <w:iCs/>
          <w:lang w:val="es-CR"/>
        </w:rPr>
        <w:t>Comisión de</w:t>
      </w:r>
      <w:r w:rsidRPr="00D13792">
        <w:rPr>
          <w:rFonts w:eastAsia="Calibri"/>
          <w:lang w:val="es-CR"/>
        </w:rPr>
        <w:t xml:space="preserve"> </w:t>
      </w:r>
      <w:r w:rsidRPr="00D13792">
        <w:rPr>
          <w:rFonts w:eastAsia="Calibri"/>
          <w:iCs/>
          <w:lang w:val="es-CR"/>
        </w:rPr>
        <w:t>Búsqueda de Personas Víctimas de la Desaparición Forzada y otras Formas de</w:t>
      </w:r>
      <w:r w:rsidRPr="00D13792">
        <w:rPr>
          <w:rFonts w:eastAsia="Calibri"/>
          <w:lang w:val="es-CR"/>
        </w:rPr>
        <w:t xml:space="preserve"> </w:t>
      </w:r>
      <w:r w:rsidRPr="00D13792">
        <w:rPr>
          <w:rFonts w:eastAsia="Calibri"/>
          <w:iCs/>
          <w:lang w:val="es-CR"/>
        </w:rPr>
        <w:t>Desaparición</w:t>
      </w:r>
      <w:r w:rsidRPr="00D13792">
        <w:rPr>
          <w:rFonts w:eastAsia="Batang" w:cs="Times"/>
          <w:lang w:val="es-CR"/>
        </w:rPr>
        <w:t>”, la Corte toma nota y valora los avances realizados por el Estado al respecto. En este sentido, el Tribunal insta al Estado a continuar adoptando todas las medidas legislativas, administrativas o de otra índole que sean necesarias para que se concrete la creación de la referida Comisión. La Corte considera que una entidad de este tipo coadyuvará favorablemente en la búsqueda e identificación de las víctimas del presente caso y, en general, de las víctimas de desaparición forzada en Guatemala</w:t>
      </w:r>
      <w:r w:rsidRPr="00D13792">
        <w:rPr>
          <w:rFonts w:eastAsia="Batang" w:cs="Times"/>
          <w:vertAlign w:val="superscript"/>
          <w:lang w:val="es-CR"/>
        </w:rPr>
        <w:footnoteReference w:id="356"/>
      </w:r>
      <w:r w:rsidRPr="00D13792">
        <w:rPr>
          <w:rFonts w:eastAsia="Batang" w:cs="Times"/>
          <w:lang w:val="es-CR"/>
        </w:rPr>
        <w:t xml:space="preserve">. </w:t>
      </w:r>
    </w:p>
    <w:p w14:paraId="586FC7C2" w14:textId="77777777" w:rsidR="006A0E1C" w:rsidRPr="00D13792" w:rsidRDefault="006A0E1C" w:rsidP="006A0E1C">
      <w:pPr>
        <w:tabs>
          <w:tab w:val="left" w:pos="-72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MS Mincho"/>
          <w:b/>
          <w:sz w:val="20"/>
          <w:szCs w:val="20"/>
          <w:lang w:eastAsia="en-US"/>
        </w:rPr>
      </w:pPr>
    </w:p>
    <w:p w14:paraId="534F2FAC" w14:textId="77777777" w:rsidR="006A0E1C" w:rsidRPr="00D13792" w:rsidRDefault="006A0E1C" w:rsidP="006A0E1C">
      <w:pPr>
        <w:pStyle w:val="Heading2"/>
        <w:rPr>
          <w:rFonts w:eastAsia="MS Mincho"/>
          <w:lang w:val="es-CR"/>
        </w:rPr>
      </w:pPr>
      <w:bookmarkStart w:id="256" w:name="_Toc337405899"/>
      <w:bookmarkStart w:id="257" w:name="_Toc469670066"/>
      <w:r w:rsidRPr="00D13792">
        <w:rPr>
          <w:rFonts w:eastAsia="MS Mincho"/>
          <w:lang w:val="es-CR"/>
        </w:rPr>
        <w:t>D. Medidas de restitución, rehabilitación, satisfacción y garantías de no repetición</w:t>
      </w:r>
      <w:bookmarkEnd w:id="252"/>
      <w:bookmarkEnd w:id="253"/>
      <w:bookmarkEnd w:id="254"/>
      <w:bookmarkEnd w:id="255"/>
      <w:bookmarkEnd w:id="256"/>
      <w:bookmarkEnd w:id="257"/>
    </w:p>
    <w:p w14:paraId="1FE4BD4B" w14:textId="77777777" w:rsidR="006A0E1C" w:rsidRPr="00D13792" w:rsidRDefault="006A0E1C" w:rsidP="006A0E1C">
      <w:pPr>
        <w:widowControl/>
        <w:tabs>
          <w:tab w:val="left" w:pos="720"/>
        </w:tabs>
        <w:autoSpaceDE w:val="0"/>
        <w:autoSpaceDN w:val="0"/>
        <w:spacing w:line="240" w:lineRule="auto"/>
        <w:textAlignment w:val="auto"/>
        <w:rPr>
          <w:rFonts w:eastAsia="Batang" w:cs="Arial"/>
          <w:sz w:val="20"/>
          <w:szCs w:val="20"/>
          <w:lang w:eastAsia="en-US"/>
        </w:rPr>
      </w:pPr>
    </w:p>
    <w:p w14:paraId="253E97A0" w14:textId="77777777" w:rsidR="006A0E1C" w:rsidRPr="00D13792" w:rsidRDefault="006A0E1C" w:rsidP="006A0E1C">
      <w:pPr>
        <w:pStyle w:val="Heading2"/>
        <w:rPr>
          <w:rFonts w:eastAsia="MS Mincho"/>
          <w:lang w:val="es-CR"/>
        </w:rPr>
      </w:pPr>
      <w:bookmarkStart w:id="258" w:name="_Toc469670067"/>
      <w:bookmarkStart w:id="259" w:name="_Toc302669946"/>
      <w:r w:rsidRPr="00D13792">
        <w:rPr>
          <w:rFonts w:eastAsia="Batang" w:cs="Times"/>
          <w:lang w:val="es-CR" w:eastAsia="en-US"/>
        </w:rPr>
        <w:t>D.1. Medida de restitución</w:t>
      </w:r>
      <w:r w:rsidRPr="00D13792">
        <w:rPr>
          <w:rFonts w:eastAsia="MS Mincho"/>
          <w:lang w:val="es-CR"/>
        </w:rPr>
        <w:t>: Garantizar el retorno a su lugar de origen de las víctimas que aún se encuentran desplazadas</w:t>
      </w:r>
      <w:bookmarkEnd w:id="258"/>
      <w:r w:rsidRPr="00D13792">
        <w:rPr>
          <w:rFonts w:eastAsia="MS Mincho"/>
          <w:strike/>
          <w:lang w:val="es-CR"/>
        </w:rPr>
        <w:t xml:space="preserve"> </w:t>
      </w:r>
    </w:p>
    <w:p w14:paraId="6D4BA37F" w14:textId="77777777" w:rsidR="006A0E1C" w:rsidRPr="00D13792" w:rsidRDefault="006A0E1C" w:rsidP="006A0E1C">
      <w:pPr>
        <w:pStyle w:val="Prrafodelista2"/>
        <w:tabs>
          <w:tab w:val="left" w:pos="720"/>
        </w:tabs>
        <w:ind w:left="0" w:right="-90"/>
        <w:jc w:val="both"/>
        <w:rPr>
          <w:rFonts w:eastAsia="Batang" w:cs="Times"/>
          <w:lang w:val="es-CR" w:eastAsia="es-CR" w:bidi="ar-SA"/>
        </w:rPr>
      </w:pPr>
    </w:p>
    <w:p w14:paraId="09CC3F31" w14:textId="77777777" w:rsidR="006A0E1C" w:rsidRPr="00D13792" w:rsidRDefault="006A0E1C" w:rsidP="006A0E1C">
      <w:pPr>
        <w:pStyle w:val="Prrafodelista2"/>
        <w:numPr>
          <w:ilvl w:val="0"/>
          <w:numId w:val="23"/>
        </w:numPr>
        <w:tabs>
          <w:tab w:val="left" w:pos="720"/>
          <w:tab w:val="num" w:pos="14735"/>
        </w:tabs>
        <w:ind w:right="-90"/>
        <w:jc w:val="both"/>
        <w:rPr>
          <w:rFonts w:eastAsia="Calibri"/>
          <w:lang w:val="es-CR"/>
        </w:rPr>
      </w:pPr>
      <w:r w:rsidRPr="00D13792">
        <w:rPr>
          <w:rFonts w:eastAsia="Calibri"/>
          <w:lang w:val="es-CR"/>
        </w:rPr>
        <w:t xml:space="preserve">La </w:t>
      </w:r>
      <w:r w:rsidRPr="00D13792">
        <w:rPr>
          <w:rFonts w:eastAsia="Calibri"/>
          <w:b/>
          <w:i/>
          <w:lang w:val="es-CR"/>
        </w:rPr>
        <w:t>Comisión</w:t>
      </w:r>
      <w:r w:rsidRPr="00D13792">
        <w:rPr>
          <w:rFonts w:eastAsia="Calibri"/>
          <w:lang w:val="es-CR"/>
        </w:rPr>
        <w:t xml:space="preserve"> no precisó una medida específica al respecto, sino que de manera general, solicitó reparar adecuadamente en el ámbito individual y colectivo las violaciones de derechos humanos, y precisó que las reparaciones de carácter colectivo deberán ser plenamente consensuadas con los sobrevivientes de la aldea Chichupac y comunidades vecinas con la finalidad de reestablecer su vida comunitaria como parte del pueblo indígena maya achí, y el particular vínculo con sus tierras. Por su parte, los </w:t>
      </w:r>
      <w:r w:rsidRPr="00D13792">
        <w:rPr>
          <w:rFonts w:eastAsia="Calibri"/>
          <w:b/>
          <w:i/>
          <w:lang w:val="es-CR"/>
        </w:rPr>
        <w:t>representantes</w:t>
      </w:r>
      <w:r w:rsidRPr="00D13792">
        <w:rPr>
          <w:rFonts w:eastAsia="Calibri"/>
          <w:lang w:val="es-CR"/>
        </w:rPr>
        <w:t xml:space="preserve"> </w:t>
      </w:r>
      <w:r w:rsidRPr="00D13792">
        <w:rPr>
          <w:rFonts w:cs="Arial"/>
          <w:lang w:val="es-CR"/>
        </w:rPr>
        <w:t xml:space="preserve">no solicitaron reparaciones tendientes a garantizar </w:t>
      </w:r>
      <w:r w:rsidRPr="00D13792">
        <w:rPr>
          <w:rFonts w:eastAsia="Calibri"/>
          <w:lang w:val="es-CR"/>
        </w:rPr>
        <w:t>condiciones</w:t>
      </w:r>
      <w:r w:rsidRPr="00D13792">
        <w:rPr>
          <w:rFonts w:cs="Arial"/>
          <w:lang w:val="es-CR"/>
        </w:rPr>
        <w:t xml:space="preserve"> dignas de retorno a </w:t>
      </w:r>
      <w:r w:rsidRPr="00D13792">
        <w:rPr>
          <w:rFonts w:eastAsia="Batang" w:cs="Times"/>
          <w:lang w:val="es-CR"/>
        </w:rPr>
        <w:t>los</w:t>
      </w:r>
      <w:r w:rsidRPr="00D13792">
        <w:rPr>
          <w:rFonts w:cs="Arial"/>
          <w:lang w:val="es-CR"/>
        </w:rPr>
        <w:t xml:space="preserve"> </w:t>
      </w:r>
      <w:r w:rsidRPr="00D13792">
        <w:rPr>
          <w:rFonts w:eastAsia="Batang" w:cs="Times"/>
          <w:lang w:val="es-CR"/>
        </w:rPr>
        <w:t>lugares</w:t>
      </w:r>
      <w:r w:rsidRPr="00D13792">
        <w:rPr>
          <w:rFonts w:cs="Arial"/>
          <w:lang w:val="es-CR"/>
        </w:rPr>
        <w:t xml:space="preserve"> de </w:t>
      </w:r>
      <w:r w:rsidRPr="00D13792">
        <w:rPr>
          <w:rFonts w:eastAsia="Batang" w:cs="Times"/>
          <w:lang w:val="es-CR"/>
        </w:rPr>
        <w:t>origen</w:t>
      </w:r>
      <w:r w:rsidRPr="00D13792">
        <w:rPr>
          <w:rFonts w:cs="Arial"/>
          <w:lang w:val="es-CR"/>
        </w:rPr>
        <w:t xml:space="preserve"> de las víctimas en el momento procesal oportuno</w:t>
      </w:r>
      <w:r w:rsidRPr="00D13792">
        <w:rPr>
          <w:rFonts w:cs="Arial"/>
          <w:vertAlign w:val="superscript"/>
          <w:lang w:val="es-CR"/>
        </w:rPr>
        <w:footnoteReference w:id="357"/>
      </w:r>
      <w:r w:rsidRPr="00D13792">
        <w:rPr>
          <w:rFonts w:cs="Arial"/>
          <w:lang w:val="es-CR"/>
        </w:rPr>
        <w:t>.</w:t>
      </w:r>
      <w:r w:rsidRPr="00D13792">
        <w:rPr>
          <w:rFonts w:eastAsia="Times New Roman" w:cs="Arial"/>
          <w:lang w:val="es-CR" w:eastAsia="es-CR" w:bidi="ar-SA"/>
        </w:rPr>
        <w:t xml:space="preserve"> Teniendo esto presente</w:t>
      </w:r>
      <w:r w:rsidRPr="00D13792">
        <w:rPr>
          <w:rFonts w:eastAsia="Batang" w:cs="Times"/>
          <w:lang w:val="es-CR" w:eastAsia="es-CR" w:bidi="ar-SA"/>
        </w:rPr>
        <w:t xml:space="preserve">, </w:t>
      </w:r>
      <w:r w:rsidRPr="00D13792">
        <w:rPr>
          <w:rFonts w:eastAsia="Times New Roman"/>
          <w:lang w:val="es-CR" w:eastAsia="es-CR" w:bidi="ar-SA"/>
        </w:rPr>
        <w:t xml:space="preserve">la </w:t>
      </w:r>
      <w:r w:rsidRPr="00D13792">
        <w:rPr>
          <w:rFonts w:eastAsia="Times New Roman"/>
          <w:b/>
          <w:i/>
          <w:lang w:val="es-CR" w:eastAsia="es-CR" w:bidi="ar-SA"/>
        </w:rPr>
        <w:t>Corte</w:t>
      </w:r>
      <w:r w:rsidRPr="00D13792">
        <w:rPr>
          <w:rFonts w:eastAsia="Times New Roman"/>
          <w:lang w:val="es-CR" w:eastAsia="es-CR" w:bidi="ar-SA"/>
        </w:rPr>
        <w:t xml:space="preserve"> requiere al Estado implementar las medidas necesarias para garantizar, en coordinación con los representantes del presente caso, las condiciones adecuadas para</w:t>
      </w:r>
      <w:r w:rsidRPr="00D13792">
        <w:rPr>
          <w:rFonts w:eastAsia="Times New Roman" w:cs="Arial"/>
          <w:lang w:val="es-CR" w:eastAsia="es-CR" w:bidi="ar-SA"/>
        </w:rPr>
        <w:t xml:space="preserve"> que</w:t>
      </w:r>
      <w:r w:rsidRPr="00D13792">
        <w:rPr>
          <w:rFonts w:eastAsia="Times New Roman"/>
          <w:lang w:val="es-CR" w:eastAsia="es-CR" w:bidi="ar-SA"/>
        </w:rPr>
        <w:t xml:space="preserve"> las personas que permanecen desplazadas puedan retornar a sus comunidades de origen, si así lo desean. En particular, en lo que se refiere a las condiciones de seguridad en dichas aldeas. En razón de las particularidades de este caso, l</w:t>
      </w:r>
      <w:r w:rsidRPr="00D13792">
        <w:rPr>
          <w:rFonts w:eastAsia="Batang" w:cs="Times"/>
          <w:lang w:val="es-CR" w:eastAsia="es-CR" w:bidi="ar-SA"/>
        </w:rPr>
        <w:t>a Corte no supervisará el cumplimiento de este punto.</w:t>
      </w:r>
    </w:p>
    <w:p w14:paraId="7BA0FE9C" w14:textId="77777777" w:rsidR="006A0E1C" w:rsidRPr="00D13792" w:rsidRDefault="006A0E1C" w:rsidP="006A0E1C">
      <w:pPr>
        <w:pStyle w:val="Heading2"/>
        <w:ind w:left="720"/>
        <w:rPr>
          <w:rFonts w:eastAsia="Batang" w:cs="Times"/>
          <w:lang w:val="es-CR" w:eastAsia="es-CR"/>
        </w:rPr>
      </w:pPr>
    </w:p>
    <w:p w14:paraId="6A548F45" w14:textId="77777777" w:rsidR="006A0E1C" w:rsidRPr="00D13792" w:rsidRDefault="006A0E1C" w:rsidP="006A0E1C">
      <w:pPr>
        <w:pStyle w:val="Heading2"/>
        <w:tabs>
          <w:tab w:val="clear" w:pos="720"/>
        </w:tabs>
        <w:rPr>
          <w:rFonts w:eastAsia="Batang"/>
          <w:lang w:val="es-CR"/>
        </w:rPr>
      </w:pPr>
      <w:bookmarkStart w:id="260" w:name="_Toc460938903"/>
      <w:bookmarkStart w:id="261" w:name="_Toc469670068"/>
      <w:r w:rsidRPr="00D13792">
        <w:rPr>
          <w:rFonts w:eastAsia="Calibri"/>
          <w:lang w:val="es-CR"/>
        </w:rPr>
        <w:t>D.2. Medidas de rehabilitación:</w:t>
      </w:r>
      <w:r w:rsidRPr="00D13792">
        <w:rPr>
          <w:rFonts w:eastAsia="Calibri"/>
          <w:i w:val="0"/>
          <w:lang w:val="es-CR"/>
        </w:rPr>
        <w:t xml:space="preserve"> </w:t>
      </w:r>
      <w:r w:rsidRPr="00D13792">
        <w:rPr>
          <w:rFonts w:eastAsia="Batang"/>
          <w:lang w:val="es-CR"/>
        </w:rPr>
        <w:t>Atención médica, psicológica o psiquiátrica a las víctimas</w:t>
      </w:r>
      <w:bookmarkEnd w:id="260"/>
      <w:bookmarkEnd w:id="261"/>
    </w:p>
    <w:p w14:paraId="490939C9" w14:textId="77777777" w:rsidR="006A0E1C" w:rsidRPr="00D13792" w:rsidRDefault="006A0E1C" w:rsidP="006A0E1C">
      <w:pPr>
        <w:widowControl/>
        <w:tabs>
          <w:tab w:val="left" w:pos="720"/>
        </w:tabs>
        <w:adjustRightInd/>
        <w:spacing w:line="240" w:lineRule="auto"/>
        <w:textAlignment w:val="auto"/>
        <w:rPr>
          <w:rFonts w:eastAsia="Batang" w:cs="Times"/>
          <w:sz w:val="16"/>
          <w:szCs w:val="20"/>
          <w:lang w:eastAsia="en-US"/>
        </w:rPr>
      </w:pPr>
    </w:p>
    <w:p w14:paraId="01FAA732" w14:textId="77777777" w:rsidR="006A0E1C" w:rsidRPr="00D13792" w:rsidRDefault="006A0E1C" w:rsidP="006A0E1C">
      <w:pPr>
        <w:pStyle w:val="Prrafodelista2"/>
        <w:numPr>
          <w:ilvl w:val="0"/>
          <w:numId w:val="23"/>
        </w:numPr>
        <w:tabs>
          <w:tab w:val="left" w:pos="720"/>
        </w:tabs>
        <w:ind w:right="-90"/>
        <w:jc w:val="both"/>
        <w:rPr>
          <w:rFonts w:cs="Arial"/>
          <w:lang w:val="es-CR"/>
        </w:rPr>
      </w:pPr>
      <w:r w:rsidRPr="00D13792">
        <w:rPr>
          <w:rFonts w:cs="Times"/>
          <w:lang w:val="es-CR"/>
        </w:rPr>
        <w:lastRenderedPageBreak/>
        <w:t xml:space="preserve">La </w:t>
      </w:r>
      <w:r w:rsidRPr="00D13792">
        <w:rPr>
          <w:rFonts w:cs="Times"/>
          <w:b/>
          <w:i/>
          <w:lang w:val="es-CR"/>
        </w:rPr>
        <w:t>Comisión</w:t>
      </w:r>
      <w:r w:rsidRPr="00D13792">
        <w:rPr>
          <w:rFonts w:cs="Times"/>
          <w:lang w:val="es-CR"/>
        </w:rPr>
        <w:t xml:space="preserve"> solicitó a la Corte que ordene al Estado “</w:t>
      </w:r>
      <w:r w:rsidRPr="00D13792">
        <w:rPr>
          <w:rFonts w:cs="Arial"/>
          <w:lang w:val="es-CR"/>
        </w:rPr>
        <w:t xml:space="preserve">la implementación de un programa de </w:t>
      </w:r>
      <w:r w:rsidRPr="00D13792">
        <w:rPr>
          <w:rFonts w:eastAsia="Batang" w:cs="Times"/>
          <w:lang w:val="es-CR"/>
        </w:rPr>
        <w:t>atención</w:t>
      </w:r>
      <w:r w:rsidRPr="00D13792">
        <w:rPr>
          <w:rFonts w:cs="Arial"/>
          <w:lang w:val="es-CR"/>
        </w:rPr>
        <w:t xml:space="preserve"> psicosocial culturalmente adecuado a los sobrevivientes y familiares de las víctimas ejecutadas y desaparecidas”. </w:t>
      </w:r>
      <w:r w:rsidRPr="00D13792">
        <w:rPr>
          <w:rFonts w:cs="Times"/>
          <w:lang w:val="es-CR"/>
        </w:rPr>
        <w:t xml:space="preserve"> </w:t>
      </w:r>
    </w:p>
    <w:p w14:paraId="07ECCE1C"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MS Mincho" w:cs="Arial"/>
          <w:sz w:val="20"/>
          <w:szCs w:val="20"/>
          <w:lang w:eastAsia="en-US"/>
        </w:rPr>
      </w:pPr>
    </w:p>
    <w:p w14:paraId="22ABAA58" w14:textId="77777777" w:rsidR="006A0E1C" w:rsidRPr="00D13792" w:rsidRDefault="006A0E1C" w:rsidP="006A0E1C">
      <w:pPr>
        <w:pStyle w:val="Prrafodelista2"/>
        <w:numPr>
          <w:ilvl w:val="0"/>
          <w:numId w:val="23"/>
        </w:numPr>
        <w:tabs>
          <w:tab w:val="left" w:pos="720"/>
        </w:tabs>
        <w:ind w:right="-90"/>
        <w:jc w:val="both"/>
        <w:rPr>
          <w:rFonts w:cs="Arial"/>
          <w:lang w:val="es-CR"/>
        </w:rPr>
      </w:pPr>
      <w:r w:rsidRPr="00D13792">
        <w:rPr>
          <w:rFonts w:cs="Arial"/>
          <w:lang w:val="es-CR"/>
        </w:rPr>
        <w:t xml:space="preserve">Los </w:t>
      </w:r>
      <w:r w:rsidRPr="00D13792">
        <w:rPr>
          <w:rFonts w:cs="Arial"/>
          <w:b/>
          <w:i/>
          <w:lang w:val="es-CR"/>
        </w:rPr>
        <w:t>representantes</w:t>
      </w:r>
      <w:r w:rsidRPr="00D13792">
        <w:rPr>
          <w:rFonts w:cs="Arial"/>
          <w:lang w:val="es-CR"/>
        </w:rPr>
        <w:t xml:space="preserve"> </w:t>
      </w:r>
      <w:r w:rsidRPr="00D13792">
        <w:rPr>
          <w:rFonts w:eastAsia="Calibri" w:cs="Calibri"/>
          <w:lang w:val="es-CR"/>
        </w:rPr>
        <w:t xml:space="preserve">solicitaron “la determinación de medidas que permitan la rehabilitación de las víctimas de las violaciones denunciadas en el presente caso y de sus familiares”. En sus alegatos finales solicitaron, en particular, </w:t>
      </w:r>
      <w:r w:rsidRPr="00D13792">
        <w:rPr>
          <w:rFonts w:eastAsia="Batang" w:cs="Times"/>
          <w:lang w:val="es-CR"/>
        </w:rPr>
        <w:t>tratamiento médico, psicológico, y odontológico gratuito.</w:t>
      </w:r>
      <w:r w:rsidRPr="00D13792">
        <w:rPr>
          <w:rFonts w:eastAsia="Calibri" w:cs="Calibri"/>
          <w:lang w:val="es-CR"/>
        </w:rPr>
        <w:t xml:space="preserve"> Así, solicitaron que la Corte ordene al </w:t>
      </w:r>
      <w:r w:rsidRPr="00D13792">
        <w:rPr>
          <w:rFonts w:eastAsia="Batang" w:cs="Times"/>
          <w:lang w:val="es-CR"/>
        </w:rPr>
        <w:t>Estado</w:t>
      </w:r>
      <w:r w:rsidRPr="00D13792">
        <w:rPr>
          <w:rFonts w:eastAsia="Calibri" w:cs="Calibri"/>
          <w:lang w:val="es-CR"/>
        </w:rPr>
        <w:t xml:space="preserve"> brindar </w:t>
      </w:r>
      <w:r w:rsidRPr="00D13792">
        <w:rPr>
          <w:rFonts w:eastAsia="Calibri" w:cs="Verdana"/>
          <w:lang w:val="es-CR"/>
        </w:rPr>
        <w:t xml:space="preserve">“de forma </w:t>
      </w:r>
      <w:r w:rsidRPr="00D13792">
        <w:rPr>
          <w:rFonts w:eastAsia="Batang" w:cs="Times"/>
          <w:spacing w:val="-2"/>
          <w:lang w:val="es-CR"/>
        </w:rPr>
        <w:t>inmediata</w:t>
      </w:r>
      <w:r w:rsidRPr="00D13792">
        <w:rPr>
          <w:rFonts w:eastAsia="Calibri" w:cs="Verdana"/>
          <w:lang w:val="es-CR"/>
        </w:rPr>
        <w:t>, a las víctimas que lo deseen y previo consentimiento informado, tratamiento médico y psicológico por el tiempo que sea necesario, incluida la provisión gratuita de medicamentos. El tratamiento médico y psicológico debe brindarse por personal e instituciones estatales [, y…] dicha atención médica y psicológica podrá llevarse a cabo a través de los sanadores de la comunidad maya [a]chí, de acuerdo a sus propias prácticas de salud y mediante el uso de medicinas tradicionales”.</w:t>
      </w:r>
    </w:p>
    <w:p w14:paraId="2EB2B5D9" w14:textId="77777777" w:rsidR="006A0E1C" w:rsidRPr="00D13792" w:rsidRDefault="006A0E1C" w:rsidP="006A0E1C">
      <w:pPr>
        <w:widowControl/>
        <w:adjustRightInd/>
        <w:spacing w:line="240" w:lineRule="auto"/>
        <w:ind w:left="720"/>
        <w:contextualSpacing/>
        <w:textAlignment w:val="auto"/>
        <w:rPr>
          <w:rFonts w:eastAsia="MS Mincho" w:cs="Arial"/>
          <w:sz w:val="20"/>
          <w:szCs w:val="20"/>
          <w:lang w:eastAsia="en-US"/>
        </w:rPr>
      </w:pPr>
    </w:p>
    <w:p w14:paraId="18F6FFCB" w14:textId="77777777" w:rsidR="006A0E1C" w:rsidRPr="00D13792" w:rsidRDefault="006A0E1C" w:rsidP="006A0E1C">
      <w:pPr>
        <w:pStyle w:val="Prrafodelista2"/>
        <w:numPr>
          <w:ilvl w:val="0"/>
          <w:numId w:val="23"/>
        </w:numPr>
        <w:tabs>
          <w:tab w:val="left" w:pos="720"/>
        </w:tabs>
        <w:ind w:right="-90"/>
        <w:jc w:val="both"/>
        <w:rPr>
          <w:rFonts w:eastAsia="Batang" w:cs="Verdana"/>
          <w:lang w:val="es-CR"/>
        </w:rPr>
      </w:pPr>
      <w:r w:rsidRPr="00D13792">
        <w:rPr>
          <w:rFonts w:eastAsia="Batang" w:cs="Times"/>
          <w:lang w:val="es-CR"/>
        </w:rPr>
        <w:t xml:space="preserve">El </w:t>
      </w:r>
      <w:r w:rsidRPr="00D13792">
        <w:rPr>
          <w:rFonts w:eastAsia="Batang" w:cs="Times"/>
          <w:b/>
          <w:i/>
          <w:lang w:val="es-CR"/>
        </w:rPr>
        <w:t>Estado</w:t>
      </w:r>
      <w:r w:rsidRPr="00D13792">
        <w:rPr>
          <w:rFonts w:eastAsia="Batang" w:cs="Times"/>
          <w:lang w:val="es-CR"/>
        </w:rPr>
        <w:t xml:space="preserve"> informó que el </w:t>
      </w:r>
      <w:r w:rsidRPr="00D13792">
        <w:rPr>
          <w:rFonts w:eastAsia="Calibri" w:cs="Verdana"/>
          <w:lang w:val="es-CR"/>
        </w:rPr>
        <w:t>PNR</w:t>
      </w:r>
      <w:r w:rsidRPr="00D13792">
        <w:rPr>
          <w:rFonts w:eastAsia="Batang" w:cs="Times"/>
          <w:lang w:val="es-CR"/>
        </w:rPr>
        <w:t xml:space="preserve"> otorga a las víctimas sobrevivientes y a los familiares de víctimas, la medida de reparación psicosocial, </w:t>
      </w:r>
      <w:r w:rsidRPr="00D13792">
        <w:rPr>
          <w:rFonts w:eastAsia="Batang" w:cs="Times"/>
          <w:spacing w:val="-2"/>
          <w:lang w:val="es-CR"/>
        </w:rPr>
        <w:t>que</w:t>
      </w:r>
      <w:r w:rsidRPr="00D13792">
        <w:rPr>
          <w:rFonts w:eastAsia="Batang" w:cs="Times"/>
          <w:lang w:val="es-CR"/>
        </w:rPr>
        <w:t xml:space="preserve"> consiste en brindar atención profesional a las víctimas de violaciones de derechos humanos durante el enfrentamiento armado, tanto a nivel individual, como familiar y comunitario, con atención dirigida a mujeres, niños, niñas y jóvenes, y con absoluto respeto a la </w:t>
      </w:r>
      <w:r w:rsidRPr="00D13792">
        <w:rPr>
          <w:rFonts w:eastAsia="Calibri"/>
          <w:lang w:val="es-CR"/>
        </w:rPr>
        <w:t>identidad</w:t>
      </w:r>
      <w:r w:rsidRPr="00D13792">
        <w:rPr>
          <w:rFonts w:eastAsia="Batang" w:cs="Times"/>
          <w:lang w:val="es-CR"/>
        </w:rPr>
        <w:t xml:space="preserve"> étnica y cultural de cada uno. Para la implementación de estas acciones el PNR coordina acciones con el Programa Nacional de Salud Mental del Ministerio de Salud Pública y Asistencia Social. Este componente incluye capacitaciones con enfoque multicultural y comunitario dirigidas a profesionales. El Estado consideró “muy acertada la sugerencia de los representantes respecto a que la atención psicológica que se brinde a las víctimas sea con su </w:t>
      </w:r>
      <w:r w:rsidRPr="00D13792">
        <w:rPr>
          <w:rFonts w:eastAsia="Batang" w:cs="Times"/>
          <w:bCs/>
          <w:lang w:val="es-CR"/>
        </w:rPr>
        <w:t>previo consentimiento</w:t>
      </w:r>
      <w:r w:rsidRPr="00D13792">
        <w:rPr>
          <w:rFonts w:eastAsia="Batang" w:cs="Times"/>
          <w:lang w:val="es-CR"/>
        </w:rPr>
        <w:t>, esto debido a que en comunidades, como por ejemplo la aldea de Plan de Sánchez y Concúl del mismo municipio de Rabinal, las víctimas no acuden a recibir la terapia psicológica, pero no se les puede obligar a recibirla con el solo fin de dar cumplimiento a una obligación internacional. Por lo cual, el Estado está de acuerdo en que las terapias psicológicas y médicas deben ser opcionales y no obligatorias, además que se emita una lista de personas que deberán recibir estos tratamientos”.</w:t>
      </w:r>
    </w:p>
    <w:p w14:paraId="56BFC22F"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09"/>
        <w:contextualSpacing/>
        <w:textAlignment w:val="auto"/>
        <w:rPr>
          <w:rFonts w:eastAsia="Calibri" w:cs="Verdana"/>
          <w:sz w:val="20"/>
          <w:szCs w:val="20"/>
          <w:lang w:eastAsia="en-US"/>
        </w:rPr>
      </w:pPr>
    </w:p>
    <w:p w14:paraId="15896672" w14:textId="77777777" w:rsidR="006A0E1C" w:rsidRPr="00D13792" w:rsidRDefault="006A0E1C" w:rsidP="006A0E1C">
      <w:pPr>
        <w:pStyle w:val="Prrafodelista2"/>
        <w:numPr>
          <w:ilvl w:val="0"/>
          <w:numId w:val="23"/>
        </w:numPr>
        <w:tabs>
          <w:tab w:val="left" w:pos="720"/>
        </w:tabs>
        <w:ind w:right="-90"/>
        <w:jc w:val="both"/>
        <w:rPr>
          <w:rFonts w:eastAsia="Batang" w:cs="Verdana"/>
          <w:lang w:val="es-CR"/>
        </w:rPr>
      </w:pPr>
      <w:r w:rsidRPr="00D13792">
        <w:rPr>
          <w:rFonts w:eastAsia="Batang" w:cs="Times"/>
          <w:spacing w:val="-2"/>
          <w:lang w:val="es-CR"/>
        </w:rPr>
        <w:t xml:space="preserve">En los </w:t>
      </w:r>
      <w:r w:rsidRPr="00D13792">
        <w:rPr>
          <w:rFonts w:eastAsia="Batang"/>
          <w:spacing w:val="-2"/>
          <w:lang w:val="es-CR"/>
        </w:rPr>
        <w:t>Capítulos IX.I y IX.II</w:t>
      </w:r>
      <w:r w:rsidRPr="00D13792">
        <w:rPr>
          <w:rFonts w:eastAsia="Batang" w:cs="Arial"/>
          <w:spacing w:val="-2"/>
          <w:lang w:val="es-CR"/>
        </w:rPr>
        <w:t xml:space="preserve"> </w:t>
      </w:r>
      <w:r w:rsidRPr="00D13792">
        <w:rPr>
          <w:rFonts w:eastAsia="Batang" w:cs="Times"/>
          <w:spacing w:val="-2"/>
          <w:lang w:val="es-CR"/>
        </w:rPr>
        <w:t xml:space="preserve">de esta Sentencia, la </w:t>
      </w:r>
      <w:r w:rsidRPr="00D13792">
        <w:rPr>
          <w:rFonts w:eastAsia="Batang" w:cs="Times"/>
          <w:b/>
          <w:i/>
          <w:spacing w:val="-2"/>
          <w:lang w:val="es-CR"/>
        </w:rPr>
        <w:t>Corte</w:t>
      </w:r>
      <w:r w:rsidRPr="00D13792">
        <w:rPr>
          <w:rFonts w:eastAsia="Batang" w:cs="Times"/>
          <w:spacing w:val="-2"/>
          <w:lang w:val="es-CR"/>
        </w:rPr>
        <w:t xml:space="preserve"> concluyó que la desaparición forzada de </w:t>
      </w:r>
      <w:r w:rsidRPr="00D13792">
        <w:rPr>
          <w:rFonts w:eastAsia="Batang"/>
          <w:spacing w:val="-2"/>
          <w:lang w:val="es-CR"/>
        </w:rPr>
        <w:t>22</w:t>
      </w:r>
      <w:r w:rsidRPr="00D13792">
        <w:rPr>
          <w:rFonts w:eastAsia="Batang" w:cs="Times"/>
          <w:spacing w:val="-2"/>
          <w:lang w:val="es-CR"/>
        </w:rPr>
        <w:t xml:space="preserve"> víctima</w:t>
      </w:r>
      <w:r w:rsidRPr="00D13792">
        <w:rPr>
          <w:rFonts w:eastAsia="Batang" w:cs="Arial"/>
          <w:spacing w:val="-2"/>
          <w:lang w:val="es-CR"/>
        </w:rPr>
        <w:t>s</w:t>
      </w:r>
      <w:r w:rsidRPr="00D13792">
        <w:rPr>
          <w:rFonts w:eastAsia="Batang" w:cs="Times"/>
          <w:spacing w:val="-2"/>
          <w:lang w:val="es-CR"/>
        </w:rPr>
        <w:t xml:space="preserve"> generó en sus familiares una violación a </w:t>
      </w:r>
      <w:r w:rsidRPr="00D13792">
        <w:rPr>
          <w:rFonts w:eastAsia="Calibri" w:cs="Times"/>
          <w:spacing w:val="-2"/>
          <w:lang w:val="es-CR"/>
        </w:rPr>
        <w:t xml:space="preserve">su integridad psíquica y moral, y que </w:t>
      </w:r>
      <w:r w:rsidRPr="00D13792">
        <w:rPr>
          <w:rFonts w:eastAsia="Batang" w:cs="Times"/>
          <w:lang w:val="es-CR"/>
        </w:rPr>
        <w:t xml:space="preserve">la omisión de garantizar medidas de retorno o reasentamiento en las víctimas desplazadas tuvieron afectaciones e impactos diferenciados en sus proyectos de vida, relaciones y </w:t>
      </w:r>
      <w:r w:rsidRPr="00D13792">
        <w:rPr>
          <w:rFonts w:eastAsia="Times"/>
          <w:lang w:val="es-CR"/>
        </w:rPr>
        <w:t xml:space="preserve">estructura familiar, y </w:t>
      </w:r>
      <w:r w:rsidRPr="00D13792">
        <w:rPr>
          <w:rFonts w:eastAsia="Batang" w:cs="Times"/>
          <w:lang w:val="es-CR"/>
        </w:rPr>
        <w:t xml:space="preserve">en su identidad étnica y cultural, así como en las víctimas mujeres, niñas y niños </w:t>
      </w:r>
      <w:r w:rsidRPr="00D13792">
        <w:rPr>
          <w:rFonts w:eastAsia="Calibri" w:cs="Times"/>
          <w:spacing w:val="-2"/>
          <w:lang w:val="es-CR"/>
        </w:rPr>
        <w:t>(</w:t>
      </w:r>
      <w:r w:rsidRPr="00D13792">
        <w:rPr>
          <w:rFonts w:eastAsia="Calibri"/>
          <w:i/>
          <w:spacing w:val="-2"/>
          <w:lang w:val="es-CR"/>
        </w:rPr>
        <w:t xml:space="preserve">supra </w:t>
      </w:r>
      <w:r w:rsidRPr="00D13792">
        <w:rPr>
          <w:rFonts w:eastAsia="Calibri"/>
          <w:spacing w:val="-2"/>
          <w:lang w:val="es-CR"/>
        </w:rPr>
        <w:t>párrs. 164, 190, 197, 198 y 202).</w:t>
      </w:r>
      <w:r w:rsidRPr="00D13792" w:rsidDel="00AB04D0">
        <w:rPr>
          <w:rFonts w:eastAsia="Batang" w:cs="Verdana"/>
          <w:lang w:val="es-CR"/>
        </w:rPr>
        <w:t xml:space="preserve"> </w:t>
      </w:r>
      <w:r w:rsidRPr="00D13792">
        <w:rPr>
          <w:rFonts w:eastAsia="Batang" w:cs="Verdana"/>
          <w:lang w:val="es-CR"/>
        </w:rPr>
        <w:t>Al respecto, durante la audiencia pública el perito Luís Raúl Salvadó</w:t>
      </w:r>
      <w:r w:rsidRPr="00D13792">
        <w:rPr>
          <w:rFonts w:eastAsia="Batang" w:cs="Times"/>
          <w:lang w:val="es-CR"/>
        </w:rPr>
        <w:t xml:space="preserve"> Cardoza</w:t>
      </w:r>
      <w:r w:rsidRPr="00D13792">
        <w:rPr>
          <w:rFonts w:eastAsia="Batang" w:cs="Verdana"/>
          <w:lang w:val="es-CR"/>
        </w:rPr>
        <w:t xml:space="preserve"> señaló la importancia de la ayuda psicológica a la </w:t>
      </w:r>
      <w:r w:rsidRPr="00D13792">
        <w:rPr>
          <w:rFonts w:eastAsia="Batang" w:cs="Times"/>
          <w:spacing w:val="-2"/>
          <w:lang w:val="es-CR"/>
        </w:rPr>
        <w:t>población</w:t>
      </w:r>
      <w:r w:rsidRPr="00D13792">
        <w:rPr>
          <w:rFonts w:eastAsia="Batang" w:cs="Verdana"/>
          <w:lang w:val="es-CR"/>
        </w:rPr>
        <w:t xml:space="preserve"> desplazada, resaltando la necesidad de acciones de “psicología social”</w:t>
      </w:r>
      <w:r w:rsidRPr="00D13792">
        <w:rPr>
          <w:rFonts w:eastAsia="Batang" w:cs="Times"/>
          <w:lang w:val="es-CR"/>
        </w:rPr>
        <w:t>.</w:t>
      </w:r>
      <w:r w:rsidRPr="00D13792">
        <w:rPr>
          <w:rFonts w:eastAsia="Batang" w:cs="Times"/>
          <w:b/>
          <w:lang w:val="es-CR"/>
        </w:rPr>
        <w:t xml:space="preserve"> </w:t>
      </w:r>
      <w:r w:rsidRPr="00D13792">
        <w:rPr>
          <w:rFonts w:eastAsia="Batang" w:cs="Times"/>
          <w:lang w:val="es-CR"/>
        </w:rPr>
        <w:t>Por otra parte, si bien el Acuerdo Gubernativo 539-2013 del Presidente de la República dispone como medida de resarcimiento dentro del PRN, la medida de “Reparación Psicosocial y Rehabilitación”</w:t>
      </w:r>
      <w:r w:rsidRPr="00D13792">
        <w:rPr>
          <w:rFonts w:eastAsia="Batang" w:cs="Times"/>
          <w:vertAlign w:val="superscript"/>
          <w:lang w:val="es-CR"/>
        </w:rPr>
        <w:footnoteReference w:id="358"/>
      </w:r>
      <w:r w:rsidRPr="00D13792">
        <w:rPr>
          <w:rFonts w:eastAsia="Batang" w:cs="Times"/>
          <w:lang w:val="es-CR"/>
        </w:rPr>
        <w:t xml:space="preserve">, el Estado no ha demostrado que ha brindado tal medida a las víctimas del presente caso. Además, tal como se ha señalado, el Estado no ha controvertido que la oficina del PRN del municipio de Rabinal se cerró </w:t>
      </w:r>
      <w:r w:rsidRPr="00D13792">
        <w:rPr>
          <w:rFonts w:eastAsia="Batang"/>
          <w:lang w:val="es-CR"/>
        </w:rPr>
        <w:t>(</w:t>
      </w:r>
      <w:r w:rsidRPr="00D13792">
        <w:rPr>
          <w:rFonts w:eastAsia="Batang"/>
          <w:i/>
          <w:lang w:val="es-CR"/>
        </w:rPr>
        <w:t xml:space="preserve">supra </w:t>
      </w:r>
      <w:r w:rsidRPr="00D13792">
        <w:rPr>
          <w:rFonts w:eastAsia="Batang"/>
          <w:lang w:val="es-CR"/>
        </w:rPr>
        <w:t>párr. 280)</w:t>
      </w:r>
      <w:r w:rsidRPr="00D13792">
        <w:rPr>
          <w:rFonts w:eastAsia="Batang" w:cs="Times"/>
          <w:lang w:val="es-CR"/>
        </w:rPr>
        <w:t xml:space="preserve">.  </w:t>
      </w:r>
    </w:p>
    <w:p w14:paraId="532BEBA5" w14:textId="77777777" w:rsidR="006A0E1C" w:rsidRPr="00D13792" w:rsidRDefault="006A0E1C" w:rsidP="006A0E1C">
      <w:pPr>
        <w:widowControl/>
        <w:adjustRightInd/>
        <w:spacing w:line="240" w:lineRule="auto"/>
        <w:ind w:right="-138"/>
        <w:contextualSpacing/>
        <w:textAlignment w:val="auto"/>
        <w:rPr>
          <w:rFonts w:eastAsia="Calibri" w:cs="Verdana"/>
          <w:sz w:val="20"/>
          <w:szCs w:val="20"/>
          <w:lang w:eastAsia="en-US"/>
        </w:rPr>
      </w:pPr>
    </w:p>
    <w:p w14:paraId="56FBF6AD" w14:textId="77777777" w:rsidR="006A0E1C" w:rsidRPr="00D13792" w:rsidRDefault="006A0E1C" w:rsidP="006A0E1C">
      <w:pPr>
        <w:pStyle w:val="Prrafodelista2"/>
        <w:numPr>
          <w:ilvl w:val="0"/>
          <w:numId w:val="23"/>
        </w:numPr>
        <w:tabs>
          <w:tab w:val="left" w:pos="720"/>
        </w:tabs>
        <w:ind w:right="-90"/>
        <w:jc w:val="both"/>
        <w:rPr>
          <w:rFonts w:eastAsia="Batang" w:cs="Times"/>
          <w:spacing w:val="-2"/>
          <w:lang w:val="es-CR"/>
        </w:rPr>
      </w:pPr>
      <w:r w:rsidRPr="00D13792">
        <w:rPr>
          <w:rFonts w:eastAsia="Batang" w:cs="Times"/>
          <w:spacing w:val="-2"/>
          <w:lang w:val="es-CR"/>
        </w:rPr>
        <w:t>Por lo tanto, l</w:t>
      </w:r>
      <w:r w:rsidRPr="00D13792">
        <w:rPr>
          <w:rFonts w:eastAsia="Batang" w:cs="Verdana-Italic"/>
          <w:spacing w:val="-2"/>
          <w:lang w:val="es-CR"/>
        </w:rPr>
        <w:t xml:space="preserve">a Corte </w:t>
      </w:r>
      <w:r w:rsidRPr="00D13792">
        <w:rPr>
          <w:rFonts w:eastAsia="Batang" w:cs="Times"/>
          <w:spacing w:val="-2"/>
          <w:lang w:val="es-CR"/>
        </w:rPr>
        <w:t>estima, como lo ha hecho en otros casos</w:t>
      </w:r>
      <w:r w:rsidRPr="00D13792">
        <w:rPr>
          <w:rFonts w:eastAsia="Batang" w:cs="Times"/>
          <w:spacing w:val="-2"/>
          <w:vertAlign w:val="superscript"/>
          <w:lang w:val="es-CR"/>
        </w:rPr>
        <w:footnoteReference w:id="359"/>
      </w:r>
      <w:r w:rsidRPr="00D13792">
        <w:rPr>
          <w:rFonts w:eastAsia="Batang" w:cs="Times"/>
          <w:spacing w:val="-2"/>
          <w:lang w:val="es-CR"/>
        </w:rPr>
        <w:t xml:space="preserve">, que es preciso disponer una medida de reparación que brinde una atención adecuada a los padecimientos psicológicos y físicos sufridos por las víctimas derivados de las violaciones establecidas en la presente Sentencia. Con el fin de contribuir a la reparación de estos daños, el Tribunal dispone la obligación a cargo del Estado de brindar </w:t>
      </w:r>
      <w:r w:rsidRPr="00D13792">
        <w:rPr>
          <w:rFonts w:eastAsia="Calibri" w:cs="Verdana"/>
          <w:lang w:val="es-CR"/>
        </w:rPr>
        <w:t>gratuitamente</w:t>
      </w:r>
      <w:r w:rsidRPr="00D13792">
        <w:rPr>
          <w:rFonts w:eastAsia="Batang" w:cs="Times"/>
          <w:spacing w:val="-2"/>
          <w:lang w:val="es-CR"/>
        </w:rPr>
        <w:t xml:space="preserve">, a través de sus instituciones de salud especializadas, y de forma inmediata, </w:t>
      </w:r>
      <w:r w:rsidRPr="00D13792">
        <w:rPr>
          <w:rFonts w:eastAsia="Batang" w:cs="Times"/>
          <w:lang w:val="es-CR"/>
        </w:rPr>
        <w:t>adecuada</w:t>
      </w:r>
      <w:r w:rsidRPr="00D13792">
        <w:rPr>
          <w:rFonts w:eastAsia="Batang" w:cs="Times"/>
          <w:spacing w:val="-2"/>
          <w:lang w:val="es-CR"/>
        </w:rPr>
        <w:t xml:space="preserve">, integral y efectiva, tratamiento médico y </w:t>
      </w:r>
      <w:r w:rsidRPr="00D13792">
        <w:rPr>
          <w:rFonts w:eastAsia="Batang" w:cs="Times"/>
          <w:spacing w:val="-2"/>
          <w:lang w:val="es-CR"/>
        </w:rPr>
        <w:lastRenderedPageBreak/>
        <w:t xml:space="preserve">psicológico o psiquiátrico a las víctimas que así lo soliciten, </w:t>
      </w:r>
      <w:r w:rsidRPr="00D13792">
        <w:rPr>
          <w:rFonts w:eastAsia="Batang" w:cs="Verdana-Italic"/>
          <w:spacing w:val="-2"/>
          <w:lang w:val="es-CR"/>
        </w:rPr>
        <w:t>previo consentimiento informado,</w:t>
      </w:r>
      <w:r w:rsidRPr="00D13792">
        <w:rPr>
          <w:rFonts w:eastAsia="Batang" w:cs="Times"/>
          <w:spacing w:val="-2"/>
          <w:lang w:val="es-CR"/>
        </w:rPr>
        <w:t xml:space="preserve"> incluyendo el suministro gratuito de los medicamentos que eventualmente se requieran, tomando en consideración los padecimientos de cada uno de ellos. Lo anterior implica que, al ser víctimas de violaciones de derechos humanos, aquellas deberán recibir un tratamiento preferencial en relación con el trámite y procedimiento que debieran realizar para ser atendidos en instituciones públicas. Asimismo, los tratamientos respectivos deberán prestarse, en la medida de lo posible, en los centros más cercanos a sus lugares de residencia por el tiempo que sea necesario. Al proveer el tratamiento psicológico o psiquiátrico se debe considerar, además, las circunstancias y necesidades particulares de cada víctima, de manera que se les brinden tratamientos colectivos, familiares e individuales, según lo que se acuerde con cada una de ellas y después de una evaluación individual. Las víctimas que soliciten esta medida de reparación, o sus representantes legales, disponen de un plazo de seis meses, contado a partir de la notificación de la presente Sentencia, para dar a conocer a COPREDEH su intención de recibir atención médica, psicológica o psiquiátrica. </w:t>
      </w:r>
    </w:p>
    <w:p w14:paraId="1B332D9B" w14:textId="77777777" w:rsidR="006A0E1C" w:rsidRPr="00D13792" w:rsidRDefault="006A0E1C" w:rsidP="006A0E1C">
      <w:pPr>
        <w:pStyle w:val="Prrafodelista2"/>
        <w:tabs>
          <w:tab w:val="left" w:pos="720"/>
        </w:tabs>
        <w:ind w:right="-90"/>
        <w:jc w:val="both"/>
        <w:rPr>
          <w:rFonts w:eastAsia="Calibri"/>
          <w:szCs w:val="22"/>
          <w:lang w:val="es-CR"/>
        </w:rPr>
      </w:pPr>
    </w:p>
    <w:p w14:paraId="15695639" w14:textId="77777777" w:rsidR="006A0E1C" w:rsidRPr="00D13792" w:rsidRDefault="006A0E1C" w:rsidP="006A0E1C">
      <w:pPr>
        <w:pStyle w:val="Prrafodelista2"/>
        <w:numPr>
          <w:ilvl w:val="0"/>
          <w:numId w:val="23"/>
        </w:numPr>
        <w:tabs>
          <w:tab w:val="left" w:pos="720"/>
        </w:tabs>
        <w:ind w:right="-90"/>
        <w:jc w:val="both"/>
        <w:rPr>
          <w:rFonts w:eastAsia="Batang" w:cs="Verdana"/>
          <w:lang w:val="es-CR"/>
        </w:rPr>
      </w:pPr>
      <w:r w:rsidRPr="00D13792">
        <w:rPr>
          <w:rFonts w:eastAsia="Batang" w:cs="Times"/>
          <w:lang w:val="es-CR"/>
        </w:rPr>
        <w:t xml:space="preserve">En atención a lo solicitado por los representantes </w:t>
      </w:r>
      <w:r w:rsidRPr="00D13792">
        <w:rPr>
          <w:rFonts w:eastAsia="Batang"/>
          <w:lang w:val="es-CR"/>
        </w:rPr>
        <w:t>(</w:t>
      </w:r>
      <w:r w:rsidRPr="00D13792">
        <w:rPr>
          <w:rFonts w:eastAsia="Batang"/>
          <w:i/>
          <w:lang w:val="es-CR"/>
        </w:rPr>
        <w:t xml:space="preserve">supra </w:t>
      </w:r>
      <w:r w:rsidRPr="00D13792">
        <w:rPr>
          <w:rFonts w:eastAsia="Batang"/>
          <w:lang w:val="es-CR"/>
        </w:rPr>
        <w:t>párr. 300),</w:t>
      </w:r>
      <w:r w:rsidRPr="00D13792">
        <w:rPr>
          <w:rFonts w:eastAsia="Batang" w:cs="Times"/>
          <w:lang w:val="es-CR"/>
        </w:rPr>
        <w:t xml:space="preserve"> dicha atención </w:t>
      </w:r>
      <w:r w:rsidRPr="00D13792">
        <w:rPr>
          <w:rFonts w:eastAsia="Batang"/>
          <w:spacing w:val="-2"/>
          <w:lang w:val="es-CR"/>
        </w:rPr>
        <w:t>médica</w:t>
      </w:r>
      <w:r w:rsidRPr="00D13792">
        <w:rPr>
          <w:rFonts w:eastAsia="Batang" w:cs="Times"/>
          <w:lang w:val="es-CR"/>
        </w:rPr>
        <w:t xml:space="preserve"> y psicológica podrá llevarse a cabo a través de los sanadores de la comunidad maya achí, de acuerdo a sus </w:t>
      </w:r>
      <w:r w:rsidRPr="00D13792">
        <w:rPr>
          <w:rFonts w:eastAsia="Batang" w:cs="Times"/>
          <w:spacing w:val="-2"/>
          <w:lang w:val="es-CR"/>
        </w:rPr>
        <w:t>propias</w:t>
      </w:r>
      <w:r w:rsidRPr="00D13792">
        <w:rPr>
          <w:rFonts w:eastAsia="Batang" w:cs="Times"/>
          <w:lang w:val="es-CR"/>
        </w:rPr>
        <w:t xml:space="preserve"> </w:t>
      </w:r>
      <w:r w:rsidRPr="00D13792">
        <w:rPr>
          <w:rFonts w:eastAsia="Calibri" w:cs="Verdana"/>
          <w:lang w:val="es-CR"/>
        </w:rPr>
        <w:t>prácticas</w:t>
      </w:r>
      <w:r w:rsidRPr="00D13792">
        <w:rPr>
          <w:rFonts w:eastAsia="Batang" w:cs="Times"/>
          <w:lang w:val="es-CR"/>
        </w:rPr>
        <w:t xml:space="preserve"> de salud y mediante el uso de medicinas tradicionales</w:t>
      </w:r>
      <w:r w:rsidRPr="00D13792">
        <w:rPr>
          <w:rFonts w:eastAsia="Batang" w:cs="Times"/>
          <w:vertAlign w:val="superscript"/>
          <w:lang w:val="es-CR"/>
        </w:rPr>
        <w:footnoteReference w:id="360"/>
      </w:r>
      <w:r w:rsidRPr="00D13792">
        <w:rPr>
          <w:rFonts w:eastAsia="Batang" w:cs="Times"/>
          <w:lang w:val="es-CR"/>
        </w:rPr>
        <w:t xml:space="preserve">, para lo cual el Estado deberá, a través de la entidad estatal encargada de brindar atención a la salud de los pueblos indígenas de Guatemala, acordar con los representantes la forma en que esta reparación se llevará a cabo. </w:t>
      </w:r>
    </w:p>
    <w:p w14:paraId="051D840E" w14:textId="77777777" w:rsidR="006A0E1C" w:rsidRPr="00D13792" w:rsidRDefault="006A0E1C" w:rsidP="006A0E1C">
      <w:pPr>
        <w:pStyle w:val="Prrafodelista2"/>
        <w:tabs>
          <w:tab w:val="left" w:pos="720"/>
        </w:tabs>
        <w:ind w:left="0" w:right="-90"/>
        <w:jc w:val="both"/>
        <w:rPr>
          <w:rFonts w:eastAsia="Batang" w:cs="Verdana"/>
          <w:b/>
          <w:lang w:val="es-CR"/>
        </w:rPr>
      </w:pPr>
    </w:p>
    <w:p w14:paraId="585FBB2A" w14:textId="77777777" w:rsidR="006A0E1C" w:rsidRPr="00D13792" w:rsidRDefault="006A0E1C" w:rsidP="006A0E1C">
      <w:pPr>
        <w:pStyle w:val="Heading2"/>
        <w:tabs>
          <w:tab w:val="clear" w:pos="720"/>
        </w:tabs>
        <w:rPr>
          <w:rFonts w:eastAsia="Calibri"/>
          <w:lang w:val="es-CR"/>
        </w:rPr>
      </w:pPr>
      <w:bookmarkStart w:id="262" w:name="_Toc460938904"/>
      <w:bookmarkStart w:id="263" w:name="_Toc469670069"/>
      <w:r w:rsidRPr="00D13792">
        <w:rPr>
          <w:rFonts w:eastAsia="Calibri"/>
          <w:lang w:val="es-CR"/>
        </w:rPr>
        <w:t>D.3. Medidas de satisfacción</w:t>
      </w:r>
      <w:bookmarkEnd w:id="262"/>
      <w:bookmarkEnd w:id="263"/>
    </w:p>
    <w:p w14:paraId="6B9C2F4B" w14:textId="77777777" w:rsidR="006A0E1C" w:rsidRPr="00D13792" w:rsidRDefault="006A0E1C" w:rsidP="006A0E1C">
      <w:pPr>
        <w:tabs>
          <w:tab w:val="left" w:pos="720"/>
          <w:tab w:val="left" w:pos="2160"/>
          <w:tab w:val="left" w:pos="2880"/>
          <w:tab w:val="left" w:pos="3600"/>
          <w:tab w:val="left" w:pos="4320"/>
          <w:tab w:val="left" w:pos="5760"/>
          <w:tab w:val="left" w:pos="6480"/>
          <w:tab w:val="left" w:pos="7200"/>
          <w:tab w:val="left" w:pos="7920"/>
        </w:tabs>
        <w:adjustRightInd/>
        <w:spacing w:line="240" w:lineRule="auto"/>
        <w:textAlignment w:val="auto"/>
        <w:rPr>
          <w:rFonts w:eastAsia="MS Mincho"/>
          <w:i/>
          <w:sz w:val="16"/>
          <w:szCs w:val="20"/>
          <w:lang w:eastAsia="en-US"/>
        </w:rPr>
      </w:pPr>
    </w:p>
    <w:p w14:paraId="61CF45CF" w14:textId="77777777" w:rsidR="006A0E1C" w:rsidRPr="00D13792" w:rsidRDefault="006A0E1C" w:rsidP="006A0E1C">
      <w:pPr>
        <w:pStyle w:val="Heading2"/>
        <w:tabs>
          <w:tab w:val="clear" w:pos="720"/>
        </w:tabs>
        <w:rPr>
          <w:rFonts w:eastAsia="Batang" w:cs="Verdana"/>
          <w:b w:val="0"/>
          <w:i w:val="0"/>
          <w:lang w:val="es-CR" w:eastAsia="en-US" w:bidi="en-US"/>
        </w:rPr>
      </w:pPr>
      <w:bookmarkStart w:id="264" w:name="_Toc469670070"/>
      <w:r w:rsidRPr="00D13792">
        <w:rPr>
          <w:rFonts w:eastAsia="Batang" w:cs="Times"/>
          <w:lang w:val="es-CR" w:eastAsia="en-US"/>
        </w:rPr>
        <w:t xml:space="preserve">D.3.1. Acto </w:t>
      </w:r>
      <w:r w:rsidRPr="00D13792">
        <w:rPr>
          <w:rFonts w:eastAsia="Calibri"/>
          <w:lang w:val="es-CR"/>
        </w:rPr>
        <w:t>público</w:t>
      </w:r>
      <w:r w:rsidRPr="00D13792">
        <w:rPr>
          <w:rFonts w:eastAsia="Batang" w:cs="Times"/>
          <w:lang w:val="es-CR" w:eastAsia="en-US"/>
        </w:rPr>
        <w:t xml:space="preserve"> de reconocimiento de responsabilidad</w:t>
      </w:r>
      <w:bookmarkEnd w:id="264"/>
    </w:p>
    <w:p w14:paraId="67B5EFE3" w14:textId="77777777" w:rsidR="006A0E1C" w:rsidRPr="00D13792" w:rsidRDefault="006A0E1C" w:rsidP="006A0E1C">
      <w:pPr>
        <w:tabs>
          <w:tab w:val="left" w:pos="720"/>
          <w:tab w:val="left" w:pos="216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16"/>
          <w:szCs w:val="20"/>
          <w:lang w:eastAsia="en-US"/>
        </w:rPr>
      </w:pPr>
    </w:p>
    <w:p w14:paraId="49C0C190" w14:textId="77777777" w:rsidR="006A0E1C" w:rsidRPr="00D13792" w:rsidRDefault="006A0E1C" w:rsidP="006A0E1C">
      <w:pPr>
        <w:pStyle w:val="Prrafodelista2"/>
        <w:numPr>
          <w:ilvl w:val="0"/>
          <w:numId w:val="23"/>
        </w:numPr>
        <w:tabs>
          <w:tab w:val="left" w:pos="720"/>
        </w:tabs>
        <w:ind w:right="-90"/>
        <w:jc w:val="both"/>
        <w:rPr>
          <w:rFonts w:eastAsia="Batang" w:cs="Verdana"/>
          <w:b/>
          <w:lang w:val="es-CR"/>
        </w:rPr>
      </w:pPr>
      <w:r w:rsidRPr="00D13792">
        <w:rPr>
          <w:rFonts w:eastAsia="Batang" w:cs="Verdana"/>
          <w:lang w:val="es-CR"/>
        </w:rPr>
        <w:t xml:space="preserve">La </w:t>
      </w:r>
      <w:r w:rsidRPr="00D13792">
        <w:rPr>
          <w:rFonts w:eastAsia="Batang" w:cs="Verdana"/>
          <w:b/>
          <w:i/>
          <w:lang w:val="es-CR"/>
        </w:rPr>
        <w:t>Comisión</w:t>
      </w:r>
      <w:r w:rsidRPr="00D13792">
        <w:rPr>
          <w:rFonts w:eastAsia="Batang" w:cs="Verdana"/>
          <w:lang w:val="es-CR"/>
        </w:rPr>
        <w:t xml:space="preserve"> </w:t>
      </w:r>
      <w:r w:rsidRPr="00D13792">
        <w:rPr>
          <w:rFonts w:cs="Times"/>
          <w:lang w:val="es-CR"/>
        </w:rPr>
        <w:t>solicitó</w:t>
      </w:r>
      <w:r w:rsidRPr="00D13792">
        <w:rPr>
          <w:rFonts w:eastAsia="Batang" w:cs="Verdana"/>
          <w:lang w:val="es-CR"/>
        </w:rPr>
        <w:t xml:space="preserve"> la recuperación de la memoria de las víctimas fallecidas y desaparecidas.</w:t>
      </w:r>
      <w:r w:rsidRPr="00D13792">
        <w:rPr>
          <w:rFonts w:eastAsia="Batang" w:cs="Verdana"/>
          <w:b/>
          <w:lang w:val="es-CR"/>
        </w:rPr>
        <w:t xml:space="preserve"> </w:t>
      </w:r>
      <w:r w:rsidRPr="00D13792">
        <w:rPr>
          <w:rFonts w:eastAsia="Batang" w:cs="Verdana"/>
          <w:lang w:val="es-CR"/>
        </w:rPr>
        <w:t xml:space="preserve">Los </w:t>
      </w:r>
      <w:r w:rsidRPr="00D13792">
        <w:rPr>
          <w:rFonts w:eastAsia="Batang" w:cs="Verdana"/>
          <w:b/>
          <w:i/>
          <w:lang w:val="es-CR"/>
        </w:rPr>
        <w:t xml:space="preserve">representantes </w:t>
      </w:r>
      <w:r w:rsidRPr="00D13792">
        <w:rPr>
          <w:rFonts w:eastAsia="Batang" w:cs="Verdana"/>
          <w:lang w:val="es-CR"/>
        </w:rPr>
        <w:t xml:space="preserve">no se </w:t>
      </w:r>
      <w:r w:rsidRPr="00D13792">
        <w:rPr>
          <w:rFonts w:eastAsia="Calibri" w:cs="Verdana"/>
          <w:lang w:val="es-CR"/>
        </w:rPr>
        <w:t>refirieron</w:t>
      </w:r>
      <w:r w:rsidRPr="00D13792">
        <w:rPr>
          <w:rFonts w:eastAsia="Batang" w:cs="Verdana"/>
          <w:lang w:val="es-CR"/>
        </w:rPr>
        <w:t xml:space="preserve"> a este punto en su escrito de solicitudes y argumentos</w:t>
      </w:r>
      <w:r w:rsidRPr="00D13792">
        <w:rPr>
          <w:rFonts w:eastAsia="Batang" w:cs="Verdana"/>
          <w:vertAlign w:val="superscript"/>
          <w:lang w:val="es-CR"/>
        </w:rPr>
        <w:footnoteReference w:id="361"/>
      </w:r>
      <w:r w:rsidRPr="00D13792">
        <w:rPr>
          <w:rFonts w:eastAsia="Batang" w:cs="Verdana"/>
          <w:lang w:val="es-CR"/>
        </w:rPr>
        <w:t xml:space="preserve">. El </w:t>
      </w:r>
      <w:r w:rsidRPr="00D13792">
        <w:rPr>
          <w:rFonts w:eastAsia="Batang" w:cs="Verdana"/>
          <w:b/>
          <w:i/>
          <w:lang w:val="es-CR"/>
        </w:rPr>
        <w:t>Estado</w:t>
      </w:r>
      <w:r w:rsidRPr="00D13792">
        <w:rPr>
          <w:rFonts w:eastAsia="Batang" w:cs="Verdana"/>
          <w:lang w:val="es-CR"/>
        </w:rPr>
        <w:t xml:space="preserve"> manifestó en su contestación que </w:t>
      </w:r>
      <w:r w:rsidRPr="00D13792">
        <w:rPr>
          <w:rFonts w:eastAsia="Batang" w:cs="Times"/>
          <w:lang w:val="es-CR"/>
        </w:rPr>
        <w:t xml:space="preserve">el PNR cuenta con una oficina en el </w:t>
      </w:r>
      <w:r w:rsidRPr="00D13792">
        <w:rPr>
          <w:rFonts w:cs="Times"/>
          <w:lang w:val="es-CR"/>
        </w:rPr>
        <w:t>municipio</w:t>
      </w:r>
      <w:r w:rsidRPr="00D13792">
        <w:rPr>
          <w:rFonts w:eastAsia="Batang" w:cs="Times"/>
          <w:lang w:val="es-CR"/>
        </w:rPr>
        <w:t xml:space="preserve"> de Rabinal, y otorga “medidas de </w:t>
      </w:r>
      <w:r w:rsidRPr="00D13792">
        <w:rPr>
          <w:rFonts w:eastAsia="Calibri" w:cs="Verdana"/>
          <w:lang w:val="es-CR"/>
        </w:rPr>
        <w:t>dignificación</w:t>
      </w:r>
      <w:r w:rsidRPr="00D13792">
        <w:rPr>
          <w:rFonts w:eastAsia="Batang" w:cs="Times"/>
          <w:lang w:val="es-CR"/>
        </w:rPr>
        <w:t xml:space="preserve"> de las víctimas (resarcimiento moral y comunitario)”.</w:t>
      </w:r>
    </w:p>
    <w:p w14:paraId="02CE92F3"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right="-138"/>
        <w:textAlignment w:val="auto"/>
        <w:rPr>
          <w:rFonts w:eastAsia="Batang" w:cs="Verdana"/>
          <w:b/>
          <w:sz w:val="16"/>
          <w:szCs w:val="20"/>
          <w:lang w:eastAsia="en-US"/>
        </w:rPr>
      </w:pPr>
    </w:p>
    <w:p w14:paraId="49E81B64" w14:textId="77777777" w:rsidR="006A0E1C" w:rsidRPr="00D13792" w:rsidRDefault="006A0E1C" w:rsidP="006A0E1C">
      <w:pPr>
        <w:pStyle w:val="Prrafodelista2"/>
        <w:numPr>
          <w:ilvl w:val="0"/>
          <w:numId w:val="23"/>
        </w:numPr>
        <w:tabs>
          <w:tab w:val="left" w:pos="720"/>
        </w:tabs>
        <w:ind w:right="-90"/>
        <w:jc w:val="both"/>
        <w:rPr>
          <w:rFonts w:eastAsia="Batang" w:cs="Verdana"/>
          <w:b/>
          <w:lang w:val="es-CR"/>
        </w:rPr>
      </w:pPr>
      <w:r w:rsidRPr="00D13792">
        <w:rPr>
          <w:rFonts w:eastAsia="Batang" w:cs="Verdana"/>
          <w:lang w:val="es-CR"/>
        </w:rPr>
        <w:t>Así como lo ha hecho en otros casos contra Guatemala</w:t>
      </w:r>
      <w:r w:rsidRPr="00D13792">
        <w:rPr>
          <w:rFonts w:eastAsia="Batang" w:cs="Verdana"/>
          <w:vertAlign w:val="superscript"/>
          <w:lang w:val="es-CR"/>
        </w:rPr>
        <w:footnoteReference w:id="362"/>
      </w:r>
      <w:r w:rsidRPr="00D13792">
        <w:rPr>
          <w:rFonts w:eastAsia="Batang" w:cs="Verdana"/>
          <w:lang w:val="es-CR"/>
        </w:rPr>
        <w:t xml:space="preserve">, la </w:t>
      </w:r>
      <w:r w:rsidRPr="00D13792">
        <w:rPr>
          <w:rFonts w:eastAsia="Batang" w:cs="Verdana"/>
          <w:b/>
          <w:i/>
          <w:lang w:val="es-CR"/>
        </w:rPr>
        <w:t>Corte</w:t>
      </w:r>
      <w:r w:rsidRPr="00D13792">
        <w:rPr>
          <w:rFonts w:eastAsia="Batang" w:cs="Times"/>
          <w:lang w:val="es-CR"/>
        </w:rPr>
        <w:t xml:space="preserve"> ordena al Estado realizar un acto público de reconocimiento de </w:t>
      </w:r>
      <w:r w:rsidRPr="00D13792">
        <w:rPr>
          <w:rFonts w:cs="Times"/>
          <w:lang w:val="es-CR"/>
        </w:rPr>
        <w:t>responsabilidad en el cual se haga referencia a los hechos</w:t>
      </w:r>
      <w:r w:rsidRPr="00D13792">
        <w:rPr>
          <w:rFonts w:eastAsia="Batang" w:cs="Times"/>
          <w:lang w:val="es-CR"/>
        </w:rPr>
        <w:t xml:space="preserve"> del caso, al contexto de violaciones graves y masivas de derechos humanos perpetradas por el Estado, y a la responsabilidad internacional declarada en los términos de esta Sentencia. El acto deberá realizarse en</w:t>
      </w:r>
      <w:r w:rsidRPr="00D13792">
        <w:rPr>
          <w:rFonts w:eastAsia="Batang" w:cs="Calibri"/>
          <w:lang w:val="es-CR"/>
        </w:rPr>
        <w:t xml:space="preserve"> la aldea Chichupac</w:t>
      </w:r>
      <w:r w:rsidRPr="00D13792">
        <w:rPr>
          <w:rFonts w:eastAsia="Batang" w:cs="Times"/>
          <w:lang w:val="es-CR"/>
        </w:rPr>
        <w:t>, en idioma español y en la lengua maya achí, y</w:t>
      </w:r>
      <w:r w:rsidRPr="00D13792">
        <w:rPr>
          <w:rFonts w:eastAsia="Batang" w:cs="Times"/>
          <w:i/>
          <w:lang w:val="es-CR"/>
        </w:rPr>
        <w:t xml:space="preserve"> </w:t>
      </w:r>
      <w:r w:rsidRPr="00D13792">
        <w:rPr>
          <w:rFonts w:eastAsia="Batang" w:cs="Times"/>
          <w:lang w:val="es-CR"/>
        </w:rPr>
        <w:t xml:space="preserve">transmitido a través de medios de comunicación televisivos y/o radiales, dentro del plazo de un año contado a partir de la notificación de la presente Sentencia. De igual forma, por las características específicas del presente caso, y en aras de crear conciencia sobre las consecuencias de los hechos del mismo, en dicho evento de reconocimiento deberán estar presentes altos funcionarios estatales. </w:t>
      </w:r>
      <w:r w:rsidRPr="00D13792">
        <w:rPr>
          <w:rFonts w:cs="Times"/>
          <w:lang w:val="es-CR"/>
        </w:rPr>
        <w:t xml:space="preserve">La realización y particularidades de dicha ceremonia </w:t>
      </w:r>
      <w:r w:rsidRPr="00D13792">
        <w:rPr>
          <w:rFonts w:cs="Times"/>
          <w:lang w:val="es-CR"/>
        </w:rPr>
        <w:lastRenderedPageBreak/>
        <w:t xml:space="preserve">pública </w:t>
      </w:r>
      <w:r w:rsidRPr="00D13792">
        <w:rPr>
          <w:rFonts w:eastAsia="Batang" w:cs="Verdana"/>
          <w:lang w:val="es-CR"/>
        </w:rPr>
        <w:t xml:space="preserve">deberán acordarse con las víctimas y sus representantes. Asimismo, el Estado </w:t>
      </w:r>
      <w:r w:rsidRPr="00D13792">
        <w:rPr>
          <w:rFonts w:cs="Times"/>
          <w:lang w:val="es-CR"/>
        </w:rPr>
        <w:t>deberá garantizar y sufragar los gastos de transporte necesarios para que las víctimas</w:t>
      </w:r>
      <w:r w:rsidRPr="00D13792">
        <w:rPr>
          <w:lang w:val="es-CR"/>
        </w:rPr>
        <w:t xml:space="preserve"> </w:t>
      </w:r>
      <w:r w:rsidRPr="00D13792">
        <w:rPr>
          <w:rFonts w:cs="Times"/>
          <w:lang w:val="es-CR"/>
        </w:rPr>
        <w:t xml:space="preserve">que se encuentran en Guatemala puedan asistir al acto de reconocimiento.  </w:t>
      </w:r>
    </w:p>
    <w:p w14:paraId="686F9E20" w14:textId="77777777" w:rsidR="006A0E1C" w:rsidRPr="00D13792" w:rsidRDefault="006A0E1C" w:rsidP="006A0E1C">
      <w:pPr>
        <w:widowControl/>
        <w:adjustRightInd/>
        <w:spacing w:line="240" w:lineRule="auto"/>
        <w:ind w:right="-138"/>
        <w:contextualSpacing/>
        <w:textAlignment w:val="auto"/>
        <w:rPr>
          <w:rFonts w:eastAsia="MS Mincho"/>
          <w:sz w:val="16"/>
          <w:szCs w:val="20"/>
          <w:lang w:eastAsia="en-US"/>
        </w:rPr>
      </w:pPr>
    </w:p>
    <w:p w14:paraId="1D121774" w14:textId="77777777" w:rsidR="006A0E1C" w:rsidRPr="00D13792" w:rsidRDefault="006A0E1C" w:rsidP="006A0E1C">
      <w:pPr>
        <w:pStyle w:val="Heading2"/>
        <w:tabs>
          <w:tab w:val="clear" w:pos="720"/>
        </w:tabs>
        <w:rPr>
          <w:rFonts w:eastAsia="Calibri"/>
          <w:i w:val="0"/>
          <w:lang w:val="es-CR"/>
        </w:rPr>
      </w:pPr>
      <w:bookmarkStart w:id="265" w:name="_Toc469670071"/>
      <w:r w:rsidRPr="00D13792">
        <w:rPr>
          <w:rFonts w:eastAsia="Calibri"/>
          <w:lang w:val="es-CR"/>
        </w:rPr>
        <w:t>D.3.2. Publicación de la Sentencia</w:t>
      </w:r>
      <w:bookmarkEnd w:id="265"/>
    </w:p>
    <w:p w14:paraId="5A1A9135" w14:textId="77777777" w:rsidR="006A0E1C" w:rsidRPr="00D13792" w:rsidRDefault="006A0E1C" w:rsidP="006A0E1C">
      <w:pPr>
        <w:pStyle w:val="Prrafodelista2"/>
        <w:tabs>
          <w:tab w:val="left" w:pos="720"/>
        </w:tabs>
        <w:ind w:left="0" w:right="-90"/>
        <w:jc w:val="both"/>
        <w:rPr>
          <w:rFonts w:cs="Arial"/>
          <w:lang w:val="es-CR"/>
        </w:rPr>
      </w:pPr>
    </w:p>
    <w:p w14:paraId="484196D0" w14:textId="77777777" w:rsidR="006A0E1C" w:rsidRPr="00D13792" w:rsidRDefault="006A0E1C" w:rsidP="006A0E1C">
      <w:pPr>
        <w:pStyle w:val="Prrafodelista2"/>
        <w:numPr>
          <w:ilvl w:val="0"/>
          <w:numId w:val="23"/>
        </w:numPr>
        <w:tabs>
          <w:tab w:val="left" w:pos="720"/>
        </w:tabs>
        <w:ind w:right="-90"/>
        <w:jc w:val="both"/>
        <w:rPr>
          <w:rFonts w:cs="Arial"/>
          <w:lang w:val="es-CR"/>
        </w:rPr>
      </w:pPr>
      <w:r w:rsidRPr="00D13792">
        <w:rPr>
          <w:lang w:val="es-CR"/>
        </w:rPr>
        <w:t xml:space="preserve">La </w:t>
      </w:r>
      <w:r w:rsidRPr="00D13792">
        <w:rPr>
          <w:b/>
          <w:i/>
          <w:lang w:val="es-CR"/>
        </w:rPr>
        <w:t>Comisión</w:t>
      </w:r>
      <w:r w:rsidRPr="00D13792">
        <w:rPr>
          <w:lang w:val="es-CR"/>
        </w:rPr>
        <w:t xml:space="preserve"> solicitó a la Corte que ordene al Estado </w:t>
      </w:r>
      <w:r w:rsidRPr="00D13792">
        <w:rPr>
          <w:rFonts w:cs="Arial"/>
          <w:lang w:val="es-CR"/>
        </w:rPr>
        <w:t xml:space="preserve">el establecimiento y difusión de la verdad histórica de los </w:t>
      </w:r>
      <w:r w:rsidRPr="00D13792">
        <w:rPr>
          <w:rFonts w:eastAsia="Batang" w:cs="Times"/>
          <w:lang w:val="es-CR"/>
        </w:rPr>
        <w:t>hechos</w:t>
      </w:r>
      <w:r w:rsidRPr="00D13792">
        <w:rPr>
          <w:rFonts w:cs="Arial"/>
          <w:lang w:val="es-CR"/>
        </w:rPr>
        <w:t xml:space="preserve">. </w:t>
      </w:r>
      <w:r w:rsidRPr="00D13792">
        <w:rPr>
          <w:lang w:val="es-CR"/>
        </w:rPr>
        <w:t xml:space="preserve">Los </w:t>
      </w:r>
      <w:r w:rsidRPr="00D13792">
        <w:rPr>
          <w:b/>
          <w:i/>
          <w:lang w:val="es-CR"/>
        </w:rPr>
        <w:t>representantes</w:t>
      </w:r>
      <w:r w:rsidRPr="00D13792">
        <w:rPr>
          <w:lang w:val="es-CR"/>
        </w:rPr>
        <w:t xml:space="preserve"> solicitaron a la </w:t>
      </w:r>
      <w:r w:rsidRPr="00D13792">
        <w:rPr>
          <w:rFonts w:cs="Verdana"/>
          <w:lang w:val="es-CR"/>
        </w:rPr>
        <w:t>Corte</w:t>
      </w:r>
      <w:r w:rsidRPr="00D13792">
        <w:rPr>
          <w:lang w:val="es-CR"/>
        </w:rPr>
        <w:t xml:space="preserve"> que ordene al Estado </w:t>
      </w:r>
      <w:r w:rsidRPr="00D13792">
        <w:rPr>
          <w:rFonts w:eastAsia="Calibri" w:cs="Calibri"/>
          <w:lang w:val="es-CR"/>
        </w:rPr>
        <w:t xml:space="preserve">la publicación del resumen oficial de la Sentencia en un diario de mayor circulación y en el Diario Oficial, así como la versión de la Sentencia con los nombres de las víctimas en su integridad, por un período de un año, en un sitio </w:t>
      </w:r>
      <w:r w:rsidRPr="00D13792">
        <w:rPr>
          <w:rFonts w:eastAsia="Calibri" w:cs="Calibri"/>
          <w:i/>
          <w:lang w:val="es-CR"/>
        </w:rPr>
        <w:t>web</w:t>
      </w:r>
      <w:r w:rsidRPr="00D13792">
        <w:rPr>
          <w:rFonts w:eastAsia="Calibri" w:cs="Calibri"/>
          <w:lang w:val="es-CR"/>
        </w:rPr>
        <w:t xml:space="preserve"> oficial de Guatemala.</w:t>
      </w:r>
    </w:p>
    <w:p w14:paraId="17438D5F"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MS Mincho" w:cs="Arial"/>
          <w:sz w:val="20"/>
          <w:szCs w:val="20"/>
          <w:lang w:eastAsia="en-US"/>
        </w:rPr>
      </w:pPr>
    </w:p>
    <w:p w14:paraId="159326E4" w14:textId="77777777" w:rsidR="006A0E1C" w:rsidRPr="00D13792" w:rsidRDefault="006A0E1C" w:rsidP="006A0E1C">
      <w:pPr>
        <w:pStyle w:val="Prrafodelista2"/>
        <w:numPr>
          <w:ilvl w:val="0"/>
          <w:numId w:val="23"/>
        </w:numPr>
        <w:tabs>
          <w:tab w:val="left" w:pos="720"/>
        </w:tabs>
        <w:ind w:right="-90"/>
        <w:jc w:val="both"/>
        <w:rPr>
          <w:rFonts w:cs="Arial"/>
          <w:lang w:val="es-CR"/>
        </w:rPr>
      </w:pPr>
      <w:r w:rsidRPr="00D13792">
        <w:rPr>
          <w:rFonts w:eastAsia="Calibri" w:cs="Calibri"/>
          <w:lang w:val="es-CR"/>
        </w:rPr>
        <w:t xml:space="preserve">El </w:t>
      </w:r>
      <w:r w:rsidRPr="00D13792">
        <w:rPr>
          <w:rFonts w:eastAsia="Calibri" w:cs="Calibri"/>
          <w:b/>
          <w:i/>
          <w:lang w:val="es-CR"/>
        </w:rPr>
        <w:t>Estado</w:t>
      </w:r>
      <w:r w:rsidRPr="00D13792">
        <w:rPr>
          <w:rFonts w:eastAsia="Calibri" w:cs="Calibri"/>
          <w:lang w:val="es-CR"/>
        </w:rPr>
        <w:t xml:space="preserve"> sostuvo que los representantes “se est[aban] adelantando mucho al solicitar como medida de reparación la </w:t>
      </w:r>
      <w:r w:rsidRPr="00D13792">
        <w:rPr>
          <w:rFonts w:cs="Times"/>
          <w:lang w:val="es-CR"/>
        </w:rPr>
        <w:t>publicación</w:t>
      </w:r>
      <w:r w:rsidRPr="00D13792">
        <w:rPr>
          <w:rFonts w:eastAsia="Calibri" w:cs="Calibri"/>
          <w:lang w:val="es-CR"/>
        </w:rPr>
        <w:t xml:space="preserve"> de la [S]entencia, pues la Corte deb[ía] aún analizar las excepciones preliminares presentadas […]. Razón por la cual, el </w:t>
      </w:r>
      <w:r w:rsidRPr="00D13792">
        <w:rPr>
          <w:rFonts w:eastAsia="Batang" w:cs="Times"/>
          <w:spacing w:val="-2"/>
          <w:lang w:val="es-CR"/>
        </w:rPr>
        <w:t>Estado</w:t>
      </w:r>
      <w:r w:rsidRPr="00D13792">
        <w:rPr>
          <w:rFonts w:eastAsia="Calibri" w:cs="Calibri"/>
          <w:lang w:val="es-CR"/>
        </w:rPr>
        <w:t xml:space="preserve"> no se pronunci[ó] respecto a esta solicitud”</w:t>
      </w:r>
      <w:r w:rsidRPr="00D13792">
        <w:rPr>
          <w:rFonts w:eastAsia="Calibri"/>
          <w:lang w:val="es-CR"/>
        </w:rPr>
        <w:t xml:space="preserve">. </w:t>
      </w:r>
      <w:r w:rsidRPr="00D13792">
        <w:rPr>
          <w:rFonts w:eastAsia="Batang" w:cs="Times"/>
          <w:lang w:val="es-CR"/>
        </w:rPr>
        <w:t>En sus alegatos finales escritos, el Estado solicitó a la Corte que t</w:t>
      </w:r>
      <w:r w:rsidRPr="00D13792">
        <w:rPr>
          <w:rFonts w:eastAsia="Calibri"/>
          <w:lang w:val="es-CR"/>
        </w:rPr>
        <w:t>ome</w:t>
      </w:r>
      <w:r w:rsidRPr="00D13792">
        <w:rPr>
          <w:rFonts w:eastAsia="Batang" w:cs="Times"/>
          <w:lang w:val="es-CR"/>
        </w:rPr>
        <w:t xml:space="preserve"> en cuenta las posibilidades económicas del país al momento de efectuarse las </w:t>
      </w:r>
      <w:r w:rsidRPr="00D13792">
        <w:rPr>
          <w:rFonts w:eastAsia="Calibri"/>
          <w:lang w:val="es-CR"/>
        </w:rPr>
        <w:t xml:space="preserve">publicaciones en un diario de mayor </w:t>
      </w:r>
      <w:r w:rsidRPr="00D13792">
        <w:rPr>
          <w:rFonts w:eastAsia="Batang" w:cs="Times"/>
          <w:lang w:val="es-CR"/>
        </w:rPr>
        <w:t>circulació</w:t>
      </w:r>
      <w:r w:rsidRPr="00D13792">
        <w:rPr>
          <w:rFonts w:eastAsia="Calibri"/>
          <w:lang w:val="es-CR"/>
        </w:rPr>
        <w:t>n y</w:t>
      </w:r>
      <w:r w:rsidRPr="00D13792">
        <w:rPr>
          <w:rFonts w:eastAsia="Batang" w:cs="Times"/>
          <w:lang w:val="es-CR"/>
        </w:rPr>
        <w:t xml:space="preserve"> </w:t>
      </w:r>
      <w:r w:rsidRPr="00D13792">
        <w:rPr>
          <w:rFonts w:eastAsia="Calibri"/>
          <w:lang w:val="es-CR"/>
        </w:rPr>
        <w:t>en el Diario Oficial.</w:t>
      </w:r>
    </w:p>
    <w:p w14:paraId="4947C734" w14:textId="77777777" w:rsidR="006A0E1C" w:rsidRPr="00D13792" w:rsidRDefault="006A0E1C" w:rsidP="006A0E1C">
      <w:pPr>
        <w:tabs>
          <w:tab w:val="left" w:pos="-720"/>
          <w:tab w:val="left" w:pos="0"/>
          <w:tab w:val="left" w:pos="2880"/>
          <w:tab w:val="left" w:pos="3600"/>
          <w:tab w:val="left" w:pos="4320"/>
          <w:tab w:val="left" w:pos="5760"/>
          <w:tab w:val="left" w:pos="6480"/>
          <w:tab w:val="left" w:pos="7200"/>
          <w:tab w:val="left" w:pos="7920"/>
        </w:tabs>
        <w:adjustRightInd/>
        <w:spacing w:line="240" w:lineRule="auto"/>
        <w:ind w:left="-720"/>
        <w:textAlignment w:val="auto"/>
        <w:rPr>
          <w:rFonts w:eastAsia="MS Mincho" w:cs="Arial"/>
          <w:sz w:val="16"/>
          <w:szCs w:val="20"/>
          <w:lang w:eastAsia="en-US"/>
        </w:rPr>
      </w:pPr>
    </w:p>
    <w:p w14:paraId="61B1EF94" w14:textId="77777777" w:rsidR="006A0E1C" w:rsidRPr="00D13792" w:rsidRDefault="006A0E1C" w:rsidP="006A0E1C">
      <w:pPr>
        <w:pStyle w:val="Prrafodelista2"/>
        <w:numPr>
          <w:ilvl w:val="0"/>
          <w:numId w:val="23"/>
        </w:numPr>
        <w:tabs>
          <w:tab w:val="left" w:pos="720"/>
        </w:tabs>
        <w:ind w:right="-90"/>
        <w:jc w:val="both"/>
        <w:rPr>
          <w:rFonts w:cs="Times"/>
          <w:lang w:val="es-CR" w:eastAsia="es-MX"/>
        </w:rPr>
      </w:pPr>
      <w:r w:rsidRPr="00D13792">
        <w:rPr>
          <w:rFonts w:eastAsia="Batang" w:cs="Verdana"/>
          <w:lang w:val="es-CR"/>
        </w:rPr>
        <w:t>Así como lo ha hecho en otros casos contra Guatemala</w:t>
      </w:r>
      <w:r w:rsidRPr="00D13792">
        <w:rPr>
          <w:rFonts w:eastAsia="Batang" w:cs="Verdana"/>
          <w:vertAlign w:val="superscript"/>
          <w:lang w:val="es-CR"/>
        </w:rPr>
        <w:footnoteReference w:id="363"/>
      </w:r>
      <w:r w:rsidRPr="00D13792">
        <w:rPr>
          <w:rFonts w:eastAsia="Batang" w:cs="Verdana"/>
          <w:lang w:val="es-CR"/>
        </w:rPr>
        <w:t>, l</w:t>
      </w:r>
      <w:r w:rsidRPr="00D13792">
        <w:rPr>
          <w:rFonts w:eastAsia="Batang" w:cs="Times"/>
          <w:spacing w:val="-2"/>
          <w:lang w:val="es-CR"/>
        </w:rPr>
        <w:t xml:space="preserve">a </w:t>
      </w:r>
      <w:r w:rsidRPr="00D13792">
        <w:rPr>
          <w:rFonts w:eastAsia="Batang" w:cs="Times"/>
          <w:b/>
          <w:i/>
          <w:spacing w:val="-2"/>
          <w:lang w:val="es-CR"/>
        </w:rPr>
        <w:t>Corte</w:t>
      </w:r>
      <w:r w:rsidRPr="00D13792">
        <w:rPr>
          <w:rFonts w:eastAsia="Batang" w:cs="Times"/>
          <w:spacing w:val="-2"/>
          <w:lang w:val="es-CR"/>
        </w:rPr>
        <w:t xml:space="preserve"> dispone que el Estado publique </w:t>
      </w:r>
      <w:r w:rsidRPr="00D13792">
        <w:rPr>
          <w:lang w:val="es-CR"/>
        </w:rPr>
        <w:t>en un tamaño de letra legible y adecuado</w:t>
      </w:r>
      <w:r w:rsidRPr="00D13792">
        <w:rPr>
          <w:rFonts w:eastAsia="Batang" w:cs="Times"/>
          <w:spacing w:val="-2"/>
          <w:lang w:val="es-CR"/>
        </w:rPr>
        <w:t xml:space="preserve">, </w:t>
      </w:r>
      <w:r w:rsidRPr="00D13792">
        <w:rPr>
          <w:rFonts w:eastAsia="Times" w:cs="Times"/>
          <w:lang w:val="es-CR" w:eastAsia="es-MX"/>
        </w:rPr>
        <w:t xml:space="preserve">en idiomas español y maya achí, y </w:t>
      </w:r>
      <w:r w:rsidRPr="00D13792">
        <w:rPr>
          <w:rFonts w:eastAsia="Batang" w:cs="Times"/>
          <w:spacing w:val="-2"/>
          <w:lang w:val="es-CR"/>
        </w:rPr>
        <w:t xml:space="preserve">en un plazo de seis meses, contado a partir de la notificación de la presente Sentencia: a) el resumen oficial de la Sentencia elaborado por la Corte, por una sola vez, </w:t>
      </w:r>
      <w:r w:rsidRPr="00D13792">
        <w:rPr>
          <w:rFonts w:eastAsia="Calibri" w:cs="Calibri"/>
          <w:lang w:val="es-CR"/>
        </w:rPr>
        <w:t>en</w:t>
      </w:r>
      <w:r w:rsidRPr="00D13792">
        <w:rPr>
          <w:rFonts w:eastAsia="Batang" w:cs="Times"/>
          <w:spacing w:val="-2"/>
          <w:lang w:val="es-CR"/>
        </w:rPr>
        <w:t xml:space="preserve"> el Diario </w:t>
      </w:r>
      <w:r w:rsidRPr="00D13792">
        <w:rPr>
          <w:rFonts w:eastAsia="Times" w:cs="Times"/>
          <w:lang w:val="es-CR" w:eastAsia="es-MX"/>
        </w:rPr>
        <w:t>Oficial</w:t>
      </w:r>
      <w:r w:rsidRPr="00D13792">
        <w:rPr>
          <w:rFonts w:eastAsia="Batang" w:cs="Times"/>
          <w:spacing w:val="-2"/>
          <w:lang w:val="es-CR"/>
        </w:rPr>
        <w:t xml:space="preserve"> y en un diario nacional de amplia circulación, y b) la presente Sentencia en su integridad, junto con sus anexos, disponible al menos por un período de un año, en </w:t>
      </w:r>
      <w:r w:rsidRPr="00D13792">
        <w:rPr>
          <w:rFonts w:eastAsia="Batang" w:cs="Times"/>
          <w:lang w:val="es-CR"/>
        </w:rPr>
        <w:t xml:space="preserve">un el sitio </w:t>
      </w:r>
      <w:r w:rsidRPr="00D13792">
        <w:rPr>
          <w:rFonts w:eastAsia="Batang" w:cs="Times"/>
          <w:i/>
          <w:lang w:val="es-CR"/>
        </w:rPr>
        <w:t>web</w:t>
      </w:r>
      <w:r w:rsidRPr="00D13792">
        <w:rPr>
          <w:rFonts w:eastAsia="Batang" w:cs="Times"/>
          <w:lang w:val="es-CR"/>
        </w:rPr>
        <w:t xml:space="preserve"> oficial del Estado</w:t>
      </w:r>
      <w:r w:rsidRPr="00D13792">
        <w:rPr>
          <w:rFonts w:eastAsia="Batang" w:cs="Times"/>
          <w:spacing w:val="-2"/>
          <w:lang w:val="es-CR"/>
        </w:rPr>
        <w:t>. El Estado deberá realizar l</w:t>
      </w:r>
      <w:r w:rsidRPr="00D13792">
        <w:rPr>
          <w:rFonts w:eastAsia="Times" w:cs="Times"/>
          <w:lang w:val="es-CR" w:eastAsia="es-MX"/>
        </w:rPr>
        <w:t>a traducción del resumen oficial y la Sentencias y estas deberán contar con el aval de los representantes antes de ser publicada</w:t>
      </w:r>
      <w:r w:rsidRPr="00D13792">
        <w:rPr>
          <w:rFonts w:eastAsia="Times" w:cs="Times"/>
          <w:vertAlign w:val="superscript"/>
          <w:lang w:val="es-CR" w:eastAsia="es-MX"/>
        </w:rPr>
        <w:footnoteReference w:id="364"/>
      </w:r>
      <w:r w:rsidRPr="00D13792">
        <w:rPr>
          <w:rFonts w:eastAsia="Times" w:cs="Times"/>
          <w:lang w:val="es-CR" w:eastAsia="es-MX"/>
        </w:rPr>
        <w:t xml:space="preserve">. </w:t>
      </w:r>
      <w:r w:rsidRPr="00D13792">
        <w:rPr>
          <w:rFonts w:cs="Times"/>
          <w:lang w:val="es-CR" w:eastAsia="es-MX"/>
        </w:rPr>
        <w:t xml:space="preserve">El </w:t>
      </w:r>
      <w:r w:rsidRPr="00D13792">
        <w:rPr>
          <w:lang w:val="es-CR"/>
        </w:rPr>
        <w:t>Estado deberá informar de forma inmediata a esta Corte una vez que proceda a realizar cada una de las publicaciones dispuestas, independientemente del plazo de un año para presentar su primer informe dispuesto en el punto resolutivo 28 de la Sentencia.</w:t>
      </w:r>
    </w:p>
    <w:p w14:paraId="0240EADE"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Batang" w:cs="Times"/>
          <w:spacing w:val="-2"/>
          <w:sz w:val="20"/>
          <w:szCs w:val="20"/>
          <w:lang w:eastAsia="en-US"/>
        </w:rPr>
      </w:pPr>
    </w:p>
    <w:p w14:paraId="0F7F01EC" w14:textId="77777777" w:rsidR="006A0E1C" w:rsidRPr="00D13792" w:rsidRDefault="006A0E1C" w:rsidP="006A0E1C">
      <w:pPr>
        <w:pStyle w:val="Heading2"/>
        <w:tabs>
          <w:tab w:val="clear" w:pos="720"/>
        </w:tabs>
        <w:rPr>
          <w:rFonts w:eastAsia="Calibri"/>
          <w:lang w:val="es-CR"/>
        </w:rPr>
      </w:pPr>
      <w:bookmarkStart w:id="266" w:name="_Toc469670072"/>
      <w:r w:rsidRPr="00D13792">
        <w:rPr>
          <w:rFonts w:eastAsia="Calibri"/>
          <w:lang w:val="es-CR"/>
        </w:rPr>
        <w:t>D.4. Garantías de no repetición</w:t>
      </w:r>
      <w:bookmarkEnd w:id="266"/>
    </w:p>
    <w:p w14:paraId="167961DA" w14:textId="77777777" w:rsidR="006A0E1C" w:rsidRPr="00D13792" w:rsidRDefault="006A0E1C" w:rsidP="006A0E1C">
      <w:pPr>
        <w:widowControl/>
        <w:tabs>
          <w:tab w:val="left" w:pos="720"/>
        </w:tabs>
        <w:adjustRightInd/>
        <w:spacing w:line="240" w:lineRule="auto"/>
        <w:textAlignment w:val="auto"/>
        <w:rPr>
          <w:bCs/>
          <w:sz w:val="20"/>
          <w:szCs w:val="20"/>
          <w:lang w:eastAsia="en-US"/>
        </w:rPr>
      </w:pPr>
    </w:p>
    <w:p w14:paraId="49ABABA1" w14:textId="77777777" w:rsidR="006A0E1C" w:rsidRPr="00D13792" w:rsidRDefault="006A0E1C" w:rsidP="006A0E1C">
      <w:pPr>
        <w:pStyle w:val="Heading2"/>
        <w:tabs>
          <w:tab w:val="clear" w:pos="720"/>
        </w:tabs>
        <w:rPr>
          <w:rFonts w:eastAsia="Calibri"/>
          <w:b w:val="0"/>
          <w:i w:val="0"/>
          <w:lang w:val="es-CR"/>
        </w:rPr>
      </w:pPr>
      <w:bookmarkStart w:id="267" w:name="_Toc469670073"/>
      <w:r w:rsidRPr="00D13792">
        <w:rPr>
          <w:rFonts w:eastAsia="Calibri"/>
          <w:lang w:val="es-CR"/>
        </w:rPr>
        <w:t>D.4.1. Formación de los miembros del Ejército de Guatemala</w:t>
      </w:r>
      <w:bookmarkEnd w:id="267"/>
    </w:p>
    <w:p w14:paraId="59E42B9C" w14:textId="77777777" w:rsidR="006A0E1C" w:rsidRPr="00D13792" w:rsidRDefault="006A0E1C" w:rsidP="006A0E1C">
      <w:pPr>
        <w:widowControl/>
        <w:tabs>
          <w:tab w:val="left" w:pos="720"/>
        </w:tabs>
        <w:adjustRightInd/>
        <w:spacing w:line="240" w:lineRule="auto"/>
        <w:textAlignment w:val="auto"/>
        <w:rPr>
          <w:rFonts w:eastAsia="Batang" w:cs="Times"/>
          <w:sz w:val="16"/>
          <w:szCs w:val="20"/>
          <w:lang w:eastAsia="en-US"/>
        </w:rPr>
      </w:pPr>
    </w:p>
    <w:p w14:paraId="2169DDA2" w14:textId="77777777" w:rsidR="006A0E1C" w:rsidRPr="00D13792" w:rsidRDefault="006A0E1C" w:rsidP="006A0E1C">
      <w:pPr>
        <w:pStyle w:val="Heading2"/>
        <w:tabs>
          <w:tab w:val="clear" w:pos="720"/>
        </w:tabs>
        <w:rPr>
          <w:rFonts w:eastAsia="Batang" w:cs="Times"/>
          <w:sz w:val="16"/>
          <w:lang w:val="es-CR" w:eastAsia="en-US"/>
        </w:rPr>
      </w:pPr>
    </w:p>
    <w:p w14:paraId="75686125" w14:textId="77777777" w:rsidR="006A0E1C" w:rsidRPr="00D13792" w:rsidRDefault="006A0E1C" w:rsidP="006A0E1C">
      <w:pPr>
        <w:pStyle w:val="Prrafodelista2"/>
        <w:numPr>
          <w:ilvl w:val="0"/>
          <w:numId w:val="23"/>
        </w:numPr>
        <w:tabs>
          <w:tab w:val="left" w:pos="720"/>
        </w:tabs>
        <w:ind w:right="-90"/>
        <w:jc w:val="both"/>
        <w:rPr>
          <w:rFonts w:eastAsia="Batang" w:cs="Arial"/>
          <w:lang w:val="es-CR"/>
        </w:rPr>
      </w:pPr>
      <w:r w:rsidRPr="00D13792">
        <w:rPr>
          <w:rFonts w:cs="Times"/>
          <w:lang w:val="es-CR"/>
        </w:rPr>
        <w:t xml:space="preserve">La </w:t>
      </w:r>
      <w:r w:rsidRPr="00D13792">
        <w:rPr>
          <w:rFonts w:cs="Times"/>
          <w:b/>
          <w:i/>
          <w:lang w:val="es-CR"/>
        </w:rPr>
        <w:t>Comisión</w:t>
      </w:r>
      <w:r w:rsidRPr="00D13792">
        <w:rPr>
          <w:rFonts w:cs="Times"/>
          <w:lang w:val="es-CR"/>
        </w:rPr>
        <w:t xml:space="preserve"> solicitó a la Corte que ordene al Estado </w:t>
      </w:r>
      <w:r w:rsidRPr="00D13792">
        <w:rPr>
          <w:rFonts w:eastAsia="Batang" w:cs="Arial"/>
          <w:lang w:val="es-CR"/>
        </w:rPr>
        <w:t xml:space="preserve">implementar programas permanentes de derechos humanos y derecho internacional humanitario en las escuelas de formación de las Fuerzas Armadas. Los </w:t>
      </w:r>
      <w:r w:rsidRPr="00D13792">
        <w:rPr>
          <w:rFonts w:eastAsia="Batang" w:cs="Arial"/>
          <w:b/>
          <w:i/>
          <w:lang w:val="es-CR"/>
        </w:rPr>
        <w:t>representantes</w:t>
      </w:r>
      <w:r w:rsidRPr="00D13792">
        <w:rPr>
          <w:rFonts w:eastAsia="Batang" w:cs="Arial"/>
          <w:lang w:val="es-CR"/>
        </w:rPr>
        <w:t xml:space="preserve"> no se refirieron a este punto en su </w:t>
      </w:r>
      <w:r w:rsidRPr="00D13792">
        <w:rPr>
          <w:rFonts w:eastAsia="Calibri" w:cs="Calibri"/>
          <w:lang w:val="es-CR"/>
        </w:rPr>
        <w:t>escrito</w:t>
      </w:r>
      <w:r w:rsidRPr="00D13792">
        <w:rPr>
          <w:rFonts w:eastAsia="Batang" w:cs="Arial"/>
          <w:lang w:val="es-CR"/>
        </w:rPr>
        <w:t xml:space="preserve"> de solicitudes y argumentos</w:t>
      </w:r>
      <w:r w:rsidRPr="00D13792">
        <w:rPr>
          <w:rFonts w:eastAsia="Batang" w:cs="Arial"/>
          <w:vertAlign w:val="superscript"/>
          <w:lang w:val="es-CR"/>
        </w:rPr>
        <w:footnoteReference w:id="365"/>
      </w:r>
      <w:r w:rsidRPr="00D13792">
        <w:rPr>
          <w:rFonts w:eastAsia="Batang" w:cs="Arial"/>
          <w:lang w:val="es-CR"/>
        </w:rPr>
        <w:t xml:space="preserve">. </w:t>
      </w:r>
    </w:p>
    <w:p w14:paraId="4063CBB7"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20"/>
          <w:szCs w:val="20"/>
          <w:lang w:eastAsia="en-US"/>
        </w:rPr>
      </w:pPr>
    </w:p>
    <w:p w14:paraId="4F8B0E4F" w14:textId="77777777" w:rsidR="006A0E1C" w:rsidRPr="00D13792" w:rsidRDefault="006A0E1C" w:rsidP="006A0E1C">
      <w:pPr>
        <w:pStyle w:val="Prrafodelista2"/>
        <w:numPr>
          <w:ilvl w:val="0"/>
          <w:numId w:val="23"/>
        </w:numPr>
        <w:tabs>
          <w:tab w:val="left" w:pos="720"/>
        </w:tabs>
        <w:ind w:right="-90"/>
        <w:jc w:val="both"/>
        <w:rPr>
          <w:lang w:val="es-CR"/>
        </w:rPr>
      </w:pPr>
      <w:r w:rsidRPr="00D13792">
        <w:rPr>
          <w:lang w:val="es-CR"/>
        </w:rPr>
        <w:t xml:space="preserve">El </w:t>
      </w:r>
      <w:r w:rsidRPr="00D13792">
        <w:rPr>
          <w:b/>
          <w:i/>
          <w:lang w:val="es-CR"/>
        </w:rPr>
        <w:t>Estado</w:t>
      </w:r>
      <w:r w:rsidRPr="00D13792">
        <w:rPr>
          <w:lang w:val="es-CR"/>
        </w:rPr>
        <w:t xml:space="preserve"> señaló que </w:t>
      </w:r>
      <w:r w:rsidRPr="00D13792">
        <w:rPr>
          <w:rFonts w:eastAsia="Calibri"/>
          <w:lang w:val="es-CR"/>
        </w:rPr>
        <w:t>el Ministerio de la Defensa Nacional de Guatemala es miembro de la Conferencia de</w:t>
      </w:r>
      <w:r w:rsidRPr="00D13792">
        <w:rPr>
          <w:lang w:val="es-CR"/>
        </w:rPr>
        <w:t xml:space="preserve"> </w:t>
      </w:r>
      <w:r w:rsidRPr="00D13792">
        <w:rPr>
          <w:rFonts w:eastAsia="Calibri"/>
          <w:lang w:val="es-CR"/>
        </w:rPr>
        <w:t xml:space="preserve">Fuerzas Armadas Centroamericanas (CFAC), </w:t>
      </w:r>
      <w:r w:rsidRPr="00D13792">
        <w:rPr>
          <w:rFonts w:eastAsia="Batang" w:cs="Times"/>
          <w:spacing w:val="-2"/>
          <w:lang w:val="es-CR"/>
        </w:rPr>
        <w:t>creada</w:t>
      </w:r>
      <w:r w:rsidRPr="00D13792">
        <w:rPr>
          <w:rFonts w:eastAsia="Calibri"/>
          <w:lang w:val="es-CR"/>
        </w:rPr>
        <w:t xml:space="preserve"> en 1997 mediante un</w:t>
      </w:r>
      <w:r w:rsidRPr="00D13792">
        <w:rPr>
          <w:lang w:val="es-CR"/>
        </w:rPr>
        <w:t xml:space="preserve"> </w:t>
      </w:r>
      <w:r w:rsidRPr="00D13792">
        <w:rPr>
          <w:rFonts w:eastAsia="Calibri"/>
          <w:lang w:val="es-CR"/>
        </w:rPr>
        <w:t>Acuerdo Presidencial de los Presidentes de Guatemala, El Salvador, Honduras y Nicaragua,</w:t>
      </w:r>
      <w:r w:rsidRPr="00D13792">
        <w:rPr>
          <w:lang w:val="es-CR"/>
        </w:rPr>
        <w:t xml:space="preserve"> </w:t>
      </w:r>
      <w:r w:rsidRPr="00D13792">
        <w:rPr>
          <w:rFonts w:eastAsia="Calibri"/>
          <w:lang w:val="es-CR"/>
        </w:rPr>
        <w:t xml:space="preserve">como un organismo internacional de carácter militar. La CFAC participa en la Escuela de Graduados en Derechos Humanos y Derecho Internacional Humanitario (EGDHDIH), que es una </w:t>
      </w:r>
      <w:r w:rsidRPr="00D13792">
        <w:rPr>
          <w:rFonts w:eastAsia="Calibri" w:cs="Calibri"/>
          <w:lang w:val="es-CR"/>
        </w:rPr>
        <w:t>dependencia</w:t>
      </w:r>
      <w:r w:rsidRPr="00D13792">
        <w:rPr>
          <w:rFonts w:eastAsia="Calibri"/>
          <w:lang w:val="es-CR"/>
        </w:rPr>
        <w:t xml:space="preserve"> de la Secretaría de Estado de las Fuerzas Armadas de la República Dominicana e imparte enseñanza en esta materia y, a su vez, el Ministerio de la Defensa Nacional de </w:t>
      </w:r>
      <w:r w:rsidRPr="00D13792">
        <w:rPr>
          <w:rFonts w:eastAsia="Calibri"/>
          <w:lang w:val="es-CR"/>
        </w:rPr>
        <w:lastRenderedPageBreak/>
        <w:t>Guatemala, como miembro de la CFAC, participa en esta Escuela. También mencionó la participación de “integrantes del Curso Superior de Guerra del Ejército de Guatemala”, de la Escuela Politécnica del Ejército de Guatemala y de oficiales superiores del Comando Superior de Educación del Ejército, en cursos de derechos humanos y derecho humanitario.</w:t>
      </w:r>
      <w:r w:rsidRPr="00D13792">
        <w:rPr>
          <w:rFonts w:eastAsia="Calibri"/>
          <w:b/>
          <w:lang w:val="es-CR"/>
        </w:rPr>
        <w:t xml:space="preserve"> </w:t>
      </w:r>
      <w:r w:rsidRPr="00D13792">
        <w:rPr>
          <w:rFonts w:eastAsia="Calibri"/>
          <w:lang w:val="es-CR"/>
        </w:rPr>
        <w:t xml:space="preserve">Asimismo, en sus alegatos finales escritos, señaló que “[p]ersonal del Comité de la Cruz Roja, en coordinación con la Dirección General de Derechos Humanos y Derecho Internacional Humanitario del Ministerio de la Defensa Nacional”, desarrollan un taller dirigido a oficiales que ejercen mando en el Ejército. </w:t>
      </w:r>
    </w:p>
    <w:p w14:paraId="24B0DCF2" w14:textId="77777777" w:rsidR="006A0E1C" w:rsidRPr="00D13792" w:rsidRDefault="006A0E1C" w:rsidP="006A0E1C">
      <w:pPr>
        <w:widowControl/>
        <w:tabs>
          <w:tab w:val="left" w:pos="720"/>
        </w:tabs>
        <w:adjustRightInd/>
        <w:spacing w:line="240" w:lineRule="auto"/>
        <w:textAlignment w:val="auto"/>
        <w:rPr>
          <w:rFonts w:eastAsia="Times"/>
          <w:sz w:val="20"/>
          <w:szCs w:val="20"/>
          <w:lang w:eastAsia="en-US"/>
        </w:rPr>
      </w:pPr>
    </w:p>
    <w:p w14:paraId="3018E723"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cs="Verdana"/>
          <w:lang w:val="es-CR"/>
        </w:rPr>
        <w:t xml:space="preserve">En este caso, las graves violaciones de los derechos humanos determinadas por el Tribunal fueron perpetradas por el </w:t>
      </w:r>
      <w:r w:rsidRPr="00D13792">
        <w:rPr>
          <w:lang w:val="es-CR"/>
        </w:rPr>
        <w:t xml:space="preserve">Ejército de Guatemala y otros </w:t>
      </w:r>
      <w:r w:rsidRPr="00D13792">
        <w:rPr>
          <w:rFonts w:cs="Verdana"/>
          <w:lang w:val="es-CR"/>
        </w:rPr>
        <w:t>miembros de las fuerzas de seguridad del Estado (</w:t>
      </w:r>
      <w:r w:rsidRPr="00D13792">
        <w:rPr>
          <w:rFonts w:cs="Verdana"/>
          <w:i/>
          <w:lang w:val="es-CR"/>
        </w:rPr>
        <w:t>supra</w:t>
      </w:r>
      <w:r w:rsidRPr="00D13792">
        <w:rPr>
          <w:rFonts w:cs="Verdana"/>
          <w:lang w:val="es-CR"/>
        </w:rPr>
        <w:t xml:space="preserve"> párrs. 148 y 160). Al respecto, la </w:t>
      </w:r>
      <w:r w:rsidRPr="00D13792">
        <w:rPr>
          <w:rFonts w:cs="Verdana"/>
          <w:b/>
          <w:i/>
          <w:lang w:val="es-CR"/>
        </w:rPr>
        <w:t>Corte</w:t>
      </w:r>
      <w:r w:rsidRPr="00D13792">
        <w:rPr>
          <w:rFonts w:cs="Verdana"/>
          <w:lang w:val="es-CR"/>
        </w:rPr>
        <w:t xml:space="preserve"> estima pertinente recordar que la eficacia e </w:t>
      </w:r>
      <w:r w:rsidRPr="00D13792">
        <w:rPr>
          <w:rFonts w:eastAsia="Batang" w:cs="Times"/>
          <w:spacing w:val="-2"/>
          <w:lang w:val="es-CR"/>
        </w:rPr>
        <w:t>impacto</w:t>
      </w:r>
      <w:r w:rsidRPr="00D13792">
        <w:rPr>
          <w:rFonts w:cs="Verdana"/>
          <w:lang w:val="es-CR"/>
        </w:rPr>
        <w:t xml:space="preserve"> de la </w:t>
      </w:r>
      <w:r w:rsidRPr="00D13792">
        <w:rPr>
          <w:rFonts w:eastAsia="Calibri" w:cs="Calibri"/>
          <w:lang w:val="es-CR"/>
        </w:rPr>
        <w:t>implementación</w:t>
      </w:r>
      <w:r w:rsidRPr="00D13792">
        <w:rPr>
          <w:rFonts w:cs="Verdana"/>
          <w:lang w:val="es-CR"/>
        </w:rPr>
        <w:t xml:space="preserve"> de los programas de educación en derechos humanos en el seno de las </w:t>
      </w:r>
      <w:r w:rsidRPr="00D13792">
        <w:rPr>
          <w:lang w:val="es-CR"/>
        </w:rPr>
        <w:t>fuerzas</w:t>
      </w:r>
      <w:r w:rsidRPr="00D13792">
        <w:rPr>
          <w:rFonts w:cs="Verdana"/>
          <w:lang w:val="es-CR"/>
        </w:rPr>
        <w:t xml:space="preserve"> de seguridad es crucial para generar garantías de no repetición de hechos como los del presente caso</w:t>
      </w:r>
      <w:r w:rsidRPr="00D13792">
        <w:rPr>
          <w:lang w:val="es-CR"/>
        </w:rPr>
        <w:t xml:space="preserve">. Tales </w:t>
      </w:r>
      <w:r w:rsidRPr="00D13792">
        <w:rPr>
          <w:rFonts w:eastAsia="Calibri"/>
          <w:lang w:val="es-CR"/>
        </w:rPr>
        <w:t>programas</w:t>
      </w:r>
      <w:r w:rsidRPr="00D13792">
        <w:rPr>
          <w:lang w:val="es-CR"/>
        </w:rPr>
        <w:t xml:space="preserve"> deben reflejarse en resultados de acción y prevención que acrediten su eficacia, más allá de que su evaluación deba realizarse a través de indicadores adecuados</w:t>
      </w:r>
      <w:r w:rsidRPr="00D13792">
        <w:rPr>
          <w:rFonts w:eastAsia="Batang" w:cs="Times"/>
          <w:vertAlign w:val="superscript"/>
          <w:lang w:val="es-CR"/>
        </w:rPr>
        <w:footnoteReference w:id="366"/>
      </w:r>
      <w:r w:rsidRPr="00D13792">
        <w:rPr>
          <w:lang w:val="es-CR"/>
        </w:rPr>
        <w:t>.</w:t>
      </w:r>
    </w:p>
    <w:p w14:paraId="4667FE89"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Times"/>
          <w:sz w:val="16"/>
          <w:szCs w:val="20"/>
          <w:lang w:eastAsia="en-US"/>
        </w:rPr>
      </w:pPr>
    </w:p>
    <w:p w14:paraId="1E9C98ED" w14:textId="77777777" w:rsidR="006A0E1C" w:rsidRPr="00D13792" w:rsidRDefault="006A0E1C" w:rsidP="006A0E1C">
      <w:pPr>
        <w:pStyle w:val="Prrafodelista2"/>
        <w:numPr>
          <w:ilvl w:val="0"/>
          <w:numId w:val="23"/>
        </w:numPr>
        <w:tabs>
          <w:tab w:val="left" w:pos="720"/>
        </w:tabs>
        <w:ind w:right="-90"/>
        <w:jc w:val="both"/>
        <w:rPr>
          <w:lang w:val="es-CR"/>
        </w:rPr>
      </w:pPr>
      <w:r w:rsidRPr="00D13792">
        <w:rPr>
          <w:lang w:val="es-CR"/>
        </w:rPr>
        <w:t>En el presente caso, el Estado informó sobre los cursos que estarían recibiendo miembros del Ejército de Guatemala; sin embargo, no presentó documentación que sustente lo informado, que establezca la permanencia de los cursos mencionados o que indique cuántos integrantes de sus fuerzas reciben dicha capacitación. Por tanto, la Corte ordena al Estado incluir formación en derechos humanos y derecho internacional humanitario de forma permanente en el pensum de los diferencies centros de formación, profesionalización vocacional y capacitación de todas las ramas del Ejército de Guatemala. Dicha capacitación debe ser implementada en el plazo de un año y dirigida a todos los niveles jerárquicos del Ejército de Guatemala e incorporar la necesidad de erradicar la discriminación racial y étnica, los estereotipos raciales y étnicos, y la violencia contra los pueblos indígenas, a la luz de la normativa internacional en la materia y</w:t>
      </w:r>
      <w:r w:rsidRPr="00D13792">
        <w:rPr>
          <w:b/>
          <w:lang w:val="es-CR"/>
        </w:rPr>
        <w:t xml:space="preserve"> </w:t>
      </w:r>
      <w:r w:rsidRPr="00D13792">
        <w:rPr>
          <w:lang w:val="es-CR"/>
        </w:rPr>
        <w:t xml:space="preserve">la jurisprudencia de la Corte sobre graves violaciones a los derechos humanos, particularmente en casos guatemaltecos. </w:t>
      </w:r>
    </w:p>
    <w:p w14:paraId="78A376B0" w14:textId="77777777" w:rsidR="006A0E1C" w:rsidRPr="00D13792" w:rsidRDefault="006A0E1C" w:rsidP="006A0E1C">
      <w:pPr>
        <w:widowControl/>
        <w:adjustRightInd/>
        <w:spacing w:line="276" w:lineRule="auto"/>
        <w:ind w:left="-720"/>
        <w:contextualSpacing/>
        <w:jc w:val="left"/>
        <w:textAlignment w:val="auto"/>
        <w:rPr>
          <w:rFonts w:eastAsia="MS Mincho"/>
          <w:b/>
          <w:sz w:val="16"/>
          <w:szCs w:val="16"/>
          <w:lang w:eastAsia="en-US"/>
        </w:rPr>
      </w:pPr>
    </w:p>
    <w:p w14:paraId="320D3FCA" w14:textId="77777777" w:rsidR="006A0E1C" w:rsidRPr="00D13792" w:rsidRDefault="006A0E1C" w:rsidP="006A0E1C">
      <w:pPr>
        <w:pStyle w:val="Heading2"/>
        <w:tabs>
          <w:tab w:val="clear" w:pos="720"/>
        </w:tabs>
        <w:rPr>
          <w:rFonts w:eastAsia="Calibri"/>
          <w:b w:val="0"/>
          <w:i w:val="0"/>
          <w:lang w:val="es-CR"/>
        </w:rPr>
      </w:pPr>
      <w:bookmarkStart w:id="268" w:name="_Toc469670074"/>
      <w:r w:rsidRPr="00D13792">
        <w:rPr>
          <w:rFonts w:eastAsia="Calibri"/>
          <w:lang w:val="es-CR"/>
        </w:rPr>
        <w:t>D.4.2. Fortalecimiento de la capacidad del poder judicial y del ministerio público de investigar los hechos y sancionar a los responsables</w:t>
      </w:r>
      <w:bookmarkEnd w:id="268"/>
      <w:r w:rsidRPr="00D13792">
        <w:rPr>
          <w:rFonts w:eastAsia="Calibri"/>
          <w:lang w:val="es-CR"/>
        </w:rPr>
        <w:t xml:space="preserve"> </w:t>
      </w:r>
    </w:p>
    <w:p w14:paraId="4154F9FB" w14:textId="77777777" w:rsidR="006A0E1C" w:rsidRPr="00D13792" w:rsidRDefault="006A0E1C" w:rsidP="006A0E1C">
      <w:pPr>
        <w:pStyle w:val="Prrafodelista2"/>
        <w:tabs>
          <w:tab w:val="left" w:pos="720"/>
        </w:tabs>
        <w:ind w:left="0" w:right="-90"/>
        <w:jc w:val="both"/>
        <w:rPr>
          <w:rFonts w:eastAsia="Batang" w:cs="Times"/>
          <w:sz w:val="16"/>
          <w:lang w:val="es-CR"/>
        </w:rPr>
      </w:pPr>
    </w:p>
    <w:p w14:paraId="7406E49A"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La</w:t>
      </w:r>
      <w:r w:rsidRPr="00D13792">
        <w:rPr>
          <w:rFonts w:eastAsia="Batang" w:cs="Times"/>
          <w:b/>
          <w:lang w:val="es-CR"/>
        </w:rPr>
        <w:t xml:space="preserve"> </w:t>
      </w:r>
      <w:r w:rsidRPr="00D13792">
        <w:rPr>
          <w:rFonts w:eastAsia="Batang" w:cs="Times"/>
          <w:b/>
          <w:i/>
          <w:lang w:val="es-CR"/>
        </w:rPr>
        <w:t>Comisión</w:t>
      </w:r>
      <w:r w:rsidRPr="00D13792">
        <w:rPr>
          <w:rFonts w:eastAsia="Batang" w:cs="Times"/>
          <w:lang w:val="es-CR"/>
        </w:rPr>
        <w:t xml:space="preserve"> solicitó a la Corte que ordene al Estado fortalecer la capacidad del poder judicial de investigar de </w:t>
      </w:r>
      <w:r w:rsidRPr="00D13792">
        <w:rPr>
          <w:lang w:val="es-CR"/>
        </w:rPr>
        <w:t>forma</w:t>
      </w:r>
      <w:r w:rsidRPr="00D13792">
        <w:rPr>
          <w:rFonts w:eastAsia="Batang" w:cs="Times"/>
          <w:lang w:val="es-CR"/>
        </w:rPr>
        <w:t xml:space="preserve"> adecuada y eficiente los hechos y sancionar a los responsables incluso con los recursos materiales y técnicos necesarios para asegurar el</w:t>
      </w:r>
      <w:r w:rsidRPr="00D13792">
        <w:rPr>
          <w:rFonts w:cs="Times"/>
          <w:lang w:val="es-CR"/>
        </w:rPr>
        <w:t xml:space="preserve"> </w:t>
      </w:r>
      <w:r w:rsidRPr="00D13792">
        <w:rPr>
          <w:rFonts w:eastAsia="Batang" w:cs="Times"/>
          <w:lang w:val="es-CR"/>
        </w:rPr>
        <w:t>correcto desarrollo de los procesos. Los</w:t>
      </w:r>
      <w:r w:rsidRPr="00D13792">
        <w:rPr>
          <w:rFonts w:eastAsia="Batang" w:cs="Times"/>
          <w:b/>
          <w:lang w:val="es-CR"/>
        </w:rPr>
        <w:t xml:space="preserve"> </w:t>
      </w:r>
      <w:r w:rsidRPr="00D13792">
        <w:rPr>
          <w:rFonts w:eastAsia="Batang" w:cs="Times"/>
          <w:b/>
          <w:i/>
          <w:lang w:val="es-CR"/>
        </w:rPr>
        <w:t>representantes</w:t>
      </w:r>
      <w:r w:rsidRPr="00D13792">
        <w:rPr>
          <w:rFonts w:eastAsia="Batang" w:cs="Times"/>
          <w:lang w:val="es-CR"/>
        </w:rPr>
        <w:t xml:space="preserve"> no </w:t>
      </w:r>
      <w:r w:rsidRPr="00D13792">
        <w:rPr>
          <w:rFonts w:eastAsia="Calibri"/>
          <w:lang w:val="es-CR"/>
        </w:rPr>
        <w:t>se refirieron a este punto</w:t>
      </w:r>
      <w:r w:rsidRPr="00D13792">
        <w:rPr>
          <w:lang w:val="es-CR"/>
        </w:rPr>
        <w:t xml:space="preserve"> </w:t>
      </w:r>
      <w:r w:rsidRPr="00D13792">
        <w:rPr>
          <w:rFonts w:eastAsia="Calibri"/>
          <w:lang w:val="es-CR"/>
        </w:rPr>
        <w:t>en su escrito de solicitudes y argumentos</w:t>
      </w:r>
      <w:r w:rsidRPr="00D13792">
        <w:rPr>
          <w:rStyle w:val="FootnoteReference"/>
          <w:rFonts w:eastAsia="Calibri"/>
          <w:lang w:val="es-CR"/>
        </w:rPr>
        <w:footnoteReference w:id="367"/>
      </w:r>
      <w:r w:rsidRPr="00D13792">
        <w:rPr>
          <w:rFonts w:eastAsia="Batang" w:cs="Times"/>
          <w:lang w:val="es-CR"/>
        </w:rPr>
        <w:t xml:space="preserve">. </w:t>
      </w:r>
    </w:p>
    <w:p w14:paraId="477CE0A8"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Batang" w:cs="Times"/>
          <w:sz w:val="20"/>
          <w:szCs w:val="20"/>
          <w:lang w:eastAsia="en-US"/>
        </w:rPr>
      </w:pPr>
    </w:p>
    <w:p w14:paraId="1CC3587D"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El</w:t>
      </w:r>
      <w:r w:rsidRPr="00D13792">
        <w:rPr>
          <w:rFonts w:eastAsia="Batang" w:cs="Times"/>
          <w:b/>
          <w:lang w:val="es-CR"/>
        </w:rPr>
        <w:t xml:space="preserve"> </w:t>
      </w:r>
      <w:r w:rsidRPr="00D13792">
        <w:rPr>
          <w:rFonts w:eastAsia="Batang" w:cs="Times"/>
          <w:b/>
          <w:i/>
          <w:lang w:val="es-CR"/>
        </w:rPr>
        <w:t>Estado</w:t>
      </w:r>
      <w:r w:rsidRPr="00D13792">
        <w:rPr>
          <w:rFonts w:eastAsia="Batang" w:cs="Times"/>
          <w:lang w:val="es-CR"/>
        </w:rPr>
        <w:t xml:space="preserve"> manifestó que </w:t>
      </w:r>
      <w:r w:rsidRPr="00D13792">
        <w:rPr>
          <w:rFonts w:eastAsia="Times" w:cs="Times"/>
          <w:lang w:val="es-CR" w:eastAsia="es-ES"/>
        </w:rPr>
        <w:t>cuenta</w:t>
      </w:r>
      <w:r w:rsidRPr="00D13792">
        <w:rPr>
          <w:rFonts w:eastAsia="Batang" w:cs="Times"/>
          <w:lang w:val="es-CR"/>
        </w:rPr>
        <w:t xml:space="preserve"> con el Instituto Nacional de Administración Pública (INAP) para la formación, capacitación, adiestramiento y </w:t>
      </w:r>
      <w:r w:rsidRPr="00D13792">
        <w:rPr>
          <w:rFonts w:eastAsia="Batang" w:cs="Times"/>
          <w:spacing w:val="-2"/>
          <w:lang w:val="es-CR"/>
        </w:rPr>
        <w:t>actualización</w:t>
      </w:r>
      <w:r w:rsidRPr="00D13792">
        <w:rPr>
          <w:rFonts w:eastAsia="Batang" w:cs="Times"/>
          <w:lang w:val="es-CR"/>
        </w:rPr>
        <w:t xml:space="preserve"> de los servidores públicos.</w:t>
      </w:r>
      <w:r w:rsidRPr="00D13792">
        <w:rPr>
          <w:rFonts w:eastAsia="Batang"/>
          <w:b/>
          <w:lang w:val="es-CR"/>
        </w:rPr>
        <w:t xml:space="preserve"> </w:t>
      </w:r>
      <w:r w:rsidRPr="00D13792">
        <w:rPr>
          <w:rFonts w:eastAsia="Batang" w:cs="Times"/>
          <w:lang w:val="es-CR"/>
        </w:rPr>
        <w:t xml:space="preserve">Para el fortalecimiento de capacidades específicamente en el sistema judicial, el Estado indicó que cuenta con la Unidad de Capacitación del Ministerio Público (UNICAP) y con la Escuela de Estudios Judiciales. Detalló los cursos impartidos por la UNICAP entre los años 2010 y 2014, en particular en materia de discriminación racial, étnica y de género, así como de estrategias de litigio en casos del enfrentamiento armado interno e inducción a los derechos humanos, entre otros. Por otro lado, detalló los niveles de formación dentro de la Escuela de Estudios Judiciales, </w:t>
      </w:r>
      <w:r w:rsidRPr="00D13792">
        <w:rPr>
          <w:rFonts w:eastAsia="Batang" w:cs="Times"/>
          <w:lang w:val="es-CR"/>
        </w:rPr>
        <w:lastRenderedPageBreak/>
        <w:t xml:space="preserve">y mencionó que esta ofrece diplomados en femicidio y otras formas de violencia contra la mujer. </w:t>
      </w:r>
    </w:p>
    <w:p w14:paraId="0D266384" w14:textId="77777777" w:rsidR="006A0E1C" w:rsidRPr="00D13792" w:rsidRDefault="006A0E1C" w:rsidP="006A0E1C">
      <w:pPr>
        <w:tabs>
          <w:tab w:val="left" w:pos="567"/>
        </w:tabs>
        <w:spacing w:line="240" w:lineRule="auto"/>
        <w:ind w:left="-709" w:right="6"/>
        <w:contextualSpacing/>
        <w:rPr>
          <w:rFonts w:eastAsia="Calibri"/>
          <w:sz w:val="16"/>
          <w:szCs w:val="20"/>
          <w:lang w:eastAsia="en-US"/>
        </w:rPr>
      </w:pPr>
    </w:p>
    <w:p w14:paraId="14C489F6"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 xml:space="preserve">En el presente caso, la </w:t>
      </w:r>
      <w:r w:rsidRPr="00D13792">
        <w:rPr>
          <w:rFonts w:eastAsia="Batang" w:cs="Times"/>
          <w:b/>
          <w:i/>
          <w:lang w:val="es-CR"/>
        </w:rPr>
        <w:t>Corte</w:t>
      </w:r>
      <w:r w:rsidRPr="00D13792">
        <w:rPr>
          <w:rFonts w:eastAsia="Batang" w:cs="Times"/>
          <w:lang w:val="es-CR"/>
        </w:rPr>
        <w:t xml:space="preserve"> estableció diversas faltas de debida diligencia y efectividad en la investigación de los hechos que han permitido que estos continúen en la impunidad, dentro de un contexto de impunidad generalizada por graves violaciones de derechos humanos cometidos durante el conflicto armado interno (</w:t>
      </w:r>
      <w:r w:rsidRPr="00D13792">
        <w:rPr>
          <w:rFonts w:eastAsia="Batang" w:cs="Times"/>
          <w:i/>
          <w:lang w:val="es-CR"/>
        </w:rPr>
        <w:t xml:space="preserve">supra </w:t>
      </w:r>
      <w:r w:rsidRPr="00D13792">
        <w:rPr>
          <w:rFonts w:eastAsia="Batang" w:cs="Times"/>
          <w:lang w:val="es-CR"/>
        </w:rPr>
        <w:t>párrs. 262 a 265). El Tribunal valora las medidas señaladas por el Estado a fin de capacitar a miembros del Ministerio Público y el Poder Judicial; sin embargo, advierte que el Estado no proporcionó documentación que permita establecer el alcance, la idoneidad y la permanencia de los cursos y programas de formación señalados, a fin de fortalecer la investigación de las graves violaciones de derechos humanos, particularmente aquellas cometidas durante el conflicto armado</w:t>
      </w:r>
      <w:r w:rsidRPr="00D13792">
        <w:rPr>
          <w:rFonts w:eastAsia="Batang" w:cs="Times"/>
          <w:vertAlign w:val="superscript"/>
          <w:lang w:val="es-CR"/>
        </w:rPr>
        <w:footnoteReference w:id="368"/>
      </w:r>
      <w:r w:rsidRPr="00D13792">
        <w:rPr>
          <w:rFonts w:eastAsia="Batang" w:cs="Times"/>
          <w:lang w:val="es-CR"/>
        </w:rPr>
        <w:t xml:space="preserve">. En particular, la Corte nota que el Estado no mencionó capacitaciones en este sentido dirigidas a miembros de Organismo Judicial. </w:t>
      </w:r>
    </w:p>
    <w:p w14:paraId="52ED4F06"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Batang" w:cs="Times"/>
          <w:sz w:val="20"/>
          <w:szCs w:val="20"/>
          <w:lang w:eastAsia="en-US"/>
        </w:rPr>
      </w:pPr>
    </w:p>
    <w:p w14:paraId="74FD7CE8" w14:textId="77777777" w:rsidR="006A0E1C" w:rsidRPr="00D13792" w:rsidRDefault="006A0E1C" w:rsidP="006A0E1C">
      <w:pPr>
        <w:pStyle w:val="Prrafodelista2"/>
        <w:numPr>
          <w:ilvl w:val="0"/>
          <w:numId w:val="23"/>
        </w:numPr>
        <w:tabs>
          <w:tab w:val="left" w:pos="720"/>
        </w:tabs>
        <w:ind w:right="-90"/>
        <w:jc w:val="both"/>
        <w:rPr>
          <w:rFonts w:eastAsia="Batang"/>
          <w:lang w:val="es-CR"/>
        </w:rPr>
      </w:pPr>
      <w:r w:rsidRPr="00D13792">
        <w:rPr>
          <w:rFonts w:eastAsia="Batang" w:cs="Verdana"/>
          <w:lang w:val="es-CR"/>
        </w:rPr>
        <w:t xml:space="preserve">En su Resolución de Supervisión de Cumplimiento de Sentencias emitidas en 12 casos guatemaltecos, de 24 de noviembre de </w:t>
      </w:r>
      <w:r w:rsidRPr="00D13792">
        <w:rPr>
          <w:lang w:val="es-CR"/>
        </w:rPr>
        <w:t>2015</w:t>
      </w:r>
      <w:r w:rsidRPr="00D13792">
        <w:rPr>
          <w:rFonts w:eastAsia="Batang"/>
          <w:vertAlign w:val="superscript"/>
          <w:lang w:val="es-CR"/>
        </w:rPr>
        <w:footnoteReference w:id="369"/>
      </w:r>
      <w:r w:rsidRPr="00D13792">
        <w:rPr>
          <w:rFonts w:eastAsia="Batang"/>
          <w:lang w:val="es-CR"/>
        </w:rPr>
        <w:t xml:space="preserve">, la Corte observó que mediante un Informe del Ministerio Público de mayo de 2014 se expuso que la Unidad de Casos Especiales del Conflicto Armado Interno “no cuenta con una partida presupuestaria especial para la contratación de personal suficiente u otros insumos para enfrentar el trabajo que […] representa los más de 3,500 a su cargo, los cuales además, incluyen multiplicidad de víctimas y son particularmente complejos”. Asimismo, en dicho Informe el Ministerio Público identificó diversas </w:t>
      </w:r>
      <w:r w:rsidRPr="00D13792">
        <w:rPr>
          <w:lang w:val="es-CR"/>
        </w:rPr>
        <w:t xml:space="preserve">“problemáticas estructurales” </w:t>
      </w:r>
      <w:r w:rsidRPr="00D13792">
        <w:rPr>
          <w:rFonts w:eastAsia="Batang"/>
          <w:lang w:val="es-CR"/>
        </w:rPr>
        <w:t xml:space="preserve">en el cumplimiento de la obligación de investigar, juzgar y, en su caso, sancionar a los responsables de las graves violaciones de derechos humanos ocurridas en Guatemala, en relación con los casos analizados en esa Resolución. También señaló que “propició capacitación en materia de derechos humanos a sus funcionarios, cursos en los que se incluyó el manejo de los instrumentos internacionales en dicha materia, derecho internacional humanitario, así como, el estudio de las sentencias dictadas por la Corte IDH, en contra […] de Guatemala y muchas otras que se consideraron importantes. Todo ello ha sido incorporado al pensum permanente de capacitación de la carrera fiscal”. </w:t>
      </w:r>
    </w:p>
    <w:p w14:paraId="3BADC76B"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Batang" w:cs="Verdana"/>
          <w:sz w:val="20"/>
          <w:szCs w:val="20"/>
          <w:lang w:eastAsia="en-US"/>
        </w:rPr>
      </w:pPr>
    </w:p>
    <w:p w14:paraId="14C82685" w14:textId="77777777" w:rsidR="006A0E1C" w:rsidRPr="00D13792" w:rsidRDefault="006A0E1C" w:rsidP="006A0E1C">
      <w:pPr>
        <w:pStyle w:val="Prrafodelista2"/>
        <w:numPr>
          <w:ilvl w:val="0"/>
          <w:numId w:val="23"/>
        </w:numPr>
        <w:tabs>
          <w:tab w:val="left" w:pos="720"/>
        </w:tabs>
        <w:ind w:right="-90"/>
        <w:jc w:val="both"/>
        <w:rPr>
          <w:rFonts w:eastAsia="Batang" w:cs="Verdana"/>
          <w:color w:val="7030A0"/>
          <w:lang w:val="es-CR"/>
        </w:rPr>
      </w:pPr>
      <w:r w:rsidRPr="00D13792">
        <w:rPr>
          <w:rFonts w:eastAsia="Batang" w:cs="Times"/>
          <w:lang w:val="es-CR"/>
        </w:rPr>
        <w:t>Ahora bien, esta Corte ya ordenó al Estado garantizar</w:t>
      </w:r>
      <w:r w:rsidRPr="00D13792">
        <w:rPr>
          <w:rFonts w:eastAsia="Batang" w:cs="Verdana"/>
          <w:lang w:val="es-CR"/>
        </w:rPr>
        <w:t xml:space="preserve"> que los distintos órganos del sistema de justicia involucrados en el caso deben </w:t>
      </w:r>
      <w:r w:rsidRPr="00D13792">
        <w:rPr>
          <w:rFonts w:eastAsia="Batang" w:cs="Times"/>
          <w:lang w:val="es-CR"/>
        </w:rPr>
        <w:t>contar</w:t>
      </w:r>
      <w:r w:rsidRPr="00D13792">
        <w:rPr>
          <w:rFonts w:eastAsia="Batang" w:cs="Verdana"/>
          <w:lang w:val="es-CR"/>
        </w:rPr>
        <w:t xml:space="preserve"> con los recursos humanos necesarios para desempeñar sus tareas de manera adecuada, independiente e imparcial </w:t>
      </w:r>
      <w:r w:rsidRPr="00D13792">
        <w:rPr>
          <w:rFonts w:eastAsia="Batang"/>
          <w:lang w:val="es-CR"/>
        </w:rPr>
        <w:t>(</w:t>
      </w:r>
      <w:r w:rsidRPr="00D13792">
        <w:rPr>
          <w:rFonts w:eastAsia="Batang"/>
          <w:i/>
          <w:lang w:val="es-CR"/>
        </w:rPr>
        <w:t>supra</w:t>
      </w:r>
      <w:r w:rsidRPr="00D13792">
        <w:rPr>
          <w:rFonts w:eastAsia="Batang"/>
          <w:lang w:val="es-CR"/>
        </w:rPr>
        <w:t xml:space="preserve"> párr. 285.d).</w:t>
      </w:r>
      <w:r w:rsidRPr="00D13792">
        <w:rPr>
          <w:rFonts w:eastAsia="Batang" w:cs="Verdana"/>
          <w:lang w:val="es-CR"/>
        </w:rPr>
        <w:t xml:space="preserve"> </w:t>
      </w:r>
      <w:r w:rsidRPr="00D13792">
        <w:rPr>
          <w:rFonts w:eastAsia="Batang" w:cs="Times"/>
          <w:lang w:val="es-CR"/>
        </w:rPr>
        <w:t>Por tanto, a la luz de lo expuesto, el Tribunal considera necesario que las entidades de formación de los miembros del Organismo Judicial y del Ministerio Público diseñen e implementen, en los pensum permanentes de las carreras judiciales y fiscales, respectivamente, programas de educación en derechos humanos y derecho internacional humanitario, si no los hubiere</w:t>
      </w:r>
      <w:r w:rsidRPr="00D13792">
        <w:rPr>
          <w:rFonts w:eastAsia="Batang" w:cs="Verdana"/>
          <w:lang w:val="es-CR"/>
        </w:rPr>
        <w:t xml:space="preserve">. Dichos programas deben </w:t>
      </w:r>
      <w:r w:rsidRPr="00D13792">
        <w:rPr>
          <w:lang w:val="es-CR"/>
        </w:rPr>
        <w:t xml:space="preserve">incorporar la necesidad de erradicar la discriminación racial y étnica, los estereotipos raciales y étnicos, y la violencia contra los pueblos indígenas, a la luz de la normativa internacional en la materia y la jurisprudencia de la Corte sobre graves violaciones a los derechos humanos y el acceso a la justicia de las víctimas, particularmente en casos guatemaltecos, y deben </w:t>
      </w:r>
      <w:r w:rsidRPr="00D13792">
        <w:rPr>
          <w:rFonts w:eastAsia="Batang" w:cs="Verdana"/>
          <w:lang w:val="es-CR"/>
        </w:rPr>
        <w:t xml:space="preserve">ser implementados en el plazo de un año, contado a partir de la notificación de esta Sentencia. </w:t>
      </w:r>
    </w:p>
    <w:p w14:paraId="5D7A7D34"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Batang" w:cs="Verdana"/>
          <w:sz w:val="20"/>
          <w:szCs w:val="20"/>
          <w:lang w:eastAsia="en-US"/>
        </w:rPr>
      </w:pPr>
    </w:p>
    <w:p w14:paraId="3F221945" w14:textId="77777777" w:rsidR="006A0E1C" w:rsidRPr="00D13792" w:rsidRDefault="006A0E1C" w:rsidP="006A0E1C">
      <w:pPr>
        <w:pStyle w:val="Heading2"/>
        <w:tabs>
          <w:tab w:val="clear" w:pos="720"/>
        </w:tabs>
        <w:rPr>
          <w:rFonts w:eastAsia="Batang" w:cs="Verdana"/>
          <w:lang w:val="es-CR" w:eastAsia="en-US"/>
        </w:rPr>
      </w:pPr>
      <w:bookmarkStart w:id="269" w:name="_Toc469670075"/>
      <w:r w:rsidRPr="00D13792">
        <w:rPr>
          <w:rFonts w:eastAsia="Calibri"/>
          <w:lang w:val="es-CR"/>
        </w:rPr>
        <w:t>D.4.3. Programa educativo en materia de no discriminación</w:t>
      </w:r>
      <w:bookmarkEnd w:id="269"/>
    </w:p>
    <w:p w14:paraId="1A303CB1"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utoSpaceDE w:val="0"/>
        <w:autoSpaceDN w:val="0"/>
        <w:spacing w:line="240" w:lineRule="auto"/>
        <w:ind w:right="-138"/>
        <w:textAlignment w:val="auto"/>
        <w:rPr>
          <w:rFonts w:eastAsia="Batang" w:cs="Verdana"/>
          <w:sz w:val="20"/>
          <w:szCs w:val="20"/>
          <w:lang w:eastAsia="en-US"/>
        </w:rPr>
      </w:pPr>
    </w:p>
    <w:p w14:paraId="479516DC" w14:textId="77777777" w:rsidR="006A0E1C" w:rsidRPr="00D13792" w:rsidRDefault="006A0E1C" w:rsidP="006A0E1C">
      <w:pPr>
        <w:pStyle w:val="Prrafodelista2"/>
        <w:numPr>
          <w:ilvl w:val="0"/>
          <w:numId w:val="23"/>
        </w:numPr>
        <w:tabs>
          <w:tab w:val="left" w:pos="720"/>
        </w:tabs>
        <w:ind w:right="-90"/>
        <w:jc w:val="both"/>
        <w:rPr>
          <w:lang w:val="es-CR"/>
        </w:rPr>
      </w:pPr>
      <w:r w:rsidRPr="00D13792">
        <w:rPr>
          <w:lang w:val="es-CR"/>
        </w:rPr>
        <w:t xml:space="preserve"> La </w:t>
      </w:r>
      <w:r w:rsidRPr="00D13792">
        <w:rPr>
          <w:b/>
          <w:i/>
          <w:lang w:val="es-CR"/>
        </w:rPr>
        <w:t>Comisión</w:t>
      </w:r>
      <w:r w:rsidRPr="00D13792">
        <w:rPr>
          <w:lang w:val="es-CR"/>
        </w:rPr>
        <w:t xml:space="preserve"> solicitó de manera general a la Corte que </w:t>
      </w:r>
      <w:r w:rsidRPr="00D13792">
        <w:rPr>
          <w:rFonts w:eastAsia="Calibri"/>
          <w:lang w:val="es-CR"/>
        </w:rPr>
        <w:t>adopte las medidas necesarias para evitar que en el futuro se produzcan hechos similares conforme al deber de prevención y garantía de los derechos humanos reconocidos en la Convención</w:t>
      </w:r>
      <w:r w:rsidRPr="00D13792">
        <w:rPr>
          <w:lang w:val="es-CR"/>
        </w:rPr>
        <w:t xml:space="preserve"> </w:t>
      </w:r>
      <w:r w:rsidRPr="00D13792">
        <w:rPr>
          <w:rFonts w:eastAsia="Calibri"/>
          <w:lang w:val="es-CR"/>
        </w:rPr>
        <w:t>Americana.</w:t>
      </w:r>
      <w:r w:rsidRPr="00D13792">
        <w:rPr>
          <w:lang w:val="es-CR"/>
        </w:rPr>
        <w:t xml:space="preserve"> La </w:t>
      </w:r>
      <w:r w:rsidRPr="00D13792">
        <w:rPr>
          <w:b/>
          <w:i/>
          <w:lang w:val="es-CR"/>
        </w:rPr>
        <w:t>Corte</w:t>
      </w:r>
      <w:r w:rsidRPr="00D13792">
        <w:rPr>
          <w:lang w:val="es-CR"/>
        </w:rPr>
        <w:t xml:space="preserve"> considera </w:t>
      </w:r>
      <w:r w:rsidRPr="00D13792">
        <w:rPr>
          <w:lang w:val="es-CR"/>
        </w:rPr>
        <w:lastRenderedPageBreak/>
        <w:t xml:space="preserve">necesario ordenar, como garantía de no repetición, que, en un plazo razonable, el Estado incorpore al currículo del Sistema Educativo Nacional, en todos sus niveles, un </w:t>
      </w:r>
      <w:r w:rsidRPr="00D13792">
        <w:rPr>
          <w:rFonts w:cs="Times"/>
          <w:lang w:val="es-CR"/>
        </w:rPr>
        <w:t>programa</w:t>
      </w:r>
      <w:r w:rsidRPr="00D13792">
        <w:rPr>
          <w:lang w:val="es-CR"/>
        </w:rPr>
        <w:t xml:space="preserve"> de educación cuyo contenido refleje la naturaleza pluricultural y multilingüe de la sociedad guatemalteca, impulsando el respeto y el conocimiento de las diversas culturas indígenas, incluyendo sus cosmovisiones, historias, lenguas, conocimientos, valores, culturas, prácticas y formas de vida. Dicho programa deberá hacer énfasis en la necesidad de erradicar la discriminación racial y étnica, los estereotipos raciales y étnicos, y la violencia contra los pueblos indígenas, a la luz de la normativa internacional</w:t>
      </w:r>
      <w:r w:rsidRPr="00D13792">
        <w:rPr>
          <w:rStyle w:val="FootnoteReference"/>
          <w:lang w:val="es-CR"/>
        </w:rPr>
        <w:footnoteReference w:id="370"/>
      </w:r>
      <w:r w:rsidRPr="00D13792">
        <w:rPr>
          <w:lang w:val="es-CR"/>
        </w:rPr>
        <w:t xml:space="preserve"> en la materia y la jurisprudencia de este Tribunal.</w:t>
      </w:r>
    </w:p>
    <w:p w14:paraId="3D9AD77B" w14:textId="77777777" w:rsidR="006A0E1C" w:rsidRPr="00D13792" w:rsidRDefault="006A0E1C" w:rsidP="006A0E1C">
      <w:pPr>
        <w:pStyle w:val="Prrafodelista2"/>
        <w:tabs>
          <w:tab w:val="left" w:pos="720"/>
        </w:tabs>
        <w:ind w:left="0" w:right="-90"/>
        <w:jc w:val="both"/>
        <w:rPr>
          <w:rFonts w:eastAsia="Batang" w:cs="Verdana"/>
          <w:lang w:val="es-CR"/>
        </w:rPr>
      </w:pPr>
    </w:p>
    <w:p w14:paraId="78495030" w14:textId="77777777" w:rsidR="006A0E1C" w:rsidRPr="00D13792" w:rsidRDefault="006A0E1C" w:rsidP="006A0E1C">
      <w:pPr>
        <w:pStyle w:val="Heading2"/>
        <w:tabs>
          <w:tab w:val="clear" w:pos="720"/>
        </w:tabs>
        <w:rPr>
          <w:rFonts w:eastAsia="Calibri"/>
          <w:b w:val="0"/>
          <w:i w:val="0"/>
          <w:lang w:val="es-CR"/>
        </w:rPr>
      </w:pPr>
      <w:bookmarkStart w:id="270" w:name="_Toc469670076"/>
      <w:r w:rsidRPr="00D13792">
        <w:rPr>
          <w:rFonts w:eastAsia="Calibri"/>
          <w:lang w:val="es-CR"/>
        </w:rPr>
        <w:t>D.4.4. Fortalecimiento de los mecanismos contra la discriminación racial y étnica</w:t>
      </w:r>
      <w:bookmarkEnd w:id="270"/>
    </w:p>
    <w:p w14:paraId="2F963EB8" w14:textId="77777777" w:rsidR="006A0E1C" w:rsidRPr="00D13792" w:rsidRDefault="006A0E1C" w:rsidP="006A0E1C">
      <w:pPr>
        <w:pStyle w:val="NoSpacing"/>
        <w:rPr>
          <w:szCs w:val="20"/>
          <w:lang w:val="es-CR"/>
        </w:rPr>
      </w:pPr>
    </w:p>
    <w:p w14:paraId="31F0E74B" w14:textId="77777777" w:rsidR="006A0E1C" w:rsidRPr="00D13792" w:rsidRDefault="006A0E1C" w:rsidP="006A0E1C">
      <w:pPr>
        <w:pStyle w:val="NoSpacing"/>
        <w:numPr>
          <w:ilvl w:val="0"/>
          <w:numId w:val="23"/>
        </w:numPr>
        <w:rPr>
          <w:szCs w:val="20"/>
          <w:lang w:val="es-CR"/>
        </w:rPr>
      </w:pPr>
      <w:r w:rsidRPr="00D13792">
        <w:rPr>
          <w:szCs w:val="20"/>
          <w:lang w:val="es-CR"/>
        </w:rPr>
        <w:t xml:space="preserve">La </w:t>
      </w:r>
      <w:r w:rsidRPr="00D13792">
        <w:rPr>
          <w:b/>
          <w:i/>
          <w:szCs w:val="20"/>
          <w:lang w:val="es-CR"/>
        </w:rPr>
        <w:t>Comisión</w:t>
      </w:r>
      <w:r w:rsidRPr="00D13792">
        <w:rPr>
          <w:szCs w:val="20"/>
          <w:lang w:val="es-CR"/>
        </w:rPr>
        <w:t xml:space="preserve"> solicitó a la Corte adoptar las medidas necesarias para evitar que en el futuro se produzcan hechos similares conforme al deber de prevención y garantía de los derechos humanos reconocidos en la Convención Americana. La </w:t>
      </w:r>
      <w:r w:rsidRPr="00D13792">
        <w:rPr>
          <w:b/>
          <w:i/>
          <w:szCs w:val="20"/>
          <w:lang w:val="es-CR"/>
        </w:rPr>
        <w:t xml:space="preserve">Corte </w:t>
      </w:r>
      <w:r w:rsidRPr="00D13792">
        <w:rPr>
          <w:szCs w:val="20"/>
          <w:lang w:val="es-CR"/>
        </w:rPr>
        <w:t xml:space="preserve">dispone, como garantía de no repetición y dados los gravísimos hechos contra indígenas maya achí descritos en la presente Sentencia, y ante la posibilidad de que persistan en la sociedad actitudes y sentimientos discriminatorios, que </w:t>
      </w:r>
      <w:r w:rsidRPr="00D13792">
        <w:rPr>
          <w:lang w:val="es-CR"/>
        </w:rPr>
        <w:t>en un plazo razonable,</w:t>
      </w:r>
      <w:r w:rsidRPr="00D13792">
        <w:rPr>
          <w:szCs w:val="20"/>
          <w:lang w:val="es-CR"/>
        </w:rPr>
        <w:t xml:space="preserve"> el Estado perfeccione y refuerce la lucha contra toda forma de discriminación y, en particular, contra la discriminación racial y étnica, fortaleciendo los organismos existentes o los que vaya a crear con ese objetivo. Esos organismos deberán contar con la participación directa de personas de los grupos vulnerables y se ocuparán también de promover la revaloración de las culturas originarias, difundiendo su historia y riqueza. Lo anterior, en aras de que las políticas públicas y acciones orientadas a erradicar los actos de discriminación racial sean efectivas y se garantice así, la igualdad, el reconocimiento, respeto y promoción de los derechos de los pueblos indígenas, desalentando de esta forma, las manifestaciones de discriminación racial y étnica en la sociedad guatemalteca.</w:t>
      </w:r>
    </w:p>
    <w:p w14:paraId="01E608E8"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utoSpaceDE w:val="0"/>
        <w:autoSpaceDN w:val="0"/>
        <w:spacing w:line="240" w:lineRule="auto"/>
        <w:ind w:right="-138"/>
        <w:textAlignment w:val="auto"/>
        <w:rPr>
          <w:rFonts w:eastAsia="Batang" w:cs="Verdana"/>
          <w:b/>
          <w:sz w:val="20"/>
          <w:szCs w:val="20"/>
          <w:lang w:eastAsia="en-US"/>
        </w:rPr>
      </w:pPr>
    </w:p>
    <w:p w14:paraId="70F06BE5" w14:textId="77777777" w:rsidR="006A0E1C" w:rsidRPr="00D13792" w:rsidRDefault="006A0E1C" w:rsidP="006A0E1C">
      <w:pPr>
        <w:pStyle w:val="Heading2"/>
        <w:rPr>
          <w:rFonts w:eastAsia="MS Mincho"/>
          <w:lang w:val="es-CR"/>
        </w:rPr>
      </w:pPr>
      <w:bookmarkStart w:id="271" w:name="_Toc469670077"/>
      <w:bookmarkEnd w:id="259"/>
      <w:r w:rsidRPr="00D13792">
        <w:rPr>
          <w:rFonts w:eastAsia="MS Mincho"/>
          <w:lang w:val="es-CR"/>
        </w:rPr>
        <w:t xml:space="preserve">E. </w:t>
      </w:r>
      <w:bookmarkStart w:id="272" w:name="_Toc337405900"/>
      <w:bookmarkStart w:id="273" w:name="_Toc302669949"/>
      <w:bookmarkStart w:id="274" w:name="_Toc300622811"/>
      <w:bookmarkStart w:id="275" w:name="_Toc297286430"/>
      <w:bookmarkStart w:id="276" w:name="_Toc293493460"/>
      <w:bookmarkStart w:id="277" w:name="_Toc455631240"/>
      <w:r w:rsidRPr="00D13792">
        <w:rPr>
          <w:rFonts w:eastAsia="MS Mincho"/>
          <w:lang w:val="es-CR"/>
        </w:rPr>
        <w:t>Indemnización Compensatoria</w:t>
      </w:r>
      <w:bookmarkEnd w:id="272"/>
      <w:bookmarkEnd w:id="273"/>
      <w:bookmarkEnd w:id="274"/>
      <w:bookmarkEnd w:id="275"/>
      <w:bookmarkEnd w:id="276"/>
      <w:r w:rsidRPr="00D13792">
        <w:rPr>
          <w:rFonts w:eastAsia="MS Mincho"/>
          <w:lang w:val="es-CR"/>
        </w:rPr>
        <w:t>: Daño material e inmaterial</w:t>
      </w:r>
      <w:bookmarkEnd w:id="271"/>
      <w:bookmarkEnd w:id="277"/>
    </w:p>
    <w:p w14:paraId="52681233" w14:textId="77777777" w:rsidR="006A0E1C" w:rsidRPr="00D13792" w:rsidRDefault="006A0E1C" w:rsidP="006A0E1C">
      <w:pPr>
        <w:tabs>
          <w:tab w:val="left" w:pos="720"/>
        </w:tabs>
        <w:autoSpaceDE w:val="0"/>
        <w:autoSpaceDN w:val="0"/>
        <w:spacing w:line="240" w:lineRule="auto"/>
        <w:ind w:right="99"/>
        <w:textAlignment w:val="auto"/>
        <w:rPr>
          <w:rFonts w:eastAsia="Batang" w:cs="Verdana"/>
          <w:sz w:val="16"/>
          <w:szCs w:val="20"/>
          <w:lang w:eastAsia="en-US" w:bidi="en-US"/>
        </w:rPr>
      </w:pPr>
    </w:p>
    <w:p w14:paraId="7D8F0F8E" w14:textId="77777777" w:rsidR="006A0E1C" w:rsidRPr="00D13792" w:rsidRDefault="006A0E1C" w:rsidP="006A0E1C">
      <w:pPr>
        <w:pStyle w:val="Prrafodelista2"/>
        <w:numPr>
          <w:ilvl w:val="0"/>
          <w:numId w:val="23"/>
        </w:numPr>
        <w:tabs>
          <w:tab w:val="left" w:pos="720"/>
        </w:tabs>
        <w:ind w:right="-90"/>
        <w:jc w:val="both"/>
        <w:rPr>
          <w:rFonts w:eastAsia="Batang" w:cs="Cambria"/>
          <w:lang w:val="es-CR"/>
        </w:rPr>
      </w:pPr>
      <w:r w:rsidRPr="00D13792">
        <w:rPr>
          <w:rFonts w:cs="Times"/>
          <w:lang w:val="es-CR"/>
        </w:rPr>
        <w:t xml:space="preserve">La </w:t>
      </w:r>
      <w:r w:rsidRPr="00D13792">
        <w:rPr>
          <w:rFonts w:cs="Times"/>
          <w:b/>
          <w:i/>
          <w:lang w:val="es-CR"/>
        </w:rPr>
        <w:t>Comisión</w:t>
      </w:r>
      <w:r w:rsidRPr="00D13792">
        <w:rPr>
          <w:rFonts w:cs="Times"/>
          <w:lang w:val="es-CR"/>
        </w:rPr>
        <w:t xml:space="preserve"> solicitó a la Corte que ordene al Estado reparar adecuadamente las violaciones de derechos humanos tanto en el aspecto material como moral. </w:t>
      </w:r>
    </w:p>
    <w:p w14:paraId="7454C367" w14:textId="77777777" w:rsidR="006A0E1C" w:rsidRPr="00D13792" w:rsidRDefault="006A0E1C" w:rsidP="006A0E1C">
      <w:pPr>
        <w:widowControl/>
        <w:autoSpaceDE w:val="0"/>
        <w:autoSpaceDN w:val="0"/>
        <w:spacing w:line="240" w:lineRule="auto"/>
        <w:ind w:left="-709"/>
        <w:contextualSpacing/>
        <w:textAlignment w:val="auto"/>
        <w:rPr>
          <w:rFonts w:eastAsia="Batang" w:cs="Cambria"/>
          <w:sz w:val="20"/>
          <w:szCs w:val="20"/>
          <w:lang w:eastAsia="en-US"/>
        </w:rPr>
      </w:pPr>
    </w:p>
    <w:p w14:paraId="72D93A54" w14:textId="77777777" w:rsidR="006A0E1C" w:rsidRPr="00D13792" w:rsidRDefault="006A0E1C" w:rsidP="006A0E1C">
      <w:pPr>
        <w:pStyle w:val="Prrafodelista2"/>
        <w:numPr>
          <w:ilvl w:val="0"/>
          <w:numId w:val="23"/>
        </w:numPr>
        <w:tabs>
          <w:tab w:val="left" w:pos="720"/>
        </w:tabs>
        <w:ind w:right="-90"/>
        <w:jc w:val="both"/>
        <w:rPr>
          <w:rFonts w:eastAsia="Batang" w:cs="Cambria"/>
          <w:lang w:val="es-CR"/>
        </w:rPr>
      </w:pPr>
      <w:r w:rsidRPr="00D13792">
        <w:rPr>
          <w:rFonts w:cs="Times"/>
          <w:lang w:val="es-CR"/>
        </w:rPr>
        <w:t xml:space="preserve">Los </w:t>
      </w:r>
      <w:r w:rsidRPr="00D13792">
        <w:rPr>
          <w:rFonts w:cs="Times"/>
          <w:b/>
          <w:i/>
          <w:lang w:val="es-CR"/>
        </w:rPr>
        <w:t>representantes</w:t>
      </w:r>
      <w:r w:rsidRPr="00D13792">
        <w:rPr>
          <w:rFonts w:cs="Times"/>
          <w:lang w:val="es-CR"/>
        </w:rPr>
        <w:t xml:space="preserve"> solicitaron a la Corte que ordene al Estado pagar una compensación por daños materiales e inmateriales, teniendo en cuenta </w:t>
      </w:r>
      <w:r w:rsidRPr="00D13792">
        <w:rPr>
          <w:rFonts w:eastAsia="Batang" w:cs="Calibri"/>
          <w:lang w:val="es-CR"/>
        </w:rPr>
        <w:t xml:space="preserve">la gravedad, intensidad y efectos perdurables de las violaciones cometidas en el presente caso, el sufrimiento causado a las víctimas, a los familiares y a los sobrevivientes por la falta de verdad, </w:t>
      </w:r>
      <w:r w:rsidRPr="00D13792">
        <w:rPr>
          <w:rFonts w:eastAsia="Batang" w:cs="Verdana"/>
          <w:lang w:val="es-CR"/>
        </w:rPr>
        <w:t>justicia</w:t>
      </w:r>
      <w:r w:rsidRPr="00D13792">
        <w:rPr>
          <w:rFonts w:eastAsia="Batang" w:cs="Calibri"/>
          <w:lang w:val="es-CR"/>
        </w:rPr>
        <w:t xml:space="preserve"> y reparación integral, la impunidad en favor de los victimarios, la persecución, desplazamiento masivo, los </w:t>
      </w:r>
      <w:r w:rsidRPr="00D13792">
        <w:rPr>
          <w:rFonts w:eastAsia="Batang" w:cs="Calibri"/>
          <w:lang w:val="es-CR"/>
        </w:rPr>
        <w:lastRenderedPageBreak/>
        <w:t xml:space="preserve">sufrimientos del </w:t>
      </w:r>
      <w:r w:rsidRPr="00D13792">
        <w:rPr>
          <w:rFonts w:eastAsia="Batang" w:cs="Times"/>
          <w:lang w:val="es-CR"/>
        </w:rPr>
        <w:t>desplazamiento</w:t>
      </w:r>
      <w:r w:rsidRPr="00D13792">
        <w:rPr>
          <w:rFonts w:eastAsia="Batang" w:cs="Calibri"/>
          <w:lang w:val="es-CR"/>
        </w:rPr>
        <w:t xml:space="preserve"> forzado, hambre, sed, frío, calor, enfermedades, destrucción del tejido social, el desarraigo de sus tierras y de su cultura que aún persiste; la destrucción de sus viviendas, el robo de sus animales, la destrucción de sus cosechas y siembras y bienes materiales, los daños causados a la integridad física, psíquica, moral y cultural de estas personas a raíz de los hechos denunciados.</w:t>
      </w:r>
      <w:r w:rsidRPr="00D13792">
        <w:rPr>
          <w:rFonts w:eastAsia="Batang" w:cs="Calibri"/>
          <w:b/>
          <w:lang w:val="es-CR"/>
        </w:rPr>
        <w:t xml:space="preserve"> </w:t>
      </w:r>
      <w:r w:rsidRPr="00D13792">
        <w:rPr>
          <w:rFonts w:eastAsia="Batang" w:cs="Verdana"/>
          <w:lang w:val="es-CR"/>
        </w:rPr>
        <w:t>En particular, solicitaron a la Corte que</w:t>
      </w:r>
      <w:r w:rsidRPr="00D13792">
        <w:rPr>
          <w:rFonts w:eastAsia="Batang" w:cs="Calibri"/>
          <w:lang w:val="es-CR"/>
        </w:rPr>
        <w:t xml:space="preserve"> ordene al Estado pagar en equidad, por concepto de daño moral, las sumas de USD $5.845.000,00 a favor de “87 víctimas”, y de USD $3.360.000,00 a favor de las “familias de las comunidades”.</w:t>
      </w:r>
      <w:r w:rsidRPr="00D13792">
        <w:rPr>
          <w:rFonts w:eastAsia="Batang" w:cs="Calibri"/>
          <w:b/>
          <w:lang w:val="es-CR"/>
        </w:rPr>
        <w:t xml:space="preserve"> </w:t>
      </w:r>
      <w:r w:rsidRPr="00D13792">
        <w:rPr>
          <w:rFonts w:eastAsia="Batang" w:cs="Calibri"/>
          <w:lang w:val="es-CR"/>
        </w:rPr>
        <w:t xml:space="preserve">En cuanto al daño material, solicitaron a la Corte que ordene al Estado pagar, por conceptos de lucro cesante, “daño patrimonial” y otros, las sumas de USD $13,160,227.00 a favor de “87 víctimas”, y de USD $2,138,664.00 a favor de las “familias de las comunidades”. </w:t>
      </w:r>
      <w:r w:rsidRPr="00D13792">
        <w:rPr>
          <w:rFonts w:eastAsia="Batang" w:cs="Cambria"/>
          <w:lang w:val="es-CR"/>
        </w:rPr>
        <w:t>Dichas sumas, presentadas a través de una tabla, se basaron en el informe actuario del señor Roberto A. Molina Cruz.</w:t>
      </w:r>
    </w:p>
    <w:p w14:paraId="129FA8B9" w14:textId="77777777" w:rsidR="006A0E1C" w:rsidRPr="00D13792" w:rsidRDefault="006A0E1C" w:rsidP="006A0E1C">
      <w:pPr>
        <w:widowControl/>
        <w:adjustRightInd/>
        <w:spacing w:line="240" w:lineRule="auto"/>
        <w:textAlignment w:val="auto"/>
        <w:rPr>
          <w:rFonts w:eastAsia="MS Mincho" w:cs="Times"/>
          <w:sz w:val="20"/>
          <w:szCs w:val="20"/>
          <w:lang w:eastAsia="en-US"/>
        </w:rPr>
      </w:pPr>
    </w:p>
    <w:p w14:paraId="12186C98" w14:textId="77777777" w:rsidR="006A0E1C" w:rsidRPr="00D13792" w:rsidRDefault="006A0E1C" w:rsidP="006A0E1C">
      <w:pPr>
        <w:pStyle w:val="Prrafodelista2"/>
        <w:numPr>
          <w:ilvl w:val="0"/>
          <w:numId w:val="23"/>
        </w:numPr>
        <w:tabs>
          <w:tab w:val="left" w:pos="720"/>
        </w:tabs>
        <w:ind w:right="-90"/>
        <w:jc w:val="both"/>
        <w:rPr>
          <w:rFonts w:cs="Times"/>
          <w:lang w:val="es-CR"/>
        </w:rPr>
      </w:pPr>
      <w:r w:rsidRPr="00D13792">
        <w:rPr>
          <w:rFonts w:eastAsia="Batang" w:cs="Times"/>
          <w:lang w:val="es-CR"/>
        </w:rPr>
        <w:t xml:space="preserve">El </w:t>
      </w:r>
      <w:r w:rsidRPr="00D13792">
        <w:rPr>
          <w:rFonts w:eastAsia="Batang" w:cs="Times"/>
          <w:b/>
          <w:i/>
          <w:lang w:val="es-CR"/>
        </w:rPr>
        <w:t>Estado</w:t>
      </w:r>
      <w:r w:rsidRPr="00D13792">
        <w:rPr>
          <w:rFonts w:eastAsia="Batang" w:cs="Times"/>
          <w:lang w:val="es-CR"/>
        </w:rPr>
        <w:t xml:space="preserve"> sostuvo que, de conformidad con la información proporcionada por el PNR, dicho programa ha efectuado pagos de reparación económica a “por lo menos 59 víctimas de las 84 presentadas en el presente caso”. En </w:t>
      </w:r>
      <w:r w:rsidRPr="00D13792">
        <w:rPr>
          <w:rFonts w:eastAsia="Batang" w:cs="Verdana"/>
          <w:lang w:val="es-CR"/>
        </w:rPr>
        <w:t>relación</w:t>
      </w:r>
      <w:r w:rsidRPr="00D13792">
        <w:rPr>
          <w:rFonts w:eastAsia="Batang" w:cs="Times"/>
          <w:lang w:val="es-CR"/>
        </w:rPr>
        <w:t xml:space="preserve"> con el pago de reparaciones económicas, consideró que “es necesario aplicar y respetar el principio de igualdad ante la ley y brindar a las víctimas de violaciones a los derechos humanos durante el enfrentamiento armado interno un trato igualitario, lo que ayudará además a mejorar el funcionamiento del Programa Nacional de Resarcimiento”.</w:t>
      </w:r>
      <w:r w:rsidRPr="00D13792">
        <w:rPr>
          <w:lang w:val="es-CR"/>
        </w:rPr>
        <w:t xml:space="preserve"> </w:t>
      </w:r>
      <w:r w:rsidRPr="00D13792">
        <w:rPr>
          <w:rFonts w:cs="Times"/>
          <w:lang w:val="es-CR"/>
        </w:rPr>
        <w:t>Asimismo, señaló que “</w:t>
      </w:r>
      <w:r w:rsidRPr="00D13792">
        <w:rPr>
          <w:rFonts w:eastAsia="Batang" w:cs="Times"/>
          <w:lang w:val="es-CR"/>
        </w:rPr>
        <w:t>en ningún momento niega las reparaciones que les</w:t>
      </w:r>
      <w:r w:rsidRPr="00D13792">
        <w:rPr>
          <w:rFonts w:cs="Times"/>
          <w:lang w:val="es-CR"/>
        </w:rPr>
        <w:t xml:space="preserve"> </w:t>
      </w:r>
      <w:r w:rsidRPr="00D13792">
        <w:rPr>
          <w:rFonts w:eastAsia="Batang" w:cs="Times"/>
          <w:lang w:val="es-CR"/>
        </w:rPr>
        <w:t xml:space="preserve">pudieran corresponder a las víctimas de </w:t>
      </w:r>
      <w:r w:rsidRPr="00D13792">
        <w:rPr>
          <w:rFonts w:eastAsia="Calibri"/>
          <w:lang w:val="es-CR"/>
        </w:rPr>
        <w:t>violaciones</w:t>
      </w:r>
      <w:r w:rsidRPr="00D13792">
        <w:rPr>
          <w:rFonts w:eastAsia="Batang" w:cs="Times"/>
          <w:lang w:val="es-CR"/>
        </w:rPr>
        <w:t xml:space="preserve"> a sus derechos humanos ocurridas durante el enfrentamiento armado interno; sin embargo, se opone a pagar los montos establecidos en</w:t>
      </w:r>
      <w:r w:rsidRPr="00D13792">
        <w:rPr>
          <w:rFonts w:cs="Times"/>
          <w:lang w:val="es-CR"/>
        </w:rPr>
        <w:t xml:space="preserve"> </w:t>
      </w:r>
      <w:r w:rsidRPr="00D13792">
        <w:rPr>
          <w:rFonts w:eastAsia="Batang" w:cs="Times"/>
          <w:lang w:val="es-CR"/>
        </w:rPr>
        <w:t>la tabla proporcionada por los representantes, toda vez que el [PNR] contempla los montos que se</w:t>
      </w:r>
      <w:r w:rsidRPr="00D13792">
        <w:rPr>
          <w:rFonts w:cs="Times"/>
          <w:lang w:val="es-CR"/>
        </w:rPr>
        <w:t xml:space="preserve"> </w:t>
      </w:r>
      <w:r w:rsidRPr="00D13792">
        <w:rPr>
          <w:rFonts w:eastAsia="Batang" w:cs="Times"/>
          <w:lang w:val="es-CR"/>
        </w:rPr>
        <w:t>entregan a todas aquellas personas cuyos derechos humanos se violaron durante el</w:t>
      </w:r>
      <w:r w:rsidRPr="00D13792">
        <w:rPr>
          <w:rFonts w:cs="Times"/>
          <w:lang w:val="es-CR"/>
        </w:rPr>
        <w:t xml:space="preserve"> </w:t>
      </w:r>
      <w:r w:rsidRPr="00D13792">
        <w:rPr>
          <w:rFonts w:eastAsia="Batang" w:cs="Times"/>
          <w:lang w:val="es-CR"/>
        </w:rPr>
        <w:t>enfrentamiento armado interno, los cuales son fijados de conformidad a las posibilidades</w:t>
      </w:r>
      <w:r w:rsidRPr="00D13792">
        <w:rPr>
          <w:rFonts w:cs="Times"/>
          <w:lang w:val="es-CR"/>
        </w:rPr>
        <w:t xml:space="preserve"> </w:t>
      </w:r>
      <w:r w:rsidRPr="00D13792">
        <w:rPr>
          <w:rFonts w:eastAsia="Batang" w:cs="Times"/>
          <w:lang w:val="es-CR"/>
        </w:rPr>
        <w:t>reales que tiene el Estado para hacer frente a sus obligaciones derivadas de los Acuerdos de</w:t>
      </w:r>
      <w:r w:rsidRPr="00D13792">
        <w:rPr>
          <w:rFonts w:cs="Times"/>
          <w:lang w:val="es-CR"/>
        </w:rPr>
        <w:t xml:space="preserve"> </w:t>
      </w:r>
      <w:r w:rsidRPr="00D13792">
        <w:rPr>
          <w:rFonts w:eastAsia="Batang" w:cs="Times"/>
          <w:lang w:val="es-CR"/>
        </w:rPr>
        <w:t>[P]az”.</w:t>
      </w:r>
      <w:r w:rsidRPr="00D13792">
        <w:rPr>
          <w:rFonts w:eastAsia="Batang" w:cs="Times"/>
          <w:b/>
          <w:lang w:val="es-CR"/>
        </w:rPr>
        <w:t xml:space="preserve"> </w:t>
      </w:r>
      <w:r w:rsidRPr="00D13792">
        <w:rPr>
          <w:rFonts w:eastAsia="Batang" w:cs="Times"/>
          <w:lang w:val="es-CR"/>
        </w:rPr>
        <w:t>Por otra parte, proporcionó una lista de 67 personas que ya habrían sido resarcidas a través del PRN.</w:t>
      </w:r>
    </w:p>
    <w:p w14:paraId="4E0ABD36" w14:textId="77777777" w:rsidR="006A0E1C" w:rsidRPr="00D13792" w:rsidRDefault="006A0E1C" w:rsidP="006A0E1C">
      <w:pPr>
        <w:widowControl/>
        <w:adjustRightInd/>
        <w:spacing w:line="240" w:lineRule="auto"/>
        <w:ind w:left="720"/>
        <w:contextualSpacing/>
        <w:jc w:val="left"/>
        <w:textAlignment w:val="auto"/>
        <w:rPr>
          <w:rFonts w:eastAsia="MS Mincho"/>
          <w:sz w:val="16"/>
          <w:szCs w:val="20"/>
          <w:lang w:eastAsia="en-US"/>
        </w:rPr>
      </w:pPr>
    </w:p>
    <w:p w14:paraId="0D09B117" w14:textId="77777777" w:rsidR="006A0E1C" w:rsidRPr="00D13792" w:rsidRDefault="006A0E1C" w:rsidP="006A0E1C">
      <w:pPr>
        <w:pStyle w:val="Prrafodelista2"/>
        <w:numPr>
          <w:ilvl w:val="0"/>
          <w:numId w:val="23"/>
        </w:numPr>
        <w:tabs>
          <w:tab w:val="left" w:pos="720"/>
        </w:tabs>
        <w:ind w:right="-90"/>
        <w:jc w:val="both"/>
        <w:rPr>
          <w:rFonts w:cs="Verdana"/>
          <w:lang w:val="es-CR"/>
        </w:rPr>
      </w:pPr>
      <w:r w:rsidRPr="00D13792">
        <w:rPr>
          <w:rFonts w:eastAsia="Batang" w:cs="Times"/>
          <w:lang w:val="es-CR"/>
        </w:rPr>
        <w:t xml:space="preserve">La </w:t>
      </w:r>
      <w:r w:rsidRPr="00D13792">
        <w:rPr>
          <w:rFonts w:eastAsia="Batang" w:cs="Times"/>
          <w:b/>
          <w:i/>
          <w:lang w:val="es-CR"/>
        </w:rPr>
        <w:t>Corte</w:t>
      </w:r>
      <w:r w:rsidRPr="00D13792">
        <w:rPr>
          <w:rFonts w:eastAsia="Batang" w:cs="Times"/>
          <w:lang w:val="es-CR"/>
        </w:rPr>
        <w:t xml:space="preserve"> ha desarrollado el </w:t>
      </w:r>
      <w:r w:rsidRPr="00D13792">
        <w:rPr>
          <w:rFonts w:eastAsia="Batang" w:cs="Verdana"/>
          <w:lang w:val="es-CR"/>
        </w:rPr>
        <w:t>concepto</w:t>
      </w:r>
      <w:r w:rsidRPr="00D13792">
        <w:rPr>
          <w:rFonts w:eastAsia="Batang" w:cs="Times"/>
          <w:lang w:val="es-CR"/>
        </w:rPr>
        <w:t xml:space="preserve"> de daño material e inmaterial y los supuestos en </w:t>
      </w:r>
      <w:r w:rsidRPr="00D13792">
        <w:rPr>
          <w:rFonts w:cs="Times"/>
          <w:lang w:val="es-CR"/>
        </w:rPr>
        <w:t>que</w:t>
      </w:r>
      <w:r w:rsidRPr="00D13792">
        <w:rPr>
          <w:rFonts w:eastAsia="Batang" w:cs="Times"/>
          <w:lang w:val="es-CR"/>
        </w:rPr>
        <w:t xml:space="preserve"> corresponde indemnizarlos. Así pues, </w:t>
      </w:r>
      <w:r w:rsidRPr="00D13792">
        <w:rPr>
          <w:bCs/>
          <w:lang w:val="es-CR"/>
        </w:rPr>
        <w:t xml:space="preserve">ha establecido que el daño material supone la pérdida o detrimento de los ingresos de las víctimas, los gastos </w:t>
      </w:r>
      <w:r w:rsidRPr="00D13792">
        <w:rPr>
          <w:rFonts w:eastAsia="Batang" w:cs="Verdana"/>
          <w:lang w:val="es-CR"/>
        </w:rPr>
        <w:t>efectuados</w:t>
      </w:r>
      <w:r w:rsidRPr="00D13792">
        <w:rPr>
          <w:bCs/>
          <w:lang w:val="es-CR"/>
        </w:rPr>
        <w:t xml:space="preserve"> con motivo de los hechos y las consecuencias de carácter </w:t>
      </w:r>
      <w:r w:rsidRPr="00D13792">
        <w:rPr>
          <w:rFonts w:eastAsia="Batang" w:cs="Times"/>
          <w:lang w:val="es-CR"/>
        </w:rPr>
        <w:t>pecuniario</w:t>
      </w:r>
      <w:r w:rsidRPr="00D13792">
        <w:rPr>
          <w:bCs/>
          <w:lang w:val="es-CR"/>
        </w:rPr>
        <w:t xml:space="preserve"> que tengan un nexo causal con los hechos del caso</w:t>
      </w:r>
      <w:r w:rsidRPr="00D13792">
        <w:rPr>
          <w:rFonts w:cs="Verdana"/>
          <w:vertAlign w:val="superscript"/>
          <w:lang w:val="es-CR"/>
        </w:rPr>
        <w:footnoteReference w:id="371"/>
      </w:r>
      <w:r w:rsidRPr="00D13792">
        <w:rPr>
          <w:rFonts w:cs="Verdana"/>
          <w:lang w:val="es-CR"/>
        </w:rPr>
        <w:t xml:space="preserve">. Por otra parte, el daño inmaterial </w:t>
      </w:r>
      <w:r w:rsidRPr="00D13792">
        <w:rPr>
          <w:lang w:val="es-CR"/>
        </w:rPr>
        <w:t xml:space="preserve">puede comprender tanto los sufrimientos y las aflicciones causados a la víctima directa y a sus allegados, el menoscabo de valores muy significativos para las personas, así como las alteraciones, de carácter no pecuniario, en las condiciones de existencia de la víctima o su </w:t>
      </w:r>
      <w:r w:rsidRPr="00D13792">
        <w:rPr>
          <w:rFonts w:eastAsia="Batang" w:cs="Verdana"/>
          <w:lang w:val="es-CR"/>
        </w:rPr>
        <w:t>familia</w:t>
      </w:r>
      <w:r w:rsidRPr="00D13792">
        <w:rPr>
          <w:rStyle w:val="FootnoteReference"/>
          <w:rFonts w:eastAsia="Batang" w:cs="Verdana"/>
          <w:lang w:val="es-CR"/>
        </w:rPr>
        <w:footnoteReference w:id="372"/>
      </w:r>
      <w:r w:rsidRPr="00D13792">
        <w:rPr>
          <w:rFonts w:cs="Verdana"/>
          <w:lang w:val="es-CR"/>
        </w:rPr>
        <w:t xml:space="preserve">. </w:t>
      </w:r>
      <w:r w:rsidRPr="00D13792">
        <w:rPr>
          <w:rFonts w:eastAsia="Batang" w:cs="Verdana"/>
          <w:lang w:val="es-CR"/>
        </w:rPr>
        <w:t>Asimismo, l</w:t>
      </w:r>
      <w:r w:rsidRPr="00D13792">
        <w:rPr>
          <w:rFonts w:eastAsia="Batang" w:cs="Times"/>
          <w:lang w:val="es-CR"/>
        </w:rPr>
        <w:t>a Corte ha sostenido que es propio de la naturaleza humana que toda persona que padece una violación de sus derechos humanos experimente un sufrimiento, razón por la cual el daño inmaterial resulta evidente</w:t>
      </w:r>
      <w:r w:rsidRPr="00D13792">
        <w:rPr>
          <w:rFonts w:eastAsia="Batang" w:cs="Times"/>
          <w:vertAlign w:val="superscript"/>
          <w:lang w:val="es-CR"/>
        </w:rPr>
        <w:footnoteReference w:id="373"/>
      </w:r>
      <w:r w:rsidRPr="00D13792">
        <w:rPr>
          <w:rFonts w:eastAsia="Batang" w:cs="Times"/>
          <w:lang w:val="es-CR"/>
        </w:rPr>
        <w:t>.</w:t>
      </w:r>
    </w:p>
    <w:p w14:paraId="47DB651F"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MS Mincho" w:cs="Verdana"/>
          <w:sz w:val="20"/>
          <w:szCs w:val="20"/>
          <w:lang w:eastAsia="en-US"/>
        </w:rPr>
      </w:pPr>
    </w:p>
    <w:p w14:paraId="46C31EB8" w14:textId="77777777" w:rsidR="006A0E1C" w:rsidRPr="00D13792" w:rsidRDefault="006A0E1C" w:rsidP="006A0E1C">
      <w:pPr>
        <w:pStyle w:val="Prrafodelista2"/>
        <w:numPr>
          <w:ilvl w:val="0"/>
          <w:numId w:val="23"/>
        </w:numPr>
        <w:tabs>
          <w:tab w:val="left" w:pos="720"/>
        </w:tabs>
        <w:ind w:right="-90"/>
        <w:jc w:val="both"/>
        <w:rPr>
          <w:rFonts w:cs="Verdana"/>
          <w:lang w:val="es-CR"/>
        </w:rPr>
      </w:pPr>
      <w:r w:rsidRPr="00D13792">
        <w:rPr>
          <w:rFonts w:cs="Verdana"/>
          <w:lang w:val="es-CR"/>
        </w:rPr>
        <w:t>Al respecto, la Corte observa, primeramente, que los representantes remitieron como prueba, un Informe de “Valuación actuarial de daños”</w:t>
      </w:r>
      <w:r w:rsidRPr="00D13792">
        <w:rPr>
          <w:rFonts w:cs="Verdana"/>
          <w:vertAlign w:val="superscript"/>
          <w:lang w:val="es-CR"/>
        </w:rPr>
        <w:footnoteReference w:id="374"/>
      </w:r>
      <w:r w:rsidRPr="00D13792">
        <w:rPr>
          <w:rFonts w:cs="Verdana"/>
          <w:lang w:val="es-CR"/>
        </w:rPr>
        <w:t xml:space="preserve"> elaborado por el señor Roberto A. Molina Cruz que</w:t>
      </w:r>
      <w:r w:rsidRPr="00D13792">
        <w:rPr>
          <w:lang w:val="es-CR"/>
        </w:rPr>
        <w:t xml:space="preserve"> determinó montos en compensación por concepto de lucro cesante, daño “patrimonial”, “otros” daños materiales y daño moral a favor de 87 personas quienes habían sido alegadas por los representantes como víctimas de ejecución extrajudicial o de desaparición </w:t>
      </w:r>
      <w:r w:rsidRPr="00D13792">
        <w:rPr>
          <w:lang w:val="es-CR"/>
        </w:rPr>
        <w:lastRenderedPageBreak/>
        <w:t xml:space="preserve">forzada, así como a favor de 96 núcleos </w:t>
      </w:r>
      <w:r w:rsidRPr="00D13792">
        <w:rPr>
          <w:rFonts w:eastAsia="Batang" w:cs="Times"/>
          <w:lang w:val="es-CR"/>
        </w:rPr>
        <w:t>familiares</w:t>
      </w:r>
      <w:r w:rsidRPr="00D13792">
        <w:rPr>
          <w:lang w:val="es-CR"/>
        </w:rPr>
        <w:t xml:space="preserve"> en situación de desplazamiento</w:t>
      </w:r>
      <w:r w:rsidRPr="00D13792">
        <w:rPr>
          <w:rStyle w:val="FootnoteReference"/>
          <w:lang w:val="es-CR"/>
        </w:rPr>
        <w:footnoteReference w:id="375"/>
      </w:r>
      <w:r w:rsidRPr="00D13792">
        <w:rPr>
          <w:lang w:val="es-CR"/>
        </w:rPr>
        <w:t xml:space="preserve">. Al respecto, la Corte nota que el informe contempla dentro de su análisis, daños materiales generados por hechos que se encuentran </w:t>
      </w:r>
      <w:r w:rsidRPr="00D13792">
        <w:rPr>
          <w:rFonts w:cs="Verdana"/>
          <w:lang w:val="es-CR"/>
        </w:rPr>
        <w:t xml:space="preserve">por fuera de la competencia del Tribunal, </w:t>
      </w:r>
      <w:r w:rsidRPr="00D13792">
        <w:rPr>
          <w:lang w:val="es-CR"/>
        </w:rPr>
        <w:t xml:space="preserve">tales </w:t>
      </w:r>
      <w:r w:rsidRPr="00D13792">
        <w:rPr>
          <w:rFonts w:cs="Verdana"/>
          <w:lang w:val="es-CR"/>
        </w:rPr>
        <w:t xml:space="preserve">como el lucro cesante de las personas ejecutadas, la destrucción de viviendas, animales, cultivos y otros bienes </w:t>
      </w:r>
      <w:r w:rsidRPr="00D13792">
        <w:rPr>
          <w:lang w:val="es-CR"/>
        </w:rPr>
        <w:t>(</w:t>
      </w:r>
      <w:r w:rsidRPr="00D13792">
        <w:rPr>
          <w:i/>
          <w:lang w:val="es-CR"/>
        </w:rPr>
        <w:t>supra</w:t>
      </w:r>
      <w:r w:rsidRPr="00D13792">
        <w:rPr>
          <w:lang w:val="es-CR"/>
        </w:rPr>
        <w:t xml:space="preserve"> párr. 24).</w:t>
      </w:r>
      <w:r w:rsidRPr="00D13792">
        <w:rPr>
          <w:rFonts w:cs="Verdana"/>
          <w:lang w:val="es-CR"/>
        </w:rPr>
        <w:t xml:space="preserve"> Por tanto, dichos rubros no podrán ser tomados en cuenta. En cuanto a los montos por “daño moral” determinados en dicho informe, los cuales se generarían a partir del sufrimiento causado a las víctimas por las desapariciones forzadas y el desplazamiento forzado acreditados en este caso, entre otros, la Corte los valorará tomando en cuenta los criterios establecidos en su jurisprudencia para la determinación del daño inmaterial. </w:t>
      </w:r>
    </w:p>
    <w:p w14:paraId="467E451F" w14:textId="77777777" w:rsidR="006A0E1C" w:rsidRPr="00D13792" w:rsidRDefault="006A0E1C" w:rsidP="006A0E1C">
      <w:pPr>
        <w:tabs>
          <w:tab w:val="left" w:pos="-709"/>
          <w:tab w:val="left" w:pos="0"/>
          <w:tab w:val="left" w:pos="1440"/>
          <w:tab w:val="left" w:pos="2880"/>
          <w:tab w:val="left" w:pos="3600"/>
          <w:tab w:val="left" w:pos="4320"/>
          <w:tab w:val="left" w:pos="5760"/>
          <w:tab w:val="left" w:pos="6480"/>
          <w:tab w:val="left" w:pos="7200"/>
          <w:tab w:val="left" w:pos="7920"/>
        </w:tabs>
        <w:autoSpaceDE w:val="0"/>
        <w:autoSpaceDN w:val="0"/>
        <w:spacing w:line="240" w:lineRule="auto"/>
        <w:ind w:left="-720" w:right="-138"/>
        <w:textAlignment w:val="auto"/>
        <w:rPr>
          <w:rFonts w:eastAsia="MS Mincho" w:cs="Verdana"/>
          <w:sz w:val="20"/>
          <w:szCs w:val="20"/>
          <w:lang w:eastAsia="en-US"/>
        </w:rPr>
      </w:pPr>
    </w:p>
    <w:p w14:paraId="752E8CA7" w14:textId="77777777" w:rsidR="006A0E1C" w:rsidRPr="00D13792" w:rsidRDefault="006A0E1C" w:rsidP="006A0E1C">
      <w:pPr>
        <w:pStyle w:val="Prrafodelista2"/>
        <w:numPr>
          <w:ilvl w:val="0"/>
          <w:numId w:val="23"/>
        </w:numPr>
        <w:tabs>
          <w:tab w:val="left" w:pos="720"/>
        </w:tabs>
        <w:ind w:right="-90"/>
        <w:jc w:val="both"/>
        <w:rPr>
          <w:rFonts w:cs="Verdana"/>
          <w:lang w:val="es-CR"/>
        </w:rPr>
      </w:pPr>
      <w:r w:rsidRPr="00D13792">
        <w:rPr>
          <w:rFonts w:cs="Verdana"/>
          <w:lang w:val="es-CR"/>
        </w:rPr>
        <w:t>En segundo lugar, la Corte observa que el Estado presentó como prueba, copia de las actas de pagos realizados a favor de miembros de la aldea Chichupac en el marco del PNR</w:t>
      </w:r>
      <w:r w:rsidRPr="00D13792">
        <w:rPr>
          <w:rFonts w:cs="Verdana"/>
          <w:vertAlign w:val="superscript"/>
          <w:lang w:val="es-CR"/>
        </w:rPr>
        <w:footnoteReference w:id="376"/>
      </w:r>
      <w:r w:rsidRPr="00D13792">
        <w:rPr>
          <w:rFonts w:cs="Verdana"/>
          <w:lang w:val="es-CR"/>
        </w:rPr>
        <w:t>. Así pues, tal como lo ha hecho en otros casos contra Guatemala</w:t>
      </w:r>
      <w:r w:rsidRPr="00D13792">
        <w:rPr>
          <w:rFonts w:eastAsia="Batang" w:cs="Times"/>
          <w:vertAlign w:val="superscript"/>
          <w:lang w:val="es-CR"/>
        </w:rPr>
        <w:footnoteReference w:id="377"/>
      </w:r>
      <w:r w:rsidRPr="00D13792">
        <w:rPr>
          <w:rFonts w:cs="Verdana"/>
          <w:lang w:val="es-CR"/>
        </w:rPr>
        <w:t xml:space="preserve">, </w:t>
      </w:r>
      <w:r w:rsidRPr="00D13792">
        <w:rPr>
          <w:rFonts w:eastAsia="Batang" w:cs="Times"/>
          <w:lang w:val="es-CR"/>
        </w:rPr>
        <w:t xml:space="preserve">la Corte considera que los montos que ya han sido </w:t>
      </w:r>
      <w:r w:rsidRPr="00D13792">
        <w:rPr>
          <w:rFonts w:eastAsia="Batang" w:cs="Verdana"/>
          <w:lang w:val="es-CR"/>
        </w:rPr>
        <w:t>entregados</w:t>
      </w:r>
      <w:r w:rsidRPr="00D13792">
        <w:rPr>
          <w:rFonts w:eastAsia="Batang" w:cs="Times"/>
          <w:lang w:val="es-CR"/>
        </w:rPr>
        <w:t xml:space="preserve"> a víctimas del presente caso a nivel interno mediante el PNR por las violaciones establecidas en esta Sentencia deben ser reconocidos como parte de la reparación debida a estas y descontado de las cantidades que fije el Tribunal en esta Sentencia por concepto de indemnización </w:t>
      </w:r>
      <w:r w:rsidRPr="00D13792">
        <w:rPr>
          <w:rFonts w:eastAsia="Batang"/>
          <w:lang w:val="es-CR"/>
        </w:rPr>
        <w:t>(</w:t>
      </w:r>
      <w:r w:rsidRPr="00D13792">
        <w:rPr>
          <w:rFonts w:eastAsia="Batang"/>
          <w:i/>
          <w:lang w:val="es-CR"/>
        </w:rPr>
        <w:t xml:space="preserve">infra </w:t>
      </w:r>
      <w:r w:rsidRPr="00D13792">
        <w:rPr>
          <w:rFonts w:eastAsia="Batang"/>
          <w:lang w:val="es-CR"/>
        </w:rPr>
        <w:t>párr. 327).</w:t>
      </w:r>
      <w:r w:rsidRPr="00D13792">
        <w:rPr>
          <w:rFonts w:eastAsia="Batang" w:cs="Times"/>
          <w:lang w:val="es-CR"/>
        </w:rPr>
        <w:t xml:space="preserve"> Corresponde al Estado, en la etapa de supervisión del presente caso, comprobar la entrega efectiva de los montos dispuestos mediante dicho Programa.</w:t>
      </w:r>
    </w:p>
    <w:p w14:paraId="15D6CD12"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MS Mincho"/>
          <w:sz w:val="20"/>
          <w:szCs w:val="20"/>
          <w:lang w:eastAsia="en-US"/>
        </w:rPr>
      </w:pPr>
    </w:p>
    <w:p w14:paraId="6C85DC51"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cs="Verdana"/>
          <w:lang w:val="es-CR"/>
        </w:rPr>
        <w:t>En</w:t>
      </w:r>
      <w:r w:rsidRPr="00D13792">
        <w:rPr>
          <w:rFonts w:eastAsia="Batang" w:cs="Verdana"/>
          <w:lang w:val="es-CR"/>
        </w:rPr>
        <w:t xml:space="preserve"> atención a los criterios establecidos en la jurisprudencia constante de este Tribunal, las </w:t>
      </w:r>
      <w:r w:rsidRPr="00D13792">
        <w:rPr>
          <w:lang w:val="es-CR"/>
        </w:rPr>
        <w:t>circunstancias</w:t>
      </w:r>
      <w:r w:rsidRPr="00D13792">
        <w:rPr>
          <w:rFonts w:eastAsia="Batang" w:cs="Verdana"/>
          <w:lang w:val="es-CR"/>
        </w:rPr>
        <w:t xml:space="preserve"> del presente caso, la entidad, carácter y gravedad de las violaciones cometidas, el daño generado por la impunidad, así como los sufrimientos ocasionados a las víctimas en su esfera física, moral y psicológica</w:t>
      </w:r>
      <w:r w:rsidRPr="00D13792">
        <w:rPr>
          <w:rFonts w:eastAsia="Batang" w:cs="Times"/>
          <w:vertAlign w:val="superscript"/>
          <w:lang w:val="es-CR"/>
        </w:rPr>
        <w:footnoteReference w:id="378"/>
      </w:r>
      <w:r w:rsidRPr="00D13792">
        <w:rPr>
          <w:rFonts w:eastAsia="Batang" w:cs="Verdana"/>
          <w:lang w:val="es-CR"/>
        </w:rPr>
        <w:t xml:space="preserve">, la Corte estima pertinente fijar en equidad, las cantidades señaladas a continuación, las cuales deberán ser pagadas en el plazo que la Corte fije para tal efecto </w:t>
      </w:r>
      <w:r w:rsidRPr="00D13792">
        <w:rPr>
          <w:rFonts w:eastAsia="Batang"/>
          <w:lang w:val="es-CR"/>
        </w:rPr>
        <w:t>(</w:t>
      </w:r>
      <w:r w:rsidRPr="00D13792">
        <w:rPr>
          <w:rFonts w:eastAsia="Batang"/>
          <w:i/>
          <w:lang w:val="es-CR"/>
        </w:rPr>
        <w:t>infra</w:t>
      </w:r>
      <w:r w:rsidRPr="00D13792">
        <w:rPr>
          <w:rFonts w:eastAsia="Batang"/>
          <w:lang w:val="es-CR"/>
        </w:rPr>
        <w:t xml:space="preserve"> párr. 335):</w:t>
      </w:r>
    </w:p>
    <w:p w14:paraId="6661F2C7" w14:textId="77777777" w:rsidR="006A0E1C" w:rsidRPr="00D13792" w:rsidRDefault="006A0E1C" w:rsidP="006A0E1C">
      <w:pPr>
        <w:tabs>
          <w:tab w:val="left" w:pos="0"/>
          <w:tab w:val="left" w:pos="720"/>
          <w:tab w:val="left" w:pos="2880"/>
          <w:tab w:val="left" w:pos="3600"/>
          <w:tab w:val="left" w:pos="4320"/>
          <w:tab w:val="left" w:pos="5760"/>
          <w:tab w:val="left" w:pos="6480"/>
          <w:tab w:val="left" w:pos="7200"/>
          <w:tab w:val="left" w:pos="7920"/>
        </w:tabs>
        <w:adjustRightInd/>
        <w:spacing w:line="240" w:lineRule="auto"/>
        <w:textAlignment w:val="auto"/>
        <w:rPr>
          <w:rFonts w:eastAsia="Batang" w:cs="Times"/>
          <w:sz w:val="20"/>
          <w:szCs w:val="20"/>
          <w:lang w:eastAsia="en-US"/>
        </w:rPr>
      </w:pPr>
    </w:p>
    <w:p w14:paraId="56ABB719" w14:textId="77777777" w:rsidR="006A0E1C" w:rsidRPr="00D13792" w:rsidRDefault="006A0E1C" w:rsidP="006A0E1C">
      <w:pPr>
        <w:widowControl/>
        <w:numPr>
          <w:ilvl w:val="1"/>
          <w:numId w:val="12"/>
        </w:numPr>
        <w:tabs>
          <w:tab w:val="left" w:pos="720"/>
        </w:tabs>
        <w:adjustRightInd/>
        <w:spacing w:line="240" w:lineRule="auto"/>
        <w:ind w:left="360" w:firstLine="0"/>
        <w:contextualSpacing/>
        <w:textAlignment w:val="auto"/>
        <w:rPr>
          <w:rFonts w:eastAsia="Calibri"/>
          <w:sz w:val="20"/>
          <w:szCs w:val="20"/>
          <w:lang w:eastAsia="en-US"/>
        </w:rPr>
      </w:pPr>
      <w:r w:rsidRPr="00D13792">
        <w:rPr>
          <w:rFonts w:eastAsia="Calibri"/>
          <w:sz w:val="20"/>
          <w:szCs w:val="20"/>
          <w:lang w:eastAsia="en-US"/>
        </w:rPr>
        <w:t xml:space="preserve">USD $55.000,00 (cincuenta y cinco mil dólares de los Estados Unidos de América) a cada una de las víctimas de desaparición forzada, señaladas en los párrafos 155 y 156 y en el Anexo I de esta Sentencia, </w:t>
      </w:r>
      <w:r w:rsidRPr="00D13792">
        <w:rPr>
          <w:rFonts w:eastAsia="Batang" w:cs="Verdana"/>
          <w:sz w:val="20"/>
          <w:szCs w:val="20"/>
          <w:lang w:eastAsia="en-US" w:bidi="en-US"/>
        </w:rPr>
        <w:t>por concepto de daños materiales e inmateriales</w:t>
      </w:r>
      <w:r w:rsidRPr="00D13792">
        <w:rPr>
          <w:rFonts w:eastAsia="Calibri"/>
          <w:sz w:val="20"/>
          <w:szCs w:val="20"/>
          <w:lang w:eastAsia="en-US"/>
        </w:rPr>
        <w:t xml:space="preserve">; </w:t>
      </w:r>
    </w:p>
    <w:p w14:paraId="149C2F1F" w14:textId="77777777" w:rsidR="006A0E1C" w:rsidRPr="00D13792" w:rsidRDefault="006A0E1C" w:rsidP="006A0E1C">
      <w:pPr>
        <w:tabs>
          <w:tab w:val="left" w:pos="720"/>
        </w:tabs>
        <w:adjustRightInd/>
        <w:spacing w:line="240" w:lineRule="auto"/>
        <w:ind w:left="360"/>
        <w:contextualSpacing/>
        <w:textAlignment w:val="auto"/>
        <w:rPr>
          <w:rFonts w:eastAsia="Calibri"/>
          <w:sz w:val="20"/>
          <w:szCs w:val="20"/>
          <w:lang w:eastAsia="en-US"/>
        </w:rPr>
      </w:pPr>
    </w:p>
    <w:p w14:paraId="46C88776" w14:textId="77777777" w:rsidR="006A0E1C" w:rsidRPr="00D13792" w:rsidRDefault="006A0E1C" w:rsidP="006A0E1C">
      <w:pPr>
        <w:widowControl/>
        <w:numPr>
          <w:ilvl w:val="1"/>
          <w:numId w:val="12"/>
        </w:numPr>
        <w:tabs>
          <w:tab w:val="left" w:pos="720"/>
        </w:tabs>
        <w:adjustRightInd/>
        <w:spacing w:line="240" w:lineRule="auto"/>
        <w:ind w:left="360" w:firstLine="0"/>
        <w:contextualSpacing/>
        <w:textAlignment w:val="auto"/>
        <w:rPr>
          <w:rFonts w:eastAsia="Calibri"/>
          <w:sz w:val="20"/>
          <w:szCs w:val="20"/>
          <w:lang w:eastAsia="en-US"/>
        </w:rPr>
      </w:pPr>
      <w:r w:rsidRPr="00D13792">
        <w:rPr>
          <w:rFonts w:eastAsia="Calibri"/>
          <w:sz w:val="20"/>
          <w:szCs w:val="20"/>
          <w:lang w:eastAsia="en-US"/>
        </w:rPr>
        <w:t xml:space="preserve">USD $5.000,00 (cinco mil dólares de los Estados Unidos de América) a cada una de las víctimas de desplazamiento forzado, señaladas en el Anexo II de esta Sentencia, </w:t>
      </w:r>
      <w:r w:rsidRPr="00D13792">
        <w:rPr>
          <w:rFonts w:eastAsia="Batang" w:cs="Verdana"/>
          <w:sz w:val="20"/>
          <w:szCs w:val="20"/>
          <w:lang w:eastAsia="en-US" w:bidi="en-US"/>
        </w:rPr>
        <w:t xml:space="preserve">por concepto de daño inmaterial, </w:t>
      </w:r>
      <w:r w:rsidRPr="00D13792">
        <w:rPr>
          <w:rFonts w:eastAsia="Calibri"/>
          <w:sz w:val="20"/>
          <w:szCs w:val="20"/>
          <w:lang w:eastAsia="en-US"/>
        </w:rPr>
        <w:t xml:space="preserve">y  </w:t>
      </w:r>
    </w:p>
    <w:p w14:paraId="1601937C" w14:textId="77777777" w:rsidR="006A0E1C" w:rsidRPr="00D13792" w:rsidRDefault="006A0E1C" w:rsidP="006A0E1C">
      <w:pPr>
        <w:widowControl/>
        <w:adjustRightInd/>
        <w:spacing w:line="240" w:lineRule="auto"/>
        <w:ind w:left="360"/>
        <w:contextualSpacing/>
        <w:textAlignment w:val="auto"/>
        <w:rPr>
          <w:rFonts w:eastAsia="Calibri"/>
          <w:sz w:val="20"/>
          <w:szCs w:val="20"/>
          <w:lang w:eastAsia="en-US"/>
        </w:rPr>
      </w:pPr>
    </w:p>
    <w:p w14:paraId="5583B8D0" w14:textId="77777777" w:rsidR="006A0E1C" w:rsidRPr="00D13792" w:rsidRDefault="006A0E1C" w:rsidP="006A0E1C">
      <w:pPr>
        <w:widowControl/>
        <w:numPr>
          <w:ilvl w:val="1"/>
          <w:numId w:val="12"/>
        </w:numPr>
        <w:tabs>
          <w:tab w:val="left" w:pos="720"/>
        </w:tabs>
        <w:adjustRightInd/>
        <w:spacing w:line="240" w:lineRule="auto"/>
        <w:ind w:left="360" w:firstLine="0"/>
        <w:contextualSpacing/>
        <w:textAlignment w:val="auto"/>
        <w:rPr>
          <w:rFonts w:eastAsia="Calibri"/>
          <w:sz w:val="20"/>
          <w:szCs w:val="20"/>
          <w:lang w:eastAsia="en-US"/>
        </w:rPr>
      </w:pPr>
      <w:r w:rsidRPr="00D13792">
        <w:rPr>
          <w:sz w:val="20"/>
          <w:szCs w:val="20"/>
        </w:rPr>
        <w:t xml:space="preserve">USD $30.000,00 (treinta mil dólares de los Estados Unidos de América) a favor de las madres, padres, hijas e hijos, cónyuges, y compañeros y compañeras permanentes, y USD $10.000,00 (diez mil dólares de los Estados Unidos de América) a favor de las hermanas y hermanos, de </w:t>
      </w:r>
      <w:r w:rsidRPr="00D13792">
        <w:rPr>
          <w:rFonts w:eastAsia="Calibri"/>
          <w:sz w:val="20"/>
          <w:szCs w:val="20"/>
          <w:lang w:eastAsia="en-US"/>
        </w:rPr>
        <w:t xml:space="preserve">las víctimas de desaparición forzada, </w:t>
      </w:r>
      <w:r w:rsidRPr="00D13792">
        <w:rPr>
          <w:rFonts w:eastAsia="Batang" w:cs="Verdana"/>
          <w:sz w:val="20"/>
          <w:szCs w:val="20"/>
          <w:lang w:eastAsia="en-US" w:bidi="en-US"/>
        </w:rPr>
        <w:t>por concepto de daño inmaterial, en relación con las violaciones a sus derechos a la integridad personal y a la familia</w:t>
      </w:r>
      <w:r w:rsidRPr="00D13792">
        <w:rPr>
          <w:rFonts w:eastAsia="Calibri"/>
          <w:sz w:val="20"/>
          <w:szCs w:val="20"/>
          <w:lang w:eastAsia="en-US"/>
        </w:rPr>
        <w:t>. Los nombres de dichas personas se encuentran señaladas en el Anexo I de esta Sentencia.</w:t>
      </w:r>
    </w:p>
    <w:p w14:paraId="3955E951" w14:textId="77777777" w:rsidR="006A0E1C" w:rsidRPr="00D13792" w:rsidRDefault="006A0E1C" w:rsidP="006A0E1C">
      <w:pPr>
        <w:pStyle w:val="ListParagraph"/>
        <w:spacing w:after="0" w:line="240" w:lineRule="auto"/>
        <w:rPr>
          <w:rFonts w:ascii="Verdana" w:eastAsia="Calibri" w:hAnsi="Verdana"/>
          <w:sz w:val="20"/>
          <w:szCs w:val="20"/>
          <w:lang w:val="es-CR" w:eastAsia="en-US"/>
        </w:rPr>
      </w:pPr>
    </w:p>
    <w:p w14:paraId="2FE49587"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cs="Verdana"/>
          <w:lang w:val="es-CR"/>
        </w:rPr>
        <w:t xml:space="preserve">Los montos dispuestos a favor de personas desaparecidas forzadamente </w:t>
      </w:r>
      <w:r w:rsidRPr="00D13792">
        <w:rPr>
          <w:lang w:val="es-CR"/>
        </w:rPr>
        <w:t>(</w:t>
      </w:r>
      <w:r w:rsidRPr="00D13792">
        <w:rPr>
          <w:i/>
          <w:lang w:val="es-CR"/>
        </w:rPr>
        <w:t xml:space="preserve">supra </w:t>
      </w:r>
      <w:r w:rsidRPr="00D13792">
        <w:rPr>
          <w:lang w:val="es-CR"/>
        </w:rPr>
        <w:t>párr. 327.a)</w:t>
      </w:r>
      <w:r w:rsidRPr="00D13792">
        <w:rPr>
          <w:rFonts w:cs="Verdana"/>
          <w:lang w:val="es-CR"/>
        </w:rPr>
        <w:t xml:space="preserve"> deben </w:t>
      </w:r>
      <w:r w:rsidRPr="00D13792">
        <w:rPr>
          <w:lang w:val="es-CR"/>
        </w:rPr>
        <w:t xml:space="preserve">ser </w:t>
      </w:r>
      <w:r w:rsidRPr="00D13792">
        <w:rPr>
          <w:rFonts w:eastAsia="Batang" w:cs="Times"/>
          <w:lang w:val="es-CR"/>
        </w:rPr>
        <w:t>liquidadas</w:t>
      </w:r>
      <w:r w:rsidRPr="00D13792">
        <w:rPr>
          <w:lang w:val="es-CR"/>
        </w:rPr>
        <w:t xml:space="preserve"> de acuerdo con los siguientes criterios:  </w:t>
      </w:r>
    </w:p>
    <w:p w14:paraId="6F49325C" w14:textId="77777777" w:rsidR="006A0E1C" w:rsidRPr="00D13792" w:rsidRDefault="006A0E1C" w:rsidP="006A0E1C">
      <w:pPr>
        <w:spacing w:line="240" w:lineRule="auto"/>
        <w:ind w:left="-142"/>
        <w:rPr>
          <w:sz w:val="20"/>
          <w:szCs w:val="20"/>
        </w:rPr>
      </w:pPr>
    </w:p>
    <w:p w14:paraId="661DD6DA" w14:textId="77777777" w:rsidR="006A0E1C" w:rsidRPr="00D13792" w:rsidRDefault="006A0E1C" w:rsidP="006A0E1C">
      <w:pPr>
        <w:pStyle w:val="BodyText"/>
        <w:numPr>
          <w:ilvl w:val="1"/>
          <w:numId w:val="1"/>
        </w:numPr>
        <w:tabs>
          <w:tab w:val="clear" w:pos="1080"/>
          <w:tab w:val="num" w:pos="720"/>
        </w:tabs>
        <w:overflowPunct w:val="0"/>
        <w:autoSpaceDE w:val="0"/>
        <w:autoSpaceDN w:val="0"/>
        <w:adjustRightInd/>
        <w:spacing w:after="0" w:line="240" w:lineRule="auto"/>
        <w:ind w:left="720"/>
        <w:textAlignment w:val="auto"/>
        <w:rPr>
          <w:sz w:val="20"/>
          <w:szCs w:val="20"/>
        </w:rPr>
      </w:pPr>
      <w:r w:rsidRPr="00D13792">
        <w:rPr>
          <w:sz w:val="20"/>
          <w:szCs w:val="20"/>
        </w:rPr>
        <w:t xml:space="preserve">el cincuenta por ciento (50%) de la indemnización se repartirá, por partes iguales, entre los hijos de la víctima. Si uno o varios de los hijos de la víctima hubieren fallecido ya, la parte que le o les corresponda será entregada a sus hijos o cónyuges si </w:t>
      </w:r>
      <w:r w:rsidRPr="00D13792">
        <w:rPr>
          <w:sz w:val="20"/>
          <w:szCs w:val="20"/>
        </w:rPr>
        <w:lastRenderedPageBreak/>
        <w:t xml:space="preserve">existieren, o si no existieren, la parte que le o les corresponda acrecerá a las de los demás hijos de la misma víctima; </w:t>
      </w:r>
    </w:p>
    <w:p w14:paraId="21C84489" w14:textId="77777777" w:rsidR="006A0E1C" w:rsidRPr="00D13792" w:rsidRDefault="006A0E1C" w:rsidP="006A0E1C">
      <w:pPr>
        <w:pStyle w:val="BodyText"/>
        <w:tabs>
          <w:tab w:val="num" w:pos="720"/>
        </w:tabs>
        <w:overflowPunct w:val="0"/>
        <w:autoSpaceDE w:val="0"/>
        <w:autoSpaceDN w:val="0"/>
        <w:spacing w:after="0" w:line="240" w:lineRule="auto"/>
        <w:ind w:left="720"/>
        <w:rPr>
          <w:sz w:val="12"/>
          <w:szCs w:val="20"/>
        </w:rPr>
      </w:pPr>
    </w:p>
    <w:p w14:paraId="1AF9FF5C" w14:textId="77777777" w:rsidR="006A0E1C" w:rsidRPr="00D13792" w:rsidRDefault="006A0E1C" w:rsidP="006A0E1C">
      <w:pPr>
        <w:pStyle w:val="BodyText"/>
        <w:numPr>
          <w:ilvl w:val="1"/>
          <w:numId w:val="1"/>
        </w:numPr>
        <w:tabs>
          <w:tab w:val="clear" w:pos="1080"/>
          <w:tab w:val="num" w:pos="720"/>
        </w:tabs>
        <w:overflowPunct w:val="0"/>
        <w:autoSpaceDE w:val="0"/>
        <w:autoSpaceDN w:val="0"/>
        <w:adjustRightInd/>
        <w:spacing w:after="0" w:line="240" w:lineRule="auto"/>
        <w:ind w:left="720"/>
        <w:textAlignment w:val="auto"/>
        <w:rPr>
          <w:sz w:val="20"/>
          <w:szCs w:val="20"/>
        </w:rPr>
      </w:pPr>
      <w:r w:rsidRPr="00D13792">
        <w:rPr>
          <w:sz w:val="20"/>
          <w:szCs w:val="20"/>
        </w:rPr>
        <w:t>el cincuenta por ciento (50%) de la indemnización deberá ser entregada a quien fuera cónyuge, compañero o compañera permanente de la víctima, al momento del inicio de la desaparición forzada de esta;</w:t>
      </w:r>
    </w:p>
    <w:p w14:paraId="03C619C2" w14:textId="77777777" w:rsidR="006A0E1C" w:rsidRPr="00D13792" w:rsidRDefault="006A0E1C" w:rsidP="006A0E1C">
      <w:pPr>
        <w:pStyle w:val="BodyText"/>
        <w:tabs>
          <w:tab w:val="num" w:pos="720"/>
        </w:tabs>
        <w:overflowPunct w:val="0"/>
        <w:autoSpaceDE w:val="0"/>
        <w:autoSpaceDN w:val="0"/>
        <w:spacing w:after="0" w:line="240" w:lineRule="auto"/>
        <w:ind w:left="720"/>
        <w:rPr>
          <w:sz w:val="12"/>
          <w:szCs w:val="20"/>
        </w:rPr>
      </w:pPr>
    </w:p>
    <w:p w14:paraId="61D6D6D4" w14:textId="77777777" w:rsidR="006A0E1C" w:rsidRPr="00D13792" w:rsidRDefault="006A0E1C" w:rsidP="006A0E1C">
      <w:pPr>
        <w:pStyle w:val="BodyText"/>
        <w:numPr>
          <w:ilvl w:val="1"/>
          <w:numId w:val="1"/>
        </w:numPr>
        <w:tabs>
          <w:tab w:val="clear" w:pos="1080"/>
          <w:tab w:val="num" w:pos="720"/>
        </w:tabs>
        <w:overflowPunct w:val="0"/>
        <w:autoSpaceDE w:val="0"/>
        <w:autoSpaceDN w:val="0"/>
        <w:adjustRightInd/>
        <w:spacing w:after="0" w:line="240" w:lineRule="auto"/>
        <w:ind w:left="720"/>
        <w:textAlignment w:val="auto"/>
        <w:rPr>
          <w:sz w:val="20"/>
          <w:szCs w:val="20"/>
        </w:rPr>
      </w:pPr>
      <w:r w:rsidRPr="00D13792">
        <w:rPr>
          <w:sz w:val="20"/>
          <w:szCs w:val="20"/>
        </w:rPr>
        <w:t>en el evento que no existieren familiares en alguna de las categorías definidas en los literales anteriores, lo que hubiere correspondido a los familiares ubicados en esa categoría, acrecerá a la parte que le corresponda a la otra categoría;</w:t>
      </w:r>
    </w:p>
    <w:p w14:paraId="09FC7B6E" w14:textId="77777777" w:rsidR="006A0E1C" w:rsidRPr="00D13792" w:rsidRDefault="006A0E1C" w:rsidP="006A0E1C">
      <w:pPr>
        <w:pStyle w:val="BodyText"/>
        <w:tabs>
          <w:tab w:val="num" w:pos="720"/>
        </w:tabs>
        <w:overflowPunct w:val="0"/>
        <w:autoSpaceDE w:val="0"/>
        <w:autoSpaceDN w:val="0"/>
        <w:spacing w:after="0" w:line="240" w:lineRule="auto"/>
        <w:ind w:left="720"/>
        <w:rPr>
          <w:sz w:val="12"/>
          <w:szCs w:val="20"/>
        </w:rPr>
      </w:pPr>
    </w:p>
    <w:p w14:paraId="3617DA77" w14:textId="77777777" w:rsidR="006A0E1C" w:rsidRPr="00D13792" w:rsidRDefault="006A0E1C" w:rsidP="006A0E1C">
      <w:pPr>
        <w:pStyle w:val="BodyText"/>
        <w:numPr>
          <w:ilvl w:val="1"/>
          <w:numId w:val="1"/>
        </w:numPr>
        <w:tabs>
          <w:tab w:val="clear" w:pos="1080"/>
          <w:tab w:val="num" w:pos="720"/>
        </w:tabs>
        <w:overflowPunct w:val="0"/>
        <w:autoSpaceDE w:val="0"/>
        <w:autoSpaceDN w:val="0"/>
        <w:adjustRightInd/>
        <w:spacing w:after="0" w:line="240" w:lineRule="auto"/>
        <w:ind w:left="720"/>
        <w:textAlignment w:val="auto"/>
        <w:rPr>
          <w:sz w:val="20"/>
          <w:szCs w:val="20"/>
        </w:rPr>
      </w:pPr>
      <w:r w:rsidRPr="00D13792">
        <w:rPr>
          <w:sz w:val="20"/>
          <w:szCs w:val="20"/>
        </w:rPr>
        <w:t>en el caso de que la víctima no tuviere hijos ni cónyuge ni compañera o compañero permanente, la indemnización del daño material será entregado a sus padres, y</w:t>
      </w:r>
    </w:p>
    <w:p w14:paraId="4C24E737" w14:textId="77777777" w:rsidR="006A0E1C" w:rsidRPr="00D13792" w:rsidRDefault="006A0E1C" w:rsidP="006A0E1C">
      <w:pPr>
        <w:pStyle w:val="BodyText"/>
        <w:tabs>
          <w:tab w:val="num" w:pos="720"/>
        </w:tabs>
        <w:overflowPunct w:val="0"/>
        <w:autoSpaceDE w:val="0"/>
        <w:autoSpaceDN w:val="0"/>
        <w:spacing w:after="0" w:line="240" w:lineRule="auto"/>
        <w:ind w:left="720"/>
        <w:rPr>
          <w:sz w:val="12"/>
          <w:szCs w:val="20"/>
        </w:rPr>
      </w:pPr>
    </w:p>
    <w:p w14:paraId="3EC6F69B" w14:textId="77777777" w:rsidR="006A0E1C" w:rsidRPr="00D13792" w:rsidRDefault="006A0E1C" w:rsidP="006A0E1C">
      <w:pPr>
        <w:pStyle w:val="BodyText"/>
        <w:numPr>
          <w:ilvl w:val="1"/>
          <w:numId w:val="1"/>
        </w:numPr>
        <w:tabs>
          <w:tab w:val="clear" w:pos="1080"/>
          <w:tab w:val="num" w:pos="720"/>
        </w:tabs>
        <w:overflowPunct w:val="0"/>
        <w:autoSpaceDE w:val="0"/>
        <w:autoSpaceDN w:val="0"/>
        <w:adjustRightInd/>
        <w:spacing w:after="0" w:line="240" w:lineRule="auto"/>
        <w:ind w:left="720"/>
        <w:textAlignment w:val="auto"/>
        <w:rPr>
          <w:rFonts w:eastAsia="Calibri"/>
          <w:sz w:val="20"/>
          <w:szCs w:val="20"/>
          <w:lang w:eastAsia="en-US"/>
        </w:rPr>
      </w:pPr>
      <w:r w:rsidRPr="00D13792">
        <w:rPr>
          <w:sz w:val="20"/>
          <w:szCs w:val="20"/>
        </w:rPr>
        <w:t>en el evento que no existieren familiares en alguna o algunas de las categorías definidas en los literales anteriores, la indemnización deberá ser pagada a los herederos de acuerdo con el derecho sucesorio interno.</w:t>
      </w:r>
    </w:p>
    <w:p w14:paraId="71EF790A" w14:textId="77777777" w:rsidR="006A0E1C" w:rsidRPr="00D13792" w:rsidRDefault="006A0E1C" w:rsidP="006A0E1C">
      <w:pPr>
        <w:pStyle w:val="BodyText"/>
        <w:overflowPunct w:val="0"/>
        <w:autoSpaceDE w:val="0"/>
        <w:autoSpaceDN w:val="0"/>
        <w:adjustRightInd/>
        <w:spacing w:after="0" w:line="240" w:lineRule="auto"/>
        <w:textAlignment w:val="auto"/>
        <w:rPr>
          <w:rFonts w:eastAsia="Calibri"/>
          <w:sz w:val="20"/>
          <w:szCs w:val="20"/>
          <w:lang w:eastAsia="en-US"/>
        </w:rPr>
      </w:pPr>
    </w:p>
    <w:p w14:paraId="0B036195" w14:textId="77777777" w:rsidR="006A0E1C" w:rsidRPr="00D13792" w:rsidRDefault="006A0E1C" w:rsidP="006A0E1C">
      <w:pPr>
        <w:pStyle w:val="Heading2"/>
        <w:rPr>
          <w:rFonts w:eastAsia="MS Mincho"/>
          <w:spacing w:val="0"/>
          <w:lang w:val="es-CR"/>
        </w:rPr>
      </w:pPr>
      <w:bookmarkStart w:id="278" w:name="_Toc337405901"/>
      <w:bookmarkStart w:id="279" w:name="_Toc302669951"/>
      <w:bookmarkStart w:id="280" w:name="_Toc300622813"/>
      <w:bookmarkStart w:id="281" w:name="_Toc297286433"/>
      <w:bookmarkStart w:id="282" w:name="_Toc455631241"/>
      <w:bookmarkStart w:id="283" w:name="_Toc469670078"/>
      <w:r w:rsidRPr="00D13792">
        <w:rPr>
          <w:rFonts w:eastAsia="MS Mincho"/>
          <w:spacing w:val="0"/>
          <w:lang w:val="es-CR"/>
        </w:rPr>
        <w:t>F. Costas y gastos</w:t>
      </w:r>
      <w:bookmarkEnd w:id="278"/>
      <w:bookmarkEnd w:id="279"/>
      <w:bookmarkEnd w:id="280"/>
      <w:bookmarkEnd w:id="281"/>
      <w:bookmarkEnd w:id="282"/>
      <w:bookmarkEnd w:id="283"/>
    </w:p>
    <w:p w14:paraId="1BC348CE" w14:textId="77777777" w:rsidR="006A0E1C" w:rsidRPr="00D13792" w:rsidRDefault="006A0E1C" w:rsidP="006A0E1C">
      <w:pPr>
        <w:tabs>
          <w:tab w:val="left" w:pos="720"/>
          <w:tab w:val="left" w:pos="840"/>
          <w:tab w:val="left" w:pos="1680"/>
          <w:tab w:val="left" w:pos="2240"/>
          <w:tab w:val="left" w:pos="2800"/>
          <w:tab w:val="left" w:pos="3360"/>
          <w:tab w:val="left" w:pos="3920"/>
          <w:tab w:val="left" w:pos="4480"/>
          <w:tab w:val="left" w:pos="5040"/>
          <w:tab w:val="left" w:pos="5600"/>
          <w:tab w:val="left" w:pos="6160"/>
          <w:tab w:val="left" w:pos="6720"/>
        </w:tabs>
        <w:autoSpaceDE w:val="0"/>
        <w:autoSpaceDN w:val="0"/>
        <w:spacing w:line="240" w:lineRule="auto"/>
        <w:textAlignment w:val="auto"/>
        <w:rPr>
          <w:rFonts w:eastAsia="Batang" w:cs="Times"/>
          <w:b/>
          <w:bCs/>
          <w:sz w:val="20"/>
          <w:szCs w:val="20"/>
          <w:lang w:eastAsia="en-US"/>
        </w:rPr>
      </w:pPr>
    </w:p>
    <w:p w14:paraId="2DCCB8BD" w14:textId="77777777" w:rsidR="006A0E1C" w:rsidRPr="00D13792" w:rsidRDefault="006A0E1C" w:rsidP="006A0E1C">
      <w:pPr>
        <w:pStyle w:val="Prrafodelista2"/>
        <w:numPr>
          <w:ilvl w:val="0"/>
          <w:numId w:val="23"/>
        </w:numPr>
        <w:tabs>
          <w:tab w:val="left" w:pos="720"/>
        </w:tabs>
        <w:ind w:right="-90"/>
        <w:jc w:val="both"/>
        <w:rPr>
          <w:rFonts w:eastAsia="Calibri" w:cs="Calibri"/>
          <w:lang w:val="es-CR" w:eastAsia="es-MX"/>
        </w:rPr>
      </w:pPr>
      <w:r w:rsidRPr="00D13792">
        <w:rPr>
          <w:rFonts w:eastAsia="Batang"/>
          <w:lang w:val="es-CR" w:eastAsia="es-MX"/>
        </w:rPr>
        <w:t xml:space="preserve">La </w:t>
      </w:r>
      <w:r w:rsidRPr="00D13792">
        <w:rPr>
          <w:rFonts w:eastAsia="Batang"/>
          <w:b/>
          <w:i/>
          <w:lang w:val="es-CR" w:eastAsia="es-MX"/>
        </w:rPr>
        <w:t>Comisión</w:t>
      </w:r>
      <w:r w:rsidRPr="00D13792">
        <w:rPr>
          <w:rFonts w:eastAsia="Batang"/>
          <w:lang w:val="es-CR" w:eastAsia="es-MX"/>
        </w:rPr>
        <w:t xml:space="preserve"> no presentó alegatos específicos respecto a esta medida. Los </w:t>
      </w:r>
      <w:r w:rsidRPr="00D13792">
        <w:rPr>
          <w:rFonts w:eastAsia="Batang"/>
          <w:b/>
          <w:i/>
          <w:lang w:val="es-CR" w:eastAsia="es-MX"/>
        </w:rPr>
        <w:t>representantes</w:t>
      </w:r>
      <w:r w:rsidRPr="00D13792">
        <w:rPr>
          <w:rFonts w:eastAsia="Batang"/>
          <w:i/>
          <w:lang w:val="es-CR" w:eastAsia="es-MX"/>
        </w:rPr>
        <w:t xml:space="preserve"> </w:t>
      </w:r>
      <w:r w:rsidRPr="00D13792">
        <w:rPr>
          <w:rFonts w:eastAsia="Batang"/>
          <w:lang w:val="es-CR" w:eastAsia="es-MX"/>
        </w:rPr>
        <w:t>solicitaron el pago de USD $</w:t>
      </w:r>
      <w:r w:rsidRPr="00D13792">
        <w:rPr>
          <w:rFonts w:eastAsia="Calibri" w:cs="Calibri"/>
          <w:lang w:val="es-CR" w:eastAsia="es-MX"/>
        </w:rPr>
        <w:t xml:space="preserve"> 218,322.00</w:t>
      </w:r>
      <w:r w:rsidRPr="00D13792">
        <w:rPr>
          <w:rFonts w:eastAsia="Batang"/>
          <w:lang w:val="es-CR" w:eastAsia="es-MX"/>
        </w:rPr>
        <w:t xml:space="preserve"> a favor de la </w:t>
      </w:r>
      <w:r w:rsidRPr="00D13792">
        <w:rPr>
          <w:rFonts w:eastAsia="Calibri" w:cs="Calibri"/>
          <w:lang w:val="es-CR" w:eastAsia="es-MX"/>
        </w:rPr>
        <w:t>Asociación Bufete Jurídico Popular</w:t>
      </w:r>
      <w:r w:rsidRPr="00D13792">
        <w:rPr>
          <w:rFonts w:eastAsia="Batang"/>
          <w:lang w:val="es-CR" w:eastAsia="es-MX"/>
        </w:rPr>
        <w:t xml:space="preserve"> por concepto de </w:t>
      </w:r>
      <w:r w:rsidRPr="00D13792">
        <w:rPr>
          <w:rFonts w:eastAsia="Calibri" w:cs="Calibri"/>
          <w:lang w:val="es-CR" w:eastAsia="es-MX"/>
        </w:rPr>
        <w:t xml:space="preserve">costas y gastos de los honorarios profesionales causados por las gestiones ante instancias nacionales e internacionales desde el año 2006, así como los gastos incurridos en la audiencia pública del caso y los que </w:t>
      </w:r>
      <w:r w:rsidRPr="00D13792">
        <w:rPr>
          <w:rFonts w:eastAsia="Batang" w:cs="Times"/>
          <w:lang w:val="es-CR"/>
        </w:rPr>
        <w:t>eventualmente</w:t>
      </w:r>
      <w:r w:rsidRPr="00D13792">
        <w:rPr>
          <w:rFonts w:eastAsia="Calibri" w:cs="Calibri"/>
          <w:lang w:val="es-CR" w:eastAsia="es-MX"/>
        </w:rPr>
        <w:t xml:space="preserve"> se incurra en la supervisión de cumplimiento de la sentencia que dicte la Corte. Señalaron que dichos montos se encuentran soportados en el informe actuarial elaborado por el señor Roberto A. Molina Cruz.</w:t>
      </w:r>
    </w:p>
    <w:p w14:paraId="21D80374" w14:textId="77777777" w:rsidR="006A0E1C" w:rsidRPr="00D13792" w:rsidRDefault="006A0E1C" w:rsidP="006A0E1C">
      <w:pPr>
        <w:widowControl/>
        <w:autoSpaceDE w:val="0"/>
        <w:autoSpaceDN w:val="0"/>
        <w:spacing w:line="240" w:lineRule="auto"/>
        <w:ind w:left="-709"/>
        <w:textAlignment w:val="auto"/>
        <w:rPr>
          <w:rFonts w:eastAsia="Batang"/>
          <w:sz w:val="20"/>
          <w:szCs w:val="20"/>
          <w:lang w:eastAsia="es-MX"/>
        </w:rPr>
      </w:pPr>
    </w:p>
    <w:p w14:paraId="770935FB" w14:textId="77777777" w:rsidR="006A0E1C" w:rsidRPr="00D13792" w:rsidRDefault="006A0E1C" w:rsidP="006A0E1C">
      <w:pPr>
        <w:pStyle w:val="Prrafodelista2"/>
        <w:numPr>
          <w:ilvl w:val="0"/>
          <w:numId w:val="23"/>
        </w:numPr>
        <w:tabs>
          <w:tab w:val="left" w:pos="720"/>
        </w:tabs>
        <w:ind w:right="-90"/>
        <w:jc w:val="both"/>
        <w:rPr>
          <w:rFonts w:eastAsia="Calibri"/>
          <w:color w:val="707070"/>
          <w:lang w:val="es-CR" w:eastAsia="es-MX"/>
        </w:rPr>
      </w:pPr>
      <w:r w:rsidRPr="00D13792">
        <w:rPr>
          <w:rFonts w:eastAsia="Batang"/>
          <w:lang w:val="es-CR" w:eastAsia="es-MX"/>
        </w:rPr>
        <w:t xml:space="preserve">En su contestación, bajo el título “VI. Costas y Gastos”, el </w:t>
      </w:r>
      <w:r w:rsidRPr="00D13792">
        <w:rPr>
          <w:rFonts w:eastAsia="Batang"/>
          <w:b/>
          <w:i/>
          <w:lang w:val="es-CR" w:eastAsia="es-MX"/>
        </w:rPr>
        <w:t>Estado</w:t>
      </w:r>
      <w:r w:rsidRPr="00D13792">
        <w:rPr>
          <w:rFonts w:eastAsia="Batang"/>
          <w:lang w:val="es-CR" w:eastAsia="es-MX"/>
        </w:rPr>
        <w:t xml:space="preserve"> sostuvo que los </w:t>
      </w:r>
      <w:r w:rsidRPr="00D13792">
        <w:rPr>
          <w:rFonts w:eastAsia="Batang" w:cs="Times"/>
          <w:lang w:val="es-CR"/>
        </w:rPr>
        <w:t>representantes</w:t>
      </w:r>
      <w:r w:rsidRPr="00D13792">
        <w:rPr>
          <w:rFonts w:eastAsia="Batang"/>
          <w:lang w:val="es-CR" w:eastAsia="es-MX"/>
        </w:rPr>
        <w:t xml:space="preserve"> “debían agotar[,] en primera instancia, los procedimientos internos disponibles en la jurisdicción interna, antes de acudir a un </w:t>
      </w:r>
      <w:r w:rsidRPr="00D13792">
        <w:rPr>
          <w:rFonts w:eastAsia="Batang" w:cs="Verdana"/>
          <w:lang w:val="es-CR"/>
        </w:rPr>
        <w:t>Tribunal</w:t>
      </w:r>
      <w:r w:rsidRPr="00D13792">
        <w:rPr>
          <w:rFonts w:eastAsia="Batang"/>
          <w:lang w:val="es-CR" w:eastAsia="es-MX"/>
        </w:rPr>
        <w:t xml:space="preserve"> Internacional”. En este sentido, señaló que “no tienen derecho a solicitar reparación en el ámbito internacional […] porque ni siquiera intentaron agotar en la vía interna dichas indemnizaciones”</w:t>
      </w:r>
      <w:r w:rsidRPr="00D13792">
        <w:rPr>
          <w:rFonts w:eastAsia="Batang"/>
          <w:vertAlign w:val="superscript"/>
          <w:lang w:val="es-CR" w:eastAsia="es-MX"/>
        </w:rPr>
        <w:footnoteReference w:id="379"/>
      </w:r>
      <w:r w:rsidRPr="00D13792">
        <w:rPr>
          <w:rFonts w:eastAsia="Batang"/>
          <w:lang w:val="es-CR" w:eastAsia="es-MX"/>
        </w:rPr>
        <w:t>.</w:t>
      </w:r>
    </w:p>
    <w:p w14:paraId="3768CAE8" w14:textId="77777777" w:rsidR="006A0E1C" w:rsidRPr="00D13792" w:rsidRDefault="006A0E1C" w:rsidP="006A0E1C">
      <w:pPr>
        <w:widowControl/>
        <w:autoSpaceDE w:val="0"/>
        <w:autoSpaceDN w:val="0"/>
        <w:spacing w:line="240" w:lineRule="auto"/>
        <w:ind w:left="-709"/>
        <w:contextualSpacing/>
        <w:textAlignment w:val="auto"/>
        <w:rPr>
          <w:rFonts w:eastAsia="Calibri"/>
          <w:b/>
          <w:sz w:val="16"/>
          <w:szCs w:val="20"/>
          <w:lang w:eastAsia="en-US"/>
        </w:rPr>
      </w:pPr>
    </w:p>
    <w:p w14:paraId="4A3CEF56" w14:textId="77777777" w:rsidR="006A0E1C" w:rsidRPr="00D13792" w:rsidRDefault="006A0E1C" w:rsidP="006A0E1C">
      <w:pPr>
        <w:pStyle w:val="Prrafodelista2"/>
        <w:numPr>
          <w:ilvl w:val="0"/>
          <w:numId w:val="23"/>
        </w:numPr>
        <w:tabs>
          <w:tab w:val="left" w:pos="720"/>
        </w:tabs>
        <w:ind w:right="-90"/>
        <w:jc w:val="both"/>
        <w:rPr>
          <w:rFonts w:eastAsia="Batang"/>
          <w:iCs/>
          <w:lang w:val="es-CR"/>
        </w:rPr>
      </w:pPr>
      <w:r w:rsidRPr="00D13792">
        <w:rPr>
          <w:rFonts w:eastAsia="Batang"/>
          <w:lang w:val="es-CR"/>
        </w:rPr>
        <w:t xml:space="preserve">La </w:t>
      </w:r>
      <w:r w:rsidRPr="00D13792">
        <w:rPr>
          <w:rFonts w:eastAsia="Batang"/>
          <w:b/>
          <w:i/>
          <w:lang w:val="es-CR"/>
        </w:rPr>
        <w:t>Corte</w:t>
      </w:r>
      <w:r w:rsidRPr="00D13792">
        <w:rPr>
          <w:rFonts w:eastAsia="Batang"/>
          <w:lang w:val="es-CR"/>
        </w:rPr>
        <w:t xml:space="preserve"> reitera </w:t>
      </w:r>
      <w:r w:rsidRPr="00D13792">
        <w:rPr>
          <w:rFonts w:eastAsia="Batang"/>
          <w:iCs/>
          <w:lang w:val="es-CR"/>
        </w:rPr>
        <w:t xml:space="preserve">que, conforme a su jurisprudencia, las costas y gastos hacen parte del concepto de reparación, toda vez que las actividades desplegadas por las víctimas con el fin de obtener justicia, tanto a nivel nacional como internacional, implican erogaciones que deben ser compensadas cuando la responsabilidad internacional del Estado es declarada mediante una sentencia condenatoria. En cuanto al reembolso de gastos, corresponde a la Corte apreciar prudentemente su alcance, el cual comprende los gastos generados ante las autoridades de la jurisdicción interna, así como los generados en el curso del proceso ante el sistema interamericano, teniendo en cuenta las circunstancias del caso concreto y la naturaleza de la jurisdicción internacional de protección de los derechos humanos. Esta apreciación puede ser realizada con base en el principio de equidad y tomando en cuenta los gastos señalados por las partes, siempre que su </w:t>
      </w:r>
      <w:r w:rsidRPr="00D13792">
        <w:rPr>
          <w:rFonts w:eastAsia="Batang"/>
          <w:i/>
          <w:iCs/>
          <w:lang w:val="es-CR"/>
        </w:rPr>
        <w:t>quantum</w:t>
      </w:r>
      <w:r w:rsidRPr="00D13792">
        <w:rPr>
          <w:rFonts w:eastAsia="Batang"/>
          <w:iCs/>
          <w:lang w:val="es-CR"/>
        </w:rPr>
        <w:t xml:space="preserve"> sea razonable</w:t>
      </w:r>
      <w:r w:rsidRPr="00D13792">
        <w:rPr>
          <w:rFonts w:eastAsia="Batang"/>
          <w:iCs/>
          <w:vertAlign w:val="superscript"/>
          <w:lang w:val="es-CR"/>
        </w:rPr>
        <w:footnoteReference w:id="380"/>
      </w:r>
      <w:r w:rsidRPr="00D13792">
        <w:rPr>
          <w:rFonts w:eastAsia="Batang"/>
          <w:iCs/>
          <w:lang w:val="es-CR"/>
        </w:rPr>
        <w:t xml:space="preserve">. Como ha señalado en otras ocasiones, la Corte recuerda que no es suficiente la remisión de documentos probatorios, sino que se requiere que las partes hagan una argumentación que relacione la prueba con el hecho que se </w:t>
      </w:r>
      <w:r w:rsidRPr="00D13792">
        <w:rPr>
          <w:rFonts w:eastAsia="Batang"/>
          <w:iCs/>
          <w:lang w:val="es-CR"/>
        </w:rPr>
        <w:lastRenderedPageBreak/>
        <w:t>considera representado, y que, al tratarse de alegados desembolsos económicos, se establezca con claridad los rubros y la justificación de los mismos</w:t>
      </w:r>
      <w:r w:rsidRPr="00D13792">
        <w:rPr>
          <w:rFonts w:eastAsia="Batang"/>
          <w:iCs/>
          <w:vertAlign w:val="superscript"/>
          <w:lang w:val="es-CR"/>
        </w:rPr>
        <w:footnoteReference w:id="381"/>
      </w:r>
      <w:r w:rsidRPr="00D13792">
        <w:rPr>
          <w:rFonts w:eastAsia="Batang"/>
          <w:iCs/>
          <w:lang w:val="es-CR"/>
        </w:rPr>
        <w:t>.</w:t>
      </w:r>
    </w:p>
    <w:p w14:paraId="1EB693E8" w14:textId="77777777" w:rsidR="006A0E1C" w:rsidRPr="00D13792" w:rsidRDefault="006A0E1C" w:rsidP="006A0E1C">
      <w:pPr>
        <w:widowControl/>
        <w:adjustRightInd/>
        <w:spacing w:line="240" w:lineRule="auto"/>
        <w:ind w:right="-174"/>
        <w:textAlignment w:val="auto"/>
        <w:rPr>
          <w:rFonts w:eastAsia="Batang" w:cs="Times"/>
          <w:b/>
          <w:sz w:val="20"/>
          <w:szCs w:val="20"/>
          <w:lang w:eastAsia="en-US"/>
        </w:rPr>
      </w:pPr>
    </w:p>
    <w:p w14:paraId="5D54E0B4" w14:textId="77777777" w:rsidR="006A0E1C" w:rsidRPr="00D13792" w:rsidRDefault="006A0E1C" w:rsidP="006A0E1C">
      <w:pPr>
        <w:pStyle w:val="Prrafodelista2"/>
        <w:numPr>
          <w:ilvl w:val="0"/>
          <w:numId w:val="23"/>
        </w:numPr>
        <w:tabs>
          <w:tab w:val="left" w:pos="720"/>
        </w:tabs>
        <w:ind w:right="-90"/>
        <w:jc w:val="both"/>
        <w:rPr>
          <w:rFonts w:eastAsia="Batang"/>
          <w:lang w:val="es-CR" w:eastAsia="es-MX"/>
        </w:rPr>
      </w:pPr>
      <w:r w:rsidRPr="00D13792">
        <w:rPr>
          <w:rFonts w:eastAsia="Batang"/>
          <w:lang w:val="es-CR" w:eastAsia="es-MX"/>
        </w:rPr>
        <w:t>Los representantes remitieron como anexos a su escrito de solicitudes y argumentos, diversa documentación relativa a supuestas costas y gastos incurridos del año 2007 hasta el año 2014, entre los que se encuentran facturas de María Dolores Itzep Manuel por concepto de servicios profesionales prestados a la Asociación Bufete Jurídico Popular; facturas por concepto de servicios profesionales de Servicios Osorio y Sandra López; pagos por concepto de honorarios a pasantes; comprobantes de pago de certificados matrimoniales, de nacimiento, de defunción y bautismo de personas presuntamente relacionadas con el caso; constancias de pago por registro de poderes, copias de procesos judiciales y timbres; facturas por servicios de comidas y transporte; el alquiler de un local; el pago de combustible; liquidación de gastos realizados por la Asociación Bufete Jurídico Popular, entre otros. Asimismo, los representantes remitieron como prueba de sus costas y gastos, una “Valuación actuarial de daños” causados, elaborada por el señor Roberto A. Molina Cruz en diciembre de 2014</w:t>
      </w:r>
      <w:r w:rsidRPr="00D13792">
        <w:rPr>
          <w:rFonts w:eastAsia="Batang"/>
          <w:vertAlign w:val="superscript"/>
          <w:lang w:val="es-CR" w:eastAsia="es-MX"/>
        </w:rPr>
        <w:footnoteReference w:id="382"/>
      </w:r>
      <w:r w:rsidRPr="00D13792">
        <w:rPr>
          <w:rFonts w:eastAsia="Batang"/>
          <w:lang w:val="es-CR" w:eastAsia="es-MX"/>
        </w:rPr>
        <w:t xml:space="preserve">. </w:t>
      </w:r>
    </w:p>
    <w:p w14:paraId="1C3D46CA" w14:textId="77777777" w:rsidR="006A0E1C" w:rsidRPr="00D13792" w:rsidRDefault="006A0E1C" w:rsidP="006A0E1C">
      <w:pPr>
        <w:widowControl/>
        <w:autoSpaceDE w:val="0"/>
        <w:autoSpaceDN w:val="0"/>
        <w:spacing w:line="240" w:lineRule="auto"/>
        <w:textAlignment w:val="auto"/>
        <w:rPr>
          <w:rFonts w:eastAsia="Batang"/>
          <w:sz w:val="20"/>
          <w:szCs w:val="20"/>
          <w:lang w:eastAsia="es-MX"/>
        </w:rPr>
      </w:pPr>
    </w:p>
    <w:p w14:paraId="75D16E59" w14:textId="77777777" w:rsidR="006A0E1C" w:rsidRPr="00D13792" w:rsidRDefault="006A0E1C" w:rsidP="006A0E1C">
      <w:pPr>
        <w:pStyle w:val="Prrafodelista2"/>
        <w:numPr>
          <w:ilvl w:val="0"/>
          <w:numId w:val="23"/>
        </w:numPr>
        <w:tabs>
          <w:tab w:val="left" w:pos="720"/>
        </w:tabs>
        <w:ind w:right="-90"/>
        <w:jc w:val="both"/>
        <w:rPr>
          <w:rFonts w:eastAsia="Batang" w:cs="Calibri"/>
          <w:lang w:val="es-CR" w:eastAsia="es-MX"/>
        </w:rPr>
      </w:pPr>
      <w:r w:rsidRPr="00D13792">
        <w:rPr>
          <w:rFonts w:eastAsia="Batang"/>
          <w:lang w:val="es-CR" w:eastAsia="es-MX"/>
        </w:rPr>
        <w:t>La Corte constató que se desprende de algunas de las facturas remitidas por los representantes, que estas representan erogaciones realizadas con motivo del presente caso</w:t>
      </w:r>
      <w:r w:rsidRPr="00D13792">
        <w:rPr>
          <w:rFonts w:eastAsia="Batang"/>
          <w:vertAlign w:val="superscript"/>
          <w:lang w:val="es-CR" w:eastAsia="es-MX"/>
        </w:rPr>
        <w:footnoteReference w:id="383"/>
      </w:r>
      <w:r w:rsidRPr="00D13792">
        <w:rPr>
          <w:rFonts w:eastAsia="Batang"/>
          <w:lang w:val="es-CR" w:eastAsia="es-MX"/>
        </w:rPr>
        <w:t>. Dichas facturas ascienden a un monto de aproximadamente USD $2,422.00 (dos mil cuatrocientos veintidós dólares de los Estados Unidos de América). Sin embargo, otras facturas y pagos de honorarios no presentan un vínculo claro con el caso</w:t>
      </w:r>
      <w:r w:rsidRPr="00D13792">
        <w:rPr>
          <w:rFonts w:eastAsia="Batang"/>
          <w:vertAlign w:val="superscript"/>
          <w:lang w:val="es-CR" w:eastAsia="es-MX"/>
        </w:rPr>
        <w:footnoteReference w:id="384"/>
      </w:r>
      <w:r w:rsidRPr="00D13792">
        <w:rPr>
          <w:rFonts w:eastAsia="Batang"/>
          <w:lang w:val="es-CR" w:eastAsia="es-MX"/>
        </w:rPr>
        <w:t xml:space="preserve">. Igualmente, el Tribunal nota que los representantes no presentaron información respecto de los gastos incurridos con motivo de la audiencia pública celebrada en la sede del Tribunal. No obstante, la Corte considera evidente que dicha representación generó, al menos, costos de transporte, alojamiento y alimentación. Por otra parte, la Corte considera que </w:t>
      </w:r>
      <w:r w:rsidRPr="00D13792">
        <w:rPr>
          <w:rFonts w:eastAsia="Calibri" w:cs="Calibri"/>
          <w:lang w:val="es-CR" w:eastAsia="es-MX"/>
        </w:rPr>
        <w:t>el informe actuarial elaborado por el señor</w:t>
      </w:r>
      <w:r w:rsidRPr="00D13792">
        <w:rPr>
          <w:rFonts w:eastAsia="Batang" w:cs="Calibri"/>
          <w:lang w:val="es-CR" w:eastAsia="es-MX"/>
        </w:rPr>
        <w:t xml:space="preserve"> Roberto A. Molina Cruz (</w:t>
      </w:r>
      <w:r w:rsidRPr="00D13792">
        <w:rPr>
          <w:rFonts w:eastAsia="Batang" w:cs="Calibri"/>
          <w:i/>
          <w:lang w:val="es-CR" w:eastAsia="es-MX"/>
        </w:rPr>
        <w:t xml:space="preserve">supra </w:t>
      </w:r>
      <w:r w:rsidRPr="00D13792">
        <w:rPr>
          <w:rFonts w:eastAsia="Batang" w:cs="Calibri"/>
          <w:lang w:val="es-CR" w:eastAsia="es-MX"/>
        </w:rPr>
        <w:t>párr. 332) carece de información y respaldo probatorio que permita al Tribunal comprender con base en qué se establecieron los montos de costas y gastos en las que habrían incurrido los representantes y en las que pudieran incurrir en el trámite de supervisión de cumplimiento de sentencia.</w:t>
      </w:r>
    </w:p>
    <w:p w14:paraId="7E834AA8" w14:textId="77777777" w:rsidR="006A0E1C" w:rsidRPr="00D13792" w:rsidRDefault="006A0E1C" w:rsidP="006A0E1C">
      <w:pPr>
        <w:widowControl/>
        <w:autoSpaceDE w:val="0"/>
        <w:autoSpaceDN w:val="0"/>
        <w:spacing w:line="240" w:lineRule="auto"/>
        <w:ind w:left="-709"/>
        <w:textAlignment w:val="auto"/>
        <w:rPr>
          <w:rFonts w:eastAsia="Calibri" w:cs="Calibri"/>
          <w:sz w:val="20"/>
          <w:szCs w:val="20"/>
          <w:lang w:eastAsia="en-US"/>
        </w:rPr>
      </w:pPr>
    </w:p>
    <w:p w14:paraId="0DD418D4"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cs="Verdana-Italic"/>
          <w:spacing w:val="-2"/>
          <w:lang w:val="es-CR"/>
        </w:rPr>
        <w:t xml:space="preserve">Teniendo en cuenta todo lo anterior, la Corte fija, en equidad, la cantidad de USD $50,000 (cincuenta mil dólares de los Estados Unidos de América) por los gastos incurridos en la tramitación del proceso ante el sistema interamericano de derechos humanos. Dicho monto deberá ser entregado dentro del plazo de un año contado a partir de la notificación del presente Fallo, a </w:t>
      </w:r>
      <w:r w:rsidRPr="00D13792">
        <w:rPr>
          <w:rFonts w:eastAsia="Batang"/>
          <w:lang w:val="es-CR"/>
        </w:rPr>
        <w:t>la Asociación Bufete Jurídico Popular</w:t>
      </w:r>
      <w:r w:rsidRPr="00D13792">
        <w:rPr>
          <w:rFonts w:cs="Verdana-Italic"/>
          <w:spacing w:val="-2"/>
          <w:lang w:val="es-CR"/>
        </w:rPr>
        <w:t>. En la etapa de supervisión de cumplimiento de la presente Sentencia, la Corte podrá disponer el reembolso por parte del Estado a las víctimas o sus representantes de gastos posteriores, razonables y debidamente comproba</w:t>
      </w:r>
      <w:r w:rsidRPr="00D13792">
        <w:rPr>
          <w:bCs/>
          <w:lang w:val="es-CR"/>
        </w:rPr>
        <w:t>dos.</w:t>
      </w:r>
    </w:p>
    <w:p w14:paraId="1CC931FE" w14:textId="77777777" w:rsidR="006A0E1C" w:rsidRPr="00D13792" w:rsidRDefault="006A0E1C" w:rsidP="006A0E1C">
      <w:pPr>
        <w:pStyle w:val="Heading2"/>
        <w:rPr>
          <w:rFonts w:eastAsia="Batang"/>
          <w:spacing w:val="0"/>
          <w:lang w:val="es-CR"/>
        </w:rPr>
      </w:pPr>
    </w:p>
    <w:p w14:paraId="6D8FA0DB" w14:textId="77777777" w:rsidR="006A0E1C" w:rsidRPr="00D13792" w:rsidRDefault="006A0E1C" w:rsidP="006A0E1C">
      <w:pPr>
        <w:pStyle w:val="Heading2"/>
        <w:rPr>
          <w:rFonts w:eastAsia="MS Mincho"/>
          <w:lang w:val="es-CR"/>
        </w:rPr>
      </w:pPr>
      <w:bookmarkStart w:id="284" w:name="_Toc469670079"/>
      <w:r w:rsidRPr="00D13792">
        <w:rPr>
          <w:rFonts w:eastAsia="MS Mincho"/>
          <w:lang w:val="es-CR"/>
        </w:rPr>
        <w:t xml:space="preserve">G. </w:t>
      </w:r>
      <w:bookmarkStart w:id="285" w:name="_Toc337405903"/>
      <w:bookmarkStart w:id="286" w:name="_Toc455631242"/>
      <w:r w:rsidRPr="00D13792">
        <w:rPr>
          <w:rFonts w:eastAsia="MS Mincho"/>
          <w:lang w:val="es-CR"/>
        </w:rPr>
        <w:t>Modalidad de cumplimiento de los pagos ordenados</w:t>
      </w:r>
      <w:bookmarkEnd w:id="284"/>
      <w:bookmarkEnd w:id="285"/>
      <w:bookmarkEnd w:id="286"/>
    </w:p>
    <w:p w14:paraId="3A1AEB9E" w14:textId="77777777" w:rsidR="006A0E1C" w:rsidRPr="00D13792" w:rsidRDefault="006A0E1C" w:rsidP="006A0E1C">
      <w:pPr>
        <w:tabs>
          <w:tab w:val="left" w:pos="720"/>
          <w:tab w:val="left" w:pos="1440"/>
          <w:tab w:val="left" w:pos="2160"/>
          <w:tab w:val="left" w:pos="2880"/>
          <w:tab w:val="left" w:pos="3600"/>
          <w:tab w:val="left" w:pos="4320"/>
          <w:tab w:val="left" w:pos="5760"/>
          <w:tab w:val="left" w:pos="6480"/>
          <w:tab w:val="left" w:pos="7200"/>
          <w:tab w:val="left" w:pos="7920"/>
        </w:tabs>
        <w:adjustRightInd/>
        <w:spacing w:line="240" w:lineRule="auto"/>
        <w:ind w:right="-138"/>
        <w:textAlignment w:val="auto"/>
        <w:rPr>
          <w:rFonts w:eastAsia="Batang" w:cs="Times"/>
          <w:sz w:val="16"/>
          <w:szCs w:val="20"/>
          <w:lang w:eastAsia="en-US"/>
        </w:rPr>
      </w:pPr>
    </w:p>
    <w:p w14:paraId="35CDE231"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lang w:val="es-CR"/>
        </w:rPr>
        <w:lastRenderedPageBreak/>
        <w:t xml:space="preserve">El </w:t>
      </w:r>
      <w:r w:rsidRPr="00D13792">
        <w:rPr>
          <w:rFonts w:eastAsia="Batang" w:cs="Times"/>
          <w:lang w:val="es-CR"/>
        </w:rPr>
        <w:t xml:space="preserve">pago de las indemnizaciones por daño material e inmaterial establecidas en la presente Sentencia será entregado directamente a las personas indicadas en la misma, en un </w:t>
      </w:r>
      <w:r w:rsidRPr="00D13792">
        <w:rPr>
          <w:lang w:val="es-CR"/>
        </w:rPr>
        <w:t>plazo</w:t>
      </w:r>
      <w:r w:rsidRPr="00D13792">
        <w:rPr>
          <w:rFonts w:eastAsia="Batang" w:cs="Times"/>
          <w:lang w:val="es-CR"/>
        </w:rPr>
        <w:t xml:space="preserve"> de dos años contado a partir de la notificación de la presente Sentencia. El cincuenta por ciento </w:t>
      </w:r>
      <w:r w:rsidRPr="00D13792">
        <w:rPr>
          <w:rFonts w:eastAsia="Calibri"/>
          <w:lang w:val="es-CR"/>
        </w:rPr>
        <w:t>del</w:t>
      </w:r>
      <w:r w:rsidRPr="00D13792">
        <w:rPr>
          <w:rFonts w:eastAsia="Batang" w:cs="Times"/>
          <w:lang w:val="es-CR"/>
        </w:rPr>
        <w:t xml:space="preserve"> pago deberá ser entregado durante el transcurso del primer año a cada víctima, mientras que el monto restante podrá ser entregado durante el segundo año, considerando lo indicado en el </w:t>
      </w:r>
      <w:r w:rsidRPr="00D13792">
        <w:rPr>
          <w:rFonts w:eastAsia="Batang"/>
          <w:lang w:val="es-CR"/>
        </w:rPr>
        <w:t xml:space="preserve">párrafo 327 </w:t>
      </w:r>
      <w:r w:rsidRPr="00D13792">
        <w:rPr>
          <w:rFonts w:eastAsia="Batang" w:cs="Times"/>
          <w:lang w:val="es-CR"/>
        </w:rPr>
        <w:t xml:space="preserve">de este Fallo. En caso de fallecimiento de las víctimas con anterioridad al pago de las cantidades respectivas, así como en el caso de las víctimas desaparecidas, los montos se entregarán a sus beneficiarios, conforme a lo establecido en los </w:t>
      </w:r>
      <w:r w:rsidRPr="00D13792">
        <w:rPr>
          <w:rFonts w:eastAsia="Batang"/>
          <w:lang w:val="es-CR"/>
        </w:rPr>
        <w:t>párrafos 327 y 328 de</w:t>
      </w:r>
      <w:r w:rsidRPr="00D13792">
        <w:rPr>
          <w:rFonts w:eastAsia="Batang" w:cs="Times"/>
          <w:lang w:val="es-CR"/>
        </w:rPr>
        <w:t xml:space="preserve"> esta Sentencia. </w:t>
      </w:r>
    </w:p>
    <w:p w14:paraId="366B4AD1" w14:textId="77777777" w:rsidR="006A0E1C" w:rsidRPr="00D13792" w:rsidRDefault="006A0E1C" w:rsidP="006A0E1C">
      <w:pPr>
        <w:widowControl/>
        <w:adjustRightInd/>
        <w:spacing w:line="240" w:lineRule="auto"/>
        <w:ind w:right="-138"/>
        <w:contextualSpacing/>
        <w:textAlignment w:val="auto"/>
        <w:rPr>
          <w:rFonts w:eastAsia="Calibri"/>
          <w:sz w:val="20"/>
          <w:szCs w:val="20"/>
          <w:lang w:eastAsia="en-US"/>
        </w:rPr>
      </w:pPr>
    </w:p>
    <w:p w14:paraId="4D2205AC"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 xml:space="preserve">El reintegro de costas y gastos establecido en la presente Sentencia será hecho directamente a las personas indicadas en la </w:t>
      </w:r>
      <w:r w:rsidRPr="00D13792">
        <w:rPr>
          <w:rFonts w:eastAsia="Batang" w:cs="Verdana"/>
          <w:lang w:val="es-CR"/>
        </w:rPr>
        <w:t>misma</w:t>
      </w:r>
      <w:r w:rsidRPr="00D13792">
        <w:rPr>
          <w:rFonts w:eastAsia="Batang" w:cs="Times"/>
          <w:lang w:val="es-CR"/>
        </w:rPr>
        <w:t xml:space="preserve">, en el plazo de un año, contado a partir de la notificación de la </w:t>
      </w:r>
      <w:r w:rsidRPr="00D13792">
        <w:rPr>
          <w:rFonts w:eastAsia="Calibri"/>
          <w:lang w:val="es-CR"/>
        </w:rPr>
        <w:t>presente</w:t>
      </w:r>
      <w:r w:rsidRPr="00D13792">
        <w:rPr>
          <w:rFonts w:eastAsia="Batang" w:cs="Times"/>
          <w:lang w:val="es-CR"/>
        </w:rPr>
        <w:t xml:space="preserve"> Sentencia, considerando lo indicado en el </w:t>
      </w:r>
      <w:r w:rsidRPr="00D13792">
        <w:rPr>
          <w:rFonts w:eastAsia="Batang"/>
          <w:lang w:val="es-CR"/>
        </w:rPr>
        <w:t>párrafo 334</w:t>
      </w:r>
      <w:r w:rsidRPr="00D13792">
        <w:rPr>
          <w:rFonts w:eastAsia="Batang" w:cs="Times"/>
          <w:lang w:val="es-CR"/>
        </w:rPr>
        <w:t xml:space="preserve"> de la misma. </w:t>
      </w:r>
    </w:p>
    <w:p w14:paraId="2D4077D8" w14:textId="77777777" w:rsidR="006A0E1C" w:rsidRPr="00D13792" w:rsidRDefault="006A0E1C" w:rsidP="006A0E1C">
      <w:pPr>
        <w:widowControl/>
        <w:adjustRightInd/>
        <w:spacing w:line="240" w:lineRule="auto"/>
        <w:ind w:right="-138"/>
        <w:contextualSpacing/>
        <w:textAlignment w:val="auto"/>
        <w:rPr>
          <w:rFonts w:eastAsia="Calibri"/>
          <w:sz w:val="20"/>
          <w:szCs w:val="20"/>
          <w:lang w:eastAsia="en-US"/>
        </w:rPr>
      </w:pPr>
    </w:p>
    <w:p w14:paraId="1D426393" w14:textId="77777777" w:rsidR="006A0E1C" w:rsidRPr="00D13792" w:rsidRDefault="006A0E1C" w:rsidP="006A0E1C">
      <w:pPr>
        <w:pStyle w:val="Prrafodelista2"/>
        <w:numPr>
          <w:ilvl w:val="0"/>
          <w:numId w:val="23"/>
        </w:numPr>
        <w:tabs>
          <w:tab w:val="left" w:pos="720"/>
        </w:tabs>
        <w:ind w:right="-90"/>
        <w:jc w:val="both"/>
        <w:rPr>
          <w:rFonts w:eastAsia="Batang" w:cs="Times"/>
          <w:lang w:val="es-CR"/>
        </w:rPr>
      </w:pPr>
      <w:r w:rsidRPr="00D13792">
        <w:rPr>
          <w:rFonts w:eastAsia="Batang" w:cs="Times"/>
          <w:lang w:val="es-CR"/>
        </w:rPr>
        <w:t xml:space="preserve">El Estado deberá cumplir con las obligaciones monetarias mediante el pago en dólares de los Estados Unidos </w:t>
      </w:r>
      <w:r w:rsidRPr="00D13792">
        <w:rPr>
          <w:rFonts w:eastAsia="Calibri"/>
          <w:lang w:val="es-CR"/>
        </w:rPr>
        <w:t>de</w:t>
      </w:r>
      <w:r w:rsidRPr="00D13792">
        <w:rPr>
          <w:rFonts w:eastAsia="Batang" w:cs="Times"/>
          <w:lang w:val="es-CR"/>
        </w:rPr>
        <w:t xml:space="preserve"> América o su equivalente en moneda nacional, utilizando para el cálculo respectivo el tipo de cambio que se encuentre vigente en la bolsa de Nueva York, Estados Unidos de América, el día anterior al pago.</w:t>
      </w:r>
    </w:p>
    <w:p w14:paraId="16F2CA88" w14:textId="77777777" w:rsidR="006A0E1C" w:rsidRPr="00D13792" w:rsidRDefault="006A0E1C" w:rsidP="006A0E1C">
      <w:pPr>
        <w:widowControl/>
        <w:adjustRightInd/>
        <w:spacing w:line="240" w:lineRule="auto"/>
        <w:ind w:right="-138"/>
        <w:textAlignment w:val="auto"/>
        <w:rPr>
          <w:rFonts w:eastAsia="Batang" w:cs="Verdana"/>
          <w:sz w:val="20"/>
          <w:szCs w:val="20"/>
          <w:lang w:eastAsia="en-US"/>
        </w:rPr>
      </w:pPr>
    </w:p>
    <w:p w14:paraId="7B508BDC" w14:textId="77777777" w:rsidR="006A0E1C" w:rsidRPr="00D13792" w:rsidRDefault="006A0E1C" w:rsidP="006A0E1C">
      <w:pPr>
        <w:pStyle w:val="Prrafodelista2"/>
        <w:numPr>
          <w:ilvl w:val="0"/>
          <w:numId w:val="23"/>
        </w:numPr>
        <w:tabs>
          <w:tab w:val="left" w:pos="720"/>
        </w:tabs>
        <w:ind w:right="-90"/>
        <w:jc w:val="both"/>
        <w:rPr>
          <w:rFonts w:eastAsia="Batang"/>
          <w:lang w:val="es-CR"/>
        </w:rPr>
      </w:pPr>
      <w:r w:rsidRPr="00D13792">
        <w:rPr>
          <w:rFonts w:eastAsia="Batang" w:cs="Verdana"/>
          <w:lang w:val="es-CR"/>
        </w:rPr>
        <w:t xml:space="preserve">Si por causas atribuibles a los beneficiarios de las indemnizaciones o a sus derechohabientes no </w:t>
      </w:r>
      <w:r w:rsidRPr="00D13792">
        <w:rPr>
          <w:rFonts w:eastAsia="Batang" w:cs="Times"/>
          <w:lang w:val="es-CR"/>
        </w:rPr>
        <w:t>fuese</w:t>
      </w:r>
      <w:r w:rsidRPr="00D13792">
        <w:rPr>
          <w:rFonts w:eastAsia="Batang" w:cs="Verdana"/>
          <w:lang w:val="es-CR"/>
        </w:rPr>
        <w:t xml:space="preserve"> posible el pago de las cantidades determinadas dentro de los plazos indicados, el Estado consignará dicho monto a su favor en una cuenta o </w:t>
      </w:r>
      <w:r w:rsidRPr="00D13792">
        <w:rPr>
          <w:rFonts w:eastAsia="Batang" w:cs="Times"/>
          <w:lang w:val="es-CR"/>
        </w:rPr>
        <w:t>certificado</w:t>
      </w:r>
      <w:r w:rsidRPr="00D13792">
        <w:rPr>
          <w:rFonts w:eastAsia="Batang" w:cs="Verdana"/>
          <w:lang w:val="es-CR"/>
        </w:rPr>
        <w:t xml:space="preserve"> de depósito en una </w:t>
      </w:r>
      <w:r w:rsidRPr="00D13792">
        <w:rPr>
          <w:rFonts w:eastAsia="Batang" w:cs="Times"/>
          <w:lang w:val="es-CR"/>
        </w:rPr>
        <w:t>institución</w:t>
      </w:r>
      <w:r w:rsidRPr="00D13792">
        <w:rPr>
          <w:rFonts w:eastAsia="Batang" w:cs="Verdana"/>
          <w:lang w:val="es-CR"/>
        </w:rPr>
        <w:t xml:space="preserve"> financiera guatemalteca solvente, en dólares estadounidenses, y en las condiciones financieras más favorables que permitan la </w:t>
      </w:r>
      <w:r w:rsidRPr="00D13792">
        <w:rPr>
          <w:lang w:val="es-CR"/>
        </w:rPr>
        <w:t>legislación</w:t>
      </w:r>
      <w:r w:rsidRPr="00D13792">
        <w:rPr>
          <w:rFonts w:eastAsia="Batang" w:cs="Verdana"/>
          <w:lang w:val="es-CR"/>
        </w:rPr>
        <w:t xml:space="preserve"> y la </w:t>
      </w:r>
      <w:r w:rsidRPr="00D13792">
        <w:rPr>
          <w:rFonts w:eastAsia="Calibri"/>
          <w:lang w:val="es-CR"/>
        </w:rPr>
        <w:t>práctica</w:t>
      </w:r>
      <w:r w:rsidRPr="00D13792">
        <w:rPr>
          <w:rFonts w:eastAsia="Batang" w:cs="Verdana"/>
          <w:lang w:val="es-CR"/>
        </w:rPr>
        <w:t xml:space="preserve"> bancaria. Si al cabo de diez años el monto asignado no ha sido reclamado, las cantidades serán devueltas al Estado con los intereses devengados. </w:t>
      </w:r>
    </w:p>
    <w:p w14:paraId="5C126990" w14:textId="77777777" w:rsidR="006A0E1C" w:rsidRPr="00D13792" w:rsidRDefault="006A0E1C" w:rsidP="006A0E1C">
      <w:pPr>
        <w:widowControl/>
        <w:adjustRightInd/>
        <w:spacing w:line="240" w:lineRule="auto"/>
        <w:ind w:right="-138"/>
        <w:textAlignment w:val="auto"/>
        <w:rPr>
          <w:rFonts w:cs="Verdana"/>
          <w:sz w:val="20"/>
          <w:szCs w:val="20"/>
          <w:lang w:eastAsia="en-US" w:bidi="en-US"/>
        </w:rPr>
      </w:pPr>
    </w:p>
    <w:p w14:paraId="49688FDB" w14:textId="77777777" w:rsidR="006A0E1C" w:rsidRPr="00D13792" w:rsidRDefault="006A0E1C" w:rsidP="006A0E1C">
      <w:pPr>
        <w:pStyle w:val="Prrafodelista2"/>
        <w:numPr>
          <w:ilvl w:val="0"/>
          <w:numId w:val="23"/>
        </w:numPr>
        <w:tabs>
          <w:tab w:val="left" w:pos="720"/>
        </w:tabs>
        <w:ind w:right="-90"/>
        <w:jc w:val="both"/>
        <w:rPr>
          <w:lang w:val="es-CR"/>
        </w:rPr>
      </w:pPr>
      <w:r w:rsidRPr="00D13792">
        <w:rPr>
          <w:rFonts w:cs="Verdana"/>
          <w:lang w:val="es-CR"/>
        </w:rPr>
        <w:t xml:space="preserve">Las </w:t>
      </w:r>
      <w:r w:rsidRPr="00D13792">
        <w:rPr>
          <w:rFonts w:eastAsia="Batang" w:cs="Verdana"/>
          <w:lang w:val="es-CR"/>
        </w:rPr>
        <w:t>cantidades</w:t>
      </w:r>
      <w:r w:rsidRPr="00D13792">
        <w:rPr>
          <w:rFonts w:cs="Verdana"/>
          <w:lang w:val="es-CR"/>
        </w:rPr>
        <w:t xml:space="preserve"> </w:t>
      </w:r>
      <w:r w:rsidRPr="00D13792">
        <w:rPr>
          <w:rFonts w:eastAsia="Batang" w:cs="Verdana"/>
          <w:lang w:val="es-CR"/>
        </w:rPr>
        <w:t>asignadas</w:t>
      </w:r>
      <w:r w:rsidRPr="00D13792">
        <w:rPr>
          <w:rFonts w:cs="Verdana"/>
          <w:lang w:val="es-CR"/>
        </w:rPr>
        <w:t xml:space="preserve"> en la presente Sentencia bajo los conceptos de daño material e </w:t>
      </w:r>
      <w:r w:rsidRPr="00D13792">
        <w:rPr>
          <w:lang w:val="es-CR"/>
        </w:rPr>
        <w:t>inmaterial</w:t>
      </w:r>
      <w:r w:rsidRPr="00D13792">
        <w:rPr>
          <w:rFonts w:cs="Verdana"/>
          <w:lang w:val="es-CR"/>
        </w:rPr>
        <w:t xml:space="preserve"> y reintegro de costas y gastos deberán ser entregadas a los beneficiarios en forma </w:t>
      </w:r>
      <w:r w:rsidRPr="00D13792">
        <w:rPr>
          <w:rFonts w:eastAsia="Calibri"/>
          <w:lang w:val="es-CR"/>
        </w:rPr>
        <w:t>íntegra</w:t>
      </w:r>
      <w:r w:rsidRPr="00D13792">
        <w:rPr>
          <w:rFonts w:cs="Verdana"/>
          <w:lang w:val="es-CR"/>
        </w:rPr>
        <w:t xml:space="preserve">, </w:t>
      </w:r>
      <w:r w:rsidRPr="00D13792">
        <w:rPr>
          <w:rFonts w:eastAsia="Batang" w:cs="Times"/>
          <w:lang w:val="es-CR"/>
        </w:rPr>
        <w:t>conforme</w:t>
      </w:r>
      <w:r w:rsidRPr="00D13792">
        <w:rPr>
          <w:rFonts w:cs="Verdana"/>
          <w:lang w:val="es-CR"/>
        </w:rPr>
        <w:t xml:space="preserve"> a lo establecido en esta Sentencia, sin reducciones derivadas de eventuales cargas fiscales.</w:t>
      </w:r>
    </w:p>
    <w:p w14:paraId="4B639688" w14:textId="77777777" w:rsidR="006A0E1C" w:rsidRPr="00D13792" w:rsidRDefault="006A0E1C" w:rsidP="006A0E1C">
      <w:pPr>
        <w:widowControl/>
        <w:adjustRightInd/>
        <w:spacing w:line="240" w:lineRule="auto"/>
        <w:ind w:right="-138"/>
        <w:textAlignment w:val="auto"/>
        <w:rPr>
          <w:rFonts w:eastAsia="Batang" w:cs="Verdana"/>
          <w:sz w:val="20"/>
          <w:szCs w:val="20"/>
          <w:lang w:eastAsia="en-US"/>
        </w:rPr>
      </w:pPr>
    </w:p>
    <w:p w14:paraId="4692AE4E" w14:textId="77777777" w:rsidR="006A0E1C" w:rsidRPr="00D13792" w:rsidRDefault="006A0E1C" w:rsidP="006A0E1C">
      <w:pPr>
        <w:pStyle w:val="Prrafodelista2"/>
        <w:numPr>
          <w:ilvl w:val="0"/>
          <w:numId w:val="23"/>
        </w:numPr>
        <w:tabs>
          <w:tab w:val="left" w:pos="720"/>
        </w:tabs>
        <w:ind w:right="-90"/>
        <w:jc w:val="both"/>
        <w:rPr>
          <w:rFonts w:eastAsia="Batang"/>
          <w:lang w:val="es-CR"/>
        </w:rPr>
      </w:pPr>
      <w:r w:rsidRPr="00D13792">
        <w:rPr>
          <w:rFonts w:eastAsia="Batang" w:cs="Verdana"/>
          <w:lang w:val="es-CR"/>
        </w:rPr>
        <w:t xml:space="preserve">En caso de que el Estado incurriera en mora, deberá pagar un interés sobre la cantidad adeudada correspondiente al interés bancario moratorio en Guatemala. Los intereses </w:t>
      </w:r>
      <w:r w:rsidRPr="00D13792">
        <w:rPr>
          <w:lang w:val="es-CR"/>
        </w:rPr>
        <w:t>moratorios</w:t>
      </w:r>
      <w:r w:rsidRPr="00D13792">
        <w:rPr>
          <w:rFonts w:eastAsia="Batang" w:cs="Verdana"/>
          <w:lang w:val="es-CR"/>
        </w:rPr>
        <w:t xml:space="preserve"> </w:t>
      </w:r>
      <w:r w:rsidRPr="00D13792">
        <w:rPr>
          <w:rFonts w:eastAsia="Batang" w:cs="Times"/>
          <w:lang w:val="es-CR"/>
        </w:rPr>
        <w:t>empezarán</w:t>
      </w:r>
      <w:r w:rsidRPr="00D13792">
        <w:rPr>
          <w:rFonts w:eastAsia="Batang" w:cs="Verdana"/>
          <w:lang w:val="es-CR"/>
        </w:rPr>
        <w:t xml:space="preserve"> a computarse luego del plazo de dos años a partir de la notificación de la presente </w:t>
      </w:r>
      <w:r w:rsidRPr="00D13792">
        <w:rPr>
          <w:rFonts w:eastAsia="Calibri"/>
          <w:lang w:val="es-CR"/>
        </w:rPr>
        <w:t>Sentencia</w:t>
      </w:r>
      <w:r w:rsidRPr="00D13792">
        <w:rPr>
          <w:rFonts w:eastAsia="Batang" w:cs="Verdana"/>
          <w:lang w:val="es-CR"/>
        </w:rPr>
        <w:t xml:space="preserve">. </w:t>
      </w:r>
    </w:p>
    <w:p w14:paraId="0435CA72" w14:textId="77777777" w:rsidR="006A0E1C" w:rsidRPr="00D13792" w:rsidRDefault="006A0E1C" w:rsidP="006A0E1C">
      <w:pPr>
        <w:tabs>
          <w:tab w:val="left" w:pos="567"/>
        </w:tabs>
        <w:spacing w:line="240" w:lineRule="auto"/>
        <w:ind w:right="4"/>
        <w:rPr>
          <w:sz w:val="16"/>
        </w:rPr>
      </w:pPr>
    </w:p>
    <w:p w14:paraId="1EA41E4E" w14:textId="77777777" w:rsidR="006A0E1C" w:rsidRPr="00D13792" w:rsidRDefault="006A0E1C" w:rsidP="006A0E1C">
      <w:pPr>
        <w:pStyle w:val="Heading1"/>
        <w:spacing w:afterLines="40" w:after="96"/>
        <w:rPr>
          <w:lang w:val="es-CR"/>
        </w:rPr>
      </w:pPr>
      <w:bookmarkStart w:id="287" w:name="_Toc468443337"/>
      <w:bookmarkStart w:id="288" w:name="_Toc469670080"/>
      <w:r w:rsidRPr="00D13792">
        <w:rPr>
          <w:lang w:val="es-CR"/>
        </w:rPr>
        <w:t>X</w:t>
      </w:r>
      <w:bookmarkEnd w:id="287"/>
      <w:bookmarkEnd w:id="288"/>
    </w:p>
    <w:p w14:paraId="192B543B" w14:textId="77777777" w:rsidR="006A0E1C" w:rsidRPr="00D13792" w:rsidRDefault="006A0E1C" w:rsidP="006A0E1C">
      <w:pPr>
        <w:pStyle w:val="Heading1"/>
        <w:spacing w:afterLines="40" w:after="96"/>
        <w:rPr>
          <w:lang w:val="es-CR"/>
        </w:rPr>
      </w:pPr>
      <w:bookmarkStart w:id="289" w:name="_Toc468443338"/>
      <w:bookmarkStart w:id="290" w:name="_Toc469670081"/>
      <w:r w:rsidRPr="00D13792">
        <w:rPr>
          <w:lang w:val="es-CR"/>
        </w:rPr>
        <w:t>PUNTOS RESOLUTIVOS</w:t>
      </w:r>
      <w:bookmarkEnd w:id="289"/>
      <w:bookmarkEnd w:id="290"/>
    </w:p>
    <w:p w14:paraId="2E4B1042" w14:textId="77777777" w:rsidR="006A0E1C" w:rsidRPr="00D13792" w:rsidRDefault="006A0E1C" w:rsidP="006A0E1C">
      <w:pPr>
        <w:widowControl/>
        <w:adjustRightInd/>
        <w:spacing w:afterLines="40" w:after="96" w:line="240" w:lineRule="auto"/>
        <w:textAlignment w:val="auto"/>
        <w:rPr>
          <w:rFonts w:eastAsia="Batang" w:cs="Times"/>
          <w:sz w:val="20"/>
          <w:szCs w:val="20"/>
          <w:lang w:eastAsia="en-US"/>
        </w:rPr>
      </w:pPr>
    </w:p>
    <w:p w14:paraId="10BB8FFE" w14:textId="77777777" w:rsidR="006A0E1C" w:rsidRPr="00D13792" w:rsidRDefault="006A0E1C" w:rsidP="006A0E1C">
      <w:pPr>
        <w:pStyle w:val="Prrafodelista2"/>
        <w:numPr>
          <w:ilvl w:val="0"/>
          <w:numId w:val="23"/>
        </w:numPr>
        <w:tabs>
          <w:tab w:val="left" w:pos="720"/>
        </w:tabs>
        <w:spacing w:afterLines="40" w:after="96"/>
        <w:ind w:right="-90"/>
        <w:jc w:val="both"/>
        <w:rPr>
          <w:spacing w:val="-2"/>
          <w:lang w:val="es-CR"/>
        </w:rPr>
      </w:pPr>
      <w:r w:rsidRPr="00D13792">
        <w:rPr>
          <w:spacing w:val="-2"/>
          <w:lang w:val="es-CR"/>
        </w:rPr>
        <w:t xml:space="preserve">Por </w:t>
      </w:r>
      <w:r w:rsidRPr="00D13792">
        <w:rPr>
          <w:rFonts w:eastAsia="Batang" w:cs="Verdana"/>
          <w:lang w:val="es-CR"/>
        </w:rPr>
        <w:t>tanto</w:t>
      </w:r>
      <w:r w:rsidRPr="00D13792">
        <w:rPr>
          <w:spacing w:val="-2"/>
          <w:lang w:val="es-CR"/>
        </w:rPr>
        <w:t xml:space="preserve">, </w:t>
      </w:r>
    </w:p>
    <w:p w14:paraId="068FB8DA" w14:textId="77777777" w:rsidR="006A0E1C" w:rsidRPr="00D13792" w:rsidRDefault="006A0E1C" w:rsidP="006A0E1C">
      <w:pPr>
        <w:pStyle w:val="Default"/>
        <w:spacing w:afterLines="40" w:after="96"/>
        <w:jc w:val="both"/>
        <w:rPr>
          <w:color w:val="auto"/>
          <w:spacing w:val="-2"/>
          <w:sz w:val="20"/>
          <w:szCs w:val="20"/>
        </w:rPr>
      </w:pPr>
    </w:p>
    <w:p w14:paraId="52B331CD" w14:textId="77777777" w:rsidR="006A0E1C" w:rsidRPr="00D13792" w:rsidRDefault="006A0E1C" w:rsidP="006A0E1C">
      <w:pPr>
        <w:pStyle w:val="Default"/>
        <w:spacing w:afterLines="40" w:after="96"/>
        <w:jc w:val="both"/>
        <w:rPr>
          <w:color w:val="auto"/>
          <w:spacing w:val="-2"/>
          <w:sz w:val="20"/>
          <w:szCs w:val="20"/>
        </w:rPr>
      </w:pPr>
      <w:r w:rsidRPr="00D13792">
        <w:rPr>
          <w:b/>
          <w:bCs/>
          <w:color w:val="auto"/>
          <w:spacing w:val="-2"/>
          <w:sz w:val="20"/>
          <w:szCs w:val="20"/>
        </w:rPr>
        <w:t xml:space="preserve">LA CORTE </w:t>
      </w:r>
    </w:p>
    <w:p w14:paraId="3F8A5E90" w14:textId="77777777" w:rsidR="006A0E1C" w:rsidRPr="00D13792" w:rsidRDefault="006A0E1C" w:rsidP="006A0E1C">
      <w:pPr>
        <w:pStyle w:val="Default"/>
        <w:spacing w:afterLines="40" w:after="96"/>
        <w:jc w:val="both"/>
        <w:rPr>
          <w:b/>
          <w:bCs/>
          <w:color w:val="auto"/>
          <w:spacing w:val="-2"/>
          <w:sz w:val="20"/>
          <w:szCs w:val="20"/>
        </w:rPr>
      </w:pPr>
    </w:p>
    <w:p w14:paraId="3A5A9307" w14:textId="77777777" w:rsidR="006A0E1C" w:rsidRPr="00D13792" w:rsidRDefault="006A0E1C" w:rsidP="006A0E1C">
      <w:pPr>
        <w:pStyle w:val="Default"/>
        <w:spacing w:afterLines="40" w:after="96"/>
        <w:jc w:val="both"/>
        <w:rPr>
          <w:color w:val="auto"/>
          <w:spacing w:val="-2"/>
          <w:sz w:val="20"/>
          <w:szCs w:val="20"/>
        </w:rPr>
      </w:pPr>
      <w:r w:rsidRPr="00D13792">
        <w:rPr>
          <w:b/>
          <w:bCs/>
          <w:color w:val="auto"/>
          <w:spacing w:val="-2"/>
          <w:sz w:val="20"/>
          <w:szCs w:val="20"/>
        </w:rPr>
        <w:t xml:space="preserve">DECIDE, </w:t>
      </w:r>
    </w:p>
    <w:p w14:paraId="3FC74FC8" w14:textId="77777777" w:rsidR="006A0E1C" w:rsidRPr="00D13792" w:rsidRDefault="006A0E1C" w:rsidP="006A0E1C">
      <w:pPr>
        <w:pStyle w:val="Default"/>
        <w:spacing w:afterLines="40" w:after="96"/>
        <w:jc w:val="both"/>
        <w:rPr>
          <w:color w:val="auto"/>
          <w:spacing w:val="-2"/>
          <w:sz w:val="20"/>
          <w:szCs w:val="20"/>
        </w:rPr>
      </w:pPr>
    </w:p>
    <w:p w14:paraId="5C4C7622" w14:textId="77777777" w:rsidR="006A0E1C" w:rsidRPr="00D13792" w:rsidRDefault="006A0E1C" w:rsidP="006A0E1C">
      <w:pPr>
        <w:pStyle w:val="Default"/>
        <w:spacing w:afterLines="40" w:after="96"/>
        <w:jc w:val="both"/>
        <w:rPr>
          <w:color w:val="auto"/>
          <w:spacing w:val="-2"/>
          <w:sz w:val="20"/>
          <w:szCs w:val="20"/>
        </w:rPr>
      </w:pPr>
      <w:r w:rsidRPr="00D13792">
        <w:rPr>
          <w:color w:val="auto"/>
          <w:spacing w:val="-2"/>
          <w:sz w:val="20"/>
          <w:szCs w:val="20"/>
        </w:rPr>
        <w:t xml:space="preserve">Por unanimidad, </w:t>
      </w:r>
    </w:p>
    <w:p w14:paraId="7C5CE551" w14:textId="77777777" w:rsidR="006A0E1C" w:rsidRPr="00D13792" w:rsidRDefault="006A0E1C" w:rsidP="006A0E1C">
      <w:pPr>
        <w:pStyle w:val="Default"/>
        <w:spacing w:afterLines="40" w:after="96"/>
        <w:jc w:val="both"/>
        <w:rPr>
          <w:color w:val="auto"/>
          <w:spacing w:val="-2"/>
          <w:sz w:val="20"/>
          <w:szCs w:val="20"/>
        </w:rPr>
      </w:pPr>
    </w:p>
    <w:p w14:paraId="12D65501"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pacing w:val="-2"/>
          <w:sz w:val="20"/>
          <w:szCs w:val="20"/>
        </w:rPr>
        <w:t xml:space="preserve">Acoger parcialmente la excepción preliminar </w:t>
      </w:r>
      <w:r w:rsidRPr="00D13792">
        <w:rPr>
          <w:sz w:val="20"/>
          <w:szCs w:val="20"/>
        </w:rPr>
        <w:t xml:space="preserve">de falta de competencia </w:t>
      </w:r>
      <w:r w:rsidRPr="00D13792">
        <w:rPr>
          <w:i/>
          <w:sz w:val="20"/>
          <w:szCs w:val="20"/>
        </w:rPr>
        <w:t>ratione temporis</w:t>
      </w:r>
      <w:r w:rsidRPr="00D13792">
        <w:rPr>
          <w:sz w:val="20"/>
          <w:szCs w:val="20"/>
        </w:rPr>
        <w:t xml:space="preserve"> interpuesta por el Estado, en los términos de los párrafos 18 a 24 de esta Sentencia. </w:t>
      </w:r>
    </w:p>
    <w:p w14:paraId="4387D583" w14:textId="77777777" w:rsidR="006A0E1C" w:rsidRPr="00D13792" w:rsidRDefault="006A0E1C" w:rsidP="006A0E1C">
      <w:pPr>
        <w:tabs>
          <w:tab w:val="left" w:pos="567"/>
        </w:tabs>
        <w:spacing w:afterLines="40" w:after="96" w:line="240" w:lineRule="auto"/>
        <w:ind w:right="4"/>
        <w:rPr>
          <w:sz w:val="20"/>
          <w:szCs w:val="20"/>
        </w:rPr>
      </w:pPr>
    </w:p>
    <w:p w14:paraId="4D16EDBD"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rFonts w:eastAsia="Calibri"/>
          <w:sz w:val="20"/>
          <w:szCs w:val="20"/>
        </w:rPr>
        <w:t>Desestimar la</w:t>
      </w:r>
      <w:r w:rsidRPr="00D13792">
        <w:rPr>
          <w:rFonts w:eastAsia="Calibri"/>
          <w:b/>
          <w:sz w:val="20"/>
          <w:szCs w:val="20"/>
        </w:rPr>
        <w:t xml:space="preserve"> </w:t>
      </w:r>
      <w:r w:rsidRPr="00D13792">
        <w:rPr>
          <w:rFonts w:eastAsia="Calibri"/>
          <w:sz w:val="20"/>
          <w:szCs w:val="20"/>
        </w:rPr>
        <w:t>excepción preliminar</w:t>
      </w:r>
      <w:r w:rsidRPr="00D13792">
        <w:rPr>
          <w:rFonts w:eastAsia="Calibri"/>
          <w:b/>
          <w:sz w:val="20"/>
          <w:szCs w:val="20"/>
        </w:rPr>
        <w:t xml:space="preserve"> </w:t>
      </w:r>
      <w:r w:rsidRPr="00D13792">
        <w:rPr>
          <w:rFonts w:eastAsia="Calibri"/>
          <w:sz w:val="20"/>
          <w:szCs w:val="20"/>
        </w:rPr>
        <w:t xml:space="preserve">de falta de competencia de la Corte para conocer sobre alegadas violaciones de la </w:t>
      </w:r>
      <w:r w:rsidRPr="00D13792">
        <w:rPr>
          <w:sz w:val="20"/>
          <w:szCs w:val="20"/>
        </w:rPr>
        <w:t>Convención Interamericana sobre Desaparición Forzada de Personas, en los términos del párrafo 29 de esta Sentencia</w:t>
      </w:r>
      <w:r w:rsidRPr="00D13792">
        <w:rPr>
          <w:rFonts w:eastAsia="Calibri"/>
          <w:sz w:val="20"/>
          <w:szCs w:val="20"/>
        </w:rPr>
        <w:t>.</w:t>
      </w:r>
    </w:p>
    <w:p w14:paraId="03AB3BC3" w14:textId="77777777" w:rsidR="006A0E1C" w:rsidRPr="00D13792" w:rsidRDefault="006A0E1C" w:rsidP="006A0E1C">
      <w:pPr>
        <w:tabs>
          <w:tab w:val="left" w:pos="567"/>
        </w:tabs>
        <w:spacing w:afterLines="40" w:after="96" w:line="240" w:lineRule="auto"/>
        <w:ind w:right="4"/>
        <w:rPr>
          <w:sz w:val="20"/>
          <w:szCs w:val="20"/>
        </w:rPr>
      </w:pPr>
    </w:p>
    <w:p w14:paraId="5B2061FC"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rFonts w:eastAsia="Calibri"/>
          <w:sz w:val="20"/>
          <w:szCs w:val="20"/>
        </w:rPr>
        <w:t>Desestimar la excepción preliminar de falta de competencia de la Corte para conocer sobre el artículo 7 de la Convención Interamericana para Prevenir, Sancionar y Erradicar la Violencia contra la Mujer</w:t>
      </w:r>
      <w:r w:rsidRPr="00D13792">
        <w:rPr>
          <w:sz w:val="20"/>
          <w:szCs w:val="20"/>
        </w:rPr>
        <w:t>, en los términos del párrafo 30 de esta Sentencia</w:t>
      </w:r>
      <w:r w:rsidRPr="00D13792">
        <w:rPr>
          <w:rFonts w:eastAsia="Calibri"/>
          <w:sz w:val="20"/>
          <w:szCs w:val="20"/>
        </w:rPr>
        <w:t>.</w:t>
      </w:r>
    </w:p>
    <w:p w14:paraId="045BD897" w14:textId="77777777" w:rsidR="006A0E1C" w:rsidRPr="00D13792" w:rsidRDefault="006A0E1C" w:rsidP="006A0E1C">
      <w:pPr>
        <w:tabs>
          <w:tab w:val="left" w:pos="567"/>
        </w:tabs>
        <w:spacing w:afterLines="40" w:after="96" w:line="240" w:lineRule="auto"/>
        <w:ind w:right="4"/>
        <w:rPr>
          <w:sz w:val="20"/>
          <w:szCs w:val="20"/>
        </w:rPr>
      </w:pPr>
    </w:p>
    <w:p w14:paraId="5290DCBD"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rFonts w:eastAsia="Calibri"/>
          <w:sz w:val="20"/>
          <w:szCs w:val="20"/>
        </w:rPr>
        <w:t xml:space="preserve">Desestimar la excepción preliminar de falta de competencia de la Corte para declarar violaciones de </w:t>
      </w:r>
      <w:r w:rsidRPr="00D13792">
        <w:rPr>
          <w:sz w:val="20"/>
          <w:szCs w:val="20"/>
        </w:rPr>
        <w:t>la Convención para la Prevención y la Sanción del Delito de Genocidio, en los términos del párrafo 31 de esta Sentencia</w:t>
      </w:r>
      <w:r w:rsidRPr="00D13792">
        <w:rPr>
          <w:rFonts w:eastAsia="Calibri"/>
          <w:sz w:val="20"/>
          <w:szCs w:val="20"/>
        </w:rPr>
        <w:t>.</w:t>
      </w:r>
    </w:p>
    <w:p w14:paraId="1A712E3B" w14:textId="77777777" w:rsidR="006A0E1C" w:rsidRPr="00D13792" w:rsidRDefault="006A0E1C" w:rsidP="006A0E1C">
      <w:pPr>
        <w:tabs>
          <w:tab w:val="left" w:pos="567"/>
        </w:tabs>
        <w:spacing w:afterLines="40" w:after="96" w:line="240" w:lineRule="auto"/>
        <w:ind w:right="4"/>
        <w:rPr>
          <w:sz w:val="20"/>
          <w:szCs w:val="20"/>
        </w:rPr>
      </w:pPr>
    </w:p>
    <w:p w14:paraId="030752AC"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Desestimar la excepción preliminar interpuesta por el Estado en cuanto a la falta de competencia de la Corte para pronunciarse sobre delitos, en los términos del párrafo 35 de esta Sentencia.</w:t>
      </w:r>
    </w:p>
    <w:p w14:paraId="4AFB3DAA" w14:textId="77777777" w:rsidR="006A0E1C" w:rsidRPr="00D13792" w:rsidRDefault="006A0E1C" w:rsidP="006A0E1C">
      <w:pPr>
        <w:tabs>
          <w:tab w:val="left" w:pos="567"/>
        </w:tabs>
        <w:spacing w:afterLines="40" w:after="96" w:line="240" w:lineRule="auto"/>
        <w:ind w:right="4"/>
        <w:rPr>
          <w:sz w:val="20"/>
          <w:szCs w:val="20"/>
        </w:rPr>
      </w:pPr>
    </w:p>
    <w:p w14:paraId="237990E8"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Desestimar la excepción preliminar interpuesta por el Estado en cuanto a la alegada falta de competencia de la Corte para pronunciarse sobre la invalidez de la amnistía guatemalteca, en los términos del párrafo 39 de esta Sentencia.</w:t>
      </w:r>
    </w:p>
    <w:p w14:paraId="09B8DF37" w14:textId="77777777" w:rsidR="006A0E1C" w:rsidRPr="00D13792" w:rsidRDefault="006A0E1C" w:rsidP="006A0E1C">
      <w:pPr>
        <w:tabs>
          <w:tab w:val="left" w:pos="567"/>
        </w:tabs>
        <w:spacing w:afterLines="40" w:after="96" w:line="240" w:lineRule="auto"/>
        <w:ind w:right="4"/>
        <w:rPr>
          <w:sz w:val="20"/>
          <w:szCs w:val="20"/>
        </w:rPr>
      </w:pPr>
    </w:p>
    <w:p w14:paraId="1457E6AC"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rFonts w:cs="Cambria"/>
          <w:sz w:val="20"/>
          <w:szCs w:val="20"/>
        </w:rPr>
        <w:t>Desestimar la excepción preliminar de falta de agotamiento de los recursos internos</w:t>
      </w:r>
      <w:r w:rsidRPr="00D13792">
        <w:rPr>
          <w:sz w:val="20"/>
          <w:szCs w:val="20"/>
        </w:rPr>
        <w:t>, en los términos de los párrafos 43 a 47 de esta Sentencia.</w:t>
      </w:r>
    </w:p>
    <w:p w14:paraId="0B3915FA" w14:textId="77777777" w:rsidR="006A0E1C" w:rsidRPr="00D13792" w:rsidRDefault="006A0E1C" w:rsidP="006A0E1C">
      <w:pPr>
        <w:tabs>
          <w:tab w:val="left" w:pos="567"/>
        </w:tabs>
        <w:spacing w:afterLines="40" w:after="96" w:line="240" w:lineRule="auto"/>
        <w:ind w:right="4"/>
        <w:rPr>
          <w:sz w:val="20"/>
          <w:szCs w:val="20"/>
        </w:rPr>
      </w:pPr>
    </w:p>
    <w:p w14:paraId="280CC1DB"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Desestimar la excepción preliminar de “carencia de la facultad para presentar otra reclamación por los mismos hechos”, en los términos del párrafo 50 de esta Sentencia.</w:t>
      </w:r>
    </w:p>
    <w:p w14:paraId="0C75C494" w14:textId="77777777" w:rsidR="006A0E1C" w:rsidRPr="00D13792" w:rsidRDefault="006A0E1C" w:rsidP="006A0E1C">
      <w:pPr>
        <w:tabs>
          <w:tab w:val="left" w:pos="567"/>
        </w:tabs>
        <w:spacing w:afterLines="40" w:after="96" w:line="240" w:lineRule="auto"/>
        <w:ind w:right="4"/>
        <w:rPr>
          <w:sz w:val="20"/>
          <w:szCs w:val="20"/>
        </w:rPr>
      </w:pPr>
    </w:p>
    <w:p w14:paraId="1D032953"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Aceptar el reconocimiento parcial de responsabilidad internacional efectuado por Estado, en los términos de los párrafos 54 a 58 de esta Sentencia.</w:t>
      </w:r>
    </w:p>
    <w:p w14:paraId="1D551A8A" w14:textId="77777777" w:rsidR="006A0E1C" w:rsidRPr="00D13792" w:rsidRDefault="006A0E1C" w:rsidP="006A0E1C">
      <w:pPr>
        <w:pStyle w:val="Default"/>
        <w:tabs>
          <w:tab w:val="num" w:pos="630"/>
          <w:tab w:val="left" w:pos="720"/>
        </w:tabs>
        <w:spacing w:afterLines="40" w:after="96"/>
        <w:jc w:val="both"/>
        <w:rPr>
          <w:b/>
          <w:color w:val="auto"/>
          <w:spacing w:val="-2"/>
          <w:sz w:val="20"/>
          <w:szCs w:val="20"/>
        </w:rPr>
      </w:pPr>
    </w:p>
    <w:p w14:paraId="64E7DB40" w14:textId="77777777" w:rsidR="006A0E1C" w:rsidRPr="00D13792" w:rsidRDefault="006A0E1C" w:rsidP="006A0E1C">
      <w:pPr>
        <w:tabs>
          <w:tab w:val="num" w:pos="630"/>
          <w:tab w:val="left" w:pos="720"/>
        </w:tabs>
        <w:spacing w:afterLines="40" w:after="96" w:line="240" w:lineRule="auto"/>
        <w:rPr>
          <w:rFonts w:cs="Verdana"/>
          <w:b/>
          <w:spacing w:val="-2"/>
          <w:sz w:val="20"/>
          <w:szCs w:val="20"/>
        </w:rPr>
      </w:pPr>
      <w:r w:rsidRPr="00D13792">
        <w:rPr>
          <w:rFonts w:cs="Verdana"/>
          <w:b/>
          <w:spacing w:val="-2"/>
          <w:sz w:val="20"/>
          <w:szCs w:val="20"/>
        </w:rPr>
        <w:t>DECLARA,</w:t>
      </w:r>
    </w:p>
    <w:p w14:paraId="2DD30C27" w14:textId="77777777" w:rsidR="006A0E1C" w:rsidRPr="00D13792" w:rsidRDefault="006A0E1C" w:rsidP="006A0E1C">
      <w:pPr>
        <w:tabs>
          <w:tab w:val="num" w:pos="630"/>
          <w:tab w:val="left" w:pos="720"/>
        </w:tabs>
        <w:spacing w:afterLines="40" w:after="96" w:line="240" w:lineRule="auto"/>
        <w:rPr>
          <w:rFonts w:cs="Verdana"/>
          <w:b/>
          <w:spacing w:val="-2"/>
          <w:sz w:val="20"/>
          <w:szCs w:val="20"/>
        </w:rPr>
      </w:pPr>
    </w:p>
    <w:p w14:paraId="14860F35" w14:textId="77777777" w:rsidR="006A0E1C" w:rsidRPr="00D13792" w:rsidRDefault="006A0E1C" w:rsidP="006A0E1C">
      <w:pPr>
        <w:pStyle w:val="Default"/>
        <w:spacing w:afterLines="40" w:after="96"/>
        <w:jc w:val="both"/>
        <w:rPr>
          <w:color w:val="auto"/>
          <w:spacing w:val="-2"/>
          <w:sz w:val="20"/>
          <w:szCs w:val="20"/>
        </w:rPr>
      </w:pPr>
      <w:r w:rsidRPr="00D13792">
        <w:rPr>
          <w:color w:val="auto"/>
          <w:spacing w:val="-2"/>
          <w:sz w:val="20"/>
          <w:szCs w:val="20"/>
        </w:rPr>
        <w:t>Por unanimidad, que</w:t>
      </w:r>
    </w:p>
    <w:p w14:paraId="76023254" w14:textId="77777777" w:rsidR="006A0E1C" w:rsidRPr="00D13792" w:rsidRDefault="006A0E1C" w:rsidP="006A0E1C">
      <w:pPr>
        <w:pStyle w:val="Default"/>
        <w:spacing w:afterLines="40" w:after="96"/>
        <w:jc w:val="both"/>
        <w:rPr>
          <w:rFonts w:eastAsia="Batang" w:cs="Times"/>
          <w:color w:val="auto"/>
          <w:spacing w:val="-2"/>
          <w:sz w:val="20"/>
          <w:szCs w:val="20"/>
        </w:rPr>
      </w:pPr>
    </w:p>
    <w:p w14:paraId="4D51A4B2"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 xml:space="preserve">El Estado es responsable por la violación de los derechos a la libertad personal, integridad personal, vida y al reconocimiento de la personalidad jurídica, reconocidos en los artículos 7, 5.1 y 5.2, 4.1 y 3 de la Convención Americana, en relación con el artículo 1.1 del mismo instrumento y en relación con lo dispuesto en el artículo I.a) de la Convención Interamericana sobre Desaparición Forzada de Personas, en perjuicio de las 22 víctimas de desaparición forzada que se identifican en el Anexo I de esta Sentencia, en los términos de los párrafos 131 a 160 de la misma. </w:t>
      </w:r>
    </w:p>
    <w:p w14:paraId="502814F5" w14:textId="77777777" w:rsidR="006A0E1C" w:rsidRPr="00D13792" w:rsidRDefault="006A0E1C" w:rsidP="006A0E1C">
      <w:pPr>
        <w:pStyle w:val="Default"/>
        <w:spacing w:afterLines="40" w:after="96"/>
        <w:jc w:val="both"/>
        <w:rPr>
          <w:color w:val="auto"/>
          <w:sz w:val="20"/>
          <w:szCs w:val="20"/>
        </w:rPr>
      </w:pPr>
    </w:p>
    <w:p w14:paraId="2CB8E21B"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 xml:space="preserve">El Estado es responsable por la violación de los derechos </w:t>
      </w:r>
      <w:r w:rsidRPr="00D13792">
        <w:rPr>
          <w:spacing w:val="-2"/>
          <w:sz w:val="20"/>
          <w:szCs w:val="20"/>
        </w:rPr>
        <w:t xml:space="preserve">a la integridad psíquica y moral y a la protección a la familia, </w:t>
      </w:r>
      <w:r w:rsidRPr="00D13792">
        <w:rPr>
          <w:rFonts w:eastAsia="Calibri"/>
          <w:spacing w:val="-2"/>
          <w:sz w:val="20"/>
          <w:szCs w:val="20"/>
        </w:rPr>
        <w:t>establecidos</w:t>
      </w:r>
      <w:r w:rsidRPr="00D13792">
        <w:rPr>
          <w:spacing w:val="-2"/>
          <w:sz w:val="20"/>
          <w:szCs w:val="20"/>
        </w:rPr>
        <w:t xml:space="preserve"> en los artículos 5.1 y 17.1 de la Convención Americana, en relación con el artículo 1.1 del mismo instrumento, en perjuicio de los familiares de las 22 víctimas de desaparición forzada,</w:t>
      </w:r>
      <w:r w:rsidRPr="00D13792">
        <w:rPr>
          <w:bCs/>
          <w:spacing w:val="-2"/>
          <w:sz w:val="20"/>
          <w:szCs w:val="20"/>
        </w:rPr>
        <w:t xml:space="preserve"> i</w:t>
      </w:r>
      <w:r w:rsidRPr="00D13792">
        <w:rPr>
          <w:sz w:val="20"/>
          <w:szCs w:val="20"/>
        </w:rPr>
        <w:t xml:space="preserve">dentificadas en el Anexo I de esta Sentencia, en los </w:t>
      </w:r>
      <w:r w:rsidRPr="00D13792">
        <w:rPr>
          <w:sz w:val="20"/>
          <w:szCs w:val="20"/>
        </w:rPr>
        <w:lastRenderedPageBreak/>
        <w:t>términos de los párrafos 161 a 166 de la misma.</w:t>
      </w:r>
    </w:p>
    <w:p w14:paraId="4BC6FD40" w14:textId="77777777" w:rsidR="006A0E1C" w:rsidRPr="00D13792" w:rsidRDefault="006A0E1C" w:rsidP="006A0E1C">
      <w:pPr>
        <w:pStyle w:val="Default"/>
        <w:spacing w:afterLines="40" w:after="96"/>
        <w:jc w:val="both"/>
        <w:rPr>
          <w:color w:val="auto"/>
          <w:sz w:val="20"/>
          <w:szCs w:val="20"/>
        </w:rPr>
      </w:pPr>
    </w:p>
    <w:p w14:paraId="2BEE591E" w14:textId="77777777" w:rsidR="006A0E1C" w:rsidRPr="00D13792" w:rsidRDefault="006A0E1C" w:rsidP="006A0E1C">
      <w:pPr>
        <w:numPr>
          <w:ilvl w:val="0"/>
          <w:numId w:val="29"/>
        </w:numPr>
        <w:tabs>
          <w:tab w:val="left" w:pos="567"/>
        </w:tabs>
        <w:spacing w:afterLines="40" w:after="96" w:line="240" w:lineRule="auto"/>
        <w:ind w:right="4"/>
        <w:rPr>
          <w:rFonts w:eastAsia="Times"/>
          <w:spacing w:val="-2"/>
          <w:sz w:val="20"/>
          <w:szCs w:val="20"/>
        </w:rPr>
      </w:pPr>
      <w:r w:rsidRPr="00D13792">
        <w:rPr>
          <w:sz w:val="20"/>
          <w:szCs w:val="20"/>
        </w:rPr>
        <w:t xml:space="preserve">El Estado es responsable </w:t>
      </w:r>
      <w:r w:rsidRPr="00D13792">
        <w:rPr>
          <w:rFonts w:eastAsia="Batang" w:cs="Times"/>
          <w:sz w:val="20"/>
          <w:szCs w:val="20"/>
        </w:rPr>
        <w:t>por la violación del derecho a la circulación y residencia establecido en el artículo 22.1 de la Convención Americana, en relación con el artículo 1.1 de la misma, en perjuicio de las personas</w:t>
      </w:r>
      <w:r w:rsidRPr="00D13792">
        <w:rPr>
          <w:spacing w:val="-2"/>
          <w:sz w:val="20"/>
          <w:szCs w:val="20"/>
        </w:rPr>
        <w:t xml:space="preserve"> listadas en el Anexo II</w:t>
      </w:r>
      <w:r w:rsidRPr="00D13792">
        <w:rPr>
          <w:sz w:val="20"/>
          <w:szCs w:val="20"/>
        </w:rPr>
        <w:t xml:space="preserve"> de esta Sentencia</w:t>
      </w:r>
      <w:r w:rsidRPr="00D13792">
        <w:rPr>
          <w:spacing w:val="-2"/>
          <w:sz w:val="20"/>
          <w:szCs w:val="20"/>
        </w:rPr>
        <w:t xml:space="preserve">, </w:t>
      </w:r>
      <w:r w:rsidRPr="00D13792">
        <w:rPr>
          <w:sz w:val="20"/>
          <w:szCs w:val="20"/>
        </w:rPr>
        <w:t>en los términos de los párrafos 172 a 203 de esta Sentencia.</w:t>
      </w:r>
    </w:p>
    <w:p w14:paraId="71DD97B5" w14:textId="77777777" w:rsidR="006A0E1C" w:rsidRPr="00D13792" w:rsidRDefault="006A0E1C" w:rsidP="006A0E1C">
      <w:pPr>
        <w:pStyle w:val="Prrafodelista2"/>
        <w:tabs>
          <w:tab w:val="left" w:pos="720"/>
        </w:tabs>
        <w:spacing w:afterLines="40" w:after="96"/>
        <w:ind w:left="0" w:right="-90"/>
        <w:jc w:val="both"/>
        <w:rPr>
          <w:rFonts w:eastAsia="Times"/>
          <w:spacing w:val="-2"/>
          <w:lang w:val="es-CR"/>
        </w:rPr>
      </w:pPr>
    </w:p>
    <w:p w14:paraId="5D11E35A" w14:textId="77777777" w:rsidR="006A0E1C" w:rsidRPr="00D13792" w:rsidRDefault="006A0E1C" w:rsidP="006A0E1C">
      <w:pPr>
        <w:numPr>
          <w:ilvl w:val="0"/>
          <w:numId w:val="29"/>
        </w:numPr>
        <w:tabs>
          <w:tab w:val="left" w:pos="567"/>
        </w:tabs>
        <w:spacing w:afterLines="40" w:after="96" w:line="240" w:lineRule="auto"/>
        <w:ind w:right="4"/>
        <w:rPr>
          <w:rFonts w:eastAsia="Times"/>
          <w:spacing w:val="-2"/>
          <w:sz w:val="20"/>
          <w:szCs w:val="20"/>
        </w:rPr>
      </w:pPr>
      <w:r w:rsidRPr="00D13792">
        <w:rPr>
          <w:sz w:val="20"/>
          <w:szCs w:val="20"/>
        </w:rPr>
        <w:t xml:space="preserve">El Estado es responsable </w:t>
      </w:r>
      <w:r w:rsidRPr="00D13792">
        <w:rPr>
          <w:rFonts w:eastAsia="Batang" w:cs="Times"/>
          <w:sz w:val="20"/>
          <w:szCs w:val="20"/>
        </w:rPr>
        <w:t xml:space="preserve">por la violación de los derechos a las garantías y la protección judiciales reconocidos en </w:t>
      </w:r>
      <w:r w:rsidRPr="00D13792">
        <w:rPr>
          <w:sz w:val="20"/>
          <w:szCs w:val="20"/>
        </w:rPr>
        <w:t xml:space="preserve">los artículos 8.1 y 25.1 de la Convención Americana, en relación con el artículo 1.1 de la misma, así como por el incumplimiento de las obligaciones establecidas en los </w:t>
      </w:r>
      <w:r w:rsidRPr="00D13792">
        <w:rPr>
          <w:rFonts w:eastAsia="Batang"/>
          <w:bCs/>
          <w:snapToGrid w:val="0"/>
          <w:kern w:val="32"/>
          <w:sz w:val="20"/>
          <w:szCs w:val="20"/>
          <w:lang w:eastAsia="es-ES"/>
        </w:rPr>
        <w:t>artículos</w:t>
      </w:r>
      <w:r w:rsidRPr="00D13792">
        <w:rPr>
          <w:sz w:val="20"/>
          <w:szCs w:val="20"/>
        </w:rPr>
        <w:t xml:space="preserve"> 1, 6 y 8 de la Convención Interamericana para Prevenir y Sancionar la Tortura, así como el artículo I.b) de la Convención Interamericana sobre Desaparición Forzada de Personas y el artículo 7.b de la </w:t>
      </w:r>
      <w:r w:rsidRPr="00D13792">
        <w:rPr>
          <w:rFonts w:eastAsia="Calibri"/>
          <w:sz w:val="20"/>
          <w:szCs w:val="20"/>
        </w:rPr>
        <w:t>Convención Interamericana para Prevenir, Sancionar y Erradicar la Violencia contra la Mujer</w:t>
      </w:r>
      <w:r w:rsidRPr="00D13792">
        <w:rPr>
          <w:sz w:val="20"/>
          <w:szCs w:val="20"/>
        </w:rPr>
        <w:t xml:space="preserve"> a partir del momento en que estas entraron en vigor en Guatemala. Todo ello, en perjuicio de las víctimas del presente caso o sus familiares, en sus respectivas circunstancias, en los términos de los párrafos 210 a 265 de esta Sentencia. Además, el Estado violó el derecho de los familiares de las víctimas desaparecidas a conocer la verdad, en los términos de los párrafos 259 y 261 de esta Sentencia. </w:t>
      </w:r>
    </w:p>
    <w:p w14:paraId="124BE36B" w14:textId="77777777" w:rsidR="006A0E1C" w:rsidRPr="00D13792" w:rsidRDefault="006A0E1C" w:rsidP="006A0E1C">
      <w:pPr>
        <w:tabs>
          <w:tab w:val="left" w:pos="567"/>
        </w:tabs>
        <w:spacing w:afterLines="40" w:after="96" w:line="240" w:lineRule="auto"/>
        <w:ind w:right="4"/>
        <w:rPr>
          <w:rFonts w:eastAsia="Times"/>
          <w:spacing w:val="-2"/>
          <w:sz w:val="20"/>
          <w:szCs w:val="20"/>
        </w:rPr>
      </w:pPr>
    </w:p>
    <w:p w14:paraId="04602CAF"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rFonts w:eastAsia="Times"/>
          <w:spacing w:val="-2"/>
          <w:sz w:val="20"/>
          <w:szCs w:val="20"/>
        </w:rPr>
        <w:t xml:space="preserve">El Estado no es responsable de la violación </w:t>
      </w:r>
      <w:r w:rsidRPr="00D13792">
        <w:rPr>
          <w:sz w:val="20"/>
          <w:szCs w:val="20"/>
        </w:rPr>
        <w:t>del artículo 12 de la Convención Americana, en los términos del párrafo 204 de esta Sentencia.</w:t>
      </w:r>
    </w:p>
    <w:p w14:paraId="789EDA83" w14:textId="77777777" w:rsidR="006A0E1C" w:rsidRPr="00D13792" w:rsidRDefault="006A0E1C" w:rsidP="006A0E1C">
      <w:pPr>
        <w:tabs>
          <w:tab w:val="left" w:pos="567"/>
        </w:tabs>
        <w:spacing w:afterLines="40" w:after="96" w:line="240" w:lineRule="auto"/>
        <w:ind w:right="4"/>
        <w:rPr>
          <w:rFonts w:eastAsia="Times"/>
          <w:spacing w:val="-2"/>
          <w:sz w:val="20"/>
          <w:szCs w:val="20"/>
        </w:rPr>
      </w:pPr>
    </w:p>
    <w:p w14:paraId="0131C27D" w14:textId="77777777" w:rsidR="006A0E1C" w:rsidRPr="00D13792" w:rsidRDefault="006A0E1C" w:rsidP="006A0E1C">
      <w:pPr>
        <w:numPr>
          <w:ilvl w:val="0"/>
          <w:numId w:val="29"/>
        </w:numPr>
        <w:tabs>
          <w:tab w:val="left" w:pos="567"/>
        </w:tabs>
        <w:spacing w:afterLines="40" w:after="96" w:line="240" w:lineRule="auto"/>
        <w:ind w:right="4"/>
        <w:rPr>
          <w:rFonts w:eastAsia="Times"/>
          <w:spacing w:val="-2"/>
          <w:sz w:val="20"/>
          <w:szCs w:val="20"/>
        </w:rPr>
      </w:pPr>
      <w:r w:rsidRPr="00D13792">
        <w:rPr>
          <w:rFonts w:eastAsia="Times"/>
          <w:spacing w:val="-2"/>
          <w:sz w:val="20"/>
          <w:szCs w:val="20"/>
        </w:rPr>
        <w:t xml:space="preserve">El Estado no es responsable de la violación del </w:t>
      </w:r>
      <w:r w:rsidRPr="00D13792">
        <w:rPr>
          <w:rFonts w:eastAsia="Times"/>
          <w:sz w:val="20"/>
          <w:szCs w:val="20"/>
        </w:rPr>
        <w:t xml:space="preserve">artículo 16 de la Convención Americana, </w:t>
      </w:r>
      <w:r w:rsidRPr="00D13792">
        <w:rPr>
          <w:sz w:val="20"/>
          <w:szCs w:val="20"/>
        </w:rPr>
        <w:t xml:space="preserve"> en los términos del párrafo</w:t>
      </w:r>
      <w:r w:rsidRPr="00D13792">
        <w:rPr>
          <w:rFonts w:eastAsia="Times"/>
          <w:sz w:val="20"/>
          <w:szCs w:val="20"/>
        </w:rPr>
        <w:t xml:space="preserve"> 205 de esta Sentencia.</w:t>
      </w:r>
    </w:p>
    <w:p w14:paraId="6CFEE24A" w14:textId="77777777" w:rsidR="006A0E1C" w:rsidRPr="00D13792" w:rsidRDefault="006A0E1C" w:rsidP="006A0E1C">
      <w:pPr>
        <w:pStyle w:val="ListParagraph"/>
        <w:spacing w:afterLines="40" w:after="96" w:line="240" w:lineRule="auto"/>
        <w:ind w:left="0"/>
        <w:jc w:val="both"/>
        <w:rPr>
          <w:rFonts w:ascii="Verdana" w:eastAsia="Times" w:hAnsi="Verdana"/>
          <w:spacing w:val="-2"/>
          <w:sz w:val="20"/>
          <w:szCs w:val="20"/>
          <w:lang w:val="es-CR"/>
        </w:rPr>
      </w:pPr>
    </w:p>
    <w:p w14:paraId="093C2986" w14:textId="77777777" w:rsidR="006A0E1C" w:rsidRPr="00D13792" w:rsidRDefault="006A0E1C" w:rsidP="006A0E1C">
      <w:pPr>
        <w:numPr>
          <w:ilvl w:val="0"/>
          <w:numId w:val="29"/>
        </w:numPr>
        <w:tabs>
          <w:tab w:val="left" w:pos="567"/>
        </w:tabs>
        <w:spacing w:afterLines="40" w:after="96" w:line="240" w:lineRule="auto"/>
        <w:ind w:right="4"/>
        <w:rPr>
          <w:rFonts w:eastAsia="Times"/>
          <w:spacing w:val="-2"/>
          <w:sz w:val="20"/>
          <w:szCs w:val="20"/>
        </w:rPr>
      </w:pPr>
      <w:r w:rsidRPr="00D13792">
        <w:rPr>
          <w:rFonts w:eastAsia="Times"/>
          <w:spacing w:val="-2"/>
          <w:sz w:val="20"/>
          <w:szCs w:val="20"/>
        </w:rPr>
        <w:t xml:space="preserve">El Estado no es responsable de la violación del artículo 24 de la Convención Americana, </w:t>
      </w:r>
      <w:r w:rsidRPr="00D13792">
        <w:rPr>
          <w:sz w:val="20"/>
          <w:szCs w:val="20"/>
        </w:rPr>
        <w:t>en los términos del párrafo 258 de esta Sentencia.</w:t>
      </w:r>
    </w:p>
    <w:p w14:paraId="6411A343" w14:textId="77777777" w:rsidR="006A0E1C" w:rsidRPr="00D13792" w:rsidRDefault="006A0E1C" w:rsidP="006A0E1C">
      <w:pPr>
        <w:tabs>
          <w:tab w:val="left" w:pos="567"/>
        </w:tabs>
        <w:spacing w:afterLines="40" w:after="96" w:line="240" w:lineRule="auto"/>
        <w:ind w:right="4"/>
        <w:rPr>
          <w:rFonts w:cs="Verdana"/>
          <w:spacing w:val="-2"/>
          <w:sz w:val="20"/>
          <w:szCs w:val="20"/>
        </w:rPr>
      </w:pPr>
    </w:p>
    <w:p w14:paraId="13B13A47" w14:textId="77777777" w:rsidR="006A0E1C" w:rsidRPr="00D13792" w:rsidRDefault="006A0E1C" w:rsidP="006A0E1C">
      <w:pPr>
        <w:tabs>
          <w:tab w:val="left" w:pos="567"/>
          <w:tab w:val="left" w:pos="720"/>
        </w:tabs>
        <w:spacing w:afterLines="40" w:after="96" w:line="240" w:lineRule="auto"/>
        <w:rPr>
          <w:rFonts w:cs="Verdana"/>
          <w:b/>
          <w:spacing w:val="-2"/>
          <w:sz w:val="20"/>
          <w:szCs w:val="20"/>
        </w:rPr>
      </w:pPr>
      <w:r w:rsidRPr="00D13792">
        <w:rPr>
          <w:rFonts w:cs="Verdana"/>
          <w:b/>
          <w:spacing w:val="-2"/>
          <w:sz w:val="20"/>
          <w:szCs w:val="20"/>
        </w:rPr>
        <w:t>Y DISPONE,</w:t>
      </w:r>
    </w:p>
    <w:p w14:paraId="11156FB7" w14:textId="77777777" w:rsidR="006A0E1C" w:rsidRPr="00D13792" w:rsidRDefault="006A0E1C" w:rsidP="006A0E1C">
      <w:pPr>
        <w:tabs>
          <w:tab w:val="left" w:pos="567"/>
          <w:tab w:val="left" w:pos="720"/>
        </w:tabs>
        <w:spacing w:afterLines="40" w:after="96" w:line="240" w:lineRule="auto"/>
        <w:rPr>
          <w:rFonts w:cs="Verdana"/>
          <w:b/>
          <w:spacing w:val="-2"/>
          <w:sz w:val="20"/>
          <w:szCs w:val="20"/>
        </w:rPr>
      </w:pPr>
    </w:p>
    <w:p w14:paraId="7E6B829D" w14:textId="77777777" w:rsidR="006A0E1C" w:rsidRPr="00D13792" w:rsidRDefault="006A0E1C" w:rsidP="006A0E1C">
      <w:pPr>
        <w:tabs>
          <w:tab w:val="left" w:pos="720"/>
        </w:tabs>
        <w:spacing w:afterLines="40" w:after="96" w:line="240" w:lineRule="auto"/>
        <w:rPr>
          <w:rFonts w:cs="Verdana"/>
          <w:spacing w:val="-2"/>
          <w:sz w:val="20"/>
          <w:szCs w:val="20"/>
        </w:rPr>
      </w:pPr>
      <w:r w:rsidRPr="00D13792">
        <w:rPr>
          <w:rFonts w:cs="Verdana"/>
          <w:spacing w:val="-2"/>
          <w:sz w:val="20"/>
          <w:szCs w:val="20"/>
        </w:rPr>
        <w:t xml:space="preserve">por </w:t>
      </w:r>
      <w:r w:rsidRPr="00D13792">
        <w:rPr>
          <w:spacing w:val="-2"/>
          <w:sz w:val="20"/>
          <w:szCs w:val="20"/>
        </w:rPr>
        <w:t>unanimidad</w:t>
      </w:r>
      <w:r w:rsidRPr="00D13792">
        <w:rPr>
          <w:rFonts w:cs="Verdana"/>
          <w:spacing w:val="-2"/>
          <w:sz w:val="20"/>
          <w:szCs w:val="20"/>
        </w:rPr>
        <w:t xml:space="preserve"> que:</w:t>
      </w:r>
    </w:p>
    <w:p w14:paraId="7D7EB7A5" w14:textId="77777777" w:rsidR="006A0E1C" w:rsidRPr="00D13792" w:rsidRDefault="006A0E1C" w:rsidP="006A0E1C">
      <w:pPr>
        <w:tabs>
          <w:tab w:val="left" w:pos="567"/>
          <w:tab w:val="left" w:pos="720"/>
        </w:tabs>
        <w:spacing w:afterLines="40" w:after="96" w:line="240" w:lineRule="auto"/>
        <w:rPr>
          <w:rFonts w:cs="Verdana"/>
          <w:spacing w:val="-2"/>
          <w:sz w:val="20"/>
          <w:szCs w:val="20"/>
        </w:rPr>
      </w:pPr>
    </w:p>
    <w:p w14:paraId="01582377" w14:textId="77777777" w:rsidR="006A0E1C" w:rsidRPr="00D13792" w:rsidRDefault="006A0E1C" w:rsidP="006A0E1C">
      <w:pPr>
        <w:numPr>
          <w:ilvl w:val="0"/>
          <w:numId w:val="29"/>
        </w:numPr>
        <w:tabs>
          <w:tab w:val="left" w:pos="567"/>
        </w:tabs>
        <w:spacing w:afterLines="40" w:after="96" w:line="240" w:lineRule="auto"/>
        <w:ind w:right="4"/>
        <w:rPr>
          <w:spacing w:val="-2"/>
          <w:sz w:val="20"/>
          <w:szCs w:val="20"/>
        </w:rPr>
      </w:pPr>
      <w:r w:rsidRPr="00D13792">
        <w:rPr>
          <w:spacing w:val="-2"/>
          <w:sz w:val="20"/>
          <w:szCs w:val="20"/>
        </w:rPr>
        <w:t xml:space="preserve">Esta </w:t>
      </w:r>
      <w:r w:rsidRPr="00D13792">
        <w:rPr>
          <w:spacing w:val="-2"/>
          <w:sz w:val="20"/>
          <w:szCs w:val="20"/>
          <w:lang w:eastAsia="es-ES"/>
        </w:rPr>
        <w:t>Sentencia</w:t>
      </w:r>
      <w:r w:rsidRPr="00D13792">
        <w:rPr>
          <w:spacing w:val="-2"/>
          <w:sz w:val="20"/>
          <w:szCs w:val="20"/>
        </w:rPr>
        <w:t xml:space="preserve"> constituye </w:t>
      </w:r>
      <w:r w:rsidRPr="00D13792">
        <w:rPr>
          <w:i/>
          <w:spacing w:val="-2"/>
          <w:sz w:val="20"/>
          <w:szCs w:val="20"/>
        </w:rPr>
        <w:t>per se</w:t>
      </w:r>
      <w:r w:rsidRPr="00D13792">
        <w:rPr>
          <w:spacing w:val="-2"/>
          <w:sz w:val="20"/>
          <w:szCs w:val="20"/>
        </w:rPr>
        <w:t xml:space="preserve"> una forma de reparación.</w:t>
      </w:r>
    </w:p>
    <w:p w14:paraId="2D553CB6" w14:textId="77777777" w:rsidR="006A0E1C" w:rsidRPr="00D13792" w:rsidRDefault="006A0E1C" w:rsidP="006A0E1C">
      <w:pPr>
        <w:tabs>
          <w:tab w:val="left" w:pos="567"/>
        </w:tabs>
        <w:spacing w:afterLines="40" w:after="96" w:line="240" w:lineRule="auto"/>
        <w:ind w:right="4"/>
        <w:rPr>
          <w:rFonts w:cs="Arial"/>
          <w:sz w:val="20"/>
          <w:szCs w:val="20"/>
        </w:rPr>
      </w:pPr>
    </w:p>
    <w:p w14:paraId="3A06D99A" w14:textId="77777777" w:rsidR="006A0E1C" w:rsidRPr="00D13792" w:rsidRDefault="006A0E1C" w:rsidP="006A0E1C">
      <w:pPr>
        <w:numPr>
          <w:ilvl w:val="0"/>
          <w:numId w:val="29"/>
        </w:numPr>
        <w:tabs>
          <w:tab w:val="left" w:pos="567"/>
        </w:tabs>
        <w:spacing w:afterLines="40" w:after="96" w:line="240" w:lineRule="auto"/>
        <w:ind w:right="4"/>
        <w:rPr>
          <w:rFonts w:cs="Arial"/>
          <w:sz w:val="20"/>
          <w:szCs w:val="20"/>
        </w:rPr>
      </w:pPr>
      <w:r w:rsidRPr="00D13792">
        <w:rPr>
          <w:sz w:val="20"/>
          <w:szCs w:val="20"/>
        </w:rPr>
        <w:t xml:space="preserve">El Estado debe remover todos los obstáculos, </w:t>
      </w:r>
      <w:r w:rsidRPr="00D13792">
        <w:rPr>
          <w:i/>
          <w:sz w:val="20"/>
          <w:szCs w:val="20"/>
        </w:rPr>
        <w:t>de facto</w:t>
      </w:r>
      <w:r w:rsidRPr="00D13792">
        <w:rPr>
          <w:sz w:val="20"/>
          <w:szCs w:val="20"/>
        </w:rPr>
        <w:t xml:space="preserve"> y </w:t>
      </w:r>
      <w:r w:rsidRPr="00D13792">
        <w:rPr>
          <w:i/>
          <w:sz w:val="20"/>
          <w:szCs w:val="20"/>
        </w:rPr>
        <w:t>de jure</w:t>
      </w:r>
      <w:r w:rsidRPr="00D13792">
        <w:rPr>
          <w:sz w:val="20"/>
          <w:szCs w:val="20"/>
        </w:rPr>
        <w:t xml:space="preserve">, que mantienen la impunidad en este caso, e iniciar, continuar, impulsar y reabrir las investigaciones que sean necesarias para determinar y, en su caso, sancionar a los responsables de </w:t>
      </w:r>
      <w:r w:rsidRPr="008E7B68">
        <w:rPr>
          <w:sz w:val="20"/>
          <w:szCs w:val="20"/>
        </w:rPr>
        <w:t xml:space="preserve">las violaciones de los derechos humanos </w:t>
      </w:r>
      <w:r w:rsidRPr="00D13792">
        <w:rPr>
          <w:sz w:val="20"/>
          <w:szCs w:val="20"/>
        </w:rPr>
        <w:t xml:space="preserve">objeto del presente caso. Todo ello en un plazo razonable, con el fin de establecer la verdad de los hechos, en los términos de los párrafos 285 a 289 de esta Sentencia. </w:t>
      </w:r>
    </w:p>
    <w:p w14:paraId="33D6B2DD" w14:textId="77777777" w:rsidR="006A0E1C" w:rsidRPr="00D13792" w:rsidRDefault="006A0E1C" w:rsidP="006A0E1C">
      <w:pPr>
        <w:tabs>
          <w:tab w:val="num" w:pos="1152"/>
        </w:tabs>
        <w:spacing w:afterLines="40" w:after="96" w:line="240" w:lineRule="auto"/>
        <w:ind w:right="99"/>
        <w:rPr>
          <w:rFonts w:cs="Arial"/>
          <w:sz w:val="20"/>
          <w:szCs w:val="20"/>
        </w:rPr>
      </w:pPr>
    </w:p>
    <w:p w14:paraId="4E989636"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pacing w:val="-2"/>
          <w:sz w:val="20"/>
          <w:szCs w:val="20"/>
        </w:rPr>
        <w:t xml:space="preserve">El Estado debe realizar o continuar, de manera sistemática, rigurosa y con los recursos humanos y económicos adecuados, </w:t>
      </w:r>
      <w:r w:rsidRPr="00D13792">
        <w:rPr>
          <w:rFonts w:cs="Cambria"/>
          <w:spacing w:val="-2"/>
          <w:sz w:val="20"/>
          <w:szCs w:val="20"/>
        </w:rPr>
        <w:t>las</w:t>
      </w:r>
      <w:r w:rsidRPr="00D13792">
        <w:rPr>
          <w:spacing w:val="-2"/>
          <w:sz w:val="20"/>
          <w:szCs w:val="20"/>
        </w:rPr>
        <w:t xml:space="preserve"> acciones necesarias tanto</w:t>
      </w:r>
      <w:r w:rsidRPr="00D13792">
        <w:rPr>
          <w:rFonts w:cs="Verdana"/>
          <w:spacing w:val="-2"/>
          <w:sz w:val="20"/>
          <w:szCs w:val="20"/>
        </w:rPr>
        <w:t xml:space="preserve"> para </w:t>
      </w:r>
      <w:r w:rsidRPr="00D13792">
        <w:rPr>
          <w:sz w:val="20"/>
          <w:szCs w:val="20"/>
        </w:rPr>
        <w:t>determinar el paradero de los miembros de la aldea de Chichupac y comunidades vecinas desaparecidos forzadamente, así como localizar, exhumar e identificar a las personas falleci</w:t>
      </w:r>
      <w:r>
        <w:rPr>
          <w:sz w:val="20"/>
          <w:szCs w:val="20"/>
        </w:rPr>
        <w:t>das</w:t>
      </w:r>
      <w:r w:rsidRPr="00D13792">
        <w:rPr>
          <w:sz w:val="20"/>
          <w:szCs w:val="20"/>
        </w:rPr>
        <w:t>, en los términos de los párrafos 292 a 297 de esta Sentencia.</w:t>
      </w:r>
    </w:p>
    <w:p w14:paraId="4EC76BDC" w14:textId="77777777" w:rsidR="006A0E1C" w:rsidRPr="00D13792" w:rsidRDefault="006A0E1C" w:rsidP="006A0E1C">
      <w:pPr>
        <w:pStyle w:val="ListParagraph"/>
        <w:spacing w:afterLines="40" w:after="96" w:line="240" w:lineRule="auto"/>
        <w:ind w:left="0"/>
        <w:jc w:val="both"/>
        <w:rPr>
          <w:rFonts w:ascii="Verdana" w:hAnsi="Verdana"/>
          <w:sz w:val="20"/>
          <w:szCs w:val="20"/>
          <w:lang w:val="es-CR"/>
        </w:rPr>
      </w:pPr>
    </w:p>
    <w:p w14:paraId="5381B362"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El Estado debe brindar tratamiento médico, psicológico y/o psiquiátrico a las víctimas del presente caso, en los términos de los párrafos 302 a 304 de esta Sentencia.</w:t>
      </w:r>
    </w:p>
    <w:p w14:paraId="31CB95FD" w14:textId="77777777" w:rsidR="006A0E1C" w:rsidRPr="00D13792" w:rsidRDefault="006A0E1C" w:rsidP="006A0E1C">
      <w:pPr>
        <w:tabs>
          <w:tab w:val="num" w:pos="792"/>
          <w:tab w:val="num" w:pos="1152"/>
        </w:tabs>
        <w:spacing w:afterLines="40" w:after="96" w:line="240" w:lineRule="auto"/>
        <w:ind w:right="99"/>
        <w:rPr>
          <w:sz w:val="20"/>
          <w:szCs w:val="20"/>
        </w:rPr>
      </w:pPr>
    </w:p>
    <w:p w14:paraId="6A45C726"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El Estado debe realizar un acto público de reconocimiento de responsabilidad internacional por los hechos del presente caso, en los términos del párrafo 306 de esta Sentencia.</w:t>
      </w:r>
    </w:p>
    <w:p w14:paraId="11F5FE82" w14:textId="77777777" w:rsidR="006A0E1C" w:rsidRPr="00D13792" w:rsidRDefault="006A0E1C" w:rsidP="006A0E1C">
      <w:pPr>
        <w:pStyle w:val="ListParagraph"/>
        <w:spacing w:afterLines="40" w:after="96" w:line="240" w:lineRule="auto"/>
        <w:ind w:left="0"/>
        <w:jc w:val="both"/>
        <w:rPr>
          <w:rFonts w:ascii="Verdana" w:hAnsi="Verdana"/>
          <w:sz w:val="20"/>
          <w:szCs w:val="20"/>
          <w:lang w:val="es-CR"/>
        </w:rPr>
      </w:pPr>
    </w:p>
    <w:p w14:paraId="253184D0"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El Estado debe realizar las publicaciones indicadas en el párrafo 309 de la presente Sentencia.</w:t>
      </w:r>
    </w:p>
    <w:p w14:paraId="77C0F341" w14:textId="77777777" w:rsidR="006A0E1C" w:rsidRPr="00D13792" w:rsidRDefault="006A0E1C" w:rsidP="006A0E1C">
      <w:pPr>
        <w:tabs>
          <w:tab w:val="left" w:pos="567"/>
        </w:tabs>
        <w:spacing w:afterLines="40" w:after="96" w:line="240" w:lineRule="auto"/>
        <w:ind w:right="4"/>
        <w:rPr>
          <w:sz w:val="20"/>
          <w:szCs w:val="20"/>
        </w:rPr>
      </w:pPr>
    </w:p>
    <w:p w14:paraId="404100B2"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El Estado debe incluir formación</w:t>
      </w:r>
      <w:r w:rsidRPr="00D13792">
        <w:rPr>
          <w:b/>
          <w:sz w:val="20"/>
          <w:szCs w:val="20"/>
        </w:rPr>
        <w:t xml:space="preserve"> </w:t>
      </w:r>
      <w:r w:rsidRPr="00D13792">
        <w:rPr>
          <w:sz w:val="20"/>
          <w:szCs w:val="20"/>
        </w:rPr>
        <w:t>en derechos humanos y derecho internacional humanitario de forma permanente en el pensum de los diferentes centros de formación, profesionalización vocacional y capacitación del Ejército de Guatemala, en los términos de los párrafos 312 y 313 de esta Sentencia.</w:t>
      </w:r>
    </w:p>
    <w:p w14:paraId="18C47EB7" w14:textId="77777777" w:rsidR="006A0E1C" w:rsidRPr="00D13792" w:rsidRDefault="006A0E1C" w:rsidP="006A0E1C">
      <w:pPr>
        <w:tabs>
          <w:tab w:val="num" w:pos="792"/>
          <w:tab w:val="num" w:pos="1152"/>
        </w:tabs>
        <w:spacing w:afterLines="40" w:after="96" w:line="240" w:lineRule="auto"/>
        <w:ind w:right="99"/>
        <w:rPr>
          <w:sz w:val="20"/>
          <w:szCs w:val="20"/>
        </w:rPr>
      </w:pPr>
    </w:p>
    <w:p w14:paraId="453DE1FC"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 xml:space="preserve">El Estado debe </w:t>
      </w:r>
      <w:r w:rsidRPr="00D13792">
        <w:rPr>
          <w:rFonts w:eastAsia="Batang" w:cs="Times"/>
          <w:sz w:val="20"/>
          <w:szCs w:val="20"/>
        </w:rPr>
        <w:t>diseñar e implementar, en los pensum permanente</w:t>
      </w:r>
      <w:r>
        <w:rPr>
          <w:rFonts w:eastAsia="Batang" w:cs="Times"/>
          <w:sz w:val="20"/>
          <w:szCs w:val="20"/>
        </w:rPr>
        <w:t>s</w:t>
      </w:r>
      <w:r w:rsidRPr="00D13792">
        <w:rPr>
          <w:rFonts w:eastAsia="Batang" w:cs="Times"/>
          <w:sz w:val="20"/>
          <w:szCs w:val="20"/>
        </w:rPr>
        <w:t xml:space="preserve"> de formación de la carrera judicial y de la carrera fiscal, respectivamente, programas de educación en derechos humanos y derecho internacional humanitario, </w:t>
      </w:r>
      <w:r w:rsidRPr="00D13792">
        <w:rPr>
          <w:sz w:val="20"/>
          <w:szCs w:val="20"/>
        </w:rPr>
        <w:t>en los términos de los párrafos 316 a 318 de esta Sentencia.</w:t>
      </w:r>
    </w:p>
    <w:p w14:paraId="72136087" w14:textId="77777777" w:rsidR="006A0E1C" w:rsidRPr="00D13792" w:rsidRDefault="006A0E1C" w:rsidP="006A0E1C">
      <w:pPr>
        <w:tabs>
          <w:tab w:val="num" w:pos="792"/>
          <w:tab w:val="num" w:pos="1152"/>
        </w:tabs>
        <w:spacing w:afterLines="40" w:after="96" w:line="240" w:lineRule="auto"/>
        <w:ind w:right="99"/>
        <w:rPr>
          <w:sz w:val="20"/>
          <w:szCs w:val="20"/>
        </w:rPr>
      </w:pPr>
    </w:p>
    <w:p w14:paraId="6C6B0F08" w14:textId="77777777" w:rsidR="006A0E1C" w:rsidRPr="00D13792" w:rsidRDefault="006A0E1C" w:rsidP="006A0E1C">
      <w:pPr>
        <w:numPr>
          <w:ilvl w:val="0"/>
          <w:numId w:val="29"/>
        </w:numPr>
        <w:tabs>
          <w:tab w:val="left" w:pos="567"/>
        </w:tabs>
        <w:spacing w:afterLines="40" w:after="96" w:line="240" w:lineRule="auto"/>
        <w:ind w:right="4"/>
        <w:rPr>
          <w:rFonts w:eastAsia="Batang" w:cs="Times"/>
          <w:sz w:val="20"/>
          <w:szCs w:val="20"/>
        </w:rPr>
      </w:pPr>
      <w:r w:rsidRPr="00D13792">
        <w:rPr>
          <w:rFonts w:eastAsia="Batang" w:cs="Times"/>
          <w:sz w:val="20"/>
          <w:szCs w:val="20"/>
        </w:rPr>
        <w:t xml:space="preserve">El Estado debe incorporar al currículo del Sistema Educativo Nacional, en todos sus niveles, un programa de educación cuyo contenido refleje la naturaleza pluricultural y multilingüe de la sociedad guatemalteca, impulsando el respeto y el conocimiento de las diversas culturas indígenas, incluyendo sus cosmovisiones, historias, lenguas, conocimientos, valores, culturas, prácticas y formas de vida, </w:t>
      </w:r>
      <w:r w:rsidRPr="00D13792">
        <w:rPr>
          <w:sz w:val="20"/>
          <w:szCs w:val="20"/>
        </w:rPr>
        <w:t>en los términos del párrafo 319 de esta Sentencia</w:t>
      </w:r>
      <w:r w:rsidRPr="00D13792">
        <w:rPr>
          <w:rFonts w:eastAsia="Batang" w:cs="Times"/>
          <w:sz w:val="20"/>
          <w:szCs w:val="20"/>
        </w:rPr>
        <w:t>.</w:t>
      </w:r>
    </w:p>
    <w:p w14:paraId="622C86A3" w14:textId="77777777" w:rsidR="006A0E1C" w:rsidRPr="00D13792" w:rsidRDefault="006A0E1C" w:rsidP="006A0E1C">
      <w:pPr>
        <w:tabs>
          <w:tab w:val="left" w:pos="567"/>
        </w:tabs>
        <w:spacing w:afterLines="40" w:after="96" w:line="240" w:lineRule="auto"/>
        <w:ind w:right="4"/>
        <w:rPr>
          <w:sz w:val="20"/>
          <w:szCs w:val="20"/>
        </w:rPr>
      </w:pPr>
    </w:p>
    <w:p w14:paraId="6136083C" w14:textId="77777777" w:rsidR="006A0E1C" w:rsidRPr="00D13792" w:rsidRDefault="006A0E1C" w:rsidP="006A0E1C">
      <w:pPr>
        <w:numPr>
          <w:ilvl w:val="0"/>
          <w:numId w:val="29"/>
        </w:numPr>
        <w:tabs>
          <w:tab w:val="left" w:pos="567"/>
        </w:tabs>
        <w:spacing w:afterLines="40" w:after="96" w:line="240" w:lineRule="auto"/>
        <w:ind w:right="4"/>
        <w:rPr>
          <w:rFonts w:eastAsia="Batang" w:cs="Times"/>
          <w:sz w:val="20"/>
          <w:szCs w:val="20"/>
        </w:rPr>
      </w:pPr>
      <w:r w:rsidRPr="00D13792">
        <w:rPr>
          <w:sz w:val="20"/>
          <w:szCs w:val="20"/>
        </w:rPr>
        <w:t>El Estado debe fortalecer los organismos existentes o los que vaya a crear con el fin de erradicar la discriminación racial y étnica, en los términos del párrafo 320 de esta Sentencia</w:t>
      </w:r>
      <w:r w:rsidRPr="00D13792">
        <w:rPr>
          <w:rFonts w:eastAsia="Batang" w:cs="Times"/>
          <w:sz w:val="20"/>
          <w:szCs w:val="20"/>
        </w:rPr>
        <w:t>.</w:t>
      </w:r>
    </w:p>
    <w:p w14:paraId="70E6CAA6" w14:textId="77777777" w:rsidR="006A0E1C" w:rsidRPr="00D13792" w:rsidRDefault="006A0E1C" w:rsidP="006A0E1C">
      <w:pPr>
        <w:tabs>
          <w:tab w:val="left" w:pos="567"/>
        </w:tabs>
        <w:spacing w:afterLines="40" w:after="96" w:line="240" w:lineRule="auto"/>
        <w:ind w:right="4"/>
        <w:rPr>
          <w:sz w:val="20"/>
          <w:szCs w:val="20"/>
        </w:rPr>
      </w:pPr>
    </w:p>
    <w:p w14:paraId="60F92EE0"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 xml:space="preserve">El Estado debe pagar las cantidades fijadas en los párrafos 327 y 334 de la presente Sentencia, por concepto de indemnizaciones por daño material e inmaterial, y por el reintegro de costas y gastos, en los términos de los referidos párrafos y de los párrafos 324 a 328, y 331 a 340 de este Fallo.  </w:t>
      </w:r>
    </w:p>
    <w:p w14:paraId="528828DB" w14:textId="77777777" w:rsidR="006A0E1C" w:rsidRPr="00D13792" w:rsidRDefault="006A0E1C" w:rsidP="006A0E1C">
      <w:pPr>
        <w:tabs>
          <w:tab w:val="num" w:pos="792"/>
          <w:tab w:val="num" w:pos="1152"/>
        </w:tabs>
        <w:spacing w:afterLines="40" w:after="96" w:line="240" w:lineRule="auto"/>
        <w:ind w:right="99"/>
        <w:rPr>
          <w:sz w:val="20"/>
          <w:szCs w:val="20"/>
        </w:rPr>
      </w:pPr>
    </w:p>
    <w:p w14:paraId="4C943F76" w14:textId="77777777" w:rsidR="006A0E1C" w:rsidRPr="00D13792" w:rsidRDefault="006A0E1C" w:rsidP="006A0E1C">
      <w:pPr>
        <w:numPr>
          <w:ilvl w:val="0"/>
          <w:numId w:val="29"/>
        </w:numPr>
        <w:tabs>
          <w:tab w:val="left" w:pos="567"/>
        </w:tabs>
        <w:spacing w:afterLines="40" w:after="96" w:line="240" w:lineRule="auto"/>
        <w:ind w:right="4"/>
        <w:rPr>
          <w:sz w:val="20"/>
          <w:szCs w:val="20"/>
        </w:rPr>
      </w:pPr>
      <w:r w:rsidRPr="00D13792">
        <w:rPr>
          <w:sz w:val="20"/>
          <w:szCs w:val="20"/>
        </w:rPr>
        <w:t xml:space="preserve">El Estado debe, dentro del plazo de un año contado a partir de la notificación de esta Sentencia, rendir a la Corte Interamericana de Derechos Humanos un informe sobre las medidas adoptadas para cumplir con la misma. </w:t>
      </w:r>
    </w:p>
    <w:p w14:paraId="6E536CE7" w14:textId="77777777" w:rsidR="006A0E1C" w:rsidRPr="00D13792" w:rsidRDefault="006A0E1C" w:rsidP="006A0E1C">
      <w:pPr>
        <w:pStyle w:val="PrrafodeSentencia"/>
        <w:spacing w:afterLines="40" w:after="96"/>
        <w:jc w:val="both"/>
        <w:rPr>
          <w:b w:val="0"/>
          <w:bCs/>
          <w:i w:val="0"/>
          <w:lang w:val="es-CR"/>
        </w:rPr>
      </w:pPr>
    </w:p>
    <w:p w14:paraId="1185CE5C" w14:textId="77777777" w:rsidR="006A0E1C" w:rsidRPr="00D13792" w:rsidRDefault="006A0E1C" w:rsidP="006A0E1C">
      <w:pPr>
        <w:numPr>
          <w:ilvl w:val="0"/>
          <w:numId w:val="29"/>
        </w:numPr>
        <w:tabs>
          <w:tab w:val="left" w:pos="567"/>
        </w:tabs>
        <w:spacing w:afterLines="40" w:after="96" w:line="240" w:lineRule="auto"/>
        <w:ind w:right="4"/>
        <w:rPr>
          <w:rFonts w:eastAsia="Calibri"/>
          <w:lang w:eastAsia="es-ES"/>
        </w:rPr>
      </w:pPr>
      <w:r w:rsidRPr="00D13792">
        <w:rPr>
          <w:sz w:val="20"/>
          <w:szCs w:val="20"/>
        </w:rPr>
        <w:t xml:space="preserve">La Corte supervisará el cumplimiento íntegro de este Fallo, en ejercicio de sus atribuciones y en cumplimiento de sus deberes conforme a la Convención Americana, y dará por concluido el presente caso una vez que el Estado haya dado cabal cumplimiento a lo dispuesto en el mismo.  </w:t>
      </w:r>
    </w:p>
    <w:p w14:paraId="554A5D63" w14:textId="77777777" w:rsidR="00231E67" w:rsidRDefault="00231E67">
      <w:pPr>
        <w:widowControl/>
        <w:adjustRightInd/>
        <w:spacing w:line="240" w:lineRule="auto"/>
        <w:jc w:val="left"/>
        <w:textAlignment w:val="auto"/>
        <w:rPr>
          <w:sz w:val="16"/>
        </w:rPr>
      </w:pPr>
    </w:p>
    <w:p w14:paraId="20ED8120" w14:textId="77777777" w:rsidR="00467C66" w:rsidRDefault="00467C66" w:rsidP="00AD1689">
      <w:pPr>
        <w:tabs>
          <w:tab w:val="left" w:pos="567"/>
        </w:tabs>
        <w:spacing w:line="240" w:lineRule="auto"/>
        <w:ind w:right="4"/>
        <w:rPr>
          <w:sz w:val="16"/>
        </w:rPr>
      </w:pPr>
    </w:p>
    <w:p w14:paraId="527F5A27" w14:textId="77777777" w:rsidR="00D057A2" w:rsidRDefault="00D057A2" w:rsidP="00AD1689">
      <w:pPr>
        <w:tabs>
          <w:tab w:val="left" w:pos="567"/>
        </w:tabs>
        <w:spacing w:line="240" w:lineRule="auto"/>
        <w:ind w:right="4"/>
        <w:rPr>
          <w:sz w:val="16"/>
        </w:rPr>
      </w:pPr>
    </w:p>
    <w:p w14:paraId="7AB2667A" w14:textId="77777777" w:rsidR="00D057A2" w:rsidRDefault="00D057A2" w:rsidP="00AD1689">
      <w:pPr>
        <w:tabs>
          <w:tab w:val="left" w:pos="567"/>
        </w:tabs>
        <w:spacing w:line="240" w:lineRule="auto"/>
        <w:ind w:right="4"/>
        <w:rPr>
          <w:sz w:val="16"/>
        </w:rPr>
      </w:pPr>
    </w:p>
    <w:p w14:paraId="29124E22" w14:textId="77777777" w:rsidR="00D057A2" w:rsidRPr="00D057A2" w:rsidRDefault="00D057A2" w:rsidP="00D057A2">
      <w:pPr>
        <w:widowControl/>
        <w:adjustRightInd/>
        <w:spacing w:line="240" w:lineRule="auto"/>
        <w:textAlignment w:val="auto"/>
        <w:rPr>
          <w:rFonts w:eastAsia="Times"/>
          <w:sz w:val="20"/>
          <w:szCs w:val="20"/>
          <w:lang w:val="es-ES" w:eastAsia="en-US"/>
        </w:rPr>
      </w:pPr>
      <w:r w:rsidRPr="00D057A2">
        <w:rPr>
          <w:rFonts w:eastAsia="Times"/>
          <w:sz w:val="20"/>
          <w:szCs w:val="20"/>
          <w:lang w:val="es-ES" w:eastAsia="en-US"/>
        </w:rPr>
        <w:lastRenderedPageBreak/>
        <w:t>Sentencia de la Corte Interamericana de Derechos Humanos. Caso Miembros de la Aldea Chichupac y Comunidades Vecinas del Municipio de Rabinal Vs. Guatemala. Excepciones Preliminares, Fondo, Reparaciones y Costas. Sentencia de 30 de noviembre de 2016.</w:t>
      </w:r>
    </w:p>
    <w:p w14:paraId="3E4C32E9"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0C49F634"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p>
    <w:p w14:paraId="0C76EF67"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p>
    <w:p w14:paraId="49CAF2F9"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p>
    <w:p w14:paraId="09D808E9"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p>
    <w:p w14:paraId="3FDA8CF0"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r w:rsidRPr="00D057A2">
        <w:rPr>
          <w:rFonts w:eastAsia="Times"/>
          <w:sz w:val="20"/>
          <w:szCs w:val="20"/>
          <w:lang w:val="es-ES" w:eastAsia="en-US"/>
        </w:rPr>
        <w:t>Roberto F. Caldas</w:t>
      </w:r>
    </w:p>
    <w:p w14:paraId="3E5DB92A"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r w:rsidRPr="00D057A2">
        <w:rPr>
          <w:rFonts w:eastAsia="Times"/>
          <w:sz w:val="20"/>
          <w:szCs w:val="20"/>
          <w:lang w:val="es-ES" w:eastAsia="en-US"/>
        </w:rPr>
        <w:t xml:space="preserve">Presidente </w:t>
      </w:r>
    </w:p>
    <w:p w14:paraId="2C956244"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79E794A7"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443ED596"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3994AC57"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17A45F13"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17E00ABC" w14:textId="77777777" w:rsidR="00D057A2" w:rsidRPr="00D057A2" w:rsidRDefault="00D057A2" w:rsidP="00D057A2">
      <w:pPr>
        <w:widowControl/>
        <w:adjustRightInd/>
        <w:spacing w:line="240" w:lineRule="auto"/>
        <w:textAlignment w:val="auto"/>
        <w:rPr>
          <w:rFonts w:eastAsia="Times"/>
          <w:sz w:val="20"/>
          <w:szCs w:val="20"/>
          <w:lang w:val="es-ES" w:eastAsia="en-US"/>
        </w:rPr>
      </w:pPr>
      <w:r w:rsidRPr="00D057A2">
        <w:rPr>
          <w:rFonts w:eastAsia="Times"/>
          <w:sz w:val="20"/>
          <w:szCs w:val="20"/>
          <w:lang w:val="es-ES" w:eastAsia="en-US"/>
        </w:rPr>
        <w:t>Eduardo Ferrer Mac-Gregor Poisot</w:t>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t xml:space="preserve">       Eduardo Vio Grossi</w:t>
      </w:r>
    </w:p>
    <w:p w14:paraId="090895EF"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296C97D1"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4608E3EC"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5E1CBB03"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0F3F399C"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0791CF25" w14:textId="77777777" w:rsidR="00D057A2" w:rsidRPr="00D057A2" w:rsidRDefault="00D057A2" w:rsidP="00D057A2">
      <w:pPr>
        <w:widowControl/>
        <w:adjustRightInd/>
        <w:spacing w:line="240" w:lineRule="auto"/>
        <w:textAlignment w:val="auto"/>
        <w:rPr>
          <w:rFonts w:eastAsia="Times"/>
          <w:sz w:val="20"/>
          <w:szCs w:val="20"/>
          <w:lang w:val="es-ES" w:eastAsia="en-US"/>
        </w:rPr>
      </w:pPr>
      <w:r w:rsidRPr="00D057A2">
        <w:rPr>
          <w:rFonts w:eastAsia="Times"/>
          <w:sz w:val="20"/>
          <w:szCs w:val="20"/>
          <w:lang w:val="es-ES" w:eastAsia="en-US"/>
        </w:rPr>
        <w:t>Humberto Antonio Sierra Porto</w:t>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t xml:space="preserve">    Elizabeth Odio Benito</w:t>
      </w:r>
    </w:p>
    <w:p w14:paraId="7FC47E20"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3027A0F7"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7B56E9A3"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504DFE1C"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5B1A6797"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1F04E985" w14:textId="77777777" w:rsidR="00D057A2" w:rsidRPr="00D057A2" w:rsidRDefault="00D057A2" w:rsidP="00D057A2">
      <w:pPr>
        <w:widowControl/>
        <w:adjustRightInd/>
        <w:spacing w:line="240" w:lineRule="auto"/>
        <w:jc w:val="left"/>
        <w:textAlignment w:val="auto"/>
        <w:rPr>
          <w:rFonts w:eastAsia="Times"/>
          <w:sz w:val="20"/>
          <w:szCs w:val="20"/>
          <w:lang w:val="es-ES" w:eastAsia="en-US"/>
        </w:rPr>
      </w:pPr>
      <w:r w:rsidRPr="00D057A2">
        <w:rPr>
          <w:rFonts w:eastAsia="Times"/>
          <w:sz w:val="20"/>
          <w:szCs w:val="20"/>
          <w:lang w:val="es-ES" w:eastAsia="en-US"/>
        </w:rPr>
        <w:t xml:space="preserve">Eugenio Raúl Zaffaroni </w:t>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r>
      <w:r w:rsidRPr="00D057A2">
        <w:rPr>
          <w:rFonts w:eastAsia="Times"/>
          <w:sz w:val="20"/>
          <w:szCs w:val="20"/>
          <w:lang w:val="es-ES" w:eastAsia="en-US"/>
        </w:rPr>
        <w:tab/>
        <w:t xml:space="preserve">        L. Patricio Pazmiño Freire</w:t>
      </w:r>
    </w:p>
    <w:p w14:paraId="1A7F48BE"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2016680F"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16A2C26C"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7D095AD5" w14:textId="77777777" w:rsidR="00D057A2" w:rsidRPr="00D057A2" w:rsidRDefault="00D057A2" w:rsidP="00D057A2">
      <w:pPr>
        <w:widowControl/>
        <w:adjustRightInd/>
        <w:spacing w:line="240" w:lineRule="auto"/>
        <w:textAlignment w:val="auto"/>
        <w:rPr>
          <w:rFonts w:eastAsia="Times"/>
          <w:sz w:val="20"/>
          <w:szCs w:val="20"/>
          <w:lang w:eastAsia="en-US"/>
        </w:rPr>
      </w:pPr>
    </w:p>
    <w:p w14:paraId="6AEEA705"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608A5E94"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r w:rsidRPr="00D057A2">
        <w:rPr>
          <w:rFonts w:eastAsia="Times"/>
          <w:sz w:val="20"/>
          <w:szCs w:val="20"/>
          <w:lang w:val="es-ES" w:eastAsia="en-US"/>
        </w:rPr>
        <w:t>Pablo Saavedra Alessandri</w:t>
      </w:r>
    </w:p>
    <w:p w14:paraId="375B4608"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r w:rsidRPr="00D057A2">
        <w:rPr>
          <w:rFonts w:eastAsia="Times"/>
          <w:sz w:val="20"/>
          <w:szCs w:val="20"/>
          <w:lang w:val="es-ES" w:eastAsia="en-US"/>
        </w:rPr>
        <w:t>Secretario</w:t>
      </w:r>
    </w:p>
    <w:p w14:paraId="439A7AD2" w14:textId="77777777" w:rsidR="00D057A2" w:rsidRPr="00D057A2" w:rsidRDefault="00D057A2" w:rsidP="00D057A2">
      <w:pPr>
        <w:widowControl/>
        <w:adjustRightInd/>
        <w:spacing w:line="240" w:lineRule="auto"/>
        <w:jc w:val="left"/>
        <w:textAlignment w:val="auto"/>
        <w:rPr>
          <w:rFonts w:eastAsia="Times"/>
          <w:sz w:val="20"/>
          <w:szCs w:val="20"/>
          <w:lang w:val="es-ES" w:eastAsia="en-US"/>
        </w:rPr>
      </w:pPr>
    </w:p>
    <w:p w14:paraId="1866A2EF"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348559BB" w14:textId="77777777" w:rsidR="00D057A2" w:rsidRPr="00D057A2" w:rsidRDefault="00D057A2" w:rsidP="00D057A2">
      <w:pPr>
        <w:widowControl/>
        <w:adjustRightInd/>
        <w:spacing w:line="240" w:lineRule="auto"/>
        <w:textAlignment w:val="auto"/>
        <w:rPr>
          <w:rFonts w:eastAsia="Times"/>
          <w:sz w:val="20"/>
          <w:szCs w:val="20"/>
          <w:lang w:val="es-ES" w:eastAsia="en-US"/>
        </w:rPr>
      </w:pPr>
      <w:r w:rsidRPr="00D057A2">
        <w:rPr>
          <w:rFonts w:eastAsia="Times"/>
          <w:sz w:val="20"/>
          <w:szCs w:val="20"/>
          <w:lang w:val="es-ES" w:eastAsia="en-US"/>
        </w:rPr>
        <w:t>Comuníquese y ejecútese,</w:t>
      </w:r>
    </w:p>
    <w:p w14:paraId="7AD02988"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1ED63501"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1ABC1EBD"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3DF3F50E"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530CDCFF"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r w:rsidRPr="00D057A2">
        <w:rPr>
          <w:rFonts w:eastAsia="Times"/>
          <w:sz w:val="20"/>
          <w:szCs w:val="20"/>
          <w:lang w:val="es-ES" w:eastAsia="en-US"/>
        </w:rPr>
        <w:t>Roberto F. Caldas</w:t>
      </w:r>
    </w:p>
    <w:p w14:paraId="2F870458" w14:textId="77777777" w:rsidR="00D057A2" w:rsidRPr="00D057A2" w:rsidRDefault="00D057A2" w:rsidP="00D057A2">
      <w:pPr>
        <w:widowControl/>
        <w:adjustRightInd/>
        <w:spacing w:line="240" w:lineRule="auto"/>
        <w:jc w:val="center"/>
        <w:textAlignment w:val="auto"/>
        <w:rPr>
          <w:rFonts w:eastAsia="Times"/>
          <w:sz w:val="20"/>
          <w:szCs w:val="20"/>
          <w:lang w:val="es-ES" w:eastAsia="en-US"/>
        </w:rPr>
      </w:pPr>
      <w:r w:rsidRPr="00D057A2">
        <w:rPr>
          <w:rFonts w:eastAsia="Times"/>
          <w:sz w:val="20"/>
          <w:szCs w:val="20"/>
          <w:lang w:val="es-ES" w:eastAsia="en-US"/>
        </w:rPr>
        <w:t xml:space="preserve">Presidente </w:t>
      </w:r>
    </w:p>
    <w:p w14:paraId="69BE7869"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4B1E492F"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63EA5F46"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3155DA0C" w14:textId="77777777" w:rsidR="00D057A2" w:rsidRPr="00D057A2" w:rsidRDefault="00D057A2" w:rsidP="00D057A2">
      <w:pPr>
        <w:widowControl/>
        <w:adjustRightInd/>
        <w:spacing w:line="240" w:lineRule="auto"/>
        <w:textAlignment w:val="auto"/>
        <w:rPr>
          <w:rFonts w:eastAsia="Times"/>
          <w:sz w:val="20"/>
          <w:szCs w:val="20"/>
          <w:lang w:val="es-ES" w:eastAsia="en-US"/>
        </w:rPr>
      </w:pPr>
    </w:p>
    <w:p w14:paraId="459ABB20" w14:textId="77777777" w:rsidR="00D057A2" w:rsidRPr="00D057A2" w:rsidRDefault="00D057A2" w:rsidP="00D057A2">
      <w:pPr>
        <w:widowControl/>
        <w:adjustRightInd/>
        <w:spacing w:line="240" w:lineRule="auto"/>
        <w:textAlignment w:val="auto"/>
        <w:rPr>
          <w:rFonts w:eastAsia="Times"/>
          <w:sz w:val="20"/>
          <w:szCs w:val="20"/>
          <w:lang w:val="es-ES" w:eastAsia="en-US"/>
        </w:rPr>
      </w:pPr>
      <w:r w:rsidRPr="00D057A2">
        <w:rPr>
          <w:rFonts w:eastAsia="Times"/>
          <w:sz w:val="20"/>
          <w:szCs w:val="20"/>
          <w:lang w:val="es-ES" w:eastAsia="en-US"/>
        </w:rPr>
        <w:t>Pablo Saavedra Alessandri</w:t>
      </w:r>
    </w:p>
    <w:p w14:paraId="5C09A060" w14:textId="77777777" w:rsidR="00D057A2" w:rsidRPr="00D057A2" w:rsidRDefault="00D057A2" w:rsidP="00D057A2">
      <w:pPr>
        <w:widowControl/>
        <w:adjustRightInd/>
        <w:spacing w:line="240" w:lineRule="auto"/>
        <w:jc w:val="left"/>
        <w:textAlignment w:val="auto"/>
        <w:rPr>
          <w:rFonts w:eastAsia="Times"/>
          <w:sz w:val="20"/>
          <w:szCs w:val="20"/>
          <w:lang w:eastAsia="en-US"/>
        </w:rPr>
      </w:pPr>
      <w:r w:rsidRPr="00D057A2">
        <w:rPr>
          <w:rFonts w:eastAsia="Times"/>
          <w:sz w:val="20"/>
          <w:szCs w:val="20"/>
          <w:lang w:val="es-ES" w:eastAsia="en-US"/>
        </w:rPr>
        <w:tab/>
      </w:r>
      <w:r w:rsidRPr="00D057A2">
        <w:rPr>
          <w:rFonts w:eastAsia="Times"/>
          <w:sz w:val="20"/>
          <w:szCs w:val="20"/>
          <w:lang w:eastAsia="en-US"/>
        </w:rPr>
        <w:t>Secretario</w:t>
      </w:r>
    </w:p>
    <w:p w14:paraId="785A7656" w14:textId="77777777" w:rsidR="00537112" w:rsidRDefault="00537112" w:rsidP="00AD1689">
      <w:pPr>
        <w:tabs>
          <w:tab w:val="left" w:pos="567"/>
        </w:tabs>
        <w:spacing w:line="240" w:lineRule="auto"/>
        <w:ind w:right="4"/>
        <w:rPr>
          <w:sz w:val="16"/>
        </w:rPr>
        <w:sectPr w:rsidR="00537112" w:rsidSect="00D46CE5">
          <w:headerReference w:type="default" r:id="rId12"/>
          <w:footerReference w:type="even" r:id="rId13"/>
          <w:footerReference w:type="default" r:id="rId14"/>
          <w:headerReference w:type="first" r:id="rId15"/>
          <w:pgSz w:w="12240" w:h="15840" w:code="1"/>
          <w:pgMar w:top="1210" w:right="1296" w:bottom="1210" w:left="1296" w:header="706" w:footer="706" w:gutter="0"/>
          <w:cols w:space="708"/>
          <w:titlePg/>
          <w:docGrid w:linePitch="360"/>
        </w:sectPr>
      </w:pPr>
    </w:p>
    <w:p w14:paraId="417ABDEC" w14:textId="77777777" w:rsidR="00537112" w:rsidRPr="00537112" w:rsidRDefault="00537112" w:rsidP="00537112">
      <w:pPr>
        <w:autoSpaceDE w:val="0"/>
        <w:autoSpaceDN w:val="0"/>
        <w:spacing w:before="9" w:line="100" w:lineRule="exact"/>
        <w:jc w:val="left"/>
        <w:textAlignment w:val="auto"/>
        <w:rPr>
          <w:rFonts w:ascii="Times New Roman" w:hAnsi="Times New Roman"/>
          <w:sz w:val="10"/>
          <w:szCs w:val="10"/>
        </w:rPr>
      </w:pPr>
    </w:p>
    <w:p w14:paraId="1CD4EA2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32A7594C" w14:textId="77777777" w:rsidTr="00630EEC">
        <w:trPr>
          <w:trHeight w:hRule="exact" w:val="348"/>
        </w:trPr>
        <w:tc>
          <w:tcPr>
            <w:tcW w:w="10203" w:type="dxa"/>
            <w:gridSpan w:val="4"/>
            <w:tcBorders>
              <w:top w:val="single" w:sz="4" w:space="0" w:color="auto"/>
              <w:left w:val="single" w:sz="8" w:space="0" w:color="000000"/>
              <w:bottom w:val="single" w:sz="8" w:space="0" w:color="000000"/>
              <w:right w:val="single" w:sz="8" w:space="0" w:color="000000"/>
            </w:tcBorders>
            <w:shd w:val="clear" w:color="auto" w:fill="C0C0C0"/>
          </w:tcPr>
          <w:p w14:paraId="2F282886" w14:textId="77777777" w:rsidR="00537112" w:rsidRPr="00537112" w:rsidRDefault="00537112" w:rsidP="00537112">
            <w:pPr>
              <w:autoSpaceDE w:val="0"/>
              <w:autoSpaceDN w:val="0"/>
              <w:spacing w:before="34" w:line="240" w:lineRule="auto"/>
              <w:ind w:right="-20"/>
              <w:jc w:val="left"/>
              <w:textAlignment w:val="auto"/>
              <w:rPr>
                <w:rFonts w:ascii="Times New Roman" w:hAnsi="Times New Roman"/>
              </w:rPr>
            </w:pPr>
            <w:r w:rsidRPr="00537112">
              <w:rPr>
                <w:rFonts w:cs="Verdana"/>
                <w:b/>
                <w:bCs/>
                <w:spacing w:val="1"/>
              </w:rPr>
              <w:t>AN</w:t>
            </w:r>
            <w:r w:rsidRPr="00537112">
              <w:rPr>
                <w:rFonts w:cs="Verdana"/>
                <w:b/>
                <w:bCs/>
                <w:spacing w:val="-1"/>
              </w:rPr>
              <w:t>EX</w:t>
            </w:r>
            <w:r w:rsidRPr="00537112">
              <w:rPr>
                <w:rFonts w:cs="Verdana"/>
                <w:b/>
                <w:bCs/>
              </w:rPr>
              <w:t xml:space="preserve">O </w:t>
            </w:r>
            <w:r w:rsidRPr="00537112">
              <w:rPr>
                <w:rFonts w:cs="Verdana"/>
                <w:b/>
                <w:bCs/>
                <w:spacing w:val="1"/>
              </w:rPr>
              <w:t>I</w:t>
            </w:r>
            <w:r w:rsidRPr="00537112">
              <w:rPr>
                <w:rFonts w:cs="Verdana"/>
                <w:b/>
                <w:bCs/>
              </w:rPr>
              <w:t xml:space="preserve">. </w:t>
            </w:r>
            <w:r w:rsidRPr="00537112">
              <w:rPr>
                <w:rFonts w:cs="Verdana"/>
                <w:b/>
                <w:bCs/>
                <w:spacing w:val="1"/>
              </w:rPr>
              <w:t>LI</w:t>
            </w:r>
            <w:r w:rsidRPr="00537112">
              <w:rPr>
                <w:rFonts w:cs="Verdana"/>
                <w:b/>
                <w:bCs/>
              </w:rPr>
              <w:t>ST</w:t>
            </w:r>
            <w:r w:rsidRPr="00537112">
              <w:rPr>
                <w:rFonts w:cs="Verdana"/>
                <w:b/>
                <w:bCs/>
                <w:spacing w:val="1"/>
              </w:rPr>
              <w:t>A</w:t>
            </w:r>
            <w:r w:rsidRPr="00537112">
              <w:rPr>
                <w:rFonts w:cs="Verdana"/>
                <w:b/>
                <w:bCs/>
              </w:rPr>
              <w:t>DO G</w:t>
            </w:r>
            <w:r w:rsidRPr="00537112">
              <w:rPr>
                <w:rFonts w:cs="Verdana"/>
                <w:b/>
                <w:bCs/>
                <w:spacing w:val="-1"/>
              </w:rPr>
              <w:t>E</w:t>
            </w:r>
            <w:r w:rsidRPr="00537112">
              <w:rPr>
                <w:rFonts w:cs="Verdana"/>
                <w:b/>
                <w:bCs/>
                <w:spacing w:val="1"/>
              </w:rPr>
              <w:t>N</w:t>
            </w:r>
            <w:r w:rsidRPr="00537112">
              <w:rPr>
                <w:rFonts w:cs="Verdana"/>
                <w:b/>
                <w:bCs/>
                <w:spacing w:val="-1"/>
              </w:rPr>
              <w:t>E</w:t>
            </w:r>
            <w:r w:rsidRPr="00537112">
              <w:rPr>
                <w:rFonts w:cs="Verdana"/>
                <w:b/>
                <w:bCs/>
              </w:rPr>
              <w:t>R</w:t>
            </w:r>
            <w:r w:rsidRPr="00537112">
              <w:rPr>
                <w:rFonts w:cs="Verdana"/>
                <w:b/>
                <w:bCs/>
                <w:spacing w:val="1"/>
              </w:rPr>
              <w:t>A</w:t>
            </w:r>
            <w:r w:rsidRPr="00537112">
              <w:rPr>
                <w:rFonts w:cs="Verdana"/>
                <w:b/>
                <w:bCs/>
              </w:rPr>
              <w:t>L DE</w:t>
            </w:r>
            <w:r w:rsidRPr="00537112">
              <w:rPr>
                <w:rFonts w:cs="Verdana"/>
                <w:b/>
                <w:bCs/>
                <w:spacing w:val="-1"/>
              </w:rPr>
              <w:t xml:space="preserve"> V</w:t>
            </w:r>
            <w:r w:rsidRPr="00537112">
              <w:rPr>
                <w:rFonts w:cs="Verdana"/>
                <w:b/>
                <w:bCs/>
                <w:spacing w:val="1"/>
              </w:rPr>
              <w:t>Í</w:t>
            </w:r>
            <w:r w:rsidRPr="00537112">
              <w:rPr>
                <w:rFonts w:cs="Verdana"/>
                <w:b/>
                <w:bCs/>
                <w:spacing w:val="-1"/>
              </w:rPr>
              <w:t>C</w:t>
            </w:r>
            <w:r w:rsidRPr="00537112">
              <w:rPr>
                <w:rFonts w:cs="Verdana"/>
                <w:b/>
                <w:bCs/>
              </w:rPr>
              <w:t>T</w:t>
            </w:r>
            <w:r w:rsidRPr="00537112">
              <w:rPr>
                <w:rFonts w:cs="Verdana"/>
                <w:b/>
                <w:bCs/>
                <w:spacing w:val="1"/>
              </w:rPr>
              <w:t>I</w:t>
            </w:r>
            <w:r w:rsidRPr="00537112">
              <w:rPr>
                <w:rFonts w:cs="Verdana"/>
                <w:b/>
                <w:bCs/>
              </w:rPr>
              <w:t>M</w:t>
            </w:r>
            <w:r w:rsidRPr="00537112">
              <w:rPr>
                <w:rFonts w:cs="Verdana"/>
                <w:b/>
                <w:bCs/>
                <w:spacing w:val="1"/>
              </w:rPr>
              <w:t>AS</w:t>
            </w:r>
          </w:p>
        </w:tc>
      </w:tr>
      <w:tr w:rsidR="00537112" w:rsidRPr="00537112" w14:paraId="4FDFAA35" w14:textId="77777777" w:rsidTr="00630EEC">
        <w:trPr>
          <w:trHeight w:hRule="exact" w:val="494"/>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19906D"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44C67AF1" w14:textId="77777777" w:rsidR="00537112" w:rsidRPr="00537112" w:rsidRDefault="00537112" w:rsidP="00537112">
            <w:pPr>
              <w:autoSpaceDE w:val="0"/>
              <w:autoSpaceDN w:val="0"/>
              <w:spacing w:line="240" w:lineRule="auto"/>
              <w:ind w:right="271"/>
              <w:jc w:val="center"/>
              <w:textAlignment w:val="auto"/>
              <w:rPr>
                <w:rFonts w:ascii="Times New Roman" w:hAnsi="Times New Roman"/>
              </w:rPr>
            </w:pPr>
            <w:r w:rsidRPr="00537112">
              <w:rPr>
                <w:rFonts w:cs="Verdana"/>
                <w:b/>
                <w:bCs/>
                <w:spacing w:val="-1"/>
                <w:w w:val="99"/>
                <w:sz w:val="20"/>
                <w:szCs w:val="20"/>
              </w:rPr>
              <w:t>N</w:t>
            </w:r>
            <w:r w:rsidRPr="00537112">
              <w:rPr>
                <w:rFonts w:cs="Verdana"/>
                <w:b/>
                <w:bCs/>
                <w:w w:val="99"/>
                <w:sz w:val="20"/>
                <w:szCs w:val="20"/>
              </w:rPr>
              <w:t>°</w:t>
            </w:r>
          </w:p>
        </w:tc>
        <w:tc>
          <w:tcPr>
            <w:tcW w:w="3958" w:type="dxa"/>
            <w:tcBorders>
              <w:top w:val="single" w:sz="8" w:space="0" w:color="000000"/>
              <w:left w:val="single" w:sz="8" w:space="0" w:color="000000"/>
              <w:bottom w:val="single" w:sz="8" w:space="0" w:color="000000"/>
              <w:right w:val="single" w:sz="8" w:space="0" w:color="000000"/>
            </w:tcBorders>
          </w:tcPr>
          <w:p w14:paraId="0D67451F" w14:textId="77777777" w:rsidR="00537112" w:rsidRPr="00537112" w:rsidRDefault="00537112" w:rsidP="00537112">
            <w:pPr>
              <w:autoSpaceDE w:val="0"/>
              <w:autoSpaceDN w:val="0"/>
              <w:spacing w:line="228" w:lineRule="exact"/>
              <w:ind w:right="-20"/>
              <w:jc w:val="left"/>
              <w:textAlignment w:val="auto"/>
              <w:rPr>
                <w:rFonts w:cs="Verdana"/>
                <w:sz w:val="20"/>
                <w:szCs w:val="20"/>
              </w:rPr>
            </w:pPr>
            <w:r w:rsidRPr="00537112">
              <w:rPr>
                <w:rFonts w:cs="Verdana"/>
                <w:b/>
                <w:bCs/>
                <w:spacing w:val="-1"/>
                <w:sz w:val="20"/>
                <w:szCs w:val="20"/>
              </w:rPr>
              <w:t>VÍ</w:t>
            </w:r>
            <w:r w:rsidRPr="00537112">
              <w:rPr>
                <w:rFonts w:cs="Verdana"/>
                <w:b/>
                <w:bCs/>
                <w:sz w:val="20"/>
                <w:szCs w:val="20"/>
              </w:rPr>
              <w:t>C</w:t>
            </w:r>
            <w:r w:rsidRPr="00537112">
              <w:rPr>
                <w:rFonts w:cs="Verdana"/>
                <w:b/>
                <w:bCs/>
                <w:spacing w:val="1"/>
                <w:sz w:val="20"/>
                <w:szCs w:val="20"/>
              </w:rPr>
              <w:t>T</w:t>
            </w:r>
            <w:r w:rsidRPr="00537112">
              <w:rPr>
                <w:rFonts w:cs="Verdana"/>
                <w:b/>
                <w:bCs/>
                <w:spacing w:val="-1"/>
                <w:sz w:val="20"/>
                <w:szCs w:val="20"/>
              </w:rPr>
              <w:t>I</w:t>
            </w:r>
            <w:r w:rsidRPr="00537112">
              <w:rPr>
                <w:rFonts w:cs="Verdana"/>
                <w:b/>
                <w:bCs/>
                <w:spacing w:val="1"/>
                <w:sz w:val="20"/>
                <w:szCs w:val="20"/>
              </w:rPr>
              <w:t>M</w:t>
            </w:r>
            <w:r w:rsidRPr="00537112">
              <w:rPr>
                <w:rFonts w:cs="Verdana"/>
                <w:b/>
                <w:bCs/>
                <w:spacing w:val="-1"/>
                <w:sz w:val="20"/>
                <w:szCs w:val="20"/>
              </w:rPr>
              <w:t>A</w:t>
            </w:r>
            <w:r w:rsidRPr="00537112">
              <w:rPr>
                <w:rFonts w:cs="Verdana"/>
                <w:b/>
                <w:bCs/>
                <w:sz w:val="20"/>
                <w:szCs w:val="20"/>
              </w:rPr>
              <w:t>S</w:t>
            </w:r>
            <w:r w:rsidRPr="00537112">
              <w:rPr>
                <w:rFonts w:cs="Verdana"/>
                <w:b/>
                <w:bCs/>
                <w:spacing w:val="-12"/>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D</w:t>
            </w:r>
            <w:r w:rsidRPr="00537112">
              <w:rPr>
                <w:rFonts w:cs="Verdana"/>
                <w:b/>
                <w:bCs/>
                <w:spacing w:val="1"/>
                <w:sz w:val="20"/>
                <w:szCs w:val="20"/>
              </w:rPr>
              <w:t>E</w:t>
            </w:r>
            <w:r w:rsidRPr="00537112">
              <w:rPr>
                <w:rFonts w:cs="Verdana"/>
                <w:b/>
                <w:bCs/>
                <w:sz w:val="20"/>
                <w:szCs w:val="20"/>
              </w:rPr>
              <w:t>S</w:t>
            </w:r>
            <w:r w:rsidRPr="00537112">
              <w:rPr>
                <w:rFonts w:cs="Verdana"/>
                <w:b/>
                <w:bCs/>
                <w:spacing w:val="-1"/>
                <w:sz w:val="20"/>
                <w:szCs w:val="20"/>
              </w:rPr>
              <w:t>A</w:t>
            </w:r>
            <w:r w:rsidRPr="00537112">
              <w:rPr>
                <w:rFonts w:cs="Verdana"/>
                <w:b/>
                <w:bCs/>
                <w:sz w:val="20"/>
                <w:szCs w:val="20"/>
              </w:rPr>
              <w:t>P</w:t>
            </w:r>
            <w:r w:rsidRPr="00537112">
              <w:rPr>
                <w:rFonts w:cs="Verdana"/>
                <w:b/>
                <w:bCs/>
                <w:spacing w:val="-1"/>
                <w:sz w:val="20"/>
                <w:szCs w:val="20"/>
              </w:rPr>
              <w:t>A</w:t>
            </w:r>
            <w:r w:rsidRPr="00537112">
              <w:rPr>
                <w:rFonts w:cs="Verdana"/>
                <w:b/>
                <w:bCs/>
                <w:sz w:val="20"/>
                <w:szCs w:val="20"/>
              </w:rPr>
              <w:t>R</w:t>
            </w:r>
            <w:r w:rsidRPr="00537112">
              <w:rPr>
                <w:rFonts w:cs="Verdana"/>
                <w:b/>
                <w:bCs/>
                <w:spacing w:val="-1"/>
                <w:sz w:val="20"/>
                <w:szCs w:val="20"/>
              </w:rPr>
              <w:t>I</w:t>
            </w:r>
            <w:r w:rsidRPr="00537112">
              <w:rPr>
                <w:rFonts w:cs="Verdana"/>
                <w:b/>
                <w:bCs/>
                <w:sz w:val="20"/>
                <w:szCs w:val="20"/>
              </w:rPr>
              <w:t>C</w:t>
            </w:r>
            <w:r w:rsidRPr="00537112">
              <w:rPr>
                <w:rFonts w:cs="Verdana"/>
                <w:b/>
                <w:bCs/>
                <w:spacing w:val="-1"/>
                <w:sz w:val="20"/>
                <w:szCs w:val="20"/>
              </w:rPr>
              <w:t>I</w:t>
            </w:r>
            <w:r w:rsidRPr="00537112">
              <w:rPr>
                <w:rFonts w:cs="Verdana"/>
                <w:b/>
                <w:bCs/>
                <w:spacing w:val="1"/>
                <w:sz w:val="20"/>
                <w:szCs w:val="20"/>
              </w:rPr>
              <w:t>Ó</w:t>
            </w:r>
            <w:r w:rsidRPr="00537112">
              <w:rPr>
                <w:rFonts w:cs="Verdana"/>
                <w:b/>
                <w:bCs/>
                <w:sz w:val="20"/>
                <w:szCs w:val="20"/>
              </w:rPr>
              <w:t>N</w:t>
            </w:r>
          </w:p>
          <w:p w14:paraId="4DD37A5F" w14:textId="77777777" w:rsidR="00537112" w:rsidRPr="00537112" w:rsidRDefault="00537112" w:rsidP="00537112">
            <w:pPr>
              <w:autoSpaceDE w:val="0"/>
              <w:autoSpaceDN w:val="0"/>
              <w:spacing w:before="16" w:line="229" w:lineRule="exact"/>
              <w:ind w:right="-20"/>
              <w:jc w:val="left"/>
              <w:textAlignment w:val="auto"/>
              <w:rPr>
                <w:rFonts w:ascii="Times New Roman" w:hAnsi="Times New Roman"/>
              </w:rPr>
            </w:pPr>
            <w:r w:rsidRPr="00537112">
              <w:rPr>
                <w:rFonts w:cs="Verdana"/>
                <w:b/>
                <w:bCs/>
                <w:position w:val="-2"/>
                <w:sz w:val="20"/>
                <w:szCs w:val="20"/>
              </w:rPr>
              <w:t>F</w:t>
            </w:r>
            <w:r w:rsidRPr="00537112">
              <w:rPr>
                <w:rFonts w:cs="Verdana"/>
                <w:b/>
                <w:bCs/>
                <w:spacing w:val="1"/>
                <w:position w:val="-2"/>
                <w:sz w:val="20"/>
                <w:szCs w:val="20"/>
              </w:rPr>
              <w:t>O</w:t>
            </w:r>
            <w:r w:rsidRPr="00537112">
              <w:rPr>
                <w:rFonts w:cs="Verdana"/>
                <w:b/>
                <w:bCs/>
                <w:position w:val="-2"/>
                <w:sz w:val="20"/>
                <w:szCs w:val="20"/>
              </w:rPr>
              <w:t>R</w:t>
            </w:r>
            <w:r w:rsidRPr="00537112">
              <w:rPr>
                <w:rFonts w:cs="Verdana"/>
                <w:b/>
                <w:bCs/>
                <w:spacing w:val="-1"/>
                <w:position w:val="-2"/>
                <w:sz w:val="20"/>
                <w:szCs w:val="20"/>
              </w:rPr>
              <w:t>ZA</w:t>
            </w:r>
            <w:r w:rsidRPr="00537112">
              <w:rPr>
                <w:rFonts w:cs="Verdana"/>
                <w:b/>
                <w:bCs/>
                <w:position w:val="-2"/>
                <w:sz w:val="20"/>
                <w:szCs w:val="20"/>
              </w:rPr>
              <w:t>DA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50A6C9F" w14:textId="77777777" w:rsidR="00537112" w:rsidRPr="00537112" w:rsidRDefault="00537112" w:rsidP="00537112">
            <w:pPr>
              <w:autoSpaceDE w:val="0"/>
              <w:autoSpaceDN w:val="0"/>
              <w:spacing w:before="5" w:line="220" w:lineRule="exact"/>
              <w:jc w:val="left"/>
              <w:textAlignment w:val="auto"/>
              <w:rPr>
                <w:rFonts w:ascii="Times New Roman" w:hAnsi="Times New Roman"/>
                <w:sz w:val="22"/>
                <w:szCs w:val="22"/>
              </w:rPr>
            </w:pPr>
          </w:p>
          <w:p w14:paraId="3BF5EEF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pacing w:val="-1"/>
                <w:sz w:val="20"/>
                <w:szCs w:val="20"/>
              </w:rPr>
              <w:t>N</w:t>
            </w:r>
            <w:r w:rsidRPr="00537112">
              <w:rPr>
                <w:rFonts w:cs="Verdana"/>
                <w:b/>
                <w:bCs/>
                <w:sz w:val="20"/>
                <w:szCs w:val="20"/>
              </w:rPr>
              <w:t>°</w:t>
            </w:r>
          </w:p>
        </w:tc>
        <w:tc>
          <w:tcPr>
            <w:tcW w:w="4496" w:type="dxa"/>
            <w:tcBorders>
              <w:top w:val="single" w:sz="8" w:space="0" w:color="000000"/>
              <w:left w:val="single" w:sz="8" w:space="0" w:color="000000"/>
              <w:bottom w:val="single" w:sz="8" w:space="0" w:color="000000"/>
              <w:right w:val="single" w:sz="8" w:space="0" w:color="000000"/>
            </w:tcBorders>
          </w:tcPr>
          <w:p w14:paraId="64DE814E" w14:textId="77777777" w:rsidR="00537112" w:rsidRPr="00537112" w:rsidRDefault="00537112" w:rsidP="00537112">
            <w:pPr>
              <w:autoSpaceDE w:val="0"/>
              <w:autoSpaceDN w:val="0"/>
              <w:spacing w:before="18" w:line="200" w:lineRule="exact"/>
              <w:jc w:val="left"/>
              <w:textAlignment w:val="auto"/>
              <w:rPr>
                <w:rFonts w:ascii="Times New Roman" w:hAnsi="Times New Roman"/>
                <w:sz w:val="20"/>
                <w:szCs w:val="20"/>
              </w:rPr>
            </w:pPr>
          </w:p>
          <w:p w14:paraId="471370E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pacing w:val="-1"/>
                <w:sz w:val="20"/>
                <w:szCs w:val="20"/>
              </w:rPr>
              <w:t>NU</w:t>
            </w:r>
            <w:r w:rsidRPr="00537112">
              <w:rPr>
                <w:rFonts w:cs="Verdana"/>
                <w:b/>
                <w:bCs/>
                <w:sz w:val="20"/>
                <w:szCs w:val="20"/>
              </w:rPr>
              <w:t>CL</w:t>
            </w:r>
            <w:r w:rsidRPr="00537112">
              <w:rPr>
                <w:rFonts w:cs="Verdana"/>
                <w:b/>
                <w:bCs/>
                <w:spacing w:val="1"/>
                <w:sz w:val="20"/>
                <w:szCs w:val="20"/>
              </w:rPr>
              <w:t>E</w:t>
            </w:r>
            <w:r w:rsidRPr="00537112">
              <w:rPr>
                <w:rFonts w:cs="Verdana"/>
                <w:b/>
                <w:bCs/>
                <w:sz w:val="20"/>
                <w:szCs w:val="20"/>
              </w:rPr>
              <w:t>O</w:t>
            </w:r>
            <w:r w:rsidRPr="00537112">
              <w:rPr>
                <w:rFonts w:cs="Verdana"/>
                <w:b/>
                <w:bCs/>
                <w:spacing w:val="-9"/>
                <w:sz w:val="20"/>
                <w:szCs w:val="20"/>
              </w:rPr>
              <w:t xml:space="preserve"> </w:t>
            </w:r>
            <w:r w:rsidRPr="00537112">
              <w:rPr>
                <w:rFonts w:cs="Verdana"/>
                <w:b/>
                <w:bCs/>
                <w:sz w:val="20"/>
                <w:szCs w:val="20"/>
              </w:rPr>
              <w:t>F</w:t>
            </w:r>
            <w:r w:rsidRPr="00537112">
              <w:rPr>
                <w:rFonts w:cs="Verdana"/>
                <w:b/>
                <w:bCs/>
                <w:spacing w:val="-1"/>
                <w:sz w:val="20"/>
                <w:szCs w:val="20"/>
              </w:rPr>
              <w:t>A</w:t>
            </w:r>
            <w:r w:rsidRPr="00537112">
              <w:rPr>
                <w:rFonts w:cs="Verdana"/>
                <w:b/>
                <w:bCs/>
                <w:spacing w:val="1"/>
                <w:sz w:val="20"/>
                <w:szCs w:val="20"/>
              </w:rPr>
              <w:t>M</w:t>
            </w:r>
            <w:r w:rsidRPr="00537112">
              <w:rPr>
                <w:rFonts w:cs="Verdana"/>
                <w:b/>
                <w:bCs/>
                <w:spacing w:val="-1"/>
                <w:sz w:val="20"/>
                <w:szCs w:val="20"/>
              </w:rPr>
              <w:t>I</w:t>
            </w:r>
            <w:r w:rsidRPr="00537112">
              <w:rPr>
                <w:rFonts w:cs="Verdana"/>
                <w:b/>
                <w:bCs/>
                <w:sz w:val="20"/>
                <w:szCs w:val="20"/>
              </w:rPr>
              <w:t>L</w:t>
            </w:r>
            <w:r w:rsidRPr="00537112">
              <w:rPr>
                <w:rFonts w:cs="Verdana"/>
                <w:b/>
                <w:bCs/>
                <w:spacing w:val="-1"/>
                <w:sz w:val="20"/>
                <w:szCs w:val="20"/>
              </w:rPr>
              <w:t>IAR</w:t>
            </w:r>
          </w:p>
        </w:tc>
      </w:tr>
      <w:tr w:rsidR="00537112" w:rsidRPr="00537112" w14:paraId="311E5172"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2918DFE"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350121D7"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1</w:t>
            </w:r>
          </w:p>
        </w:tc>
        <w:tc>
          <w:tcPr>
            <w:tcW w:w="3958" w:type="dxa"/>
            <w:vMerge w:val="restart"/>
            <w:tcBorders>
              <w:top w:val="single" w:sz="8" w:space="0" w:color="000000"/>
              <w:left w:val="single" w:sz="8" w:space="0" w:color="000000"/>
              <w:bottom w:val="single" w:sz="8" w:space="0" w:color="000000"/>
              <w:right w:val="single" w:sz="8" w:space="0" w:color="000000"/>
            </w:tcBorders>
          </w:tcPr>
          <w:p w14:paraId="077C0369"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3B9B7F8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H</w:t>
            </w:r>
            <w:r w:rsidRPr="00537112">
              <w:rPr>
                <w:rFonts w:cs="Verdana"/>
                <w:spacing w:val="1"/>
                <w:sz w:val="20"/>
                <w:szCs w:val="20"/>
              </w:rPr>
              <w:t>ug</w:t>
            </w:r>
            <w:r w:rsidRPr="00537112">
              <w:rPr>
                <w:rFonts w:cs="Verdana"/>
                <w:sz w:val="20"/>
                <w:szCs w:val="20"/>
              </w:rPr>
              <w:t>o</w:t>
            </w:r>
            <w:r w:rsidRPr="00537112">
              <w:rPr>
                <w:rFonts w:cs="Verdana"/>
                <w:spacing w:val="-7"/>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773FB8"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1</w:t>
            </w:r>
          </w:p>
        </w:tc>
        <w:tc>
          <w:tcPr>
            <w:tcW w:w="4496" w:type="dxa"/>
            <w:tcBorders>
              <w:top w:val="single" w:sz="8" w:space="0" w:color="000000"/>
              <w:left w:val="single" w:sz="8" w:space="0" w:color="000000"/>
              <w:bottom w:val="single" w:sz="8" w:space="0" w:color="000000"/>
              <w:right w:val="single" w:sz="8" w:space="0" w:color="000000"/>
            </w:tcBorders>
          </w:tcPr>
          <w:p w14:paraId="14D457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Ad</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position w:val="-1"/>
                <w:sz w:val="20"/>
                <w:szCs w:val="20"/>
              </w:rPr>
              <w:t>Pa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1684B98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2743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45386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4C0F2C"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2</w:t>
            </w:r>
          </w:p>
        </w:tc>
        <w:tc>
          <w:tcPr>
            <w:tcW w:w="4496" w:type="dxa"/>
            <w:tcBorders>
              <w:top w:val="single" w:sz="8" w:space="0" w:color="000000"/>
              <w:left w:val="single" w:sz="8" w:space="0" w:color="000000"/>
              <w:bottom w:val="single" w:sz="8" w:space="0" w:color="000000"/>
              <w:right w:val="single" w:sz="8" w:space="0" w:color="000000"/>
            </w:tcBorders>
          </w:tcPr>
          <w:p w14:paraId="27EEFD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spacing w:val="1"/>
                <w:position w:val="-1"/>
                <w:sz w:val="20"/>
                <w:szCs w:val="20"/>
              </w:rPr>
              <w:t>z(</w:t>
            </w:r>
            <w:r w:rsidRPr="00537112">
              <w:rPr>
                <w:rFonts w:cs="Verdana"/>
                <w:position w:val="-1"/>
                <w:sz w:val="20"/>
                <w:szCs w:val="20"/>
              </w:rPr>
              <w:t>Ma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5FCCA11E" w14:textId="77777777" w:rsidTr="00630EEC">
        <w:trPr>
          <w:trHeight w:hRule="exact" w:val="494"/>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CDE759"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2313ED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6447B2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C36223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3CCC4DF"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2</w:t>
            </w:r>
          </w:p>
        </w:tc>
        <w:tc>
          <w:tcPr>
            <w:tcW w:w="3958" w:type="dxa"/>
            <w:vMerge w:val="restart"/>
            <w:tcBorders>
              <w:top w:val="single" w:sz="8" w:space="0" w:color="000000"/>
              <w:left w:val="single" w:sz="8" w:space="0" w:color="000000"/>
              <w:bottom w:val="single" w:sz="8" w:space="0" w:color="000000"/>
              <w:right w:val="single" w:sz="8" w:space="0" w:color="000000"/>
            </w:tcBorders>
          </w:tcPr>
          <w:p w14:paraId="21A96DC3" w14:textId="77777777" w:rsidR="00537112" w:rsidRPr="00537112" w:rsidRDefault="00537112" w:rsidP="00537112">
            <w:pPr>
              <w:autoSpaceDE w:val="0"/>
              <w:autoSpaceDN w:val="0"/>
              <w:spacing w:before="2" w:line="190" w:lineRule="exact"/>
              <w:jc w:val="left"/>
              <w:textAlignment w:val="auto"/>
              <w:rPr>
                <w:rFonts w:ascii="Times New Roman" w:hAnsi="Times New Roman"/>
                <w:sz w:val="19"/>
                <w:szCs w:val="19"/>
                <w:lang w:val="pt-BR"/>
              </w:rPr>
            </w:pPr>
          </w:p>
          <w:p w14:paraId="7BE4A80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0E0E2A3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507689EC" w14:textId="77777777" w:rsidR="00537112" w:rsidRPr="00537112" w:rsidRDefault="00537112" w:rsidP="00537112">
            <w:pPr>
              <w:autoSpaceDE w:val="0"/>
              <w:autoSpaceDN w:val="0"/>
              <w:spacing w:line="240" w:lineRule="auto"/>
              <w:ind w:right="-20"/>
              <w:jc w:val="left"/>
              <w:textAlignment w:val="auto"/>
              <w:rPr>
                <w:rFonts w:cs="Verdana"/>
                <w:sz w:val="20"/>
                <w:szCs w:val="20"/>
                <w:lang w:val="pt-BR"/>
              </w:rPr>
            </w:pPr>
            <w:r w:rsidRPr="00537112">
              <w:rPr>
                <w:rFonts w:cs="Verdana"/>
                <w:spacing w:val="1"/>
                <w:sz w:val="20"/>
                <w:szCs w:val="20"/>
                <w:lang w:val="pt-BR"/>
              </w:rPr>
              <w:t>Ab</w:t>
            </w:r>
            <w:r w:rsidRPr="00537112">
              <w:rPr>
                <w:rFonts w:cs="Verdana"/>
                <w:spacing w:val="-1"/>
                <w:sz w:val="20"/>
                <w:szCs w:val="20"/>
                <w:lang w:val="pt-BR"/>
              </w:rPr>
              <w:t>r</w:t>
            </w:r>
            <w:r w:rsidRPr="00537112">
              <w:rPr>
                <w:rFonts w:cs="Verdana"/>
                <w:sz w:val="20"/>
                <w:szCs w:val="20"/>
                <w:lang w:val="pt-BR"/>
              </w:rPr>
              <w:t>a</w:t>
            </w:r>
            <w:r w:rsidRPr="00537112">
              <w:rPr>
                <w:rFonts w:cs="Verdana"/>
                <w:spacing w:val="1"/>
                <w:sz w:val="20"/>
                <w:szCs w:val="20"/>
                <w:lang w:val="pt-BR"/>
              </w:rPr>
              <w:t>h</w:t>
            </w:r>
            <w:r w:rsidRPr="00537112">
              <w:rPr>
                <w:rFonts w:cs="Verdana"/>
                <w:sz w:val="20"/>
                <w:szCs w:val="20"/>
                <w:lang w:val="pt-BR"/>
              </w:rPr>
              <w:t>am</w:t>
            </w:r>
            <w:r w:rsidRPr="00537112">
              <w:rPr>
                <w:rFonts w:cs="Verdana"/>
                <w:spacing w:val="-9"/>
                <w:sz w:val="20"/>
                <w:szCs w:val="20"/>
                <w:lang w:val="pt-BR"/>
              </w:rPr>
              <w:t xml:space="preserve"> </w:t>
            </w:r>
            <w:r w:rsidRPr="00537112">
              <w:rPr>
                <w:rFonts w:cs="Verdana"/>
                <w:spacing w:val="1"/>
                <w:sz w:val="20"/>
                <w:szCs w:val="20"/>
                <w:lang w:val="pt-BR"/>
              </w:rPr>
              <w:t>A</w:t>
            </w:r>
            <w:r w:rsidRPr="00537112">
              <w:rPr>
                <w:rFonts w:cs="Verdana"/>
                <w:spacing w:val="3"/>
                <w:sz w:val="20"/>
                <w:szCs w:val="20"/>
                <w:lang w:val="pt-BR"/>
              </w:rPr>
              <w:t>l</w:t>
            </w:r>
            <w:r w:rsidRPr="00537112">
              <w:rPr>
                <w:rFonts w:cs="Verdana"/>
                <w:sz w:val="20"/>
                <w:szCs w:val="20"/>
                <w:lang w:val="pt-BR"/>
              </w:rPr>
              <w:t>va</w:t>
            </w:r>
            <w:r w:rsidRPr="00537112">
              <w:rPr>
                <w:rFonts w:cs="Verdana"/>
                <w:spacing w:val="-1"/>
                <w:sz w:val="20"/>
                <w:szCs w:val="20"/>
                <w:lang w:val="pt-BR"/>
              </w:rPr>
              <w:t>r</w:t>
            </w:r>
            <w:r w:rsidRPr="00537112">
              <w:rPr>
                <w:rFonts w:cs="Verdana"/>
                <w:sz w:val="20"/>
                <w:szCs w:val="20"/>
                <w:lang w:val="pt-BR"/>
              </w:rPr>
              <w:t>a</w:t>
            </w:r>
            <w:r w:rsidRPr="00537112">
              <w:rPr>
                <w:rFonts w:cs="Verdana"/>
                <w:spacing w:val="1"/>
                <w:sz w:val="20"/>
                <w:szCs w:val="20"/>
                <w:lang w:val="pt-BR"/>
              </w:rPr>
              <w:t>d</w:t>
            </w:r>
            <w:r w:rsidRPr="00537112">
              <w:rPr>
                <w:rFonts w:cs="Verdana"/>
                <w:sz w:val="20"/>
                <w:szCs w:val="20"/>
                <w:lang w:val="pt-BR"/>
              </w:rPr>
              <w:t>o</w:t>
            </w:r>
            <w:r w:rsidRPr="00537112">
              <w:rPr>
                <w:rFonts w:cs="Verdana"/>
                <w:spacing w:val="-11"/>
                <w:sz w:val="20"/>
                <w:szCs w:val="20"/>
                <w:lang w:val="pt-BR"/>
              </w:rPr>
              <w:t xml:space="preserve"> </w:t>
            </w:r>
            <w:r w:rsidRPr="00537112">
              <w:rPr>
                <w:rFonts w:cs="Verdana"/>
                <w:sz w:val="20"/>
                <w:szCs w:val="20"/>
                <w:lang w:val="pt-BR"/>
              </w:rPr>
              <w:t>T</w:t>
            </w:r>
            <w:r w:rsidRPr="00537112">
              <w:rPr>
                <w:rFonts w:cs="Verdana"/>
                <w:spacing w:val="-1"/>
                <w:sz w:val="20"/>
                <w:szCs w:val="20"/>
                <w:lang w:val="pt-BR"/>
              </w:rPr>
              <w:t>ec</w:t>
            </w:r>
            <w:r w:rsidRPr="00537112">
              <w:rPr>
                <w:rFonts w:cs="Verdana"/>
                <w:sz w:val="20"/>
                <w:szCs w:val="20"/>
                <w:lang w:val="pt-BR"/>
              </w:rPr>
              <w:t>ú</w:t>
            </w:r>
            <w:r w:rsidRPr="00537112">
              <w:rPr>
                <w:rFonts w:cs="Verdana"/>
                <w:spacing w:val="-5"/>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pacing w:val="1"/>
                <w:sz w:val="20"/>
                <w:szCs w:val="20"/>
                <w:lang w:val="pt-BR"/>
              </w:rPr>
              <w:t>Ag</w:t>
            </w:r>
            <w:r w:rsidRPr="00537112">
              <w:rPr>
                <w:rFonts w:cs="Verdana"/>
                <w:sz w:val="20"/>
                <w:szCs w:val="20"/>
                <w:lang w:val="pt-BR"/>
              </w:rPr>
              <w:t>a</w:t>
            </w:r>
            <w:r w:rsidRPr="00537112">
              <w:rPr>
                <w:rFonts w:cs="Verdana"/>
                <w:spacing w:val="1"/>
                <w:sz w:val="20"/>
                <w:szCs w:val="20"/>
                <w:lang w:val="pt-BR"/>
              </w:rPr>
              <w:t>p</w:t>
            </w:r>
            <w:r w:rsidRPr="00537112">
              <w:rPr>
                <w:rFonts w:cs="Verdana"/>
                <w:spacing w:val="3"/>
                <w:sz w:val="20"/>
                <w:szCs w:val="20"/>
                <w:lang w:val="pt-BR"/>
              </w:rPr>
              <w:t>i</w:t>
            </w:r>
            <w:r w:rsidRPr="00537112">
              <w:rPr>
                <w:rFonts w:cs="Verdana"/>
                <w:spacing w:val="1"/>
                <w:sz w:val="20"/>
                <w:szCs w:val="20"/>
                <w:lang w:val="pt-BR"/>
              </w:rPr>
              <w:t>t</w:t>
            </w:r>
            <w:r w:rsidRPr="00537112">
              <w:rPr>
                <w:rFonts w:cs="Verdana"/>
                <w:sz w:val="20"/>
                <w:szCs w:val="20"/>
                <w:lang w:val="pt-BR"/>
              </w:rPr>
              <w:t>o</w:t>
            </w:r>
          </w:p>
          <w:p w14:paraId="6E960BEE"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lang w:val="pt-BR"/>
              </w:rPr>
            </w:pPr>
            <w:r w:rsidRPr="00537112">
              <w:rPr>
                <w:rFonts w:cs="Verdana"/>
                <w:spacing w:val="1"/>
                <w:sz w:val="20"/>
                <w:szCs w:val="20"/>
                <w:lang w:val="pt-BR"/>
              </w:rPr>
              <w:t>A</w:t>
            </w:r>
            <w:r w:rsidRPr="00537112">
              <w:rPr>
                <w:rFonts w:cs="Verdana"/>
                <w:spacing w:val="3"/>
                <w:sz w:val="20"/>
                <w:szCs w:val="20"/>
                <w:lang w:val="pt-BR"/>
              </w:rPr>
              <w:t>l</w:t>
            </w:r>
            <w:r w:rsidRPr="00537112">
              <w:rPr>
                <w:rFonts w:cs="Verdana"/>
                <w:sz w:val="20"/>
                <w:szCs w:val="20"/>
                <w:lang w:val="pt-BR"/>
              </w:rPr>
              <w:t>va</w:t>
            </w:r>
            <w:r w:rsidRPr="00537112">
              <w:rPr>
                <w:rFonts w:cs="Verdana"/>
                <w:spacing w:val="-1"/>
                <w:sz w:val="20"/>
                <w:szCs w:val="20"/>
                <w:lang w:val="pt-BR"/>
              </w:rPr>
              <w:t>r</w:t>
            </w:r>
            <w:r w:rsidRPr="00537112">
              <w:rPr>
                <w:rFonts w:cs="Verdana"/>
                <w:sz w:val="20"/>
                <w:szCs w:val="20"/>
                <w:lang w:val="pt-BR"/>
              </w:rPr>
              <w:t>a</w:t>
            </w:r>
            <w:r w:rsidRPr="00537112">
              <w:rPr>
                <w:rFonts w:cs="Verdana"/>
                <w:spacing w:val="1"/>
                <w:sz w:val="20"/>
                <w:szCs w:val="20"/>
                <w:lang w:val="pt-BR"/>
              </w:rPr>
              <w:t>d</w:t>
            </w:r>
            <w:r w:rsidRPr="00537112">
              <w:rPr>
                <w:rFonts w:cs="Verdana"/>
                <w:sz w:val="20"/>
                <w:szCs w:val="20"/>
                <w:lang w:val="pt-BR"/>
              </w:rPr>
              <w:t>o</w:t>
            </w:r>
            <w:r w:rsidRPr="00537112">
              <w:rPr>
                <w:rFonts w:cs="Verdana"/>
                <w:spacing w:val="-11"/>
                <w:sz w:val="20"/>
                <w:szCs w:val="20"/>
                <w:lang w:val="pt-BR"/>
              </w:rPr>
              <w:t xml:space="preserve"> </w:t>
            </w:r>
            <w:r w:rsidRPr="00537112">
              <w:rPr>
                <w:rFonts w:cs="Verdana"/>
                <w:sz w:val="20"/>
                <w:szCs w:val="20"/>
                <w:lang w:val="pt-BR"/>
              </w:rPr>
              <w:t>D</w:t>
            </w:r>
            <w:r w:rsidRPr="00537112">
              <w:rPr>
                <w:rFonts w:cs="Verdana"/>
                <w:spacing w:val="-1"/>
                <w:sz w:val="20"/>
                <w:szCs w:val="20"/>
                <w:lang w:val="pt-BR"/>
              </w:rPr>
              <w:t>e</w:t>
            </w:r>
            <w:r w:rsidRPr="00537112">
              <w:rPr>
                <w:rFonts w:cs="Verdana"/>
                <w:spacing w:val="1"/>
                <w:sz w:val="20"/>
                <w:szCs w:val="20"/>
                <w:lang w:val="pt-BR"/>
              </w:rPr>
              <w:t>p</w:t>
            </w:r>
            <w:r w:rsidRPr="00537112">
              <w:rPr>
                <w:rFonts w:cs="Verdana"/>
                <w:sz w:val="20"/>
                <w:szCs w:val="20"/>
                <w:lang w:val="pt-BR"/>
              </w:rPr>
              <w:t>a</w:t>
            </w:r>
            <w:r w:rsidRPr="00537112">
              <w:rPr>
                <w:rFonts w:cs="Verdana"/>
                <w:spacing w:val="1"/>
                <w:sz w:val="20"/>
                <w:szCs w:val="20"/>
                <w:lang w:val="pt-BR"/>
              </w:rPr>
              <w:t>z</w:t>
            </w:r>
            <w:r w:rsidRPr="00537112">
              <w:rPr>
                <w:rFonts w:cs="Verdana"/>
                <w:sz w:val="20"/>
                <w:szCs w:val="20"/>
                <w:lang w:val="pt-BR"/>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54AA91"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lang w:val="pt-BR"/>
              </w:rPr>
            </w:pPr>
          </w:p>
          <w:p w14:paraId="04202EF5" w14:textId="77777777" w:rsidR="00537112" w:rsidRPr="00537112" w:rsidRDefault="00537112" w:rsidP="00537112">
            <w:pPr>
              <w:autoSpaceDE w:val="0"/>
              <w:autoSpaceDN w:val="0"/>
              <w:spacing w:line="240" w:lineRule="auto"/>
              <w:ind w:right="257"/>
              <w:jc w:val="center"/>
              <w:textAlignment w:val="auto"/>
              <w:rPr>
                <w:rFonts w:ascii="Times New Roman" w:hAnsi="Times New Roman"/>
              </w:rPr>
            </w:pPr>
            <w:r w:rsidRPr="00537112">
              <w:rPr>
                <w:rFonts w:cs="Verdana"/>
                <w:w w:val="99"/>
                <w:sz w:val="20"/>
                <w:szCs w:val="20"/>
              </w:rPr>
              <w:t>3</w:t>
            </w:r>
          </w:p>
        </w:tc>
        <w:tc>
          <w:tcPr>
            <w:tcW w:w="4496" w:type="dxa"/>
            <w:tcBorders>
              <w:top w:val="single" w:sz="8" w:space="0" w:color="000000"/>
              <w:left w:val="single" w:sz="8" w:space="0" w:color="000000"/>
              <w:bottom w:val="single" w:sz="8" w:space="0" w:color="000000"/>
              <w:right w:val="single" w:sz="8" w:space="0" w:color="000000"/>
            </w:tcBorders>
          </w:tcPr>
          <w:p w14:paraId="61B61BE8"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2259883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Áng</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T</w:t>
            </w:r>
            <w:r w:rsidRPr="00537112">
              <w:rPr>
                <w:rFonts w:cs="Verdana"/>
                <w:spacing w:val="-1"/>
                <w:sz w:val="20"/>
                <w:szCs w:val="20"/>
              </w:rPr>
              <w:t>ec</w:t>
            </w:r>
            <w:r w:rsidRPr="00537112">
              <w:rPr>
                <w:rFonts w:cs="Verdana"/>
                <w:spacing w:val="1"/>
                <w:sz w:val="20"/>
                <w:szCs w:val="20"/>
              </w:rPr>
              <w:t>ú(</w:t>
            </w:r>
            <w:r w:rsidRPr="00537112">
              <w:rPr>
                <w:rFonts w:cs="Verdana"/>
                <w:sz w:val="20"/>
                <w:szCs w:val="20"/>
              </w:rPr>
              <w:t>Pa</w:t>
            </w:r>
            <w:r w:rsidRPr="00537112">
              <w:rPr>
                <w:rFonts w:cs="Verdana"/>
                <w:spacing w:val="1"/>
                <w:sz w:val="20"/>
                <w:szCs w:val="20"/>
              </w:rPr>
              <w:t>d</w:t>
            </w:r>
            <w:r w:rsidRPr="00537112">
              <w:rPr>
                <w:rFonts w:cs="Verdana"/>
                <w:spacing w:val="-1"/>
                <w:sz w:val="20"/>
                <w:szCs w:val="20"/>
              </w:rPr>
              <w:t>re</w:t>
            </w:r>
            <w:r w:rsidRPr="00537112">
              <w:rPr>
                <w:rFonts w:cs="Verdana"/>
                <w:sz w:val="20"/>
                <w:szCs w:val="20"/>
              </w:rPr>
              <w:t>)</w:t>
            </w:r>
          </w:p>
        </w:tc>
      </w:tr>
      <w:tr w:rsidR="00537112" w:rsidRPr="00537112" w14:paraId="1FAD780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4DD9A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DA2FE9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10E6996"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4</w:t>
            </w:r>
          </w:p>
        </w:tc>
        <w:tc>
          <w:tcPr>
            <w:tcW w:w="4496" w:type="dxa"/>
            <w:tcBorders>
              <w:top w:val="single" w:sz="8" w:space="0" w:color="000000"/>
              <w:left w:val="single" w:sz="8" w:space="0" w:color="000000"/>
              <w:bottom w:val="single" w:sz="8" w:space="0" w:color="000000"/>
              <w:right w:val="single" w:sz="8" w:space="0" w:color="000000"/>
            </w:tcBorders>
          </w:tcPr>
          <w:p w14:paraId="40F55A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w:t>
            </w:r>
            <w:r w:rsidRPr="00537112">
              <w:rPr>
                <w:rFonts w:cs="Verdana"/>
                <w:position w:val="-1"/>
                <w:sz w:val="20"/>
                <w:szCs w:val="20"/>
              </w:rPr>
              <w:t>Ma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08A132D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E3A2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CACF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6980048"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5</w:t>
            </w:r>
          </w:p>
        </w:tc>
        <w:tc>
          <w:tcPr>
            <w:tcW w:w="4496" w:type="dxa"/>
            <w:tcBorders>
              <w:top w:val="single" w:sz="8" w:space="0" w:color="000000"/>
              <w:left w:val="single" w:sz="8" w:space="0" w:color="000000"/>
              <w:bottom w:val="single" w:sz="8" w:space="0" w:color="000000"/>
              <w:right w:val="single" w:sz="8" w:space="0" w:color="000000"/>
            </w:tcBorders>
          </w:tcPr>
          <w:p w14:paraId="004F98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o</w:t>
            </w:r>
            <w:r w:rsidRPr="00537112">
              <w:rPr>
                <w:rFonts w:cs="Verdana"/>
                <w:position w:val="-1"/>
                <w:sz w:val="20"/>
                <w:szCs w:val="20"/>
              </w:rPr>
              <w:t>)</w:t>
            </w:r>
          </w:p>
        </w:tc>
      </w:tr>
      <w:tr w:rsidR="00537112" w:rsidRPr="00537112" w14:paraId="6DB3BF0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281D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D0467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FD4D5B"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6</w:t>
            </w:r>
          </w:p>
        </w:tc>
        <w:tc>
          <w:tcPr>
            <w:tcW w:w="4496" w:type="dxa"/>
            <w:tcBorders>
              <w:top w:val="single" w:sz="8" w:space="0" w:color="000000"/>
              <w:left w:val="single" w:sz="8" w:space="0" w:color="000000"/>
              <w:bottom w:val="single" w:sz="8" w:space="0" w:color="000000"/>
              <w:right w:val="single" w:sz="8" w:space="0" w:color="000000"/>
            </w:tcBorders>
          </w:tcPr>
          <w:p w14:paraId="4C8D8F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3"/>
                <w:position w:val="-1"/>
                <w:sz w:val="20"/>
                <w:szCs w:val="20"/>
              </w:rPr>
              <w:t>il</w:t>
            </w:r>
            <w:r w:rsidRPr="00537112">
              <w:rPr>
                <w:rFonts w:cs="Verdana"/>
                <w:position w:val="-1"/>
                <w:sz w:val="20"/>
                <w:szCs w:val="20"/>
              </w:rPr>
              <w:t>v</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457EC57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3B53D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B0800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194E3A"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7</w:t>
            </w:r>
          </w:p>
        </w:tc>
        <w:tc>
          <w:tcPr>
            <w:tcW w:w="4496" w:type="dxa"/>
            <w:tcBorders>
              <w:top w:val="single" w:sz="8" w:space="0" w:color="000000"/>
              <w:left w:val="single" w:sz="8" w:space="0" w:color="000000"/>
              <w:bottom w:val="single" w:sz="8" w:space="0" w:color="000000"/>
              <w:right w:val="single" w:sz="8" w:space="0" w:color="000000"/>
            </w:tcBorders>
          </w:tcPr>
          <w:p w14:paraId="4EDB13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position w:val="-1"/>
                <w:sz w:val="20"/>
                <w:szCs w:val="20"/>
              </w:rPr>
              <w:t>Páz</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19DBF9B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6AFF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2CD9A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A55416"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8</w:t>
            </w:r>
          </w:p>
        </w:tc>
        <w:tc>
          <w:tcPr>
            <w:tcW w:w="4496" w:type="dxa"/>
            <w:tcBorders>
              <w:top w:val="single" w:sz="8" w:space="0" w:color="000000"/>
              <w:left w:val="single" w:sz="8" w:space="0" w:color="000000"/>
              <w:bottom w:val="single" w:sz="8" w:space="0" w:color="000000"/>
              <w:right w:val="single" w:sz="8" w:space="0" w:color="000000"/>
            </w:tcBorders>
          </w:tcPr>
          <w:p w14:paraId="3597C1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o)</w:t>
            </w:r>
          </w:p>
        </w:tc>
      </w:tr>
      <w:tr w:rsidR="00537112" w:rsidRPr="00537112" w14:paraId="5C166BD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707340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A62B40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7A123B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BE42602"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1A92DE3D"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3</w:t>
            </w:r>
          </w:p>
        </w:tc>
        <w:tc>
          <w:tcPr>
            <w:tcW w:w="3958" w:type="dxa"/>
            <w:vMerge w:val="restart"/>
            <w:tcBorders>
              <w:top w:val="single" w:sz="8" w:space="0" w:color="000000"/>
              <w:left w:val="single" w:sz="8" w:space="0" w:color="000000"/>
              <w:bottom w:val="single" w:sz="8" w:space="0" w:color="000000"/>
              <w:right w:val="single" w:sz="8" w:space="0" w:color="000000"/>
            </w:tcBorders>
          </w:tcPr>
          <w:p w14:paraId="0F6496E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20FD5C4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32CAEE0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2E199C1E" w14:textId="77777777" w:rsidR="00537112" w:rsidRPr="00537112" w:rsidRDefault="00537112" w:rsidP="00537112">
            <w:pPr>
              <w:autoSpaceDE w:val="0"/>
              <w:autoSpaceDN w:val="0"/>
              <w:spacing w:before="7" w:line="240" w:lineRule="exact"/>
              <w:jc w:val="left"/>
              <w:textAlignment w:val="auto"/>
              <w:rPr>
                <w:rFonts w:ascii="Times New Roman" w:hAnsi="Times New Roman"/>
                <w:lang w:val="pt-BR"/>
              </w:rPr>
            </w:pPr>
          </w:p>
          <w:p w14:paraId="2786F920" w14:textId="77777777" w:rsidR="00537112" w:rsidRPr="00537112" w:rsidRDefault="00537112" w:rsidP="00537112">
            <w:pPr>
              <w:autoSpaceDE w:val="0"/>
              <w:autoSpaceDN w:val="0"/>
              <w:spacing w:line="240" w:lineRule="auto"/>
              <w:ind w:right="-20"/>
              <w:jc w:val="left"/>
              <w:textAlignment w:val="auto"/>
              <w:rPr>
                <w:rFonts w:ascii="Times New Roman" w:hAnsi="Times New Roman"/>
                <w:lang w:val="pt-BR"/>
              </w:rPr>
            </w:pPr>
            <w:r w:rsidRPr="00537112">
              <w:rPr>
                <w:rFonts w:cs="Verdana"/>
                <w:sz w:val="20"/>
                <w:szCs w:val="20"/>
                <w:lang w:val="pt-BR"/>
              </w:rPr>
              <w:t>Ma</w:t>
            </w:r>
            <w:r w:rsidRPr="00537112">
              <w:rPr>
                <w:rFonts w:cs="Verdana"/>
                <w:spacing w:val="1"/>
                <w:sz w:val="20"/>
                <w:szCs w:val="20"/>
                <w:lang w:val="pt-BR"/>
              </w:rPr>
              <w:t>nu</w:t>
            </w:r>
            <w:r w:rsidRPr="00537112">
              <w:rPr>
                <w:rFonts w:cs="Verdana"/>
                <w:spacing w:val="-1"/>
                <w:sz w:val="20"/>
                <w:szCs w:val="20"/>
                <w:lang w:val="pt-BR"/>
              </w:rPr>
              <w:t>e</w:t>
            </w:r>
            <w:r w:rsidRPr="00537112">
              <w:rPr>
                <w:rFonts w:cs="Verdana"/>
                <w:sz w:val="20"/>
                <w:szCs w:val="20"/>
                <w:lang w:val="pt-BR"/>
              </w:rPr>
              <w:t>l</w:t>
            </w:r>
            <w:r w:rsidRPr="00537112">
              <w:rPr>
                <w:rFonts w:cs="Verdana"/>
                <w:spacing w:val="-5"/>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pacing w:val="1"/>
                <w:sz w:val="20"/>
                <w:szCs w:val="20"/>
                <w:lang w:val="pt-BR"/>
              </w:rPr>
              <w:t>J</w:t>
            </w:r>
            <w:r w:rsidRPr="00537112">
              <w:rPr>
                <w:rFonts w:cs="Verdana"/>
                <w:spacing w:val="-1"/>
                <w:sz w:val="20"/>
                <w:szCs w:val="20"/>
                <w:lang w:val="pt-BR"/>
              </w:rPr>
              <w:t>es</w:t>
            </w:r>
            <w:r w:rsidRPr="00537112">
              <w:rPr>
                <w:rFonts w:cs="Verdana"/>
                <w:spacing w:val="1"/>
                <w:sz w:val="20"/>
                <w:szCs w:val="20"/>
                <w:lang w:val="pt-BR"/>
              </w:rPr>
              <w:t>ú</w:t>
            </w:r>
            <w:r w:rsidRPr="00537112">
              <w:rPr>
                <w:rFonts w:cs="Verdana"/>
                <w:sz w:val="20"/>
                <w:szCs w:val="20"/>
                <w:lang w:val="pt-BR"/>
              </w:rPr>
              <w:t>s</w:t>
            </w:r>
            <w:r w:rsidRPr="00537112">
              <w:rPr>
                <w:rFonts w:cs="Verdana"/>
                <w:spacing w:val="-6"/>
                <w:sz w:val="20"/>
                <w:szCs w:val="20"/>
                <w:lang w:val="pt-BR"/>
              </w:rPr>
              <w:t xml:space="preserve"> </w:t>
            </w:r>
            <w:r w:rsidRPr="00537112">
              <w:rPr>
                <w:rFonts w:cs="Verdana"/>
                <w:spacing w:val="1"/>
                <w:sz w:val="20"/>
                <w:szCs w:val="20"/>
                <w:lang w:val="pt-BR"/>
              </w:rPr>
              <w:t>A</w:t>
            </w:r>
            <w:r w:rsidRPr="00537112">
              <w:rPr>
                <w:rFonts w:cs="Verdana"/>
                <w:spacing w:val="3"/>
                <w:sz w:val="20"/>
                <w:szCs w:val="20"/>
                <w:lang w:val="pt-BR"/>
              </w:rPr>
              <w:t>l</w:t>
            </w:r>
            <w:r w:rsidRPr="00537112">
              <w:rPr>
                <w:rFonts w:cs="Verdana"/>
                <w:sz w:val="20"/>
                <w:szCs w:val="20"/>
                <w:lang w:val="pt-BR"/>
              </w:rPr>
              <w:t>a</w:t>
            </w:r>
            <w:r w:rsidRPr="00537112">
              <w:rPr>
                <w:rFonts w:cs="Verdana"/>
                <w:spacing w:val="-1"/>
                <w:sz w:val="20"/>
                <w:szCs w:val="20"/>
                <w:lang w:val="pt-BR"/>
              </w:rPr>
              <w:t>rcó</w:t>
            </w:r>
            <w:r w:rsidRPr="00537112">
              <w:rPr>
                <w:rFonts w:cs="Verdana"/>
                <w:sz w:val="20"/>
                <w:szCs w:val="20"/>
                <w:lang w:val="pt-BR"/>
              </w:rPr>
              <w:t>n</w:t>
            </w:r>
            <w:r w:rsidRPr="00537112">
              <w:rPr>
                <w:rFonts w:cs="Verdana"/>
                <w:spacing w:val="-7"/>
                <w:sz w:val="20"/>
                <w:szCs w:val="20"/>
                <w:lang w:val="pt-BR"/>
              </w:rPr>
              <w:t xml:space="preserve"> </w:t>
            </w:r>
            <w:r w:rsidRPr="00537112">
              <w:rPr>
                <w:rFonts w:cs="Verdana"/>
                <w:sz w:val="20"/>
                <w:szCs w:val="20"/>
                <w:lang w:val="pt-BR"/>
              </w:rPr>
              <w:t>M</w:t>
            </w:r>
            <w:r w:rsidRPr="00537112">
              <w:rPr>
                <w:rFonts w:cs="Verdana"/>
                <w:spacing w:val="-1"/>
                <w:sz w:val="20"/>
                <w:szCs w:val="20"/>
                <w:lang w:val="pt-BR"/>
              </w:rPr>
              <w:t>ore</w:t>
            </w:r>
            <w:r w:rsidRPr="00537112">
              <w:rPr>
                <w:rFonts w:cs="Verdana"/>
                <w:spacing w:val="1"/>
                <w:sz w:val="20"/>
                <w:szCs w:val="20"/>
                <w:lang w:val="pt-BR"/>
              </w:rPr>
              <w:t>nt</w:t>
            </w:r>
            <w:r w:rsidRPr="00537112">
              <w:rPr>
                <w:rFonts w:cs="Verdana"/>
                <w:sz w:val="20"/>
                <w:szCs w:val="20"/>
                <w:lang w:val="pt-BR"/>
              </w:rPr>
              <w:t>e</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100C62" w14:textId="77777777" w:rsidR="00537112" w:rsidRPr="00537112" w:rsidRDefault="00537112" w:rsidP="00537112">
            <w:pPr>
              <w:autoSpaceDE w:val="0"/>
              <w:autoSpaceDN w:val="0"/>
              <w:spacing w:line="226" w:lineRule="exact"/>
              <w:ind w:right="257"/>
              <w:jc w:val="center"/>
              <w:textAlignment w:val="auto"/>
              <w:rPr>
                <w:rFonts w:ascii="Times New Roman" w:hAnsi="Times New Roman"/>
              </w:rPr>
            </w:pPr>
            <w:r w:rsidRPr="00537112">
              <w:rPr>
                <w:rFonts w:cs="Verdana"/>
                <w:w w:val="99"/>
                <w:position w:val="-1"/>
                <w:sz w:val="20"/>
                <w:szCs w:val="20"/>
              </w:rPr>
              <w:t>9</w:t>
            </w:r>
          </w:p>
        </w:tc>
        <w:tc>
          <w:tcPr>
            <w:tcW w:w="4496" w:type="dxa"/>
            <w:tcBorders>
              <w:top w:val="single" w:sz="8" w:space="0" w:color="000000"/>
              <w:left w:val="single" w:sz="8" w:space="0" w:color="000000"/>
              <w:bottom w:val="single" w:sz="8" w:space="0" w:color="000000"/>
              <w:right w:val="single" w:sz="8" w:space="0" w:color="000000"/>
            </w:tcBorders>
          </w:tcPr>
          <w:p w14:paraId="02B7B1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1"/>
                <w:position w:val="-1"/>
                <w:sz w:val="20"/>
                <w:szCs w:val="20"/>
              </w:rPr>
              <w:t>(</w:t>
            </w:r>
            <w:r w:rsidRPr="00537112">
              <w:rPr>
                <w:rFonts w:cs="Verdana"/>
                <w:position w:val="-1"/>
                <w:sz w:val="20"/>
                <w:szCs w:val="20"/>
              </w:rPr>
              <w:t>Pa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559B337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334DF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E6D81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A1CE1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50FEAF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Gr</w:t>
            </w:r>
            <w:r w:rsidRPr="00537112">
              <w:rPr>
                <w:rFonts w:cs="Verdana"/>
                <w:position w:val="-1"/>
                <w:sz w:val="20"/>
                <w:szCs w:val="20"/>
              </w:rPr>
              <w:t>a</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w:t>
            </w:r>
            <w:r w:rsidRPr="00537112">
              <w:rPr>
                <w:rFonts w:cs="Verdana"/>
                <w:position w:val="-1"/>
                <w:sz w:val="20"/>
                <w:szCs w:val="20"/>
              </w:rPr>
              <w:t>Ma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5F4881E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E1165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5D4B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1440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3DEA443C" w14:textId="77777777" w:rsidR="00537112" w:rsidRPr="00537112" w:rsidRDefault="00537112" w:rsidP="00537112">
            <w:pPr>
              <w:tabs>
                <w:tab w:val="left" w:pos="2880"/>
              </w:tabs>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position w:val="-1"/>
                <w:sz w:val="20"/>
                <w:szCs w:val="20"/>
              </w:rPr>
              <w:tab/>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3FB2C9ED" w14:textId="77777777" w:rsidTr="00630EEC">
        <w:trPr>
          <w:trHeight w:hRule="exact" w:val="494"/>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AC0EB2" w14:textId="77777777" w:rsidR="00537112" w:rsidRPr="00537112" w:rsidRDefault="00537112" w:rsidP="00537112">
            <w:pPr>
              <w:tabs>
                <w:tab w:val="left" w:pos="2880"/>
              </w:tabs>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2BCC112" w14:textId="77777777" w:rsidR="00537112" w:rsidRPr="00537112" w:rsidRDefault="00537112" w:rsidP="00537112">
            <w:pPr>
              <w:tabs>
                <w:tab w:val="left" w:pos="2880"/>
              </w:tabs>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47937F"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4AF265A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50335F1C"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5DD4970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w:t>
            </w:r>
            <w:r w:rsidRPr="00537112">
              <w:rPr>
                <w:rFonts w:cs="Verdana"/>
                <w:spacing w:val="3"/>
                <w:sz w:val="20"/>
                <w:szCs w:val="20"/>
              </w:rPr>
              <w:t>l</w:t>
            </w:r>
            <w:r w:rsidRPr="00537112">
              <w:rPr>
                <w:rFonts w:cs="Verdana"/>
                <w:spacing w:val="-1"/>
                <w:sz w:val="20"/>
                <w:szCs w:val="20"/>
              </w:rPr>
              <w:t>o</w:t>
            </w:r>
            <w:r w:rsidRPr="00537112">
              <w:rPr>
                <w:rFonts w:cs="Verdana"/>
                <w:spacing w:val="1"/>
                <w:sz w:val="20"/>
                <w:szCs w:val="20"/>
              </w:rPr>
              <w:t>t</w:t>
            </w:r>
            <w:r w:rsidRPr="00537112">
              <w:rPr>
                <w:rFonts w:cs="Verdana"/>
                <w:spacing w:val="3"/>
                <w:sz w:val="20"/>
                <w:szCs w:val="20"/>
              </w:rPr>
              <w:t>il</w:t>
            </w:r>
            <w:r w:rsidRPr="00537112">
              <w:rPr>
                <w:rFonts w:cs="Verdana"/>
                <w:spacing w:val="1"/>
                <w:sz w:val="20"/>
                <w:szCs w:val="20"/>
              </w:rPr>
              <w:t>d</w:t>
            </w:r>
            <w:r w:rsidRPr="00537112">
              <w:rPr>
                <w:rFonts w:cs="Verdana"/>
                <w:sz w:val="20"/>
                <w:szCs w:val="20"/>
              </w:rPr>
              <w:t>e</w:t>
            </w:r>
            <w:r w:rsidRPr="00537112">
              <w:rPr>
                <w:rFonts w:cs="Verdana"/>
                <w:spacing w:val="-9"/>
                <w:sz w:val="20"/>
                <w:szCs w:val="20"/>
              </w:rPr>
              <w:t xml:space="preserve"> </w:t>
            </w:r>
            <w:r w:rsidRPr="00537112">
              <w:rPr>
                <w:rFonts w:cs="Verdana"/>
                <w:spacing w:val="1"/>
                <w:sz w:val="20"/>
                <w:szCs w:val="20"/>
              </w:rPr>
              <w:t>F</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p</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a</w:t>
            </w:r>
            <w:r w:rsidRPr="00537112">
              <w:rPr>
                <w:rFonts w:cs="Verdana"/>
                <w:spacing w:val="-1"/>
                <w:sz w:val="20"/>
                <w:szCs w:val="20"/>
              </w:rPr>
              <w:t>rcó</w:t>
            </w:r>
            <w:r w:rsidRPr="00537112">
              <w:rPr>
                <w:rFonts w:cs="Verdana"/>
                <w:sz w:val="20"/>
                <w:szCs w:val="20"/>
              </w:rPr>
              <w:t>n</w:t>
            </w:r>
            <w:r w:rsidRPr="00537112">
              <w:rPr>
                <w:rFonts w:cs="Verdana"/>
                <w:spacing w:val="-7"/>
                <w:sz w:val="20"/>
                <w:szCs w:val="20"/>
              </w:rPr>
              <w:t xml:space="preserve"> </w:t>
            </w:r>
            <w:r w:rsidRPr="00537112">
              <w:rPr>
                <w:rFonts w:cs="Verdana"/>
                <w:sz w:val="20"/>
                <w:szCs w:val="20"/>
              </w:rPr>
              <w:t>M</w:t>
            </w:r>
            <w:r w:rsidRPr="00537112">
              <w:rPr>
                <w:rFonts w:cs="Verdana"/>
                <w:spacing w:val="-1"/>
                <w:sz w:val="20"/>
                <w:szCs w:val="20"/>
              </w:rPr>
              <w:t>ore</w:t>
            </w:r>
            <w:r w:rsidRPr="00537112">
              <w:rPr>
                <w:rFonts w:cs="Verdana"/>
                <w:spacing w:val="1"/>
                <w:sz w:val="20"/>
                <w:szCs w:val="20"/>
              </w:rPr>
              <w:t>nt</w:t>
            </w:r>
            <w:r w:rsidRPr="00537112">
              <w:rPr>
                <w:rFonts w:cs="Verdana"/>
                <w:sz w:val="20"/>
                <w:szCs w:val="20"/>
              </w:rPr>
              <w:t>e</w:t>
            </w:r>
            <w:r w:rsidRPr="00537112">
              <w:rPr>
                <w:rFonts w:cs="Verdana"/>
                <w:spacing w:val="-10"/>
                <w:sz w:val="20"/>
                <w:szCs w:val="20"/>
              </w:rPr>
              <w:t xml:space="preserve"> </w:t>
            </w:r>
            <w:r w:rsidRPr="00537112">
              <w:rPr>
                <w:rFonts w:cs="Verdana"/>
                <w:spacing w:val="1"/>
                <w:sz w:val="20"/>
                <w:szCs w:val="20"/>
              </w:rPr>
              <w:t>(</w:t>
            </w:r>
            <w:r w:rsidRPr="00537112">
              <w:rPr>
                <w:rFonts w:cs="Verdana"/>
                <w:spacing w:val="-1"/>
                <w:sz w:val="20"/>
                <w:szCs w:val="20"/>
              </w:rPr>
              <w:t>Her</w:t>
            </w:r>
            <w:r w:rsidRPr="00537112">
              <w:rPr>
                <w:rFonts w:cs="Verdana"/>
                <w:spacing w:val="1"/>
                <w:sz w:val="20"/>
                <w:szCs w:val="20"/>
              </w:rPr>
              <w:t>m</w:t>
            </w:r>
            <w:r w:rsidRPr="00537112">
              <w:rPr>
                <w:rFonts w:cs="Verdana"/>
                <w:sz w:val="20"/>
                <w:szCs w:val="20"/>
              </w:rPr>
              <w:t>a</w:t>
            </w:r>
            <w:r w:rsidRPr="00537112">
              <w:rPr>
                <w:rFonts w:cs="Verdana"/>
                <w:spacing w:val="1"/>
                <w:sz w:val="20"/>
                <w:szCs w:val="20"/>
              </w:rPr>
              <w:t>n</w:t>
            </w:r>
            <w:r w:rsidRPr="00537112">
              <w:rPr>
                <w:rFonts w:cs="Verdana"/>
                <w:sz w:val="20"/>
                <w:szCs w:val="20"/>
              </w:rPr>
              <w:t>a)</w:t>
            </w:r>
          </w:p>
        </w:tc>
      </w:tr>
      <w:tr w:rsidR="00537112" w:rsidRPr="00537112" w14:paraId="2C02C01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F94F8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F6CE45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F8149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0DF285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u</w:t>
            </w:r>
            <w:r w:rsidRPr="00537112">
              <w:rPr>
                <w:rFonts w:cs="Verdana"/>
                <w:position w:val="-1"/>
                <w:sz w:val="20"/>
                <w:szCs w:val="20"/>
              </w:rPr>
              <w:t>s</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o)</w:t>
            </w:r>
          </w:p>
        </w:tc>
      </w:tr>
      <w:tr w:rsidR="00537112" w:rsidRPr="00537112" w14:paraId="014B80D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8F1C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D4249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1168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0DD00B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1EAF674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9AB0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183CD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85E18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7CCEA5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46A377D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1AEC7C"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05EF2006"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4</w:t>
            </w:r>
          </w:p>
        </w:tc>
        <w:tc>
          <w:tcPr>
            <w:tcW w:w="3958" w:type="dxa"/>
            <w:vMerge w:val="restart"/>
            <w:tcBorders>
              <w:top w:val="single" w:sz="8" w:space="0" w:color="000000"/>
              <w:left w:val="single" w:sz="8" w:space="0" w:color="000000"/>
              <w:bottom w:val="single" w:sz="8" w:space="0" w:color="000000"/>
              <w:right w:val="single" w:sz="8" w:space="0" w:color="000000"/>
            </w:tcBorders>
          </w:tcPr>
          <w:p w14:paraId="41AC4AE4" w14:textId="77777777" w:rsidR="00537112" w:rsidRPr="00537112" w:rsidRDefault="00537112" w:rsidP="00537112">
            <w:pPr>
              <w:autoSpaceDE w:val="0"/>
              <w:autoSpaceDN w:val="0"/>
              <w:spacing w:before="98" w:line="240" w:lineRule="auto"/>
              <w:ind w:right="-20"/>
              <w:jc w:val="left"/>
              <w:textAlignment w:val="auto"/>
              <w:rPr>
                <w:rFonts w:cs="Verdana"/>
                <w:sz w:val="20"/>
                <w:szCs w:val="20"/>
              </w:rPr>
            </w:pPr>
            <w:r w:rsidRPr="00537112">
              <w:rPr>
                <w:rFonts w:cs="Verdana"/>
                <w:spacing w:val="-1"/>
                <w:sz w:val="20"/>
                <w:szCs w:val="20"/>
              </w:rPr>
              <w:t>E</w:t>
            </w:r>
            <w:r w:rsidRPr="00537112">
              <w:rPr>
                <w:rFonts w:cs="Verdana"/>
                <w:spacing w:val="1"/>
                <w:sz w:val="20"/>
                <w:szCs w:val="20"/>
              </w:rPr>
              <w:t>dmund</w:t>
            </w:r>
            <w:r w:rsidRPr="00537112">
              <w:rPr>
                <w:rFonts w:cs="Verdana"/>
                <w:sz w:val="20"/>
                <w:szCs w:val="20"/>
              </w:rPr>
              <w:t>o</w:t>
            </w:r>
            <w:r w:rsidRPr="00537112">
              <w:rPr>
                <w:rFonts w:cs="Verdana"/>
                <w:spacing w:val="-11"/>
                <w:sz w:val="20"/>
                <w:szCs w:val="20"/>
              </w:rPr>
              <w:t xml:space="preserve"> </w:t>
            </w:r>
            <w:r w:rsidRPr="00537112">
              <w:rPr>
                <w:rFonts w:cs="Verdana"/>
                <w:sz w:val="20"/>
                <w:szCs w:val="20"/>
              </w:rPr>
              <w:t>o</w:t>
            </w:r>
            <w:r w:rsidRPr="00537112">
              <w:rPr>
                <w:rFonts w:cs="Verdana"/>
                <w:spacing w:val="-3"/>
                <w:sz w:val="20"/>
                <w:szCs w:val="20"/>
              </w:rPr>
              <w:t xml:space="preserve"> </w:t>
            </w:r>
            <w:r w:rsidRPr="00537112">
              <w:rPr>
                <w:rFonts w:cs="Verdana"/>
                <w:spacing w:val="1"/>
                <w:sz w:val="20"/>
                <w:szCs w:val="20"/>
              </w:rPr>
              <w:t>R</w:t>
            </w:r>
            <w:r w:rsidRPr="00537112">
              <w:rPr>
                <w:rFonts w:cs="Verdana"/>
                <w:sz w:val="20"/>
                <w:szCs w:val="20"/>
              </w:rPr>
              <w:t>ay</w:t>
            </w:r>
            <w:r w:rsidRPr="00537112">
              <w:rPr>
                <w:rFonts w:cs="Verdana"/>
                <w:spacing w:val="1"/>
                <w:sz w:val="20"/>
                <w:szCs w:val="20"/>
              </w:rPr>
              <w:t>mund</w:t>
            </w:r>
            <w:r w:rsidRPr="00537112">
              <w:rPr>
                <w:rFonts w:cs="Verdana"/>
                <w:sz w:val="20"/>
                <w:szCs w:val="20"/>
              </w:rPr>
              <w:t>o</w:t>
            </w:r>
            <w:r w:rsidRPr="00537112">
              <w:rPr>
                <w:rFonts w:cs="Verdana"/>
                <w:spacing w:val="-13"/>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a</w:t>
            </w:r>
            <w:r w:rsidRPr="00537112">
              <w:rPr>
                <w:rFonts w:cs="Verdana"/>
                <w:spacing w:val="-1"/>
                <w:sz w:val="20"/>
                <w:szCs w:val="20"/>
              </w:rPr>
              <w:t>rcó</w:t>
            </w:r>
            <w:r w:rsidRPr="00537112">
              <w:rPr>
                <w:rFonts w:cs="Verdana"/>
                <w:sz w:val="20"/>
                <w:szCs w:val="20"/>
              </w:rPr>
              <w:t>n</w:t>
            </w:r>
          </w:p>
          <w:p w14:paraId="09C1D5F6"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rPr>
            </w:pPr>
            <w:r w:rsidRPr="00537112">
              <w:rPr>
                <w:rFonts w:cs="Verdana"/>
                <w:sz w:val="20"/>
                <w:szCs w:val="20"/>
              </w:rPr>
              <w:t>M</w:t>
            </w:r>
            <w:r w:rsidRPr="00537112">
              <w:rPr>
                <w:rFonts w:cs="Verdana"/>
                <w:spacing w:val="-1"/>
                <w:sz w:val="20"/>
                <w:szCs w:val="20"/>
              </w:rPr>
              <w:t>ore</w:t>
            </w:r>
            <w:r w:rsidRPr="00537112">
              <w:rPr>
                <w:rFonts w:cs="Verdana"/>
                <w:spacing w:val="1"/>
                <w:sz w:val="20"/>
                <w:szCs w:val="20"/>
              </w:rPr>
              <w:t>nt</w:t>
            </w:r>
            <w:r w:rsidRPr="00537112">
              <w:rPr>
                <w:rFonts w:cs="Verdana"/>
                <w:sz w:val="20"/>
                <w:szCs w:val="20"/>
              </w:rPr>
              <w:t>e</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39FC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079DAA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69F076D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3A91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9F6A0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89BC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6020EB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up</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54AA17E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0CE0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E0C09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ED360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0E39A6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3"/>
                <w:position w:val="-1"/>
                <w:sz w:val="20"/>
                <w:szCs w:val="20"/>
              </w:rPr>
              <w:t>l</w:t>
            </w:r>
            <w:r w:rsidRPr="00537112">
              <w:rPr>
                <w:rFonts w:cs="Verdana"/>
                <w:position w:val="-1"/>
                <w:sz w:val="20"/>
                <w:szCs w:val="20"/>
              </w:rPr>
              <w:t>á</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0AFEE52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C638176"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06A5A7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B1D75D2"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5</w:t>
            </w:r>
          </w:p>
        </w:tc>
        <w:tc>
          <w:tcPr>
            <w:tcW w:w="3958" w:type="dxa"/>
            <w:vMerge w:val="restart"/>
            <w:tcBorders>
              <w:top w:val="single" w:sz="8" w:space="0" w:color="000000"/>
              <w:left w:val="single" w:sz="8" w:space="0" w:color="000000"/>
              <w:bottom w:val="single" w:sz="8" w:space="0" w:color="000000"/>
              <w:right w:val="single" w:sz="8" w:space="0" w:color="000000"/>
            </w:tcBorders>
          </w:tcPr>
          <w:p w14:paraId="343DFD64"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92EA1C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01D8F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EE3F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5106BF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y</w:t>
            </w:r>
            <w:r w:rsidRPr="00537112">
              <w:rPr>
                <w:rFonts w:cs="Verdana"/>
                <w:spacing w:val="1"/>
                <w:position w:val="-1"/>
                <w:sz w:val="20"/>
                <w:szCs w:val="20"/>
              </w:rPr>
              <w:t>ug</w:t>
            </w:r>
            <w:r w:rsidRPr="00537112">
              <w:rPr>
                <w:rFonts w:cs="Verdana"/>
                <w:spacing w:val="-1"/>
                <w:position w:val="-1"/>
                <w:sz w:val="20"/>
                <w:szCs w:val="20"/>
              </w:rPr>
              <w:t>e</w:t>
            </w:r>
            <w:r w:rsidRPr="00537112">
              <w:rPr>
                <w:rFonts w:cs="Verdana"/>
                <w:position w:val="-1"/>
                <w:sz w:val="20"/>
                <w:szCs w:val="20"/>
              </w:rPr>
              <w:t>)</w:t>
            </w:r>
          </w:p>
        </w:tc>
      </w:tr>
      <w:tr w:rsidR="00537112" w:rsidRPr="00537112" w14:paraId="5B41843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AA10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A4766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04357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427345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46F1538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798A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0BA48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7EB1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687AB7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li</w:t>
            </w:r>
            <w:r w:rsidRPr="00537112">
              <w:rPr>
                <w:rFonts w:cs="Verdana"/>
                <w:position w:val="-1"/>
                <w:sz w:val="20"/>
                <w:szCs w:val="20"/>
              </w:rPr>
              <w:t>v</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33AD727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1E9B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842D9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A3A1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5B7F09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34519F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0DFCA1"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53A17073"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6</w:t>
            </w:r>
          </w:p>
        </w:tc>
        <w:tc>
          <w:tcPr>
            <w:tcW w:w="3958" w:type="dxa"/>
            <w:vMerge w:val="restart"/>
            <w:tcBorders>
              <w:top w:val="single" w:sz="8" w:space="0" w:color="000000"/>
              <w:left w:val="single" w:sz="8" w:space="0" w:color="000000"/>
              <w:bottom w:val="single" w:sz="8" w:space="0" w:color="000000"/>
              <w:right w:val="single" w:sz="8" w:space="0" w:color="000000"/>
            </w:tcBorders>
          </w:tcPr>
          <w:p w14:paraId="7363BBF3"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542E40C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7700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294BFD67" w14:textId="77777777" w:rsidR="00537112" w:rsidRPr="00537112" w:rsidRDefault="00537112" w:rsidP="00537112">
            <w:pPr>
              <w:tabs>
                <w:tab w:val="left" w:pos="2060"/>
              </w:tabs>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T</w:t>
            </w:r>
            <w:r w:rsidRPr="00537112">
              <w:rPr>
                <w:rFonts w:cs="Verdana"/>
                <w:spacing w:val="-1"/>
                <w:position w:val="-1"/>
                <w:sz w:val="20"/>
                <w:szCs w:val="20"/>
              </w:rPr>
              <w:t>o</w:t>
            </w:r>
            <w:r w:rsidRPr="00537112">
              <w:rPr>
                <w:rFonts w:cs="Verdana"/>
                <w:position w:val="-1"/>
                <w:sz w:val="20"/>
                <w:szCs w:val="20"/>
              </w:rPr>
              <w:t>j</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r w:rsidRPr="00537112">
              <w:rPr>
                <w:rFonts w:cs="Verdana"/>
                <w:position w:val="-1"/>
                <w:sz w:val="20"/>
                <w:szCs w:val="20"/>
              </w:rPr>
              <w:tab/>
            </w:r>
            <w:r w:rsidRPr="00537112">
              <w:rPr>
                <w:rFonts w:cs="Verdana"/>
                <w:spacing w:val="1"/>
                <w:position w:val="-1"/>
                <w:sz w:val="20"/>
                <w:szCs w:val="20"/>
              </w:rPr>
              <w:t>(</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y</w:t>
            </w:r>
            <w:r w:rsidRPr="00537112">
              <w:rPr>
                <w:rFonts w:cs="Verdana"/>
                <w:spacing w:val="1"/>
                <w:position w:val="-1"/>
                <w:sz w:val="20"/>
                <w:szCs w:val="20"/>
              </w:rPr>
              <w:t>ug</w:t>
            </w:r>
            <w:r w:rsidRPr="00537112">
              <w:rPr>
                <w:rFonts w:cs="Verdana"/>
                <w:spacing w:val="-1"/>
                <w:position w:val="-1"/>
                <w:sz w:val="20"/>
                <w:szCs w:val="20"/>
              </w:rPr>
              <w:t>e</w:t>
            </w:r>
            <w:r w:rsidRPr="00537112">
              <w:rPr>
                <w:rFonts w:cs="Verdana"/>
                <w:position w:val="-1"/>
                <w:sz w:val="20"/>
                <w:szCs w:val="20"/>
              </w:rPr>
              <w:t>)</w:t>
            </w:r>
          </w:p>
        </w:tc>
      </w:tr>
      <w:tr w:rsidR="00537112" w:rsidRPr="00537112" w14:paraId="4D09B04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D02898C" w14:textId="77777777" w:rsidR="00537112" w:rsidRPr="00537112" w:rsidRDefault="00537112" w:rsidP="00537112">
            <w:pPr>
              <w:tabs>
                <w:tab w:val="left" w:pos="2060"/>
              </w:tabs>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563B81F" w14:textId="77777777" w:rsidR="00537112" w:rsidRPr="00537112" w:rsidRDefault="00537112" w:rsidP="00537112">
            <w:pPr>
              <w:tabs>
                <w:tab w:val="left" w:pos="2060"/>
              </w:tabs>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9B45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38BD30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Er</w:t>
            </w:r>
            <w:r w:rsidRPr="00537112">
              <w:rPr>
                <w:rFonts w:cs="Verdana"/>
                <w:spacing w:val="1"/>
                <w:position w:val="-1"/>
                <w:sz w:val="20"/>
                <w:szCs w:val="20"/>
              </w:rPr>
              <w:t>n</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o</w:t>
            </w:r>
            <w:r w:rsidRPr="00537112">
              <w:rPr>
                <w:rFonts w:cs="Verdana"/>
                <w:position w:val="-1"/>
                <w:sz w:val="20"/>
                <w:szCs w:val="20"/>
              </w:rPr>
              <w:t>j</w:t>
            </w:r>
            <w:r w:rsidRPr="00537112">
              <w:rPr>
                <w:rFonts w:cs="Verdana"/>
                <w:spacing w:val="6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4705F0F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BDAED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2E9A71B"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28BC7C58"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7</w:t>
            </w:r>
          </w:p>
        </w:tc>
        <w:tc>
          <w:tcPr>
            <w:tcW w:w="3958" w:type="dxa"/>
            <w:vMerge w:val="restart"/>
            <w:tcBorders>
              <w:top w:val="single" w:sz="8" w:space="0" w:color="000000"/>
              <w:left w:val="single" w:sz="8" w:space="0" w:color="000000"/>
              <w:bottom w:val="single" w:sz="8" w:space="0" w:color="000000"/>
              <w:right w:val="single" w:sz="8" w:space="0" w:color="000000"/>
            </w:tcBorders>
          </w:tcPr>
          <w:p w14:paraId="61FB0506" w14:textId="77777777" w:rsidR="00537112" w:rsidRPr="00537112" w:rsidRDefault="00537112" w:rsidP="00537112">
            <w:pPr>
              <w:autoSpaceDE w:val="0"/>
              <w:autoSpaceDN w:val="0"/>
              <w:spacing w:before="5" w:line="140" w:lineRule="exact"/>
              <w:jc w:val="left"/>
              <w:textAlignment w:val="auto"/>
              <w:rPr>
                <w:rFonts w:ascii="Times New Roman" w:hAnsi="Times New Roman"/>
                <w:sz w:val="14"/>
                <w:szCs w:val="14"/>
                <w:lang w:val="pt-BR"/>
              </w:rPr>
            </w:pPr>
          </w:p>
          <w:p w14:paraId="75FC94D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75E6D7E4" w14:textId="77777777" w:rsidR="00537112" w:rsidRPr="00537112" w:rsidRDefault="00537112" w:rsidP="00537112">
            <w:pPr>
              <w:autoSpaceDE w:val="0"/>
              <w:autoSpaceDN w:val="0"/>
              <w:spacing w:line="240" w:lineRule="auto"/>
              <w:ind w:right="-20"/>
              <w:jc w:val="left"/>
              <w:textAlignment w:val="auto"/>
              <w:rPr>
                <w:rFonts w:cs="Verdana"/>
                <w:sz w:val="20"/>
                <w:szCs w:val="20"/>
                <w:lang w:val="pt-BR"/>
              </w:rPr>
            </w:pPr>
            <w:r w:rsidRPr="00537112">
              <w:rPr>
                <w:rFonts w:cs="Verdana"/>
                <w:spacing w:val="-1"/>
                <w:sz w:val="20"/>
                <w:szCs w:val="20"/>
                <w:lang w:val="pt-BR"/>
              </w:rPr>
              <w:t>Lore</w:t>
            </w:r>
            <w:r w:rsidRPr="00537112">
              <w:rPr>
                <w:rFonts w:cs="Verdana"/>
                <w:spacing w:val="1"/>
                <w:sz w:val="20"/>
                <w:szCs w:val="20"/>
                <w:lang w:val="pt-BR"/>
              </w:rPr>
              <w:t>nz</w:t>
            </w:r>
            <w:r w:rsidRPr="00537112">
              <w:rPr>
                <w:rFonts w:cs="Verdana"/>
                <w:sz w:val="20"/>
                <w:szCs w:val="20"/>
                <w:lang w:val="pt-BR"/>
              </w:rPr>
              <w:t>o</w:t>
            </w:r>
            <w:r w:rsidRPr="00537112">
              <w:rPr>
                <w:rFonts w:cs="Verdana"/>
                <w:spacing w:val="-10"/>
                <w:sz w:val="20"/>
                <w:szCs w:val="20"/>
                <w:lang w:val="pt-BR"/>
              </w:rPr>
              <w:t xml:space="preserve"> </w:t>
            </w:r>
            <w:r w:rsidRPr="00537112">
              <w:rPr>
                <w:rFonts w:cs="Verdana"/>
                <w:sz w:val="20"/>
                <w:szCs w:val="20"/>
                <w:lang w:val="pt-BR"/>
              </w:rPr>
              <w:t>D</w:t>
            </w:r>
            <w:r w:rsidRPr="00537112">
              <w:rPr>
                <w:rFonts w:cs="Verdana"/>
                <w:spacing w:val="-1"/>
                <w:sz w:val="20"/>
                <w:szCs w:val="20"/>
                <w:lang w:val="pt-BR"/>
              </w:rPr>
              <w:t>e</w:t>
            </w:r>
            <w:r w:rsidRPr="00537112">
              <w:rPr>
                <w:rFonts w:cs="Verdana"/>
                <w:spacing w:val="1"/>
                <w:sz w:val="20"/>
                <w:szCs w:val="20"/>
                <w:lang w:val="pt-BR"/>
              </w:rPr>
              <w:t>p</w:t>
            </w:r>
            <w:r w:rsidRPr="00537112">
              <w:rPr>
                <w:rFonts w:cs="Verdana"/>
                <w:sz w:val="20"/>
                <w:szCs w:val="20"/>
                <w:lang w:val="pt-BR"/>
              </w:rPr>
              <w:t>az</w:t>
            </w:r>
            <w:r w:rsidRPr="00537112">
              <w:rPr>
                <w:rFonts w:cs="Verdana"/>
                <w:spacing w:val="-6"/>
                <w:sz w:val="20"/>
                <w:szCs w:val="20"/>
                <w:lang w:val="pt-BR"/>
              </w:rPr>
              <w:t xml:space="preserve"> </w:t>
            </w:r>
            <w:r w:rsidRPr="00537112">
              <w:rPr>
                <w:rFonts w:cs="Verdana"/>
                <w:spacing w:val="1"/>
                <w:sz w:val="20"/>
                <w:szCs w:val="20"/>
                <w:lang w:val="pt-BR"/>
              </w:rPr>
              <w:t>S</w:t>
            </w:r>
            <w:r w:rsidRPr="00537112">
              <w:rPr>
                <w:rFonts w:cs="Verdana"/>
                <w:spacing w:val="3"/>
                <w:sz w:val="20"/>
                <w:szCs w:val="20"/>
                <w:lang w:val="pt-BR"/>
              </w:rPr>
              <w:t>i</w:t>
            </w:r>
            <w:r w:rsidRPr="00537112">
              <w:rPr>
                <w:rFonts w:cs="Verdana"/>
                <w:spacing w:val="1"/>
                <w:sz w:val="20"/>
                <w:szCs w:val="20"/>
                <w:lang w:val="pt-BR"/>
              </w:rPr>
              <w:t>p</w:t>
            </w:r>
            <w:r w:rsidRPr="00537112">
              <w:rPr>
                <w:rFonts w:cs="Verdana"/>
                <w:spacing w:val="-1"/>
                <w:sz w:val="20"/>
                <w:szCs w:val="20"/>
                <w:lang w:val="pt-BR"/>
              </w:rPr>
              <w:t>r</w:t>
            </w:r>
            <w:r w:rsidRPr="00537112">
              <w:rPr>
                <w:rFonts w:cs="Verdana"/>
                <w:spacing w:val="3"/>
                <w:sz w:val="20"/>
                <w:szCs w:val="20"/>
                <w:lang w:val="pt-BR"/>
              </w:rPr>
              <w:t>i</w:t>
            </w:r>
            <w:r w:rsidRPr="00537112">
              <w:rPr>
                <w:rFonts w:cs="Verdana"/>
                <w:sz w:val="20"/>
                <w:szCs w:val="20"/>
                <w:lang w:val="pt-BR"/>
              </w:rPr>
              <w:t>an</w:t>
            </w:r>
            <w:r w:rsidRPr="00537112">
              <w:rPr>
                <w:rFonts w:cs="Verdana"/>
                <w:spacing w:val="-7"/>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pacing w:val="1"/>
                <w:sz w:val="20"/>
                <w:szCs w:val="20"/>
                <w:lang w:val="pt-BR"/>
              </w:rPr>
              <w:t>F</w:t>
            </w:r>
            <w:r w:rsidRPr="00537112">
              <w:rPr>
                <w:rFonts w:cs="Verdana"/>
                <w:spacing w:val="3"/>
                <w:sz w:val="20"/>
                <w:szCs w:val="20"/>
                <w:lang w:val="pt-BR"/>
              </w:rPr>
              <w:t>l</w:t>
            </w:r>
            <w:r w:rsidRPr="00537112">
              <w:rPr>
                <w:rFonts w:cs="Verdana"/>
                <w:spacing w:val="-1"/>
                <w:sz w:val="20"/>
                <w:szCs w:val="20"/>
                <w:lang w:val="pt-BR"/>
              </w:rPr>
              <w:t>ore</w:t>
            </w:r>
            <w:r w:rsidRPr="00537112">
              <w:rPr>
                <w:rFonts w:cs="Verdana"/>
                <w:spacing w:val="1"/>
                <w:sz w:val="20"/>
                <w:szCs w:val="20"/>
                <w:lang w:val="pt-BR"/>
              </w:rPr>
              <w:t>n</w:t>
            </w:r>
            <w:r w:rsidRPr="00537112">
              <w:rPr>
                <w:rFonts w:cs="Verdana"/>
                <w:spacing w:val="-1"/>
                <w:sz w:val="20"/>
                <w:szCs w:val="20"/>
                <w:lang w:val="pt-BR"/>
              </w:rPr>
              <w:t>c</w:t>
            </w:r>
            <w:r w:rsidRPr="00537112">
              <w:rPr>
                <w:rFonts w:cs="Verdana"/>
                <w:spacing w:val="3"/>
                <w:sz w:val="20"/>
                <w:szCs w:val="20"/>
                <w:lang w:val="pt-BR"/>
              </w:rPr>
              <w:t>i</w:t>
            </w:r>
            <w:r w:rsidRPr="00537112">
              <w:rPr>
                <w:rFonts w:cs="Verdana"/>
                <w:sz w:val="20"/>
                <w:szCs w:val="20"/>
                <w:lang w:val="pt-BR"/>
              </w:rPr>
              <w:t>o</w:t>
            </w:r>
          </w:p>
          <w:p w14:paraId="33F5334D"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lang w:val="pt-BR"/>
              </w:rPr>
            </w:pPr>
            <w:r w:rsidRPr="00537112">
              <w:rPr>
                <w:rFonts w:cs="Verdana"/>
                <w:sz w:val="20"/>
                <w:szCs w:val="20"/>
                <w:lang w:val="pt-BR"/>
              </w:rPr>
              <w:t>D</w:t>
            </w:r>
            <w:r w:rsidRPr="00537112">
              <w:rPr>
                <w:rFonts w:cs="Verdana"/>
                <w:spacing w:val="-1"/>
                <w:sz w:val="20"/>
                <w:szCs w:val="20"/>
                <w:lang w:val="pt-BR"/>
              </w:rPr>
              <w:t>e</w:t>
            </w:r>
            <w:r w:rsidRPr="00537112">
              <w:rPr>
                <w:rFonts w:cs="Verdana"/>
                <w:spacing w:val="1"/>
                <w:sz w:val="20"/>
                <w:szCs w:val="20"/>
                <w:lang w:val="pt-BR"/>
              </w:rPr>
              <w:t>p</w:t>
            </w:r>
            <w:r w:rsidRPr="00537112">
              <w:rPr>
                <w:rFonts w:cs="Verdana"/>
                <w:sz w:val="20"/>
                <w:szCs w:val="20"/>
                <w:lang w:val="pt-BR"/>
              </w:rPr>
              <w:t>az</w:t>
            </w:r>
            <w:r w:rsidRPr="00537112">
              <w:rPr>
                <w:rFonts w:cs="Verdana"/>
                <w:spacing w:val="-6"/>
                <w:sz w:val="20"/>
                <w:szCs w:val="20"/>
                <w:lang w:val="pt-BR"/>
              </w:rPr>
              <w:t xml:space="preserve"> </w:t>
            </w:r>
            <w:r w:rsidRPr="00537112">
              <w:rPr>
                <w:rFonts w:cs="Verdana"/>
                <w:sz w:val="20"/>
                <w:szCs w:val="20"/>
                <w:lang w:val="pt-BR"/>
              </w:rPr>
              <w:t>C</w:t>
            </w:r>
            <w:r w:rsidRPr="00537112">
              <w:rPr>
                <w:rFonts w:cs="Verdana"/>
                <w:spacing w:val="3"/>
                <w:sz w:val="20"/>
                <w:szCs w:val="20"/>
                <w:lang w:val="pt-BR"/>
              </w:rPr>
              <w:t>i</w:t>
            </w:r>
            <w:r w:rsidRPr="00537112">
              <w:rPr>
                <w:rFonts w:cs="Verdana"/>
                <w:spacing w:val="1"/>
                <w:sz w:val="20"/>
                <w:szCs w:val="20"/>
                <w:lang w:val="pt-BR"/>
              </w:rPr>
              <w:t>p</w:t>
            </w:r>
            <w:r w:rsidRPr="00537112">
              <w:rPr>
                <w:rFonts w:cs="Verdana"/>
                <w:spacing w:val="-1"/>
                <w:sz w:val="20"/>
                <w:szCs w:val="20"/>
                <w:lang w:val="pt-BR"/>
              </w:rPr>
              <w:t>r</w:t>
            </w:r>
            <w:r w:rsidRPr="00537112">
              <w:rPr>
                <w:rFonts w:cs="Verdana"/>
                <w:spacing w:val="3"/>
                <w:sz w:val="20"/>
                <w:szCs w:val="20"/>
                <w:lang w:val="pt-BR"/>
              </w:rPr>
              <w:t>i</w:t>
            </w:r>
            <w:r w:rsidRPr="00537112">
              <w:rPr>
                <w:rFonts w:cs="Verdana"/>
                <w:sz w:val="20"/>
                <w:szCs w:val="20"/>
                <w:lang w:val="pt-BR"/>
              </w:rPr>
              <w:t>a</w:t>
            </w:r>
            <w:r w:rsidRPr="00537112">
              <w:rPr>
                <w:rFonts w:cs="Verdana"/>
                <w:spacing w:val="1"/>
                <w:sz w:val="20"/>
                <w:szCs w:val="20"/>
                <w:lang w:val="pt-BR"/>
              </w:rPr>
              <w:t>n</w:t>
            </w:r>
            <w:r w:rsidRPr="00537112">
              <w:rPr>
                <w:rFonts w:cs="Verdana"/>
                <w:spacing w:val="-1"/>
                <w:sz w:val="20"/>
                <w:szCs w:val="20"/>
                <w:lang w:val="pt-BR"/>
              </w:rPr>
              <w:t>o</w:t>
            </w:r>
            <w:r w:rsidRPr="00537112">
              <w:rPr>
                <w:rFonts w:cs="Verdana"/>
                <w:sz w:val="20"/>
                <w:szCs w:val="20"/>
                <w:lang w:val="pt-BR"/>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0BDD2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6D53E8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622AA4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F9B1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B120B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3E65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4ABD95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78439B4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AEBC0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1423D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3327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167096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Ap</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1470EC3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4A81A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00028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1246A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5D11F1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05B4C12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22AB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0EF7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28B6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75DBA0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1"/>
                <w:position w:val="-1"/>
                <w:sz w:val="20"/>
                <w:szCs w:val="20"/>
              </w:rPr>
              <w:t>g</w:t>
            </w:r>
            <w:r w:rsidRPr="00537112">
              <w:rPr>
                <w:rFonts w:cs="Verdana"/>
                <w:spacing w:val="3"/>
                <w:position w:val="-1"/>
                <w:sz w:val="20"/>
                <w:szCs w:val="20"/>
              </w:rPr>
              <w:t>ili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1DA82DF2"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629F3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C8263E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13FA934"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8</w:t>
            </w:r>
          </w:p>
        </w:tc>
        <w:tc>
          <w:tcPr>
            <w:tcW w:w="3958" w:type="dxa"/>
            <w:vMerge w:val="restart"/>
            <w:tcBorders>
              <w:top w:val="single" w:sz="8" w:space="0" w:color="000000"/>
              <w:left w:val="single" w:sz="8" w:space="0" w:color="000000"/>
              <w:bottom w:val="single" w:sz="8" w:space="0" w:color="000000"/>
              <w:right w:val="single" w:sz="8" w:space="0" w:color="000000"/>
            </w:tcBorders>
          </w:tcPr>
          <w:p w14:paraId="124B0C48"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6422D83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CD4FF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Leo</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Ca</w:t>
            </w:r>
            <w:r w:rsidRPr="00537112">
              <w:rPr>
                <w:rFonts w:cs="Verdana"/>
                <w:spacing w:val="1"/>
                <w:sz w:val="20"/>
                <w:szCs w:val="20"/>
              </w:rPr>
              <w:t>hu</w:t>
            </w:r>
            <w:r w:rsidRPr="00537112">
              <w:rPr>
                <w:rFonts w:cs="Verdana"/>
                <w:spacing w:val="-1"/>
                <w:sz w:val="20"/>
                <w:szCs w:val="20"/>
              </w:rPr>
              <w:t>e</w:t>
            </w:r>
            <w:r w:rsidRPr="00537112">
              <w:rPr>
                <w:rFonts w:cs="Verdana"/>
                <w:sz w:val="20"/>
                <w:szCs w:val="20"/>
              </w:rPr>
              <w:t>c</w:t>
            </w:r>
            <w:r w:rsidRPr="00537112">
              <w:rPr>
                <w:rFonts w:cs="Verdana"/>
                <w:spacing w:val="-8"/>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A822B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3EBE17E9" w14:textId="77777777" w:rsidR="00537112" w:rsidRPr="00537112" w:rsidRDefault="00537112" w:rsidP="00537112">
            <w:pPr>
              <w:tabs>
                <w:tab w:val="left" w:pos="2280"/>
              </w:tabs>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w:t>
            </w:r>
            <w:r w:rsidRPr="00537112">
              <w:rPr>
                <w:rFonts w:cs="Verdana"/>
                <w:position w:val="-1"/>
                <w:sz w:val="20"/>
                <w:szCs w:val="20"/>
              </w:rPr>
              <w:t>m</w:t>
            </w:r>
            <w:r w:rsidRPr="00537112">
              <w:rPr>
                <w:rFonts w:cs="Verdana"/>
                <w:position w:val="-1"/>
                <w:sz w:val="20"/>
                <w:szCs w:val="20"/>
              </w:rPr>
              <w:tab/>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40809BB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7F770C2" w14:textId="77777777" w:rsidR="00537112" w:rsidRPr="00537112" w:rsidRDefault="00537112" w:rsidP="00537112">
            <w:pPr>
              <w:tabs>
                <w:tab w:val="left" w:pos="2280"/>
              </w:tabs>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AADA622" w14:textId="77777777" w:rsidR="00537112" w:rsidRPr="00537112" w:rsidRDefault="00537112" w:rsidP="00537112">
            <w:pPr>
              <w:tabs>
                <w:tab w:val="left" w:pos="2280"/>
              </w:tabs>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2CB30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480345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2B3492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E3D0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B5DD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ED6C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0C74AA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295810E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30AB5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CEC62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39115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6FE46D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6C1E63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28C4DCC"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4B915E9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2E63AF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5700DF5" w14:textId="77777777" w:rsidR="00537112" w:rsidRPr="00537112" w:rsidRDefault="00537112" w:rsidP="00537112">
            <w:pPr>
              <w:autoSpaceDE w:val="0"/>
              <w:autoSpaceDN w:val="0"/>
              <w:spacing w:line="240" w:lineRule="auto"/>
              <w:ind w:right="350"/>
              <w:jc w:val="center"/>
              <w:textAlignment w:val="auto"/>
              <w:rPr>
                <w:rFonts w:ascii="Times New Roman" w:hAnsi="Times New Roman"/>
              </w:rPr>
            </w:pPr>
            <w:r w:rsidRPr="00537112">
              <w:rPr>
                <w:rFonts w:cs="Verdana"/>
                <w:b/>
                <w:bCs/>
                <w:w w:val="99"/>
                <w:sz w:val="20"/>
                <w:szCs w:val="20"/>
              </w:rPr>
              <w:t>9</w:t>
            </w:r>
          </w:p>
        </w:tc>
        <w:tc>
          <w:tcPr>
            <w:tcW w:w="3958" w:type="dxa"/>
            <w:vMerge w:val="restart"/>
            <w:tcBorders>
              <w:top w:val="single" w:sz="8" w:space="0" w:color="000000"/>
              <w:left w:val="single" w:sz="8" w:space="0" w:color="000000"/>
              <w:bottom w:val="single" w:sz="8" w:space="0" w:color="000000"/>
              <w:right w:val="single" w:sz="8" w:space="0" w:color="000000"/>
            </w:tcBorders>
          </w:tcPr>
          <w:p w14:paraId="66D46B1C"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7E1DFBC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F5186C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5ACF0E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A217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7378A795"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position w:val="-1"/>
                <w:sz w:val="20"/>
                <w:szCs w:val="20"/>
                <w:lang w:val="pt-BR"/>
              </w:rPr>
              <w:t>Ma</w:t>
            </w:r>
            <w:r w:rsidRPr="00537112">
              <w:rPr>
                <w:rFonts w:cs="Verdana"/>
                <w:spacing w:val="-1"/>
                <w:position w:val="-1"/>
                <w:sz w:val="20"/>
                <w:szCs w:val="20"/>
                <w:lang w:val="pt-BR"/>
              </w:rPr>
              <w:t>r</w:t>
            </w:r>
            <w:r w:rsidRPr="00537112">
              <w:rPr>
                <w:rFonts w:cs="Verdana"/>
                <w:spacing w:val="3"/>
                <w:position w:val="-1"/>
                <w:sz w:val="20"/>
                <w:szCs w:val="20"/>
                <w:lang w:val="pt-BR"/>
              </w:rPr>
              <w:t>i</w:t>
            </w:r>
            <w:r w:rsidRPr="00537112">
              <w:rPr>
                <w:rFonts w:cs="Verdana"/>
                <w:position w:val="-1"/>
                <w:sz w:val="20"/>
                <w:szCs w:val="20"/>
                <w:lang w:val="pt-BR"/>
              </w:rPr>
              <w:t>a</w:t>
            </w:r>
            <w:r w:rsidRPr="00537112">
              <w:rPr>
                <w:rFonts w:cs="Verdana"/>
                <w:spacing w:val="-5"/>
                <w:position w:val="-1"/>
                <w:sz w:val="20"/>
                <w:szCs w:val="20"/>
                <w:lang w:val="pt-BR"/>
              </w:rPr>
              <w:t xml:space="preserve"> </w:t>
            </w:r>
            <w:r w:rsidRPr="00537112">
              <w:rPr>
                <w:rFonts w:cs="Verdana"/>
                <w:position w:val="-1"/>
                <w:sz w:val="20"/>
                <w:szCs w:val="20"/>
                <w:lang w:val="pt-BR"/>
              </w:rPr>
              <w:t>T</w:t>
            </w:r>
            <w:r w:rsidRPr="00537112">
              <w:rPr>
                <w:rFonts w:cs="Verdana"/>
                <w:spacing w:val="-1"/>
                <w:position w:val="-1"/>
                <w:sz w:val="20"/>
                <w:szCs w:val="20"/>
                <w:lang w:val="pt-BR"/>
              </w:rPr>
              <w:t>eres</w:t>
            </w:r>
            <w:r w:rsidRPr="00537112">
              <w:rPr>
                <w:rFonts w:cs="Verdana"/>
                <w:position w:val="-1"/>
                <w:sz w:val="20"/>
                <w:szCs w:val="20"/>
                <w:lang w:val="pt-BR"/>
              </w:rPr>
              <w:t>a</w:t>
            </w:r>
            <w:r w:rsidRPr="00537112">
              <w:rPr>
                <w:rFonts w:cs="Verdana"/>
                <w:spacing w:val="-7"/>
                <w:position w:val="-1"/>
                <w:sz w:val="20"/>
                <w:szCs w:val="20"/>
                <w:lang w:val="pt-BR"/>
              </w:rPr>
              <w:t xml:space="preserve"> </w:t>
            </w:r>
            <w:r w:rsidRPr="00537112">
              <w:rPr>
                <w:rFonts w:cs="Verdana"/>
                <w:spacing w:val="1"/>
                <w:position w:val="-1"/>
                <w:sz w:val="20"/>
                <w:szCs w:val="20"/>
                <w:lang w:val="pt-BR"/>
              </w:rPr>
              <w:t>S</w:t>
            </w:r>
            <w:r w:rsidRPr="00537112">
              <w:rPr>
                <w:rFonts w:cs="Verdana"/>
                <w:spacing w:val="3"/>
                <w:position w:val="-1"/>
                <w:sz w:val="20"/>
                <w:szCs w:val="20"/>
                <w:lang w:val="pt-BR"/>
              </w:rPr>
              <w:t>i</w:t>
            </w:r>
            <w:r w:rsidRPr="00537112">
              <w:rPr>
                <w:rFonts w:cs="Verdana"/>
                <w:position w:val="-1"/>
                <w:sz w:val="20"/>
                <w:szCs w:val="20"/>
                <w:lang w:val="pt-BR"/>
              </w:rPr>
              <w:t>c</w:t>
            </w:r>
            <w:r w:rsidRPr="00537112">
              <w:rPr>
                <w:rFonts w:cs="Verdana"/>
                <w:spacing w:val="-4"/>
                <w:position w:val="-1"/>
                <w:sz w:val="20"/>
                <w:szCs w:val="20"/>
                <w:lang w:val="pt-BR"/>
              </w:rPr>
              <w:t xml:space="preserve"> </w:t>
            </w:r>
            <w:r w:rsidRPr="00537112">
              <w:rPr>
                <w:rFonts w:cs="Verdana"/>
                <w:spacing w:val="-1"/>
                <w:position w:val="-1"/>
                <w:sz w:val="20"/>
                <w:szCs w:val="20"/>
                <w:lang w:val="pt-BR"/>
              </w:rPr>
              <w:t>Osor</w:t>
            </w:r>
            <w:r w:rsidRPr="00537112">
              <w:rPr>
                <w:rFonts w:cs="Verdana"/>
                <w:spacing w:val="3"/>
                <w:position w:val="-1"/>
                <w:sz w:val="20"/>
                <w:szCs w:val="20"/>
                <w:lang w:val="pt-BR"/>
              </w:rPr>
              <w:t>i</w:t>
            </w:r>
            <w:r w:rsidRPr="00537112">
              <w:rPr>
                <w:rFonts w:cs="Verdana"/>
                <w:position w:val="-1"/>
                <w:sz w:val="20"/>
                <w:szCs w:val="20"/>
                <w:lang w:val="pt-BR"/>
              </w:rPr>
              <w:t>o</w:t>
            </w:r>
            <w:r w:rsidRPr="00537112">
              <w:rPr>
                <w:rFonts w:cs="Verdana"/>
                <w:spacing w:val="-8"/>
                <w:position w:val="-1"/>
                <w:sz w:val="20"/>
                <w:szCs w:val="20"/>
                <w:lang w:val="pt-BR"/>
              </w:rPr>
              <w:t xml:space="preserve"> </w:t>
            </w:r>
            <w:r w:rsidRPr="00537112">
              <w:rPr>
                <w:rFonts w:cs="Verdana"/>
                <w:spacing w:val="1"/>
                <w:position w:val="-1"/>
                <w:sz w:val="20"/>
                <w:szCs w:val="20"/>
                <w:lang w:val="pt-BR"/>
              </w:rPr>
              <w:t>(</w:t>
            </w:r>
            <w:r w:rsidRPr="00537112">
              <w:rPr>
                <w:rFonts w:cs="Verdana"/>
                <w:spacing w:val="-1"/>
                <w:position w:val="-1"/>
                <w:sz w:val="20"/>
                <w:szCs w:val="20"/>
                <w:lang w:val="pt-BR"/>
              </w:rPr>
              <w:t>Es</w:t>
            </w:r>
            <w:r w:rsidRPr="00537112">
              <w:rPr>
                <w:rFonts w:cs="Verdana"/>
                <w:spacing w:val="1"/>
                <w:position w:val="-1"/>
                <w:sz w:val="20"/>
                <w:szCs w:val="20"/>
                <w:lang w:val="pt-BR"/>
              </w:rPr>
              <w:t>p</w:t>
            </w:r>
            <w:r w:rsidRPr="00537112">
              <w:rPr>
                <w:rFonts w:cs="Verdana"/>
                <w:spacing w:val="-1"/>
                <w:position w:val="-1"/>
                <w:sz w:val="20"/>
                <w:szCs w:val="20"/>
                <w:lang w:val="pt-BR"/>
              </w:rPr>
              <w:t>os</w:t>
            </w:r>
            <w:r w:rsidRPr="00537112">
              <w:rPr>
                <w:rFonts w:cs="Verdana"/>
                <w:position w:val="-1"/>
                <w:sz w:val="20"/>
                <w:szCs w:val="20"/>
                <w:lang w:val="pt-BR"/>
              </w:rPr>
              <w:t>a)</w:t>
            </w:r>
          </w:p>
        </w:tc>
      </w:tr>
      <w:tr w:rsidR="00537112" w:rsidRPr="00537112" w14:paraId="2CB8853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AA3CE1"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p>
        </w:tc>
        <w:tc>
          <w:tcPr>
            <w:tcW w:w="3958" w:type="dxa"/>
            <w:vMerge/>
            <w:tcBorders>
              <w:top w:val="single" w:sz="8" w:space="0" w:color="000000"/>
              <w:left w:val="single" w:sz="8" w:space="0" w:color="000000"/>
              <w:bottom w:val="single" w:sz="8" w:space="0" w:color="000000"/>
              <w:right w:val="single" w:sz="8" w:space="0" w:color="000000"/>
            </w:tcBorders>
          </w:tcPr>
          <w:p w14:paraId="28EE3651"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5A68C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715D8B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6136207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DDC6B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0854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8D1A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1E4892D8" w14:textId="77777777" w:rsidR="00537112" w:rsidRPr="00537112" w:rsidRDefault="00537112" w:rsidP="00537112">
            <w:pPr>
              <w:tabs>
                <w:tab w:val="left" w:pos="3080"/>
              </w:tabs>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1"/>
                <w:position w:val="-1"/>
                <w:sz w:val="20"/>
                <w:szCs w:val="20"/>
              </w:rPr>
              <w:t>s</w:t>
            </w:r>
            <w:r w:rsidRPr="00537112">
              <w:rPr>
                <w:rFonts w:cs="Verdana"/>
                <w:spacing w:val="1"/>
                <w:position w:val="-1"/>
                <w:sz w:val="20"/>
                <w:szCs w:val="20"/>
              </w:rPr>
              <w:t>un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ó</w:t>
            </w:r>
            <w:r w:rsidRPr="00537112">
              <w:rPr>
                <w:rFonts w:cs="Verdana"/>
                <w:position w:val="-1"/>
                <w:sz w:val="20"/>
                <w:szCs w:val="20"/>
              </w:rPr>
              <w:t>n</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position w:val="-1"/>
                <w:sz w:val="20"/>
                <w:szCs w:val="20"/>
              </w:rPr>
              <w:tab/>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FB3A45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4875CD3" w14:textId="77777777" w:rsidR="00537112" w:rsidRPr="00537112" w:rsidRDefault="00537112" w:rsidP="00537112">
            <w:pPr>
              <w:tabs>
                <w:tab w:val="left" w:pos="3080"/>
              </w:tabs>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800F953" w14:textId="77777777" w:rsidR="00537112" w:rsidRPr="00537112" w:rsidRDefault="00537112" w:rsidP="00537112">
            <w:pPr>
              <w:tabs>
                <w:tab w:val="left" w:pos="3080"/>
              </w:tabs>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869A3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77B4D747" w14:textId="77777777" w:rsidR="00537112" w:rsidRPr="00537112" w:rsidRDefault="00537112" w:rsidP="00537112">
            <w:pPr>
              <w:tabs>
                <w:tab w:val="left" w:pos="2380"/>
              </w:tabs>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position w:val="-1"/>
                <w:sz w:val="20"/>
                <w:szCs w:val="20"/>
              </w:rPr>
              <w:tab/>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331127F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B3BC6C" w14:textId="77777777" w:rsidR="00537112" w:rsidRPr="00537112" w:rsidRDefault="00537112" w:rsidP="00537112">
            <w:pPr>
              <w:tabs>
                <w:tab w:val="left" w:pos="2380"/>
              </w:tabs>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F5064F5" w14:textId="77777777" w:rsidR="00537112" w:rsidRPr="00537112" w:rsidRDefault="00537112" w:rsidP="00537112">
            <w:pPr>
              <w:tabs>
                <w:tab w:val="left" w:pos="2380"/>
              </w:tabs>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3DF0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253310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34E19A8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436C2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CE13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3D8E7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334338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60"/>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31C2D9F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DF17BB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424EDEE"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57C8AF5B"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10</w:t>
            </w:r>
          </w:p>
        </w:tc>
        <w:tc>
          <w:tcPr>
            <w:tcW w:w="3958" w:type="dxa"/>
            <w:vMerge w:val="restart"/>
            <w:tcBorders>
              <w:top w:val="single" w:sz="8" w:space="0" w:color="000000"/>
              <w:left w:val="single" w:sz="8" w:space="0" w:color="000000"/>
              <w:bottom w:val="single" w:sz="8" w:space="0" w:color="000000"/>
              <w:right w:val="single" w:sz="8" w:space="0" w:color="000000"/>
            </w:tcBorders>
          </w:tcPr>
          <w:p w14:paraId="48FC257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C3696FC"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254AF6F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F175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15351D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bu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037143F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B31A2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A27FF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B7359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234AB0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E768E6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484C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FBD867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DC11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3996EF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4B5A116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541E0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B4416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31F2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3D283A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position w:val="-1"/>
                <w:sz w:val="20"/>
                <w:szCs w:val="20"/>
              </w:rPr>
              <w:t>s</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7956EA1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5982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9FF37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F08A3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798188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6128AAC2" w14:textId="77777777" w:rsidTr="00630EEC">
        <w:trPr>
          <w:trHeight w:hRule="exact" w:val="247"/>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165F0811"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56C51EF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341925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597FEA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312225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11</w:t>
            </w:r>
          </w:p>
        </w:tc>
        <w:tc>
          <w:tcPr>
            <w:tcW w:w="3958" w:type="dxa"/>
            <w:vMerge w:val="restart"/>
            <w:tcBorders>
              <w:top w:val="single" w:sz="8" w:space="0" w:color="000000"/>
              <w:left w:val="single" w:sz="8" w:space="0" w:color="000000"/>
              <w:bottom w:val="nil"/>
              <w:right w:val="single" w:sz="8" w:space="0" w:color="000000"/>
            </w:tcBorders>
          </w:tcPr>
          <w:p w14:paraId="39BC483C"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72BFD7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DA785A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EBE9C0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1747BE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1"/>
                <w:sz w:val="20"/>
                <w:szCs w:val="20"/>
              </w:rPr>
              <w:t>n</w:t>
            </w:r>
            <w:r w:rsidRPr="00537112">
              <w:rPr>
                <w:rFonts w:cs="Verdana"/>
                <w:spacing w:val="-1"/>
                <w:sz w:val="20"/>
                <w:szCs w:val="20"/>
              </w:rPr>
              <w:t>ce</w:t>
            </w:r>
            <w:r w:rsidRPr="00537112">
              <w:rPr>
                <w:rFonts w:cs="Verdana"/>
                <w:spacing w:val="1"/>
                <w:sz w:val="20"/>
                <w:szCs w:val="20"/>
              </w:rPr>
              <w:t>p</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ó</w:t>
            </w:r>
            <w:r w:rsidRPr="00537112">
              <w:rPr>
                <w:rFonts w:cs="Verdana"/>
                <w:sz w:val="20"/>
                <w:szCs w:val="20"/>
              </w:rPr>
              <w:t>n</w:t>
            </w:r>
            <w:r w:rsidRPr="00537112">
              <w:rPr>
                <w:rFonts w:cs="Verdana"/>
                <w:spacing w:val="-11"/>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C232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4107BE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FBEE581"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702BBB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58D373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0A15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74F17F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5591F0D8"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097770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461D71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29548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6416B1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1"/>
                <w:position w:val="-1"/>
                <w:sz w:val="20"/>
                <w:szCs w:val="20"/>
              </w:rPr>
              <w:t>ro</w:t>
            </w:r>
            <w:r w:rsidRPr="00537112">
              <w:rPr>
                <w:rFonts w:cs="Verdana"/>
                <w:spacing w:val="1"/>
                <w:position w:val="-1"/>
                <w:sz w:val="20"/>
                <w:szCs w:val="20"/>
              </w:rPr>
              <w:t>n</w:t>
            </w:r>
            <w:r w:rsidRPr="00537112">
              <w:rPr>
                <w:rFonts w:cs="Verdana"/>
                <w:spacing w:val="3"/>
                <w:position w:val="-1"/>
                <w:sz w:val="20"/>
                <w:szCs w:val="20"/>
              </w:rPr>
              <w:t>il</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1F5569D0"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AD17B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16CEF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3C98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1EB1A0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5273B20B"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2AC923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0169CE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2CA8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734C55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bl>
    <w:p w14:paraId="3B822125"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headerReference w:type="default" r:id="rId16"/>
          <w:pgSz w:w="12260" w:h="15840"/>
          <w:pgMar w:top="760" w:right="900" w:bottom="280" w:left="900" w:header="493" w:footer="0" w:gutter="0"/>
          <w:pgNumType w:start="1"/>
          <w:cols w:space="720"/>
          <w:noEndnote/>
        </w:sectPr>
      </w:pPr>
    </w:p>
    <w:p w14:paraId="0A3E576B"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3C4DEC3A" w14:textId="77777777" w:rsidTr="00630EEC">
        <w:trPr>
          <w:trHeight w:hRule="exact" w:val="247"/>
        </w:trPr>
        <w:tc>
          <w:tcPr>
            <w:tcW w:w="977" w:type="dxa"/>
            <w:vMerge w:val="restart"/>
            <w:tcBorders>
              <w:top w:val="nil"/>
              <w:left w:val="single" w:sz="8" w:space="0" w:color="000000"/>
              <w:bottom w:val="single" w:sz="8" w:space="0" w:color="000000"/>
              <w:right w:val="single" w:sz="8" w:space="0" w:color="000000"/>
            </w:tcBorders>
            <w:shd w:val="clear" w:color="auto" w:fill="BFBFBF" w:themeFill="background1" w:themeFillShade="BF"/>
          </w:tcPr>
          <w:p w14:paraId="14AC6895"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3958" w:type="dxa"/>
            <w:vMerge w:val="restart"/>
            <w:tcBorders>
              <w:top w:val="nil"/>
              <w:left w:val="single" w:sz="8" w:space="0" w:color="000000"/>
              <w:bottom w:val="single" w:sz="8" w:space="0" w:color="000000"/>
              <w:right w:val="single" w:sz="8" w:space="0" w:color="000000"/>
            </w:tcBorders>
          </w:tcPr>
          <w:p w14:paraId="3534E543"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94BF9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02B386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p>
        </w:tc>
      </w:tr>
      <w:tr w:rsidR="00537112" w:rsidRPr="00537112" w14:paraId="5AB2B6BA"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146C4A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19819A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0FA3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1EF93D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p>
        </w:tc>
      </w:tr>
      <w:tr w:rsidR="00537112" w:rsidRPr="00537112" w14:paraId="186AA0BB"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18D70A"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74FE4976"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12</w:t>
            </w:r>
          </w:p>
        </w:tc>
        <w:tc>
          <w:tcPr>
            <w:tcW w:w="3958" w:type="dxa"/>
            <w:vMerge w:val="restart"/>
            <w:tcBorders>
              <w:top w:val="single" w:sz="8" w:space="0" w:color="000000"/>
              <w:left w:val="single" w:sz="8" w:space="0" w:color="000000"/>
              <w:bottom w:val="single" w:sz="8" w:space="0" w:color="000000"/>
              <w:right w:val="single" w:sz="8" w:space="0" w:color="000000"/>
            </w:tcBorders>
          </w:tcPr>
          <w:p w14:paraId="5A5521DC"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F00E7A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r</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0C335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4BEB2E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234659F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DA4DF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91B58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1DDC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49A392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4A5BAF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F53F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9A9F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F373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43B0E7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Osc</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3E7D5E1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02F266" w14:textId="77777777" w:rsidR="00537112" w:rsidRPr="00537112" w:rsidRDefault="00537112" w:rsidP="00537112">
            <w:pPr>
              <w:autoSpaceDE w:val="0"/>
              <w:autoSpaceDN w:val="0"/>
              <w:spacing w:before="4" w:line="130" w:lineRule="exact"/>
              <w:jc w:val="left"/>
              <w:textAlignment w:val="auto"/>
              <w:rPr>
                <w:rFonts w:ascii="Times New Roman" w:hAnsi="Times New Roman"/>
                <w:sz w:val="13"/>
                <w:szCs w:val="13"/>
              </w:rPr>
            </w:pPr>
          </w:p>
          <w:p w14:paraId="2D19E3FC"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13</w:t>
            </w:r>
          </w:p>
        </w:tc>
        <w:tc>
          <w:tcPr>
            <w:tcW w:w="3958" w:type="dxa"/>
            <w:vMerge w:val="restart"/>
            <w:tcBorders>
              <w:top w:val="single" w:sz="8" w:space="0" w:color="000000"/>
              <w:left w:val="single" w:sz="8" w:space="0" w:color="000000"/>
              <w:bottom w:val="single" w:sz="8" w:space="0" w:color="000000"/>
              <w:right w:val="single" w:sz="8" w:space="0" w:color="000000"/>
            </w:tcBorders>
          </w:tcPr>
          <w:p w14:paraId="554C0579" w14:textId="77777777" w:rsidR="00537112" w:rsidRPr="00537112" w:rsidRDefault="00537112" w:rsidP="00537112">
            <w:pPr>
              <w:autoSpaceDE w:val="0"/>
              <w:autoSpaceDN w:val="0"/>
              <w:spacing w:before="4" w:line="130" w:lineRule="exact"/>
              <w:jc w:val="left"/>
              <w:textAlignment w:val="auto"/>
              <w:rPr>
                <w:rFonts w:ascii="Times New Roman" w:hAnsi="Times New Roman"/>
                <w:sz w:val="13"/>
                <w:szCs w:val="13"/>
              </w:rPr>
            </w:pPr>
          </w:p>
          <w:p w14:paraId="607AE55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Amp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5BE55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51DDA1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y</w:t>
            </w:r>
            <w:r w:rsidRPr="00537112">
              <w:rPr>
                <w:rFonts w:cs="Verdana"/>
                <w:spacing w:val="1"/>
                <w:position w:val="-1"/>
                <w:sz w:val="20"/>
                <w:szCs w:val="20"/>
              </w:rPr>
              <w:t>ug</w:t>
            </w:r>
            <w:r w:rsidRPr="00537112">
              <w:rPr>
                <w:rFonts w:cs="Verdana"/>
                <w:spacing w:val="-1"/>
                <w:position w:val="-1"/>
                <w:sz w:val="20"/>
                <w:szCs w:val="20"/>
              </w:rPr>
              <w:t>e</w:t>
            </w:r>
            <w:r w:rsidRPr="00537112">
              <w:rPr>
                <w:rFonts w:cs="Verdana"/>
                <w:position w:val="-1"/>
                <w:sz w:val="20"/>
                <w:szCs w:val="20"/>
              </w:rPr>
              <w:t>)</w:t>
            </w:r>
          </w:p>
        </w:tc>
      </w:tr>
      <w:tr w:rsidR="00537112" w:rsidRPr="00537112" w14:paraId="56041E68"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8F86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F1F17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6C8FAD5"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674B7CEB"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G</w:t>
            </w:r>
            <w:r w:rsidRPr="00537112">
              <w:rPr>
                <w:rFonts w:cs="Verdana"/>
                <w:spacing w:val="1"/>
                <w:sz w:val="20"/>
                <w:szCs w:val="20"/>
              </w:rPr>
              <w:t>u</w:t>
            </w:r>
            <w:r w:rsidRPr="00537112">
              <w:rPr>
                <w:rFonts w:cs="Verdana"/>
                <w:sz w:val="20"/>
                <w:szCs w:val="20"/>
              </w:rPr>
              <w:t>a</w:t>
            </w:r>
            <w:r w:rsidRPr="00537112">
              <w:rPr>
                <w:rFonts w:cs="Verdana"/>
                <w:spacing w:val="1"/>
                <w:sz w:val="20"/>
                <w:szCs w:val="20"/>
              </w:rPr>
              <w:t>d</w:t>
            </w:r>
            <w:r w:rsidRPr="00537112">
              <w:rPr>
                <w:rFonts w:cs="Verdana"/>
                <w:sz w:val="20"/>
                <w:szCs w:val="20"/>
              </w:rPr>
              <w:t>a</w:t>
            </w:r>
            <w:r w:rsidRPr="00537112">
              <w:rPr>
                <w:rFonts w:cs="Verdana"/>
                <w:spacing w:val="3"/>
                <w:sz w:val="20"/>
                <w:szCs w:val="20"/>
              </w:rPr>
              <w:t>l</w:t>
            </w:r>
            <w:r w:rsidRPr="00537112">
              <w:rPr>
                <w:rFonts w:cs="Verdana"/>
                <w:spacing w:val="1"/>
                <w:sz w:val="20"/>
                <w:szCs w:val="20"/>
              </w:rPr>
              <w:t>up</w:t>
            </w:r>
            <w:r w:rsidRPr="00537112">
              <w:rPr>
                <w:rFonts w:cs="Verdana"/>
                <w:sz w:val="20"/>
                <w:szCs w:val="20"/>
              </w:rPr>
              <w:t>e</w:t>
            </w:r>
            <w:r w:rsidRPr="00537112">
              <w:rPr>
                <w:rFonts w:cs="Verdana"/>
                <w:spacing w:val="-13"/>
                <w:sz w:val="20"/>
                <w:szCs w:val="20"/>
              </w:rPr>
              <w:t xml:space="preserve"> </w:t>
            </w:r>
            <w:r w:rsidRPr="00537112">
              <w:rPr>
                <w:rFonts w:cs="Verdana"/>
                <w:spacing w:val="1"/>
                <w:sz w:val="20"/>
                <w:szCs w:val="20"/>
              </w:rPr>
              <w:t>Amp</w:t>
            </w:r>
            <w:r w:rsidRPr="00537112">
              <w:rPr>
                <w:rFonts w:cs="Verdana"/>
                <w:spacing w:val="-1"/>
                <w:sz w:val="20"/>
                <w:szCs w:val="20"/>
              </w:rPr>
              <w:t>ére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r w:rsidRPr="00537112">
              <w:rPr>
                <w:rFonts w:cs="Verdana"/>
                <w:spacing w:val="63"/>
                <w:sz w:val="20"/>
                <w:szCs w:val="20"/>
              </w:rPr>
              <w:t xml:space="preserve"> </w:t>
            </w:r>
            <w:r w:rsidRPr="00537112">
              <w:rPr>
                <w:rFonts w:cs="Verdana"/>
                <w:spacing w:val="1"/>
                <w:sz w:val="20"/>
                <w:szCs w:val="20"/>
              </w:rPr>
              <w:t>(</w:t>
            </w:r>
            <w:r w:rsidRPr="00537112">
              <w:rPr>
                <w:rFonts w:cs="Verdana"/>
                <w:spacing w:val="-1"/>
                <w:sz w:val="20"/>
                <w:szCs w:val="20"/>
              </w:rPr>
              <w:t>H</w:t>
            </w:r>
            <w:r w:rsidRPr="00537112">
              <w:rPr>
                <w:rFonts w:cs="Verdana"/>
                <w:spacing w:val="3"/>
                <w:sz w:val="20"/>
                <w:szCs w:val="20"/>
              </w:rPr>
              <w:t>i</w:t>
            </w:r>
            <w:r w:rsidRPr="00537112">
              <w:rPr>
                <w:rFonts w:cs="Verdana"/>
                <w:spacing w:val="1"/>
                <w:sz w:val="20"/>
                <w:szCs w:val="20"/>
              </w:rPr>
              <w:t>j</w:t>
            </w:r>
            <w:r w:rsidRPr="00537112">
              <w:rPr>
                <w:rFonts w:cs="Verdana"/>
                <w:sz w:val="20"/>
                <w:szCs w:val="20"/>
              </w:rPr>
              <w:t>a)</w:t>
            </w:r>
          </w:p>
        </w:tc>
      </w:tr>
      <w:tr w:rsidR="00537112" w:rsidRPr="00537112" w14:paraId="081C2FC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70F703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2650F88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B5B00FA"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14</w:t>
            </w:r>
          </w:p>
        </w:tc>
        <w:tc>
          <w:tcPr>
            <w:tcW w:w="3958" w:type="dxa"/>
            <w:vMerge w:val="restart"/>
            <w:tcBorders>
              <w:top w:val="single" w:sz="8" w:space="0" w:color="000000"/>
              <w:left w:val="single" w:sz="8" w:space="0" w:color="000000"/>
              <w:bottom w:val="single" w:sz="8" w:space="0" w:color="000000"/>
              <w:right w:val="single" w:sz="8" w:space="0" w:color="000000"/>
            </w:tcBorders>
          </w:tcPr>
          <w:p w14:paraId="3D41378F"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9FD406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39C153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Gor</w:t>
            </w:r>
            <w:r w:rsidRPr="00537112">
              <w:rPr>
                <w:rFonts w:cs="Verdana"/>
                <w:spacing w:val="1"/>
                <w:sz w:val="20"/>
                <w:szCs w:val="20"/>
              </w:rPr>
              <w:t>g</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E5E2F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7F4153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69C5297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C62C5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42F88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A3CA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0C95CC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6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06EB365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D490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4B46E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01D4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263CD6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C09452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8F73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24556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11C7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7A2517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2723B34C"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AF8B3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B7C9BEB"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6763F2B"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15</w:t>
            </w:r>
          </w:p>
        </w:tc>
        <w:tc>
          <w:tcPr>
            <w:tcW w:w="3958" w:type="dxa"/>
            <w:vMerge w:val="restart"/>
            <w:tcBorders>
              <w:top w:val="single" w:sz="8" w:space="0" w:color="000000"/>
              <w:left w:val="single" w:sz="8" w:space="0" w:color="000000"/>
              <w:bottom w:val="single" w:sz="8" w:space="0" w:color="000000"/>
              <w:right w:val="single" w:sz="8" w:space="0" w:color="000000"/>
            </w:tcBorders>
          </w:tcPr>
          <w:p w14:paraId="4162225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CCB8B7D"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57B3233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or</w:t>
            </w:r>
            <w:r w:rsidRPr="00537112">
              <w:rPr>
                <w:rFonts w:cs="Verdana"/>
                <w:spacing w:val="1"/>
                <w:sz w:val="20"/>
                <w:szCs w:val="20"/>
              </w:rPr>
              <w:t>g</w:t>
            </w:r>
            <w:r w:rsidRPr="00537112">
              <w:rPr>
                <w:rFonts w:cs="Verdana"/>
                <w:sz w:val="20"/>
                <w:szCs w:val="20"/>
              </w:rPr>
              <w:t>e</w:t>
            </w:r>
            <w:r w:rsidRPr="00537112">
              <w:rPr>
                <w:rFonts w:cs="Verdana"/>
                <w:spacing w:val="-7"/>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5B93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6A284D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a</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co</w:t>
            </w:r>
            <w:r w:rsidRPr="00537112">
              <w:rPr>
                <w:rFonts w:cs="Verdana"/>
                <w:position w:val="-1"/>
                <w:sz w:val="20"/>
                <w:szCs w:val="20"/>
              </w:rPr>
              <w:t>c</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4CA3B52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FA228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B09D0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A064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4E346F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314E65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69DC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B48AE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6661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08A668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roc</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34671C6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D5ED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10EBD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D8FC1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3F0816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spacing w:val="3"/>
                <w:position w:val="-1"/>
                <w:sz w:val="20"/>
                <w:szCs w:val="20"/>
              </w:rPr>
              <w:t>l</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8E4FA9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B9D7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9DEC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B8019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2C6990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3DF1FC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6E3ED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276D524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F9A8DC"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16</w:t>
            </w:r>
          </w:p>
        </w:tc>
        <w:tc>
          <w:tcPr>
            <w:tcW w:w="3958" w:type="dxa"/>
            <w:vMerge w:val="restart"/>
            <w:tcBorders>
              <w:top w:val="single" w:sz="8" w:space="0" w:color="000000"/>
              <w:left w:val="single" w:sz="8" w:space="0" w:color="000000"/>
              <w:bottom w:val="single" w:sz="8" w:space="0" w:color="000000"/>
              <w:right w:val="single" w:sz="8" w:space="0" w:color="000000"/>
            </w:tcBorders>
          </w:tcPr>
          <w:p w14:paraId="2FCFD591"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340E6C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BE1541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u</w:t>
            </w:r>
            <w:r w:rsidRPr="00537112">
              <w:rPr>
                <w:rFonts w:cs="Verdana"/>
                <w:spacing w:val="-1"/>
                <w:sz w:val="20"/>
                <w:szCs w:val="20"/>
              </w:rPr>
              <w:t>s</w:t>
            </w:r>
            <w:r w:rsidRPr="00537112">
              <w:rPr>
                <w:rFonts w:cs="Verdana"/>
                <w:spacing w:val="1"/>
                <w:sz w:val="20"/>
                <w:szCs w:val="20"/>
              </w:rPr>
              <w:t>t</w:t>
            </w:r>
            <w:r w:rsidRPr="00537112">
              <w:rPr>
                <w:rFonts w:cs="Verdana"/>
                <w:sz w:val="20"/>
                <w:szCs w:val="20"/>
              </w:rPr>
              <w:t>a</w:t>
            </w:r>
            <w:r w:rsidRPr="00537112">
              <w:rPr>
                <w:rFonts w:cs="Verdana"/>
                <w:spacing w:val="1"/>
                <w:sz w:val="20"/>
                <w:szCs w:val="20"/>
              </w:rPr>
              <w:t>qu</w:t>
            </w:r>
            <w:r w:rsidRPr="00537112">
              <w:rPr>
                <w:rFonts w:cs="Verdana"/>
                <w:spacing w:val="3"/>
                <w:sz w:val="20"/>
                <w:szCs w:val="20"/>
              </w:rPr>
              <w:t>i</w:t>
            </w:r>
            <w:r w:rsidRPr="00537112">
              <w:rPr>
                <w:rFonts w:cs="Verdana"/>
                <w:sz w:val="20"/>
                <w:szCs w:val="20"/>
              </w:rPr>
              <w:t>o</w:t>
            </w:r>
            <w:r w:rsidRPr="00537112">
              <w:rPr>
                <w:rFonts w:cs="Verdana"/>
                <w:spacing w:val="-12"/>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t</w:t>
            </w:r>
            <w:r w:rsidRPr="00537112">
              <w:rPr>
                <w:rFonts w:cs="Verdana"/>
                <w:spacing w:val="-1"/>
                <w:sz w:val="20"/>
                <w:szCs w:val="20"/>
              </w:rPr>
              <w:t>eco</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6449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38536F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65708CA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D2B3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B4263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CFADB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1EBA20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72B3FC9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9D1A3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A6C4A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7FB4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5938CA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Augu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0910795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DEE63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D676C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B4E3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0D86D7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Hec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3F71441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80C7B43"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1E1A60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8AC7CCA"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17</w:t>
            </w:r>
          </w:p>
        </w:tc>
        <w:tc>
          <w:tcPr>
            <w:tcW w:w="3958" w:type="dxa"/>
            <w:vMerge w:val="restart"/>
            <w:tcBorders>
              <w:top w:val="single" w:sz="8" w:space="0" w:color="000000"/>
              <w:left w:val="single" w:sz="8" w:space="0" w:color="000000"/>
              <w:bottom w:val="single" w:sz="8" w:space="0" w:color="000000"/>
              <w:right w:val="single" w:sz="8" w:space="0" w:color="000000"/>
            </w:tcBorders>
          </w:tcPr>
          <w:p w14:paraId="0C3C4E9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09FBE6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B58ADE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f</w:t>
            </w:r>
            <w:r w:rsidRPr="00537112">
              <w:rPr>
                <w:rFonts w:cs="Verdana"/>
                <w:sz w:val="20"/>
                <w:szCs w:val="20"/>
              </w:rPr>
              <w:t>a</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z w:val="20"/>
                <w:szCs w:val="20"/>
              </w:rPr>
              <w:t>T</w:t>
            </w:r>
            <w:r w:rsidRPr="00537112">
              <w:rPr>
                <w:rFonts w:cs="Verdana"/>
                <w:spacing w:val="-1"/>
                <w:sz w:val="20"/>
                <w:szCs w:val="20"/>
              </w:rPr>
              <w:t>ec</w:t>
            </w:r>
            <w:r w:rsidRPr="00537112">
              <w:rPr>
                <w:rFonts w:cs="Verdana"/>
                <w:sz w:val="20"/>
                <w:szCs w:val="20"/>
              </w:rPr>
              <w:t>ú</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13E5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6A50F9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position w:val="-1"/>
                <w:sz w:val="20"/>
                <w:szCs w:val="20"/>
              </w:rPr>
              <w:t>Pa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7A761DD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74E2A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D0C6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04D63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73FAE0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65"/>
                <w:position w:val="-1"/>
                <w:sz w:val="20"/>
                <w:szCs w:val="20"/>
              </w:rPr>
              <w:t xml:space="preserve"> </w:t>
            </w:r>
            <w:r w:rsidRPr="00537112">
              <w:rPr>
                <w:rFonts w:cs="Verdana"/>
                <w:spacing w:val="1"/>
                <w:position w:val="-1"/>
                <w:sz w:val="20"/>
                <w:szCs w:val="20"/>
              </w:rPr>
              <w:t>(</w:t>
            </w:r>
            <w:r w:rsidRPr="00537112">
              <w:rPr>
                <w:rFonts w:cs="Verdana"/>
                <w:position w:val="-1"/>
                <w:sz w:val="20"/>
                <w:szCs w:val="20"/>
              </w:rPr>
              <w:t>Ma</w:t>
            </w:r>
            <w:r w:rsidRPr="00537112">
              <w:rPr>
                <w:rFonts w:cs="Verdana"/>
                <w:spacing w:val="1"/>
                <w:position w:val="-1"/>
                <w:sz w:val="20"/>
                <w:szCs w:val="20"/>
              </w:rPr>
              <w:t>d</w:t>
            </w:r>
            <w:r w:rsidRPr="00537112">
              <w:rPr>
                <w:rFonts w:cs="Verdana"/>
                <w:spacing w:val="-1"/>
                <w:position w:val="-1"/>
                <w:sz w:val="20"/>
                <w:szCs w:val="20"/>
              </w:rPr>
              <w:t>re</w:t>
            </w:r>
            <w:r w:rsidRPr="00537112">
              <w:rPr>
                <w:rFonts w:cs="Verdana"/>
                <w:position w:val="-1"/>
                <w:sz w:val="20"/>
                <w:szCs w:val="20"/>
              </w:rPr>
              <w:t>)</w:t>
            </w:r>
          </w:p>
        </w:tc>
      </w:tr>
      <w:tr w:rsidR="00537112" w:rsidRPr="00537112" w14:paraId="6A4A8BA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63D4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CA65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95EF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160F76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6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o)</w:t>
            </w:r>
          </w:p>
        </w:tc>
      </w:tr>
      <w:tr w:rsidR="00537112" w:rsidRPr="00537112" w14:paraId="374234E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DC1D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F5602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AA08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532115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fo</w:t>
            </w:r>
            <w:r w:rsidRPr="00537112">
              <w:rPr>
                <w:rFonts w:cs="Verdana"/>
                <w:spacing w:val="1"/>
                <w:position w:val="-1"/>
                <w:sz w:val="20"/>
                <w:szCs w:val="20"/>
              </w:rPr>
              <w:t>nz</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5"/>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Her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o</w:t>
            </w:r>
            <w:r w:rsidRPr="00537112">
              <w:rPr>
                <w:rFonts w:cs="Verdana"/>
                <w:position w:val="-1"/>
                <w:sz w:val="20"/>
                <w:szCs w:val="20"/>
              </w:rPr>
              <w:t>)</w:t>
            </w:r>
          </w:p>
        </w:tc>
      </w:tr>
      <w:tr w:rsidR="00537112" w:rsidRPr="00537112" w14:paraId="5E86664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1F44941"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13AAF31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18</w:t>
            </w:r>
          </w:p>
        </w:tc>
        <w:tc>
          <w:tcPr>
            <w:tcW w:w="3958" w:type="dxa"/>
            <w:vMerge w:val="restart"/>
            <w:tcBorders>
              <w:top w:val="single" w:sz="8" w:space="0" w:color="000000"/>
              <w:left w:val="single" w:sz="8" w:space="0" w:color="000000"/>
              <w:bottom w:val="single" w:sz="8" w:space="0" w:color="000000"/>
              <w:right w:val="single" w:sz="8" w:space="0" w:color="000000"/>
            </w:tcBorders>
          </w:tcPr>
          <w:p w14:paraId="203CA734"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51E74B4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n</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qu</w:t>
            </w:r>
            <w:r w:rsidRPr="00537112">
              <w:rPr>
                <w:rFonts w:cs="Verdana"/>
                <w:sz w:val="20"/>
                <w:szCs w:val="20"/>
              </w:rPr>
              <w:t>e</w:t>
            </w:r>
            <w:r w:rsidRPr="00537112">
              <w:rPr>
                <w:rFonts w:cs="Verdana"/>
                <w:spacing w:val="-10"/>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140F2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2399CE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5B63BAF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0F00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B96AD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E9078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776792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39DAA87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C082AF0"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0063FC2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6CE0CA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9C87FB7"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19</w:t>
            </w:r>
          </w:p>
        </w:tc>
        <w:tc>
          <w:tcPr>
            <w:tcW w:w="3958" w:type="dxa"/>
            <w:vMerge w:val="restart"/>
            <w:tcBorders>
              <w:top w:val="single" w:sz="8" w:space="0" w:color="000000"/>
              <w:left w:val="single" w:sz="8" w:space="0" w:color="000000"/>
              <w:bottom w:val="single" w:sz="8" w:space="0" w:color="000000"/>
              <w:right w:val="single" w:sz="8" w:space="0" w:color="000000"/>
            </w:tcBorders>
          </w:tcPr>
          <w:p w14:paraId="1BD89343"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5E96401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525888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BF3522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G</w:t>
            </w:r>
            <w:r w:rsidRPr="00537112">
              <w:rPr>
                <w:rFonts w:cs="Verdana"/>
                <w:sz w:val="20"/>
                <w:szCs w:val="20"/>
              </w:rPr>
              <w:t>a</w:t>
            </w:r>
            <w:r w:rsidRPr="00537112">
              <w:rPr>
                <w:rFonts w:cs="Verdana"/>
                <w:spacing w:val="1"/>
                <w:sz w:val="20"/>
                <w:szCs w:val="20"/>
              </w:rPr>
              <w:t>b</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r w:rsidRPr="00537112">
              <w:rPr>
                <w:rFonts w:cs="Verdana"/>
                <w:spacing w:val="-7"/>
                <w:sz w:val="20"/>
                <w:szCs w:val="20"/>
              </w:rPr>
              <w:t xml:space="preserve"> </w:t>
            </w:r>
            <w:r w:rsidRPr="00537112">
              <w:rPr>
                <w:rFonts w:cs="Verdana"/>
                <w:sz w:val="20"/>
                <w:szCs w:val="20"/>
              </w:rPr>
              <w:t>Yv</w:t>
            </w:r>
            <w:r w:rsidRPr="00537112">
              <w:rPr>
                <w:rFonts w:cs="Verdana"/>
                <w:spacing w:val="-1"/>
                <w:sz w:val="20"/>
                <w:szCs w:val="20"/>
              </w:rPr>
              <w:t>o</w:t>
            </w:r>
            <w:r w:rsidRPr="00537112">
              <w:rPr>
                <w:rFonts w:cs="Verdana"/>
                <w:sz w:val="20"/>
                <w:szCs w:val="20"/>
              </w:rPr>
              <w:t>y</w:t>
            </w:r>
            <w:r w:rsidRPr="00537112">
              <w:rPr>
                <w:rFonts w:cs="Verdana"/>
                <w:spacing w:val="-6"/>
                <w:sz w:val="20"/>
                <w:szCs w:val="20"/>
              </w:rPr>
              <w:t xml:space="preserve"> </w:t>
            </w: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pacing w:val="-2"/>
                <w:sz w:val="20"/>
                <w:szCs w:val="20"/>
              </w:rPr>
              <w:t>I</w:t>
            </w:r>
            <w:r w:rsidRPr="00537112">
              <w:rPr>
                <w:rFonts w:cs="Verdana"/>
                <w:spacing w:val="1"/>
                <w:sz w:val="20"/>
                <w:szCs w:val="20"/>
              </w:rPr>
              <w:t>b</w:t>
            </w:r>
            <w:r w:rsidRPr="00537112">
              <w:rPr>
                <w:rFonts w:cs="Verdana"/>
                <w:spacing w:val="-1"/>
                <w:sz w:val="20"/>
                <w:szCs w:val="20"/>
              </w:rPr>
              <w:t>o</w:t>
            </w:r>
            <w:r w:rsidRPr="00537112">
              <w:rPr>
                <w:rFonts w:cs="Verdana"/>
                <w:sz w:val="20"/>
                <w:szCs w:val="20"/>
              </w:rPr>
              <w:t>y</w:t>
            </w:r>
            <w:r w:rsidRPr="00537112">
              <w:rPr>
                <w:rFonts w:cs="Verdana"/>
                <w:spacing w:val="-5"/>
                <w:sz w:val="20"/>
                <w:szCs w:val="20"/>
              </w:rPr>
              <w:t xml:space="preserve"> </w:t>
            </w:r>
            <w:r w:rsidRPr="00537112">
              <w:rPr>
                <w:rFonts w:cs="Verdana"/>
                <w:sz w:val="20"/>
                <w:szCs w:val="20"/>
              </w:rPr>
              <w:t>o</w:t>
            </w:r>
            <w:r w:rsidRPr="00537112">
              <w:rPr>
                <w:rFonts w:cs="Verdana"/>
                <w:spacing w:val="-3"/>
                <w:sz w:val="20"/>
                <w:szCs w:val="20"/>
              </w:rPr>
              <w:t xml:space="preserve"> </w:t>
            </w:r>
            <w:r w:rsidRPr="00537112">
              <w:rPr>
                <w:rFonts w:cs="Verdana"/>
                <w:spacing w:val="-2"/>
                <w:sz w:val="20"/>
                <w:szCs w:val="20"/>
              </w:rPr>
              <w:t>I</w:t>
            </w:r>
            <w:r w:rsidRPr="00537112">
              <w:rPr>
                <w:rFonts w:cs="Verdana"/>
                <w:sz w:val="20"/>
                <w:szCs w:val="20"/>
              </w:rPr>
              <w:t>v</w:t>
            </w:r>
            <w:r w:rsidRPr="00537112">
              <w:rPr>
                <w:rFonts w:cs="Verdana"/>
                <w:spacing w:val="-1"/>
                <w:sz w:val="20"/>
                <w:szCs w:val="20"/>
              </w:rPr>
              <w:t>o</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0A445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490AAE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2D4555C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47CA8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D67919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94802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3A8C23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7672E3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7F938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EE7DC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F0F7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0A472B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Cá</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6A5B037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649A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A98FA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9D955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41A176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6C25DA5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0A193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96F0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8B79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0FCAA4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2C33A52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35DE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4A966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1DAA5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2C03E3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158BC7D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4540BD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756C079"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1622B07C"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20</w:t>
            </w:r>
          </w:p>
        </w:tc>
        <w:tc>
          <w:tcPr>
            <w:tcW w:w="3958" w:type="dxa"/>
            <w:vMerge w:val="restart"/>
            <w:tcBorders>
              <w:top w:val="single" w:sz="8" w:space="0" w:color="000000"/>
              <w:left w:val="single" w:sz="8" w:space="0" w:color="000000"/>
              <w:bottom w:val="single" w:sz="8" w:space="0" w:color="000000"/>
              <w:right w:val="single" w:sz="8" w:space="0" w:color="000000"/>
            </w:tcBorders>
          </w:tcPr>
          <w:p w14:paraId="4BD9464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96B268E"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EB2F7F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3"/>
                <w:sz w:val="20"/>
                <w:szCs w:val="20"/>
              </w:rPr>
              <w:t>i</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o</w:t>
            </w:r>
            <w:r w:rsidRPr="00537112">
              <w:rPr>
                <w:rFonts w:cs="Verdana"/>
                <w:spacing w:val="-3"/>
                <w:sz w:val="20"/>
                <w:szCs w:val="20"/>
              </w:rPr>
              <w:t xml:space="preserve"> </w:t>
            </w:r>
            <w:r w:rsidRPr="00537112">
              <w:rPr>
                <w:rFonts w:cs="Verdana"/>
                <w:sz w:val="20"/>
                <w:szCs w:val="20"/>
              </w:rPr>
              <w:t>D</w:t>
            </w:r>
            <w:r w:rsidRPr="00537112">
              <w:rPr>
                <w:rFonts w:cs="Verdana"/>
                <w:spacing w:val="3"/>
                <w:sz w:val="20"/>
                <w:szCs w:val="20"/>
              </w:rPr>
              <w:t>i</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s</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1"/>
                <w:sz w:val="20"/>
                <w:szCs w:val="20"/>
              </w:rPr>
              <w:t>c</w:t>
            </w:r>
            <w:r w:rsidRPr="00537112">
              <w:rPr>
                <w:rFonts w:cs="Verdana"/>
                <w:spacing w:val="1"/>
                <w:sz w:val="20"/>
                <w:szCs w:val="20"/>
              </w:rPr>
              <w:t>h</w:t>
            </w:r>
            <w:r w:rsidRPr="00537112">
              <w:rPr>
                <w:rFonts w:cs="Verdana"/>
                <w:sz w:val="20"/>
                <w:szCs w:val="20"/>
              </w:rPr>
              <w:t>an</w:t>
            </w:r>
            <w:r w:rsidRPr="00537112">
              <w:rPr>
                <w:rFonts w:cs="Verdana"/>
                <w:spacing w:val="-7"/>
                <w:sz w:val="20"/>
                <w:szCs w:val="20"/>
              </w:rPr>
              <w:t xml:space="preserve"> </w:t>
            </w:r>
            <w:r w:rsidRPr="00537112">
              <w:rPr>
                <w:rFonts w:cs="Verdana"/>
                <w:sz w:val="20"/>
                <w:szCs w:val="20"/>
              </w:rPr>
              <w:t>o</w:t>
            </w:r>
            <w:r w:rsidRPr="00537112">
              <w:rPr>
                <w:rFonts w:cs="Verdana"/>
                <w:spacing w:val="-3"/>
                <w:sz w:val="20"/>
                <w:szCs w:val="20"/>
              </w:rPr>
              <w:t xml:space="preserve"> </w:t>
            </w:r>
            <w:r w:rsidRPr="00537112">
              <w:rPr>
                <w:rFonts w:cs="Verdana"/>
                <w:sz w:val="20"/>
                <w:szCs w:val="20"/>
              </w:rPr>
              <w:t>Ba</w:t>
            </w:r>
            <w:r w:rsidRPr="00537112">
              <w:rPr>
                <w:rFonts w:cs="Verdana"/>
                <w:spacing w:val="-1"/>
                <w:sz w:val="20"/>
                <w:szCs w:val="20"/>
              </w:rPr>
              <w:t>c</w:t>
            </w:r>
            <w:r w:rsidRPr="00537112">
              <w:rPr>
                <w:rFonts w:cs="Verdana"/>
                <w:spacing w:val="1"/>
                <w:sz w:val="20"/>
                <w:szCs w:val="20"/>
              </w:rPr>
              <w:t>h</w:t>
            </w:r>
            <w:r w:rsidRPr="00537112">
              <w:rPr>
                <w:rFonts w:cs="Verdana"/>
                <w:sz w:val="20"/>
                <w:szCs w:val="20"/>
              </w:rPr>
              <w:t>án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2DFAB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19C429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2FDAA4E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7E89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7774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CB38B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1EFB75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309D750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1F603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5E198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A9A6B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511513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nqu</w:t>
            </w:r>
            <w:r w:rsidRPr="00537112">
              <w:rPr>
                <w:rFonts w:cs="Verdana"/>
                <w:spacing w:val="3"/>
                <w:position w:val="-1"/>
                <w:sz w:val="20"/>
                <w:szCs w:val="20"/>
              </w:rPr>
              <w:t>ili</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02D98CB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39F59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4B63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3208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1078BC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93345C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EF8BA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711CF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4164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24B61A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61"/>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143E4A1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086A56"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40E44214"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21</w:t>
            </w:r>
          </w:p>
        </w:tc>
        <w:tc>
          <w:tcPr>
            <w:tcW w:w="3958" w:type="dxa"/>
            <w:vMerge w:val="restart"/>
            <w:tcBorders>
              <w:top w:val="single" w:sz="8" w:space="0" w:color="000000"/>
              <w:left w:val="single" w:sz="8" w:space="0" w:color="000000"/>
              <w:bottom w:val="single" w:sz="8" w:space="0" w:color="000000"/>
              <w:right w:val="single" w:sz="8" w:space="0" w:color="000000"/>
            </w:tcBorders>
          </w:tcPr>
          <w:p w14:paraId="0FC7D522"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04820F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rce</w:t>
            </w:r>
            <w:r w:rsidRPr="00537112">
              <w:rPr>
                <w:rFonts w:cs="Verdana"/>
                <w:spacing w:val="3"/>
                <w:sz w:val="20"/>
                <w:szCs w:val="20"/>
              </w:rPr>
              <w:t>l</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2667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5E4EE8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r w:rsidRPr="00537112">
              <w:rPr>
                <w:rFonts w:cs="Verdana"/>
                <w:spacing w:val="-11"/>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06550F9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4AD2E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2E345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DD37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28A613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p>
        </w:tc>
      </w:tr>
      <w:tr w:rsidR="00537112" w:rsidRPr="00537112" w14:paraId="4FFD1E1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446C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407FC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654A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25E4A7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r w:rsidRPr="00537112">
              <w:rPr>
                <w:rFonts w:cs="Verdana"/>
                <w:spacing w:val="5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7904070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C7881CE" w14:textId="77777777" w:rsidR="00537112" w:rsidRPr="00537112" w:rsidRDefault="00537112" w:rsidP="00537112">
            <w:pPr>
              <w:autoSpaceDE w:val="0"/>
              <w:autoSpaceDN w:val="0"/>
              <w:spacing w:before="5" w:line="120" w:lineRule="exact"/>
              <w:jc w:val="left"/>
              <w:textAlignment w:val="auto"/>
              <w:rPr>
                <w:rFonts w:ascii="Times New Roman" w:hAnsi="Times New Roman"/>
                <w:sz w:val="12"/>
                <w:szCs w:val="12"/>
              </w:rPr>
            </w:pPr>
          </w:p>
          <w:p w14:paraId="7618A06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9CDED0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C0AF125"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22</w:t>
            </w:r>
          </w:p>
        </w:tc>
        <w:tc>
          <w:tcPr>
            <w:tcW w:w="3958" w:type="dxa"/>
            <w:vMerge w:val="restart"/>
            <w:tcBorders>
              <w:top w:val="single" w:sz="8" w:space="0" w:color="000000"/>
              <w:left w:val="single" w:sz="8" w:space="0" w:color="000000"/>
              <w:bottom w:val="single" w:sz="8" w:space="0" w:color="000000"/>
              <w:right w:val="single" w:sz="8" w:space="0" w:color="000000"/>
            </w:tcBorders>
          </w:tcPr>
          <w:p w14:paraId="2AD1FCD9" w14:textId="77777777" w:rsidR="00537112" w:rsidRPr="00537112" w:rsidRDefault="00537112" w:rsidP="00537112">
            <w:pPr>
              <w:autoSpaceDE w:val="0"/>
              <w:autoSpaceDN w:val="0"/>
              <w:spacing w:before="5" w:line="120" w:lineRule="exact"/>
              <w:jc w:val="left"/>
              <w:textAlignment w:val="auto"/>
              <w:rPr>
                <w:rFonts w:ascii="Times New Roman" w:hAnsi="Times New Roman"/>
                <w:sz w:val="12"/>
                <w:szCs w:val="12"/>
              </w:rPr>
            </w:pPr>
          </w:p>
          <w:p w14:paraId="54DDD39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D0B41F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3EF639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Ad</w:t>
            </w:r>
            <w:r w:rsidRPr="00537112">
              <w:rPr>
                <w:rFonts w:cs="Verdana"/>
                <w:spacing w:val="-1"/>
                <w:sz w:val="20"/>
                <w:szCs w:val="20"/>
              </w:rPr>
              <w:t>r</w:t>
            </w:r>
            <w:r w:rsidRPr="00537112">
              <w:rPr>
                <w:rFonts w:cs="Verdana"/>
                <w:spacing w:val="3"/>
                <w:sz w:val="20"/>
                <w:szCs w:val="20"/>
              </w:rPr>
              <w:t>i</w:t>
            </w:r>
            <w:r w:rsidRPr="00537112">
              <w:rPr>
                <w:rFonts w:cs="Verdana"/>
                <w:sz w:val="20"/>
                <w:szCs w:val="20"/>
              </w:rPr>
              <w:t>án</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i</w:t>
            </w:r>
            <w:r w:rsidRPr="00537112">
              <w:rPr>
                <w:rFonts w:cs="Verdana"/>
                <w:sz w:val="20"/>
                <w:szCs w:val="20"/>
              </w:rPr>
              <w:t>a</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CCB2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04E8FB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64"/>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w:t>
            </w:r>
            <w:r w:rsidRPr="00537112">
              <w:rPr>
                <w:rFonts w:cs="Verdana"/>
                <w:position w:val="-1"/>
                <w:sz w:val="20"/>
                <w:szCs w:val="20"/>
              </w:rPr>
              <w:t>a)</w:t>
            </w:r>
          </w:p>
        </w:tc>
      </w:tr>
      <w:tr w:rsidR="00537112" w:rsidRPr="00537112" w14:paraId="750F09B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A8F83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B375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A6E0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0E0872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Efr</w:t>
            </w:r>
            <w:r w:rsidRPr="00537112">
              <w:rPr>
                <w:rFonts w:cs="Verdana"/>
                <w:position w:val="-1"/>
                <w:sz w:val="20"/>
                <w:szCs w:val="20"/>
              </w:rPr>
              <w:t>a</w:t>
            </w:r>
            <w:r w:rsidRPr="00537112">
              <w:rPr>
                <w:rFonts w:cs="Verdana"/>
                <w:spacing w:val="3"/>
                <w:position w:val="-1"/>
                <w:sz w:val="20"/>
                <w:szCs w:val="20"/>
              </w:rPr>
              <w:t>í</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6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4214DA9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F3C3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EADB2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8B141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031E72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1"/>
                <w:position w:val="-1"/>
                <w:sz w:val="20"/>
                <w:szCs w:val="20"/>
              </w:rPr>
              <w:t>ug</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6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2D95E639" w14:textId="77777777" w:rsidTr="00630EEC">
        <w:trPr>
          <w:trHeight w:hRule="exact" w:val="348"/>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51246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92182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850049"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4A68B288"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1"/>
                <w:sz w:val="20"/>
                <w:szCs w:val="20"/>
              </w:rPr>
              <w:t>n</w:t>
            </w:r>
            <w:r w:rsidRPr="00537112">
              <w:rPr>
                <w:rFonts w:cs="Verdana"/>
                <w:spacing w:val="-1"/>
                <w:sz w:val="20"/>
                <w:szCs w:val="20"/>
              </w:rPr>
              <w:t>ce</w:t>
            </w:r>
            <w:r w:rsidRPr="00537112">
              <w:rPr>
                <w:rFonts w:cs="Verdana"/>
                <w:spacing w:val="1"/>
                <w:sz w:val="20"/>
                <w:szCs w:val="20"/>
              </w:rPr>
              <w:t>p</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ó</w:t>
            </w:r>
            <w:r w:rsidRPr="00537112">
              <w:rPr>
                <w:rFonts w:cs="Verdana"/>
                <w:sz w:val="20"/>
                <w:szCs w:val="20"/>
              </w:rPr>
              <w:t>n</w:t>
            </w:r>
            <w:r w:rsidRPr="00537112">
              <w:rPr>
                <w:rFonts w:cs="Verdana"/>
                <w:spacing w:val="-11"/>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3"/>
                <w:sz w:val="20"/>
                <w:szCs w:val="20"/>
              </w:rPr>
              <w:t xml:space="preserve"> </w:t>
            </w:r>
            <w:r w:rsidRPr="00537112">
              <w:rPr>
                <w:rFonts w:cs="Verdana"/>
                <w:spacing w:val="1"/>
                <w:sz w:val="20"/>
                <w:szCs w:val="20"/>
              </w:rPr>
              <w:t>(</w:t>
            </w:r>
            <w:r w:rsidRPr="00537112">
              <w:rPr>
                <w:rFonts w:cs="Verdana"/>
                <w:spacing w:val="-1"/>
                <w:sz w:val="20"/>
                <w:szCs w:val="20"/>
              </w:rPr>
              <w:t>H</w:t>
            </w:r>
            <w:r w:rsidRPr="00537112">
              <w:rPr>
                <w:rFonts w:cs="Verdana"/>
                <w:spacing w:val="3"/>
                <w:sz w:val="20"/>
                <w:szCs w:val="20"/>
              </w:rPr>
              <w:t>i</w:t>
            </w:r>
            <w:r w:rsidRPr="00537112">
              <w:rPr>
                <w:rFonts w:cs="Verdana"/>
                <w:spacing w:val="1"/>
                <w:sz w:val="20"/>
                <w:szCs w:val="20"/>
              </w:rPr>
              <w:t>j</w:t>
            </w:r>
            <w:r w:rsidRPr="00537112">
              <w:rPr>
                <w:rFonts w:cs="Verdana"/>
                <w:sz w:val="20"/>
                <w:szCs w:val="20"/>
              </w:rPr>
              <w:t>a)</w:t>
            </w:r>
          </w:p>
        </w:tc>
      </w:tr>
      <w:tr w:rsidR="00537112" w:rsidRPr="00537112" w14:paraId="227EDA1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ADD1E0"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9596EEB"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0100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2C7BBF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3"/>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position w:val="-1"/>
                <w:sz w:val="20"/>
                <w:szCs w:val="20"/>
              </w:rPr>
              <w:t>a)</w:t>
            </w:r>
          </w:p>
        </w:tc>
      </w:tr>
      <w:tr w:rsidR="00537112" w:rsidRPr="00537112" w14:paraId="5F463493" w14:textId="77777777" w:rsidTr="00630EEC">
        <w:trPr>
          <w:trHeight w:hRule="exact" w:val="2165"/>
        </w:trPr>
        <w:tc>
          <w:tcPr>
            <w:tcW w:w="10203" w:type="dxa"/>
            <w:gridSpan w:val="4"/>
            <w:tcBorders>
              <w:top w:val="single" w:sz="8" w:space="0" w:color="000000"/>
              <w:left w:val="single" w:sz="8" w:space="0" w:color="000000"/>
              <w:bottom w:val="single" w:sz="8" w:space="0" w:color="000000"/>
              <w:right w:val="single" w:sz="8" w:space="0" w:color="000000"/>
            </w:tcBorders>
          </w:tcPr>
          <w:p w14:paraId="77825D67" w14:textId="77777777" w:rsidR="00537112" w:rsidRPr="00537112" w:rsidRDefault="00537112" w:rsidP="00537112">
            <w:pPr>
              <w:autoSpaceDE w:val="0"/>
              <w:autoSpaceDN w:val="0"/>
              <w:spacing w:line="240" w:lineRule="auto"/>
              <w:jc w:val="left"/>
              <w:textAlignment w:val="auto"/>
              <w:rPr>
                <w:rFonts w:ascii="Times New Roman" w:hAnsi="Times New Roman"/>
              </w:rPr>
            </w:pPr>
          </w:p>
        </w:tc>
      </w:tr>
    </w:tbl>
    <w:p w14:paraId="235BC47F"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128DEE7E" w14:textId="77777777" w:rsidR="00537112" w:rsidRPr="00537112" w:rsidRDefault="00537112" w:rsidP="00537112">
      <w:pPr>
        <w:autoSpaceDE w:val="0"/>
        <w:autoSpaceDN w:val="0"/>
        <w:spacing w:before="7" w:line="100" w:lineRule="exact"/>
        <w:jc w:val="left"/>
        <w:textAlignment w:val="auto"/>
        <w:rPr>
          <w:rFonts w:ascii="Times New Roman" w:hAnsi="Times New Roman"/>
          <w:sz w:val="10"/>
          <w:szCs w:val="10"/>
        </w:rPr>
      </w:pPr>
    </w:p>
    <w:p w14:paraId="6A030DA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78507A56" w14:textId="77777777" w:rsidTr="00630EEC">
        <w:trPr>
          <w:trHeight w:hRule="exact" w:val="1250"/>
        </w:trPr>
        <w:tc>
          <w:tcPr>
            <w:tcW w:w="10203" w:type="dxa"/>
            <w:gridSpan w:val="4"/>
            <w:tcBorders>
              <w:top w:val="single" w:sz="4" w:space="0" w:color="auto"/>
              <w:left w:val="single" w:sz="8" w:space="0" w:color="000000"/>
              <w:bottom w:val="single" w:sz="8" w:space="0" w:color="000000"/>
              <w:right w:val="single" w:sz="8" w:space="0" w:color="000000"/>
            </w:tcBorders>
            <w:shd w:val="clear" w:color="auto" w:fill="EEECE1"/>
          </w:tcPr>
          <w:p w14:paraId="122F63C9" w14:textId="77777777" w:rsidR="00537112" w:rsidRPr="00537112" w:rsidRDefault="00537112" w:rsidP="00537112">
            <w:pPr>
              <w:autoSpaceDE w:val="0"/>
              <w:autoSpaceDN w:val="0"/>
              <w:spacing w:before="4" w:line="100" w:lineRule="exact"/>
              <w:jc w:val="left"/>
              <w:textAlignment w:val="auto"/>
              <w:rPr>
                <w:rFonts w:ascii="Times New Roman" w:hAnsi="Times New Roman"/>
                <w:sz w:val="10"/>
                <w:szCs w:val="10"/>
              </w:rPr>
            </w:pPr>
          </w:p>
          <w:p w14:paraId="3F13DEA0" w14:textId="77777777" w:rsidR="00537112" w:rsidRPr="00537112" w:rsidRDefault="00537112" w:rsidP="00537112">
            <w:pPr>
              <w:autoSpaceDE w:val="0"/>
              <w:autoSpaceDN w:val="0"/>
              <w:spacing w:line="255" w:lineRule="auto"/>
              <w:ind w:right="145"/>
              <w:jc w:val="center"/>
              <w:textAlignment w:val="auto"/>
              <w:rPr>
                <w:rFonts w:ascii="Times New Roman" w:hAnsi="Times New Roman"/>
              </w:rPr>
            </w:pPr>
            <w:r w:rsidRPr="00537112">
              <w:rPr>
                <w:rFonts w:cs="Verdana"/>
                <w:b/>
                <w:bCs/>
                <w:spacing w:val="1"/>
                <w:sz w:val="20"/>
                <w:szCs w:val="20"/>
              </w:rPr>
              <w:t>OT</w:t>
            </w:r>
            <w:r w:rsidRPr="00537112">
              <w:rPr>
                <w:rFonts w:cs="Verdana"/>
                <w:b/>
                <w:bCs/>
                <w:sz w:val="20"/>
                <w:szCs w:val="20"/>
              </w:rPr>
              <w:t>R</w:t>
            </w:r>
            <w:r w:rsidRPr="00537112">
              <w:rPr>
                <w:rFonts w:cs="Verdana"/>
                <w:b/>
                <w:bCs/>
                <w:spacing w:val="-1"/>
                <w:sz w:val="20"/>
                <w:szCs w:val="20"/>
              </w:rPr>
              <w:t>A</w:t>
            </w:r>
            <w:r w:rsidRPr="00537112">
              <w:rPr>
                <w:rFonts w:cs="Verdana"/>
                <w:b/>
                <w:bCs/>
                <w:sz w:val="20"/>
                <w:szCs w:val="20"/>
              </w:rPr>
              <w:t>S</w:t>
            </w:r>
            <w:r w:rsidRPr="00537112">
              <w:rPr>
                <w:rFonts w:cs="Verdana"/>
                <w:b/>
                <w:bCs/>
                <w:spacing w:val="-9"/>
                <w:sz w:val="20"/>
                <w:szCs w:val="20"/>
              </w:rPr>
              <w:t xml:space="preserve"> </w:t>
            </w:r>
            <w:r w:rsidRPr="00537112">
              <w:rPr>
                <w:rFonts w:cs="Verdana"/>
                <w:b/>
                <w:bCs/>
                <w:spacing w:val="-1"/>
                <w:sz w:val="20"/>
                <w:szCs w:val="20"/>
              </w:rPr>
              <w:t>VÍ</w:t>
            </w:r>
            <w:r w:rsidRPr="00537112">
              <w:rPr>
                <w:rFonts w:cs="Verdana"/>
                <w:b/>
                <w:bCs/>
                <w:sz w:val="20"/>
                <w:szCs w:val="20"/>
              </w:rPr>
              <w:t>C</w:t>
            </w:r>
            <w:r w:rsidRPr="00537112">
              <w:rPr>
                <w:rFonts w:cs="Verdana"/>
                <w:b/>
                <w:bCs/>
                <w:spacing w:val="1"/>
                <w:sz w:val="20"/>
                <w:szCs w:val="20"/>
              </w:rPr>
              <w:t>T</w:t>
            </w:r>
            <w:r w:rsidRPr="00537112">
              <w:rPr>
                <w:rFonts w:cs="Verdana"/>
                <w:b/>
                <w:bCs/>
                <w:spacing w:val="-1"/>
                <w:sz w:val="20"/>
                <w:szCs w:val="20"/>
              </w:rPr>
              <w:t>I</w:t>
            </w:r>
            <w:r w:rsidRPr="00537112">
              <w:rPr>
                <w:rFonts w:cs="Verdana"/>
                <w:b/>
                <w:bCs/>
                <w:spacing w:val="1"/>
                <w:sz w:val="20"/>
                <w:szCs w:val="20"/>
              </w:rPr>
              <w:t>M</w:t>
            </w:r>
            <w:r w:rsidRPr="00537112">
              <w:rPr>
                <w:rFonts w:cs="Verdana"/>
                <w:b/>
                <w:bCs/>
                <w:spacing w:val="-1"/>
                <w:sz w:val="20"/>
                <w:szCs w:val="20"/>
              </w:rPr>
              <w:t>A</w:t>
            </w:r>
            <w:r w:rsidRPr="00537112">
              <w:rPr>
                <w:rFonts w:cs="Verdana"/>
                <w:b/>
                <w:bCs/>
                <w:sz w:val="20"/>
                <w:szCs w:val="20"/>
              </w:rPr>
              <w:t>S</w:t>
            </w:r>
            <w:r w:rsidRPr="00537112">
              <w:rPr>
                <w:rFonts w:cs="Verdana"/>
                <w:b/>
                <w:bCs/>
                <w:spacing w:val="-12"/>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pacing w:val="-1"/>
                <w:sz w:val="20"/>
                <w:szCs w:val="20"/>
              </w:rPr>
              <w:t>VI</w:t>
            </w:r>
            <w:r w:rsidRPr="00537112">
              <w:rPr>
                <w:rFonts w:cs="Verdana"/>
                <w:b/>
                <w:bCs/>
                <w:spacing w:val="1"/>
                <w:sz w:val="20"/>
                <w:szCs w:val="20"/>
              </w:rPr>
              <w:t>O</w:t>
            </w:r>
            <w:r w:rsidRPr="00537112">
              <w:rPr>
                <w:rFonts w:cs="Verdana"/>
                <w:b/>
                <w:bCs/>
                <w:sz w:val="20"/>
                <w:szCs w:val="20"/>
              </w:rPr>
              <w:t>L</w:t>
            </w:r>
            <w:r w:rsidRPr="00537112">
              <w:rPr>
                <w:rFonts w:cs="Verdana"/>
                <w:b/>
                <w:bCs/>
                <w:spacing w:val="-1"/>
                <w:sz w:val="20"/>
                <w:szCs w:val="20"/>
              </w:rPr>
              <w:t>A</w:t>
            </w:r>
            <w:r w:rsidRPr="00537112">
              <w:rPr>
                <w:rFonts w:cs="Verdana"/>
                <w:b/>
                <w:bCs/>
                <w:sz w:val="20"/>
                <w:szCs w:val="20"/>
              </w:rPr>
              <w:t>C</w:t>
            </w:r>
            <w:r w:rsidRPr="00537112">
              <w:rPr>
                <w:rFonts w:cs="Verdana"/>
                <w:b/>
                <w:bCs/>
                <w:spacing w:val="-1"/>
                <w:sz w:val="20"/>
                <w:szCs w:val="20"/>
              </w:rPr>
              <w:t>I</w:t>
            </w:r>
            <w:r w:rsidRPr="00537112">
              <w:rPr>
                <w:rFonts w:cs="Verdana"/>
                <w:b/>
                <w:bCs/>
                <w:spacing w:val="1"/>
                <w:sz w:val="20"/>
                <w:szCs w:val="20"/>
              </w:rPr>
              <w:t>Ó</w:t>
            </w:r>
            <w:r w:rsidRPr="00537112">
              <w:rPr>
                <w:rFonts w:cs="Verdana"/>
                <w:b/>
                <w:bCs/>
                <w:sz w:val="20"/>
                <w:szCs w:val="20"/>
              </w:rPr>
              <w:t>N</w:t>
            </w:r>
            <w:r w:rsidRPr="00537112">
              <w:rPr>
                <w:rFonts w:cs="Verdana"/>
                <w:b/>
                <w:bCs/>
                <w:spacing w:val="-15"/>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L</w:t>
            </w:r>
            <w:r w:rsidRPr="00537112">
              <w:rPr>
                <w:rFonts w:cs="Verdana"/>
                <w:b/>
                <w:bCs/>
                <w:spacing w:val="1"/>
                <w:sz w:val="20"/>
                <w:szCs w:val="20"/>
              </w:rPr>
              <w:t>O</w:t>
            </w:r>
            <w:r w:rsidRPr="00537112">
              <w:rPr>
                <w:rFonts w:cs="Verdana"/>
                <w:b/>
                <w:bCs/>
                <w:sz w:val="20"/>
                <w:szCs w:val="20"/>
              </w:rPr>
              <w:t>S</w:t>
            </w:r>
            <w:r w:rsidRPr="00537112">
              <w:rPr>
                <w:rFonts w:cs="Verdana"/>
                <w:b/>
                <w:bCs/>
                <w:spacing w:val="-5"/>
                <w:sz w:val="20"/>
                <w:szCs w:val="20"/>
              </w:rPr>
              <w:t xml:space="preserve"> </w:t>
            </w:r>
            <w:r w:rsidRPr="00537112">
              <w:rPr>
                <w:rFonts w:cs="Verdana"/>
                <w:b/>
                <w:bCs/>
                <w:sz w:val="20"/>
                <w:szCs w:val="20"/>
              </w:rPr>
              <w:t>D</w:t>
            </w:r>
            <w:r w:rsidRPr="00537112">
              <w:rPr>
                <w:rFonts w:cs="Verdana"/>
                <w:b/>
                <w:bCs/>
                <w:spacing w:val="1"/>
                <w:sz w:val="20"/>
                <w:szCs w:val="20"/>
              </w:rPr>
              <w:t>E</w:t>
            </w:r>
            <w:r w:rsidRPr="00537112">
              <w:rPr>
                <w:rFonts w:cs="Verdana"/>
                <w:b/>
                <w:bCs/>
                <w:sz w:val="20"/>
                <w:szCs w:val="20"/>
              </w:rPr>
              <w:t>R</w:t>
            </w:r>
            <w:r w:rsidRPr="00537112">
              <w:rPr>
                <w:rFonts w:cs="Verdana"/>
                <w:b/>
                <w:bCs/>
                <w:spacing w:val="1"/>
                <w:sz w:val="20"/>
                <w:szCs w:val="20"/>
              </w:rPr>
              <w:t>E</w:t>
            </w:r>
            <w:r w:rsidRPr="00537112">
              <w:rPr>
                <w:rFonts w:cs="Verdana"/>
                <w:b/>
                <w:bCs/>
                <w:sz w:val="20"/>
                <w:szCs w:val="20"/>
              </w:rPr>
              <w:t>C</w:t>
            </w:r>
            <w:r w:rsidRPr="00537112">
              <w:rPr>
                <w:rFonts w:cs="Verdana"/>
                <w:b/>
                <w:bCs/>
                <w:spacing w:val="1"/>
                <w:sz w:val="20"/>
                <w:szCs w:val="20"/>
              </w:rPr>
              <w:t>HO</w:t>
            </w:r>
            <w:r w:rsidRPr="00537112">
              <w:rPr>
                <w:rFonts w:cs="Verdana"/>
                <w:b/>
                <w:bCs/>
                <w:sz w:val="20"/>
                <w:szCs w:val="20"/>
              </w:rPr>
              <w:t>S</w:t>
            </w:r>
            <w:r w:rsidRPr="00537112">
              <w:rPr>
                <w:rFonts w:cs="Verdana"/>
                <w:b/>
                <w:bCs/>
                <w:spacing w:val="-13"/>
                <w:sz w:val="20"/>
                <w:szCs w:val="20"/>
              </w:rPr>
              <w:t xml:space="preserve"> </w:t>
            </w:r>
            <w:r w:rsidRPr="00537112">
              <w:rPr>
                <w:rFonts w:cs="Verdana"/>
                <w:b/>
                <w:bCs/>
                <w:sz w:val="20"/>
                <w:szCs w:val="20"/>
              </w:rPr>
              <w:t>A</w:t>
            </w:r>
            <w:r w:rsidRPr="00537112">
              <w:rPr>
                <w:rFonts w:cs="Verdana"/>
                <w:b/>
                <w:bCs/>
                <w:spacing w:val="-4"/>
                <w:sz w:val="20"/>
                <w:szCs w:val="20"/>
              </w:rPr>
              <w:t xml:space="preserve"> </w:t>
            </w:r>
            <w:r w:rsidRPr="00537112">
              <w:rPr>
                <w:rFonts w:cs="Verdana"/>
                <w:b/>
                <w:bCs/>
                <w:sz w:val="20"/>
                <w:szCs w:val="20"/>
              </w:rPr>
              <w:t>L</w:t>
            </w:r>
            <w:r w:rsidRPr="00537112">
              <w:rPr>
                <w:rFonts w:cs="Verdana"/>
                <w:b/>
                <w:bCs/>
                <w:spacing w:val="-1"/>
                <w:sz w:val="20"/>
                <w:szCs w:val="20"/>
              </w:rPr>
              <w:t>A</w:t>
            </w:r>
            <w:r w:rsidRPr="00537112">
              <w:rPr>
                <w:rFonts w:cs="Verdana"/>
                <w:b/>
                <w:bCs/>
                <w:sz w:val="20"/>
                <w:szCs w:val="20"/>
              </w:rPr>
              <w:t>S</w:t>
            </w:r>
            <w:r w:rsidRPr="00537112">
              <w:rPr>
                <w:rFonts w:cs="Verdana"/>
                <w:b/>
                <w:bCs/>
                <w:spacing w:val="-5"/>
                <w:sz w:val="20"/>
                <w:szCs w:val="20"/>
              </w:rPr>
              <w:t xml:space="preserve"> </w:t>
            </w:r>
            <w:r w:rsidRPr="00537112">
              <w:rPr>
                <w:rFonts w:cs="Verdana"/>
                <w:b/>
                <w:bCs/>
                <w:spacing w:val="-1"/>
                <w:sz w:val="20"/>
                <w:szCs w:val="20"/>
              </w:rPr>
              <w:t>GA</w:t>
            </w:r>
            <w:r w:rsidRPr="00537112">
              <w:rPr>
                <w:rFonts w:cs="Verdana"/>
                <w:b/>
                <w:bCs/>
                <w:sz w:val="20"/>
                <w:szCs w:val="20"/>
              </w:rPr>
              <w:t>R</w:t>
            </w:r>
            <w:r w:rsidRPr="00537112">
              <w:rPr>
                <w:rFonts w:cs="Verdana"/>
                <w:b/>
                <w:bCs/>
                <w:spacing w:val="-1"/>
                <w:sz w:val="20"/>
                <w:szCs w:val="20"/>
              </w:rPr>
              <w:t>AN</w:t>
            </w:r>
            <w:r w:rsidRPr="00537112">
              <w:rPr>
                <w:rFonts w:cs="Verdana"/>
                <w:b/>
                <w:bCs/>
                <w:spacing w:val="1"/>
                <w:sz w:val="20"/>
                <w:szCs w:val="20"/>
              </w:rPr>
              <w:t>T</w:t>
            </w:r>
            <w:r w:rsidRPr="00537112">
              <w:rPr>
                <w:rFonts w:cs="Verdana"/>
                <w:b/>
                <w:bCs/>
                <w:spacing w:val="-1"/>
                <w:sz w:val="20"/>
                <w:szCs w:val="20"/>
              </w:rPr>
              <w:t>ÍA</w:t>
            </w:r>
            <w:r w:rsidRPr="00537112">
              <w:rPr>
                <w:rFonts w:cs="Verdana"/>
                <w:b/>
                <w:bCs/>
                <w:sz w:val="20"/>
                <w:szCs w:val="20"/>
              </w:rPr>
              <w:t>S</w:t>
            </w:r>
            <w:r w:rsidRPr="00537112">
              <w:rPr>
                <w:rFonts w:cs="Verdana"/>
                <w:b/>
                <w:bCs/>
                <w:spacing w:val="-14"/>
                <w:sz w:val="20"/>
                <w:szCs w:val="20"/>
              </w:rPr>
              <w:t xml:space="preserve"> </w:t>
            </w:r>
            <w:r w:rsidRPr="00537112">
              <w:rPr>
                <w:rFonts w:cs="Verdana"/>
                <w:b/>
                <w:bCs/>
                <w:sz w:val="20"/>
                <w:szCs w:val="20"/>
              </w:rPr>
              <w:t>Y</w:t>
            </w:r>
            <w:r w:rsidRPr="00537112">
              <w:rPr>
                <w:rFonts w:cs="Verdana"/>
                <w:b/>
                <w:bCs/>
                <w:spacing w:val="-3"/>
                <w:sz w:val="20"/>
                <w:szCs w:val="20"/>
              </w:rPr>
              <w:t xml:space="preserve"> </w:t>
            </w:r>
            <w:r w:rsidRPr="00537112">
              <w:rPr>
                <w:rFonts w:cs="Verdana"/>
                <w:b/>
                <w:bCs/>
                <w:w w:val="99"/>
                <w:sz w:val="20"/>
                <w:szCs w:val="20"/>
              </w:rPr>
              <w:t>PR</w:t>
            </w:r>
            <w:r w:rsidRPr="00537112">
              <w:rPr>
                <w:rFonts w:cs="Verdana"/>
                <w:b/>
                <w:bCs/>
                <w:spacing w:val="1"/>
                <w:w w:val="99"/>
                <w:sz w:val="20"/>
                <w:szCs w:val="20"/>
              </w:rPr>
              <w:t>OTE</w:t>
            </w:r>
            <w:r w:rsidRPr="00537112">
              <w:rPr>
                <w:rFonts w:cs="Verdana"/>
                <w:b/>
                <w:bCs/>
                <w:w w:val="99"/>
                <w:sz w:val="20"/>
                <w:szCs w:val="20"/>
              </w:rPr>
              <w:t>CC</w:t>
            </w:r>
            <w:r w:rsidRPr="00537112">
              <w:rPr>
                <w:rFonts w:cs="Verdana"/>
                <w:b/>
                <w:bCs/>
                <w:spacing w:val="-1"/>
                <w:w w:val="99"/>
                <w:sz w:val="20"/>
                <w:szCs w:val="20"/>
              </w:rPr>
              <w:t>I</w:t>
            </w:r>
            <w:r w:rsidRPr="00537112">
              <w:rPr>
                <w:rFonts w:cs="Verdana"/>
                <w:b/>
                <w:bCs/>
                <w:spacing w:val="1"/>
                <w:w w:val="99"/>
                <w:sz w:val="20"/>
                <w:szCs w:val="20"/>
              </w:rPr>
              <w:t xml:space="preserve">ÓN </w:t>
            </w:r>
            <w:r w:rsidRPr="00537112">
              <w:rPr>
                <w:rFonts w:cs="Verdana"/>
                <w:b/>
                <w:bCs/>
                <w:sz w:val="20"/>
                <w:szCs w:val="20"/>
              </w:rPr>
              <w:t>J</w:t>
            </w:r>
            <w:r w:rsidRPr="00537112">
              <w:rPr>
                <w:rFonts w:cs="Verdana"/>
                <w:b/>
                <w:bCs/>
                <w:spacing w:val="-1"/>
                <w:sz w:val="20"/>
                <w:szCs w:val="20"/>
              </w:rPr>
              <w:t>U</w:t>
            </w:r>
            <w:r w:rsidRPr="00537112">
              <w:rPr>
                <w:rFonts w:cs="Verdana"/>
                <w:b/>
                <w:bCs/>
                <w:sz w:val="20"/>
                <w:szCs w:val="20"/>
              </w:rPr>
              <w:t>D</w:t>
            </w:r>
            <w:r w:rsidRPr="00537112">
              <w:rPr>
                <w:rFonts w:cs="Verdana"/>
                <w:b/>
                <w:bCs/>
                <w:spacing w:val="-1"/>
                <w:sz w:val="20"/>
                <w:szCs w:val="20"/>
              </w:rPr>
              <w:t>I</w:t>
            </w:r>
            <w:r w:rsidRPr="00537112">
              <w:rPr>
                <w:rFonts w:cs="Verdana"/>
                <w:b/>
                <w:bCs/>
                <w:sz w:val="20"/>
                <w:szCs w:val="20"/>
              </w:rPr>
              <w:t>C</w:t>
            </w:r>
            <w:r w:rsidRPr="00537112">
              <w:rPr>
                <w:rFonts w:cs="Verdana"/>
                <w:b/>
                <w:bCs/>
                <w:spacing w:val="-1"/>
                <w:sz w:val="20"/>
                <w:szCs w:val="20"/>
              </w:rPr>
              <w:t>IA</w:t>
            </w:r>
            <w:r w:rsidRPr="00537112">
              <w:rPr>
                <w:rFonts w:cs="Verdana"/>
                <w:b/>
                <w:bCs/>
                <w:sz w:val="20"/>
                <w:szCs w:val="20"/>
              </w:rPr>
              <w:t>L</w:t>
            </w:r>
            <w:r w:rsidRPr="00537112">
              <w:rPr>
                <w:rFonts w:cs="Verdana"/>
                <w:b/>
                <w:bCs/>
                <w:spacing w:val="1"/>
                <w:sz w:val="20"/>
                <w:szCs w:val="20"/>
              </w:rPr>
              <w:t>E</w:t>
            </w:r>
            <w:r w:rsidRPr="00537112">
              <w:rPr>
                <w:rFonts w:cs="Verdana"/>
                <w:b/>
                <w:bCs/>
                <w:sz w:val="20"/>
                <w:szCs w:val="20"/>
              </w:rPr>
              <w:t>S</w:t>
            </w:r>
            <w:r w:rsidRPr="00537112">
              <w:rPr>
                <w:rFonts w:cs="Verdana"/>
                <w:b/>
                <w:bCs/>
                <w:spacing w:val="53"/>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LA</w:t>
            </w:r>
            <w:r w:rsidRPr="00537112">
              <w:rPr>
                <w:rFonts w:cs="Verdana"/>
                <w:b/>
                <w:bCs/>
                <w:spacing w:val="-5"/>
                <w:sz w:val="20"/>
                <w:szCs w:val="20"/>
              </w:rPr>
              <w:t xml:space="preserve"> </w:t>
            </w:r>
            <w:r w:rsidRPr="00537112">
              <w:rPr>
                <w:rFonts w:cs="Verdana"/>
                <w:b/>
                <w:bCs/>
                <w:sz w:val="20"/>
                <w:szCs w:val="20"/>
              </w:rPr>
              <w:t>C</w:t>
            </w:r>
            <w:r w:rsidRPr="00537112">
              <w:rPr>
                <w:rFonts w:cs="Verdana"/>
                <w:b/>
                <w:bCs/>
                <w:spacing w:val="1"/>
                <w:sz w:val="20"/>
                <w:szCs w:val="20"/>
              </w:rPr>
              <w:t>O</w:t>
            </w:r>
            <w:r w:rsidRPr="00537112">
              <w:rPr>
                <w:rFonts w:cs="Verdana"/>
                <w:b/>
                <w:bCs/>
                <w:spacing w:val="-1"/>
                <w:sz w:val="20"/>
                <w:szCs w:val="20"/>
              </w:rPr>
              <w:t>NV</w:t>
            </w:r>
            <w:r w:rsidRPr="00537112">
              <w:rPr>
                <w:rFonts w:cs="Verdana"/>
                <w:b/>
                <w:bCs/>
                <w:spacing w:val="1"/>
                <w:sz w:val="20"/>
                <w:szCs w:val="20"/>
              </w:rPr>
              <w:t>E</w:t>
            </w:r>
            <w:r w:rsidRPr="00537112">
              <w:rPr>
                <w:rFonts w:cs="Verdana"/>
                <w:b/>
                <w:bCs/>
                <w:spacing w:val="-1"/>
                <w:sz w:val="20"/>
                <w:szCs w:val="20"/>
              </w:rPr>
              <w:t>N</w:t>
            </w:r>
            <w:r w:rsidRPr="00537112">
              <w:rPr>
                <w:rFonts w:cs="Verdana"/>
                <w:b/>
                <w:bCs/>
                <w:sz w:val="20"/>
                <w:szCs w:val="20"/>
              </w:rPr>
              <w:t>C</w:t>
            </w:r>
            <w:r w:rsidRPr="00537112">
              <w:rPr>
                <w:rFonts w:cs="Verdana"/>
                <w:b/>
                <w:bCs/>
                <w:spacing w:val="-1"/>
                <w:sz w:val="20"/>
                <w:szCs w:val="20"/>
              </w:rPr>
              <w:t>I</w:t>
            </w:r>
            <w:r w:rsidRPr="00537112">
              <w:rPr>
                <w:rFonts w:cs="Verdana"/>
                <w:b/>
                <w:bCs/>
                <w:spacing w:val="1"/>
                <w:sz w:val="20"/>
                <w:szCs w:val="20"/>
              </w:rPr>
              <w:t>Ó</w:t>
            </w:r>
            <w:r w:rsidRPr="00537112">
              <w:rPr>
                <w:rFonts w:cs="Verdana"/>
                <w:b/>
                <w:bCs/>
                <w:sz w:val="20"/>
                <w:szCs w:val="20"/>
              </w:rPr>
              <w:t>N</w:t>
            </w:r>
            <w:r w:rsidRPr="00537112">
              <w:rPr>
                <w:rFonts w:cs="Verdana"/>
                <w:b/>
                <w:bCs/>
                <w:spacing w:val="-17"/>
                <w:sz w:val="20"/>
                <w:szCs w:val="20"/>
              </w:rPr>
              <w:t xml:space="preserve"> </w:t>
            </w:r>
            <w:r w:rsidRPr="00537112">
              <w:rPr>
                <w:rFonts w:cs="Verdana"/>
                <w:b/>
                <w:bCs/>
                <w:spacing w:val="-1"/>
                <w:sz w:val="20"/>
                <w:szCs w:val="20"/>
              </w:rPr>
              <w:t>A</w:t>
            </w:r>
            <w:r w:rsidRPr="00537112">
              <w:rPr>
                <w:rFonts w:cs="Verdana"/>
                <w:b/>
                <w:bCs/>
                <w:spacing w:val="1"/>
                <w:sz w:val="20"/>
                <w:szCs w:val="20"/>
              </w:rPr>
              <w:t>ME</w:t>
            </w:r>
            <w:r w:rsidRPr="00537112">
              <w:rPr>
                <w:rFonts w:cs="Verdana"/>
                <w:b/>
                <w:bCs/>
                <w:sz w:val="20"/>
                <w:szCs w:val="20"/>
              </w:rPr>
              <w:t>R</w:t>
            </w:r>
            <w:r w:rsidRPr="00537112">
              <w:rPr>
                <w:rFonts w:cs="Verdana"/>
                <w:b/>
                <w:bCs/>
                <w:spacing w:val="-1"/>
                <w:sz w:val="20"/>
                <w:szCs w:val="20"/>
              </w:rPr>
              <w:t>I</w:t>
            </w:r>
            <w:r w:rsidRPr="00537112">
              <w:rPr>
                <w:rFonts w:cs="Verdana"/>
                <w:b/>
                <w:bCs/>
                <w:sz w:val="20"/>
                <w:szCs w:val="20"/>
              </w:rPr>
              <w:t>C</w:t>
            </w:r>
            <w:r w:rsidRPr="00537112">
              <w:rPr>
                <w:rFonts w:cs="Verdana"/>
                <w:b/>
                <w:bCs/>
                <w:spacing w:val="-1"/>
                <w:sz w:val="20"/>
                <w:szCs w:val="20"/>
              </w:rPr>
              <w:t>ANA</w:t>
            </w:r>
            <w:r w:rsidRPr="00537112">
              <w:rPr>
                <w:rFonts w:cs="Verdana"/>
                <w:b/>
                <w:bCs/>
                <w:sz w:val="20"/>
                <w:szCs w:val="20"/>
              </w:rPr>
              <w:t>,</w:t>
            </w:r>
            <w:r w:rsidRPr="00537112">
              <w:rPr>
                <w:rFonts w:cs="Verdana"/>
                <w:b/>
                <w:bCs/>
                <w:spacing w:val="-15"/>
                <w:sz w:val="20"/>
                <w:szCs w:val="20"/>
              </w:rPr>
              <w:t xml:space="preserve"> </w:t>
            </w:r>
            <w:r w:rsidRPr="00537112">
              <w:rPr>
                <w:rFonts w:cs="Verdana"/>
                <w:b/>
                <w:bCs/>
                <w:sz w:val="20"/>
                <w:szCs w:val="20"/>
              </w:rPr>
              <w:t>E</w:t>
            </w:r>
            <w:r w:rsidRPr="00537112">
              <w:rPr>
                <w:rFonts w:cs="Verdana"/>
                <w:b/>
                <w:bCs/>
                <w:spacing w:val="-1"/>
                <w:sz w:val="20"/>
                <w:szCs w:val="20"/>
              </w:rPr>
              <w:t xml:space="preserve"> IN</w:t>
            </w:r>
            <w:r w:rsidRPr="00537112">
              <w:rPr>
                <w:rFonts w:cs="Verdana"/>
                <w:b/>
                <w:bCs/>
                <w:sz w:val="20"/>
                <w:szCs w:val="20"/>
              </w:rPr>
              <w:t>C</w:t>
            </w:r>
            <w:r w:rsidRPr="00537112">
              <w:rPr>
                <w:rFonts w:cs="Verdana"/>
                <w:b/>
                <w:bCs/>
                <w:spacing w:val="-1"/>
                <w:sz w:val="20"/>
                <w:szCs w:val="20"/>
              </w:rPr>
              <w:t>U</w:t>
            </w:r>
            <w:r w:rsidRPr="00537112">
              <w:rPr>
                <w:rFonts w:cs="Verdana"/>
                <w:b/>
                <w:bCs/>
                <w:spacing w:val="1"/>
                <w:sz w:val="20"/>
                <w:szCs w:val="20"/>
              </w:rPr>
              <w:t>M</w:t>
            </w:r>
            <w:r w:rsidRPr="00537112">
              <w:rPr>
                <w:rFonts w:cs="Verdana"/>
                <w:b/>
                <w:bCs/>
                <w:sz w:val="20"/>
                <w:szCs w:val="20"/>
              </w:rPr>
              <w:t>PL</w:t>
            </w:r>
            <w:r w:rsidRPr="00537112">
              <w:rPr>
                <w:rFonts w:cs="Verdana"/>
                <w:b/>
                <w:bCs/>
                <w:spacing w:val="-1"/>
                <w:sz w:val="20"/>
                <w:szCs w:val="20"/>
              </w:rPr>
              <w:t>I</w:t>
            </w:r>
            <w:r w:rsidRPr="00537112">
              <w:rPr>
                <w:rFonts w:cs="Verdana"/>
                <w:b/>
                <w:bCs/>
                <w:spacing w:val="1"/>
                <w:sz w:val="20"/>
                <w:szCs w:val="20"/>
              </w:rPr>
              <w:t>M</w:t>
            </w:r>
            <w:r w:rsidRPr="00537112">
              <w:rPr>
                <w:rFonts w:cs="Verdana"/>
                <w:b/>
                <w:bCs/>
                <w:spacing w:val="-1"/>
                <w:sz w:val="20"/>
                <w:szCs w:val="20"/>
              </w:rPr>
              <w:t>I</w:t>
            </w:r>
            <w:r w:rsidRPr="00537112">
              <w:rPr>
                <w:rFonts w:cs="Verdana"/>
                <w:b/>
                <w:bCs/>
                <w:spacing w:val="1"/>
                <w:sz w:val="20"/>
                <w:szCs w:val="20"/>
              </w:rPr>
              <w:t>E</w:t>
            </w:r>
            <w:r w:rsidRPr="00537112">
              <w:rPr>
                <w:rFonts w:cs="Verdana"/>
                <w:b/>
                <w:bCs/>
                <w:spacing w:val="-1"/>
                <w:sz w:val="20"/>
                <w:szCs w:val="20"/>
              </w:rPr>
              <w:t>N</w:t>
            </w:r>
            <w:r w:rsidRPr="00537112">
              <w:rPr>
                <w:rFonts w:cs="Verdana"/>
                <w:b/>
                <w:bCs/>
                <w:spacing w:val="1"/>
                <w:sz w:val="20"/>
                <w:szCs w:val="20"/>
              </w:rPr>
              <w:t>T</w:t>
            </w:r>
            <w:r w:rsidRPr="00537112">
              <w:rPr>
                <w:rFonts w:cs="Verdana"/>
                <w:b/>
                <w:bCs/>
                <w:sz w:val="20"/>
                <w:szCs w:val="20"/>
              </w:rPr>
              <w:t>O</w:t>
            </w:r>
            <w:r w:rsidRPr="00537112">
              <w:rPr>
                <w:rFonts w:cs="Verdana"/>
                <w:b/>
                <w:bCs/>
                <w:spacing w:val="-21"/>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L</w:t>
            </w:r>
            <w:r w:rsidRPr="00537112">
              <w:rPr>
                <w:rFonts w:cs="Verdana"/>
                <w:b/>
                <w:bCs/>
                <w:spacing w:val="1"/>
                <w:sz w:val="20"/>
                <w:szCs w:val="20"/>
              </w:rPr>
              <w:t>O</w:t>
            </w:r>
            <w:r w:rsidRPr="00537112">
              <w:rPr>
                <w:rFonts w:cs="Verdana"/>
                <w:b/>
                <w:bCs/>
                <w:sz w:val="20"/>
                <w:szCs w:val="20"/>
              </w:rPr>
              <w:t>S</w:t>
            </w:r>
            <w:r w:rsidRPr="00537112">
              <w:rPr>
                <w:rFonts w:cs="Verdana"/>
                <w:b/>
                <w:bCs/>
                <w:spacing w:val="-5"/>
                <w:sz w:val="20"/>
                <w:szCs w:val="20"/>
              </w:rPr>
              <w:t xml:space="preserve"> </w:t>
            </w:r>
            <w:r w:rsidRPr="00537112">
              <w:rPr>
                <w:rFonts w:cs="Verdana"/>
                <w:b/>
                <w:bCs/>
                <w:spacing w:val="-1"/>
                <w:w w:val="99"/>
                <w:sz w:val="20"/>
                <w:szCs w:val="20"/>
              </w:rPr>
              <w:t>A</w:t>
            </w:r>
            <w:r w:rsidRPr="00537112">
              <w:rPr>
                <w:rFonts w:cs="Verdana"/>
                <w:b/>
                <w:bCs/>
                <w:w w:val="99"/>
                <w:sz w:val="20"/>
                <w:szCs w:val="20"/>
              </w:rPr>
              <w:t>R</w:t>
            </w:r>
            <w:r w:rsidRPr="00537112">
              <w:rPr>
                <w:rFonts w:cs="Verdana"/>
                <w:b/>
                <w:bCs/>
                <w:spacing w:val="1"/>
                <w:w w:val="99"/>
                <w:sz w:val="20"/>
                <w:szCs w:val="20"/>
              </w:rPr>
              <w:t>T</w:t>
            </w:r>
            <w:r w:rsidRPr="00537112">
              <w:rPr>
                <w:rFonts w:cs="Verdana"/>
                <w:b/>
                <w:bCs/>
                <w:spacing w:val="-1"/>
                <w:w w:val="99"/>
                <w:sz w:val="20"/>
                <w:szCs w:val="20"/>
              </w:rPr>
              <w:t>Í</w:t>
            </w:r>
            <w:r w:rsidRPr="00537112">
              <w:rPr>
                <w:rFonts w:cs="Verdana"/>
                <w:b/>
                <w:bCs/>
                <w:w w:val="99"/>
                <w:sz w:val="20"/>
                <w:szCs w:val="20"/>
              </w:rPr>
              <w:t>C</w:t>
            </w:r>
            <w:r w:rsidRPr="00537112">
              <w:rPr>
                <w:rFonts w:cs="Verdana"/>
                <w:b/>
                <w:bCs/>
                <w:spacing w:val="-1"/>
                <w:w w:val="99"/>
                <w:sz w:val="20"/>
                <w:szCs w:val="20"/>
              </w:rPr>
              <w:t>U</w:t>
            </w:r>
            <w:r w:rsidRPr="00537112">
              <w:rPr>
                <w:rFonts w:cs="Verdana"/>
                <w:b/>
                <w:bCs/>
                <w:w w:val="99"/>
                <w:sz w:val="20"/>
                <w:szCs w:val="20"/>
              </w:rPr>
              <w:t>L</w:t>
            </w:r>
            <w:r w:rsidRPr="00537112">
              <w:rPr>
                <w:rFonts w:cs="Verdana"/>
                <w:b/>
                <w:bCs/>
                <w:spacing w:val="1"/>
                <w:w w:val="99"/>
                <w:sz w:val="20"/>
                <w:szCs w:val="20"/>
              </w:rPr>
              <w:t>O</w:t>
            </w:r>
            <w:r w:rsidRPr="00537112">
              <w:rPr>
                <w:rFonts w:cs="Verdana"/>
                <w:b/>
                <w:bCs/>
                <w:w w:val="99"/>
                <w:sz w:val="20"/>
                <w:szCs w:val="20"/>
              </w:rPr>
              <w:t xml:space="preserve">S </w:t>
            </w:r>
            <w:r w:rsidRPr="00537112">
              <w:rPr>
                <w:rFonts w:cs="Verdana"/>
                <w:b/>
                <w:bCs/>
                <w:spacing w:val="-1"/>
                <w:sz w:val="20"/>
                <w:szCs w:val="20"/>
              </w:rPr>
              <w:t>I</w:t>
            </w:r>
            <w:r w:rsidRPr="00537112">
              <w:rPr>
                <w:rFonts w:cs="Verdana"/>
                <w:b/>
                <w:bCs/>
                <w:sz w:val="20"/>
                <w:szCs w:val="20"/>
              </w:rPr>
              <w:t>.B</w:t>
            </w:r>
            <w:r w:rsidRPr="00537112">
              <w:rPr>
                <w:rFonts w:cs="Verdana"/>
                <w:b/>
                <w:bCs/>
                <w:spacing w:val="-5"/>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LA</w:t>
            </w:r>
            <w:r w:rsidRPr="00537112">
              <w:rPr>
                <w:rFonts w:cs="Verdana"/>
                <w:b/>
                <w:bCs/>
                <w:spacing w:val="-5"/>
                <w:sz w:val="20"/>
                <w:szCs w:val="20"/>
              </w:rPr>
              <w:t xml:space="preserve"> </w:t>
            </w:r>
            <w:r w:rsidRPr="00537112">
              <w:rPr>
                <w:rFonts w:cs="Verdana"/>
                <w:b/>
                <w:bCs/>
                <w:sz w:val="20"/>
                <w:szCs w:val="20"/>
              </w:rPr>
              <w:t>C</w:t>
            </w:r>
            <w:r w:rsidRPr="00537112">
              <w:rPr>
                <w:rFonts w:cs="Verdana"/>
                <w:b/>
                <w:bCs/>
                <w:spacing w:val="-1"/>
                <w:sz w:val="20"/>
                <w:szCs w:val="20"/>
              </w:rPr>
              <w:t>I</w:t>
            </w:r>
            <w:r w:rsidRPr="00537112">
              <w:rPr>
                <w:rFonts w:cs="Verdana"/>
                <w:b/>
                <w:bCs/>
                <w:sz w:val="20"/>
                <w:szCs w:val="20"/>
              </w:rPr>
              <w:t>DFP</w:t>
            </w:r>
            <w:r w:rsidRPr="00537112">
              <w:rPr>
                <w:rFonts w:cs="Verdana"/>
                <w:b/>
                <w:bCs/>
                <w:spacing w:val="-8"/>
                <w:sz w:val="20"/>
                <w:szCs w:val="20"/>
              </w:rPr>
              <w:t xml:space="preserve"> </w:t>
            </w:r>
            <w:r w:rsidRPr="00537112">
              <w:rPr>
                <w:rFonts w:cs="Verdana"/>
                <w:b/>
                <w:bCs/>
                <w:sz w:val="20"/>
                <w:szCs w:val="20"/>
              </w:rPr>
              <w:t>,</w:t>
            </w:r>
            <w:r w:rsidRPr="00537112">
              <w:rPr>
                <w:rFonts w:cs="Verdana"/>
                <w:b/>
                <w:bCs/>
                <w:spacing w:val="-2"/>
                <w:sz w:val="20"/>
                <w:szCs w:val="20"/>
              </w:rPr>
              <w:t xml:space="preserve"> </w:t>
            </w:r>
            <w:r w:rsidRPr="00537112">
              <w:rPr>
                <w:rFonts w:cs="Verdana"/>
                <w:b/>
                <w:bCs/>
                <w:sz w:val="20"/>
                <w:szCs w:val="20"/>
              </w:rPr>
              <w:t>1,</w:t>
            </w:r>
            <w:r w:rsidRPr="00537112">
              <w:rPr>
                <w:rFonts w:cs="Verdana"/>
                <w:b/>
                <w:bCs/>
                <w:spacing w:val="-3"/>
                <w:sz w:val="20"/>
                <w:szCs w:val="20"/>
              </w:rPr>
              <w:t xml:space="preserve"> </w:t>
            </w:r>
            <w:r w:rsidRPr="00537112">
              <w:rPr>
                <w:rFonts w:cs="Verdana"/>
                <w:b/>
                <w:bCs/>
                <w:sz w:val="20"/>
                <w:szCs w:val="20"/>
              </w:rPr>
              <w:t>6</w:t>
            </w:r>
            <w:r w:rsidRPr="00537112">
              <w:rPr>
                <w:rFonts w:cs="Verdana"/>
                <w:b/>
                <w:bCs/>
                <w:spacing w:val="-2"/>
                <w:sz w:val="20"/>
                <w:szCs w:val="20"/>
              </w:rPr>
              <w:t xml:space="preserve"> </w:t>
            </w:r>
            <w:r w:rsidRPr="00537112">
              <w:rPr>
                <w:rFonts w:cs="Verdana"/>
                <w:b/>
                <w:bCs/>
                <w:sz w:val="20"/>
                <w:szCs w:val="20"/>
              </w:rPr>
              <w:t>Y</w:t>
            </w:r>
            <w:r w:rsidRPr="00537112">
              <w:rPr>
                <w:rFonts w:cs="Verdana"/>
                <w:b/>
                <w:bCs/>
                <w:spacing w:val="-3"/>
                <w:sz w:val="20"/>
                <w:szCs w:val="20"/>
              </w:rPr>
              <w:t xml:space="preserve"> </w:t>
            </w:r>
            <w:r w:rsidRPr="00537112">
              <w:rPr>
                <w:rFonts w:cs="Verdana"/>
                <w:b/>
                <w:bCs/>
                <w:sz w:val="20"/>
                <w:szCs w:val="20"/>
              </w:rPr>
              <w:t>8</w:t>
            </w:r>
            <w:r w:rsidRPr="00537112">
              <w:rPr>
                <w:rFonts w:cs="Verdana"/>
                <w:b/>
                <w:bCs/>
                <w:spacing w:val="-2"/>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LA</w:t>
            </w:r>
            <w:r w:rsidRPr="00537112">
              <w:rPr>
                <w:rFonts w:cs="Verdana"/>
                <w:b/>
                <w:bCs/>
                <w:spacing w:val="-5"/>
                <w:sz w:val="20"/>
                <w:szCs w:val="20"/>
              </w:rPr>
              <w:t xml:space="preserve"> </w:t>
            </w:r>
            <w:r w:rsidRPr="00537112">
              <w:rPr>
                <w:rFonts w:cs="Verdana"/>
                <w:b/>
                <w:bCs/>
                <w:sz w:val="20"/>
                <w:szCs w:val="20"/>
              </w:rPr>
              <w:t>C</w:t>
            </w:r>
            <w:r w:rsidRPr="00537112">
              <w:rPr>
                <w:rFonts w:cs="Verdana"/>
                <w:b/>
                <w:bCs/>
                <w:spacing w:val="-1"/>
                <w:sz w:val="20"/>
                <w:szCs w:val="20"/>
              </w:rPr>
              <w:t>I</w:t>
            </w:r>
            <w:r w:rsidRPr="00537112">
              <w:rPr>
                <w:rFonts w:cs="Verdana"/>
                <w:b/>
                <w:bCs/>
                <w:sz w:val="20"/>
                <w:szCs w:val="20"/>
              </w:rPr>
              <w:t>PST</w:t>
            </w:r>
            <w:r w:rsidRPr="00537112">
              <w:rPr>
                <w:rFonts w:cs="Verdana"/>
                <w:b/>
                <w:bCs/>
                <w:spacing w:val="-7"/>
                <w:sz w:val="20"/>
                <w:szCs w:val="20"/>
              </w:rPr>
              <w:t xml:space="preserve"> </w:t>
            </w:r>
            <w:r w:rsidRPr="00537112">
              <w:rPr>
                <w:rFonts w:cs="Verdana"/>
                <w:b/>
                <w:bCs/>
                <w:sz w:val="20"/>
                <w:szCs w:val="20"/>
              </w:rPr>
              <w:t>,</w:t>
            </w:r>
            <w:r w:rsidRPr="00537112">
              <w:rPr>
                <w:rFonts w:cs="Verdana"/>
                <w:b/>
                <w:bCs/>
                <w:spacing w:val="-2"/>
                <w:sz w:val="20"/>
                <w:szCs w:val="20"/>
              </w:rPr>
              <w:t xml:space="preserve"> </w:t>
            </w:r>
            <w:r w:rsidRPr="00537112">
              <w:rPr>
                <w:rFonts w:cs="Verdana"/>
                <w:b/>
                <w:bCs/>
                <w:sz w:val="20"/>
                <w:szCs w:val="20"/>
              </w:rPr>
              <w:t>Y</w:t>
            </w:r>
            <w:r w:rsidRPr="00537112">
              <w:rPr>
                <w:rFonts w:cs="Verdana"/>
                <w:b/>
                <w:bCs/>
                <w:spacing w:val="-3"/>
                <w:sz w:val="20"/>
                <w:szCs w:val="20"/>
              </w:rPr>
              <w:t xml:space="preserve"> </w:t>
            </w:r>
            <w:r w:rsidRPr="00537112">
              <w:rPr>
                <w:rFonts w:cs="Verdana"/>
                <w:b/>
                <w:bCs/>
                <w:sz w:val="20"/>
                <w:szCs w:val="20"/>
              </w:rPr>
              <w:t>7.B</w:t>
            </w:r>
            <w:r w:rsidRPr="00537112">
              <w:rPr>
                <w:rFonts w:cs="Verdana"/>
                <w:b/>
                <w:bCs/>
                <w:spacing w:val="-6"/>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z w:val="20"/>
                <w:szCs w:val="20"/>
              </w:rPr>
              <w:t>LA</w:t>
            </w:r>
            <w:r w:rsidRPr="00537112">
              <w:rPr>
                <w:rFonts w:cs="Verdana"/>
                <w:b/>
                <w:bCs/>
                <w:spacing w:val="-5"/>
                <w:sz w:val="20"/>
                <w:szCs w:val="20"/>
              </w:rPr>
              <w:t xml:space="preserve"> </w:t>
            </w:r>
            <w:r w:rsidRPr="00537112">
              <w:rPr>
                <w:rFonts w:cs="Verdana"/>
                <w:b/>
                <w:bCs/>
                <w:sz w:val="20"/>
                <w:szCs w:val="20"/>
              </w:rPr>
              <w:t>C</w:t>
            </w:r>
            <w:r w:rsidRPr="00537112">
              <w:rPr>
                <w:rFonts w:cs="Verdana"/>
                <w:b/>
                <w:bCs/>
                <w:spacing w:val="1"/>
                <w:sz w:val="20"/>
                <w:szCs w:val="20"/>
              </w:rPr>
              <w:t>O</w:t>
            </w:r>
            <w:r w:rsidRPr="00537112">
              <w:rPr>
                <w:rFonts w:cs="Verdana"/>
                <w:b/>
                <w:bCs/>
                <w:spacing w:val="-1"/>
                <w:sz w:val="20"/>
                <w:szCs w:val="20"/>
              </w:rPr>
              <w:t>NV</w:t>
            </w:r>
            <w:r w:rsidRPr="00537112">
              <w:rPr>
                <w:rFonts w:cs="Verdana"/>
                <w:b/>
                <w:bCs/>
                <w:spacing w:val="1"/>
                <w:sz w:val="20"/>
                <w:szCs w:val="20"/>
              </w:rPr>
              <w:t>E</w:t>
            </w:r>
            <w:r w:rsidRPr="00537112">
              <w:rPr>
                <w:rFonts w:cs="Verdana"/>
                <w:b/>
                <w:bCs/>
                <w:spacing w:val="-1"/>
                <w:sz w:val="20"/>
                <w:szCs w:val="20"/>
              </w:rPr>
              <w:t>N</w:t>
            </w:r>
            <w:r w:rsidRPr="00537112">
              <w:rPr>
                <w:rFonts w:cs="Verdana"/>
                <w:b/>
                <w:bCs/>
                <w:sz w:val="20"/>
                <w:szCs w:val="20"/>
              </w:rPr>
              <w:t>C</w:t>
            </w:r>
            <w:r w:rsidRPr="00537112">
              <w:rPr>
                <w:rFonts w:cs="Verdana"/>
                <w:b/>
                <w:bCs/>
                <w:spacing w:val="-1"/>
                <w:sz w:val="20"/>
                <w:szCs w:val="20"/>
              </w:rPr>
              <w:t>I</w:t>
            </w:r>
            <w:r w:rsidRPr="00537112">
              <w:rPr>
                <w:rFonts w:cs="Verdana"/>
                <w:b/>
                <w:bCs/>
                <w:spacing w:val="1"/>
                <w:sz w:val="20"/>
                <w:szCs w:val="20"/>
              </w:rPr>
              <w:t>Ó</w:t>
            </w:r>
            <w:r w:rsidRPr="00537112">
              <w:rPr>
                <w:rFonts w:cs="Verdana"/>
                <w:b/>
                <w:bCs/>
                <w:sz w:val="20"/>
                <w:szCs w:val="20"/>
              </w:rPr>
              <w:t>N</w:t>
            </w:r>
            <w:r w:rsidRPr="00537112">
              <w:rPr>
                <w:rFonts w:cs="Verdana"/>
                <w:b/>
                <w:bCs/>
                <w:spacing w:val="-17"/>
                <w:sz w:val="20"/>
                <w:szCs w:val="20"/>
              </w:rPr>
              <w:t xml:space="preserve"> </w:t>
            </w:r>
            <w:r w:rsidRPr="00537112">
              <w:rPr>
                <w:rFonts w:cs="Verdana"/>
                <w:b/>
                <w:bCs/>
                <w:sz w:val="20"/>
                <w:szCs w:val="20"/>
              </w:rPr>
              <w:t>DE</w:t>
            </w:r>
            <w:r w:rsidRPr="00537112">
              <w:rPr>
                <w:rFonts w:cs="Verdana"/>
                <w:b/>
                <w:bCs/>
                <w:spacing w:val="-3"/>
                <w:sz w:val="20"/>
                <w:szCs w:val="20"/>
              </w:rPr>
              <w:t xml:space="preserve"> </w:t>
            </w:r>
            <w:r w:rsidRPr="00537112">
              <w:rPr>
                <w:rFonts w:cs="Verdana"/>
                <w:b/>
                <w:bCs/>
                <w:spacing w:val="-1"/>
                <w:sz w:val="20"/>
                <w:szCs w:val="20"/>
              </w:rPr>
              <w:t>B</w:t>
            </w:r>
            <w:r w:rsidRPr="00537112">
              <w:rPr>
                <w:rFonts w:cs="Verdana"/>
                <w:b/>
                <w:bCs/>
                <w:spacing w:val="1"/>
                <w:sz w:val="20"/>
                <w:szCs w:val="20"/>
              </w:rPr>
              <w:t>E</w:t>
            </w:r>
            <w:r w:rsidRPr="00537112">
              <w:rPr>
                <w:rFonts w:cs="Verdana"/>
                <w:b/>
                <w:bCs/>
                <w:sz w:val="20"/>
                <w:szCs w:val="20"/>
              </w:rPr>
              <w:t>L</w:t>
            </w:r>
            <w:r w:rsidRPr="00537112">
              <w:rPr>
                <w:rFonts w:cs="Verdana"/>
                <w:b/>
                <w:bCs/>
                <w:spacing w:val="1"/>
                <w:sz w:val="20"/>
                <w:szCs w:val="20"/>
              </w:rPr>
              <w:t>É</w:t>
            </w:r>
            <w:r w:rsidRPr="00537112">
              <w:rPr>
                <w:rFonts w:cs="Verdana"/>
                <w:b/>
                <w:bCs/>
                <w:sz w:val="20"/>
                <w:szCs w:val="20"/>
              </w:rPr>
              <w:t>M</w:t>
            </w:r>
            <w:r w:rsidRPr="00537112">
              <w:rPr>
                <w:rFonts w:cs="Verdana"/>
                <w:b/>
                <w:bCs/>
                <w:spacing w:val="-7"/>
                <w:sz w:val="20"/>
                <w:szCs w:val="20"/>
              </w:rPr>
              <w:t xml:space="preserve"> </w:t>
            </w:r>
            <w:r w:rsidRPr="00537112">
              <w:rPr>
                <w:rFonts w:cs="Verdana"/>
                <w:b/>
                <w:bCs/>
                <w:sz w:val="20"/>
                <w:szCs w:val="20"/>
              </w:rPr>
              <w:t>DO</w:t>
            </w:r>
            <w:r w:rsidRPr="00537112">
              <w:rPr>
                <w:rFonts w:cs="Verdana"/>
                <w:b/>
                <w:bCs/>
                <w:spacing w:val="-3"/>
                <w:sz w:val="20"/>
                <w:szCs w:val="20"/>
              </w:rPr>
              <w:t xml:space="preserve"> </w:t>
            </w:r>
            <w:r w:rsidRPr="00537112">
              <w:rPr>
                <w:rFonts w:cs="Verdana"/>
                <w:b/>
                <w:bCs/>
                <w:w w:val="99"/>
                <w:sz w:val="20"/>
                <w:szCs w:val="20"/>
              </w:rPr>
              <w:t>P</w:t>
            </w:r>
            <w:r w:rsidRPr="00537112">
              <w:rPr>
                <w:rFonts w:cs="Verdana"/>
                <w:b/>
                <w:bCs/>
                <w:spacing w:val="-1"/>
                <w:w w:val="99"/>
                <w:sz w:val="20"/>
                <w:szCs w:val="20"/>
              </w:rPr>
              <w:t>A</w:t>
            </w:r>
            <w:r w:rsidRPr="00537112">
              <w:rPr>
                <w:rFonts w:cs="Verdana"/>
                <w:b/>
                <w:bCs/>
                <w:w w:val="99"/>
                <w:sz w:val="20"/>
                <w:szCs w:val="20"/>
              </w:rPr>
              <w:t>R</w:t>
            </w:r>
            <w:r w:rsidRPr="00537112">
              <w:rPr>
                <w:rFonts w:cs="Verdana"/>
                <w:b/>
                <w:bCs/>
                <w:spacing w:val="-1"/>
                <w:w w:val="99"/>
                <w:sz w:val="20"/>
                <w:szCs w:val="20"/>
              </w:rPr>
              <w:t>Á</w:t>
            </w:r>
            <w:r w:rsidRPr="00537112">
              <w:rPr>
                <w:rFonts w:cs="Verdana"/>
                <w:b/>
                <w:bCs/>
                <w:w w:val="99"/>
                <w:sz w:val="20"/>
                <w:szCs w:val="20"/>
              </w:rPr>
              <w:t xml:space="preserve">, </w:t>
            </w:r>
            <w:r w:rsidRPr="00537112">
              <w:rPr>
                <w:rFonts w:cs="Verdana"/>
                <w:b/>
                <w:bCs/>
                <w:sz w:val="20"/>
                <w:szCs w:val="20"/>
              </w:rPr>
              <w:t>L</w:t>
            </w:r>
            <w:r w:rsidRPr="00537112">
              <w:rPr>
                <w:rFonts w:cs="Verdana"/>
                <w:b/>
                <w:bCs/>
                <w:spacing w:val="-1"/>
                <w:sz w:val="20"/>
                <w:szCs w:val="20"/>
              </w:rPr>
              <w:t>I</w:t>
            </w:r>
            <w:r w:rsidRPr="00537112">
              <w:rPr>
                <w:rFonts w:cs="Verdana"/>
                <w:b/>
                <w:bCs/>
                <w:sz w:val="20"/>
                <w:szCs w:val="20"/>
              </w:rPr>
              <w:t>S</w:t>
            </w:r>
            <w:r w:rsidRPr="00537112">
              <w:rPr>
                <w:rFonts w:cs="Verdana"/>
                <w:b/>
                <w:bCs/>
                <w:spacing w:val="1"/>
                <w:sz w:val="20"/>
                <w:szCs w:val="20"/>
              </w:rPr>
              <w:t>T</w:t>
            </w:r>
            <w:r w:rsidRPr="00537112">
              <w:rPr>
                <w:rFonts w:cs="Verdana"/>
                <w:b/>
                <w:bCs/>
                <w:spacing w:val="-1"/>
                <w:sz w:val="20"/>
                <w:szCs w:val="20"/>
              </w:rPr>
              <w:t>A</w:t>
            </w:r>
            <w:r w:rsidRPr="00537112">
              <w:rPr>
                <w:rFonts w:cs="Verdana"/>
                <w:b/>
                <w:bCs/>
                <w:sz w:val="20"/>
                <w:szCs w:val="20"/>
              </w:rPr>
              <w:t>D</w:t>
            </w:r>
            <w:r w:rsidRPr="00537112">
              <w:rPr>
                <w:rFonts w:cs="Verdana"/>
                <w:b/>
                <w:bCs/>
                <w:spacing w:val="1"/>
                <w:sz w:val="20"/>
                <w:szCs w:val="20"/>
              </w:rPr>
              <w:t>O</w:t>
            </w:r>
            <w:r w:rsidRPr="00537112">
              <w:rPr>
                <w:rFonts w:cs="Verdana"/>
                <w:b/>
                <w:bCs/>
                <w:sz w:val="20"/>
                <w:szCs w:val="20"/>
              </w:rPr>
              <w:t>S</w:t>
            </w:r>
            <w:r w:rsidRPr="00537112">
              <w:rPr>
                <w:rFonts w:cs="Verdana"/>
                <w:b/>
                <w:bCs/>
                <w:spacing w:val="-12"/>
                <w:sz w:val="20"/>
                <w:szCs w:val="20"/>
              </w:rPr>
              <w:t xml:space="preserve"> </w:t>
            </w:r>
            <w:r w:rsidRPr="00537112">
              <w:rPr>
                <w:rFonts w:cs="Verdana"/>
                <w:b/>
                <w:bCs/>
                <w:sz w:val="20"/>
                <w:szCs w:val="20"/>
              </w:rPr>
              <w:t>P</w:t>
            </w:r>
            <w:r w:rsidRPr="00537112">
              <w:rPr>
                <w:rFonts w:cs="Verdana"/>
                <w:b/>
                <w:bCs/>
                <w:spacing w:val="1"/>
                <w:sz w:val="20"/>
                <w:szCs w:val="20"/>
              </w:rPr>
              <w:t>O</w:t>
            </w:r>
            <w:r w:rsidRPr="00537112">
              <w:rPr>
                <w:rFonts w:cs="Verdana"/>
                <w:b/>
                <w:bCs/>
                <w:sz w:val="20"/>
                <w:szCs w:val="20"/>
              </w:rPr>
              <w:t>R</w:t>
            </w:r>
            <w:r w:rsidRPr="00537112">
              <w:rPr>
                <w:rFonts w:cs="Verdana"/>
                <w:b/>
                <w:bCs/>
                <w:spacing w:val="-6"/>
                <w:sz w:val="20"/>
                <w:szCs w:val="20"/>
              </w:rPr>
              <w:t xml:space="preserve"> </w:t>
            </w:r>
            <w:r w:rsidRPr="00537112">
              <w:rPr>
                <w:rFonts w:cs="Verdana"/>
                <w:b/>
                <w:bCs/>
                <w:spacing w:val="-1"/>
                <w:sz w:val="20"/>
                <w:szCs w:val="20"/>
              </w:rPr>
              <w:t>NÚ</w:t>
            </w:r>
            <w:r w:rsidRPr="00537112">
              <w:rPr>
                <w:rFonts w:cs="Verdana"/>
                <w:b/>
                <w:bCs/>
                <w:sz w:val="20"/>
                <w:szCs w:val="20"/>
              </w:rPr>
              <w:t>CL</w:t>
            </w:r>
            <w:r w:rsidRPr="00537112">
              <w:rPr>
                <w:rFonts w:cs="Verdana"/>
                <w:b/>
                <w:bCs/>
                <w:spacing w:val="1"/>
                <w:sz w:val="20"/>
                <w:szCs w:val="20"/>
              </w:rPr>
              <w:t>E</w:t>
            </w:r>
            <w:r w:rsidRPr="00537112">
              <w:rPr>
                <w:rFonts w:cs="Verdana"/>
                <w:b/>
                <w:bCs/>
                <w:sz w:val="20"/>
                <w:szCs w:val="20"/>
              </w:rPr>
              <w:t>O</w:t>
            </w:r>
            <w:r w:rsidRPr="00537112">
              <w:rPr>
                <w:rFonts w:cs="Verdana"/>
                <w:b/>
                <w:bCs/>
                <w:spacing w:val="-9"/>
                <w:sz w:val="20"/>
                <w:szCs w:val="20"/>
              </w:rPr>
              <w:t xml:space="preserve"> </w:t>
            </w:r>
            <w:r w:rsidRPr="00537112">
              <w:rPr>
                <w:rFonts w:cs="Verdana"/>
                <w:b/>
                <w:bCs/>
                <w:w w:val="99"/>
                <w:sz w:val="20"/>
                <w:szCs w:val="20"/>
              </w:rPr>
              <w:t>F</w:t>
            </w:r>
            <w:r w:rsidRPr="00537112">
              <w:rPr>
                <w:rFonts w:cs="Verdana"/>
                <w:b/>
                <w:bCs/>
                <w:spacing w:val="-1"/>
                <w:w w:val="99"/>
                <w:sz w:val="20"/>
                <w:szCs w:val="20"/>
              </w:rPr>
              <w:t>A</w:t>
            </w:r>
            <w:r w:rsidRPr="00537112">
              <w:rPr>
                <w:rFonts w:cs="Verdana"/>
                <w:b/>
                <w:bCs/>
                <w:spacing w:val="1"/>
                <w:w w:val="99"/>
                <w:sz w:val="20"/>
                <w:szCs w:val="20"/>
              </w:rPr>
              <w:t>M</w:t>
            </w:r>
            <w:r w:rsidRPr="00537112">
              <w:rPr>
                <w:rFonts w:cs="Verdana"/>
                <w:b/>
                <w:bCs/>
                <w:spacing w:val="-1"/>
                <w:w w:val="99"/>
                <w:sz w:val="20"/>
                <w:szCs w:val="20"/>
              </w:rPr>
              <w:t>I</w:t>
            </w:r>
            <w:r w:rsidRPr="00537112">
              <w:rPr>
                <w:rFonts w:cs="Verdana"/>
                <w:b/>
                <w:bCs/>
                <w:w w:val="99"/>
                <w:sz w:val="20"/>
                <w:szCs w:val="20"/>
              </w:rPr>
              <w:t>L</w:t>
            </w:r>
            <w:r w:rsidRPr="00537112">
              <w:rPr>
                <w:rFonts w:cs="Verdana"/>
                <w:b/>
                <w:bCs/>
                <w:spacing w:val="-1"/>
                <w:w w:val="99"/>
                <w:sz w:val="20"/>
                <w:szCs w:val="20"/>
              </w:rPr>
              <w:t>IA</w:t>
            </w:r>
            <w:r w:rsidRPr="00537112">
              <w:rPr>
                <w:rFonts w:cs="Verdana"/>
                <w:b/>
                <w:bCs/>
                <w:w w:val="99"/>
                <w:sz w:val="20"/>
                <w:szCs w:val="20"/>
              </w:rPr>
              <w:t>R</w:t>
            </w:r>
          </w:p>
        </w:tc>
      </w:tr>
      <w:tr w:rsidR="00537112" w:rsidRPr="00537112" w14:paraId="07109C8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27229C2"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0B8BC5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1E064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CE4E116"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23</w:t>
            </w:r>
          </w:p>
        </w:tc>
        <w:tc>
          <w:tcPr>
            <w:tcW w:w="3958" w:type="dxa"/>
            <w:vMerge w:val="restart"/>
            <w:tcBorders>
              <w:top w:val="single" w:sz="8" w:space="0" w:color="000000"/>
              <w:left w:val="single" w:sz="8" w:space="0" w:color="000000"/>
              <w:bottom w:val="single" w:sz="8" w:space="0" w:color="000000"/>
              <w:right w:val="single" w:sz="8" w:space="0" w:color="000000"/>
            </w:tcBorders>
          </w:tcPr>
          <w:p w14:paraId="639BE16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E233981" w14:textId="77777777" w:rsidR="00537112" w:rsidRPr="00537112" w:rsidRDefault="00537112" w:rsidP="00537112">
            <w:pPr>
              <w:autoSpaceDE w:val="0"/>
              <w:autoSpaceDN w:val="0"/>
              <w:spacing w:before="10" w:line="260" w:lineRule="exact"/>
              <w:jc w:val="left"/>
              <w:textAlignment w:val="auto"/>
              <w:rPr>
                <w:rFonts w:ascii="Times New Roman" w:hAnsi="Times New Roman"/>
                <w:sz w:val="26"/>
                <w:szCs w:val="26"/>
              </w:rPr>
            </w:pPr>
          </w:p>
          <w:p w14:paraId="58620B30" w14:textId="77777777" w:rsidR="00537112" w:rsidRPr="00537112" w:rsidRDefault="00537112" w:rsidP="00537112">
            <w:pPr>
              <w:autoSpaceDE w:val="0"/>
              <w:autoSpaceDN w:val="0"/>
              <w:spacing w:line="240" w:lineRule="auto"/>
              <w:ind w:right="-20"/>
              <w:jc w:val="left"/>
              <w:textAlignment w:val="auto"/>
              <w:rPr>
                <w:rFonts w:cs="Verdana"/>
                <w:sz w:val="20"/>
                <w:szCs w:val="20"/>
              </w:rPr>
            </w:pPr>
            <w:r w:rsidRPr="00537112">
              <w:rPr>
                <w:rFonts w:cs="Verdana"/>
                <w:spacing w:val="1"/>
                <w:sz w:val="20"/>
                <w:szCs w:val="20"/>
              </w:rPr>
              <w:t>V</w:t>
            </w:r>
            <w:r w:rsidRPr="00537112">
              <w:rPr>
                <w:rFonts w:cs="Verdana"/>
                <w:spacing w:val="3"/>
                <w:sz w:val="20"/>
                <w:szCs w:val="20"/>
              </w:rPr>
              <w:t>í</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Pa</w:t>
            </w:r>
            <w:r w:rsidRPr="00537112">
              <w:rPr>
                <w:rFonts w:cs="Verdana"/>
                <w:spacing w:val="1"/>
                <w:sz w:val="20"/>
                <w:szCs w:val="20"/>
              </w:rPr>
              <w:t>ng</w:t>
            </w:r>
            <w:r w:rsidRPr="00537112">
              <w:rPr>
                <w:rFonts w:cs="Verdana"/>
                <w:sz w:val="20"/>
                <w:szCs w:val="20"/>
              </w:rPr>
              <w:t>an</w:t>
            </w:r>
            <w:r w:rsidRPr="00537112">
              <w:rPr>
                <w:rFonts w:cs="Verdana"/>
                <w:spacing w:val="-7"/>
                <w:sz w:val="20"/>
                <w:szCs w:val="20"/>
              </w:rPr>
              <w:t xml:space="preserve"> </w:t>
            </w: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pacing w:val="1"/>
                <w:sz w:val="20"/>
                <w:szCs w:val="20"/>
              </w:rPr>
              <w:t>V</w:t>
            </w:r>
            <w:r w:rsidRPr="00537112">
              <w:rPr>
                <w:rFonts w:cs="Verdana"/>
                <w:spacing w:val="3"/>
                <w:sz w:val="20"/>
                <w:szCs w:val="20"/>
              </w:rPr>
              <w:t>í</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p w14:paraId="44541E0F"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n</w:t>
            </w:r>
            <w:r w:rsidRPr="00537112">
              <w:rPr>
                <w:rFonts w:cs="Verdana"/>
                <w:spacing w:val="-1"/>
                <w:sz w:val="20"/>
                <w:szCs w:val="20"/>
              </w:rPr>
              <w:t>c</w:t>
            </w:r>
            <w:r w:rsidRPr="00537112">
              <w:rPr>
                <w:rFonts w:cs="Verdana"/>
                <w:sz w:val="20"/>
                <w:szCs w:val="20"/>
              </w:rPr>
              <w:t>a</w:t>
            </w:r>
            <w:r w:rsidRPr="00537112">
              <w:rPr>
                <w:rFonts w:cs="Verdana"/>
                <w:spacing w:val="1"/>
                <w:sz w:val="20"/>
                <w:szCs w:val="20"/>
              </w:rPr>
              <w:t>n</w:t>
            </w:r>
            <w:r w:rsidRPr="00537112">
              <w:rPr>
                <w:rFonts w:cs="Verdana"/>
                <w:sz w:val="20"/>
                <w:szCs w:val="20"/>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11F5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4DFD3C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1B0D1DB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3515D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36C9C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AAE1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4EAB41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p</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eó</w:t>
            </w:r>
            <w:r w:rsidRPr="00537112">
              <w:rPr>
                <w:rFonts w:cs="Verdana"/>
                <w:position w:val="-1"/>
                <w:sz w:val="20"/>
                <w:szCs w:val="20"/>
              </w:rPr>
              <w:t>n</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2921C9C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395E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0F8B0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F9B00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486A17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Leo</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62B95A1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46D1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DA3F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BF97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0325F8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2E0778B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C34B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E2ACD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2D20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2D4794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59A5D81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AF9F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F77D4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327EE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5DE29C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4C38B84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608522" w14:textId="77777777" w:rsidR="00537112" w:rsidRPr="00537112" w:rsidRDefault="00537112" w:rsidP="00537112">
            <w:pPr>
              <w:autoSpaceDE w:val="0"/>
              <w:autoSpaceDN w:val="0"/>
              <w:spacing w:before="1" w:line="180" w:lineRule="exact"/>
              <w:jc w:val="left"/>
              <w:textAlignment w:val="auto"/>
              <w:rPr>
                <w:rFonts w:ascii="Times New Roman" w:hAnsi="Times New Roman"/>
                <w:sz w:val="18"/>
                <w:szCs w:val="18"/>
              </w:rPr>
            </w:pPr>
          </w:p>
          <w:p w14:paraId="73E056D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06F9E9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24</w:t>
            </w:r>
          </w:p>
        </w:tc>
        <w:tc>
          <w:tcPr>
            <w:tcW w:w="3958" w:type="dxa"/>
            <w:vMerge w:val="restart"/>
            <w:tcBorders>
              <w:top w:val="single" w:sz="8" w:space="0" w:color="000000"/>
              <w:left w:val="single" w:sz="8" w:space="0" w:color="000000"/>
              <w:bottom w:val="single" w:sz="8" w:space="0" w:color="000000"/>
              <w:right w:val="single" w:sz="8" w:space="0" w:color="000000"/>
            </w:tcBorders>
          </w:tcPr>
          <w:p w14:paraId="5523DAB3" w14:textId="77777777" w:rsidR="00537112" w:rsidRPr="00537112" w:rsidRDefault="00537112" w:rsidP="00537112">
            <w:pPr>
              <w:autoSpaceDE w:val="0"/>
              <w:autoSpaceDN w:val="0"/>
              <w:spacing w:before="1" w:line="180" w:lineRule="exact"/>
              <w:jc w:val="left"/>
              <w:textAlignment w:val="auto"/>
              <w:rPr>
                <w:rFonts w:ascii="Times New Roman" w:hAnsi="Times New Roman"/>
                <w:sz w:val="18"/>
                <w:szCs w:val="18"/>
              </w:rPr>
            </w:pPr>
          </w:p>
          <w:p w14:paraId="5B89E8A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4B056D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w:t>
            </w:r>
            <w:r w:rsidRPr="00537112">
              <w:rPr>
                <w:rFonts w:cs="Verdana"/>
                <w:spacing w:val="3"/>
                <w:sz w:val="20"/>
                <w:szCs w:val="20"/>
              </w:rPr>
              <w:t>l</w:t>
            </w:r>
            <w:r w:rsidRPr="00537112">
              <w:rPr>
                <w:rFonts w:cs="Verdana"/>
                <w:spacing w:val="-1"/>
                <w:sz w:val="20"/>
                <w:szCs w:val="20"/>
              </w:rPr>
              <w:t>e</w:t>
            </w:r>
            <w:r w:rsidRPr="00537112">
              <w:rPr>
                <w:rFonts w:cs="Verdana"/>
                <w:spacing w:val="1"/>
                <w:sz w:val="20"/>
                <w:szCs w:val="20"/>
              </w:rPr>
              <w:t>m</w:t>
            </w:r>
            <w:r w:rsidRPr="00537112">
              <w:rPr>
                <w:rFonts w:cs="Verdana"/>
                <w:spacing w:val="-1"/>
                <w:sz w:val="20"/>
                <w:szCs w:val="20"/>
              </w:rPr>
              <w:t>e</w:t>
            </w:r>
            <w:r w:rsidRPr="00537112">
              <w:rPr>
                <w:rFonts w:cs="Verdana"/>
                <w:spacing w:val="1"/>
                <w:sz w:val="20"/>
                <w:szCs w:val="20"/>
              </w:rPr>
              <w:t>nt</w:t>
            </w:r>
            <w:r w:rsidRPr="00537112">
              <w:rPr>
                <w:rFonts w:cs="Verdana"/>
                <w:sz w:val="20"/>
                <w:szCs w:val="20"/>
              </w:rPr>
              <w:t>e</w:t>
            </w:r>
            <w:r w:rsidRPr="00537112">
              <w:rPr>
                <w:rFonts w:cs="Verdana"/>
                <w:spacing w:val="-12"/>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n</w:t>
            </w:r>
            <w:r w:rsidRPr="00537112">
              <w:rPr>
                <w:rFonts w:cs="Verdana"/>
                <w:spacing w:val="-1"/>
                <w:sz w:val="20"/>
                <w:szCs w:val="20"/>
              </w:rPr>
              <w:t>coc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006B1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071859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4DCCF06C"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0344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3707C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D724C2C"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1</w:t>
            </w:r>
            <w:r w:rsidRPr="00537112">
              <w:rPr>
                <w:rFonts w:cs="Verdana"/>
                <w:spacing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04E12ECC"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1"/>
                <w:sz w:val="20"/>
                <w:szCs w:val="20"/>
              </w:rPr>
              <w:t>e</w:t>
            </w:r>
            <w:r w:rsidRPr="00537112">
              <w:rPr>
                <w:rFonts w:cs="Verdana"/>
                <w:spacing w:val="1"/>
                <w:sz w:val="20"/>
                <w:szCs w:val="20"/>
              </w:rPr>
              <w:t>n</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p>
        </w:tc>
      </w:tr>
      <w:tr w:rsidR="00537112" w:rsidRPr="00537112" w14:paraId="5F5215F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302E6F"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57231F0"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F2A7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1009B4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U</w:t>
            </w:r>
            <w:r w:rsidRPr="00537112">
              <w:rPr>
                <w:rFonts w:cs="Verdana"/>
                <w:spacing w:val="-1"/>
                <w:position w:val="-1"/>
                <w:sz w:val="20"/>
                <w:szCs w:val="20"/>
              </w:rPr>
              <w:t>r</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21C8DF0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B2162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D148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9E86E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74DEC8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4C6E276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220982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7A327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5EEC358"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3C8BEB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25</w:t>
            </w:r>
          </w:p>
        </w:tc>
        <w:tc>
          <w:tcPr>
            <w:tcW w:w="3958" w:type="dxa"/>
            <w:vMerge w:val="restart"/>
            <w:tcBorders>
              <w:top w:val="single" w:sz="8" w:space="0" w:color="000000"/>
              <w:left w:val="single" w:sz="8" w:space="0" w:color="000000"/>
              <w:bottom w:val="single" w:sz="8" w:space="0" w:color="000000"/>
              <w:right w:val="single" w:sz="8" w:space="0" w:color="000000"/>
            </w:tcBorders>
          </w:tcPr>
          <w:p w14:paraId="474951B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62D0AE2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7AB5CB62"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lang w:val="pt-BR"/>
              </w:rPr>
            </w:pPr>
          </w:p>
          <w:p w14:paraId="2B4857CD" w14:textId="77777777" w:rsidR="00537112" w:rsidRPr="00537112" w:rsidRDefault="00537112" w:rsidP="00537112">
            <w:pPr>
              <w:autoSpaceDE w:val="0"/>
              <w:autoSpaceDN w:val="0"/>
              <w:spacing w:line="240" w:lineRule="auto"/>
              <w:ind w:right="-20"/>
              <w:jc w:val="left"/>
              <w:textAlignment w:val="auto"/>
              <w:rPr>
                <w:rFonts w:ascii="Times New Roman" w:hAnsi="Times New Roman"/>
                <w:lang w:val="pt-BR"/>
              </w:rPr>
            </w:pPr>
            <w:r w:rsidRPr="00537112">
              <w:rPr>
                <w:rFonts w:cs="Verdana"/>
                <w:sz w:val="20"/>
                <w:szCs w:val="20"/>
                <w:lang w:val="pt-BR"/>
              </w:rPr>
              <w:t>C</w:t>
            </w:r>
            <w:r w:rsidRPr="00537112">
              <w:rPr>
                <w:rFonts w:cs="Verdana"/>
                <w:spacing w:val="-1"/>
                <w:sz w:val="20"/>
                <w:szCs w:val="20"/>
                <w:lang w:val="pt-BR"/>
              </w:rPr>
              <w:t>r</w:t>
            </w:r>
            <w:r w:rsidRPr="00537112">
              <w:rPr>
                <w:rFonts w:cs="Verdana"/>
                <w:spacing w:val="1"/>
                <w:sz w:val="20"/>
                <w:szCs w:val="20"/>
                <w:lang w:val="pt-BR"/>
              </w:rPr>
              <w:t>u</w:t>
            </w:r>
            <w:r w:rsidRPr="00537112">
              <w:rPr>
                <w:rFonts w:cs="Verdana"/>
                <w:sz w:val="20"/>
                <w:szCs w:val="20"/>
                <w:lang w:val="pt-BR"/>
              </w:rPr>
              <w:t>z</w:t>
            </w:r>
            <w:r w:rsidRPr="00537112">
              <w:rPr>
                <w:rFonts w:cs="Verdana"/>
                <w:spacing w:val="-5"/>
                <w:sz w:val="20"/>
                <w:szCs w:val="20"/>
                <w:lang w:val="pt-BR"/>
              </w:rPr>
              <w:t xml:space="preserve"> </w:t>
            </w:r>
            <w:r w:rsidRPr="00537112">
              <w:rPr>
                <w:rFonts w:cs="Verdana"/>
                <w:spacing w:val="1"/>
                <w:sz w:val="20"/>
                <w:szCs w:val="20"/>
                <w:lang w:val="pt-BR"/>
              </w:rPr>
              <w:t>S</w:t>
            </w:r>
            <w:r w:rsidRPr="00537112">
              <w:rPr>
                <w:rFonts w:cs="Verdana"/>
                <w:spacing w:val="3"/>
                <w:sz w:val="20"/>
                <w:szCs w:val="20"/>
                <w:lang w:val="pt-BR"/>
              </w:rPr>
              <w:t>i</w:t>
            </w:r>
            <w:r w:rsidRPr="00537112">
              <w:rPr>
                <w:rFonts w:cs="Verdana"/>
                <w:sz w:val="20"/>
                <w:szCs w:val="20"/>
                <w:lang w:val="pt-BR"/>
              </w:rPr>
              <w:t>c</w:t>
            </w:r>
            <w:r w:rsidRPr="00537112">
              <w:rPr>
                <w:rFonts w:cs="Verdana"/>
                <w:spacing w:val="-4"/>
                <w:sz w:val="20"/>
                <w:szCs w:val="20"/>
                <w:lang w:val="pt-BR"/>
              </w:rPr>
              <w:t xml:space="preserve"> </w:t>
            </w:r>
            <w:r w:rsidRPr="00537112">
              <w:rPr>
                <w:rFonts w:cs="Verdana"/>
                <w:sz w:val="20"/>
                <w:szCs w:val="20"/>
                <w:lang w:val="pt-BR"/>
              </w:rPr>
              <w:t>C</w:t>
            </w:r>
            <w:r w:rsidRPr="00537112">
              <w:rPr>
                <w:rFonts w:cs="Verdana"/>
                <w:spacing w:val="1"/>
                <w:sz w:val="20"/>
                <w:szCs w:val="20"/>
                <w:lang w:val="pt-BR"/>
              </w:rPr>
              <w:t>u</w:t>
            </w:r>
            <w:r w:rsidRPr="00537112">
              <w:rPr>
                <w:rFonts w:cs="Verdana"/>
                <w:sz w:val="20"/>
                <w:szCs w:val="20"/>
                <w:lang w:val="pt-BR"/>
              </w:rPr>
              <w:t>x</w:t>
            </w:r>
            <w:r w:rsidRPr="00537112">
              <w:rPr>
                <w:rFonts w:cs="Verdana"/>
                <w:spacing w:val="1"/>
                <w:sz w:val="20"/>
                <w:szCs w:val="20"/>
                <w:lang w:val="pt-BR"/>
              </w:rPr>
              <w:t>u</w:t>
            </w:r>
            <w:r w:rsidRPr="00537112">
              <w:rPr>
                <w:rFonts w:cs="Verdana"/>
                <w:sz w:val="20"/>
                <w:szCs w:val="20"/>
                <w:lang w:val="pt-BR"/>
              </w:rPr>
              <w:t>m</w:t>
            </w:r>
            <w:r w:rsidRPr="00537112">
              <w:rPr>
                <w:rFonts w:cs="Verdana"/>
                <w:spacing w:val="-7"/>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z w:val="20"/>
                <w:szCs w:val="20"/>
                <w:lang w:val="pt-BR"/>
              </w:rPr>
              <w:t>C</w:t>
            </w:r>
            <w:r w:rsidRPr="00537112">
              <w:rPr>
                <w:rFonts w:cs="Verdana"/>
                <w:spacing w:val="-1"/>
                <w:sz w:val="20"/>
                <w:szCs w:val="20"/>
                <w:lang w:val="pt-BR"/>
              </w:rPr>
              <w:t>r</w:t>
            </w:r>
            <w:r w:rsidRPr="00537112">
              <w:rPr>
                <w:rFonts w:cs="Verdana"/>
                <w:spacing w:val="1"/>
                <w:sz w:val="20"/>
                <w:szCs w:val="20"/>
                <w:lang w:val="pt-BR"/>
              </w:rPr>
              <w:t>u</w:t>
            </w:r>
            <w:r w:rsidRPr="00537112">
              <w:rPr>
                <w:rFonts w:cs="Verdana"/>
                <w:sz w:val="20"/>
                <w:szCs w:val="20"/>
                <w:lang w:val="pt-BR"/>
              </w:rPr>
              <w:t>z</w:t>
            </w:r>
            <w:r w:rsidRPr="00537112">
              <w:rPr>
                <w:rFonts w:cs="Verdana"/>
                <w:spacing w:val="-5"/>
                <w:sz w:val="20"/>
                <w:szCs w:val="20"/>
                <w:lang w:val="pt-BR"/>
              </w:rPr>
              <w:t xml:space="preserve"> </w:t>
            </w:r>
            <w:r w:rsidRPr="00537112">
              <w:rPr>
                <w:rFonts w:cs="Verdana"/>
                <w:spacing w:val="1"/>
                <w:sz w:val="20"/>
                <w:szCs w:val="20"/>
                <w:lang w:val="pt-BR"/>
              </w:rPr>
              <w:t>S</w:t>
            </w:r>
            <w:r w:rsidRPr="00537112">
              <w:rPr>
                <w:rFonts w:cs="Verdana"/>
                <w:spacing w:val="3"/>
                <w:sz w:val="20"/>
                <w:szCs w:val="20"/>
                <w:lang w:val="pt-BR"/>
              </w:rPr>
              <w:t>i</w:t>
            </w:r>
            <w:r w:rsidRPr="00537112">
              <w:rPr>
                <w:rFonts w:cs="Verdana"/>
                <w:sz w:val="20"/>
                <w:szCs w:val="20"/>
                <w:lang w:val="pt-BR"/>
              </w:rPr>
              <w:t>c</w:t>
            </w:r>
            <w:r w:rsidRPr="00537112">
              <w:rPr>
                <w:rFonts w:cs="Verdana"/>
                <w:spacing w:val="-4"/>
                <w:sz w:val="20"/>
                <w:szCs w:val="20"/>
                <w:lang w:val="pt-BR"/>
              </w:rPr>
              <w:t xml:space="preserve"> </w:t>
            </w:r>
            <w:r w:rsidRPr="00537112">
              <w:rPr>
                <w:rFonts w:cs="Verdana"/>
                <w:sz w:val="20"/>
                <w:szCs w:val="20"/>
                <w:lang w:val="pt-BR"/>
              </w:rPr>
              <w:t>C</w:t>
            </w:r>
            <w:r w:rsidRPr="00537112">
              <w:rPr>
                <w:rFonts w:cs="Verdana"/>
                <w:spacing w:val="1"/>
                <w:sz w:val="20"/>
                <w:szCs w:val="20"/>
                <w:lang w:val="pt-BR"/>
              </w:rPr>
              <w:t>u</w:t>
            </w:r>
            <w:r w:rsidRPr="00537112">
              <w:rPr>
                <w:rFonts w:cs="Verdana"/>
                <w:sz w:val="20"/>
                <w:szCs w:val="20"/>
                <w:lang w:val="pt-BR"/>
              </w:rPr>
              <w:t>x</w:t>
            </w:r>
            <w:r w:rsidRPr="00537112">
              <w:rPr>
                <w:rFonts w:cs="Verdana"/>
                <w:spacing w:val="1"/>
                <w:sz w:val="20"/>
                <w:szCs w:val="20"/>
                <w:lang w:val="pt-BR"/>
              </w:rPr>
              <w:t>ún)</w:t>
            </w:r>
            <w:r w:rsidRPr="00537112">
              <w:rPr>
                <w:rFonts w:cs="Verdana"/>
                <w:sz w:val="20"/>
                <w:szCs w:val="20"/>
                <w:lang w:val="pt-BR"/>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5D2E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3EC2A6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04526FCA"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E960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C2B95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10CAF1"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1</w:t>
            </w:r>
            <w:r w:rsidRPr="00537112">
              <w:rPr>
                <w:rFonts w:cs="Verdana"/>
                <w:spacing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22467710"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or</w:t>
            </w:r>
            <w:r w:rsidRPr="00537112">
              <w:rPr>
                <w:rFonts w:cs="Verdana"/>
                <w:spacing w:val="3"/>
                <w:sz w:val="20"/>
                <w:szCs w:val="20"/>
              </w:rPr>
              <w:t>i</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S</w:t>
            </w:r>
            <w:r w:rsidRPr="00537112">
              <w:rPr>
                <w:rFonts w:cs="Verdana"/>
                <w:spacing w:val="3"/>
                <w:sz w:val="20"/>
                <w:szCs w:val="20"/>
              </w:rPr>
              <w:t>ic</w:t>
            </w:r>
          </w:p>
        </w:tc>
      </w:tr>
      <w:tr w:rsidR="00537112" w:rsidRPr="00537112" w14:paraId="3263200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975D17"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DB2AD9"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907AB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6649A5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Dav</w:t>
            </w:r>
            <w:r w:rsidRPr="00537112">
              <w:rPr>
                <w:rFonts w:cs="Verdana"/>
                <w:spacing w:val="3"/>
                <w:position w:val="-1"/>
                <w:sz w:val="20"/>
                <w:szCs w:val="20"/>
              </w:rPr>
              <w:t>i</w:t>
            </w:r>
            <w:r w:rsidRPr="00537112">
              <w:rPr>
                <w:rFonts w:cs="Verdana"/>
                <w:position w:val="-1"/>
                <w:sz w:val="20"/>
                <w:szCs w:val="20"/>
              </w:rPr>
              <w:t>d</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680B749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FD146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A7924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4787E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2D8BD2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6BB0A5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84E0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6A1D2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2552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67E427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26675EB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089A0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E00F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BF34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424684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238CBBF7"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6A9116E"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7F0E945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D5D65E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31A633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65E4121"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26</w:t>
            </w:r>
          </w:p>
        </w:tc>
        <w:tc>
          <w:tcPr>
            <w:tcW w:w="3958" w:type="dxa"/>
            <w:vMerge w:val="restart"/>
            <w:tcBorders>
              <w:top w:val="single" w:sz="8" w:space="0" w:color="000000"/>
              <w:left w:val="single" w:sz="8" w:space="0" w:color="000000"/>
              <w:bottom w:val="single" w:sz="8" w:space="0" w:color="000000"/>
              <w:right w:val="single" w:sz="8" w:space="0" w:color="000000"/>
            </w:tcBorders>
          </w:tcPr>
          <w:p w14:paraId="38F54F47"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35EF2AC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349529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EF3129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E1D4EF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J</w:t>
            </w:r>
            <w:r w:rsidRPr="00537112">
              <w:rPr>
                <w:rFonts w:cs="Verdana"/>
                <w:spacing w:val="-1"/>
                <w:sz w:val="20"/>
                <w:szCs w:val="20"/>
              </w:rPr>
              <w:t>eró</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m</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56A92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147690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g</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6D3B7D1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13C2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617C0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8341E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1279FF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o</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H</w:t>
            </w:r>
            <w:r w:rsidRPr="00537112">
              <w:rPr>
                <w:rFonts w:cs="Verdana"/>
                <w:spacing w:val="1"/>
                <w:position w:val="-1"/>
                <w:sz w:val="20"/>
                <w:szCs w:val="20"/>
              </w:rPr>
              <w:t>umb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p>
        </w:tc>
      </w:tr>
      <w:tr w:rsidR="00537112" w:rsidRPr="00537112" w14:paraId="126963F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3A47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E14D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6FB2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1A24D7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106411B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2DB0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CFBB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35A05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5F81C4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3"/>
                <w:position w:val="-1"/>
                <w:sz w:val="20"/>
                <w:szCs w:val="20"/>
              </w:rPr>
              <w:t>i</w:t>
            </w:r>
            <w:r w:rsidRPr="00537112">
              <w:rPr>
                <w:rFonts w:cs="Verdana"/>
                <w:spacing w:val="1"/>
                <w:position w:val="-1"/>
                <w:sz w:val="20"/>
                <w:szCs w:val="20"/>
              </w:rPr>
              <w:t>nt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p>
        </w:tc>
      </w:tr>
      <w:tr w:rsidR="00537112" w:rsidRPr="00537112" w14:paraId="7C4C91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08A1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83BB1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52454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6DBCBA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w:t>
            </w:r>
            <w:r w:rsidRPr="00537112">
              <w:rPr>
                <w:rFonts w:cs="Verdana"/>
                <w:position w:val="-1"/>
                <w:sz w:val="20"/>
                <w:szCs w:val="20"/>
              </w:rPr>
              <w:t>o</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úz</w:t>
            </w:r>
            <w:r w:rsidRPr="00537112">
              <w:rPr>
                <w:rFonts w:cs="Verdana"/>
                <w:position w:val="-1"/>
                <w:sz w:val="20"/>
                <w:szCs w:val="20"/>
              </w:rPr>
              <w:t>)</w:t>
            </w:r>
          </w:p>
        </w:tc>
      </w:tr>
      <w:tr w:rsidR="00537112" w:rsidRPr="00537112" w14:paraId="0131EEE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77C2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D784B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ED77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031CC1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crec</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40D3244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A745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31C5C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2273D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5666CC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6517CB03"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24C416"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083749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E1C43E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27</w:t>
            </w:r>
          </w:p>
        </w:tc>
        <w:tc>
          <w:tcPr>
            <w:tcW w:w="3958" w:type="dxa"/>
            <w:vMerge w:val="restart"/>
            <w:tcBorders>
              <w:top w:val="single" w:sz="8" w:space="0" w:color="000000"/>
              <w:left w:val="single" w:sz="8" w:space="0" w:color="000000"/>
              <w:bottom w:val="single" w:sz="8" w:space="0" w:color="000000"/>
              <w:right w:val="single" w:sz="8" w:space="0" w:color="000000"/>
            </w:tcBorders>
          </w:tcPr>
          <w:p w14:paraId="6D650114"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6E73D2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021AF6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Gre</w:t>
            </w:r>
            <w:r w:rsidRPr="00537112">
              <w:rPr>
                <w:rFonts w:cs="Verdana"/>
                <w:spacing w:val="1"/>
                <w:sz w:val="20"/>
                <w:szCs w:val="20"/>
              </w:rPr>
              <w:t>g</w:t>
            </w:r>
            <w:r w:rsidRPr="00537112">
              <w:rPr>
                <w:rFonts w:cs="Verdana"/>
                <w:spacing w:val="-1"/>
                <w:sz w:val="20"/>
                <w:szCs w:val="20"/>
              </w:rPr>
              <w:t>or</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52B8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2B833F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í</w:t>
            </w:r>
            <w:r w:rsidRPr="00537112">
              <w:rPr>
                <w:rFonts w:cs="Verdana"/>
                <w:spacing w:val="-1"/>
                <w:position w:val="-1"/>
                <w:sz w:val="20"/>
                <w:szCs w:val="20"/>
              </w:rPr>
              <w:t>c</w:t>
            </w:r>
            <w:r w:rsidRPr="00537112">
              <w:rPr>
                <w:rFonts w:cs="Verdana"/>
                <w:position w:val="-1"/>
                <w:sz w:val="20"/>
                <w:szCs w:val="20"/>
              </w:rPr>
              <w:t>o</w:t>
            </w:r>
          </w:p>
        </w:tc>
      </w:tr>
      <w:tr w:rsidR="00537112" w:rsidRPr="00537112" w14:paraId="5F50F06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D42F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387D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2C58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754B28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i</w:t>
            </w:r>
            <w:r w:rsidRPr="00537112">
              <w:rPr>
                <w:rFonts w:cs="Verdana"/>
                <w:spacing w:val="-1"/>
                <w:position w:val="-1"/>
                <w:sz w:val="20"/>
                <w:szCs w:val="20"/>
              </w:rPr>
              <w:t>co</w:t>
            </w:r>
          </w:p>
        </w:tc>
      </w:tr>
      <w:tr w:rsidR="00537112" w:rsidRPr="00537112" w14:paraId="57801A8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22B5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1A13C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8EE5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31F678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o</w:t>
            </w:r>
          </w:p>
        </w:tc>
      </w:tr>
      <w:tr w:rsidR="00537112" w:rsidRPr="00537112" w14:paraId="54DB091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8858D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68A6C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737C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547CDA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Ab</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í</w:t>
            </w:r>
            <w:r w:rsidRPr="00537112">
              <w:rPr>
                <w:rFonts w:cs="Verdana"/>
                <w:spacing w:val="-1"/>
                <w:position w:val="-1"/>
                <w:sz w:val="20"/>
                <w:szCs w:val="20"/>
              </w:rPr>
              <w:t>c</w:t>
            </w:r>
            <w:r w:rsidRPr="00537112">
              <w:rPr>
                <w:rFonts w:cs="Verdana"/>
                <w:position w:val="-1"/>
                <w:sz w:val="20"/>
                <w:szCs w:val="20"/>
              </w:rPr>
              <w:t>o</w:t>
            </w:r>
          </w:p>
        </w:tc>
      </w:tr>
      <w:tr w:rsidR="00537112" w:rsidRPr="00537112" w14:paraId="74D54DEE" w14:textId="77777777" w:rsidTr="00630EEC">
        <w:trPr>
          <w:trHeight w:hRule="exact" w:val="247"/>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71F83AE0" w14:textId="77777777" w:rsidR="00537112" w:rsidRPr="00537112" w:rsidRDefault="00537112" w:rsidP="00537112">
            <w:pPr>
              <w:autoSpaceDE w:val="0"/>
              <w:autoSpaceDN w:val="0"/>
              <w:spacing w:before="6" w:line="140" w:lineRule="exact"/>
              <w:jc w:val="left"/>
              <w:textAlignment w:val="auto"/>
              <w:rPr>
                <w:rFonts w:ascii="Times New Roman" w:hAnsi="Times New Roman"/>
                <w:sz w:val="14"/>
                <w:szCs w:val="14"/>
              </w:rPr>
            </w:pPr>
          </w:p>
          <w:p w14:paraId="5AF791D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6A1F53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E49F7B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6B1A13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782A48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9EFB2C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AB4CC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ADFE4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F00F7A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328D5C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09DD13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16F0A7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BF20E0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0116B0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744AE4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28</w:t>
            </w:r>
          </w:p>
        </w:tc>
        <w:tc>
          <w:tcPr>
            <w:tcW w:w="3958" w:type="dxa"/>
            <w:vMerge w:val="restart"/>
            <w:tcBorders>
              <w:top w:val="single" w:sz="8" w:space="0" w:color="000000"/>
              <w:left w:val="single" w:sz="8" w:space="0" w:color="000000"/>
              <w:bottom w:val="nil"/>
              <w:right w:val="single" w:sz="8" w:space="0" w:color="000000"/>
            </w:tcBorders>
          </w:tcPr>
          <w:p w14:paraId="70DE0053" w14:textId="77777777" w:rsidR="00537112" w:rsidRPr="00537112" w:rsidRDefault="00537112" w:rsidP="00537112">
            <w:pPr>
              <w:autoSpaceDE w:val="0"/>
              <w:autoSpaceDN w:val="0"/>
              <w:spacing w:before="6" w:line="140" w:lineRule="exact"/>
              <w:jc w:val="left"/>
              <w:textAlignment w:val="auto"/>
              <w:rPr>
                <w:rFonts w:ascii="Times New Roman" w:hAnsi="Times New Roman"/>
                <w:sz w:val="14"/>
                <w:szCs w:val="14"/>
              </w:rPr>
            </w:pPr>
          </w:p>
          <w:p w14:paraId="0FBF750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EF85CC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90C786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E745BD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0F41F1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058D8D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82BD9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1B11B4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26F8A0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C0FA46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F221C0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A99AC2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46F3BC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A5402D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3FD3CD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3"/>
                <w:sz w:val="20"/>
                <w:szCs w:val="20"/>
              </w:rPr>
              <w:t>i</w:t>
            </w:r>
            <w:r w:rsidRPr="00537112">
              <w:rPr>
                <w:rFonts w:cs="Verdana"/>
                <w:spacing w:val="1"/>
                <w:sz w:val="20"/>
                <w:szCs w:val="20"/>
              </w:rPr>
              <w:t>m</w:t>
            </w:r>
            <w:r w:rsidRPr="00537112">
              <w:rPr>
                <w:rFonts w:cs="Verdana"/>
                <w:spacing w:val="-1"/>
                <w:sz w:val="20"/>
                <w:szCs w:val="20"/>
              </w:rPr>
              <w:t>o</w:t>
            </w:r>
            <w:r w:rsidRPr="00537112">
              <w:rPr>
                <w:rFonts w:cs="Verdana"/>
                <w:spacing w:val="1"/>
                <w:sz w:val="20"/>
                <w:szCs w:val="20"/>
              </w:rPr>
              <w:t>t</w:t>
            </w:r>
            <w:r w:rsidRPr="00537112">
              <w:rPr>
                <w:rFonts w:cs="Verdana"/>
                <w:spacing w:val="-1"/>
                <w:sz w:val="20"/>
                <w:szCs w:val="20"/>
              </w:rPr>
              <w:t>e</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uj</w:t>
            </w:r>
            <w:r w:rsidRPr="00537112">
              <w:rPr>
                <w:rFonts w:cs="Verdana"/>
                <w:sz w:val="20"/>
                <w:szCs w:val="20"/>
              </w:rPr>
              <w:t>á</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138B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79E22C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And</w:t>
            </w:r>
            <w:r w:rsidRPr="00537112">
              <w:rPr>
                <w:rFonts w:cs="Verdana"/>
                <w:spacing w:val="-1"/>
                <w:position w:val="-1"/>
                <w:sz w:val="20"/>
                <w:szCs w:val="20"/>
              </w:rPr>
              <w:t>re</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r>
      <w:tr w:rsidR="00537112" w:rsidRPr="00537112" w14:paraId="59C08A56"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61BA2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5D4004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BE878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2064E5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570DC1A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4A87E5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5A85CE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5B05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70F3E1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es</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48FBD03E"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45CC2A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4478AF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E013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0350AC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2E03FEC0"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7F70AA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05CEC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EE96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071E3C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43115A98"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A50D6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A319E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92AC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41DFD5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4EF2C0F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0BCD4C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5DEFC4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23FC8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7403C0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323926A2"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1E2D2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05B526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8DE3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0B6163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3C6EED8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58BDF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720388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97D7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3829F3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01833BA6"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069C57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6C447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05E7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349635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65BA2FC2"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2293EE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02507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ACAF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46D49D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1"/>
                <w:position w:val="-1"/>
                <w:sz w:val="20"/>
                <w:szCs w:val="20"/>
              </w:rPr>
              <w:t>s</w:t>
            </w:r>
            <w:r w:rsidRPr="00537112">
              <w:rPr>
                <w:rFonts w:cs="Verdana"/>
                <w:spacing w:val="1"/>
                <w:position w:val="-1"/>
                <w:sz w:val="20"/>
                <w:szCs w:val="20"/>
              </w:rPr>
              <w:t>un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ó</w:t>
            </w:r>
            <w:r w:rsidRPr="00537112">
              <w:rPr>
                <w:rFonts w:cs="Verdana"/>
                <w:position w:val="-1"/>
                <w:sz w:val="20"/>
                <w:szCs w:val="20"/>
              </w:rPr>
              <w:t>n</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0F9F1AB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2C70F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19BBBB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210A4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63780D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7B768C5"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5D1D4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DC769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2512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7755F5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79B349EA"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123B15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7FB1B1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F2FF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2B4B10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6A78FA7A"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E2780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7C7E8C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E51A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793E6A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2FF1B5BD"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E2DF9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04CB91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904E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0B1497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26DB66ED"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6D5EC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7D43B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F67E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02558B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5102E658"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4A0863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ECE8E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2F25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4CBEDB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6845B0A1"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774B91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91A3C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98D2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77D959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Max</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31BCFBD8"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495EF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171A60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0354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1CDEFD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m</w:t>
            </w:r>
            <w:r w:rsidRPr="00537112">
              <w:rPr>
                <w:rFonts w:cs="Verdana"/>
                <w:spacing w:val="-1"/>
                <w:position w:val="-1"/>
                <w:sz w:val="20"/>
                <w:szCs w:val="20"/>
              </w:rPr>
              <w:t>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18E121EC"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A1666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085535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F4F4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1B5EA4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7974FA09"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0FDF2B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7F9D8C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1D8C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3A9822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bl>
    <w:p w14:paraId="17A92807"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4F7158A7"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1B3352DE" w14:textId="77777777" w:rsidTr="00630EEC">
        <w:trPr>
          <w:trHeight w:hRule="exact" w:val="247"/>
        </w:trPr>
        <w:tc>
          <w:tcPr>
            <w:tcW w:w="977" w:type="dxa"/>
            <w:vMerge w:val="restart"/>
            <w:tcBorders>
              <w:top w:val="nil"/>
              <w:left w:val="single" w:sz="8" w:space="0" w:color="000000"/>
              <w:bottom w:val="single" w:sz="8" w:space="0" w:color="000000"/>
              <w:right w:val="single" w:sz="8" w:space="0" w:color="000000"/>
            </w:tcBorders>
            <w:shd w:val="clear" w:color="auto" w:fill="BFBFBF" w:themeFill="background1" w:themeFillShade="BF"/>
          </w:tcPr>
          <w:p w14:paraId="4A62DCC7"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3958" w:type="dxa"/>
            <w:vMerge w:val="restart"/>
            <w:tcBorders>
              <w:top w:val="nil"/>
              <w:left w:val="single" w:sz="8" w:space="0" w:color="000000"/>
              <w:bottom w:val="single" w:sz="8" w:space="0" w:color="000000"/>
              <w:right w:val="single" w:sz="8" w:space="0" w:color="000000"/>
            </w:tcBorders>
          </w:tcPr>
          <w:p w14:paraId="4DBC9D87"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F418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4A64E1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4DF5C340"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1AFEC3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3A8C95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598E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0CC3C8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5D73B401"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68504F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6C06FF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7A15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5D88A0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292D705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CD7609"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773611C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29</w:t>
            </w:r>
          </w:p>
        </w:tc>
        <w:tc>
          <w:tcPr>
            <w:tcW w:w="3958" w:type="dxa"/>
            <w:vMerge w:val="restart"/>
            <w:tcBorders>
              <w:top w:val="single" w:sz="8" w:space="0" w:color="000000"/>
              <w:left w:val="single" w:sz="8" w:space="0" w:color="000000"/>
              <w:bottom w:val="single" w:sz="8" w:space="0" w:color="000000"/>
              <w:right w:val="single" w:sz="8" w:space="0" w:color="000000"/>
            </w:tcBorders>
          </w:tcPr>
          <w:p w14:paraId="70550FAD"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0A4760F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é</w:t>
            </w:r>
            <w:r w:rsidRPr="00537112">
              <w:rPr>
                <w:rFonts w:cs="Verdana"/>
                <w:sz w:val="20"/>
                <w:szCs w:val="20"/>
              </w:rPr>
              <w:t>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5F22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2FCB66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Su</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w:t>
            </w:r>
            <w:r w:rsidRPr="00537112">
              <w:rPr>
                <w:rFonts w:cs="Verdana"/>
                <w:position w:val="-1"/>
                <w:sz w:val="20"/>
                <w:szCs w:val="20"/>
              </w:rPr>
              <w:t>l</w:t>
            </w:r>
          </w:p>
        </w:tc>
      </w:tr>
      <w:tr w:rsidR="00537112" w:rsidRPr="00537112" w14:paraId="15B51CE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F3B1C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9C83B1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8EDE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61019B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3736014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022FA4C"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8E925C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35B19E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8FDD896"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30</w:t>
            </w:r>
          </w:p>
        </w:tc>
        <w:tc>
          <w:tcPr>
            <w:tcW w:w="3958" w:type="dxa"/>
            <w:vMerge w:val="restart"/>
            <w:tcBorders>
              <w:top w:val="single" w:sz="8" w:space="0" w:color="000000"/>
              <w:left w:val="single" w:sz="8" w:space="0" w:color="000000"/>
              <w:bottom w:val="single" w:sz="8" w:space="0" w:color="000000"/>
              <w:right w:val="single" w:sz="8" w:space="0" w:color="000000"/>
            </w:tcBorders>
          </w:tcPr>
          <w:p w14:paraId="7D6ABD44"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02EBE48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EAB98A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80C886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Ant</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D8BA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0C83CC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0F1A6DB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DCD6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3096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1BEF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2DCC3B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er</w:t>
            </w:r>
            <w:r w:rsidRPr="00537112">
              <w:rPr>
                <w:rFonts w:cs="Verdana"/>
                <w:spacing w:val="1"/>
                <w:position w:val="-1"/>
                <w:sz w:val="20"/>
                <w:szCs w:val="20"/>
              </w:rPr>
              <w:t>g</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L</w:t>
            </w:r>
            <w:r w:rsidRPr="00537112">
              <w:rPr>
                <w:rFonts w:cs="Verdana"/>
                <w:position w:val="-1"/>
                <w:sz w:val="20"/>
                <w:szCs w:val="20"/>
              </w:rPr>
              <w:t>y</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507866F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F091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F190A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AC1F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6C493B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es</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Augu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37231F5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12BA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7AE71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FF4C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2D2D1F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1"/>
                <w:position w:val="-1"/>
                <w:sz w:val="20"/>
                <w:szCs w:val="20"/>
              </w:rPr>
              <w:t>e</w:t>
            </w:r>
            <w:r w:rsidRPr="00537112">
              <w:rPr>
                <w:rFonts w:cs="Verdana"/>
                <w:spacing w:val="3"/>
                <w:position w:val="-1"/>
                <w:sz w:val="20"/>
                <w:szCs w:val="20"/>
              </w:rPr>
              <w:t>lí</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ug</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2D54E13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76C4E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6D439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C5BD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2AF5A8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il</w:t>
            </w:r>
            <w:r w:rsidRPr="00537112">
              <w:rPr>
                <w:rFonts w:cs="Verdana"/>
                <w:position w:val="-1"/>
                <w:sz w:val="20"/>
                <w:szCs w:val="20"/>
              </w:rPr>
              <w:t>ú</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22F31BD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5007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542F0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40027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54E9A8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Les</w:t>
            </w:r>
            <w:r w:rsidRPr="00537112">
              <w:rPr>
                <w:rFonts w:cs="Verdana"/>
                <w:position w:val="-1"/>
                <w:sz w:val="20"/>
                <w:szCs w:val="20"/>
              </w:rPr>
              <w:t>v</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N</w:t>
            </w:r>
            <w:r w:rsidRPr="00537112">
              <w:rPr>
                <w:rFonts w:cs="Verdana"/>
                <w:spacing w:val="-1"/>
                <w:position w:val="-1"/>
                <w:sz w:val="20"/>
                <w:szCs w:val="20"/>
              </w:rPr>
              <w:t>o</w:t>
            </w:r>
            <w:r w:rsidRPr="00537112">
              <w:rPr>
                <w:rFonts w:cs="Verdana"/>
                <w:spacing w:val="1"/>
                <w:position w:val="-1"/>
                <w:sz w:val="20"/>
                <w:szCs w:val="20"/>
              </w:rPr>
              <w:t>h</w:t>
            </w:r>
            <w:r w:rsidRPr="00537112">
              <w:rPr>
                <w:rFonts w:cs="Verdana"/>
                <w:spacing w:val="-1"/>
                <w:position w:val="-1"/>
                <w:sz w:val="20"/>
                <w:szCs w:val="20"/>
              </w:rPr>
              <w:t>e</w:t>
            </w:r>
            <w:r w:rsidRPr="00537112">
              <w:rPr>
                <w:rFonts w:cs="Verdana"/>
                <w:spacing w:val="1"/>
                <w:position w:val="-1"/>
                <w:sz w:val="20"/>
                <w:szCs w:val="20"/>
              </w:rPr>
              <w:t>m</w:t>
            </w:r>
            <w:r w:rsidRPr="00537112">
              <w:rPr>
                <w:rFonts w:cs="Verdana"/>
                <w:position w:val="-1"/>
                <w:sz w:val="20"/>
                <w:szCs w:val="20"/>
              </w:rPr>
              <w:t>y</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799353F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37F9D95"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31CD49D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B96F92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9E20A0A"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31</w:t>
            </w:r>
          </w:p>
        </w:tc>
        <w:tc>
          <w:tcPr>
            <w:tcW w:w="3958" w:type="dxa"/>
            <w:vMerge w:val="restart"/>
            <w:tcBorders>
              <w:top w:val="single" w:sz="8" w:space="0" w:color="000000"/>
              <w:left w:val="single" w:sz="8" w:space="0" w:color="000000"/>
              <w:bottom w:val="single" w:sz="8" w:space="0" w:color="000000"/>
              <w:right w:val="single" w:sz="8" w:space="0" w:color="000000"/>
            </w:tcBorders>
          </w:tcPr>
          <w:p w14:paraId="4FA8018A"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7B4FF82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5EFD50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CC0D8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fo</w:t>
            </w:r>
            <w:r w:rsidRPr="00537112">
              <w:rPr>
                <w:rFonts w:cs="Verdana"/>
                <w:spacing w:val="1"/>
                <w:sz w:val="20"/>
                <w:szCs w:val="20"/>
              </w:rPr>
              <w:t>nz</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r</w:t>
            </w:r>
            <w:r w:rsidRPr="00537112">
              <w:rPr>
                <w:rFonts w:cs="Verdana"/>
                <w:spacing w:val="1"/>
                <w:sz w:val="20"/>
                <w:szCs w:val="20"/>
              </w:rPr>
              <w:t>ú</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B3030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62B29F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Lore</w:t>
            </w:r>
            <w:r w:rsidRPr="00537112">
              <w:rPr>
                <w:rFonts w:cs="Verdana"/>
                <w:spacing w:val="1"/>
                <w:position w:val="-1"/>
                <w:sz w:val="20"/>
                <w:szCs w:val="20"/>
              </w:rPr>
              <w:t>nz</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úz</w:t>
            </w:r>
          </w:p>
        </w:tc>
      </w:tr>
      <w:tr w:rsidR="00537112" w:rsidRPr="00537112" w14:paraId="20F7AD6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098A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D203F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91F09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36BA37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Yx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co</w:t>
            </w:r>
            <w:r w:rsidRPr="00537112">
              <w:rPr>
                <w:rFonts w:cs="Verdana"/>
                <w:position w:val="-1"/>
                <w:sz w:val="20"/>
                <w:szCs w:val="20"/>
              </w:rPr>
              <w:t>c</w:t>
            </w:r>
          </w:p>
        </w:tc>
      </w:tr>
      <w:tr w:rsidR="00537112" w:rsidRPr="00537112" w14:paraId="265CBC9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8C477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432DC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E3221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544CEE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Gre</w:t>
            </w:r>
            <w:r w:rsidRPr="00537112">
              <w:rPr>
                <w:rFonts w:cs="Verdana"/>
                <w:spacing w:val="1"/>
                <w:position w:val="-1"/>
                <w:sz w:val="20"/>
                <w:szCs w:val="20"/>
              </w:rPr>
              <w:t>g</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2936995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EBC58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A9670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87714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3B4A37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1C06C5C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A5B1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A73B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B18A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051BF1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il</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085D74F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DEA3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A3E21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A554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0DB233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Ge</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6882C21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45D934F"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14E8F42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7EC17D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75BADD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328A197"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32</w:t>
            </w:r>
          </w:p>
        </w:tc>
        <w:tc>
          <w:tcPr>
            <w:tcW w:w="3958" w:type="dxa"/>
            <w:vMerge w:val="restart"/>
            <w:tcBorders>
              <w:top w:val="single" w:sz="8" w:space="0" w:color="000000"/>
              <w:left w:val="single" w:sz="8" w:space="0" w:color="000000"/>
              <w:bottom w:val="single" w:sz="8" w:space="0" w:color="000000"/>
              <w:right w:val="single" w:sz="8" w:space="0" w:color="000000"/>
            </w:tcBorders>
          </w:tcPr>
          <w:p w14:paraId="68CBF632"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73B0BBE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E262BD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96BDE1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34318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o</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ng</w:t>
            </w:r>
            <w:r w:rsidRPr="00537112">
              <w:rPr>
                <w:rFonts w:cs="Verdana"/>
                <w:sz w:val="20"/>
                <w:szCs w:val="20"/>
              </w:rPr>
              <w:t>o</w:t>
            </w:r>
            <w:r w:rsidRPr="00537112">
              <w:rPr>
                <w:rFonts w:cs="Verdana"/>
                <w:spacing w:val="-11"/>
                <w:sz w:val="20"/>
                <w:szCs w:val="20"/>
              </w:rPr>
              <w:t xml:space="preserve"> </w:t>
            </w:r>
            <w:r w:rsidRPr="00537112">
              <w:rPr>
                <w:rFonts w:cs="Verdana"/>
                <w:sz w:val="20"/>
                <w:szCs w:val="20"/>
              </w:rPr>
              <w:t>Ca</w:t>
            </w:r>
            <w:r w:rsidRPr="00537112">
              <w:rPr>
                <w:rFonts w:cs="Verdana"/>
                <w:spacing w:val="1"/>
                <w:sz w:val="20"/>
                <w:szCs w:val="20"/>
              </w:rPr>
              <w:t>hu</w:t>
            </w:r>
            <w:r w:rsidRPr="00537112">
              <w:rPr>
                <w:rFonts w:cs="Verdana"/>
                <w:spacing w:val="-1"/>
                <w:sz w:val="20"/>
                <w:szCs w:val="20"/>
              </w:rPr>
              <w:t>e</w:t>
            </w:r>
            <w:r w:rsidRPr="00537112">
              <w:rPr>
                <w:rFonts w:cs="Verdana"/>
                <w:sz w:val="20"/>
                <w:szCs w:val="20"/>
              </w:rPr>
              <w:t>c</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5C2C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0E2625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0827B8B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5BCA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B6391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BF32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12F2D0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2CEE262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6E705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7C412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1022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7DFEA4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rr</w:t>
            </w:r>
            <w:r w:rsidRPr="00537112">
              <w:rPr>
                <w:rFonts w:cs="Verdana"/>
                <w:position w:val="-1"/>
                <w:sz w:val="20"/>
                <w:szCs w:val="20"/>
              </w:rPr>
              <w:t>a</w:t>
            </w:r>
            <w:r w:rsidRPr="00537112">
              <w:rPr>
                <w:rFonts w:cs="Verdana"/>
                <w:spacing w:val="-1"/>
                <w:position w:val="-1"/>
                <w:sz w:val="20"/>
                <w:szCs w:val="20"/>
              </w:rPr>
              <w:t>e</w:t>
            </w:r>
            <w:r w:rsidRPr="00537112">
              <w:rPr>
                <w:rFonts w:cs="Verdana"/>
                <w:position w:val="-1"/>
                <w:sz w:val="20"/>
                <w:szCs w:val="20"/>
              </w:rPr>
              <w:t>l</w:t>
            </w:r>
            <w:r w:rsidRPr="00537112">
              <w:rPr>
                <w:rFonts w:cs="Verdana"/>
                <w:spacing w:val="-3"/>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é</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5539D4B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73A4F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1271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A026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3BFF89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s</w:t>
            </w:r>
            <w:r w:rsidRPr="00537112">
              <w:rPr>
                <w:rFonts w:cs="Verdana"/>
                <w:spacing w:val="3"/>
                <w:position w:val="-1"/>
                <w:sz w:val="20"/>
                <w:szCs w:val="20"/>
              </w:rPr>
              <w:t>i</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7057A37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6A19F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161C4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CE49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0AD6DF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7935EE7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D27C9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A71C9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47FA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666CDB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79671AE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0B51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E2F8F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A77A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5102F4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1E49A2E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7F5FE5"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488E772F"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33</w:t>
            </w:r>
          </w:p>
        </w:tc>
        <w:tc>
          <w:tcPr>
            <w:tcW w:w="3958" w:type="dxa"/>
            <w:vMerge w:val="restart"/>
            <w:tcBorders>
              <w:top w:val="single" w:sz="8" w:space="0" w:color="000000"/>
              <w:left w:val="single" w:sz="8" w:space="0" w:color="000000"/>
              <w:bottom w:val="single" w:sz="8" w:space="0" w:color="000000"/>
              <w:right w:val="single" w:sz="8" w:space="0" w:color="000000"/>
            </w:tcBorders>
          </w:tcPr>
          <w:p w14:paraId="1C7F193F"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52F8513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z w:val="20"/>
                <w:szCs w:val="20"/>
              </w:rPr>
              <w:t>a</w:t>
            </w:r>
            <w:r w:rsidRPr="00537112">
              <w:rPr>
                <w:rFonts w:cs="Verdana"/>
                <w:spacing w:val="1"/>
                <w:sz w:val="20"/>
                <w:szCs w:val="20"/>
              </w:rPr>
              <w:t>nt</w:t>
            </w:r>
            <w:r w:rsidRPr="00537112">
              <w:rPr>
                <w:rFonts w:cs="Verdana"/>
                <w:spacing w:val="3"/>
                <w:sz w:val="20"/>
                <w:szCs w:val="20"/>
              </w:rPr>
              <w:t>í</w:t>
            </w:r>
            <w:r w:rsidRPr="00537112">
              <w:rPr>
                <w:rFonts w:cs="Verdana"/>
                <w:sz w:val="20"/>
                <w:szCs w:val="20"/>
              </w:rPr>
              <w:t>a</w:t>
            </w:r>
            <w:r w:rsidRPr="00537112">
              <w:rPr>
                <w:rFonts w:cs="Verdana"/>
                <w:spacing w:val="1"/>
                <w:sz w:val="20"/>
                <w:szCs w:val="20"/>
              </w:rPr>
              <w:t>g</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4F8D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55EDC9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r>
      <w:tr w:rsidR="00537112" w:rsidRPr="00537112" w14:paraId="0447CF1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FB15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08678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C3E3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12F962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4B2D09B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E05A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FBF2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87A6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311344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10BA4AE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DA5E2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95A4871"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79A0E30"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34</w:t>
            </w:r>
          </w:p>
        </w:tc>
        <w:tc>
          <w:tcPr>
            <w:tcW w:w="3958" w:type="dxa"/>
            <w:vMerge w:val="restart"/>
            <w:tcBorders>
              <w:top w:val="single" w:sz="8" w:space="0" w:color="000000"/>
              <w:left w:val="single" w:sz="8" w:space="0" w:color="000000"/>
              <w:bottom w:val="single" w:sz="8" w:space="0" w:color="000000"/>
              <w:right w:val="single" w:sz="8" w:space="0" w:color="000000"/>
            </w:tcBorders>
          </w:tcPr>
          <w:p w14:paraId="7C1F19E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032BF23"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5DB8F5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Agu</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í</w:t>
            </w:r>
            <w:r w:rsidRPr="00537112">
              <w:rPr>
                <w:rFonts w:cs="Verdana"/>
                <w:sz w:val="20"/>
                <w:szCs w:val="20"/>
              </w:rPr>
              <w:t>n</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n</w:t>
            </w:r>
            <w:r w:rsidRPr="00537112">
              <w:rPr>
                <w:rFonts w:cs="Verdana"/>
                <w:spacing w:val="-1"/>
                <w:sz w:val="20"/>
                <w:szCs w:val="20"/>
              </w:rPr>
              <w:t>co</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16A6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66EF98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r>
      <w:tr w:rsidR="00537112" w:rsidRPr="00537112" w14:paraId="537E435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5D869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A429E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8D1A1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3D3C75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án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00A497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EAD6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348B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BE034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135006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ef</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5A7CDBA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B10E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48749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088B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53D982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4C45AF9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0276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086CD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9127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41A0AE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60135BAB"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86DE7C8"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B61B8C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EFA6AF6"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35</w:t>
            </w:r>
          </w:p>
        </w:tc>
        <w:tc>
          <w:tcPr>
            <w:tcW w:w="3958" w:type="dxa"/>
            <w:vMerge w:val="restart"/>
            <w:tcBorders>
              <w:top w:val="single" w:sz="8" w:space="0" w:color="000000"/>
              <w:left w:val="single" w:sz="8" w:space="0" w:color="000000"/>
              <w:bottom w:val="single" w:sz="8" w:space="0" w:color="000000"/>
              <w:right w:val="single" w:sz="8" w:space="0" w:color="000000"/>
            </w:tcBorders>
          </w:tcPr>
          <w:p w14:paraId="37E6097A"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F066A4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4291C2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eo</w:t>
            </w:r>
            <w:r w:rsidRPr="00537112">
              <w:rPr>
                <w:rFonts w:cs="Verdana"/>
                <w:spacing w:val="1"/>
                <w:sz w:val="20"/>
                <w:szCs w:val="20"/>
              </w:rPr>
              <w:t>d</w:t>
            </w:r>
            <w:r w:rsidRPr="00537112">
              <w:rPr>
                <w:rFonts w:cs="Verdana"/>
                <w:spacing w:val="-1"/>
                <w:sz w:val="20"/>
                <w:szCs w:val="20"/>
              </w:rPr>
              <w:t>or</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82930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1F356FE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221197A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B08C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F8F1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5EA9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1B9AF0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Y</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1E9044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F41F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B790E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3205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200744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th</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A54CA1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563A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E21C6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D8D2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19011A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position w:val="-1"/>
                <w:sz w:val="20"/>
                <w:szCs w:val="20"/>
              </w:rPr>
              <w:t>v</w:t>
            </w:r>
            <w:r w:rsidRPr="00537112">
              <w:rPr>
                <w:rFonts w:cs="Verdana"/>
                <w:spacing w:val="3"/>
                <w:position w:val="-1"/>
                <w:sz w:val="20"/>
                <w:szCs w:val="20"/>
              </w:rPr>
              <w:t>i</w:t>
            </w:r>
            <w:r w:rsidRPr="00537112">
              <w:rPr>
                <w:rFonts w:cs="Verdana"/>
                <w:position w:val="-1"/>
                <w:sz w:val="20"/>
                <w:szCs w:val="20"/>
              </w:rPr>
              <w:t>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va</w:t>
            </w:r>
            <w:r w:rsidRPr="00537112">
              <w:rPr>
                <w:rFonts w:cs="Verdana"/>
                <w:spacing w:val="1"/>
                <w:position w:val="-1"/>
                <w:sz w:val="20"/>
                <w:szCs w:val="20"/>
              </w:rPr>
              <w:t>n</w:t>
            </w:r>
            <w:r w:rsidRPr="00537112">
              <w:rPr>
                <w:rFonts w:cs="Verdana"/>
                <w:position w:val="-1"/>
                <w:sz w:val="20"/>
                <w:szCs w:val="20"/>
              </w:rPr>
              <w:t>y</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4927CEF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1D9D91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6A2BC3"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0D1D9A9B"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36</w:t>
            </w:r>
          </w:p>
        </w:tc>
        <w:tc>
          <w:tcPr>
            <w:tcW w:w="3958" w:type="dxa"/>
            <w:vMerge w:val="restart"/>
            <w:tcBorders>
              <w:top w:val="single" w:sz="8" w:space="0" w:color="000000"/>
              <w:left w:val="single" w:sz="8" w:space="0" w:color="000000"/>
              <w:bottom w:val="single" w:sz="8" w:space="0" w:color="000000"/>
              <w:right w:val="single" w:sz="8" w:space="0" w:color="000000"/>
            </w:tcBorders>
          </w:tcPr>
          <w:p w14:paraId="43C0F0B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BDF9676"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2B9C21F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u</w:t>
            </w:r>
            <w:r w:rsidRPr="00537112">
              <w:rPr>
                <w:rFonts w:cs="Verdana"/>
                <w:spacing w:val="3"/>
                <w:sz w:val="20"/>
                <w:szCs w:val="20"/>
              </w:rPr>
              <w:t>l</w:t>
            </w:r>
            <w:r w:rsidRPr="00537112">
              <w:rPr>
                <w:rFonts w:cs="Verdana"/>
                <w:spacing w:val="-1"/>
                <w:sz w:val="20"/>
                <w:szCs w:val="20"/>
              </w:rPr>
              <w:t>o</w:t>
            </w:r>
            <w:r w:rsidRPr="00537112">
              <w:rPr>
                <w:rFonts w:cs="Verdana"/>
                <w:spacing w:val="1"/>
                <w:sz w:val="20"/>
                <w:szCs w:val="20"/>
              </w:rPr>
              <w:t>g</w:t>
            </w:r>
            <w:r w:rsidRPr="00537112">
              <w:rPr>
                <w:rFonts w:cs="Verdana"/>
                <w:spacing w:val="3"/>
                <w:sz w:val="20"/>
                <w:szCs w:val="20"/>
              </w:rPr>
              <w:t>i</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r w:rsidRPr="00537112">
              <w:rPr>
                <w:rFonts w:cs="Verdana"/>
                <w:spacing w:val="-9"/>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D070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1A7302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64D772A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3AD5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2838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D0CF8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259875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423D73D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56D0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57A68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0089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53BAD9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7BD74CC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9145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220AC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7C1A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0604A9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u</w:t>
            </w:r>
            <w:r w:rsidRPr="00537112">
              <w:rPr>
                <w:rFonts w:cs="Verdana"/>
                <w:spacing w:val="-1"/>
                <w:position w:val="-1"/>
                <w:sz w:val="20"/>
                <w:szCs w:val="20"/>
              </w:rPr>
              <w:t>r</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1B7A221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A9CA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5BC51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9AB1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1D9C97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27126D0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79D5E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80F855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67C0C1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FE896E3" w14:textId="77777777" w:rsidR="00537112" w:rsidRPr="00537112" w:rsidRDefault="00537112" w:rsidP="00537112">
            <w:pPr>
              <w:autoSpaceDE w:val="0"/>
              <w:autoSpaceDN w:val="0"/>
              <w:spacing w:before="14" w:line="240" w:lineRule="exact"/>
              <w:jc w:val="left"/>
              <w:textAlignment w:val="auto"/>
              <w:rPr>
                <w:rFonts w:ascii="Times New Roman" w:hAnsi="Times New Roman"/>
              </w:rPr>
            </w:pPr>
          </w:p>
          <w:p w14:paraId="58F155B5"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37</w:t>
            </w:r>
          </w:p>
        </w:tc>
        <w:tc>
          <w:tcPr>
            <w:tcW w:w="3958" w:type="dxa"/>
            <w:vMerge w:val="restart"/>
            <w:tcBorders>
              <w:top w:val="single" w:sz="8" w:space="0" w:color="000000"/>
              <w:left w:val="single" w:sz="8" w:space="0" w:color="000000"/>
              <w:bottom w:val="single" w:sz="8" w:space="0" w:color="000000"/>
              <w:right w:val="single" w:sz="8" w:space="0" w:color="000000"/>
            </w:tcBorders>
          </w:tcPr>
          <w:p w14:paraId="3D71F964" w14:textId="77777777" w:rsidR="00537112" w:rsidRPr="00537112" w:rsidRDefault="00537112" w:rsidP="00537112">
            <w:pPr>
              <w:autoSpaceDE w:val="0"/>
              <w:autoSpaceDN w:val="0"/>
              <w:spacing w:before="4" w:line="120" w:lineRule="exact"/>
              <w:jc w:val="left"/>
              <w:textAlignment w:val="auto"/>
              <w:rPr>
                <w:rFonts w:ascii="Times New Roman" w:hAnsi="Times New Roman"/>
                <w:sz w:val="12"/>
                <w:szCs w:val="12"/>
              </w:rPr>
            </w:pPr>
          </w:p>
          <w:p w14:paraId="587935B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D0F674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2FA03E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74B174" w14:textId="77777777" w:rsidR="00537112" w:rsidRPr="00537112" w:rsidRDefault="00537112" w:rsidP="00537112">
            <w:pPr>
              <w:autoSpaceDE w:val="0"/>
              <w:autoSpaceDN w:val="0"/>
              <w:spacing w:line="240" w:lineRule="auto"/>
              <w:ind w:right="-20"/>
              <w:jc w:val="left"/>
              <w:textAlignment w:val="auto"/>
              <w:rPr>
                <w:rFonts w:cs="Verdana"/>
                <w:sz w:val="20"/>
                <w:szCs w:val="20"/>
              </w:rPr>
            </w:pP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p w14:paraId="43C85E45"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w:t>
            </w:r>
            <w:r w:rsidRPr="00537112">
              <w:rPr>
                <w:rFonts w:cs="Verdana"/>
                <w:sz w:val="20"/>
                <w:szCs w:val="20"/>
              </w:rPr>
              <w:t>s</w:t>
            </w:r>
            <w:r w:rsidRPr="00537112">
              <w:rPr>
                <w:rFonts w:cs="Verdana"/>
                <w:spacing w:val="-4"/>
                <w:sz w:val="20"/>
                <w:szCs w:val="20"/>
              </w:rPr>
              <w:t xml:space="preserve"> </w:t>
            </w:r>
            <w:r w:rsidRPr="00537112">
              <w:rPr>
                <w:rFonts w:cs="Verdana"/>
                <w:sz w:val="20"/>
                <w:szCs w:val="20"/>
              </w:rPr>
              <w:t>o</w:t>
            </w:r>
            <w:r w:rsidRPr="00537112">
              <w:rPr>
                <w:rFonts w:cs="Verdana"/>
                <w:spacing w:val="-3"/>
                <w:sz w:val="20"/>
                <w:szCs w:val="20"/>
              </w:rPr>
              <w:t xml:space="preserve"> </w:t>
            </w: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7"/>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s</w:t>
            </w:r>
            <w:r w:rsidRPr="00537112">
              <w:rPr>
                <w:rFonts w:cs="Verdana"/>
                <w:sz w:val="20"/>
                <w:szCs w:val="20"/>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D560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2CE6A3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c</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48AD3A35" w14:textId="77777777" w:rsidTr="00630EEC">
        <w:trPr>
          <w:trHeight w:hRule="exact" w:val="50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EC78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2CA8A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33D0EB"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61E2B03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1</w:t>
            </w:r>
            <w:r w:rsidRPr="00537112">
              <w:rPr>
                <w:rFonts w:cs="Verdana"/>
                <w:spacing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508E4C6C"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7E16B86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ay</w:t>
            </w:r>
            <w:r w:rsidRPr="00537112">
              <w:rPr>
                <w:rFonts w:cs="Verdana"/>
                <w:spacing w:val="1"/>
                <w:sz w:val="20"/>
                <w:szCs w:val="20"/>
              </w:rPr>
              <w:t>mund</w:t>
            </w:r>
            <w:r w:rsidRPr="00537112">
              <w:rPr>
                <w:rFonts w:cs="Verdana"/>
                <w:sz w:val="20"/>
                <w:szCs w:val="20"/>
              </w:rPr>
              <w:t>a</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s</w:t>
            </w:r>
            <w:r w:rsidRPr="00537112">
              <w:rPr>
                <w:rFonts w:cs="Verdana"/>
                <w:spacing w:val="-4"/>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p>
        </w:tc>
      </w:tr>
      <w:tr w:rsidR="00537112" w:rsidRPr="00537112" w14:paraId="53F13EF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9EE79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327214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34C5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368629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r>
      <w:tr w:rsidR="00537112" w:rsidRPr="00537112" w14:paraId="6D325C0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08DB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3CB35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5C549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2CA5BC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w:t>
            </w:r>
            <w:r w:rsidRPr="00537112">
              <w:rPr>
                <w:rFonts w:cs="Verdana"/>
                <w:spacing w:val="1"/>
                <w:position w:val="-1"/>
                <w:sz w:val="20"/>
                <w:szCs w:val="20"/>
              </w:rPr>
              <w:t>nj</w:t>
            </w:r>
            <w:r w:rsidRPr="00537112">
              <w:rPr>
                <w:rFonts w:cs="Verdana"/>
                <w:position w:val="-1"/>
                <w:sz w:val="20"/>
                <w:szCs w:val="20"/>
              </w:rPr>
              <w:t>a</w:t>
            </w:r>
            <w:r w:rsidRPr="00537112">
              <w:rPr>
                <w:rFonts w:cs="Verdana"/>
                <w:spacing w:val="1"/>
                <w:position w:val="-1"/>
                <w:sz w:val="20"/>
                <w:szCs w:val="20"/>
              </w:rPr>
              <w:t>m</w:t>
            </w:r>
            <w:r w:rsidRPr="00537112">
              <w:rPr>
                <w:rFonts w:cs="Verdana"/>
                <w:spacing w:val="3"/>
                <w:position w:val="-1"/>
                <w:sz w:val="20"/>
                <w:szCs w:val="20"/>
              </w:rPr>
              <w:t>i</w:t>
            </w:r>
            <w:r w:rsidRPr="00537112">
              <w:rPr>
                <w:rFonts w:cs="Verdana"/>
                <w:position w:val="-1"/>
                <w:sz w:val="20"/>
                <w:szCs w:val="20"/>
              </w:rPr>
              <w:t>n</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3E1A088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0014E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D29F2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4069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4B16A0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219F14C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C706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94E71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62E0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59580A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Ofe</w:t>
            </w:r>
            <w:r w:rsidRPr="00537112">
              <w:rPr>
                <w:rFonts w:cs="Verdana"/>
                <w:spacing w:val="3"/>
                <w:position w:val="-1"/>
                <w:sz w:val="20"/>
                <w:szCs w:val="20"/>
              </w:rPr>
              <w:t>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l</w:t>
            </w:r>
            <w:r w:rsidRPr="00537112">
              <w:rPr>
                <w:rFonts w:cs="Verdana"/>
                <w:spacing w:val="-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239F47D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EEDB0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F9ACD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0DA68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35F8C4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o</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3DA1DF5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09304A1" w14:textId="77777777" w:rsidR="00537112" w:rsidRPr="00537112" w:rsidRDefault="00537112" w:rsidP="00537112">
            <w:pPr>
              <w:autoSpaceDE w:val="0"/>
              <w:autoSpaceDN w:val="0"/>
              <w:spacing w:before="2" w:line="130" w:lineRule="exact"/>
              <w:jc w:val="left"/>
              <w:textAlignment w:val="auto"/>
              <w:rPr>
                <w:rFonts w:ascii="Times New Roman" w:hAnsi="Times New Roman"/>
                <w:sz w:val="13"/>
                <w:szCs w:val="13"/>
              </w:rPr>
            </w:pPr>
          </w:p>
          <w:p w14:paraId="132556F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A85868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F8722F1"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38</w:t>
            </w:r>
          </w:p>
        </w:tc>
        <w:tc>
          <w:tcPr>
            <w:tcW w:w="3958" w:type="dxa"/>
            <w:vMerge w:val="restart"/>
            <w:tcBorders>
              <w:top w:val="single" w:sz="8" w:space="0" w:color="000000"/>
              <w:left w:val="single" w:sz="8" w:space="0" w:color="000000"/>
              <w:bottom w:val="single" w:sz="8" w:space="0" w:color="000000"/>
              <w:right w:val="single" w:sz="8" w:space="0" w:color="000000"/>
            </w:tcBorders>
          </w:tcPr>
          <w:p w14:paraId="4E5443FA" w14:textId="77777777" w:rsidR="00537112" w:rsidRPr="00537112" w:rsidRDefault="00537112" w:rsidP="00537112">
            <w:pPr>
              <w:autoSpaceDE w:val="0"/>
              <w:autoSpaceDN w:val="0"/>
              <w:spacing w:before="2" w:line="130" w:lineRule="exact"/>
              <w:jc w:val="left"/>
              <w:textAlignment w:val="auto"/>
              <w:rPr>
                <w:rFonts w:ascii="Times New Roman" w:hAnsi="Times New Roman"/>
                <w:sz w:val="13"/>
                <w:szCs w:val="13"/>
              </w:rPr>
            </w:pPr>
          </w:p>
          <w:p w14:paraId="11C0B22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87F3DF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478DE4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Ap</w:t>
            </w:r>
            <w:r w:rsidRPr="00537112">
              <w:rPr>
                <w:rFonts w:cs="Verdana"/>
                <w:spacing w:val="-1"/>
                <w:sz w:val="20"/>
                <w:szCs w:val="20"/>
              </w:rPr>
              <w:t>o</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F366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63A7F6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o</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4F3A270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02CD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48DA6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3979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6CF35C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ó</w:t>
            </w:r>
          </w:p>
        </w:tc>
      </w:tr>
      <w:tr w:rsidR="00537112" w:rsidRPr="00537112" w14:paraId="171212EE" w14:textId="77777777" w:rsidTr="00630EEC">
        <w:trPr>
          <w:trHeight w:hRule="exact" w:val="31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4F782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4D65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23381A8"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1</w:t>
            </w:r>
            <w:r w:rsidRPr="00537112">
              <w:rPr>
                <w:rFonts w:cs="Verdana"/>
                <w:spacing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0D01BF3C"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Es</w:t>
            </w:r>
            <w:r w:rsidRPr="00537112">
              <w:rPr>
                <w:rFonts w:cs="Verdana"/>
                <w:spacing w:val="1"/>
                <w:sz w:val="20"/>
                <w:szCs w:val="20"/>
              </w:rPr>
              <w:t>t</w:t>
            </w:r>
            <w:r w:rsidRPr="00537112">
              <w:rPr>
                <w:rFonts w:cs="Verdana"/>
                <w:spacing w:val="-1"/>
                <w:sz w:val="20"/>
                <w:szCs w:val="20"/>
              </w:rPr>
              <w:t>e</w:t>
            </w:r>
            <w:r w:rsidRPr="00537112">
              <w:rPr>
                <w:rFonts w:cs="Verdana"/>
                <w:spacing w:val="3"/>
                <w:sz w:val="20"/>
                <w:szCs w:val="20"/>
              </w:rPr>
              <w:t>l</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z w:val="20"/>
                <w:szCs w:val="20"/>
              </w:rPr>
              <w:t>ó</w:t>
            </w:r>
          </w:p>
        </w:tc>
      </w:tr>
      <w:tr w:rsidR="00537112" w:rsidRPr="00537112" w14:paraId="0F431D3E" w14:textId="77777777" w:rsidTr="00630EEC">
        <w:trPr>
          <w:trHeight w:hRule="exact" w:val="538"/>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6CEC6D"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B6D021"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C5B387F" w14:textId="77777777" w:rsidR="00537112" w:rsidRPr="00537112" w:rsidRDefault="00537112" w:rsidP="00537112">
            <w:pPr>
              <w:autoSpaceDE w:val="0"/>
              <w:autoSpaceDN w:val="0"/>
              <w:spacing w:before="6" w:line="130" w:lineRule="exact"/>
              <w:jc w:val="left"/>
              <w:textAlignment w:val="auto"/>
              <w:rPr>
                <w:rFonts w:ascii="Times New Roman" w:hAnsi="Times New Roman"/>
                <w:sz w:val="13"/>
                <w:szCs w:val="13"/>
              </w:rPr>
            </w:pPr>
          </w:p>
          <w:p w14:paraId="329352A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1</w:t>
            </w:r>
            <w:r w:rsidRPr="00537112">
              <w:rPr>
                <w:rFonts w:cs="Verdana"/>
                <w:spacing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58D722EA" w14:textId="77777777" w:rsidR="00537112" w:rsidRPr="00537112" w:rsidRDefault="00537112" w:rsidP="00537112">
            <w:pPr>
              <w:autoSpaceDE w:val="0"/>
              <w:autoSpaceDN w:val="0"/>
              <w:spacing w:before="6" w:line="130" w:lineRule="exact"/>
              <w:jc w:val="left"/>
              <w:textAlignment w:val="auto"/>
              <w:rPr>
                <w:rFonts w:ascii="Times New Roman" w:hAnsi="Times New Roman"/>
                <w:sz w:val="13"/>
                <w:szCs w:val="13"/>
              </w:rPr>
            </w:pPr>
          </w:p>
          <w:p w14:paraId="50635F1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r</w:t>
            </w:r>
            <w:r w:rsidRPr="00537112">
              <w:rPr>
                <w:rFonts w:cs="Verdana"/>
                <w:spacing w:val="3"/>
                <w:sz w:val="20"/>
                <w:szCs w:val="20"/>
              </w:rPr>
              <w:t>l</w:t>
            </w:r>
            <w:r w:rsidRPr="00537112">
              <w:rPr>
                <w:rFonts w:cs="Verdana"/>
                <w:spacing w:val="-1"/>
                <w:sz w:val="20"/>
                <w:szCs w:val="20"/>
              </w:rPr>
              <w:t>o</w:t>
            </w:r>
            <w:r w:rsidRPr="00537112">
              <w:rPr>
                <w:rFonts w:cs="Verdana"/>
                <w:sz w:val="20"/>
                <w:szCs w:val="20"/>
              </w:rPr>
              <w:t>s</w:t>
            </w:r>
            <w:r w:rsidRPr="00537112">
              <w:rPr>
                <w:rFonts w:cs="Verdana"/>
                <w:spacing w:val="-7"/>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pacing w:val="1"/>
                <w:sz w:val="20"/>
                <w:szCs w:val="20"/>
              </w:rPr>
              <w:t>n</w:t>
            </w:r>
            <w:r w:rsidRPr="00537112">
              <w:rPr>
                <w:rFonts w:cs="Verdana"/>
                <w:sz w:val="20"/>
                <w:szCs w:val="20"/>
              </w:rPr>
              <w:t>é</w:t>
            </w:r>
            <w:r w:rsidRPr="00537112">
              <w:rPr>
                <w:rFonts w:cs="Verdana"/>
                <w:spacing w:val="-7"/>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z w:val="20"/>
                <w:szCs w:val="20"/>
              </w:rPr>
              <w:t>ó</w:t>
            </w:r>
          </w:p>
        </w:tc>
      </w:tr>
    </w:tbl>
    <w:p w14:paraId="1CC595FD"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6317C2CE"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70EA331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199460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01F8728"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2490C780"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39</w:t>
            </w:r>
          </w:p>
        </w:tc>
        <w:tc>
          <w:tcPr>
            <w:tcW w:w="3958" w:type="dxa"/>
            <w:vMerge w:val="restart"/>
            <w:tcBorders>
              <w:top w:val="single" w:sz="8" w:space="0" w:color="000000"/>
              <w:left w:val="single" w:sz="8" w:space="0" w:color="000000"/>
              <w:bottom w:val="single" w:sz="8" w:space="0" w:color="000000"/>
              <w:right w:val="single" w:sz="8" w:space="0" w:color="000000"/>
            </w:tcBorders>
          </w:tcPr>
          <w:p w14:paraId="6142354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4035623"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F0C590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ere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C032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1370FE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th</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rre</w:t>
            </w:r>
          </w:p>
        </w:tc>
      </w:tr>
      <w:tr w:rsidR="00537112" w:rsidRPr="00537112" w14:paraId="7B2CA30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3B5DD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0AFE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CDA1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56AE63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w:t>
            </w:r>
            <w:r w:rsidRPr="00537112">
              <w:rPr>
                <w:rFonts w:cs="Verdana"/>
                <w:position w:val="-1"/>
                <w:sz w:val="20"/>
                <w:szCs w:val="20"/>
              </w:rPr>
              <w:t>w</w:t>
            </w:r>
            <w:r w:rsidRPr="00537112">
              <w:rPr>
                <w:rFonts w:cs="Verdana"/>
                <w:spacing w:val="3"/>
                <w:position w:val="-1"/>
                <w:sz w:val="20"/>
                <w:szCs w:val="20"/>
              </w:rPr>
              <w:t>i</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r>
      <w:tr w:rsidR="00537112" w:rsidRPr="00537112" w14:paraId="3B23E51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7843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2CA0E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C959B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227344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g</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r>
      <w:tr w:rsidR="00537112" w:rsidRPr="00537112" w14:paraId="657A9BD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B184A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DF650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67F8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1</w:t>
            </w:r>
            <w:r w:rsidRPr="00537112">
              <w:rPr>
                <w:rFonts w:cs="Verdana"/>
                <w:spacing w:val="1"/>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68C194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Hor</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r>
      <w:tr w:rsidR="00537112" w:rsidRPr="00537112" w14:paraId="035ECDA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B86D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D47FA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4F9A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61E0AD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r>
      <w:tr w:rsidR="00537112" w:rsidRPr="00537112" w14:paraId="1FCB544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704C434"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CE7E9B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FED24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5D4ABE0"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40</w:t>
            </w:r>
          </w:p>
        </w:tc>
        <w:tc>
          <w:tcPr>
            <w:tcW w:w="3958" w:type="dxa"/>
            <w:vMerge w:val="restart"/>
            <w:tcBorders>
              <w:top w:val="single" w:sz="8" w:space="0" w:color="000000"/>
              <w:left w:val="single" w:sz="8" w:space="0" w:color="000000"/>
              <w:bottom w:val="single" w:sz="8" w:space="0" w:color="000000"/>
              <w:right w:val="single" w:sz="8" w:space="0" w:color="000000"/>
            </w:tcBorders>
          </w:tcPr>
          <w:p w14:paraId="7AD2AD4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F4E7533" w14:textId="77777777" w:rsidR="00537112" w:rsidRPr="00537112" w:rsidRDefault="00537112" w:rsidP="00537112">
            <w:pPr>
              <w:autoSpaceDE w:val="0"/>
              <w:autoSpaceDN w:val="0"/>
              <w:spacing w:before="10" w:line="260" w:lineRule="exact"/>
              <w:jc w:val="left"/>
              <w:textAlignment w:val="auto"/>
              <w:rPr>
                <w:rFonts w:ascii="Times New Roman" w:hAnsi="Times New Roman"/>
                <w:sz w:val="26"/>
                <w:szCs w:val="26"/>
              </w:rPr>
            </w:pPr>
          </w:p>
          <w:p w14:paraId="7FF321D4" w14:textId="77777777" w:rsidR="00537112" w:rsidRPr="00537112" w:rsidRDefault="00537112" w:rsidP="00537112">
            <w:pPr>
              <w:autoSpaceDE w:val="0"/>
              <w:autoSpaceDN w:val="0"/>
              <w:spacing w:line="240" w:lineRule="auto"/>
              <w:ind w:right="-20"/>
              <w:jc w:val="left"/>
              <w:textAlignment w:val="auto"/>
              <w:rPr>
                <w:rFonts w:cs="Verdana"/>
                <w:sz w:val="20"/>
                <w:szCs w:val="20"/>
              </w:rPr>
            </w:pPr>
            <w:r w:rsidRPr="00537112">
              <w:rPr>
                <w:rFonts w:cs="Verdana"/>
                <w:spacing w:val="-1"/>
                <w:sz w:val="20"/>
                <w:szCs w:val="20"/>
              </w:rPr>
              <w:t>E</w:t>
            </w:r>
            <w:r w:rsidRPr="00537112">
              <w:rPr>
                <w:rFonts w:cs="Verdana"/>
                <w:sz w:val="20"/>
                <w:szCs w:val="20"/>
              </w:rPr>
              <w:t>va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s</w:t>
            </w:r>
            <w:r w:rsidRPr="00537112">
              <w:rPr>
                <w:rFonts w:cs="Verdana"/>
                <w:spacing w:val="1"/>
                <w:sz w:val="20"/>
                <w:szCs w:val="20"/>
              </w:rPr>
              <w:t>t</w:t>
            </w:r>
            <w:r w:rsidRPr="00537112">
              <w:rPr>
                <w:rFonts w:cs="Verdana"/>
                <w:sz w:val="20"/>
                <w:szCs w:val="20"/>
              </w:rPr>
              <w:t>o</w:t>
            </w:r>
            <w:r w:rsidRPr="00537112">
              <w:rPr>
                <w:rFonts w:cs="Verdana"/>
                <w:spacing w:val="-10"/>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pacing w:val="-1"/>
                <w:sz w:val="20"/>
                <w:szCs w:val="20"/>
              </w:rPr>
              <w:t>E</w:t>
            </w:r>
            <w:r w:rsidRPr="00537112">
              <w:rPr>
                <w:rFonts w:cs="Verdana"/>
                <w:sz w:val="20"/>
                <w:szCs w:val="20"/>
              </w:rPr>
              <w:t>va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s</w:t>
            </w:r>
            <w:r w:rsidRPr="00537112">
              <w:rPr>
                <w:rFonts w:cs="Verdana"/>
                <w:spacing w:val="1"/>
                <w:sz w:val="20"/>
                <w:szCs w:val="20"/>
              </w:rPr>
              <w:t>t</w:t>
            </w:r>
            <w:r w:rsidRPr="00537112">
              <w:rPr>
                <w:rFonts w:cs="Verdana"/>
                <w:sz w:val="20"/>
                <w:szCs w:val="20"/>
              </w:rPr>
              <w:t>o</w:t>
            </w:r>
          </w:p>
          <w:p w14:paraId="2D65CF68"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D299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6B510F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35EFAA5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66CC7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3399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49947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276056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0D3FD88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6726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E38D9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5FD7B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486CB3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1AA9EBF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6375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983A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20D1D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7C2460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4DE56E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CED1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547D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4FDB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76AC8E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710B564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B9DD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81A6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9CC2C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28CA39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3EC9ADB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AF9F001"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1794D4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5965A62"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41</w:t>
            </w:r>
          </w:p>
        </w:tc>
        <w:tc>
          <w:tcPr>
            <w:tcW w:w="3958" w:type="dxa"/>
            <w:vMerge w:val="restart"/>
            <w:tcBorders>
              <w:top w:val="single" w:sz="8" w:space="0" w:color="000000"/>
              <w:left w:val="single" w:sz="8" w:space="0" w:color="000000"/>
              <w:bottom w:val="single" w:sz="8" w:space="0" w:color="000000"/>
              <w:right w:val="single" w:sz="8" w:space="0" w:color="000000"/>
            </w:tcBorders>
          </w:tcPr>
          <w:p w14:paraId="5416474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lang w:val="pt-BR"/>
              </w:rPr>
            </w:pPr>
          </w:p>
          <w:p w14:paraId="75B95B4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62F00052" w14:textId="77777777" w:rsidR="00537112" w:rsidRPr="00537112" w:rsidRDefault="00537112" w:rsidP="00537112">
            <w:pPr>
              <w:autoSpaceDE w:val="0"/>
              <w:autoSpaceDN w:val="0"/>
              <w:spacing w:line="240" w:lineRule="auto"/>
              <w:ind w:right="-20"/>
              <w:jc w:val="left"/>
              <w:textAlignment w:val="auto"/>
              <w:rPr>
                <w:rFonts w:ascii="Times New Roman" w:hAnsi="Times New Roman"/>
                <w:lang w:val="pt-BR"/>
              </w:rPr>
            </w:pPr>
            <w:r w:rsidRPr="00537112">
              <w:rPr>
                <w:rFonts w:cs="Verdana"/>
                <w:sz w:val="20"/>
                <w:szCs w:val="20"/>
                <w:lang w:val="pt-BR"/>
              </w:rPr>
              <w:t>P</w:t>
            </w:r>
            <w:r w:rsidRPr="00537112">
              <w:rPr>
                <w:rFonts w:cs="Verdana"/>
                <w:spacing w:val="-1"/>
                <w:sz w:val="20"/>
                <w:szCs w:val="20"/>
                <w:lang w:val="pt-BR"/>
              </w:rPr>
              <w:t>e</w:t>
            </w:r>
            <w:r w:rsidRPr="00537112">
              <w:rPr>
                <w:rFonts w:cs="Verdana"/>
                <w:spacing w:val="1"/>
                <w:sz w:val="20"/>
                <w:szCs w:val="20"/>
                <w:lang w:val="pt-BR"/>
              </w:rPr>
              <w:t>d</w:t>
            </w:r>
            <w:r w:rsidRPr="00537112">
              <w:rPr>
                <w:rFonts w:cs="Verdana"/>
                <w:spacing w:val="-1"/>
                <w:sz w:val="20"/>
                <w:szCs w:val="20"/>
                <w:lang w:val="pt-BR"/>
              </w:rPr>
              <w:t>r</w:t>
            </w:r>
            <w:r w:rsidRPr="00537112">
              <w:rPr>
                <w:rFonts w:cs="Verdana"/>
                <w:sz w:val="20"/>
                <w:szCs w:val="20"/>
                <w:lang w:val="pt-BR"/>
              </w:rPr>
              <w:t>o</w:t>
            </w:r>
            <w:r w:rsidRPr="00537112">
              <w:rPr>
                <w:rFonts w:cs="Verdana"/>
                <w:spacing w:val="-8"/>
                <w:sz w:val="20"/>
                <w:szCs w:val="20"/>
                <w:lang w:val="pt-BR"/>
              </w:rPr>
              <w:t xml:space="preserve"> </w:t>
            </w:r>
            <w:r w:rsidRPr="00537112">
              <w:rPr>
                <w:rFonts w:cs="Verdana"/>
                <w:sz w:val="20"/>
                <w:szCs w:val="20"/>
                <w:lang w:val="pt-BR"/>
              </w:rPr>
              <w:t>T</w:t>
            </w:r>
            <w:r w:rsidRPr="00537112">
              <w:rPr>
                <w:rFonts w:cs="Verdana"/>
                <w:spacing w:val="1"/>
                <w:sz w:val="20"/>
                <w:szCs w:val="20"/>
                <w:lang w:val="pt-BR"/>
              </w:rPr>
              <w:t>u</w:t>
            </w:r>
            <w:r w:rsidRPr="00537112">
              <w:rPr>
                <w:rFonts w:cs="Verdana"/>
                <w:sz w:val="20"/>
                <w:szCs w:val="20"/>
                <w:lang w:val="pt-BR"/>
              </w:rPr>
              <w:t>m</w:t>
            </w:r>
            <w:r w:rsidRPr="00537112">
              <w:rPr>
                <w:rFonts w:cs="Verdana"/>
                <w:spacing w:val="-4"/>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z w:val="20"/>
                <w:szCs w:val="20"/>
                <w:lang w:val="pt-BR"/>
              </w:rPr>
              <w:t>P</w:t>
            </w:r>
            <w:r w:rsidRPr="00537112">
              <w:rPr>
                <w:rFonts w:cs="Verdana"/>
                <w:spacing w:val="-1"/>
                <w:sz w:val="20"/>
                <w:szCs w:val="20"/>
                <w:lang w:val="pt-BR"/>
              </w:rPr>
              <w:t>e</w:t>
            </w:r>
            <w:r w:rsidRPr="00537112">
              <w:rPr>
                <w:rFonts w:cs="Verdana"/>
                <w:spacing w:val="1"/>
                <w:sz w:val="20"/>
                <w:szCs w:val="20"/>
                <w:lang w:val="pt-BR"/>
              </w:rPr>
              <w:t>d</w:t>
            </w:r>
            <w:r w:rsidRPr="00537112">
              <w:rPr>
                <w:rFonts w:cs="Verdana"/>
                <w:spacing w:val="-1"/>
                <w:sz w:val="20"/>
                <w:szCs w:val="20"/>
                <w:lang w:val="pt-BR"/>
              </w:rPr>
              <w:t>r</w:t>
            </w:r>
            <w:r w:rsidRPr="00537112">
              <w:rPr>
                <w:rFonts w:cs="Verdana"/>
                <w:sz w:val="20"/>
                <w:szCs w:val="20"/>
                <w:lang w:val="pt-BR"/>
              </w:rPr>
              <w:t>o</w:t>
            </w:r>
            <w:r w:rsidRPr="00537112">
              <w:rPr>
                <w:rFonts w:cs="Verdana"/>
                <w:spacing w:val="-8"/>
                <w:sz w:val="20"/>
                <w:szCs w:val="20"/>
                <w:lang w:val="pt-BR"/>
              </w:rPr>
              <w:t xml:space="preserve"> </w:t>
            </w:r>
            <w:r w:rsidRPr="00537112">
              <w:rPr>
                <w:rFonts w:cs="Verdana"/>
                <w:sz w:val="20"/>
                <w:szCs w:val="20"/>
                <w:lang w:val="pt-BR"/>
              </w:rPr>
              <w:t>P</w:t>
            </w:r>
            <w:r w:rsidRPr="00537112">
              <w:rPr>
                <w:rFonts w:cs="Verdana"/>
                <w:spacing w:val="-1"/>
                <w:sz w:val="20"/>
                <w:szCs w:val="20"/>
                <w:lang w:val="pt-BR"/>
              </w:rPr>
              <w:t>ére</w:t>
            </w:r>
            <w:r w:rsidRPr="00537112">
              <w:rPr>
                <w:rFonts w:cs="Verdana"/>
                <w:sz w:val="20"/>
                <w:szCs w:val="20"/>
                <w:lang w:val="pt-BR"/>
              </w:rPr>
              <w:t>z</w:t>
            </w:r>
            <w:r w:rsidRPr="00537112">
              <w:rPr>
                <w:rFonts w:cs="Verdana"/>
                <w:spacing w:val="-5"/>
                <w:sz w:val="20"/>
                <w:szCs w:val="20"/>
                <w:lang w:val="pt-BR"/>
              </w:rPr>
              <w:t xml:space="preserve"> </w:t>
            </w:r>
            <w:r w:rsidRPr="00537112">
              <w:rPr>
                <w:rFonts w:cs="Verdana"/>
                <w:spacing w:val="1"/>
                <w:sz w:val="20"/>
                <w:szCs w:val="20"/>
                <w:lang w:val="pt-BR"/>
              </w:rPr>
              <w:t>Amp</w:t>
            </w:r>
            <w:r w:rsidRPr="00537112">
              <w:rPr>
                <w:rFonts w:cs="Verdana"/>
                <w:spacing w:val="-1"/>
                <w:sz w:val="20"/>
                <w:szCs w:val="20"/>
                <w:lang w:val="pt-BR"/>
              </w:rPr>
              <w:t>ére</w:t>
            </w:r>
            <w:r w:rsidRPr="00537112">
              <w:rPr>
                <w:rFonts w:cs="Verdana"/>
                <w:spacing w:val="1"/>
                <w:sz w:val="20"/>
                <w:szCs w:val="20"/>
                <w:lang w:val="pt-BR"/>
              </w:rPr>
              <w:t>z</w:t>
            </w:r>
            <w:r w:rsidRPr="00537112">
              <w:rPr>
                <w:rFonts w:cs="Verdana"/>
                <w:sz w:val="20"/>
                <w:szCs w:val="20"/>
                <w:lang w:val="pt-BR"/>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C492C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0E4D19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1"/>
                <w:position w:val="-1"/>
                <w:sz w:val="20"/>
                <w:szCs w:val="20"/>
              </w:rPr>
              <w:t>jb</w:t>
            </w:r>
            <w:r w:rsidRPr="00537112">
              <w:rPr>
                <w:rFonts w:cs="Verdana"/>
                <w:spacing w:val="-1"/>
                <w:position w:val="-1"/>
                <w:sz w:val="20"/>
                <w:szCs w:val="20"/>
              </w:rPr>
              <w:t>ón</w:t>
            </w:r>
          </w:p>
        </w:tc>
      </w:tr>
      <w:tr w:rsidR="00537112" w:rsidRPr="00537112" w14:paraId="03068B1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A1A8E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E87D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D3295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589C66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p>
        </w:tc>
      </w:tr>
      <w:tr w:rsidR="00537112" w:rsidRPr="00537112" w14:paraId="175F9C0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1253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1E5D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EEBEE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2C2EB8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p>
        </w:tc>
      </w:tr>
      <w:tr w:rsidR="00537112" w:rsidRPr="00537112" w14:paraId="1114D4B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F1D9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3FCF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1771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0B6A88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up</w:t>
            </w:r>
            <w:r w:rsidRPr="00537112">
              <w:rPr>
                <w:rFonts w:cs="Verdana"/>
                <w:position w:val="-1"/>
                <w:sz w:val="20"/>
                <w:szCs w:val="20"/>
              </w:rPr>
              <w:t>e</w:t>
            </w:r>
            <w:r w:rsidRPr="00537112">
              <w:rPr>
                <w:rFonts w:cs="Verdana"/>
                <w:spacing w:val="-13"/>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77D77B8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731C679"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7B98072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257D61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EBCDF56"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42</w:t>
            </w:r>
          </w:p>
        </w:tc>
        <w:tc>
          <w:tcPr>
            <w:tcW w:w="3958" w:type="dxa"/>
            <w:vMerge w:val="restart"/>
            <w:tcBorders>
              <w:top w:val="single" w:sz="8" w:space="0" w:color="000000"/>
              <w:left w:val="single" w:sz="8" w:space="0" w:color="000000"/>
              <w:bottom w:val="single" w:sz="8" w:space="0" w:color="000000"/>
              <w:right w:val="single" w:sz="8" w:space="0" w:color="000000"/>
            </w:tcBorders>
          </w:tcPr>
          <w:p w14:paraId="3ED0BBD0"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68C1DEA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0884A9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7A2887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gd</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t</w:t>
            </w:r>
            <w:r w:rsidRPr="00537112">
              <w:rPr>
                <w:rFonts w:cs="Verdana"/>
                <w:spacing w:val="-1"/>
                <w:sz w:val="20"/>
                <w:szCs w:val="20"/>
              </w:rPr>
              <w:t>eco</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599E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16312E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27A04D7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AAF9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A30CA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D3B2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008273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r>
      <w:tr w:rsidR="00537112" w:rsidRPr="00537112" w14:paraId="06C0EFC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C7D2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BD309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0FB1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4714DF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r>
      <w:tr w:rsidR="00537112" w:rsidRPr="00537112" w14:paraId="0D9A1E1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2BC33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91B75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6CBE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3FE6A0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Y</w:t>
            </w:r>
            <w:r w:rsidRPr="00537112">
              <w:rPr>
                <w:rFonts w:cs="Verdana"/>
                <w:spacing w:val="-1"/>
                <w:position w:val="-1"/>
                <w:sz w:val="20"/>
                <w:szCs w:val="20"/>
              </w:rPr>
              <w:t>esce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r>
      <w:tr w:rsidR="00537112" w:rsidRPr="00537112" w14:paraId="602C567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C81BE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885C6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2EAE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4CF4A3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1"/>
                <w:position w:val="-1"/>
                <w:sz w:val="20"/>
                <w:szCs w:val="20"/>
              </w:rPr>
              <w:t>ug</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3"/>
                <w:position w:val="-1"/>
                <w:sz w:val="20"/>
                <w:szCs w:val="20"/>
              </w:rPr>
              <w:t>l</w:t>
            </w:r>
            <w:r w:rsidRPr="00537112">
              <w:rPr>
                <w:rFonts w:cs="Verdana"/>
                <w:spacing w:val="1"/>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1"/>
                <w:position w:val="-1"/>
                <w:sz w:val="20"/>
                <w:szCs w:val="20"/>
              </w:rPr>
              <w:t>er</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r>
      <w:tr w:rsidR="00537112" w:rsidRPr="00537112" w14:paraId="5D158BE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FFEF7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36D31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0547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68854E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Au</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r>
      <w:tr w:rsidR="00537112" w:rsidRPr="00537112" w14:paraId="6E0D6A7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A548E1"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45E9B46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43</w:t>
            </w:r>
          </w:p>
        </w:tc>
        <w:tc>
          <w:tcPr>
            <w:tcW w:w="3958" w:type="dxa"/>
            <w:vMerge w:val="restart"/>
            <w:tcBorders>
              <w:top w:val="single" w:sz="8" w:space="0" w:color="000000"/>
              <w:left w:val="single" w:sz="8" w:space="0" w:color="000000"/>
              <w:bottom w:val="single" w:sz="8" w:space="0" w:color="000000"/>
              <w:right w:val="single" w:sz="8" w:space="0" w:color="000000"/>
            </w:tcBorders>
          </w:tcPr>
          <w:p w14:paraId="31BADD5D"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68CAFB9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23DD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50F550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r</w:t>
            </w:r>
            <w:r w:rsidRPr="00537112">
              <w:rPr>
                <w:rFonts w:cs="Verdana"/>
                <w:spacing w:val="1"/>
                <w:position w:val="-1"/>
                <w:sz w:val="20"/>
                <w:szCs w:val="20"/>
              </w:rPr>
              <w:t>un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4FB6A6E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BA9D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92776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076A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098BB5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5F3AB6D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2EEA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BE71B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251F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6723B0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58BE0A7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847CF0"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7B9FD8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40AF17"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44</w:t>
            </w:r>
          </w:p>
        </w:tc>
        <w:tc>
          <w:tcPr>
            <w:tcW w:w="3958" w:type="dxa"/>
            <w:vMerge w:val="restart"/>
            <w:tcBorders>
              <w:top w:val="single" w:sz="8" w:space="0" w:color="000000"/>
              <w:left w:val="single" w:sz="8" w:space="0" w:color="000000"/>
              <w:bottom w:val="single" w:sz="8" w:space="0" w:color="000000"/>
              <w:right w:val="single" w:sz="8" w:space="0" w:color="000000"/>
            </w:tcBorders>
          </w:tcPr>
          <w:p w14:paraId="0D89C6EC"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9A0FCB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00CB08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e</w:t>
            </w:r>
            <w:r w:rsidRPr="00537112">
              <w:rPr>
                <w:rFonts w:cs="Verdana"/>
                <w:spacing w:val="1"/>
                <w:sz w:val="20"/>
                <w:szCs w:val="20"/>
              </w:rPr>
              <w:t>m</w:t>
            </w:r>
            <w:r w:rsidRPr="00537112">
              <w:rPr>
                <w:rFonts w:cs="Verdana"/>
                <w:spacing w:val="-1"/>
                <w:sz w:val="20"/>
                <w:szCs w:val="20"/>
              </w:rPr>
              <w:t>e</w:t>
            </w:r>
            <w:r w:rsidRPr="00537112">
              <w:rPr>
                <w:rFonts w:cs="Verdana"/>
                <w:spacing w:val="1"/>
                <w:sz w:val="20"/>
                <w:szCs w:val="20"/>
              </w:rPr>
              <w:t>t</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DE25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7262F0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p>
        </w:tc>
      </w:tr>
      <w:tr w:rsidR="00537112" w:rsidRPr="00537112" w14:paraId="41702AA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A592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ECC6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8E29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61CE46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5463910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20E9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4AA29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FFD8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18140DD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ay</w:t>
            </w:r>
            <w:r w:rsidRPr="00537112">
              <w:rPr>
                <w:rFonts w:cs="Verdana"/>
                <w:spacing w:val="1"/>
                <w:position w:val="-1"/>
                <w:sz w:val="20"/>
                <w:szCs w:val="20"/>
              </w:rPr>
              <w:t>mund</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0C7F683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BF7B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F3D1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B515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300A0C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roco</w:t>
            </w:r>
            <w:r w:rsidRPr="00537112">
              <w:rPr>
                <w:rFonts w:cs="Verdana"/>
                <w:spacing w:val="1"/>
                <w:position w:val="-1"/>
                <w:sz w:val="20"/>
                <w:szCs w:val="20"/>
              </w:rPr>
              <w:t>p</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6BD7A23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ECEAC61" w14:textId="77777777" w:rsidR="00537112" w:rsidRPr="00537112" w:rsidRDefault="00537112" w:rsidP="00537112">
            <w:pPr>
              <w:autoSpaceDE w:val="0"/>
              <w:autoSpaceDN w:val="0"/>
              <w:spacing w:before="6" w:line="170" w:lineRule="exact"/>
              <w:jc w:val="left"/>
              <w:textAlignment w:val="auto"/>
              <w:rPr>
                <w:rFonts w:ascii="Times New Roman" w:hAnsi="Times New Roman"/>
                <w:sz w:val="17"/>
                <w:szCs w:val="17"/>
              </w:rPr>
            </w:pPr>
          </w:p>
          <w:p w14:paraId="29B7ABE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64A8C4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4F3F44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EE3C8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793E114"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45</w:t>
            </w:r>
          </w:p>
        </w:tc>
        <w:tc>
          <w:tcPr>
            <w:tcW w:w="3958" w:type="dxa"/>
            <w:vMerge w:val="restart"/>
            <w:tcBorders>
              <w:top w:val="single" w:sz="8" w:space="0" w:color="000000"/>
              <w:left w:val="single" w:sz="8" w:space="0" w:color="000000"/>
              <w:bottom w:val="single" w:sz="8" w:space="0" w:color="000000"/>
              <w:right w:val="single" w:sz="8" w:space="0" w:color="000000"/>
            </w:tcBorders>
          </w:tcPr>
          <w:p w14:paraId="0F2E894C" w14:textId="77777777" w:rsidR="00537112" w:rsidRPr="00537112" w:rsidRDefault="00537112" w:rsidP="00537112">
            <w:pPr>
              <w:autoSpaceDE w:val="0"/>
              <w:autoSpaceDN w:val="0"/>
              <w:spacing w:before="6" w:line="170" w:lineRule="exact"/>
              <w:jc w:val="left"/>
              <w:textAlignment w:val="auto"/>
              <w:rPr>
                <w:rFonts w:ascii="Times New Roman" w:hAnsi="Times New Roman"/>
                <w:sz w:val="17"/>
                <w:szCs w:val="17"/>
              </w:rPr>
            </w:pPr>
          </w:p>
          <w:p w14:paraId="0755D19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2569BC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FA2AF7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31DBA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6C4260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F2BE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748D4D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67F45D31" w14:textId="77777777" w:rsidTr="00630EEC">
        <w:trPr>
          <w:trHeight w:hRule="exact" w:val="50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7758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F9B25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DEA7E2E"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7F7859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2</w:t>
            </w:r>
            <w:r w:rsidRPr="00537112">
              <w:rPr>
                <w:rFonts w:cs="Verdana"/>
                <w:spacing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3DCD2516"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214830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1"/>
                <w:sz w:val="20"/>
                <w:szCs w:val="20"/>
              </w:rPr>
              <w:t>t</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e</w:t>
            </w:r>
            <w:r w:rsidRPr="00537112">
              <w:rPr>
                <w:rFonts w:cs="Verdana"/>
                <w:spacing w:val="1"/>
                <w:sz w:val="20"/>
                <w:szCs w:val="20"/>
              </w:rPr>
              <w:t>n</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p>
        </w:tc>
      </w:tr>
      <w:tr w:rsidR="00537112" w:rsidRPr="00537112" w14:paraId="3A29D88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A807F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D46F73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68784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17F201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17C9AB1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643A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A239A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2D904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2A97AC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or</w:t>
            </w:r>
            <w:r w:rsidRPr="00537112">
              <w:rPr>
                <w:rFonts w:cs="Verdana"/>
                <w:spacing w:val="1"/>
                <w:position w:val="-1"/>
                <w:sz w:val="20"/>
                <w:szCs w:val="20"/>
              </w:rPr>
              <w:t>g</w:t>
            </w:r>
            <w:r w:rsidRPr="00537112">
              <w:rPr>
                <w:rFonts w:cs="Verdana"/>
                <w:position w:val="-1"/>
                <w:sz w:val="20"/>
                <w:szCs w:val="20"/>
              </w:rPr>
              <w:t>e</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47C00DF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B57D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39E6F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1AF8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55B625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70C04F7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E5D2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BF6F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3334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0A8022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5B76A8D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CB5A7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FD4A7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2342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0FB2DA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position w:val="-1"/>
                <w:sz w:val="20"/>
                <w:szCs w:val="20"/>
              </w:rPr>
              <w:t>s</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é</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179D22F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3714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623AD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C0A7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36D4AA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7B637B2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529E32"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68B967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417425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46</w:t>
            </w:r>
          </w:p>
        </w:tc>
        <w:tc>
          <w:tcPr>
            <w:tcW w:w="3958" w:type="dxa"/>
            <w:vMerge w:val="restart"/>
            <w:tcBorders>
              <w:top w:val="single" w:sz="8" w:space="0" w:color="000000"/>
              <w:left w:val="single" w:sz="8" w:space="0" w:color="000000"/>
              <w:bottom w:val="single" w:sz="8" w:space="0" w:color="000000"/>
              <w:right w:val="single" w:sz="8" w:space="0" w:color="000000"/>
            </w:tcBorders>
          </w:tcPr>
          <w:p w14:paraId="2B58296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038C6D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319E1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m</w:t>
            </w:r>
            <w:r w:rsidRPr="00537112">
              <w:rPr>
                <w:rFonts w:cs="Verdana"/>
                <w:spacing w:val="3"/>
                <w:sz w:val="20"/>
                <w:szCs w:val="20"/>
              </w:rPr>
              <w:t>il</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38BC7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247A1A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171C34A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27835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8AE06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33B2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755D4B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an</w:t>
            </w:r>
          </w:p>
        </w:tc>
      </w:tr>
      <w:tr w:rsidR="00537112" w:rsidRPr="00537112" w14:paraId="10F56B6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01DE9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68188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4BA6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1B2FB9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3"/>
                <w:position w:val="-1"/>
                <w:sz w:val="20"/>
                <w:szCs w:val="20"/>
              </w:rPr>
              <w:t>l</w:t>
            </w:r>
            <w:r w:rsidRPr="00537112">
              <w:rPr>
                <w:rFonts w:cs="Verdana"/>
                <w:position w:val="-1"/>
                <w:sz w:val="20"/>
                <w:szCs w:val="20"/>
              </w:rPr>
              <w:t>a</w:t>
            </w:r>
            <w:r w:rsidRPr="00537112">
              <w:rPr>
                <w:rFonts w:cs="Verdana"/>
                <w:spacing w:val="-2"/>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an</w:t>
            </w:r>
          </w:p>
        </w:tc>
      </w:tr>
      <w:tr w:rsidR="00537112" w:rsidRPr="00537112" w14:paraId="5DDBB83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225AC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A4833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FD7D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0DD274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an</w:t>
            </w:r>
          </w:p>
        </w:tc>
      </w:tr>
      <w:tr w:rsidR="00537112" w:rsidRPr="00537112" w14:paraId="304F40D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378201"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598340A5"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47</w:t>
            </w:r>
          </w:p>
        </w:tc>
        <w:tc>
          <w:tcPr>
            <w:tcW w:w="3958" w:type="dxa"/>
            <w:vMerge w:val="restart"/>
            <w:tcBorders>
              <w:top w:val="single" w:sz="8" w:space="0" w:color="000000"/>
              <w:left w:val="single" w:sz="8" w:space="0" w:color="000000"/>
              <w:bottom w:val="single" w:sz="8" w:space="0" w:color="000000"/>
              <w:right w:val="single" w:sz="8" w:space="0" w:color="000000"/>
            </w:tcBorders>
          </w:tcPr>
          <w:p w14:paraId="1B53E371"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7C49364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pacing w:val="3"/>
                <w:sz w:val="20"/>
                <w:szCs w:val="20"/>
              </w:rPr>
              <w:t>li</w:t>
            </w:r>
            <w:r w:rsidRPr="00537112">
              <w:rPr>
                <w:rFonts w:cs="Verdana"/>
                <w:sz w:val="20"/>
                <w:szCs w:val="20"/>
              </w:rPr>
              <w:t>án</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g</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B4F0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7B6A19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69CD6F8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B7758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C8C77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C5F4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2C3E36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469CAB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3C2A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2C65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338B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5273FC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tá</w:t>
            </w:r>
          </w:p>
        </w:tc>
      </w:tr>
      <w:tr w:rsidR="00537112" w:rsidRPr="00537112" w14:paraId="0A6B845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6D013C"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7D50E3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38E853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D9A05F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8E2E2C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48</w:t>
            </w:r>
          </w:p>
        </w:tc>
        <w:tc>
          <w:tcPr>
            <w:tcW w:w="3958" w:type="dxa"/>
            <w:vMerge w:val="restart"/>
            <w:tcBorders>
              <w:top w:val="single" w:sz="8" w:space="0" w:color="000000"/>
              <w:left w:val="single" w:sz="8" w:space="0" w:color="000000"/>
              <w:bottom w:val="single" w:sz="8" w:space="0" w:color="000000"/>
              <w:right w:val="single" w:sz="8" w:space="0" w:color="000000"/>
            </w:tcBorders>
          </w:tcPr>
          <w:p w14:paraId="3322487A"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4543510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2894CA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84F1A0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DA5890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e</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t</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n</w:t>
            </w:r>
            <w:r w:rsidRPr="00537112">
              <w:rPr>
                <w:rFonts w:cs="Verdana"/>
                <w:spacing w:val="-1"/>
                <w:sz w:val="20"/>
                <w:szCs w:val="20"/>
              </w:rPr>
              <w:t>coc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287BF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3CBBC4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b</w:t>
            </w:r>
            <w:r w:rsidRPr="00537112">
              <w:rPr>
                <w:rFonts w:cs="Verdana"/>
                <w:spacing w:val="-1"/>
                <w:position w:val="-1"/>
                <w:sz w:val="20"/>
                <w:szCs w:val="20"/>
              </w:rPr>
              <w:t>oy</w:t>
            </w:r>
          </w:p>
        </w:tc>
      </w:tr>
      <w:tr w:rsidR="00537112" w:rsidRPr="00537112" w14:paraId="0D49FF9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C078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DEE5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2335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5AD3E0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l</w:t>
            </w:r>
            <w:r w:rsidRPr="00537112">
              <w:rPr>
                <w:rFonts w:cs="Verdana"/>
                <w:spacing w:val="-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53E66F5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E041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8506ED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B8DF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4F56E6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Ub</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3262C38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4B10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C44C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C124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799709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3636A11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1F49E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06C1A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E49E2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7391AA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15C400C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8CF22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D603B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CBD5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69C06A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324AC6E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B5DD7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0F55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5C6C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29BC27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5CB65EB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BD6874"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25D107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74E9068"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49</w:t>
            </w:r>
          </w:p>
        </w:tc>
        <w:tc>
          <w:tcPr>
            <w:tcW w:w="3958" w:type="dxa"/>
            <w:vMerge w:val="restart"/>
            <w:tcBorders>
              <w:top w:val="single" w:sz="8" w:space="0" w:color="000000"/>
              <w:left w:val="single" w:sz="8" w:space="0" w:color="000000"/>
              <w:bottom w:val="single" w:sz="8" w:space="0" w:color="000000"/>
              <w:right w:val="single" w:sz="8" w:space="0" w:color="000000"/>
            </w:tcBorders>
          </w:tcPr>
          <w:p w14:paraId="1C06CF82"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C536D1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78CF46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o</w:t>
            </w:r>
            <w:r w:rsidRPr="00537112">
              <w:rPr>
                <w:rFonts w:cs="Verdana"/>
                <w:spacing w:val="-11"/>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8906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64CE62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4D1551D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B5D52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2FEA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73C69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03A787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7B4FD0B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5F112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6356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9FDC4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377AC1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fo</w:t>
            </w:r>
            <w:r w:rsidRPr="00537112">
              <w:rPr>
                <w:rFonts w:cs="Verdana"/>
                <w:spacing w:val="1"/>
                <w:position w:val="-1"/>
                <w:sz w:val="20"/>
                <w:szCs w:val="20"/>
              </w:rPr>
              <w:t>nz</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38CA096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00648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11AE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D6186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016FCA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e</w:t>
            </w:r>
            <w:r w:rsidRPr="00537112">
              <w:rPr>
                <w:rFonts w:cs="Verdana"/>
                <w:position w:val="-1"/>
                <w:sz w:val="20"/>
                <w:szCs w:val="20"/>
              </w:rPr>
              <w:t>l</w:t>
            </w:r>
            <w:r w:rsidRPr="00537112">
              <w:rPr>
                <w:rFonts w:cs="Verdana"/>
                <w:spacing w:val="6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bl>
    <w:p w14:paraId="39D75337"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14A03D06"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4FCF93D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51D310"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781AFC6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E5100D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499E54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EFE0FAA"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50</w:t>
            </w:r>
          </w:p>
        </w:tc>
        <w:tc>
          <w:tcPr>
            <w:tcW w:w="3958" w:type="dxa"/>
            <w:vMerge w:val="restart"/>
            <w:tcBorders>
              <w:top w:val="single" w:sz="8" w:space="0" w:color="000000"/>
              <w:left w:val="single" w:sz="8" w:space="0" w:color="000000"/>
              <w:bottom w:val="single" w:sz="8" w:space="0" w:color="000000"/>
              <w:right w:val="single" w:sz="8" w:space="0" w:color="000000"/>
            </w:tcBorders>
          </w:tcPr>
          <w:p w14:paraId="53ABC70C"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7FFFEC7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81FEB5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B9485E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BE0ECB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Max</w:t>
            </w:r>
            <w:r w:rsidRPr="00537112">
              <w:rPr>
                <w:rFonts w:cs="Verdana"/>
                <w:spacing w:val="3"/>
                <w:sz w:val="20"/>
                <w:szCs w:val="20"/>
              </w:rPr>
              <w:t>i</w:t>
            </w:r>
            <w:r w:rsidRPr="00537112">
              <w:rPr>
                <w:rFonts w:cs="Verdana"/>
                <w:spacing w:val="1"/>
                <w:sz w:val="20"/>
                <w:szCs w:val="20"/>
              </w:rPr>
              <w:t>m</w:t>
            </w:r>
            <w:r w:rsidRPr="00537112">
              <w:rPr>
                <w:rFonts w:cs="Verdana"/>
                <w:spacing w:val="3"/>
                <w:sz w:val="20"/>
                <w:szCs w:val="20"/>
              </w:rPr>
              <w:t>ili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4"/>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s</w:t>
            </w:r>
            <w:r w:rsidRPr="00537112">
              <w:rPr>
                <w:rFonts w:cs="Verdana"/>
                <w:spacing w:val="-4"/>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E527F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683B8E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5017523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6868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577B0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B6BD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6C92A0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74CCB48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9B9AB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2EC65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EFC4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764CA1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s</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3EA53F7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C35F8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D8F25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950B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1BE516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ud</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r</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1A4D702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47FF7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C54D8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FD44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782764A8" w14:textId="77777777" w:rsidR="00537112" w:rsidRPr="00537112" w:rsidRDefault="00537112" w:rsidP="00537112">
            <w:pPr>
              <w:autoSpaceDE w:val="0"/>
              <w:autoSpaceDN w:val="0"/>
              <w:spacing w:line="214" w:lineRule="exact"/>
              <w:ind w:right="-20"/>
              <w:jc w:val="left"/>
              <w:textAlignment w:val="auto"/>
              <w:rPr>
                <w:rFonts w:ascii="Times New Roman" w:hAnsi="Times New Roman"/>
                <w:lang w:val="pt-BR"/>
              </w:rPr>
            </w:pPr>
            <w:r w:rsidRPr="00537112">
              <w:rPr>
                <w:rFonts w:cs="Verdana"/>
                <w:sz w:val="20"/>
                <w:szCs w:val="20"/>
                <w:lang w:val="pt-BR"/>
              </w:rPr>
              <w:t>W</w:t>
            </w:r>
            <w:r w:rsidRPr="00537112">
              <w:rPr>
                <w:rFonts w:cs="Verdana"/>
                <w:spacing w:val="3"/>
                <w:sz w:val="20"/>
                <w:szCs w:val="20"/>
                <w:lang w:val="pt-BR"/>
              </w:rPr>
              <w:t>il</w:t>
            </w:r>
            <w:r w:rsidRPr="00537112">
              <w:rPr>
                <w:rFonts w:cs="Verdana"/>
                <w:spacing w:val="1"/>
                <w:sz w:val="20"/>
                <w:szCs w:val="20"/>
                <w:lang w:val="pt-BR"/>
              </w:rPr>
              <w:t>m</w:t>
            </w:r>
            <w:r w:rsidRPr="00537112">
              <w:rPr>
                <w:rFonts w:cs="Verdana"/>
                <w:spacing w:val="-1"/>
                <w:sz w:val="20"/>
                <w:szCs w:val="20"/>
                <w:lang w:val="pt-BR"/>
              </w:rPr>
              <w:t>e</w:t>
            </w:r>
            <w:r w:rsidRPr="00537112">
              <w:rPr>
                <w:rFonts w:cs="Verdana"/>
                <w:sz w:val="20"/>
                <w:szCs w:val="20"/>
                <w:lang w:val="pt-BR"/>
              </w:rPr>
              <w:t>r</w:t>
            </w:r>
            <w:r w:rsidRPr="00537112">
              <w:rPr>
                <w:rFonts w:cs="Verdana"/>
                <w:spacing w:val="-9"/>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z w:val="20"/>
                <w:szCs w:val="20"/>
                <w:lang w:val="pt-BR"/>
              </w:rPr>
              <w:t>W</w:t>
            </w:r>
            <w:r w:rsidRPr="00537112">
              <w:rPr>
                <w:rFonts w:cs="Verdana"/>
                <w:spacing w:val="3"/>
                <w:sz w:val="20"/>
                <w:szCs w:val="20"/>
                <w:lang w:val="pt-BR"/>
              </w:rPr>
              <w:t>il</w:t>
            </w:r>
            <w:r w:rsidRPr="00537112">
              <w:rPr>
                <w:rFonts w:cs="Verdana"/>
                <w:spacing w:val="1"/>
                <w:sz w:val="20"/>
                <w:szCs w:val="20"/>
                <w:lang w:val="pt-BR"/>
              </w:rPr>
              <w:t>m</w:t>
            </w:r>
            <w:r w:rsidRPr="00537112">
              <w:rPr>
                <w:rFonts w:cs="Verdana"/>
                <w:spacing w:val="-1"/>
                <w:sz w:val="20"/>
                <w:szCs w:val="20"/>
                <w:lang w:val="pt-BR"/>
              </w:rPr>
              <w:t>e</w:t>
            </w:r>
            <w:r w:rsidRPr="00537112">
              <w:rPr>
                <w:rFonts w:cs="Verdana"/>
                <w:sz w:val="20"/>
                <w:szCs w:val="20"/>
                <w:lang w:val="pt-BR"/>
              </w:rPr>
              <w:t>r</w:t>
            </w:r>
            <w:r w:rsidRPr="00537112">
              <w:rPr>
                <w:rFonts w:cs="Verdana"/>
                <w:spacing w:val="-9"/>
                <w:sz w:val="20"/>
                <w:szCs w:val="20"/>
                <w:lang w:val="pt-BR"/>
              </w:rPr>
              <w:t xml:space="preserve"> </w:t>
            </w:r>
            <w:r w:rsidRPr="00537112">
              <w:rPr>
                <w:rFonts w:cs="Verdana"/>
                <w:spacing w:val="-1"/>
                <w:sz w:val="20"/>
                <w:szCs w:val="20"/>
                <w:lang w:val="pt-BR"/>
              </w:rPr>
              <w:t>E</w:t>
            </w:r>
            <w:r w:rsidRPr="00537112">
              <w:rPr>
                <w:rFonts w:cs="Verdana"/>
                <w:spacing w:val="3"/>
                <w:sz w:val="20"/>
                <w:szCs w:val="20"/>
                <w:lang w:val="pt-BR"/>
              </w:rPr>
              <w:t>li</w:t>
            </w:r>
            <w:r w:rsidRPr="00537112">
              <w:rPr>
                <w:rFonts w:cs="Verdana"/>
                <w:spacing w:val="-1"/>
                <w:sz w:val="20"/>
                <w:szCs w:val="20"/>
                <w:lang w:val="pt-BR"/>
              </w:rPr>
              <w:t>s</w:t>
            </w:r>
            <w:r w:rsidRPr="00537112">
              <w:rPr>
                <w:rFonts w:cs="Verdana"/>
                <w:sz w:val="20"/>
                <w:szCs w:val="20"/>
                <w:lang w:val="pt-BR"/>
              </w:rPr>
              <w:t>a</w:t>
            </w:r>
            <w:r w:rsidRPr="00537112">
              <w:rPr>
                <w:rFonts w:cs="Verdana"/>
                <w:spacing w:val="1"/>
                <w:sz w:val="20"/>
                <w:szCs w:val="20"/>
                <w:lang w:val="pt-BR"/>
              </w:rPr>
              <w:t>nd</w:t>
            </w:r>
            <w:r w:rsidRPr="00537112">
              <w:rPr>
                <w:rFonts w:cs="Verdana"/>
                <w:spacing w:val="-1"/>
                <w:sz w:val="20"/>
                <w:szCs w:val="20"/>
                <w:lang w:val="pt-BR"/>
              </w:rPr>
              <w:t>ro</w:t>
            </w:r>
            <w:r w:rsidRPr="00537112">
              <w:rPr>
                <w:rFonts w:cs="Verdana"/>
                <w:spacing w:val="1"/>
                <w:sz w:val="20"/>
                <w:szCs w:val="20"/>
                <w:lang w:val="pt-BR"/>
              </w:rPr>
              <w:t>)S</w:t>
            </w:r>
            <w:r w:rsidRPr="00537112">
              <w:rPr>
                <w:rFonts w:cs="Verdana"/>
                <w:spacing w:val="3"/>
                <w:sz w:val="20"/>
                <w:szCs w:val="20"/>
                <w:lang w:val="pt-BR"/>
              </w:rPr>
              <w:t>i</w:t>
            </w:r>
            <w:r w:rsidRPr="00537112">
              <w:rPr>
                <w:rFonts w:cs="Verdana"/>
                <w:sz w:val="20"/>
                <w:szCs w:val="20"/>
                <w:lang w:val="pt-BR"/>
              </w:rPr>
              <w:t>c</w:t>
            </w:r>
            <w:r w:rsidRPr="00537112">
              <w:rPr>
                <w:rFonts w:cs="Verdana"/>
                <w:spacing w:val="-14"/>
                <w:sz w:val="20"/>
                <w:szCs w:val="20"/>
                <w:lang w:val="pt-BR"/>
              </w:rPr>
              <w:t xml:space="preserve"> </w:t>
            </w:r>
            <w:r w:rsidRPr="00537112">
              <w:rPr>
                <w:rFonts w:cs="Verdana"/>
                <w:spacing w:val="1"/>
                <w:sz w:val="20"/>
                <w:szCs w:val="20"/>
                <w:lang w:val="pt-BR"/>
              </w:rPr>
              <w:t>S</w:t>
            </w:r>
            <w:r w:rsidRPr="00537112">
              <w:rPr>
                <w:rFonts w:cs="Verdana"/>
                <w:spacing w:val="3"/>
                <w:sz w:val="20"/>
                <w:szCs w:val="20"/>
                <w:lang w:val="pt-BR"/>
              </w:rPr>
              <w:t>is</w:t>
            </w:r>
          </w:p>
        </w:tc>
      </w:tr>
      <w:tr w:rsidR="00537112" w:rsidRPr="00537112" w14:paraId="4059EA4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7D44A08" w14:textId="77777777" w:rsidR="00537112" w:rsidRPr="00537112" w:rsidRDefault="00537112" w:rsidP="00537112">
            <w:pPr>
              <w:autoSpaceDE w:val="0"/>
              <w:autoSpaceDN w:val="0"/>
              <w:spacing w:line="214" w:lineRule="exact"/>
              <w:ind w:right="-20"/>
              <w:jc w:val="left"/>
              <w:textAlignment w:val="auto"/>
              <w:rPr>
                <w:rFonts w:ascii="Times New Roman" w:hAnsi="Times New Roman"/>
                <w:lang w:val="pt-BR"/>
              </w:rPr>
            </w:pPr>
          </w:p>
        </w:tc>
        <w:tc>
          <w:tcPr>
            <w:tcW w:w="3958" w:type="dxa"/>
            <w:vMerge/>
            <w:tcBorders>
              <w:top w:val="single" w:sz="8" w:space="0" w:color="000000"/>
              <w:left w:val="single" w:sz="8" w:space="0" w:color="000000"/>
              <w:bottom w:val="single" w:sz="8" w:space="0" w:color="000000"/>
              <w:right w:val="single" w:sz="8" w:space="0" w:color="000000"/>
            </w:tcBorders>
          </w:tcPr>
          <w:p w14:paraId="1628E1C9" w14:textId="77777777" w:rsidR="00537112" w:rsidRPr="00537112" w:rsidRDefault="00537112" w:rsidP="00537112">
            <w:pPr>
              <w:autoSpaceDE w:val="0"/>
              <w:autoSpaceDN w:val="0"/>
              <w:spacing w:line="214" w:lineRule="exact"/>
              <w:ind w:right="-20"/>
              <w:jc w:val="left"/>
              <w:textAlignment w:val="auto"/>
              <w:rPr>
                <w:rFonts w:ascii="Times New Roman" w:hAnsi="Times New Roman"/>
                <w:lang w:val="pt-BR"/>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6A9D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4A2674C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O</w:t>
            </w:r>
            <w:r w:rsidRPr="00537112">
              <w:rPr>
                <w:rFonts w:cs="Verdana"/>
                <w:spacing w:val="1"/>
                <w:sz w:val="20"/>
                <w:szCs w:val="20"/>
              </w:rPr>
              <w:t>bdu</w:t>
            </w:r>
            <w:r w:rsidRPr="00537112">
              <w:rPr>
                <w:rFonts w:cs="Verdana"/>
                <w:spacing w:val="3"/>
                <w:sz w:val="20"/>
                <w:szCs w:val="20"/>
              </w:rPr>
              <w:t>li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s</w:t>
            </w:r>
          </w:p>
        </w:tc>
      </w:tr>
      <w:tr w:rsidR="00537112" w:rsidRPr="00537112" w14:paraId="11D9C7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47C86C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84C090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802AE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09E0D86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L</w:t>
            </w:r>
            <w:r w:rsidRPr="00537112">
              <w:rPr>
                <w:rFonts w:cs="Verdana"/>
                <w:spacing w:val="3"/>
                <w:sz w:val="20"/>
                <w:szCs w:val="20"/>
              </w:rPr>
              <w:t>ili</w:t>
            </w:r>
            <w:r w:rsidRPr="00537112">
              <w:rPr>
                <w:rFonts w:cs="Verdana"/>
                <w:sz w:val="20"/>
                <w:szCs w:val="20"/>
              </w:rPr>
              <w:t>an</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ec</w:t>
            </w:r>
            <w:r w:rsidRPr="00537112">
              <w:rPr>
                <w:rFonts w:cs="Verdana"/>
                <w:spacing w:val="3"/>
                <w:sz w:val="20"/>
                <w:szCs w:val="20"/>
              </w:rPr>
              <w:t>ili</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S</w:t>
            </w:r>
            <w:r w:rsidRPr="00537112">
              <w:rPr>
                <w:rFonts w:cs="Verdana"/>
                <w:spacing w:val="3"/>
                <w:sz w:val="20"/>
                <w:szCs w:val="20"/>
              </w:rPr>
              <w:t>is</w:t>
            </w:r>
          </w:p>
        </w:tc>
      </w:tr>
      <w:tr w:rsidR="00537112" w:rsidRPr="00537112" w14:paraId="73CD16A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C821B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AC15E1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7445E1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4D9A2B7"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0C443FF1"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51</w:t>
            </w:r>
          </w:p>
        </w:tc>
        <w:tc>
          <w:tcPr>
            <w:tcW w:w="3958" w:type="dxa"/>
            <w:vMerge w:val="restart"/>
            <w:tcBorders>
              <w:top w:val="single" w:sz="8" w:space="0" w:color="000000"/>
              <w:left w:val="single" w:sz="8" w:space="0" w:color="000000"/>
              <w:bottom w:val="single" w:sz="8" w:space="0" w:color="000000"/>
              <w:right w:val="single" w:sz="8" w:space="0" w:color="000000"/>
            </w:tcBorders>
          </w:tcPr>
          <w:p w14:paraId="3155C4E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26F051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82422C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D56B55C"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6278636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ce</w:t>
            </w:r>
            <w:r w:rsidRPr="00537112">
              <w:rPr>
                <w:rFonts w:cs="Verdana"/>
                <w:spacing w:val="1"/>
                <w:sz w:val="20"/>
                <w:szCs w:val="20"/>
              </w:rPr>
              <w:t>nt</w:t>
            </w:r>
            <w:r w:rsidRPr="00537112">
              <w:rPr>
                <w:rFonts w:cs="Verdana"/>
                <w:sz w:val="20"/>
                <w:szCs w:val="20"/>
              </w:rPr>
              <w:t>e</w:t>
            </w:r>
            <w:r w:rsidRPr="00537112">
              <w:rPr>
                <w:rFonts w:cs="Verdana"/>
                <w:spacing w:val="-9"/>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Osor</w:t>
            </w:r>
            <w:r w:rsidRPr="00537112">
              <w:rPr>
                <w:rFonts w:cs="Verdana"/>
                <w:spacing w:val="3"/>
                <w:sz w:val="20"/>
                <w:szCs w:val="20"/>
              </w:rPr>
              <w:t>i</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8B91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68572F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5CAD3A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DEBDD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C971B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BF601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3794A5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Max</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7A39275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AB1B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B5BD0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608A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3EA5D0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m</w:t>
            </w:r>
            <w:r w:rsidRPr="00537112">
              <w:rPr>
                <w:rFonts w:cs="Verdana"/>
                <w:spacing w:val="-1"/>
                <w:position w:val="-1"/>
                <w:sz w:val="20"/>
                <w:szCs w:val="20"/>
              </w:rPr>
              <w:t>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4EE8648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DA6C3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1B5DD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097D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3C16B9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4E103E8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464C9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850B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016E1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78D2E7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2B3CACD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03AD1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B8E7C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59CF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7484F1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4492306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BED7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15B09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8D0C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0A1AE3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0E4E9DB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576D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220C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4B07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4A6E8E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01F409E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064621"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00BD647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CC3E21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C5D41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674BA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ECE2DD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52</w:t>
            </w:r>
          </w:p>
        </w:tc>
        <w:tc>
          <w:tcPr>
            <w:tcW w:w="3958" w:type="dxa"/>
            <w:vMerge w:val="restart"/>
            <w:tcBorders>
              <w:top w:val="single" w:sz="8" w:space="0" w:color="000000"/>
              <w:left w:val="single" w:sz="8" w:space="0" w:color="000000"/>
              <w:bottom w:val="single" w:sz="8" w:space="0" w:color="000000"/>
              <w:right w:val="single" w:sz="8" w:space="0" w:color="000000"/>
            </w:tcBorders>
          </w:tcPr>
          <w:p w14:paraId="66C0AE33"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08E7BD5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D583C4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D0E338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4DCC9C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53555B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t</w:t>
            </w:r>
            <w:r w:rsidRPr="00537112">
              <w:rPr>
                <w:rFonts w:cs="Verdana"/>
                <w:spacing w:val="-1"/>
                <w:sz w:val="20"/>
                <w:szCs w:val="20"/>
              </w:rPr>
              <w:t>roc</w:t>
            </w:r>
            <w:r w:rsidRPr="00537112">
              <w:rPr>
                <w:rFonts w:cs="Verdana"/>
                <w:spacing w:val="3"/>
                <w:sz w:val="20"/>
                <w:szCs w:val="20"/>
              </w:rPr>
              <w:t>i</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2654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1B9017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0B05D4B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2C3B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DEB0F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C34F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68BF39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of</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267E271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BDCA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11999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256F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0D2D86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2AFBDA4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0ADF4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84AC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8DFD8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4E6F9D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3FA1A21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F0B3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F28BE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91EFE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35209F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65D666E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D477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FF8F1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C563F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73CEF6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2D271EB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D359A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7FCA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90A3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00D2AC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66FAA76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0D147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AD8E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82F77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4006FB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6B5328C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F610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2F66E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2EEDF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30F613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5D7EDB2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4FB29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C82CDC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1D286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6A4D555"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0C9901C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53</w:t>
            </w:r>
          </w:p>
        </w:tc>
        <w:tc>
          <w:tcPr>
            <w:tcW w:w="3958" w:type="dxa"/>
            <w:vMerge w:val="restart"/>
            <w:tcBorders>
              <w:top w:val="single" w:sz="8" w:space="0" w:color="000000"/>
              <w:left w:val="single" w:sz="8" w:space="0" w:color="000000"/>
              <w:bottom w:val="single" w:sz="8" w:space="0" w:color="000000"/>
              <w:right w:val="single" w:sz="8" w:space="0" w:color="000000"/>
            </w:tcBorders>
          </w:tcPr>
          <w:p w14:paraId="64E559A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AD1DE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56116A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8AE3E62"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F9C274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é</w:t>
            </w:r>
            <w:r w:rsidRPr="00537112">
              <w:rPr>
                <w:rFonts w:cs="Verdana"/>
                <w:spacing w:val="3"/>
                <w:sz w:val="20"/>
                <w:szCs w:val="20"/>
              </w:rPr>
              <w:t>li</w:t>
            </w:r>
            <w:r w:rsidRPr="00537112">
              <w:rPr>
                <w:rFonts w:cs="Verdana"/>
                <w:sz w:val="20"/>
                <w:szCs w:val="20"/>
              </w:rPr>
              <w:t>x</w:t>
            </w:r>
            <w:r w:rsidRPr="00537112">
              <w:rPr>
                <w:rFonts w:cs="Verdana"/>
                <w:spacing w:val="-6"/>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9B4A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448C82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or</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z</w:t>
            </w:r>
          </w:p>
        </w:tc>
      </w:tr>
      <w:tr w:rsidR="00537112" w:rsidRPr="00537112" w14:paraId="47F5F33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6AB38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1A330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7E4E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148EDE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5C0BBD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17FBB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C50A9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838D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5AE31C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4797A3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DF2FE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E0ADA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6D3D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26CB68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position w:val="-1"/>
                <w:sz w:val="20"/>
                <w:szCs w:val="20"/>
              </w:rPr>
              <w:t>z</w:t>
            </w:r>
            <w:r w:rsidRPr="00537112">
              <w:rPr>
                <w:rFonts w:cs="Verdana"/>
                <w:spacing w:val="-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259B20C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3539E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9F83A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2D644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110270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z</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44F5436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452D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7FD3A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8B151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1599B6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y</w:t>
            </w:r>
            <w:r w:rsidRPr="00537112">
              <w:rPr>
                <w:rFonts w:cs="Verdana"/>
                <w:spacing w:val="-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E40014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26D2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5DD9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6105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6013AF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ub</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1EB0F15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87E34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A450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A2DB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00BE46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Lore</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ug</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343F5DC7"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2654E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A948BF5"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1FCA0A4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54</w:t>
            </w:r>
          </w:p>
        </w:tc>
        <w:tc>
          <w:tcPr>
            <w:tcW w:w="3958" w:type="dxa"/>
            <w:vMerge w:val="restart"/>
            <w:tcBorders>
              <w:top w:val="single" w:sz="8" w:space="0" w:color="000000"/>
              <w:left w:val="single" w:sz="8" w:space="0" w:color="000000"/>
              <w:bottom w:val="single" w:sz="8" w:space="0" w:color="000000"/>
              <w:right w:val="single" w:sz="8" w:space="0" w:color="000000"/>
            </w:tcBorders>
          </w:tcPr>
          <w:p w14:paraId="24F87CC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BD7A49C"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AD2F3B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m</w:t>
            </w:r>
            <w:r w:rsidRPr="00537112">
              <w:rPr>
                <w:rFonts w:cs="Verdana"/>
                <w:spacing w:val="-1"/>
                <w:sz w:val="20"/>
                <w:szCs w:val="20"/>
              </w:rPr>
              <w:t>e</w:t>
            </w:r>
            <w:r w:rsidRPr="00537112">
              <w:rPr>
                <w:rFonts w:cs="Verdana"/>
                <w:spacing w:val="1"/>
                <w:sz w:val="20"/>
                <w:szCs w:val="20"/>
              </w:rPr>
              <w:t>t</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z w:val="20"/>
                <w:szCs w:val="20"/>
              </w:rPr>
              <w:t>Ca</w:t>
            </w:r>
            <w:r w:rsidRPr="00537112">
              <w:rPr>
                <w:rFonts w:cs="Verdana"/>
                <w:spacing w:val="1"/>
                <w:sz w:val="20"/>
                <w:szCs w:val="20"/>
              </w:rPr>
              <w:t>hu</w:t>
            </w:r>
            <w:r w:rsidRPr="00537112">
              <w:rPr>
                <w:rFonts w:cs="Verdana"/>
                <w:spacing w:val="-1"/>
                <w:sz w:val="20"/>
                <w:szCs w:val="20"/>
              </w:rPr>
              <w:t>e</w:t>
            </w:r>
            <w:r w:rsidRPr="00537112">
              <w:rPr>
                <w:rFonts w:cs="Verdana"/>
                <w:sz w:val="20"/>
                <w:szCs w:val="20"/>
              </w:rPr>
              <w:t>c</w:t>
            </w:r>
            <w:r w:rsidRPr="00537112">
              <w:rPr>
                <w:rFonts w:cs="Verdana"/>
                <w:spacing w:val="-8"/>
                <w:sz w:val="20"/>
                <w:szCs w:val="20"/>
              </w:rPr>
              <w:t xml:space="preserve"> </w:t>
            </w:r>
            <w:r w:rsidRPr="00537112">
              <w:rPr>
                <w:rFonts w:cs="Verdana"/>
                <w:spacing w:val="1"/>
                <w:sz w:val="20"/>
                <w:szCs w:val="20"/>
              </w:rPr>
              <w:t>J</w:t>
            </w:r>
            <w:r w:rsidRPr="00537112">
              <w:rPr>
                <w:rFonts w:cs="Verdana"/>
                <w:spacing w:val="-1"/>
                <w:sz w:val="20"/>
                <w:szCs w:val="20"/>
              </w:rPr>
              <w:t>eró</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m</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9DC79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3A1E37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éf</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1764FBA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DFD77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FDC87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A3471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58E9AB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b</w:t>
            </w:r>
            <w:r w:rsidRPr="00537112">
              <w:rPr>
                <w:rFonts w:cs="Verdana"/>
                <w:spacing w:val="3"/>
                <w:position w:val="-1"/>
                <w:sz w:val="20"/>
                <w:szCs w:val="20"/>
              </w:rPr>
              <w:t>l</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4224E61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81731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D984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CD52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12D2F5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40304FF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C9BF5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2D72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88996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114C88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n</w:t>
            </w:r>
            <w:r w:rsidRPr="00537112">
              <w:rPr>
                <w:rFonts w:cs="Verdana"/>
                <w:spacing w:val="-1"/>
                <w:position w:val="-1"/>
                <w:sz w:val="20"/>
                <w:szCs w:val="20"/>
              </w:rPr>
              <w:t>oce</w:t>
            </w:r>
            <w:r w:rsidRPr="00537112">
              <w:rPr>
                <w:rFonts w:cs="Verdana"/>
                <w:spacing w:val="1"/>
                <w:position w:val="-1"/>
                <w:sz w:val="20"/>
                <w:szCs w:val="20"/>
              </w:rPr>
              <w:t>nt</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3F85B19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87797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F0D6F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8768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42B89D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position w:val="-1"/>
                <w:sz w:val="20"/>
                <w:szCs w:val="20"/>
              </w:rPr>
              <w:t>a</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ecóc</w:t>
            </w:r>
          </w:p>
        </w:tc>
      </w:tr>
      <w:tr w:rsidR="00537112" w:rsidRPr="00537112" w14:paraId="46B37D9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F9E41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AF123A"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65B21CC"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55</w:t>
            </w:r>
          </w:p>
        </w:tc>
        <w:tc>
          <w:tcPr>
            <w:tcW w:w="3958" w:type="dxa"/>
            <w:vMerge w:val="restart"/>
            <w:tcBorders>
              <w:top w:val="single" w:sz="8" w:space="0" w:color="000000"/>
              <w:left w:val="single" w:sz="8" w:space="0" w:color="000000"/>
              <w:bottom w:val="single" w:sz="8" w:space="0" w:color="000000"/>
              <w:right w:val="single" w:sz="8" w:space="0" w:color="000000"/>
            </w:tcBorders>
          </w:tcPr>
          <w:p w14:paraId="312C6A1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0FEE2203"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lang w:val="pt-BR"/>
              </w:rPr>
            </w:pPr>
          </w:p>
          <w:p w14:paraId="3D9B8F07" w14:textId="77777777" w:rsidR="00537112" w:rsidRPr="00537112" w:rsidRDefault="00537112" w:rsidP="00537112">
            <w:pPr>
              <w:autoSpaceDE w:val="0"/>
              <w:autoSpaceDN w:val="0"/>
              <w:spacing w:line="240" w:lineRule="auto"/>
              <w:ind w:right="-20"/>
              <w:jc w:val="left"/>
              <w:textAlignment w:val="auto"/>
              <w:rPr>
                <w:rFonts w:ascii="Times New Roman" w:hAnsi="Times New Roman"/>
                <w:lang w:val="pt-BR"/>
              </w:rPr>
            </w:pPr>
            <w:r w:rsidRPr="00537112">
              <w:rPr>
                <w:rFonts w:cs="Verdana"/>
                <w:spacing w:val="-1"/>
                <w:sz w:val="20"/>
                <w:szCs w:val="20"/>
                <w:lang w:val="pt-BR"/>
              </w:rPr>
              <w:t>Gre</w:t>
            </w:r>
            <w:r w:rsidRPr="00537112">
              <w:rPr>
                <w:rFonts w:cs="Verdana"/>
                <w:spacing w:val="1"/>
                <w:sz w:val="20"/>
                <w:szCs w:val="20"/>
                <w:lang w:val="pt-BR"/>
              </w:rPr>
              <w:t>g</w:t>
            </w:r>
            <w:r w:rsidRPr="00537112">
              <w:rPr>
                <w:rFonts w:cs="Verdana"/>
                <w:spacing w:val="-1"/>
                <w:sz w:val="20"/>
                <w:szCs w:val="20"/>
                <w:lang w:val="pt-BR"/>
              </w:rPr>
              <w:t>or</w:t>
            </w:r>
            <w:r w:rsidRPr="00537112">
              <w:rPr>
                <w:rFonts w:cs="Verdana"/>
                <w:spacing w:val="3"/>
                <w:sz w:val="20"/>
                <w:szCs w:val="20"/>
                <w:lang w:val="pt-BR"/>
              </w:rPr>
              <w:t>i</w:t>
            </w:r>
            <w:r w:rsidRPr="00537112">
              <w:rPr>
                <w:rFonts w:cs="Verdana"/>
                <w:sz w:val="20"/>
                <w:szCs w:val="20"/>
                <w:lang w:val="pt-BR"/>
              </w:rPr>
              <w:t>a</w:t>
            </w:r>
            <w:r w:rsidRPr="00537112">
              <w:rPr>
                <w:rFonts w:cs="Verdana"/>
                <w:spacing w:val="-9"/>
                <w:sz w:val="20"/>
                <w:szCs w:val="20"/>
                <w:lang w:val="pt-BR"/>
              </w:rPr>
              <w:t xml:space="preserve"> </w:t>
            </w:r>
            <w:r w:rsidRPr="00537112">
              <w:rPr>
                <w:rFonts w:cs="Verdana"/>
                <w:spacing w:val="1"/>
                <w:sz w:val="20"/>
                <w:szCs w:val="20"/>
                <w:lang w:val="pt-BR"/>
              </w:rPr>
              <w:t>V</w:t>
            </w:r>
            <w:r w:rsidRPr="00537112">
              <w:rPr>
                <w:rFonts w:cs="Verdana"/>
                <w:sz w:val="20"/>
                <w:szCs w:val="20"/>
                <w:lang w:val="pt-BR"/>
              </w:rPr>
              <w:t>a</w:t>
            </w:r>
            <w:r w:rsidRPr="00537112">
              <w:rPr>
                <w:rFonts w:cs="Verdana"/>
                <w:spacing w:val="3"/>
                <w:sz w:val="20"/>
                <w:szCs w:val="20"/>
                <w:lang w:val="pt-BR"/>
              </w:rPr>
              <w:t>l</w:t>
            </w:r>
            <w:r w:rsidRPr="00537112">
              <w:rPr>
                <w:rFonts w:cs="Verdana"/>
                <w:spacing w:val="-1"/>
                <w:sz w:val="20"/>
                <w:szCs w:val="20"/>
                <w:lang w:val="pt-BR"/>
              </w:rPr>
              <w:t>e</w:t>
            </w:r>
            <w:r w:rsidRPr="00537112">
              <w:rPr>
                <w:rFonts w:cs="Verdana"/>
                <w:sz w:val="20"/>
                <w:szCs w:val="20"/>
                <w:lang w:val="pt-BR"/>
              </w:rPr>
              <w:t>y</w:t>
            </w:r>
            <w:r w:rsidRPr="00537112">
              <w:rPr>
                <w:rFonts w:cs="Verdana"/>
                <w:spacing w:val="-6"/>
                <w:sz w:val="20"/>
                <w:szCs w:val="20"/>
                <w:lang w:val="pt-BR"/>
              </w:rPr>
              <w:t xml:space="preserve"> </w:t>
            </w:r>
            <w:r w:rsidRPr="00537112">
              <w:rPr>
                <w:rFonts w:cs="Verdana"/>
                <w:spacing w:val="-2"/>
                <w:sz w:val="20"/>
                <w:szCs w:val="20"/>
                <w:lang w:val="pt-BR"/>
              </w:rPr>
              <w:t>I</w:t>
            </w:r>
            <w:r w:rsidRPr="00537112">
              <w:rPr>
                <w:rFonts w:cs="Verdana"/>
                <w:sz w:val="20"/>
                <w:szCs w:val="20"/>
                <w:lang w:val="pt-BR"/>
              </w:rPr>
              <w:t>x</w:t>
            </w:r>
            <w:r w:rsidRPr="00537112">
              <w:rPr>
                <w:rFonts w:cs="Verdana"/>
                <w:spacing w:val="1"/>
                <w:sz w:val="20"/>
                <w:szCs w:val="20"/>
                <w:lang w:val="pt-BR"/>
              </w:rPr>
              <w:t>t</w:t>
            </w:r>
            <w:r w:rsidRPr="00537112">
              <w:rPr>
                <w:rFonts w:cs="Verdana"/>
                <w:spacing w:val="-1"/>
                <w:sz w:val="20"/>
                <w:szCs w:val="20"/>
                <w:lang w:val="pt-BR"/>
              </w:rPr>
              <w:t>eco</w:t>
            </w:r>
            <w:r w:rsidRPr="00537112">
              <w:rPr>
                <w:rFonts w:cs="Verdana"/>
                <w:sz w:val="20"/>
                <w:szCs w:val="20"/>
                <w:lang w:val="pt-BR"/>
              </w:rPr>
              <w:t>c</w:t>
            </w:r>
            <w:r w:rsidRPr="00537112">
              <w:rPr>
                <w:rFonts w:cs="Verdana"/>
                <w:spacing w:val="-8"/>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z w:val="20"/>
                <w:szCs w:val="20"/>
                <w:lang w:val="pt-BR"/>
              </w:rPr>
              <w:t>Yx</w:t>
            </w:r>
            <w:r w:rsidRPr="00537112">
              <w:rPr>
                <w:rFonts w:cs="Verdana"/>
                <w:spacing w:val="1"/>
                <w:sz w:val="20"/>
                <w:szCs w:val="20"/>
                <w:lang w:val="pt-BR"/>
              </w:rPr>
              <w:t>t</w:t>
            </w:r>
            <w:r w:rsidRPr="00537112">
              <w:rPr>
                <w:rFonts w:cs="Verdana"/>
                <w:spacing w:val="-1"/>
                <w:sz w:val="20"/>
                <w:szCs w:val="20"/>
                <w:lang w:val="pt-BR"/>
              </w:rPr>
              <w:t>ecoc</w:t>
            </w:r>
            <w:r w:rsidRPr="00537112">
              <w:rPr>
                <w:rFonts w:cs="Verdana"/>
                <w:sz w:val="20"/>
                <w:szCs w:val="20"/>
                <w:lang w:val="pt-BR"/>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CAD3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671C60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j</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oso</w:t>
            </w:r>
            <w:r w:rsidRPr="00537112">
              <w:rPr>
                <w:rFonts w:cs="Verdana"/>
                <w:position w:val="-1"/>
                <w:sz w:val="20"/>
                <w:szCs w:val="20"/>
              </w:rPr>
              <w:t>)</w:t>
            </w:r>
          </w:p>
        </w:tc>
      </w:tr>
      <w:tr w:rsidR="00537112" w:rsidRPr="00537112" w14:paraId="6F09A07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EE4FA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62E8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7244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7CB2B6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ás</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0531FA2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F5EAB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DE67A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0236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55E675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j</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j</w:t>
            </w:r>
            <w:r w:rsidRPr="00537112">
              <w:rPr>
                <w:rFonts w:cs="Verdana"/>
                <w:spacing w:val="-1"/>
                <w:position w:val="-1"/>
                <w:sz w:val="20"/>
                <w:szCs w:val="20"/>
              </w:rPr>
              <w:t>o</w:t>
            </w:r>
            <w:r w:rsidRPr="00537112">
              <w:rPr>
                <w:rFonts w:cs="Verdana"/>
                <w:position w:val="-1"/>
                <w:sz w:val="20"/>
                <w:szCs w:val="20"/>
              </w:rPr>
              <w:t>)</w:t>
            </w:r>
          </w:p>
        </w:tc>
      </w:tr>
      <w:tr w:rsidR="00537112" w:rsidRPr="00537112" w14:paraId="5779E4E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579E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736A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C2BB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00ABBC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Máx</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364052E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4FFB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7A5E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94AF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61207B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00EB354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B8324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16E35B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0ECE5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F0E05C3"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58001235"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56</w:t>
            </w:r>
          </w:p>
        </w:tc>
        <w:tc>
          <w:tcPr>
            <w:tcW w:w="3958" w:type="dxa"/>
            <w:vMerge w:val="restart"/>
            <w:tcBorders>
              <w:top w:val="single" w:sz="8" w:space="0" w:color="000000"/>
              <w:left w:val="single" w:sz="8" w:space="0" w:color="000000"/>
              <w:bottom w:val="single" w:sz="8" w:space="0" w:color="000000"/>
              <w:right w:val="single" w:sz="8" w:space="0" w:color="000000"/>
            </w:tcBorders>
          </w:tcPr>
          <w:p w14:paraId="15C76B9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E76A49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8952BE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C2A1E7"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EC9D1F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il</w:t>
            </w:r>
            <w:r w:rsidRPr="00537112">
              <w:rPr>
                <w:rFonts w:cs="Verdana"/>
                <w:sz w:val="20"/>
                <w:szCs w:val="20"/>
              </w:rPr>
              <w:t>v</w:t>
            </w:r>
            <w:r w:rsidRPr="00537112">
              <w:rPr>
                <w:rFonts w:cs="Verdana"/>
                <w:spacing w:val="-1"/>
                <w:sz w:val="20"/>
                <w:szCs w:val="20"/>
              </w:rPr>
              <w:t>es</w:t>
            </w:r>
            <w:r w:rsidRPr="00537112">
              <w:rPr>
                <w:rFonts w:cs="Verdana"/>
                <w:spacing w:val="1"/>
                <w:sz w:val="20"/>
                <w:szCs w:val="20"/>
              </w:rPr>
              <w:t>t</w:t>
            </w:r>
            <w:r w:rsidRPr="00537112">
              <w:rPr>
                <w:rFonts w:cs="Verdana"/>
                <w:spacing w:val="-1"/>
                <w:sz w:val="20"/>
                <w:szCs w:val="20"/>
              </w:rPr>
              <w:t>r</w:t>
            </w:r>
            <w:r w:rsidRPr="00537112">
              <w:rPr>
                <w:rFonts w:cs="Verdana"/>
                <w:sz w:val="20"/>
                <w:szCs w:val="20"/>
              </w:rPr>
              <w:t>e</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F89C4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533705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1"/>
                <w:position w:val="-1"/>
                <w:sz w:val="20"/>
                <w:szCs w:val="20"/>
              </w:rPr>
              <w:t>ce</w:t>
            </w:r>
            <w:r w:rsidRPr="00537112">
              <w:rPr>
                <w:rFonts w:cs="Verdana"/>
                <w:spacing w:val="1"/>
                <w:position w:val="-1"/>
                <w:sz w:val="20"/>
                <w:szCs w:val="20"/>
              </w:rPr>
              <w:t>p</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n</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6B8408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A68D3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294C0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9752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0B577F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1C347E5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58FD2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97D35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7841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5766C2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5BF72D6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DE72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4DB24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1F2B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54C671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1"/>
                <w:position w:val="-1"/>
                <w:sz w:val="20"/>
                <w:szCs w:val="20"/>
              </w:rPr>
              <w:t>ro</w:t>
            </w:r>
            <w:r w:rsidRPr="00537112">
              <w:rPr>
                <w:rFonts w:cs="Verdana"/>
                <w:spacing w:val="1"/>
                <w:position w:val="-1"/>
                <w:sz w:val="20"/>
                <w:szCs w:val="20"/>
              </w:rPr>
              <w:t>n</w:t>
            </w:r>
            <w:r w:rsidRPr="00537112">
              <w:rPr>
                <w:rFonts w:cs="Verdana"/>
                <w:spacing w:val="3"/>
                <w:position w:val="-1"/>
                <w:sz w:val="20"/>
                <w:szCs w:val="20"/>
              </w:rPr>
              <w:t>il</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6E31046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496ED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D2E33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7602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1A5948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656972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8221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03CEC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3FBB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340601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102087E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68B1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0678E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D66E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60574C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56A6C3B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0B6C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0526A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4CD65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2</w:t>
            </w:r>
            <w:r w:rsidRPr="00537112">
              <w:rPr>
                <w:rFonts w:cs="Verdana"/>
                <w:spacing w:val="1"/>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16CD22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r>
      <w:tr w:rsidR="00537112" w:rsidRPr="00537112" w14:paraId="713AEC0A" w14:textId="77777777" w:rsidTr="00630EEC">
        <w:trPr>
          <w:trHeight w:hRule="exact" w:val="334"/>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6AF299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8DC0F41" w14:textId="77777777" w:rsidR="00537112" w:rsidRPr="00537112" w:rsidRDefault="00537112" w:rsidP="00537112">
            <w:pPr>
              <w:autoSpaceDE w:val="0"/>
              <w:autoSpaceDN w:val="0"/>
              <w:spacing w:before="9" w:line="280" w:lineRule="exact"/>
              <w:jc w:val="left"/>
              <w:textAlignment w:val="auto"/>
              <w:rPr>
                <w:rFonts w:ascii="Times New Roman" w:hAnsi="Times New Roman"/>
                <w:sz w:val="28"/>
                <w:szCs w:val="28"/>
              </w:rPr>
            </w:pPr>
          </w:p>
          <w:p w14:paraId="4D41F25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57</w:t>
            </w:r>
          </w:p>
        </w:tc>
        <w:tc>
          <w:tcPr>
            <w:tcW w:w="3958" w:type="dxa"/>
            <w:vMerge w:val="restart"/>
            <w:tcBorders>
              <w:top w:val="single" w:sz="8" w:space="0" w:color="000000"/>
              <w:left w:val="single" w:sz="8" w:space="0" w:color="000000"/>
              <w:bottom w:val="single" w:sz="8" w:space="0" w:color="000000"/>
              <w:right w:val="single" w:sz="8" w:space="0" w:color="000000"/>
            </w:tcBorders>
          </w:tcPr>
          <w:p w14:paraId="75FA3F7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613529" w14:textId="77777777" w:rsidR="00537112" w:rsidRPr="00537112" w:rsidRDefault="00537112" w:rsidP="00537112">
            <w:pPr>
              <w:autoSpaceDE w:val="0"/>
              <w:autoSpaceDN w:val="0"/>
              <w:spacing w:before="9" w:line="280" w:lineRule="exact"/>
              <w:jc w:val="left"/>
              <w:textAlignment w:val="auto"/>
              <w:rPr>
                <w:rFonts w:ascii="Times New Roman" w:hAnsi="Times New Roman"/>
                <w:sz w:val="28"/>
                <w:szCs w:val="28"/>
              </w:rPr>
            </w:pPr>
          </w:p>
          <w:p w14:paraId="58412EA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ay</w:t>
            </w:r>
            <w:r w:rsidRPr="00537112">
              <w:rPr>
                <w:rFonts w:cs="Verdana"/>
                <w:spacing w:val="1"/>
                <w:sz w:val="20"/>
                <w:szCs w:val="20"/>
              </w:rPr>
              <w:t>mund</w:t>
            </w:r>
            <w:r w:rsidRPr="00537112">
              <w:rPr>
                <w:rFonts w:cs="Verdana"/>
                <w:sz w:val="20"/>
                <w:szCs w:val="20"/>
              </w:rPr>
              <w:t>a</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c</w:t>
            </w:r>
            <w:r w:rsidRPr="00537112">
              <w:rPr>
                <w:rFonts w:cs="Verdana"/>
                <w:sz w:val="20"/>
                <w:szCs w:val="20"/>
              </w:rPr>
              <w:t>al</w:t>
            </w:r>
            <w:r w:rsidRPr="00537112">
              <w:rPr>
                <w:rFonts w:cs="Verdana"/>
                <w:spacing w:val="-3"/>
                <w:sz w:val="20"/>
                <w:szCs w:val="20"/>
              </w:rPr>
              <w:t xml:space="preserve"> </w:t>
            </w:r>
            <w:r w:rsidRPr="00537112">
              <w:rPr>
                <w:rFonts w:cs="Verdana"/>
                <w:sz w:val="20"/>
                <w:szCs w:val="20"/>
              </w:rPr>
              <w:t>C</w:t>
            </w:r>
            <w:r w:rsidRPr="00537112">
              <w:rPr>
                <w:rFonts w:cs="Verdana"/>
                <w:spacing w:val="-1"/>
                <w:sz w:val="20"/>
                <w:szCs w:val="20"/>
              </w:rPr>
              <w:t>or</w:t>
            </w:r>
            <w:r w:rsidRPr="00537112">
              <w:rPr>
                <w:rFonts w:cs="Verdana"/>
                <w:sz w:val="20"/>
                <w:szCs w:val="20"/>
              </w:rPr>
              <w:t>a</w:t>
            </w:r>
            <w:r w:rsidRPr="00537112">
              <w:rPr>
                <w:rFonts w:cs="Verdana"/>
                <w:spacing w:val="1"/>
                <w:sz w:val="20"/>
                <w:szCs w:val="20"/>
              </w:rPr>
              <w:t>z</w:t>
            </w:r>
            <w:r w:rsidRPr="00537112">
              <w:rPr>
                <w:rFonts w:cs="Verdana"/>
                <w:spacing w:val="-1"/>
                <w:sz w:val="20"/>
                <w:szCs w:val="20"/>
              </w:rPr>
              <w:t>ó</w:t>
            </w:r>
            <w:r w:rsidRPr="00537112">
              <w:rPr>
                <w:rFonts w:cs="Verdana"/>
                <w:sz w:val="20"/>
                <w:szCs w:val="20"/>
              </w:rPr>
              <w:t>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A77E74" w14:textId="77777777" w:rsidR="00537112" w:rsidRPr="00537112" w:rsidRDefault="00537112" w:rsidP="00537112">
            <w:pPr>
              <w:autoSpaceDE w:val="0"/>
              <w:autoSpaceDN w:val="0"/>
              <w:spacing w:before="33"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4FAB1469" w14:textId="77777777" w:rsidR="00537112" w:rsidRPr="00537112" w:rsidRDefault="00537112" w:rsidP="00537112">
            <w:pPr>
              <w:autoSpaceDE w:val="0"/>
              <w:autoSpaceDN w:val="0"/>
              <w:spacing w:before="33"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m</w:t>
            </w:r>
            <w:r w:rsidRPr="00537112">
              <w:rPr>
                <w:rFonts w:cs="Verdana"/>
                <w:spacing w:val="-1"/>
                <w:sz w:val="20"/>
                <w:szCs w:val="20"/>
              </w:rPr>
              <w:t>ó</w:t>
            </w:r>
            <w:r w:rsidRPr="00537112">
              <w:rPr>
                <w:rFonts w:cs="Verdana"/>
                <w:sz w:val="20"/>
                <w:szCs w:val="20"/>
              </w:rPr>
              <w:t>n</w:t>
            </w:r>
            <w:r w:rsidRPr="00537112">
              <w:rPr>
                <w:rFonts w:cs="Verdana"/>
                <w:spacing w:val="-7"/>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r>
      <w:tr w:rsidR="00537112" w:rsidRPr="00537112" w14:paraId="280C89D9" w14:textId="77777777" w:rsidTr="00630EEC">
        <w:trPr>
          <w:trHeight w:hRule="exact" w:val="434"/>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7E2B0C" w14:textId="77777777" w:rsidR="00537112" w:rsidRPr="00537112" w:rsidRDefault="00537112" w:rsidP="00537112">
            <w:pPr>
              <w:autoSpaceDE w:val="0"/>
              <w:autoSpaceDN w:val="0"/>
              <w:spacing w:before="33"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F466F76" w14:textId="77777777" w:rsidR="00537112" w:rsidRPr="00537112" w:rsidRDefault="00537112" w:rsidP="00537112">
            <w:pPr>
              <w:autoSpaceDE w:val="0"/>
              <w:autoSpaceDN w:val="0"/>
              <w:spacing w:before="33"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2EBE56" w14:textId="77777777" w:rsidR="00537112" w:rsidRPr="00537112" w:rsidRDefault="00537112" w:rsidP="00537112">
            <w:pPr>
              <w:autoSpaceDE w:val="0"/>
              <w:autoSpaceDN w:val="0"/>
              <w:spacing w:before="83"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4848B31F" w14:textId="77777777" w:rsidR="00537112" w:rsidRPr="00537112" w:rsidRDefault="00537112" w:rsidP="00537112">
            <w:pPr>
              <w:autoSpaceDE w:val="0"/>
              <w:autoSpaceDN w:val="0"/>
              <w:spacing w:before="83" w:line="240" w:lineRule="auto"/>
              <w:ind w:right="-20"/>
              <w:jc w:val="left"/>
              <w:textAlignment w:val="auto"/>
              <w:rPr>
                <w:rFonts w:ascii="Times New Roman" w:hAnsi="Times New Roman"/>
              </w:rPr>
            </w:pPr>
            <w:r w:rsidRPr="00537112">
              <w:rPr>
                <w:rFonts w:cs="Verdana"/>
                <w:spacing w:val="-1"/>
                <w:sz w:val="20"/>
                <w:szCs w:val="20"/>
              </w:rPr>
              <w:t>Gre</w:t>
            </w:r>
            <w:r w:rsidRPr="00537112">
              <w:rPr>
                <w:rFonts w:cs="Verdana"/>
                <w:spacing w:val="1"/>
                <w:sz w:val="20"/>
                <w:szCs w:val="20"/>
              </w:rPr>
              <w:t>g</w:t>
            </w:r>
            <w:r w:rsidRPr="00537112">
              <w:rPr>
                <w:rFonts w:cs="Verdana"/>
                <w:spacing w:val="-1"/>
                <w:sz w:val="20"/>
                <w:szCs w:val="20"/>
              </w:rPr>
              <w:t>or</w:t>
            </w:r>
            <w:r w:rsidRPr="00537112">
              <w:rPr>
                <w:rFonts w:cs="Verdana"/>
                <w:spacing w:val="3"/>
                <w:sz w:val="20"/>
                <w:szCs w:val="20"/>
              </w:rPr>
              <w:t>i</w:t>
            </w:r>
            <w:r w:rsidRPr="00537112">
              <w:rPr>
                <w:rFonts w:cs="Verdana"/>
                <w:sz w:val="20"/>
                <w:szCs w:val="20"/>
              </w:rPr>
              <w:t>a</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or</w:t>
            </w:r>
            <w:r w:rsidRPr="00537112">
              <w:rPr>
                <w:rFonts w:cs="Verdana"/>
                <w:sz w:val="20"/>
                <w:szCs w:val="20"/>
              </w:rPr>
              <w:t>a</w:t>
            </w:r>
            <w:r w:rsidRPr="00537112">
              <w:rPr>
                <w:rFonts w:cs="Verdana"/>
                <w:spacing w:val="1"/>
                <w:sz w:val="20"/>
                <w:szCs w:val="20"/>
              </w:rPr>
              <w:t>z</w:t>
            </w:r>
            <w:r w:rsidRPr="00537112">
              <w:rPr>
                <w:rFonts w:cs="Verdana"/>
                <w:spacing w:val="-1"/>
                <w:sz w:val="20"/>
                <w:szCs w:val="20"/>
              </w:rPr>
              <w:t>ón</w:t>
            </w:r>
          </w:p>
        </w:tc>
      </w:tr>
      <w:tr w:rsidR="00537112" w:rsidRPr="00537112" w14:paraId="0714446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4111EA8" w14:textId="77777777" w:rsidR="00537112" w:rsidRPr="00537112" w:rsidRDefault="00537112" w:rsidP="00537112">
            <w:pPr>
              <w:autoSpaceDE w:val="0"/>
              <w:autoSpaceDN w:val="0"/>
              <w:spacing w:before="83"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FD1B7D3" w14:textId="77777777" w:rsidR="00537112" w:rsidRPr="00537112" w:rsidRDefault="00537112" w:rsidP="00537112">
            <w:pPr>
              <w:autoSpaceDE w:val="0"/>
              <w:autoSpaceDN w:val="0"/>
              <w:spacing w:before="83"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B85D4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682C50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or</w:t>
            </w:r>
            <w:r w:rsidRPr="00537112">
              <w:rPr>
                <w:rFonts w:cs="Verdana"/>
                <w:position w:val="-1"/>
                <w:sz w:val="20"/>
                <w:szCs w:val="20"/>
              </w:rPr>
              <w:t>a</w:t>
            </w:r>
            <w:r w:rsidRPr="00537112">
              <w:rPr>
                <w:rFonts w:cs="Verdana"/>
                <w:spacing w:val="1"/>
                <w:position w:val="-1"/>
                <w:sz w:val="20"/>
                <w:szCs w:val="20"/>
              </w:rPr>
              <w:t>z</w:t>
            </w:r>
            <w:r w:rsidRPr="00537112">
              <w:rPr>
                <w:rFonts w:cs="Verdana"/>
                <w:spacing w:val="-1"/>
                <w:position w:val="-1"/>
                <w:sz w:val="20"/>
                <w:szCs w:val="20"/>
              </w:rPr>
              <w:t>ó</w:t>
            </w:r>
            <w:r w:rsidRPr="00537112">
              <w:rPr>
                <w:rFonts w:cs="Verdana"/>
                <w:position w:val="-1"/>
                <w:sz w:val="20"/>
                <w:szCs w:val="20"/>
              </w:rPr>
              <w:t>n</w:t>
            </w:r>
          </w:p>
        </w:tc>
      </w:tr>
      <w:tr w:rsidR="00537112" w:rsidRPr="00537112" w14:paraId="0A885BD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90C8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068F9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63FEC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4D672F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or</w:t>
            </w:r>
            <w:r w:rsidRPr="00537112">
              <w:rPr>
                <w:rFonts w:cs="Verdana"/>
                <w:position w:val="-1"/>
                <w:sz w:val="20"/>
                <w:szCs w:val="20"/>
              </w:rPr>
              <w:t>a</w:t>
            </w:r>
            <w:r w:rsidRPr="00537112">
              <w:rPr>
                <w:rFonts w:cs="Verdana"/>
                <w:spacing w:val="1"/>
                <w:position w:val="-1"/>
                <w:sz w:val="20"/>
                <w:szCs w:val="20"/>
              </w:rPr>
              <w:t>z</w:t>
            </w:r>
            <w:r w:rsidRPr="00537112">
              <w:rPr>
                <w:rFonts w:cs="Verdana"/>
                <w:spacing w:val="-1"/>
                <w:position w:val="-1"/>
                <w:sz w:val="20"/>
                <w:szCs w:val="20"/>
              </w:rPr>
              <w:t>ó</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bl>
    <w:p w14:paraId="2C36E4F9"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50FAF6F4"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30C2D73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E0C7F4"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863C94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72CDF3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F7C0C95"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58</w:t>
            </w:r>
          </w:p>
        </w:tc>
        <w:tc>
          <w:tcPr>
            <w:tcW w:w="3958" w:type="dxa"/>
            <w:vMerge w:val="restart"/>
            <w:tcBorders>
              <w:top w:val="single" w:sz="8" w:space="0" w:color="000000"/>
              <w:left w:val="single" w:sz="8" w:space="0" w:color="000000"/>
              <w:bottom w:val="single" w:sz="8" w:space="0" w:color="000000"/>
              <w:right w:val="single" w:sz="8" w:space="0" w:color="000000"/>
            </w:tcBorders>
          </w:tcPr>
          <w:p w14:paraId="14FB948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27E0E89" w14:textId="77777777" w:rsidR="00537112" w:rsidRPr="00537112" w:rsidRDefault="00537112" w:rsidP="00537112">
            <w:pPr>
              <w:autoSpaceDE w:val="0"/>
              <w:autoSpaceDN w:val="0"/>
              <w:spacing w:before="10" w:line="260" w:lineRule="exact"/>
              <w:jc w:val="left"/>
              <w:textAlignment w:val="auto"/>
              <w:rPr>
                <w:rFonts w:ascii="Times New Roman" w:hAnsi="Times New Roman"/>
                <w:sz w:val="26"/>
                <w:szCs w:val="26"/>
              </w:rPr>
            </w:pPr>
          </w:p>
          <w:p w14:paraId="09004B2E" w14:textId="77777777" w:rsidR="00537112" w:rsidRPr="00537112" w:rsidRDefault="00537112" w:rsidP="00537112">
            <w:pPr>
              <w:autoSpaceDE w:val="0"/>
              <w:autoSpaceDN w:val="0"/>
              <w:spacing w:line="240" w:lineRule="auto"/>
              <w:ind w:right="-20"/>
              <w:jc w:val="left"/>
              <w:textAlignment w:val="auto"/>
              <w:rPr>
                <w:rFonts w:cs="Verdana"/>
                <w:sz w:val="20"/>
                <w:szCs w:val="20"/>
              </w:rPr>
            </w:pPr>
            <w:r w:rsidRPr="00537112">
              <w:rPr>
                <w:rFonts w:cs="Verdana"/>
                <w:sz w:val="20"/>
                <w:szCs w:val="20"/>
              </w:rPr>
              <w:t>D</w:t>
            </w:r>
            <w:r w:rsidRPr="00537112">
              <w:rPr>
                <w:rFonts w:cs="Verdana"/>
                <w:spacing w:val="-1"/>
                <w:sz w:val="20"/>
                <w:szCs w:val="20"/>
              </w:rPr>
              <w:t>o</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ng</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r w:rsidRPr="00537112">
              <w:rPr>
                <w:rFonts w:cs="Verdana"/>
                <w:spacing w:val="-7"/>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z w:val="20"/>
                <w:szCs w:val="20"/>
              </w:rPr>
              <w:t>D</w:t>
            </w:r>
            <w:r w:rsidRPr="00537112">
              <w:rPr>
                <w:rFonts w:cs="Verdana"/>
                <w:spacing w:val="-1"/>
                <w:sz w:val="20"/>
                <w:szCs w:val="20"/>
              </w:rPr>
              <w:t>o</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ng</w:t>
            </w:r>
            <w:r w:rsidRPr="00537112">
              <w:rPr>
                <w:rFonts w:cs="Verdana"/>
                <w:sz w:val="20"/>
                <w:szCs w:val="20"/>
              </w:rPr>
              <w:t>o</w:t>
            </w:r>
          </w:p>
          <w:p w14:paraId="6B50DA08"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es</w:t>
            </w:r>
            <w:r w:rsidRPr="00537112">
              <w:rPr>
                <w:rFonts w:cs="Verdana"/>
                <w:sz w:val="20"/>
                <w:szCs w:val="20"/>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7C959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226FA9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T</w:t>
            </w:r>
            <w:r w:rsidRPr="00537112">
              <w:rPr>
                <w:rFonts w:cs="Verdana"/>
                <w:spacing w:val="1"/>
                <w:position w:val="-1"/>
                <w:sz w:val="20"/>
                <w:szCs w:val="20"/>
              </w:rPr>
              <w:t>ú</w:t>
            </w:r>
            <w:r w:rsidRPr="00537112">
              <w:rPr>
                <w:rFonts w:cs="Verdana"/>
                <w:position w:val="-1"/>
                <w:sz w:val="20"/>
                <w:szCs w:val="20"/>
              </w:rPr>
              <w:t>m</w:t>
            </w:r>
          </w:p>
        </w:tc>
      </w:tr>
      <w:tr w:rsidR="00537112" w:rsidRPr="00537112" w14:paraId="5EECB5E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DC844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085A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9391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064D4F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And</w:t>
            </w:r>
            <w:r w:rsidRPr="00537112">
              <w:rPr>
                <w:rFonts w:cs="Verdana"/>
                <w:spacing w:val="-1"/>
                <w:position w:val="-1"/>
                <w:sz w:val="20"/>
                <w:szCs w:val="20"/>
              </w:rPr>
              <w:t>ré</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0FCCAF4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0C41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32D53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F30F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13A082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06BA316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6CC1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95110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FAA7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6BED39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47E221C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0061E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5D2A5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1714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697851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p>
        </w:tc>
      </w:tr>
      <w:tr w:rsidR="00537112" w:rsidRPr="00537112" w14:paraId="41E2984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36B7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2B36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CADD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70A3403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or</w:t>
            </w:r>
            <w:r w:rsidRPr="00537112">
              <w:rPr>
                <w:rFonts w:cs="Verdana"/>
                <w:spacing w:val="3"/>
                <w:sz w:val="20"/>
                <w:szCs w:val="20"/>
              </w:rPr>
              <w:t>i</w:t>
            </w:r>
            <w:r w:rsidRPr="00537112">
              <w:rPr>
                <w:rFonts w:cs="Verdana"/>
                <w:spacing w:val="1"/>
                <w:sz w:val="20"/>
                <w:szCs w:val="20"/>
              </w:rPr>
              <w:t>b</w:t>
            </w:r>
            <w:r w:rsidRPr="00537112">
              <w:rPr>
                <w:rFonts w:cs="Verdana"/>
                <w:spacing w:val="3"/>
                <w:sz w:val="20"/>
                <w:szCs w:val="20"/>
              </w:rPr>
              <w:t>i</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r w:rsidRPr="00537112">
              <w:rPr>
                <w:rFonts w:cs="Verdana"/>
                <w:spacing w:val="-7"/>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61E5DA2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F9AF9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D22A1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6A5A65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BEA7C3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DAB6400" w14:textId="77777777" w:rsidR="00537112" w:rsidRPr="00537112" w:rsidRDefault="00537112" w:rsidP="00537112">
            <w:pPr>
              <w:autoSpaceDE w:val="0"/>
              <w:autoSpaceDN w:val="0"/>
              <w:spacing w:before="13" w:line="280" w:lineRule="exact"/>
              <w:jc w:val="left"/>
              <w:textAlignment w:val="auto"/>
              <w:rPr>
                <w:rFonts w:ascii="Times New Roman" w:hAnsi="Times New Roman"/>
                <w:sz w:val="28"/>
                <w:szCs w:val="28"/>
              </w:rPr>
            </w:pPr>
          </w:p>
          <w:p w14:paraId="33284C09"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59</w:t>
            </w:r>
          </w:p>
        </w:tc>
        <w:tc>
          <w:tcPr>
            <w:tcW w:w="3958" w:type="dxa"/>
            <w:vMerge w:val="restart"/>
            <w:tcBorders>
              <w:top w:val="single" w:sz="8" w:space="0" w:color="000000"/>
              <w:left w:val="single" w:sz="8" w:space="0" w:color="000000"/>
              <w:bottom w:val="single" w:sz="8" w:space="0" w:color="000000"/>
              <w:right w:val="single" w:sz="8" w:space="0" w:color="000000"/>
            </w:tcBorders>
          </w:tcPr>
          <w:p w14:paraId="2BF9CEC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97FB75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3AA2E4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2BEE65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0974B16" w14:textId="77777777" w:rsidR="00537112" w:rsidRPr="00537112" w:rsidRDefault="00537112" w:rsidP="00537112">
            <w:pPr>
              <w:autoSpaceDE w:val="0"/>
              <w:autoSpaceDN w:val="0"/>
              <w:spacing w:before="14" w:line="280" w:lineRule="exact"/>
              <w:jc w:val="left"/>
              <w:textAlignment w:val="auto"/>
              <w:rPr>
                <w:rFonts w:ascii="Times New Roman" w:hAnsi="Times New Roman"/>
                <w:sz w:val="28"/>
                <w:szCs w:val="28"/>
              </w:rPr>
            </w:pPr>
          </w:p>
          <w:p w14:paraId="4728364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3"/>
                <w:sz w:val="20"/>
                <w:szCs w:val="20"/>
              </w:rPr>
              <w:t>lí</w:t>
            </w:r>
            <w:r w:rsidRPr="00537112">
              <w:rPr>
                <w:rFonts w:cs="Verdana"/>
                <w:sz w:val="20"/>
                <w:szCs w:val="20"/>
              </w:rPr>
              <w:t>as</w:t>
            </w:r>
            <w:r w:rsidRPr="00537112">
              <w:rPr>
                <w:rFonts w:cs="Verdana"/>
                <w:spacing w:val="-6"/>
                <w:sz w:val="20"/>
                <w:szCs w:val="20"/>
              </w:rPr>
              <w:t xml:space="preserve"> </w:t>
            </w:r>
            <w:r w:rsidRPr="00537112">
              <w:rPr>
                <w:rFonts w:cs="Verdana"/>
                <w:sz w:val="20"/>
                <w:szCs w:val="20"/>
              </w:rPr>
              <w:t>M</w:t>
            </w:r>
            <w:r w:rsidRPr="00537112">
              <w:rPr>
                <w:rFonts w:cs="Verdana"/>
                <w:spacing w:val="3"/>
                <w:sz w:val="20"/>
                <w:szCs w:val="20"/>
              </w:rPr>
              <w:t>ili</w:t>
            </w:r>
            <w:r w:rsidRPr="00537112">
              <w:rPr>
                <w:rFonts w:cs="Verdana"/>
                <w:sz w:val="20"/>
                <w:szCs w:val="20"/>
              </w:rPr>
              <w:t>án</w:t>
            </w:r>
            <w:r w:rsidRPr="00537112">
              <w:rPr>
                <w:rFonts w:cs="Verdana"/>
                <w:spacing w:val="-6"/>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B801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6A1926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5B06908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EE0C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65C6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71D8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659688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re</w:t>
            </w:r>
            <w:r w:rsidRPr="00537112">
              <w:rPr>
                <w:rFonts w:cs="Verdana"/>
                <w:spacing w:val="1"/>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a)</w:t>
            </w:r>
          </w:p>
        </w:tc>
      </w:tr>
      <w:tr w:rsidR="00537112" w:rsidRPr="00537112" w14:paraId="71AFC1C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E3FE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6AF5A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26CD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6BB3F4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Ta</w:t>
            </w:r>
            <w:r w:rsidRPr="00537112">
              <w:rPr>
                <w:rFonts w:cs="Verdana"/>
                <w:spacing w:val="-1"/>
                <w:position w:val="-1"/>
                <w:sz w:val="20"/>
                <w:szCs w:val="20"/>
              </w:rPr>
              <w:t>rc</w:t>
            </w:r>
            <w:r w:rsidRPr="00537112">
              <w:rPr>
                <w:rFonts w:cs="Verdana"/>
                <w:spacing w:val="3"/>
                <w:position w:val="-1"/>
                <w:sz w:val="20"/>
                <w:szCs w:val="20"/>
              </w:rPr>
              <w:t>il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F25D42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EA8EF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1FA66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4140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584236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1BE1EEB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4810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AD7A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36F5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357D1D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15C70BF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58F27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FDD48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74466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662E35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Ya</w:t>
            </w:r>
            <w:r w:rsidRPr="00537112">
              <w:rPr>
                <w:rFonts w:cs="Verdana"/>
                <w:spacing w:val="1"/>
                <w:position w:val="-1"/>
                <w:sz w:val="20"/>
                <w:szCs w:val="20"/>
              </w:rPr>
              <w:t>n</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h</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ia</w:t>
            </w:r>
          </w:p>
        </w:tc>
      </w:tr>
      <w:tr w:rsidR="00537112" w:rsidRPr="00537112" w14:paraId="31B0B22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232A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1698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DEE0C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60582C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é</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4960347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B023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A44D2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D4D1F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72C6A2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é</w:t>
            </w:r>
            <w:r w:rsidRPr="00537112">
              <w:rPr>
                <w:rFonts w:cs="Verdana"/>
                <w:spacing w:val="3"/>
                <w:position w:val="-1"/>
                <w:sz w:val="20"/>
                <w:szCs w:val="20"/>
              </w:rPr>
              <w:t>li</w:t>
            </w:r>
            <w:r w:rsidRPr="00537112">
              <w:rPr>
                <w:rFonts w:cs="Verdana"/>
                <w:spacing w:val="-1"/>
                <w:position w:val="-1"/>
                <w:sz w:val="20"/>
                <w:szCs w:val="20"/>
              </w:rPr>
              <w:t>c</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re</w:t>
            </w:r>
            <w:r w:rsidRPr="00537112">
              <w:rPr>
                <w:rFonts w:cs="Verdana"/>
                <w:spacing w:val="1"/>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a)</w:t>
            </w:r>
          </w:p>
        </w:tc>
      </w:tr>
      <w:tr w:rsidR="00537112" w:rsidRPr="00537112" w14:paraId="6533F48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CA8B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74C3E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1545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4226CA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re</w:t>
            </w:r>
            <w:r w:rsidRPr="00537112">
              <w:rPr>
                <w:rFonts w:cs="Verdana"/>
                <w:spacing w:val="1"/>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a)</w:t>
            </w:r>
          </w:p>
        </w:tc>
      </w:tr>
      <w:tr w:rsidR="00537112" w:rsidRPr="00537112" w14:paraId="2EC93B1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37EE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DD104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A8FD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4C0675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nz</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w:t>
            </w:r>
            <w:r w:rsidRPr="00537112">
              <w:rPr>
                <w:rFonts w:cs="Verdana"/>
                <w:spacing w:val="-1"/>
                <w:position w:val="-1"/>
                <w:sz w:val="20"/>
                <w:szCs w:val="20"/>
              </w:rPr>
              <w:t>re</w:t>
            </w:r>
            <w:r w:rsidRPr="00537112">
              <w:rPr>
                <w:rFonts w:cs="Verdana"/>
                <w:spacing w:val="1"/>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o)</w:t>
            </w:r>
          </w:p>
        </w:tc>
      </w:tr>
      <w:tr w:rsidR="00537112" w:rsidRPr="00537112" w14:paraId="7D0A702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8ED176E"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AA8BFA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6CCA09C"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60</w:t>
            </w:r>
          </w:p>
        </w:tc>
        <w:tc>
          <w:tcPr>
            <w:tcW w:w="3958" w:type="dxa"/>
            <w:vMerge w:val="restart"/>
            <w:tcBorders>
              <w:top w:val="single" w:sz="8" w:space="0" w:color="000000"/>
              <w:left w:val="single" w:sz="8" w:space="0" w:color="000000"/>
              <w:bottom w:val="single" w:sz="8" w:space="0" w:color="000000"/>
              <w:right w:val="single" w:sz="8" w:space="0" w:color="000000"/>
            </w:tcBorders>
          </w:tcPr>
          <w:p w14:paraId="233A7D0E"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5DC49A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F02045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Am</w:t>
            </w:r>
            <w:r w:rsidRPr="00537112">
              <w:rPr>
                <w:rFonts w:cs="Verdana"/>
                <w:spacing w:val="-1"/>
                <w:sz w:val="20"/>
                <w:szCs w:val="20"/>
              </w:rPr>
              <w:t>e</w:t>
            </w:r>
            <w:r w:rsidRPr="00537112">
              <w:rPr>
                <w:rFonts w:cs="Verdana"/>
                <w:spacing w:val="3"/>
                <w:sz w:val="20"/>
                <w:szCs w:val="20"/>
              </w:rPr>
              <w:t>li</w:t>
            </w:r>
            <w:r w:rsidRPr="00537112">
              <w:rPr>
                <w:rFonts w:cs="Verdana"/>
                <w:sz w:val="20"/>
                <w:szCs w:val="20"/>
              </w:rPr>
              <w:t>a</w:t>
            </w:r>
            <w:r w:rsidRPr="00537112">
              <w:rPr>
                <w:rFonts w:cs="Verdana"/>
                <w:spacing w:val="-7"/>
                <w:sz w:val="20"/>
                <w:szCs w:val="20"/>
              </w:rPr>
              <w:t xml:space="preserve"> </w:t>
            </w:r>
            <w:r w:rsidRPr="00537112">
              <w:rPr>
                <w:rFonts w:cs="Verdana"/>
                <w:sz w:val="20"/>
                <w:szCs w:val="20"/>
              </w:rPr>
              <w:t>M</w:t>
            </w:r>
            <w:r w:rsidRPr="00537112">
              <w:rPr>
                <w:rFonts w:cs="Verdana"/>
                <w:spacing w:val="3"/>
                <w:sz w:val="20"/>
                <w:szCs w:val="20"/>
              </w:rPr>
              <w:t>ili</w:t>
            </w:r>
            <w:r w:rsidRPr="00537112">
              <w:rPr>
                <w:rFonts w:cs="Verdana"/>
                <w:sz w:val="20"/>
                <w:szCs w:val="20"/>
              </w:rPr>
              <w:t>án</w:t>
            </w:r>
            <w:r w:rsidRPr="00537112">
              <w:rPr>
                <w:rFonts w:cs="Verdana"/>
                <w:spacing w:val="-6"/>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B6CC5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26E6BD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3454ABC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47D56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7626C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F6C9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679759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c</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7E0BC49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4FCF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CFE8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0448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116F83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11C7875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8266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9A896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B559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2F48AA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nz</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11AEE54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9EB5D8"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19B2F8A3"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61</w:t>
            </w:r>
          </w:p>
        </w:tc>
        <w:tc>
          <w:tcPr>
            <w:tcW w:w="3958" w:type="dxa"/>
            <w:vMerge w:val="restart"/>
            <w:tcBorders>
              <w:top w:val="single" w:sz="8" w:space="0" w:color="000000"/>
              <w:left w:val="single" w:sz="8" w:space="0" w:color="000000"/>
              <w:bottom w:val="single" w:sz="8" w:space="0" w:color="000000"/>
              <w:right w:val="single" w:sz="8" w:space="0" w:color="000000"/>
            </w:tcBorders>
          </w:tcPr>
          <w:p w14:paraId="01F93E8A"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51E0E5E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w:t>
            </w:r>
            <w:r w:rsidRPr="00537112">
              <w:rPr>
                <w:rFonts w:cs="Verdana"/>
                <w:spacing w:val="-1"/>
                <w:sz w:val="20"/>
                <w:szCs w:val="20"/>
              </w:rPr>
              <w:t>e</w:t>
            </w:r>
            <w:r w:rsidRPr="00537112">
              <w:rPr>
                <w:rFonts w:cs="Verdana"/>
                <w:spacing w:val="1"/>
                <w:sz w:val="20"/>
                <w:szCs w:val="20"/>
              </w:rPr>
              <w:t>d</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E000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1B7925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coc</w:t>
            </w:r>
          </w:p>
        </w:tc>
      </w:tr>
      <w:tr w:rsidR="00537112" w:rsidRPr="00537112" w14:paraId="5F3AAB8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D9ECC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0051B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0969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571BC3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1"/>
                <w:position w:val="-1"/>
                <w:sz w:val="20"/>
                <w:szCs w:val="20"/>
              </w:rPr>
              <w:t>ce</w:t>
            </w:r>
            <w:r w:rsidRPr="00537112">
              <w:rPr>
                <w:rFonts w:cs="Verdana"/>
                <w:spacing w:val="1"/>
                <w:position w:val="-1"/>
                <w:sz w:val="20"/>
                <w:szCs w:val="20"/>
              </w:rPr>
              <w:t>p</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ó</w:t>
            </w:r>
            <w:r w:rsidRPr="00537112">
              <w:rPr>
                <w:rFonts w:cs="Verdana"/>
                <w:position w:val="-1"/>
                <w:sz w:val="20"/>
                <w:szCs w:val="20"/>
              </w:rPr>
              <w:t>n</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583CC3C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8D36C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F475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3E6E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782C58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g</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3"/>
                <w:position w:val="-1"/>
                <w:sz w:val="20"/>
                <w:szCs w:val="20"/>
              </w:rPr>
              <w:t>il</w:t>
            </w:r>
            <w:r w:rsidRPr="00537112">
              <w:rPr>
                <w:rFonts w:cs="Verdana"/>
                <w:position w:val="-1"/>
                <w:sz w:val="20"/>
                <w:szCs w:val="20"/>
              </w:rPr>
              <w:t>i</w:t>
            </w:r>
            <w:r w:rsidRPr="00537112">
              <w:rPr>
                <w:rFonts w:cs="Verdana"/>
                <w:spacing w:val="-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ia</w:t>
            </w:r>
          </w:p>
        </w:tc>
      </w:tr>
      <w:tr w:rsidR="00537112" w:rsidRPr="00537112" w14:paraId="165E0BD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3047BF"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0D3D2DAD"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62</w:t>
            </w:r>
          </w:p>
        </w:tc>
        <w:tc>
          <w:tcPr>
            <w:tcW w:w="3958" w:type="dxa"/>
            <w:vMerge w:val="restart"/>
            <w:tcBorders>
              <w:top w:val="single" w:sz="8" w:space="0" w:color="000000"/>
              <w:left w:val="single" w:sz="8" w:space="0" w:color="000000"/>
              <w:bottom w:val="single" w:sz="8" w:space="0" w:color="000000"/>
              <w:right w:val="single" w:sz="8" w:space="0" w:color="000000"/>
            </w:tcBorders>
          </w:tcPr>
          <w:p w14:paraId="7F0DFDAA"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56C96F5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u</w:t>
            </w:r>
            <w:r w:rsidRPr="00537112">
              <w:rPr>
                <w:rFonts w:cs="Verdana"/>
                <w:spacing w:val="-1"/>
                <w:sz w:val="20"/>
                <w:szCs w:val="20"/>
              </w:rPr>
              <w:t>se</w:t>
            </w:r>
            <w:r w:rsidRPr="00537112">
              <w:rPr>
                <w:rFonts w:cs="Verdana"/>
                <w:spacing w:val="1"/>
                <w:sz w:val="20"/>
                <w:szCs w:val="20"/>
              </w:rPr>
              <w:t>b</w:t>
            </w:r>
            <w:r w:rsidRPr="00537112">
              <w:rPr>
                <w:rFonts w:cs="Verdana"/>
                <w:spacing w:val="3"/>
                <w:sz w:val="20"/>
                <w:szCs w:val="20"/>
              </w:rPr>
              <w:t>i</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Gr</w:t>
            </w:r>
            <w:r w:rsidRPr="00537112">
              <w:rPr>
                <w:rFonts w:cs="Verdana"/>
                <w:sz w:val="20"/>
                <w:szCs w:val="20"/>
              </w:rPr>
              <w:t>ave</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8C093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5EEF1D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539D6D8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0F9E3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D965A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136B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6019AA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position w:val="-1"/>
                <w:sz w:val="20"/>
                <w:szCs w:val="20"/>
              </w:rPr>
              <w:t>26</w:t>
            </w:r>
            <w:r w:rsidRPr="00537112">
              <w:rPr>
                <w:rFonts w:cs="Verdana"/>
                <w:spacing w:val="1"/>
                <w:position w:val="-1"/>
                <w:sz w:val="20"/>
                <w:szCs w:val="20"/>
              </w:rPr>
              <w:t>07</w:t>
            </w:r>
          </w:p>
        </w:tc>
      </w:tr>
      <w:tr w:rsidR="00537112" w:rsidRPr="00537112" w14:paraId="1C7204B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7F550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4ED622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1DB5AF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73EA08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8A16E94" w14:textId="77777777" w:rsidR="00537112" w:rsidRPr="00537112" w:rsidRDefault="00537112" w:rsidP="00537112">
            <w:pPr>
              <w:autoSpaceDE w:val="0"/>
              <w:autoSpaceDN w:val="0"/>
              <w:spacing w:before="14" w:line="280" w:lineRule="exact"/>
              <w:jc w:val="left"/>
              <w:textAlignment w:val="auto"/>
              <w:rPr>
                <w:rFonts w:ascii="Times New Roman" w:hAnsi="Times New Roman"/>
                <w:sz w:val="28"/>
                <w:szCs w:val="28"/>
              </w:rPr>
            </w:pPr>
          </w:p>
          <w:p w14:paraId="241BF045"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63</w:t>
            </w:r>
          </w:p>
        </w:tc>
        <w:tc>
          <w:tcPr>
            <w:tcW w:w="3958" w:type="dxa"/>
            <w:vMerge w:val="restart"/>
            <w:tcBorders>
              <w:top w:val="single" w:sz="8" w:space="0" w:color="000000"/>
              <w:left w:val="single" w:sz="8" w:space="0" w:color="000000"/>
              <w:bottom w:val="single" w:sz="8" w:space="0" w:color="000000"/>
              <w:right w:val="single" w:sz="8" w:space="0" w:color="000000"/>
            </w:tcBorders>
          </w:tcPr>
          <w:p w14:paraId="5EDD4C0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B97A0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88B838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B41F78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CC30C28" w14:textId="77777777" w:rsidR="00537112" w:rsidRPr="00537112" w:rsidRDefault="00537112" w:rsidP="00537112">
            <w:pPr>
              <w:autoSpaceDE w:val="0"/>
              <w:autoSpaceDN w:val="0"/>
              <w:spacing w:before="14" w:line="280" w:lineRule="exact"/>
              <w:jc w:val="left"/>
              <w:textAlignment w:val="auto"/>
              <w:rPr>
                <w:rFonts w:ascii="Times New Roman" w:hAnsi="Times New Roman"/>
                <w:sz w:val="28"/>
                <w:szCs w:val="28"/>
              </w:rPr>
            </w:pPr>
          </w:p>
          <w:p w14:paraId="21B620E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1893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40EB42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p>
        </w:tc>
      </w:tr>
      <w:tr w:rsidR="00537112" w:rsidRPr="00537112" w14:paraId="557F78B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D2C8D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3641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9732D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02A02A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1"/>
                <w:position w:val="-1"/>
                <w:sz w:val="20"/>
                <w:szCs w:val="20"/>
              </w:rPr>
              <w:t>se</w:t>
            </w:r>
            <w:r w:rsidRPr="00537112">
              <w:rPr>
                <w:rFonts w:cs="Verdana"/>
                <w:spacing w:val="1"/>
                <w:position w:val="-1"/>
                <w:sz w:val="20"/>
                <w:szCs w:val="20"/>
              </w:rPr>
              <w:t>b</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A6C67E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647A37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556A4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E663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5C92E5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Leó</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6E2C8D2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D9A3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76D44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5F0F8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68826A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281D56E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E3016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5CC53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A022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0C515B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70D559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9BF3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E4BA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C2F9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38F0C0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23D09E0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9A18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9CE8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58040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343D04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38F19A3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4BDE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AA361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8D076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406334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513257A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7B747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D36CB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16DF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5A88E7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789F0D2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597E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B6556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9A41D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17FA4E6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S</w:t>
            </w:r>
            <w:r w:rsidRPr="00537112">
              <w:rPr>
                <w:rFonts w:cs="Verdana"/>
                <w:sz w:val="20"/>
                <w:szCs w:val="20"/>
              </w:rPr>
              <w:t>a</w:t>
            </w:r>
            <w:r w:rsidRPr="00537112">
              <w:rPr>
                <w:rFonts w:cs="Verdana"/>
                <w:spacing w:val="1"/>
                <w:sz w:val="20"/>
                <w:szCs w:val="20"/>
              </w:rPr>
              <w:t>nd</w:t>
            </w:r>
            <w:r w:rsidRPr="00537112">
              <w:rPr>
                <w:rFonts w:cs="Verdana"/>
                <w:spacing w:val="-1"/>
                <w:sz w:val="20"/>
                <w:szCs w:val="20"/>
              </w:rPr>
              <w:t>r</w:t>
            </w:r>
            <w:r w:rsidRPr="00537112">
              <w:rPr>
                <w:rFonts w:cs="Verdana"/>
                <w:sz w:val="20"/>
                <w:szCs w:val="20"/>
              </w:rPr>
              <w:t>a</w:t>
            </w:r>
            <w:r w:rsidRPr="00537112">
              <w:rPr>
                <w:rFonts w:cs="Verdana"/>
                <w:spacing w:val="-7"/>
                <w:sz w:val="20"/>
                <w:szCs w:val="20"/>
              </w:rPr>
              <w:t xml:space="preserve"> </w:t>
            </w: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b</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r>
      <w:tr w:rsidR="00537112" w:rsidRPr="00537112" w14:paraId="490DC1E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C95AEE"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2FB21F6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F6A613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F2075C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B53950E" w14:textId="77777777" w:rsidR="00537112" w:rsidRPr="00537112" w:rsidRDefault="00537112" w:rsidP="00537112">
            <w:pPr>
              <w:autoSpaceDE w:val="0"/>
              <w:autoSpaceDN w:val="0"/>
              <w:spacing w:line="240" w:lineRule="auto"/>
              <w:ind w:right="280"/>
              <w:jc w:val="center"/>
              <w:textAlignment w:val="auto"/>
              <w:rPr>
                <w:rFonts w:ascii="Times New Roman" w:hAnsi="Times New Roman"/>
              </w:rPr>
            </w:pPr>
            <w:r w:rsidRPr="00537112">
              <w:rPr>
                <w:rFonts w:cs="Verdana"/>
                <w:b/>
                <w:bCs/>
                <w:w w:val="99"/>
                <w:sz w:val="20"/>
                <w:szCs w:val="20"/>
              </w:rPr>
              <w:t>64</w:t>
            </w:r>
          </w:p>
        </w:tc>
        <w:tc>
          <w:tcPr>
            <w:tcW w:w="3958" w:type="dxa"/>
            <w:vMerge w:val="restart"/>
            <w:tcBorders>
              <w:top w:val="single" w:sz="8" w:space="0" w:color="000000"/>
              <w:left w:val="single" w:sz="8" w:space="0" w:color="000000"/>
              <w:bottom w:val="single" w:sz="8" w:space="0" w:color="000000"/>
              <w:right w:val="single" w:sz="8" w:space="0" w:color="000000"/>
            </w:tcBorders>
          </w:tcPr>
          <w:p w14:paraId="008A2FA7"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5052CCF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38F166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35A279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4AE512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í</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6B47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44A355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7545B33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D45F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15FE4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6BE7A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647EF3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8"/>
                <w:position w:val="-1"/>
                <w:sz w:val="20"/>
                <w:szCs w:val="20"/>
              </w:rPr>
              <w:t xml:space="preserve"> </w:t>
            </w:r>
            <w:r w:rsidRPr="00537112">
              <w:rPr>
                <w:rFonts w:cs="Verdana"/>
                <w:position w:val="-1"/>
                <w:sz w:val="20"/>
                <w:szCs w:val="20"/>
              </w:rPr>
              <w:t>Cá</w:t>
            </w:r>
            <w:r w:rsidRPr="00537112">
              <w:rPr>
                <w:rFonts w:cs="Verdana"/>
                <w:spacing w:val="-1"/>
                <w:position w:val="-1"/>
                <w:sz w:val="20"/>
                <w:szCs w:val="20"/>
              </w:rPr>
              <w:t>s</w:t>
            </w:r>
            <w:r w:rsidRPr="00537112">
              <w:rPr>
                <w:rFonts w:cs="Verdana"/>
                <w:spacing w:val="1"/>
                <w:position w:val="-1"/>
                <w:sz w:val="20"/>
                <w:szCs w:val="20"/>
              </w:rPr>
              <w:t>tu</w:t>
            </w:r>
            <w:r w:rsidRPr="00537112">
              <w:rPr>
                <w:rFonts w:cs="Verdana"/>
                <w:spacing w:val="3"/>
                <w:position w:val="-1"/>
                <w:sz w:val="20"/>
                <w:szCs w:val="20"/>
              </w:rPr>
              <w:t>l</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16BD551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F81E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2B0CA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5AEA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61D07F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ú</w:t>
            </w:r>
            <w:r w:rsidRPr="00537112">
              <w:rPr>
                <w:rFonts w:cs="Verdana"/>
                <w:position w:val="-1"/>
                <w:sz w:val="20"/>
                <w:szCs w:val="20"/>
              </w:rPr>
              <w:t>p</w:t>
            </w:r>
          </w:p>
        </w:tc>
      </w:tr>
      <w:tr w:rsidR="00537112" w:rsidRPr="00537112" w14:paraId="668AA80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87590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14756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8CD85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3F7AD6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r>
      <w:tr w:rsidR="00537112" w:rsidRPr="00537112" w14:paraId="4F7BD1A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5DE8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DAFE7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04F32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395D68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11A28EE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2796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5C70A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FAAA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7E6F5F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efer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ú</w:t>
            </w:r>
            <w:r w:rsidRPr="00537112">
              <w:rPr>
                <w:rFonts w:cs="Verdana"/>
                <w:position w:val="-1"/>
                <w:sz w:val="20"/>
                <w:szCs w:val="20"/>
              </w:rPr>
              <w:t>p</w:t>
            </w:r>
          </w:p>
        </w:tc>
      </w:tr>
      <w:tr w:rsidR="00537112" w:rsidRPr="00537112" w14:paraId="3ECDD6D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51C4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FE3E2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6631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2F933E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l</w:t>
            </w:r>
            <w:r w:rsidRPr="00537112">
              <w:rPr>
                <w:rFonts w:cs="Verdana"/>
                <w:spacing w:val="-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38AFAE8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B73B95"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0575C8A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29F7C8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B78C998"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65</w:t>
            </w:r>
          </w:p>
        </w:tc>
        <w:tc>
          <w:tcPr>
            <w:tcW w:w="3958" w:type="dxa"/>
            <w:vMerge w:val="restart"/>
            <w:tcBorders>
              <w:top w:val="single" w:sz="8" w:space="0" w:color="000000"/>
              <w:left w:val="single" w:sz="8" w:space="0" w:color="000000"/>
              <w:bottom w:val="single" w:sz="8" w:space="0" w:color="000000"/>
              <w:right w:val="single" w:sz="8" w:space="0" w:color="000000"/>
            </w:tcBorders>
          </w:tcPr>
          <w:p w14:paraId="33DA8670"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616455B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13873C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BEFC5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Gr</w:t>
            </w:r>
            <w:r w:rsidRPr="00537112">
              <w:rPr>
                <w:rFonts w:cs="Verdana"/>
                <w:sz w:val="20"/>
                <w:szCs w:val="20"/>
              </w:rPr>
              <w:t>ave</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E2E4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455A6A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693774A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C760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BE0D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0C41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6034EB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N</w:t>
            </w:r>
            <w:r w:rsidRPr="00537112">
              <w:rPr>
                <w:rFonts w:cs="Verdana"/>
                <w:spacing w:val="3"/>
                <w:position w:val="-1"/>
                <w:sz w:val="20"/>
                <w:szCs w:val="20"/>
              </w:rPr>
              <w:t>i</w:t>
            </w:r>
            <w:r w:rsidRPr="00537112">
              <w:rPr>
                <w:rFonts w:cs="Verdana"/>
                <w:spacing w:val="-1"/>
                <w:position w:val="-1"/>
                <w:sz w:val="20"/>
                <w:szCs w:val="20"/>
              </w:rPr>
              <w:t>co</w:t>
            </w:r>
            <w:r w:rsidRPr="00537112">
              <w:rPr>
                <w:rFonts w:cs="Verdana"/>
                <w:spacing w:val="3"/>
                <w:position w:val="-1"/>
                <w:sz w:val="20"/>
                <w:szCs w:val="20"/>
              </w:rPr>
              <w:t>l</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69151F9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F8236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7B64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5B939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6DD395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73CC3E0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68EC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63FD0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93535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3943A9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0BE8663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D7512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F47FF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115F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2D9A1A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086EFF4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DA4F3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C2D2A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D769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31EDBC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64E3EF9D" w14:textId="77777777" w:rsidTr="00630EEC">
        <w:trPr>
          <w:trHeight w:hRule="exact" w:val="348"/>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44CF8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BD9CAA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4132E0"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5949A805"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66</w:t>
            </w:r>
          </w:p>
        </w:tc>
        <w:tc>
          <w:tcPr>
            <w:tcW w:w="3958" w:type="dxa"/>
            <w:vMerge w:val="restart"/>
            <w:tcBorders>
              <w:top w:val="single" w:sz="8" w:space="0" w:color="000000"/>
              <w:left w:val="single" w:sz="8" w:space="0" w:color="000000"/>
              <w:bottom w:val="single" w:sz="8" w:space="0" w:color="000000"/>
              <w:right w:val="single" w:sz="8" w:space="0" w:color="000000"/>
            </w:tcBorders>
          </w:tcPr>
          <w:p w14:paraId="79BFB03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9D7229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D57C091"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0A836B3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Efr</w:t>
            </w:r>
            <w:r w:rsidRPr="00537112">
              <w:rPr>
                <w:rFonts w:cs="Verdana"/>
                <w:sz w:val="20"/>
                <w:szCs w:val="20"/>
              </w:rPr>
              <w:t>a</w:t>
            </w:r>
            <w:r w:rsidRPr="00537112">
              <w:rPr>
                <w:rFonts w:cs="Verdana"/>
                <w:spacing w:val="3"/>
                <w:sz w:val="20"/>
                <w:szCs w:val="20"/>
              </w:rPr>
              <w:t>í</w:t>
            </w:r>
            <w:r w:rsidRPr="00537112">
              <w:rPr>
                <w:rFonts w:cs="Verdana"/>
                <w:sz w:val="20"/>
                <w:szCs w:val="20"/>
              </w:rPr>
              <w:t>n</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pacing w:val="-1"/>
                <w:sz w:val="20"/>
                <w:szCs w:val="20"/>
              </w:rPr>
              <w:t>Efr</w:t>
            </w:r>
            <w:r w:rsidRPr="00537112">
              <w:rPr>
                <w:rFonts w:cs="Verdana"/>
                <w:sz w:val="20"/>
                <w:szCs w:val="20"/>
              </w:rPr>
              <w:t>a</w:t>
            </w:r>
            <w:r w:rsidRPr="00537112">
              <w:rPr>
                <w:rFonts w:cs="Verdana"/>
                <w:spacing w:val="3"/>
                <w:sz w:val="20"/>
                <w:szCs w:val="20"/>
              </w:rPr>
              <w:t>í</w:t>
            </w:r>
            <w:r w:rsidRPr="00537112">
              <w:rPr>
                <w:rFonts w:cs="Verdana"/>
                <w:sz w:val="20"/>
                <w:szCs w:val="20"/>
              </w:rPr>
              <w:t>n</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Pa</w:t>
            </w:r>
            <w:r w:rsidRPr="00537112">
              <w:rPr>
                <w:rFonts w:cs="Verdana"/>
                <w:spacing w:val="1"/>
                <w:sz w:val="20"/>
                <w:szCs w:val="20"/>
              </w:rPr>
              <w:t>z</w:t>
            </w:r>
            <w:r w:rsidRPr="00537112">
              <w:rPr>
                <w:rFonts w:cs="Verdana"/>
                <w:sz w:val="20"/>
                <w:szCs w:val="20"/>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B51670"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342AB163"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pacing w:val="1"/>
                <w:sz w:val="20"/>
                <w:szCs w:val="20"/>
              </w:rPr>
              <w:t>Ad</w:t>
            </w:r>
            <w:r w:rsidRPr="00537112">
              <w:rPr>
                <w:rFonts w:cs="Verdana"/>
                <w:spacing w:val="-1"/>
                <w:sz w:val="20"/>
                <w:szCs w:val="20"/>
              </w:rPr>
              <w:t>r</w:t>
            </w:r>
            <w:r w:rsidRPr="00537112">
              <w:rPr>
                <w:rFonts w:cs="Verdana"/>
                <w:spacing w:val="3"/>
                <w:sz w:val="20"/>
                <w:szCs w:val="20"/>
              </w:rPr>
              <w:t>i</w:t>
            </w:r>
            <w:r w:rsidRPr="00537112">
              <w:rPr>
                <w:rFonts w:cs="Verdana"/>
                <w:sz w:val="20"/>
                <w:szCs w:val="20"/>
              </w:rPr>
              <w:t>án</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i</w:t>
            </w:r>
            <w:r w:rsidRPr="00537112">
              <w:rPr>
                <w:rFonts w:cs="Verdana"/>
                <w:sz w:val="20"/>
                <w:szCs w:val="20"/>
              </w:rPr>
              <w:t>a</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p>
        </w:tc>
      </w:tr>
      <w:tr w:rsidR="00537112" w:rsidRPr="00537112" w14:paraId="0DCA482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6C5346"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1C353DC"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74F7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7B5883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1D6202F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3FFD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5E659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10769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046122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1E07700D"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41965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D484A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70F299"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4D179DA4"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pacing w:val="-1"/>
                <w:sz w:val="20"/>
                <w:szCs w:val="20"/>
              </w:rPr>
              <w:t>H</w:t>
            </w:r>
            <w:r w:rsidRPr="00537112">
              <w:rPr>
                <w:rFonts w:cs="Verdana"/>
                <w:spacing w:val="1"/>
                <w:sz w:val="20"/>
                <w:szCs w:val="20"/>
              </w:rPr>
              <w:t>ug</w:t>
            </w:r>
            <w:r w:rsidRPr="00537112">
              <w:rPr>
                <w:rFonts w:cs="Verdana"/>
                <w:sz w:val="20"/>
                <w:szCs w:val="20"/>
              </w:rPr>
              <w:t>o</w:t>
            </w:r>
            <w:r w:rsidRPr="00537112">
              <w:rPr>
                <w:rFonts w:cs="Verdana"/>
                <w:spacing w:val="-7"/>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i</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Paz</w:t>
            </w:r>
          </w:p>
        </w:tc>
      </w:tr>
      <w:tr w:rsidR="00537112" w:rsidRPr="00537112" w14:paraId="4300F304" w14:textId="77777777" w:rsidTr="00630EEC">
        <w:trPr>
          <w:trHeight w:hRule="exact" w:val="434"/>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62638A"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F915D2E"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B08274" w14:textId="77777777" w:rsidR="00537112" w:rsidRPr="00537112" w:rsidRDefault="00537112" w:rsidP="00537112">
            <w:pPr>
              <w:autoSpaceDE w:val="0"/>
              <w:autoSpaceDN w:val="0"/>
              <w:spacing w:before="83"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7C8986AF" w14:textId="77777777" w:rsidR="00537112" w:rsidRPr="00537112" w:rsidRDefault="00537112" w:rsidP="00537112">
            <w:pPr>
              <w:autoSpaceDE w:val="0"/>
              <w:autoSpaceDN w:val="0"/>
              <w:spacing w:before="83"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1"/>
                <w:sz w:val="20"/>
                <w:szCs w:val="20"/>
              </w:rPr>
              <w:t>n</w:t>
            </w:r>
            <w:r w:rsidRPr="00537112">
              <w:rPr>
                <w:rFonts w:cs="Verdana"/>
                <w:spacing w:val="-1"/>
                <w:sz w:val="20"/>
                <w:szCs w:val="20"/>
              </w:rPr>
              <w:t>ce</w:t>
            </w:r>
            <w:r w:rsidRPr="00537112">
              <w:rPr>
                <w:rFonts w:cs="Verdana"/>
                <w:spacing w:val="1"/>
                <w:sz w:val="20"/>
                <w:szCs w:val="20"/>
              </w:rPr>
              <w:t>p</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ó</w:t>
            </w:r>
            <w:r w:rsidRPr="00537112">
              <w:rPr>
                <w:rFonts w:cs="Verdana"/>
                <w:sz w:val="20"/>
                <w:szCs w:val="20"/>
              </w:rPr>
              <w:t>n</w:t>
            </w:r>
            <w:r w:rsidRPr="00537112">
              <w:rPr>
                <w:rFonts w:cs="Verdana"/>
                <w:spacing w:val="-11"/>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r>
    </w:tbl>
    <w:p w14:paraId="1677BBA5"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0A665E98"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24215DF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447A2CC"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1B3D1AB8"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67</w:t>
            </w:r>
          </w:p>
        </w:tc>
        <w:tc>
          <w:tcPr>
            <w:tcW w:w="3958" w:type="dxa"/>
            <w:vMerge w:val="restart"/>
            <w:tcBorders>
              <w:top w:val="single" w:sz="8" w:space="0" w:color="000000"/>
              <w:left w:val="single" w:sz="8" w:space="0" w:color="000000"/>
              <w:bottom w:val="single" w:sz="8" w:space="0" w:color="000000"/>
              <w:right w:val="single" w:sz="8" w:space="0" w:color="000000"/>
            </w:tcBorders>
          </w:tcPr>
          <w:p w14:paraId="1236B793"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582D34C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Na</w:t>
            </w:r>
            <w:r w:rsidRPr="00537112">
              <w:rPr>
                <w:rFonts w:cs="Verdana"/>
                <w:spacing w:val="1"/>
                <w:sz w:val="20"/>
                <w:szCs w:val="20"/>
              </w:rPr>
              <w:t>p</w:t>
            </w:r>
            <w:r w:rsidRPr="00537112">
              <w:rPr>
                <w:rFonts w:cs="Verdana"/>
                <w:spacing w:val="-1"/>
                <w:sz w:val="20"/>
                <w:szCs w:val="20"/>
              </w:rPr>
              <w:t>o</w:t>
            </w:r>
            <w:r w:rsidRPr="00537112">
              <w:rPr>
                <w:rFonts w:cs="Verdana"/>
                <w:spacing w:val="3"/>
                <w:sz w:val="20"/>
                <w:szCs w:val="20"/>
              </w:rPr>
              <w:t>l</w:t>
            </w:r>
            <w:r w:rsidRPr="00537112">
              <w:rPr>
                <w:rFonts w:cs="Verdana"/>
                <w:spacing w:val="-1"/>
                <w:sz w:val="20"/>
                <w:szCs w:val="20"/>
              </w:rPr>
              <w:t>eó</w:t>
            </w:r>
            <w:r w:rsidRPr="00537112">
              <w:rPr>
                <w:rFonts w:cs="Verdana"/>
                <w:sz w:val="20"/>
                <w:szCs w:val="20"/>
              </w:rPr>
              <w:t>n</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z w:val="20"/>
                <w:szCs w:val="20"/>
              </w:rPr>
              <w:t>De</w:t>
            </w:r>
            <w:r w:rsidRPr="00537112">
              <w:rPr>
                <w:rFonts w:cs="Verdana"/>
                <w:spacing w:val="-5"/>
                <w:sz w:val="20"/>
                <w:szCs w:val="20"/>
              </w:rPr>
              <w:t xml:space="preserve"> </w:t>
            </w:r>
            <w:r w:rsidRPr="00537112">
              <w:rPr>
                <w:rFonts w:cs="Verdana"/>
                <w:sz w:val="20"/>
                <w:szCs w:val="20"/>
              </w:rPr>
              <w:t>Paz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94DAC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13D9C32D"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2"/>
                <w:sz w:val="20"/>
                <w:szCs w:val="20"/>
              </w:rPr>
              <w:t>I</w:t>
            </w:r>
            <w:r w:rsidRPr="00537112">
              <w:rPr>
                <w:rFonts w:cs="Verdana"/>
                <w:spacing w:val="-1"/>
                <w:sz w:val="20"/>
                <w:szCs w:val="20"/>
              </w:rPr>
              <w:t>s</w:t>
            </w:r>
            <w:r w:rsidRPr="00537112">
              <w:rPr>
                <w:rFonts w:cs="Verdana"/>
                <w:sz w:val="20"/>
                <w:szCs w:val="20"/>
              </w:rPr>
              <w:t>a</w:t>
            </w:r>
            <w:r w:rsidRPr="00537112">
              <w:rPr>
                <w:rFonts w:cs="Verdana"/>
                <w:spacing w:val="1"/>
                <w:sz w:val="20"/>
                <w:szCs w:val="20"/>
              </w:rPr>
              <w:t>b</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z w:val="20"/>
                <w:szCs w:val="20"/>
              </w:rPr>
              <w:t>B</w:t>
            </w:r>
            <w:r w:rsidRPr="00537112">
              <w:rPr>
                <w:rFonts w:cs="Verdana"/>
                <w:spacing w:val="-1"/>
                <w:sz w:val="20"/>
                <w:szCs w:val="20"/>
              </w:rPr>
              <w:t>o</w:t>
            </w:r>
            <w:r w:rsidRPr="00537112">
              <w:rPr>
                <w:rFonts w:cs="Verdana"/>
                <w:spacing w:val="3"/>
                <w:sz w:val="20"/>
                <w:szCs w:val="20"/>
              </w:rPr>
              <w:t>l</w:t>
            </w:r>
            <w:r w:rsidRPr="00537112">
              <w:rPr>
                <w:rFonts w:cs="Verdana"/>
                <w:sz w:val="20"/>
                <w:szCs w:val="20"/>
              </w:rPr>
              <w:t>aj</w:t>
            </w:r>
            <w:r w:rsidRPr="00537112">
              <w:rPr>
                <w:rFonts w:cs="Verdana"/>
                <w:spacing w:val="-5"/>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t</w:t>
            </w:r>
            <w:r w:rsidRPr="00537112">
              <w:rPr>
                <w:rFonts w:cs="Verdana"/>
                <w:spacing w:val="-1"/>
                <w:sz w:val="20"/>
                <w:szCs w:val="20"/>
              </w:rPr>
              <w:t>eco</w:t>
            </w:r>
            <w:r w:rsidRPr="00537112">
              <w:rPr>
                <w:rFonts w:cs="Verdana"/>
                <w:sz w:val="20"/>
                <w:szCs w:val="20"/>
              </w:rPr>
              <w:t>c</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r>
      <w:tr w:rsidR="00537112" w:rsidRPr="00537112" w14:paraId="14B707F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1E33D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4B826B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7B1D8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1CDAE6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r>
      <w:tr w:rsidR="00537112" w:rsidRPr="00537112" w14:paraId="07455E1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CB940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9E8C0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1BBC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500C69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r>
      <w:tr w:rsidR="00537112" w:rsidRPr="00537112" w14:paraId="65A488B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B36301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8DF45CF"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6885E82B"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68</w:t>
            </w:r>
          </w:p>
        </w:tc>
        <w:tc>
          <w:tcPr>
            <w:tcW w:w="3958" w:type="dxa"/>
            <w:vMerge w:val="restart"/>
            <w:tcBorders>
              <w:top w:val="single" w:sz="8" w:space="0" w:color="000000"/>
              <w:left w:val="single" w:sz="8" w:space="0" w:color="000000"/>
              <w:bottom w:val="single" w:sz="8" w:space="0" w:color="000000"/>
              <w:right w:val="single" w:sz="8" w:space="0" w:color="000000"/>
            </w:tcBorders>
          </w:tcPr>
          <w:p w14:paraId="7428AEE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C9F834"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7A43D68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788F7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7C7D15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r>
      <w:tr w:rsidR="00537112" w:rsidRPr="00537112" w14:paraId="58B20B4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41EDB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CD4A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4A01E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0DB7A1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1B5FF1A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168C7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BBDC9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E009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2FCB0A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Héc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680F22E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AC568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24248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E7FC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45E11C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22EE688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7B9FD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3B7F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9D3A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08C905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3077E5DC" w14:textId="77777777" w:rsidTr="00630EEC">
        <w:trPr>
          <w:trHeight w:hRule="exact" w:val="682"/>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2BB07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1EC23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90E90A6" w14:textId="77777777" w:rsidR="00537112" w:rsidRPr="00537112" w:rsidRDefault="00537112" w:rsidP="00537112">
            <w:pPr>
              <w:autoSpaceDE w:val="0"/>
              <w:autoSpaceDN w:val="0"/>
              <w:spacing w:before="4" w:line="200" w:lineRule="exact"/>
              <w:jc w:val="left"/>
              <w:textAlignment w:val="auto"/>
              <w:rPr>
                <w:rFonts w:ascii="Times New Roman" w:hAnsi="Times New Roman"/>
                <w:sz w:val="20"/>
                <w:szCs w:val="20"/>
              </w:rPr>
            </w:pPr>
          </w:p>
          <w:p w14:paraId="4ED01F20"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69</w:t>
            </w:r>
          </w:p>
        </w:tc>
        <w:tc>
          <w:tcPr>
            <w:tcW w:w="3958" w:type="dxa"/>
            <w:vMerge w:val="restart"/>
            <w:tcBorders>
              <w:top w:val="single" w:sz="8" w:space="0" w:color="000000"/>
              <w:left w:val="single" w:sz="8" w:space="0" w:color="000000"/>
              <w:bottom w:val="single" w:sz="8" w:space="0" w:color="000000"/>
              <w:right w:val="single" w:sz="8" w:space="0" w:color="000000"/>
            </w:tcBorders>
          </w:tcPr>
          <w:p w14:paraId="2146DAE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648A65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210F1A" w14:textId="77777777" w:rsidR="00537112" w:rsidRPr="00537112" w:rsidRDefault="00537112" w:rsidP="00537112">
            <w:pPr>
              <w:autoSpaceDE w:val="0"/>
              <w:autoSpaceDN w:val="0"/>
              <w:spacing w:before="4" w:line="200" w:lineRule="exact"/>
              <w:jc w:val="left"/>
              <w:textAlignment w:val="auto"/>
              <w:rPr>
                <w:rFonts w:ascii="Times New Roman" w:hAnsi="Times New Roman"/>
                <w:sz w:val="20"/>
                <w:szCs w:val="20"/>
              </w:rPr>
            </w:pPr>
          </w:p>
          <w:p w14:paraId="3B4D093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8"/>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n</w:t>
            </w:r>
            <w:r w:rsidRPr="00537112">
              <w:rPr>
                <w:rFonts w:cs="Verdana"/>
                <w:spacing w:val="-1"/>
                <w:sz w:val="20"/>
                <w:szCs w:val="20"/>
              </w:rPr>
              <w:t>co</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67B311" w14:textId="77777777" w:rsidR="00537112" w:rsidRPr="00537112" w:rsidRDefault="00537112" w:rsidP="00537112">
            <w:pPr>
              <w:autoSpaceDE w:val="0"/>
              <w:autoSpaceDN w:val="0"/>
              <w:spacing w:before="8" w:line="200" w:lineRule="exact"/>
              <w:jc w:val="left"/>
              <w:textAlignment w:val="auto"/>
              <w:rPr>
                <w:rFonts w:ascii="Times New Roman" w:hAnsi="Times New Roman"/>
                <w:sz w:val="20"/>
                <w:szCs w:val="20"/>
              </w:rPr>
            </w:pPr>
          </w:p>
          <w:p w14:paraId="464D411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1CC78FEA" w14:textId="77777777" w:rsidR="00537112" w:rsidRPr="00537112" w:rsidRDefault="00537112" w:rsidP="00537112">
            <w:pPr>
              <w:autoSpaceDE w:val="0"/>
              <w:autoSpaceDN w:val="0"/>
              <w:spacing w:before="8" w:line="200" w:lineRule="exact"/>
              <w:jc w:val="left"/>
              <w:textAlignment w:val="auto"/>
              <w:rPr>
                <w:rFonts w:ascii="Times New Roman" w:hAnsi="Times New Roman"/>
                <w:sz w:val="20"/>
                <w:szCs w:val="20"/>
              </w:rPr>
            </w:pPr>
          </w:p>
          <w:p w14:paraId="2EE8B51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Da</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z w:val="20"/>
                <w:szCs w:val="20"/>
              </w:rPr>
              <w:t>C</w:t>
            </w:r>
            <w:r w:rsidRPr="00537112">
              <w:rPr>
                <w:rFonts w:cs="Verdana"/>
                <w:spacing w:val="1"/>
                <w:sz w:val="20"/>
                <w:szCs w:val="20"/>
              </w:rPr>
              <w:t>u</w:t>
            </w:r>
            <w:r w:rsidRPr="00537112">
              <w:rPr>
                <w:rFonts w:cs="Verdana"/>
                <w:sz w:val="20"/>
                <w:szCs w:val="20"/>
              </w:rPr>
              <w:t>x</w:t>
            </w:r>
            <w:r w:rsidRPr="00537112">
              <w:rPr>
                <w:rFonts w:cs="Verdana"/>
                <w:spacing w:val="1"/>
                <w:sz w:val="20"/>
                <w:szCs w:val="20"/>
              </w:rPr>
              <w:t>úm</w:t>
            </w:r>
          </w:p>
        </w:tc>
      </w:tr>
      <w:tr w:rsidR="00537112" w:rsidRPr="00537112" w14:paraId="003A3E22" w14:textId="77777777" w:rsidTr="00630EEC">
        <w:trPr>
          <w:trHeight w:hRule="exact" w:val="814"/>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B9ECB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1BBAA8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78A1321" w14:textId="77777777" w:rsidR="00537112" w:rsidRPr="00537112" w:rsidRDefault="00537112" w:rsidP="00537112">
            <w:pPr>
              <w:autoSpaceDE w:val="0"/>
              <w:autoSpaceDN w:val="0"/>
              <w:spacing w:before="13" w:line="260" w:lineRule="exact"/>
              <w:jc w:val="left"/>
              <w:textAlignment w:val="auto"/>
              <w:rPr>
                <w:rFonts w:ascii="Times New Roman" w:hAnsi="Times New Roman"/>
                <w:sz w:val="26"/>
                <w:szCs w:val="26"/>
              </w:rPr>
            </w:pPr>
          </w:p>
          <w:p w14:paraId="570C9CC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19E826B6" w14:textId="77777777" w:rsidR="00537112" w:rsidRPr="00537112" w:rsidRDefault="00537112" w:rsidP="00537112">
            <w:pPr>
              <w:autoSpaceDE w:val="0"/>
              <w:autoSpaceDN w:val="0"/>
              <w:spacing w:before="13" w:line="260" w:lineRule="exact"/>
              <w:jc w:val="left"/>
              <w:textAlignment w:val="auto"/>
              <w:rPr>
                <w:rFonts w:ascii="Times New Roman" w:hAnsi="Times New Roman"/>
                <w:sz w:val="26"/>
                <w:szCs w:val="26"/>
              </w:rPr>
            </w:pPr>
          </w:p>
          <w:p w14:paraId="7A21DD7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1"/>
                <w:sz w:val="20"/>
                <w:szCs w:val="20"/>
              </w:rPr>
              <w:t>n</w:t>
            </w:r>
            <w:r w:rsidRPr="00537112">
              <w:rPr>
                <w:rFonts w:cs="Verdana"/>
                <w:spacing w:val="-1"/>
                <w:sz w:val="20"/>
                <w:szCs w:val="20"/>
              </w:rPr>
              <w:t>ce</w:t>
            </w:r>
            <w:r w:rsidRPr="00537112">
              <w:rPr>
                <w:rFonts w:cs="Verdana"/>
                <w:spacing w:val="1"/>
                <w:sz w:val="20"/>
                <w:szCs w:val="20"/>
              </w:rPr>
              <w:t>p</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ó</w:t>
            </w:r>
            <w:r w:rsidRPr="00537112">
              <w:rPr>
                <w:rFonts w:cs="Verdana"/>
                <w:sz w:val="20"/>
                <w:szCs w:val="20"/>
              </w:rPr>
              <w:t>n</w:t>
            </w:r>
            <w:r w:rsidRPr="00537112">
              <w:rPr>
                <w:rFonts w:cs="Verdana"/>
                <w:spacing w:val="-11"/>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4BE232B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56E437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21E1C8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838F3B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BEA34F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2FF63F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AA9D77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0BBAB9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B211D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C639DC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4A9C35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B718A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E3A704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2F3107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CA8A0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21F0E1B" w14:textId="77777777" w:rsidR="00537112" w:rsidRPr="00537112" w:rsidRDefault="00537112" w:rsidP="00537112">
            <w:pPr>
              <w:autoSpaceDE w:val="0"/>
              <w:autoSpaceDN w:val="0"/>
              <w:spacing w:before="20" w:line="280" w:lineRule="exact"/>
              <w:jc w:val="left"/>
              <w:textAlignment w:val="auto"/>
              <w:rPr>
                <w:rFonts w:ascii="Times New Roman" w:hAnsi="Times New Roman"/>
                <w:sz w:val="28"/>
                <w:szCs w:val="28"/>
              </w:rPr>
            </w:pPr>
          </w:p>
          <w:p w14:paraId="0C6D058B"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70</w:t>
            </w:r>
          </w:p>
        </w:tc>
        <w:tc>
          <w:tcPr>
            <w:tcW w:w="3958" w:type="dxa"/>
            <w:vMerge w:val="restart"/>
            <w:tcBorders>
              <w:top w:val="single" w:sz="8" w:space="0" w:color="000000"/>
              <w:left w:val="single" w:sz="8" w:space="0" w:color="000000"/>
              <w:bottom w:val="single" w:sz="8" w:space="0" w:color="000000"/>
              <w:right w:val="single" w:sz="8" w:space="0" w:color="000000"/>
            </w:tcBorders>
          </w:tcPr>
          <w:p w14:paraId="4D7A66E8" w14:textId="77777777" w:rsidR="00537112" w:rsidRPr="00537112" w:rsidRDefault="00537112" w:rsidP="00537112">
            <w:pPr>
              <w:autoSpaceDE w:val="0"/>
              <w:autoSpaceDN w:val="0"/>
              <w:spacing w:line="100" w:lineRule="exact"/>
              <w:jc w:val="left"/>
              <w:textAlignment w:val="auto"/>
              <w:rPr>
                <w:rFonts w:ascii="Times New Roman" w:hAnsi="Times New Roman"/>
                <w:sz w:val="10"/>
                <w:szCs w:val="10"/>
              </w:rPr>
            </w:pPr>
          </w:p>
          <w:p w14:paraId="6BCAC21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C842D0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5C0C64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F827B7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BC8360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CCF57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3F2CBE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4850A5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EE9EED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F7C7C1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5B1F50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11992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92D734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FACBCF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0DA3CD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5C567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w:t>
            </w:r>
            <w:r w:rsidRPr="00537112">
              <w:rPr>
                <w:rFonts w:cs="Verdana"/>
                <w:spacing w:val="3"/>
                <w:sz w:val="20"/>
                <w:szCs w:val="20"/>
              </w:rPr>
              <w:t>i</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1"/>
                <w:sz w:val="20"/>
                <w:szCs w:val="20"/>
              </w:rPr>
              <w:t>c</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Lo</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46E48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15DC9F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79C19724"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C0D4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3969F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4663D9F"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0156CB4A"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r>
      <w:tr w:rsidR="00537112" w:rsidRPr="00537112" w14:paraId="7458052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2D0484D"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B727987"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AD1B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790FF5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B66C58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CBDD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FC5F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E769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4ED34E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66FE25F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0B4C6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237A8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39D1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012441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Leo</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87FD11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03B7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B67E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014CF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4977EB04"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position w:val="-1"/>
                <w:sz w:val="20"/>
                <w:szCs w:val="20"/>
                <w:lang w:val="pt-BR"/>
              </w:rPr>
              <w:t>Ma</w:t>
            </w:r>
            <w:r w:rsidRPr="00537112">
              <w:rPr>
                <w:rFonts w:cs="Verdana"/>
                <w:spacing w:val="1"/>
                <w:position w:val="-1"/>
                <w:sz w:val="20"/>
                <w:szCs w:val="20"/>
                <w:lang w:val="pt-BR"/>
              </w:rPr>
              <w:t>nu</w:t>
            </w:r>
            <w:r w:rsidRPr="00537112">
              <w:rPr>
                <w:rFonts w:cs="Verdana"/>
                <w:spacing w:val="-1"/>
                <w:position w:val="-1"/>
                <w:sz w:val="20"/>
                <w:szCs w:val="20"/>
                <w:lang w:val="pt-BR"/>
              </w:rPr>
              <w:t>e</w:t>
            </w:r>
            <w:r w:rsidRPr="00537112">
              <w:rPr>
                <w:rFonts w:cs="Verdana"/>
                <w:position w:val="-1"/>
                <w:sz w:val="20"/>
                <w:szCs w:val="20"/>
                <w:lang w:val="pt-BR"/>
              </w:rPr>
              <w:t>l</w:t>
            </w:r>
            <w:r w:rsidRPr="00537112">
              <w:rPr>
                <w:rFonts w:cs="Verdana"/>
                <w:spacing w:val="-5"/>
                <w:position w:val="-1"/>
                <w:sz w:val="20"/>
                <w:szCs w:val="20"/>
                <w:lang w:val="pt-BR"/>
              </w:rPr>
              <w:t xml:space="preserve"> </w:t>
            </w:r>
            <w:r w:rsidRPr="00537112">
              <w:rPr>
                <w:rFonts w:cs="Verdana"/>
                <w:spacing w:val="1"/>
                <w:position w:val="-1"/>
                <w:sz w:val="20"/>
                <w:szCs w:val="20"/>
                <w:lang w:val="pt-BR"/>
              </w:rPr>
              <w:t>d</w:t>
            </w:r>
            <w:r w:rsidRPr="00537112">
              <w:rPr>
                <w:rFonts w:cs="Verdana"/>
                <w:position w:val="-1"/>
                <w:sz w:val="20"/>
                <w:szCs w:val="20"/>
                <w:lang w:val="pt-BR"/>
              </w:rPr>
              <w:t>e</w:t>
            </w:r>
            <w:r w:rsidRPr="00537112">
              <w:rPr>
                <w:rFonts w:cs="Verdana"/>
                <w:spacing w:val="-4"/>
                <w:position w:val="-1"/>
                <w:sz w:val="20"/>
                <w:szCs w:val="20"/>
                <w:lang w:val="pt-BR"/>
              </w:rPr>
              <w:t xml:space="preserve"> </w:t>
            </w:r>
            <w:r w:rsidRPr="00537112">
              <w:rPr>
                <w:rFonts w:cs="Verdana"/>
                <w:spacing w:val="1"/>
                <w:position w:val="-1"/>
                <w:sz w:val="20"/>
                <w:szCs w:val="20"/>
                <w:lang w:val="pt-BR"/>
              </w:rPr>
              <w:t>J</w:t>
            </w:r>
            <w:r w:rsidRPr="00537112">
              <w:rPr>
                <w:rFonts w:cs="Verdana"/>
                <w:spacing w:val="-1"/>
                <w:position w:val="-1"/>
                <w:sz w:val="20"/>
                <w:szCs w:val="20"/>
                <w:lang w:val="pt-BR"/>
              </w:rPr>
              <w:t>es</w:t>
            </w:r>
            <w:r w:rsidRPr="00537112">
              <w:rPr>
                <w:rFonts w:cs="Verdana"/>
                <w:spacing w:val="1"/>
                <w:position w:val="-1"/>
                <w:sz w:val="20"/>
                <w:szCs w:val="20"/>
                <w:lang w:val="pt-BR"/>
              </w:rPr>
              <w:t>u</w:t>
            </w:r>
            <w:r w:rsidRPr="00537112">
              <w:rPr>
                <w:rFonts w:cs="Verdana"/>
                <w:position w:val="-1"/>
                <w:sz w:val="20"/>
                <w:szCs w:val="20"/>
                <w:lang w:val="pt-BR"/>
              </w:rPr>
              <w:t>s</w:t>
            </w:r>
            <w:r w:rsidRPr="00537112">
              <w:rPr>
                <w:rFonts w:cs="Verdana"/>
                <w:spacing w:val="-6"/>
                <w:position w:val="-1"/>
                <w:sz w:val="20"/>
                <w:szCs w:val="20"/>
                <w:lang w:val="pt-BR"/>
              </w:rPr>
              <w:t xml:space="preserve"> </w:t>
            </w:r>
            <w:r w:rsidRPr="00537112">
              <w:rPr>
                <w:rFonts w:cs="Verdana"/>
                <w:spacing w:val="-1"/>
                <w:position w:val="-1"/>
                <w:sz w:val="20"/>
                <w:szCs w:val="20"/>
                <w:lang w:val="pt-BR"/>
              </w:rPr>
              <w:t>G</w:t>
            </w:r>
            <w:r w:rsidRPr="00537112">
              <w:rPr>
                <w:rFonts w:cs="Verdana"/>
                <w:position w:val="-1"/>
                <w:sz w:val="20"/>
                <w:szCs w:val="20"/>
                <w:lang w:val="pt-BR"/>
              </w:rPr>
              <w:t>a</w:t>
            </w:r>
            <w:r w:rsidRPr="00537112">
              <w:rPr>
                <w:rFonts w:cs="Verdana"/>
                <w:spacing w:val="3"/>
                <w:position w:val="-1"/>
                <w:sz w:val="20"/>
                <w:szCs w:val="20"/>
                <w:lang w:val="pt-BR"/>
              </w:rPr>
              <w:t>li</w:t>
            </w:r>
            <w:r w:rsidRPr="00537112">
              <w:rPr>
                <w:rFonts w:cs="Verdana"/>
                <w:spacing w:val="-1"/>
                <w:position w:val="-1"/>
                <w:sz w:val="20"/>
                <w:szCs w:val="20"/>
                <w:lang w:val="pt-BR"/>
              </w:rPr>
              <w:t>e</w:t>
            </w:r>
            <w:r w:rsidRPr="00537112">
              <w:rPr>
                <w:rFonts w:cs="Verdana"/>
                <w:spacing w:val="1"/>
                <w:position w:val="-1"/>
                <w:sz w:val="20"/>
                <w:szCs w:val="20"/>
                <w:lang w:val="pt-BR"/>
              </w:rPr>
              <w:t>g</w:t>
            </w:r>
            <w:r w:rsidRPr="00537112">
              <w:rPr>
                <w:rFonts w:cs="Verdana"/>
                <w:position w:val="-1"/>
                <w:sz w:val="20"/>
                <w:szCs w:val="20"/>
                <w:lang w:val="pt-BR"/>
              </w:rPr>
              <w:t>o</w:t>
            </w:r>
            <w:r w:rsidRPr="00537112">
              <w:rPr>
                <w:rFonts w:cs="Verdana"/>
                <w:spacing w:val="-9"/>
                <w:position w:val="-1"/>
                <w:sz w:val="20"/>
                <w:szCs w:val="20"/>
                <w:lang w:val="pt-BR"/>
              </w:rPr>
              <w:t xml:space="preserve"> </w:t>
            </w:r>
            <w:r w:rsidRPr="00537112">
              <w:rPr>
                <w:rFonts w:cs="Verdana"/>
                <w:position w:val="-1"/>
                <w:sz w:val="20"/>
                <w:szCs w:val="20"/>
                <w:lang w:val="pt-BR"/>
              </w:rPr>
              <w:t>M</w:t>
            </w:r>
            <w:r w:rsidRPr="00537112">
              <w:rPr>
                <w:rFonts w:cs="Verdana"/>
                <w:spacing w:val="-1"/>
                <w:position w:val="-1"/>
                <w:sz w:val="20"/>
                <w:szCs w:val="20"/>
                <w:lang w:val="pt-BR"/>
              </w:rPr>
              <w:t>e</w:t>
            </w:r>
            <w:r w:rsidRPr="00537112">
              <w:rPr>
                <w:rFonts w:cs="Verdana"/>
                <w:spacing w:val="1"/>
                <w:position w:val="-1"/>
                <w:sz w:val="20"/>
                <w:szCs w:val="20"/>
                <w:lang w:val="pt-BR"/>
              </w:rPr>
              <w:t>nd</w:t>
            </w:r>
            <w:r w:rsidRPr="00537112">
              <w:rPr>
                <w:rFonts w:cs="Verdana"/>
                <w:spacing w:val="-1"/>
                <w:position w:val="-1"/>
                <w:sz w:val="20"/>
                <w:szCs w:val="20"/>
                <w:lang w:val="pt-BR"/>
              </w:rPr>
              <w:t>o</w:t>
            </w:r>
            <w:r w:rsidRPr="00537112">
              <w:rPr>
                <w:rFonts w:cs="Verdana"/>
                <w:spacing w:val="1"/>
                <w:position w:val="-1"/>
                <w:sz w:val="20"/>
                <w:szCs w:val="20"/>
                <w:lang w:val="pt-BR"/>
              </w:rPr>
              <w:t>z</w:t>
            </w:r>
            <w:r w:rsidRPr="00537112">
              <w:rPr>
                <w:rFonts w:cs="Verdana"/>
                <w:position w:val="-1"/>
                <w:sz w:val="20"/>
                <w:szCs w:val="20"/>
                <w:lang w:val="pt-BR"/>
              </w:rPr>
              <w:t>a</w:t>
            </w:r>
          </w:p>
        </w:tc>
      </w:tr>
      <w:tr w:rsidR="00537112" w:rsidRPr="00537112" w14:paraId="4BFCF3D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855AFC"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p>
        </w:tc>
        <w:tc>
          <w:tcPr>
            <w:tcW w:w="3958" w:type="dxa"/>
            <w:vMerge/>
            <w:tcBorders>
              <w:top w:val="single" w:sz="8" w:space="0" w:color="000000"/>
              <w:left w:val="single" w:sz="8" w:space="0" w:color="000000"/>
              <w:bottom w:val="single" w:sz="8" w:space="0" w:color="000000"/>
              <w:right w:val="single" w:sz="8" w:space="0" w:color="000000"/>
            </w:tcBorders>
          </w:tcPr>
          <w:p w14:paraId="69006A82"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002EB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1B2094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0F0FD96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222CF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779B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8833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3B3583D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1"/>
                <w:sz w:val="20"/>
                <w:szCs w:val="20"/>
              </w:rPr>
              <w:t>t</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e</w:t>
            </w:r>
            <w:r w:rsidRPr="00537112">
              <w:rPr>
                <w:rFonts w:cs="Verdana"/>
                <w:spacing w:val="1"/>
                <w:sz w:val="20"/>
                <w:szCs w:val="20"/>
              </w:rPr>
              <w:t>n</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p</w:t>
            </w:r>
          </w:p>
        </w:tc>
      </w:tr>
      <w:tr w:rsidR="00537112" w:rsidRPr="00537112" w14:paraId="0FDC2D8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E14E9E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5E7C2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ACD4B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40D6EA02"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a</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47E33F1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CCACBD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AF9C08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A5AFB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4F7B4A6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or</w:t>
            </w:r>
            <w:r w:rsidRPr="00537112">
              <w:rPr>
                <w:rFonts w:cs="Verdana"/>
                <w:spacing w:val="1"/>
                <w:sz w:val="20"/>
                <w:szCs w:val="20"/>
              </w:rPr>
              <w:t>g</w:t>
            </w:r>
            <w:r w:rsidRPr="00537112">
              <w:rPr>
                <w:rFonts w:cs="Verdana"/>
                <w:sz w:val="20"/>
                <w:szCs w:val="20"/>
              </w:rPr>
              <w:t>e</w:t>
            </w:r>
            <w:r w:rsidRPr="00537112">
              <w:rPr>
                <w:rFonts w:cs="Verdana"/>
                <w:spacing w:val="-7"/>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0D56375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F7589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30ED53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16DE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575FB2A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Ant</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z w:val="20"/>
                <w:szCs w:val="20"/>
              </w:rPr>
              <w:t>a</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1F2D988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96E48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ACA88B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EB43E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6A99891A"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r</w:t>
            </w:r>
            <w:r w:rsidRPr="00537112">
              <w:rPr>
                <w:rFonts w:cs="Verdana"/>
                <w:spacing w:val="1"/>
                <w:sz w:val="20"/>
                <w:szCs w:val="20"/>
              </w:rPr>
              <w:t>m</w:t>
            </w:r>
            <w:r w:rsidRPr="00537112">
              <w:rPr>
                <w:rFonts w:cs="Verdana"/>
                <w:spacing w:val="-1"/>
                <w:sz w:val="20"/>
                <w:szCs w:val="20"/>
              </w:rPr>
              <w:t>e</w:t>
            </w:r>
            <w:r w:rsidRPr="00537112">
              <w:rPr>
                <w:rFonts w:cs="Verdana"/>
                <w:spacing w:val="3"/>
                <w:sz w:val="20"/>
                <w:szCs w:val="20"/>
              </w:rPr>
              <w:t>l</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761D996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40D34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8F5FDA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116F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67F9D2EC"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L</w:t>
            </w:r>
            <w:r w:rsidRPr="00537112">
              <w:rPr>
                <w:rFonts w:cs="Verdana"/>
                <w:spacing w:val="1"/>
                <w:sz w:val="20"/>
                <w:szCs w:val="20"/>
              </w:rPr>
              <w:t>u</w:t>
            </w:r>
            <w:r w:rsidRPr="00537112">
              <w:rPr>
                <w:rFonts w:cs="Verdana"/>
                <w:spacing w:val="3"/>
                <w:sz w:val="20"/>
                <w:szCs w:val="20"/>
              </w:rPr>
              <w:t>i</w:t>
            </w:r>
            <w:r w:rsidRPr="00537112">
              <w:rPr>
                <w:rFonts w:cs="Verdana"/>
                <w:sz w:val="20"/>
                <w:szCs w:val="20"/>
              </w:rPr>
              <w:t>s</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35C5FA6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892CCF2"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2CD598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F03B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6D38C40C"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or</w:t>
            </w:r>
            <w:r w:rsidRPr="00537112">
              <w:rPr>
                <w:rFonts w:cs="Verdana"/>
                <w:spacing w:val="3"/>
                <w:sz w:val="20"/>
                <w:szCs w:val="20"/>
              </w:rPr>
              <w:t>i</w:t>
            </w:r>
            <w:r w:rsidRPr="00537112">
              <w:rPr>
                <w:rFonts w:cs="Verdana"/>
                <w:sz w:val="20"/>
                <w:szCs w:val="20"/>
              </w:rPr>
              <w:t>a</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55D3A35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24B0A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9A42C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0077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6EFC083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Ab</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7"/>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3EEC573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2ECCA0"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6CE58D"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DAF1A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2193D202"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m</w:t>
            </w:r>
            <w:r w:rsidRPr="00537112">
              <w:rPr>
                <w:rFonts w:cs="Verdana"/>
                <w:sz w:val="20"/>
                <w:szCs w:val="20"/>
              </w:rPr>
              <w:t>a</w:t>
            </w:r>
            <w:r w:rsidRPr="00537112">
              <w:rPr>
                <w:rFonts w:cs="Verdana"/>
                <w:spacing w:val="-6"/>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7D7450D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BDBA810"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4CB2CA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7DD1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52EA315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w:t>
            </w:r>
            <w:r w:rsidRPr="00537112">
              <w:rPr>
                <w:rFonts w:cs="Verdana"/>
                <w:sz w:val="20"/>
                <w:szCs w:val="20"/>
              </w:rPr>
              <w:t>a</w:t>
            </w:r>
            <w:r w:rsidRPr="00537112">
              <w:rPr>
                <w:rFonts w:cs="Verdana"/>
                <w:spacing w:val="-1"/>
                <w:sz w:val="20"/>
                <w:szCs w:val="20"/>
              </w:rPr>
              <w:t>co</w:t>
            </w:r>
            <w:r w:rsidRPr="00537112">
              <w:rPr>
                <w:rFonts w:cs="Verdana"/>
                <w:spacing w:val="1"/>
                <w:sz w:val="20"/>
                <w:szCs w:val="20"/>
              </w:rPr>
              <w:t>b</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3A2AB6B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4F2DA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297A48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8EC9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76CD39A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u</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an</w:t>
            </w:r>
          </w:p>
        </w:tc>
      </w:tr>
      <w:tr w:rsidR="00537112" w:rsidRPr="00537112" w14:paraId="0C8C809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B0FAC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916BC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E06F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6D2A585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E</w:t>
            </w:r>
            <w:r w:rsidRPr="00537112">
              <w:rPr>
                <w:rFonts w:cs="Verdana"/>
                <w:sz w:val="20"/>
                <w:szCs w:val="20"/>
              </w:rPr>
              <w:t>va</w:t>
            </w:r>
            <w:r w:rsidRPr="00537112">
              <w:rPr>
                <w:rFonts w:cs="Verdana"/>
                <w:spacing w:val="-4"/>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2082B2B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2DD92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AEF8A4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987D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0F17D63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3"/>
                <w:sz w:val="20"/>
                <w:szCs w:val="20"/>
              </w:rPr>
              <w:t>l</w:t>
            </w:r>
            <w:r w:rsidRPr="00537112">
              <w:rPr>
                <w:rFonts w:cs="Verdana"/>
                <w:spacing w:val="-1"/>
                <w:sz w:val="20"/>
                <w:szCs w:val="20"/>
              </w:rPr>
              <w:t>ore</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2EEB98A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0EADB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B2ADE6F"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A40E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0ECB78F2"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363D8CF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F4D30F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F5C40D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3001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69BDED1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u</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509F038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565C2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61A8F12"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3EFA1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4B09C38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37D62D6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5865E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D4A50C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0967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2EC788C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z</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0D6FDB8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999C3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60AE03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488F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4CC71B5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G</w:t>
            </w:r>
            <w:r w:rsidRPr="00537112">
              <w:rPr>
                <w:rFonts w:cs="Verdana"/>
                <w:spacing w:val="1"/>
                <w:sz w:val="20"/>
                <w:szCs w:val="20"/>
              </w:rPr>
              <w:t>u</w:t>
            </w:r>
            <w:r w:rsidRPr="00537112">
              <w:rPr>
                <w:rFonts w:cs="Verdana"/>
                <w:spacing w:val="3"/>
                <w:sz w:val="20"/>
                <w:szCs w:val="20"/>
              </w:rPr>
              <w:t>ill</w:t>
            </w:r>
            <w:r w:rsidRPr="00537112">
              <w:rPr>
                <w:rFonts w:cs="Verdana"/>
                <w:spacing w:val="-1"/>
                <w:sz w:val="20"/>
                <w:szCs w:val="20"/>
              </w:rPr>
              <w:t>er</w:t>
            </w:r>
            <w:r w:rsidRPr="00537112">
              <w:rPr>
                <w:rFonts w:cs="Verdana"/>
                <w:spacing w:val="1"/>
                <w:sz w:val="20"/>
                <w:szCs w:val="20"/>
              </w:rPr>
              <w:t>m</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339350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4683FF"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4283F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CD42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66750D7D"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S</w:t>
            </w:r>
            <w:r w:rsidRPr="00537112">
              <w:rPr>
                <w:rFonts w:cs="Verdana"/>
                <w:sz w:val="20"/>
                <w:szCs w:val="20"/>
              </w:rPr>
              <w:t>a</w:t>
            </w:r>
            <w:r w:rsidRPr="00537112">
              <w:rPr>
                <w:rFonts w:cs="Verdana"/>
                <w:spacing w:val="1"/>
                <w:sz w:val="20"/>
                <w:szCs w:val="20"/>
              </w:rPr>
              <w:t>nt</w:t>
            </w:r>
            <w:r w:rsidRPr="00537112">
              <w:rPr>
                <w:rFonts w:cs="Verdana"/>
                <w:spacing w:val="3"/>
                <w:sz w:val="20"/>
                <w:szCs w:val="20"/>
              </w:rPr>
              <w:t>i</w:t>
            </w:r>
            <w:r w:rsidRPr="00537112">
              <w:rPr>
                <w:rFonts w:cs="Verdana"/>
                <w:sz w:val="20"/>
                <w:szCs w:val="20"/>
              </w:rPr>
              <w:t>a</w:t>
            </w:r>
            <w:r w:rsidRPr="00537112">
              <w:rPr>
                <w:rFonts w:cs="Verdana"/>
                <w:spacing w:val="1"/>
                <w:sz w:val="20"/>
                <w:szCs w:val="20"/>
              </w:rPr>
              <w:t>g</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1FAD8BFB"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5925A65" w14:textId="77777777" w:rsidR="00537112" w:rsidRPr="00537112" w:rsidRDefault="00537112" w:rsidP="00537112">
            <w:pPr>
              <w:autoSpaceDE w:val="0"/>
              <w:autoSpaceDN w:val="0"/>
              <w:spacing w:line="226" w:lineRule="exact"/>
              <w:ind w:right="273"/>
              <w:jc w:val="center"/>
              <w:textAlignment w:val="auto"/>
              <w:rPr>
                <w:rFonts w:ascii="Times New Roman" w:hAnsi="Times New Roman"/>
              </w:rPr>
            </w:pPr>
            <w:r w:rsidRPr="00537112">
              <w:rPr>
                <w:rFonts w:cs="Verdana"/>
                <w:b/>
                <w:bCs/>
                <w:w w:val="99"/>
                <w:position w:val="-1"/>
                <w:sz w:val="20"/>
                <w:szCs w:val="20"/>
              </w:rPr>
              <w:t>71</w:t>
            </w:r>
          </w:p>
        </w:tc>
        <w:tc>
          <w:tcPr>
            <w:tcW w:w="3958" w:type="dxa"/>
            <w:tcBorders>
              <w:top w:val="single" w:sz="8" w:space="0" w:color="000000"/>
              <w:left w:val="single" w:sz="8" w:space="0" w:color="000000"/>
              <w:bottom w:val="single" w:sz="8" w:space="0" w:color="000000"/>
              <w:right w:val="single" w:sz="8" w:space="0" w:color="000000"/>
            </w:tcBorders>
          </w:tcPr>
          <w:p w14:paraId="4AA2B7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Máx</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5EB9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501062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3E3B06B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FDFF1E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D4FFCF7"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70A86598"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72</w:t>
            </w:r>
          </w:p>
        </w:tc>
        <w:tc>
          <w:tcPr>
            <w:tcW w:w="3958" w:type="dxa"/>
            <w:vMerge w:val="restart"/>
            <w:tcBorders>
              <w:top w:val="single" w:sz="8" w:space="0" w:color="000000"/>
              <w:left w:val="single" w:sz="8" w:space="0" w:color="000000"/>
              <w:bottom w:val="single" w:sz="8" w:space="0" w:color="000000"/>
              <w:right w:val="single" w:sz="8" w:space="0" w:color="000000"/>
            </w:tcBorders>
          </w:tcPr>
          <w:p w14:paraId="074E7E9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95A4E60"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487DA09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w:t>
            </w:r>
            <w:r w:rsidRPr="00537112">
              <w:rPr>
                <w:rFonts w:cs="Verdana"/>
                <w:spacing w:val="3"/>
                <w:sz w:val="20"/>
                <w:szCs w:val="20"/>
              </w:rPr>
              <w:t>i</w:t>
            </w:r>
            <w:r w:rsidRPr="00537112">
              <w:rPr>
                <w:rFonts w:cs="Verdana"/>
                <w:spacing w:val="1"/>
                <w:sz w:val="20"/>
                <w:szCs w:val="20"/>
              </w:rPr>
              <w:t>gu</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z w:val="20"/>
                <w:szCs w:val="20"/>
              </w:rPr>
              <w:t>Ta</w:t>
            </w:r>
            <w:r w:rsidRPr="00537112">
              <w:rPr>
                <w:rFonts w:cs="Verdana"/>
                <w:spacing w:val="1"/>
                <w:sz w:val="20"/>
                <w:szCs w:val="20"/>
              </w:rPr>
              <w:t>hu</w:t>
            </w:r>
            <w:r w:rsidRPr="00537112">
              <w:rPr>
                <w:rFonts w:cs="Verdana"/>
                <w:spacing w:val="3"/>
                <w:sz w:val="20"/>
                <w:szCs w:val="20"/>
              </w:rPr>
              <w:t>i</w:t>
            </w:r>
            <w:r w:rsidRPr="00537112">
              <w:rPr>
                <w:rFonts w:cs="Verdana"/>
                <w:spacing w:val="-1"/>
                <w:sz w:val="20"/>
                <w:szCs w:val="20"/>
              </w:rPr>
              <w:t>c</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8610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30295F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2CD5EC0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7C5A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2A386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5CE8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755A86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3648B40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CBB4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2CF36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61DD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6F7353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932470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2FAD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11F8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8379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40E12A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6ABA50D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DC40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4A037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79CE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3</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78E455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spacing w:val="3"/>
                <w:position w:val="-1"/>
                <w:sz w:val="20"/>
                <w:szCs w:val="20"/>
              </w:rPr>
              <w:t>í</w:t>
            </w:r>
            <w:r w:rsidRPr="00537112">
              <w:rPr>
                <w:rFonts w:cs="Verdana"/>
                <w:spacing w:val="1"/>
                <w:position w:val="-1"/>
                <w:sz w:val="20"/>
                <w:szCs w:val="20"/>
              </w:rPr>
              <w:t>b</w:t>
            </w:r>
            <w:r w:rsidRPr="00537112">
              <w:rPr>
                <w:rFonts w:cs="Verdana"/>
                <w:position w:val="-1"/>
                <w:sz w:val="20"/>
                <w:szCs w:val="20"/>
              </w:rPr>
              <w:t>al</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5209EC2D" w14:textId="77777777" w:rsidTr="00630EEC">
        <w:trPr>
          <w:trHeight w:hRule="exact" w:val="420"/>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BCE510" w14:textId="77777777" w:rsidR="00537112" w:rsidRPr="00537112" w:rsidRDefault="00537112" w:rsidP="00537112">
            <w:pPr>
              <w:autoSpaceDE w:val="0"/>
              <w:autoSpaceDN w:val="0"/>
              <w:spacing w:before="1" w:line="100" w:lineRule="exact"/>
              <w:jc w:val="left"/>
              <w:textAlignment w:val="auto"/>
              <w:rPr>
                <w:rFonts w:ascii="Times New Roman" w:hAnsi="Times New Roman"/>
                <w:sz w:val="10"/>
                <w:szCs w:val="10"/>
              </w:rPr>
            </w:pPr>
          </w:p>
          <w:p w14:paraId="51AC41D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865F92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B14C55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6E3182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121AA6B"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73</w:t>
            </w:r>
          </w:p>
        </w:tc>
        <w:tc>
          <w:tcPr>
            <w:tcW w:w="3958" w:type="dxa"/>
            <w:vMerge w:val="restart"/>
            <w:tcBorders>
              <w:top w:val="single" w:sz="8" w:space="0" w:color="000000"/>
              <w:left w:val="single" w:sz="8" w:space="0" w:color="000000"/>
              <w:bottom w:val="single" w:sz="8" w:space="0" w:color="000000"/>
              <w:right w:val="single" w:sz="8" w:space="0" w:color="000000"/>
            </w:tcBorders>
          </w:tcPr>
          <w:p w14:paraId="53938B15" w14:textId="77777777" w:rsidR="00537112" w:rsidRPr="00537112" w:rsidRDefault="00537112" w:rsidP="00537112">
            <w:pPr>
              <w:autoSpaceDE w:val="0"/>
              <w:autoSpaceDN w:val="0"/>
              <w:spacing w:before="2" w:line="100" w:lineRule="exact"/>
              <w:jc w:val="left"/>
              <w:textAlignment w:val="auto"/>
              <w:rPr>
                <w:rFonts w:ascii="Times New Roman" w:hAnsi="Times New Roman"/>
                <w:sz w:val="10"/>
                <w:szCs w:val="10"/>
              </w:rPr>
            </w:pPr>
          </w:p>
          <w:p w14:paraId="5E4B980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513C72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2CC7DC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03491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B17B77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c</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E74931" w14:textId="77777777" w:rsidR="00537112" w:rsidRPr="00537112" w:rsidRDefault="00537112" w:rsidP="00537112">
            <w:pPr>
              <w:autoSpaceDE w:val="0"/>
              <w:autoSpaceDN w:val="0"/>
              <w:spacing w:before="76" w:line="240" w:lineRule="auto"/>
              <w:ind w:right="-20"/>
              <w:jc w:val="left"/>
              <w:textAlignment w:val="auto"/>
              <w:rPr>
                <w:rFonts w:ascii="Times New Roman" w:hAnsi="Times New Roman"/>
              </w:rPr>
            </w:pPr>
            <w:r w:rsidRPr="00537112">
              <w:rPr>
                <w:rFonts w:cs="Verdana"/>
                <w:sz w:val="20"/>
                <w:szCs w:val="20"/>
              </w:rPr>
              <w:t>3</w:t>
            </w:r>
            <w:r w:rsidRPr="00537112">
              <w:rPr>
                <w:rFonts w:cs="Verdana"/>
                <w:spacing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7EEFD6A1" w14:textId="77777777" w:rsidR="00537112" w:rsidRPr="00537112" w:rsidRDefault="00537112" w:rsidP="00537112">
            <w:pPr>
              <w:autoSpaceDE w:val="0"/>
              <w:autoSpaceDN w:val="0"/>
              <w:spacing w:before="76" w:line="240" w:lineRule="auto"/>
              <w:ind w:right="-20"/>
              <w:jc w:val="left"/>
              <w:textAlignment w:val="auto"/>
              <w:rPr>
                <w:rFonts w:ascii="Times New Roman" w:hAnsi="Times New Roman"/>
              </w:rPr>
            </w:pP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il</w:t>
            </w:r>
            <w:r w:rsidRPr="00537112">
              <w:rPr>
                <w:rFonts w:cs="Verdana"/>
                <w:sz w:val="20"/>
                <w:szCs w:val="20"/>
              </w:rPr>
              <w:t>a</w:t>
            </w:r>
            <w:r w:rsidRPr="00537112">
              <w:rPr>
                <w:rFonts w:cs="Verdana"/>
                <w:spacing w:val="-6"/>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4BDEFD65" w14:textId="77777777" w:rsidTr="00630EEC">
        <w:trPr>
          <w:trHeight w:hRule="exact" w:val="31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B666C4" w14:textId="77777777" w:rsidR="00537112" w:rsidRPr="00537112" w:rsidRDefault="00537112" w:rsidP="00537112">
            <w:pPr>
              <w:autoSpaceDE w:val="0"/>
              <w:autoSpaceDN w:val="0"/>
              <w:spacing w:before="76"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D91670A" w14:textId="77777777" w:rsidR="00537112" w:rsidRPr="00537112" w:rsidRDefault="00537112" w:rsidP="00537112">
            <w:pPr>
              <w:autoSpaceDE w:val="0"/>
              <w:autoSpaceDN w:val="0"/>
              <w:spacing w:before="76"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2AAB72"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4</w:t>
            </w:r>
            <w:r w:rsidRPr="00537112">
              <w:rPr>
                <w:rFonts w:cs="Verdana"/>
                <w:spacing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060012D4"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u</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55200604" w14:textId="77777777" w:rsidTr="00630EEC">
        <w:trPr>
          <w:trHeight w:hRule="exact" w:val="31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4ABF63D"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412673E"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10F6A46"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4</w:t>
            </w:r>
            <w:r w:rsidRPr="00537112">
              <w:rPr>
                <w:rFonts w:cs="Verdana"/>
                <w:spacing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676CD479"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z w:val="20"/>
                <w:szCs w:val="20"/>
              </w:rPr>
              <w:t>va</w:t>
            </w:r>
            <w:r w:rsidRPr="00537112">
              <w:rPr>
                <w:rFonts w:cs="Verdana"/>
                <w:spacing w:val="-4"/>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4DA5463F" w14:textId="77777777" w:rsidTr="00630EEC">
        <w:trPr>
          <w:trHeight w:hRule="exact" w:val="391"/>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939C0C"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D654F8"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869B69"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r w:rsidRPr="00537112">
              <w:rPr>
                <w:rFonts w:cs="Verdana"/>
                <w:sz w:val="20"/>
                <w:szCs w:val="20"/>
              </w:rPr>
              <w:t>4</w:t>
            </w:r>
            <w:r w:rsidRPr="00537112">
              <w:rPr>
                <w:rFonts w:cs="Verdana"/>
                <w:spacing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25050BE0"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z w:val="20"/>
                <w:szCs w:val="20"/>
              </w:rPr>
              <w:t>a</w:t>
            </w:r>
            <w:r w:rsidRPr="00537112">
              <w:rPr>
                <w:rFonts w:cs="Verdana"/>
                <w:spacing w:val="-1"/>
                <w:sz w:val="20"/>
                <w:szCs w:val="20"/>
              </w:rPr>
              <w:t>co</w:t>
            </w:r>
            <w:r w:rsidRPr="00537112">
              <w:rPr>
                <w:rFonts w:cs="Verdana"/>
                <w:spacing w:val="1"/>
                <w:sz w:val="20"/>
                <w:szCs w:val="20"/>
              </w:rPr>
              <w:t>b</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22243AD5" w14:textId="77777777" w:rsidTr="00630EEC">
        <w:trPr>
          <w:trHeight w:hRule="exact" w:val="31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884CFBA"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220189"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A1E55A"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4</w:t>
            </w:r>
            <w:r w:rsidRPr="00537112">
              <w:rPr>
                <w:rFonts w:cs="Verdana"/>
                <w:spacing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2EE8557C"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m</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r w:rsidR="00537112" w:rsidRPr="00537112" w14:paraId="1AB20D52" w14:textId="77777777" w:rsidTr="00630EEC">
        <w:trPr>
          <w:trHeight w:hRule="exact" w:val="31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F1CD7A"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164A1D3"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A11A0F"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4</w:t>
            </w:r>
            <w:r w:rsidRPr="00537112">
              <w:rPr>
                <w:rFonts w:cs="Verdana"/>
                <w:spacing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0B71756A"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pacing w:val="1"/>
                <w:sz w:val="20"/>
                <w:szCs w:val="20"/>
              </w:rPr>
              <w:t>Ab</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án</w:t>
            </w:r>
          </w:p>
        </w:tc>
      </w:tr>
    </w:tbl>
    <w:p w14:paraId="3BB5C3E7"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472948D6"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2AE3A35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DC245E"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96BEFD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CDC955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5B32EE"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74</w:t>
            </w:r>
          </w:p>
        </w:tc>
        <w:tc>
          <w:tcPr>
            <w:tcW w:w="3958" w:type="dxa"/>
            <w:vMerge w:val="restart"/>
            <w:tcBorders>
              <w:top w:val="single" w:sz="8" w:space="0" w:color="000000"/>
              <w:left w:val="single" w:sz="8" w:space="0" w:color="000000"/>
              <w:bottom w:val="single" w:sz="8" w:space="0" w:color="000000"/>
              <w:right w:val="single" w:sz="8" w:space="0" w:color="000000"/>
            </w:tcBorders>
          </w:tcPr>
          <w:p w14:paraId="06BDB100"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63C0CF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8CB246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440126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o</w:t>
            </w:r>
            <w:r w:rsidRPr="00537112">
              <w:rPr>
                <w:rFonts w:cs="Verdana"/>
                <w:spacing w:val="-9"/>
                <w:sz w:val="20"/>
                <w:szCs w:val="20"/>
              </w:rPr>
              <w:t xml:space="preserve"> </w:t>
            </w:r>
            <w:r w:rsidRPr="00537112">
              <w:rPr>
                <w:rFonts w:cs="Verdana"/>
                <w:sz w:val="20"/>
                <w:szCs w:val="20"/>
              </w:rPr>
              <w:t>Pa</w:t>
            </w:r>
            <w:r w:rsidRPr="00537112">
              <w:rPr>
                <w:rFonts w:cs="Verdana"/>
                <w:spacing w:val="1"/>
                <w:sz w:val="20"/>
                <w:szCs w:val="20"/>
              </w:rPr>
              <w:t>ng</w:t>
            </w:r>
            <w:r w:rsidRPr="00537112">
              <w:rPr>
                <w:rFonts w:cs="Verdana"/>
                <w:sz w:val="20"/>
                <w:szCs w:val="20"/>
              </w:rPr>
              <w:t>án</w:t>
            </w:r>
            <w:r w:rsidRPr="00537112">
              <w:rPr>
                <w:rFonts w:cs="Verdana"/>
                <w:spacing w:val="-7"/>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0EDF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1AAE46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0EE8C4F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FD8D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F3BAB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31E97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38D643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324C81A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2D82E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A8C86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C20E3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24BAEE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7D184EB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C17D9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9F3CC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8F057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576C9E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up</w:t>
            </w:r>
            <w:r w:rsidRPr="00537112">
              <w:rPr>
                <w:rFonts w:cs="Verdana"/>
                <w:position w:val="-1"/>
                <w:sz w:val="20"/>
                <w:szCs w:val="20"/>
              </w:rPr>
              <w:t>e</w:t>
            </w:r>
            <w:r w:rsidRPr="00537112">
              <w:rPr>
                <w:rFonts w:cs="Verdana"/>
                <w:spacing w:val="-13"/>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0CD31D7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890C4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4BD42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BBFED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0CFACE9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er</w:t>
            </w:r>
            <w:r w:rsidRPr="00537112">
              <w:rPr>
                <w:rFonts w:cs="Verdana"/>
                <w:spacing w:val="1"/>
                <w:position w:val="-1"/>
                <w:sz w:val="20"/>
                <w:szCs w:val="20"/>
              </w:rPr>
              <w:t>d</w:t>
            </w:r>
            <w:r w:rsidRPr="00537112">
              <w:rPr>
                <w:rFonts w:cs="Verdana"/>
                <w:spacing w:val="-1"/>
                <w:position w:val="-1"/>
                <w:sz w:val="20"/>
                <w:szCs w:val="20"/>
              </w:rPr>
              <w:t>ece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2E61D57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1F20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7316A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DF5F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7D6889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698655E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46F04C"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0E7D8B0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4C138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E9585B8"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75</w:t>
            </w:r>
          </w:p>
        </w:tc>
        <w:tc>
          <w:tcPr>
            <w:tcW w:w="3958" w:type="dxa"/>
            <w:vMerge w:val="restart"/>
            <w:tcBorders>
              <w:top w:val="single" w:sz="8" w:space="0" w:color="000000"/>
              <w:left w:val="single" w:sz="8" w:space="0" w:color="000000"/>
              <w:bottom w:val="single" w:sz="8" w:space="0" w:color="000000"/>
              <w:right w:val="single" w:sz="8" w:space="0" w:color="000000"/>
            </w:tcBorders>
          </w:tcPr>
          <w:p w14:paraId="2937CAB9"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5C68E93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FC7737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1A5749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g</w:t>
            </w:r>
            <w:r w:rsidRPr="00537112">
              <w:rPr>
                <w:rFonts w:cs="Verdana"/>
                <w:spacing w:val="3"/>
                <w:sz w:val="20"/>
                <w:szCs w:val="20"/>
              </w:rPr>
              <w:t>i</w:t>
            </w:r>
            <w:r w:rsidRPr="00537112">
              <w:rPr>
                <w:rFonts w:cs="Verdana"/>
                <w:spacing w:val="1"/>
                <w:sz w:val="20"/>
                <w:szCs w:val="20"/>
              </w:rPr>
              <w:t>d</w:t>
            </w:r>
            <w:r w:rsidRPr="00537112">
              <w:rPr>
                <w:rFonts w:cs="Verdana"/>
                <w:sz w:val="20"/>
                <w:szCs w:val="20"/>
              </w:rPr>
              <w:t>o</w:t>
            </w:r>
            <w:r w:rsidRPr="00537112">
              <w:rPr>
                <w:rFonts w:cs="Verdana"/>
                <w:spacing w:val="-9"/>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75E4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7CD745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45BC21A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9A1E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07E41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6A52C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79B8E8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te</w:t>
            </w:r>
          </w:p>
        </w:tc>
      </w:tr>
      <w:tr w:rsidR="00537112" w:rsidRPr="00537112" w14:paraId="38F766D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D641B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8D2A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9C96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1058C7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35D538B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30F0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E87CA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6E77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5ADB9A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é</w:t>
            </w:r>
            <w:r w:rsidRPr="00537112">
              <w:rPr>
                <w:rFonts w:cs="Verdana"/>
                <w:spacing w:val="-7"/>
                <w:position w:val="-1"/>
                <w:sz w:val="20"/>
                <w:szCs w:val="20"/>
              </w:rPr>
              <w:t xml:space="preserve"> </w:t>
            </w:r>
            <w:r w:rsidRPr="00537112">
              <w:rPr>
                <w:rFonts w:cs="Verdana"/>
                <w:spacing w:val="1"/>
                <w:position w:val="-1"/>
                <w:sz w:val="20"/>
                <w:szCs w:val="20"/>
              </w:rPr>
              <w:t>Ap</w:t>
            </w:r>
            <w:r w:rsidRPr="00537112">
              <w:rPr>
                <w:rFonts w:cs="Verdana"/>
                <w:spacing w:val="-1"/>
                <w:position w:val="-1"/>
                <w:sz w:val="20"/>
                <w:szCs w:val="20"/>
              </w:rPr>
              <w:t>o</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6B7C04E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FECD0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AFEA5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10E5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7151D5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or</w:t>
            </w:r>
            <w:r w:rsidRPr="00537112">
              <w:rPr>
                <w:rFonts w:cs="Verdana"/>
                <w:spacing w:val="1"/>
                <w:position w:val="-1"/>
                <w:sz w:val="20"/>
                <w:szCs w:val="20"/>
              </w:rPr>
              <w:t>g</w:t>
            </w:r>
            <w:r w:rsidRPr="00537112">
              <w:rPr>
                <w:rFonts w:cs="Verdana"/>
                <w:position w:val="-1"/>
                <w:sz w:val="20"/>
                <w:szCs w:val="20"/>
              </w:rPr>
              <w:t>e</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6EF9F6E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FD506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5ED5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2F2F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6438B8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5AE4BA9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820BDC"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60DA7DA"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76</w:t>
            </w:r>
          </w:p>
        </w:tc>
        <w:tc>
          <w:tcPr>
            <w:tcW w:w="3958" w:type="dxa"/>
            <w:vMerge w:val="restart"/>
            <w:tcBorders>
              <w:top w:val="single" w:sz="8" w:space="0" w:color="000000"/>
              <w:left w:val="single" w:sz="8" w:space="0" w:color="000000"/>
              <w:bottom w:val="single" w:sz="8" w:space="0" w:color="000000"/>
              <w:right w:val="single" w:sz="8" w:space="0" w:color="000000"/>
            </w:tcBorders>
          </w:tcPr>
          <w:p w14:paraId="14ED2120"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81C94A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es</w:t>
            </w:r>
            <w:r w:rsidRPr="00537112">
              <w:rPr>
                <w:rFonts w:cs="Verdana"/>
                <w:spacing w:val="1"/>
                <w:sz w:val="20"/>
                <w:szCs w:val="20"/>
              </w:rPr>
              <w:t>ú</w:t>
            </w:r>
            <w:r w:rsidRPr="00537112">
              <w:rPr>
                <w:rFonts w:cs="Verdana"/>
                <w:sz w:val="20"/>
                <w:szCs w:val="20"/>
              </w:rPr>
              <w:t>s</w:t>
            </w:r>
            <w:r w:rsidRPr="00537112">
              <w:rPr>
                <w:rFonts w:cs="Verdana"/>
                <w:spacing w:val="-6"/>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i</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8098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7F6EDB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ú</w:t>
            </w:r>
            <w:r w:rsidRPr="00537112">
              <w:rPr>
                <w:rFonts w:cs="Verdana"/>
                <w:position w:val="-1"/>
                <w:sz w:val="20"/>
                <w:szCs w:val="20"/>
              </w:rPr>
              <w:t>s</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72BB2E7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D806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8FAA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8879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11A7F0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Dav</w:t>
            </w:r>
            <w:r w:rsidRPr="00537112">
              <w:rPr>
                <w:rFonts w:cs="Verdana"/>
                <w:spacing w:val="3"/>
                <w:position w:val="-1"/>
                <w:sz w:val="20"/>
                <w:szCs w:val="20"/>
              </w:rPr>
              <w:t>i</w:t>
            </w:r>
            <w:r w:rsidRPr="00537112">
              <w:rPr>
                <w:rFonts w:cs="Verdana"/>
                <w:position w:val="-1"/>
                <w:sz w:val="20"/>
                <w:szCs w:val="20"/>
              </w:rPr>
              <w:t>d</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4DFFF49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1F2594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958E9A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30900E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B74E8E7"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1F179BDF"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77</w:t>
            </w:r>
          </w:p>
        </w:tc>
        <w:tc>
          <w:tcPr>
            <w:tcW w:w="3958" w:type="dxa"/>
            <w:vMerge w:val="restart"/>
            <w:tcBorders>
              <w:top w:val="single" w:sz="8" w:space="0" w:color="000000"/>
              <w:left w:val="single" w:sz="8" w:space="0" w:color="000000"/>
              <w:bottom w:val="single" w:sz="8" w:space="0" w:color="000000"/>
              <w:right w:val="single" w:sz="8" w:space="0" w:color="000000"/>
            </w:tcBorders>
          </w:tcPr>
          <w:p w14:paraId="67C37C1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17C50E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938046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50DF1DB"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630443D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b</w:t>
            </w:r>
            <w:r w:rsidRPr="00537112">
              <w:rPr>
                <w:rFonts w:cs="Verdana"/>
                <w:spacing w:val="3"/>
                <w:sz w:val="20"/>
                <w:szCs w:val="20"/>
              </w:rPr>
              <w:t>l</w:t>
            </w:r>
            <w:r w:rsidRPr="00537112">
              <w:rPr>
                <w:rFonts w:cs="Verdana"/>
                <w:sz w:val="20"/>
                <w:szCs w:val="20"/>
              </w:rPr>
              <w:t>o</w:t>
            </w:r>
            <w:r w:rsidRPr="00537112">
              <w:rPr>
                <w:rFonts w:cs="Verdana"/>
                <w:spacing w:val="-7"/>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AC3E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2BF76C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b</w:t>
            </w:r>
            <w:r w:rsidRPr="00537112">
              <w:rPr>
                <w:rFonts w:cs="Verdana"/>
                <w:spacing w:val="3"/>
                <w:position w:val="-1"/>
                <w:sz w:val="20"/>
                <w:szCs w:val="20"/>
              </w:rPr>
              <w:t>l</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368A0D8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581B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22110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97441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2C1180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w:t>
            </w:r>
            <w:r w:rsidRPr="00537112">
              <w:rPr>
                <w:rFonts w:cs="Verdana"/>
                <w:position w:val="-1"/>
                <w:sz w:val="20"/>
                <w:szCs w:val="20"/>
              </w:rPr>
              <w:t>m</w:t>
            </w:r>
          </w:p>
        </w:tc>
      </w:tr>
      <w:tr w:rsidR="00537112" w:rsidRPr="00537112" w14:paraId="011CCE2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35F3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5C847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7E48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2AB1C6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é</w:t>
            </w:r>
            <w:r w:rsidRPr="00537112">
              <w:rPr>
                <w:rFonts w:cs="Verdana"/>
                <w:spacing w:val="3"/>
                <w:position w:val="-1"/>
                <w:sz w:val="20"/>
                <w:szCs w:val="20"/>
              </w:rPr>
              <w:t>li</w:t>
            </w:r>
            <w:r w:rsidRPr="00537112">
              <w:rPr>
                <w:rFonts w:cs="Verdana"/>
                <w:spacing w:val="-1"/>
                <w:position w:val="-1"/>
                <w:sz w:val="20"/>
                <w:szCs w:val="20"/>
              </w:rPr>
              <w:t>c</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íc</w:t>
            </w:r>
          </w:p>
        </w:tc>
      </w:tr>
      <w:tr w:rsidR="00537112" w:rsidRPr="00537112" w14:paraId="717AC26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1D57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5A83A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1DC95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26504B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1"/>
                <w:position w:val="-1"/>
                <w:sz w:val="20"/>
                <w:szCs w:val="20"/>
              </w:rPr>
              <w:t>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624E4D6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8021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9D03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9633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763B76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Gre</w:t>
            </w:r>
            <w:r w:rsidRPr="00537112">
              <w:rPr>
                <w:rFonts w:cs="Verdana"/>
                <w:spacing w:val="1"/>
                <w:position w:val="-1"/>
                <w:sz w:val="20"/>
                <w:szCs w:val="20"/>
              </w:rPr>
              <w:t>g</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428D6B2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FBF9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DA82C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7CCE6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5ABA92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íc</w:t>
            </w:r>
          </w:p>
        </w:tc>
      </w:tr>
      <w:tr w:rsidR="00537112" w:rsidRPr="00537112" w14:paraId="5BFA0C8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5567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56039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9AA3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326EB3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Er</w:t>
            </w:r>
            <w:r w:rsidRPr="00537112">
              <w:rPr>
                <w:rFonts w:cs="Verdana"/>
                <w:spacing w:val="1"/>
                <w:position w:val="-1"/>
                <w:sz w:val="20"/>
                <w:szCs w:val="20"/>
              </w:rPr>
              <w:t>n</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5A154CE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2C05B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8854A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9089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10063B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er</w:t>
            </w:r>
            <w:r w:rsidRPr="00537112">
              <w:rPr>
                <w:rFonts w:cs="Verdana"/>
                <w:spacing w:val="1"/>
                <w:position w:val="-1"/>
                <w:sz w:val="20"/>
                <w:szCs w:val="20"/>
              </w:rPr>
              <w:t>g</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fre</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79FE5EF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E33FD33"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2B859214"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78</w:t>
            </w:r>
          </w:p>
        </w:tc>
        <w:tc>
          <w:tcPr>
            <w:tcW w:w="3958" w:type="dxa"/>
            <w:vMerge w:val="restart"/>
            <w:tcBorders>
              <w:top w:val="single" w:sz="8" w:space="0" w:color="000000"/>
              <w:left w:val="single" w:sz="8" w:space="0" w:color="000000"/>
              <w:bottom w:val="single" w:sz="8" w:space="0" w:color="000000"/>
              <w:right w:val="single" w:sz="8" w:space="0" w:color="000000"/>
            </w:tcBorders>
          </w:tcPr>
          <w:p w14:paraId="3E41C92E"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7CCFC13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es</w:t>
            </w:r>
            <w:r w:rsidRPr="00537112">
              <w:rPr>
                <w:rFonts w:cs="Verdana"/>
                <w:spacing w:val="1"/>
                <w:sz w:val="20"/>
                <w:szCs w:val="20"/>
              </w:rPr>
              <w:t>ú</w:t>
            </w:r>
            <w:r w:rsidRPr="00537112">
              <w:rPr>
                <w:rFonts w:cs="Verdana"/>
                <w:sz w:val="20"/>
                <w:szCs w:val="20"/>
              </w:rPr>
              <w:t>s</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eré</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Á</w:t>
            </w:r>
            <w:r w:rsidRPr="00537112">
              <w:rPr>
                <w:rFonts w:cs="Verdana"/>
                <w:spacing w:val="3"/>
                <w:sz w:val="20"/>
                <w:szCs w:val="20"/>
              </w:rPr>
              <w:t>l</w:t>
            </w:r>
            <w:r w:rsidRPr="00537112">
              <w:rPr>
                <w:rFonts w:cs="Verdana"/>
                <w:sz w:val="20"/>
                <w:szCs w:val="20"/>
              </w:rPr>
              <w:t>va</w:t>
            </w:r>
            <w:r w:rsidRPr="00537112">
              <w:rPr>
                <w:rFonts w:cs="Verdana"/>
                <w:spacing w:val="-1"/>
                <w:sz w:val="20"/>
                <w:szCs w:val="20"/>
              </w:rPr>
              <w:t>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934AD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05005D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53D9F4B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8D05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30FC0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6123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2F9A77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42AAC35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B8E4A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BCB8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EF2B1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3F9142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o</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60285E2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15DD18"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DCFA36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BD9845"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79</w:t>
            </w:r>
          </w:p>
        </w:tc>
        <w:tc>
          <w:tcPr>
            <w:tcW w:w="3958" w:type="dxa"/>
            <w:vMerge w:val="restart"/>
            <w:tcBorders>
              <w:top w:val="single" w:sz="8" w:space="0" w:color="000000"/>
              <w:left w:val="single" w:sz="8" w:space="0" w:color="000000"/>
              <w:bottom w:val="single" w:sz="8" w:space="0" w:color="000000"/>
              <w:right w:val="single" w:sz="8" w:space="0" w:color="000000"/>
            </w:tcBorders>
          </w:tcPr>
          <w:p w14:paraId="6187325B"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AA3BC1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67429A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eró</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m</w:t>
            </w:r>
            <w:r w:rsidRPr="00537112">
              <w:rPr>
                <w:rFonts w:cs="Verdana"/>
                <w:sz w:val="20"/>
                <w:szCs w:val="20"/>
              </w:rPr>
              <w:t>o</w:t>
            </w:r>
            <w:r w:rsidRPr="00537112">
              <w:rPr>
                <w:rFonts w:cs="Verdana"/>
                <w:spacing w:val="-11"/>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t</w:t>
            </w:r>
            <w:r w:rsidRPr="00537112">
              <w:rPr>
                <w:rFonts w:cs="Verdana"/>
                <w:sz w:val="20"/>
                <w:szCs w:val="20"/>
              </w:rPr>
              <w:t>á</w:t>
            </w:r>
            <w:r w:rsidRPr="00537112">
              <w:rPr>
                <w:rFonts w:cs="Verdana"/>
                <w:spacing w:val="-6"/>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6DEC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7122D3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484667A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B0A8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F3768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B68D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1571C2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153EFF4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0032E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165E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28E8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4A6B66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09AA8E2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D4A9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5810B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2B0B9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00DBC1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r</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5A16014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1CB38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203851"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5E1D5DCE"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80</w:t>
            </w:r>
          </w:p>
        </w:tc>
        <w:tc>
          <w:tcPr>
            <w:tcW w:w="3958" w:type="dxa"/>
            <w:vMerge w:val="restart"/>
            <w:tcBorders>
              <w:top w:val="single" w:sz="8" w:space="0" w:color="000000"/>
              <w:left w:val="single" w:sz="8" w:space="0" w:color="000000"/>
              <w:bottom w:val="single" w:sz="8" w:space="0" w:color="000000"/>
              <w:right w:val="single" w:sz="8" w:space="0" w:color="000000"/>
            </w:tcBorders>
          </w:tcPr>
          <w:p w14:paraId="27A494A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FE6DACC"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0664BD0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Agu</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í</w:t>
            </w:r>
            <w:r w:rsidRPr="00537112">
              <w:rPr>
                <w:rFonts w:cs="Verdana"/>
                <w:sz w:val="20"/>
                <w:szCs w:val="20"/>
              </w:rPr>
              <w:t>n</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B52F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7EE960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n</w:t>
            </w:r>
            <w:r w:rsidRPr="00537112">
              <w:rPr>
                <w:rFonts w:cs="Verdana"/>
                <w:spacing w:val="-1"/>
                <w:position w:val="-1"/>
                <w:sz w:val="20"/>
                <w:szCs w:val="20"/>
              </w:rPr>
              <w:t>oce</w:t>
            </w:r>
            <w:r w:rsidRPr="00537112">
              <w:rPr>
                <w:rFonts w:cs="Verdana"/>
                <w:spacing w:val="1"/>
                <w:position w:val="-1"/>
                <w:sz w:val="20"/>
                <w:szCs w:val="20"/>
              </w:rPr>
              <w:t>nt</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tumúl</w:t>
            </w:r>
          </w:p>
        </w:tc>
      </w:tr>
      <w:tr w:rsidR="00537112" w:rsidRPr="00537112" w14:paraId="4A6AD99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3BC9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B5A7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4F154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794E42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ecoc</w:t>
            </w:r>
          </w:p>
        </w:tc>
      </w:tr>
      <w:tr w:rsidR="00537112" w:rsidRPr="00537112" w14:paraId="5B5C80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2944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A2A3F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C0DB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6EC374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ecóc</w:t>
            </w:r>
          </w:p>
        </w:tc>
      </w:tr>
      <w:tr w:rsidR="00537112" w:rsidRPr="00537112" w14:paraId="7D466A8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C8D7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20ED0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D4F1E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0F48F7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Lore</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ecoc</w:t>
            </w:r>
          </w:p>
        </w:tc>
      </w:tr>
      <w:tr w:rsidR="00537112" w:rsidRPr="00537112" w14:paraId="0165A9D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1726C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DC4DC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538B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042B04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és</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Agu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ecoc</w:t>
            </w:r>
          </w:p>
        </w:tc>
      </w:tr>
      <w:tr w:rsidR="00537112" w:rsidRPr="00537112" w14:paraId="7E31CFA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43148A4"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61BC838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80E05F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D073D33"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81</w:t>
            </w:r>
          </w:p>
        </w:tc>
        <w:tc>
          <w:tcPr>
            <w:tcW w:w="3958" w:type="dxa"/>
            <w:vMerge w:val="restart"/>
            <w:tcBorders>
              <w:top w:val="single" w:sz="8" w:space="0" w:color="000000"/>
              <w:left w:val="single" w:sz="8" w:space="0" w:color="000000"/>
              <w:bottom w:val="single" w:sz="8" w:space="0" w:color="000000"/>
              <w:right w:val="single" w:sz="8" w:space="0" w:color="000000"/>
            </w:tcBorders>
          </w:tcPr>
          <w:p w14:paraId="49C3CC61"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7784930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408918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7C41E7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1"/>
                <w:sz w:val="20"/>
                <w:szCs w:val="20"/>
              </w:rPr>
              <w:t>e</w:t>
            </w:r>
            <w:r w:rsidRPr="00537112">
              <w:rPr>
                <w:rFonts w:cs="Verdana"/>
                <w:spacing w:val="1"/>
                <w:sz w:val="20"/>
                <w:szCs w:val="20"/>
              </w:rPr>
              <w:t>b</w:t>
            </w:r>
            <w:r w:rsidRPr="00537112">
              <w:rPr>
                <w:rFonts w:cs="Verdana"/>
                <w:sz w:val="20"/>
                <w:szCs w:val="20"/>
              </w:rPr>
              <w:t>a</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i</w:t>
            </w:r>
            <w:r w:rsidRPr="00537112">
              <w:rPr>
                <w:rFonts w:cs="Verdana"/>
                <w:sz w:val="20"/>
                <w:szCs w:val="20"/>
              </w:rPr>
              <w:t>an</w:t>
            </w:r>
            <w:r w:rsidRPr="00537112">
              <w:rPr>
                <w:rFonts w:cs="Verdana"/>
                <w:spacing w:val="-10"/>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z w:val="20"/>
                <w:szCs w:val="20"/>
              </w:rPr>
              <w:t>Ta</w:t>
            </w:r>
            <w:r w:rsidRPr="00537112">
              <w:rPr>
                <w:rFonts w:cs="Verdana"/>
                <w:spacing w:val="1"/>
                <w:sz w:val="20"/>
                <w:szCs w:val="20"/>
              </w:rPr>
              <w:t>hu</w:t>
            </w:r>
            <w:r w:rsidRPr="00537112">
              <w:rPr>
                <w:rFonts w:cs="Verdana"/>
                <w:spacing w:val="3"/>
                <w:sz w:val="20"/>
                <w:szCs w:val="20"/>
              </w:rPr>
              <w:t>i</w:t>
            </w:r>
            <w:r w:rsidRPr="00537112">
              <w:rPr>
                <w:rFonts w:cs="Verdana"/>
                <w:spacing w:val="-1"/>
                <w:sz w:val="20"/>
                <w:szCs w:val="20"/>
              </w:rPr>
              <w:t>c</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9D2AC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3240E2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252231E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7F75A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4F73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1536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1EC921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2DD979B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E043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57755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05DB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21BB69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3A3A73F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B2006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6A44B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FF07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1DDCC9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303F588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809F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46B55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CE93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5403C8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s</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19C4EEB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3505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2123F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113E4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1321FB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3"/>
                <w:position w:val="-1"/>
                <w:sz w:val="20"/>
                <w:szCs w:val="20"/>
              </w:rPr>
              <w:t>il</w:t>
            </w:r>
            <w:r w:rsidRPr="00537112">
              <w:rPr>
                <w:rFonts w:cs="Verdana"/>
                <w:position w:val="-1"/>
                <w:sz w:val="20"/>
                <w:szCs w:val="20"/>
              </w:rPr>
              <w:t>v</w:t>
            </w: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e</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43FD425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05B745"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7D54AA07"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82</w:t>
            </w:r>
          </w:p>
        </w:tc>
        <w:tc>
          <w:tcPr>
            <w:tcW w:w="3958" w:type="dxa"/>
            <w:vMerge w:val="restart"/>
            <w:tcBorders>
              <w:top w:val="single" w:sz="8" w:space="0" w:color="000000"/>
              <w:left w:val="single" w:sz="8" w:space="0" w:color="000000"/>
              <w:bottom w:val="single" w:sz="8" w:space="0" w:color="000000"/>
              <w:right w:val="single" w:sz="8" w:space="0" w:color="000000"/>
            </w:tcBorders>
          </w:tcPr>
          <w:p w14:paraId="340BD830"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57176D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CE8E1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7D3060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ú</w:t>
            </w:r>
            <w:r w:rsidRPr="00537112">
              <w:rPr>
                <w:rFonts w:cs="Verdana"/>
                <w:position w:val="-1"/>
                <w:sz w:val="20"/>
                <w:szCs w:val="20"/>
              </w:rPr>
              <w:t>s</w:t>
            </w:r>
            <w:r w:rsidRPr="00537112">
              <w:rPr>
                <w:rFonts w:cs="Verdana"/>
                <w:spacing w:val="-6"/>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co</w:t>
            </w:r>
            <w:r w:rsidRPr="00537112">
              <w:rPr>
                <w:rFonts w:cs="Verdana"/>
                <w:position w:val="-1"/>
                <w:sz w:val="20"/>
                <w:szCs w:val="20"/>
              </w:rPr>
              <w:t>l</w:t>
            </w:r>
          </w:p>
        </w:tc>
      </w:tr>
      <w:tr w:rsidR="00537112" w:rsidRPr="00537112" w14:paraId="5EE5E86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E665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2D2FF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38DC4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70B15A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í</w:t>
            </w:r>
            <w:r w:rsidRPr="00537112">
              <w:rPr>
                <w:rFonts w:cs="Verdana"/>
                <w:spacing w:val="-1"/>
                <w:position w:val="-1"/>
                <w:sz w:val="20"/>
                <w:szCs w:val="20"/>
              </w:rPr>
              <w:t>c</w:t>
            </w:r>
            <w:r w:rsidRPr="00537112">
              <w:rPr>
                <w:rFonts w:cs="Verdana"/>
                <w:position w:val="-1"/>
                <w:sz w:val="20"/>
                <w:szCs w:val="20"/>
              </w:rPr>
              <w:t>o</w:t>
            </w:r>
          </w:p>
        </w:tc>
      </w:tr>
      <w:tr w:rsidR="00537112" w:rsidRPr="00537112" w14:paraId="4CEED1E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510855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5D7311E"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3B842AAF"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83</w:t>
            </w:r>
          </w:p>
        </w:tc>
        <w:tc>
          <w:tcPr>
            <w:tcW w:w="3958" w:type="dxa"/>
            <w:vMerge w:val="restart"/>
            <w:tcBorders>
              <w:top w:val="single" w:sz="8" w:space="0" w:color="000000"/>
              <w:left w:val="single" w:sz="8" w:space="0" w:color="000000"/>
              <w:bottom w:val="single" w:sz="8" w:space="0" w:color="000000"/>
              <w:right w:val="single" w:sz="8" w:space="0" w:color="000000"/>
            </w:tcBorders>
          </w:tcPr>
          <w:p w14:paraId="58664CC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79D040D"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0DB14DA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L</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6"/>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qu</w:t>
            </w:r>
            <w:r w:rsidRPr="00537112">
              <w:rPr>
                <w:rFonts w:cs="Verdana"/>
                <w:spacing w:val="-1"/>
                <w:sz w:val="20"/>
                <w:szCs w:val="20"/>
              </w:rPr>
              <w:t>e</w:t>
            </w:r>
            <w:r w:rsidRPr="00537112">
              <w:rPr>
                <w:rFonts w:cs="Verdana"/>
                <w:spacing w:val="1"/>
                <w:sz w:val="20"/>
                <w:szCs w:val="20"/>
              </w:rPr>
              <w:t>j</w:t>
            </w:r>
            <w:r w:rsidRPr="00537112">
              <w:rPr>
                <w:rFonts w:cs="Verdana"/>
                <w:sz w:val="20"/>
                <w:szCs w:val="20"/>
              </w:rPr>
              <w:t>ay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5FDAF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503CF0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244831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F72D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5A636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96B1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541E2A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ay</w:t>
            </w:r>
            <w:r w:rsidRPr="00537112">
              <w:rPr>
                <w:rFonts w:cs="Verdana"/>
                <w:spacing w:val="-10"/>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317F172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ADF0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BE503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BD4CA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7D5B45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ay</w:t>
            </w:r>
            <w:r w:rsidRPr="00537112">
              <w:rPr>
                <w:rFonts w:cs="Verdana"/>
                <w:spacing w:val="-10"/>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57E151D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A7B9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47468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CFF8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456BE9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h</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ay</w:t>
            </w:r>
            <w:r w:rsidRPr="00537112">
              <w:rPr>
                <w:rFonts w:cs="Verdana"/>
                <w:spacing w:val="-10"/>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5C203B5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0D6C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008BB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0A21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11BEB4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3"/>
                <w:position w:val="-1"/>
                <w:sz w:val="20"/>
                <w:szCs w:val="20"/>
              </w:rPr>
              <w:t>il</w:t>
            </w:r>
            <w:r w:rsidRPr="00537112">
              <w:rPr>
                <w:rFonts w:cs="Verdana"/>
                <w:spacing w:val="-1"/>
                <w:position w:val="-1"/>
                <w:sz w:val="20"/>
                <w:szCs w:val="20"/>
              </w:rPr>
              <w:t>c</w:t>
            </w:r>
            <w:r w:rsidRPr="00537112">
              <w:rPr>
                <w:rFonts w:cs="Verdana"/>
                <w:position w:val="-1"/>
                <w:sz w:val="20"/>
                <w:szCs w:val="20"/>
              </w:rPr>
              <w:t>ar</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ay</w:t>
            </w:r>
            <w:r w:rsidRPr="00537112">
              <w:rPr>
                <w:rFonts w:cs="Verdana"/>
                <w:spacing w:val="-10"/>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1F0EC8B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B9251F3"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75EB81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C8F18B"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84</w:t>
            </w:r>
          </w:p>
        </w:tc>
        <w:tc>
          <w:tcPr>
            <w:tcW w:w="3958" w:type="dxa"/>
            <w:vMerge w:val="restart"/>
            <w:tcBorders>
              <w:top w:val="single" w:sz="8" w:space="0" w:color="000000"/>
              <w:left w:val="single" w:sz="8" w:space="0" w:color="000000"/>
              <w:bottom w:val="single" w:sz="8" w:space="0" w:color="000000"/>
              <w:right w:val="single" w:sz="8" w:space="0" w:color="000000"/>
            </w:tcBorders>
          </w:tcPr>
          <w:p w14:paraId="62E73B42"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BD9440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914378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Leó</w:t>
            </w:r>
            <w:r w:rsidRPr="00537112">
              <w:rPr>
                <w:rFonts w:cs="Verdana"/>
                <w:sz w:val="20"/>
                <w:szCs w:val="20"/>
              </w:rPr>
              <w:t>n</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A244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071A82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Yx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co</w:t>
            </w:r>
            <w:r w:rsidRPr="00537112">
              <w:rPr>
                <w:rFonts w:cs="Verdana"/>
                <w:position w:val="-1"/>
                <w:sz w:val="20"/>
                <w:szCs w:val="20"/>
              </w:rPr>
              <w:t>c</w:t>
            </w:r>
            <w:r w:rsidRPr="00537112">
              <w:rPr>
                <w:rFonts w:cs="Verdana"/>
                <w:spacing w:val="-10"/>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78AFA9D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36F3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827E8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E10BF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539791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Leo</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Lo</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082B500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13AB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B9D59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7B32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774AB5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có</w:t>
            </w:r>
            <w:r w:rsidRPr="00537112">
              <w:rPr>
                <w:rFonts w:cs="Verdana"/>
                <w:position w:val="-1"/>
                <w:sz w:val="20"/>
                <w:szCs w:val="20"/>
              </w:rPr>
              <w:t>c</w:t>
            </w:r>
          </w:p>
        </w:tc>
      </w:tr>
      <w:tr w:rsidR="00537112" w:rsidRPr="00537112" w14:paraId="54C86D5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AA0F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71834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9CAD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13B9AA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có</w:t>
            </w:r>
            <w:r w:rsidRPr="00537112">
              <w:rPr>
                <w:rFonts w:cs="Verdana"/>
                <w:position w:val="-1"/>
                <w:sz w:val="20"/>
                <w:szCs w:val="20"/>
              </w:rPr>
              <w:t>c</w:t>
            </w:r>
          </w:p>
        </w:tc>
      </w:tr>
      <w:tr w:rsidR="00537112" w:rsidRPr="00537112" w14:paraId="4C099D08" w14:textId="77777777" w:rsidTr="00630EEC">
        <w:trPr>
          <w:trHeight w:hRule="exact" w:val="247"/>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281848E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6B1022F"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0FAD9720"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85</w:t>
            </w:r>
          </w:p>
        </w:tc>
        <w:tc>
          <w:tcPr>
            <w:tcW w:w="3958" w:type="dxa"/>
            <w:vMerge w:val="restart"/>
            <w:tcBorders>
              <w:top w:val="single" w:sz="8" w:space="0" w:color="000000"/>
              <w:left w:val="single" w:sz="8" w:space="0" w:color="000000"/>
              <w:bottom w:val="nil"/>
              <w:right w:val="single" w:sz="8" w:space="0" w:color="000000"/>
            </w:tcBorders>
          </w:tcPr>
          <w:p w14:paraId="118B562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9740FF9"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6495911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3"/>
                <w:sz w:val="20"/>
                <w:szCs w:val="20"/>
              </w:rPr>
              <w:t>i</w:t>
            </w:r>
            <w:r w:rsidRPr="00537112">
              <w:rPr>
                <w:rFonts w:cs="Verdana"/>
                <w:spacing w:val="1"/>
                <w:sz w:val="20"/>
                <w:szCs w:val="20"/>
              </w:rPr>
              <w:t>d</w:t>
            </w:r>
            <w:r w:rsidRPr="00537112">
              <w:rPr>
                <w:rFonts w:cs="Verdana"/>
                <w:spacing w:val="-1"/>
                <w:sz w:val="20"/>
                <w:szCs w:val="20"/>
              </w:rPr>
              <w:t>e</w:t>
            </w:r>
            <w:r w:rsidRPr="00537112">
              <w:rPr>
                <w:rFonts w:cs="Verdana"/>
                <w:sz w:val="20"/>
                <w:szCs w:val="20"/>
              </w:rPr>
              <w:t>l</w:t>
            </w:r>
            <w:r w:rsidRPr="00537112">
              <w:rPr>
                <w:rFonts w:cs="Verdana"/>
                <w:spacing w:val="-3"/>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EBB3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654CBD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a</w:t>
            </w:r>
            <w:r w:rsidRPr="00537112">
              <w:rPr>
                <w:rFonts w:cs="Verdana"/>
                <w:spacing w:val="1"/>
                <w:position w:val="-1"/>
                <w:sz w:val="20"/>
                <w:szCs w:val="20"/>
              </w:rPr>
              <w:t>qu</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4D263FFE"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27DA2C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77EDCA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82CB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4CC56E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1"/>
                <w:position w:val="-1"/>
                <w:sz w:val="20"/>
                <w:szCs w:val="20"/>
              </w:rPr>
              <w:t>u</w:t>
            </w:r>
            <w:r w:rsidRPr="00537112">
              <w:rPr>
                <w:rFonts w:cs="Verdana"/>
                <w:spacing w:val="3"/>
                <w:position w:val="-1"/>
                <w:sz w:val="20"/>
                <w:szCs w:val="20"/>
              </w:rPr>
              <w:t>ill</w:t>
            </w:r>
            <w:r w:rsidRPr="00537112">
              <w:rPr>
                <w:rFonts w:cs="Verdana"/>
                <w:spacing w:val="-1"/>
                <w:position w:val="-1"/>
                <w:sz w:val="20"/>
                <w:szCs w:val="20"/>
              </w:rPr>
              <w:t>er</w:t>
            </w:r>
            <w:r w:rsidRPr="00537112">
              <w:rPr>
                <w:rFonts w:cs="Verdana"/>
                <w:spacing w:val="1"/>
                <w:position w:val="-1"/>
                <w:sz w:val="20"/>
                <w:szCs w:val="20"/>
              </w:rPr>
              <w:t>m</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5D67BB27"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4F71C4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5A9D51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044EB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4F0DBF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60E1A404"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F83A8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8D2CF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A6553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5C3463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3"/>
                <w:position w:val="-1"/>
                <w:sz w:val="20"/>
                <w:szCs w:val="20"/>
              </w:rPr>
              <w:t>ili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bl>
    <w:p w14:paraId="4B5E0D10"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7227EFF5"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0973E716" w14:textId="77777777" w:rsidTr="00630EEC">
        <w:trPr>
          <w:trHeight w:hRule="exact" w:val="247"/>
        </w:trPr>
        <w:tc>
          <w:tcPr>
            <w:tcW w:w="977" w:type="dxa"/>
            <w:tcBorders>
              <w:top w:val="nil"/>
              <w:left w:val="single" w:sz="8" w:space="0" w:color="000000"/>
              <w:bottom w:val="single" w:sz="8" w:space="0" w:color="000000"/>
              <w:right w:val="single" w:sz="8" w:space="0" w:color="000000"/>
            </w:tcBorders>
            <w:shd w:val="clear" w:color="auto" w:fill="BFBFBF" w:themeFill="background1" w:themeFillShade="BF"/>
          </w:tcPr>
          <w:p w14:paraId="012D7F59"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3958" w:type="dxa"/>
            <w:tcBorders>
              <w:top w:val="nil"/>
              <w:left w:val="single" w:sz="8" w:space="0" w:color="000000"/>
              <w:bottom w:val="single" w:sz="8" w:space="0" w:color="000000"/>
              <w:right w:val="single" w:sz="8" w:space="0" w:color="000000"/>
            </w:tcBorders>
          </w:tcPr>
          <w:p w14:paraId="497B17D4"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24DF7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540CC8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Leoc</w:t>
            </w:r>
            <w:r w:rsidRPr="00537112">
              <w:rPr>
                <w:rFonts w:cs="Verdana"/>
                <w:position w:val="-1"/>
                <w:sz w:val="20"/>
                <w:szCs w:val="20"/>
              </w:rPr>
              <w:t>a</w:t>
            </w:r>
            <w:r w:rsidRPr="00537112">
              <w:rPr>
                <w:rFonts w:cs="Verdana"/>
                <w:spacing w:val="1"/>
                <w:position w:val="-1"/>
                <w:sz w:val="20"/>
                <w:szCs w:val="20"/>
              </w:rPr>
              <w:t>d</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4292695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E74E6A6" w14:textId="77777777" w:rsidR="00537112" w:rsidRPr="00537112" w:rsidRDefault="00537112" w:rsidP="00537112">
            <w:pPr>
              <w:autoSpaceDE w:val="0"/>
              <w:autoSpaceDN w:val="0"/>
              <w:spacing w:before="2" w:line="240" w:lineRule="exact"/>
              <w:jc w:val="left"/>
              <w:textAlignment w:val="auto"/>
              <w:rPr>
                <w:rFonts w:ascii="Times New Roman" w:hAnsi="Times New Roman"/>
              </w:rPr>
            </w:pPr>
          </w:p>
          <w:p w14:paraId="25C135DD"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86</w:t>
            </w:r>
          </w:p>
        </w:tc>
        <w:tc>
          <w:tcPr>
            <w:tcW w:w="3958" w:type="dxa"/>
            <w:vMerge w:val="restart"/>
            <w:tcBorders>
              <w:top w:val="single" w:sz="8" w:space="0" w:color="000000"/>
              <w:left w:val="single" w:sz="8" w:space="0" w:color="000000"/>
              <w:bottom w:val="single" w:sz="8" w:space="0" w:color="000000"/>
              <w:right w:val="single" w:sz="8" w:space="0" w:color="000000"/>
            </w:tcBorders>
          </w:tcPr>
          <w:p w14:paraId="003C24AC" w14:textId="77777777" w:rsidR="00537112" w:rsidRPr="00537112" w:rsidRDefault="00537112" w:rsidP="00537112">
            <w:pPr>
              <w:autoSpaceDE w:val="0"/>
              <w:autoSpaceDN w:val="0"/>
              <w:spacing w:before="2" w:line="110" w:lineRule="exact"/>
              <w:jc w:val="left"/>
              <w:textAlignment w:val="auto"/>
              <w:rPr>
                <w:rFonts w:ascii="Times New Roman" w:hAnsi="Times New Roman"/>
                <w:sz w:val="11"/>
                <w:szCs w:val="11"/>
              </w:rPr>
            </w:pPr>
          </w:p>
          <w:p w14:paraId="1E57959B" w14:textId="77777777" w:rsidR="00537112" w:rsidRPr="00537112" w:rsidRDefault="00537112" w:rsidP="00537112">
            <w:pPr>
              <w:autoSpaceDE w:val="0"/>
              <w:autoSpaceDN w:val="0"/>
              <w:spacing w:line="240" w:lineRule="auto"/>
              <w:ind w:right="-20"/>
              <w:jc w:val="left"/>
              <w:textAlignment w:val="auto"/>
              <w:rPr>
                <w:rFonts w:cs="Verdana"/>
                <w:sz w:val="20"/>
                <w:szCs w:val="20"/>
              </w:rPr>
            </w:pPr>
            <w:r w:rsidRPr="00537112">
              <w:rPr>
                <w:rFonts w:cs="Verdana"/>
                <w:sz w:val="20"/>
                <w:szCs w:val="20"/>
              </w:rPr>
              <w:t>Ma</w:t>
            </w:r>
            <w:r w:rsidRPr="00537112">
              <w:rPr>
                <w:rFonts w:cs="Verdana"/>
                <w:spacing w:val="-1"/>
                <w:sz w:val="20"/>
                <w:szCs w:val="20"/>
              </w:rPr>
              <w:t>rce</w:t>
            </w:r>
            <w:r w:rsidRPr="00537112">
              <w:rPr>
                <w:rFonts w:cs="Verdana"/>
                <w:spacing w:val="3"/>
                <w:sz w:val="20"/>
                <w:szCs w:val="20"/>
              </w:rPr>
              <w:t>li</w:t>
            </w:r>
            <w:r w:rsidRPr="00537112">
              <w:rPr>
                <w:rFonts w:cs="Verdana"/>
                <w:spacing w:val="1"/>
                <w:sz w:val="20"/>
                <w:szCs w:val="20"/>
              </w:rPr>
              <w:t>n</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E</w:t>
            </w:r>
            <w:r w:rsidRPr="00537112">
              <w:rPr>
                <w:rFonts w:cs="Verdana"/>
                <w:spacing w:val="1"/>
                <w:sz w:val="20"/>
                <w:szCs w:val="20"/>
              </w:rPr>
              <w:t>ug</w:t>
            </w:r>
            <w:r w:rsidRPr="00537112">
              <w:rPr>
                <w:rFonts w:cs="Verdana"/>
                <w:spacing w:val="-1"/>
                <w:sz w:val="20"/>
                <w:szCs w:val="20"/>
              </w:rPr>
              <w:t>e</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r w:rsidRPr="00537112">
              <w:rPr>
                <w:rFonts w:cs="Verdana"/>
                <w:spacing w:val="-9"/>
                <w:sz w:val="20"/>
                <w:szCs w:val="20"/>
              </w:rPr>
              <w:t xml:space="preserve"> </w:t>
            </w:r>
            <w:r w:rsidRPr="00537112">
              <w:rPr>
                <w:rFonts w:cs="Verdana"/>
                <w:spacing w:val="-1"/>
                <w:sz w:val="20"/>
                <w:szCs w:val="20"/>
              </w:rPr>
              <w:t>Her</w:t>
            </w:r>
            <w:r w:rsidRPr="00537112">
              <w:rPr>
                <w:rFonts w:cs="Verdana"/>
                <w:spacing w:val="1"/>
                <w:sz w:val="20"/>
                <w:szCs w:val="20"/>
              </w:rPr>
              <w:t>n</w:t>
            </w:r>
            <w:r w:rsidRPr="00537112">
              <w:rPr>
                <w:rFonts w:cs="Verdana"/>
                <w:sz w:val="20"/>
                <w:szCs w:val="20"/>
              </w:rPr>
              <w:t>á</w:t>
            </w:r>
            <w:r w:rsidRPr="00537112">
              <w:rPr>
                <w:rFonts w:cs="Verdana"/>
                <w:spacing w:val="1"/>
                <w:sz w:val="20"/>
                <w:szCs w:val="20"/>
              </w:rPr>
              <w:t>nd</w:t>
            </w:r>
            <w:r w:rsidRPr="00537112">
              <w:rPr>
                <w:rFonts w:cs="Verdana"/>
                <w:spacing w:val="-1"/>
                <w:sz w:val="20"/>
                <w:szCs w:val="20"/>
              </w:rPr>
              <w:t>e</w:t>
            </w:r>
            <w:r w:rsidRPr="00537112">
              <w:rPr>
                <w:rFonts w:cs="Verdana"/>
                <w:sz w:val="20"/>
                <w:szCs w:val="20"/>
              </w:rPr>
              <w:t>z</w:t>
            </w:r>
          </w:p>
          <w:p w14:paraId="21131ADA" w14:textId="77777777" w:rsidR="00537112" w:rsidRPr="00537112" w:rsidRDefault="00537112" w:rsidP="00537112">
            <w:pPr>
              <w:autoSpaceDE w:val="0"/>
              <w:autoSpaceDN w:val="0"/>
              <w:spacing w:before="16" w:line="240" w:lineRule="auto"/>
              <w:ind w:right="-20"/>
              <w:jc w:val="left"/>
              <w:textAlignment w:val="auto"/>
              <w:rPr>
                <w:rFonts w:ascii="Times New Roman" w:hAnsi="Times New Roman"/>
              </w:rPr>
            </w:pPr>
            <w:r w:rsidRPr="00537112">
              <w:rPr>
                <w:rFonts w:cs="Verdana"/>
                <w:spacing w:val="1"/>
                <w:sz w:val="20"/>
                <w:szCs w:val="20"/>
              </w:rPr>
              <w:t>(</w:t>
            </w:r>
            <w:r w:rsidRPr="00537112">
              <w:rPr>
                <w:rFonts w:cs="Verdana"/>
                <w:sz w:val="20"/>
                <w:szCs w:val="20"/>
              </w:rPr>
              <w:t>o</w:t>
            </w:r>
            <w:r w:rsidRPr="00537112">
              <w:rPr>
                <w:rFonts w:cs="Verdana"/>
                <w:spacing w:val="-4"/>
                <w:sz w:val="20"/>
                <w:szCs w:val="20"/>
              </w:rPr>
              <w:t xml:space="preserve"> </w:t>
            </w:r>
            <w:r w:rsidRPr="00537112">
              <w:rPr>
                <w:rFonts w:cs="Verdana"/>
                <w:sz w:val="20"/>
                <w:szCs w:val="20"/>
              </w:rPr>
              <w:t>Ma</w:t>
            </w:r>
            <w:r w:rsidRPr="00537112">
              <w:rPr>
                <w:rFonts w:cs="Verdana"/>
                <w:spacing w:val="-1"/>
                <w:sz w:val="20"/>
                <w:szCs w:val="20"/>
              </w:rPr>
              <w:t>rce</w:t>
            </w:r>
            <w:r w:rsidRPr="00537112">
              <w:rPr>
                <w:rFonts w:cs="Verdana"/>
                <w:spacing w:val="3"/>
                <w:sz w:val="20"/>
                <w:szCs w:val="20"/>
              </w:rPr>
              <w:t>li</w:t>
            </w:r>
            <w:r w:rsidRPr="00537112">
              <w:rPr>
                <w:rFonts w:cs="Verdana"/>
                <w:spacing w:val="1"/>
                <w:sz w:val="20"/>
                <w:szCs w:val="20"/>
              </w:rPr>
              <w:t>n</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E</w:t>
            </w:r>
            <w:r w:rsidRPr="00537112">
              <w:rPr>
                <w:rFonts w:cs="Verdana"/>
                <w:spacing w:val="1"/>
                <w:sz w:val="20"/>
                <w:szCs w:val="20"/>
              </w:rPr>
              <w:t>ug</w:t>
            </w:r>
            <w:r w:rsidRPr="00537112">
              <w:rPr>
                <w:rFonts w:cs="Verdana"/>
                <w:spacing w:val="-1"/>
                <w:sz w:val="20"/>
                <w:szCs w:val="20"/>
              </w:rPr>
              <w:t>e</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es</w:t>
            </w:r>
            <w:r w:rsidRPr="00537112">
              <w:rPr>
                <w:rFonts w:cs="Verdana"/>
                <w:sz w:val="20"/>
                <w:szCs w:val="20"/>
              </w:rPr>
              <w: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F9E0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311D0D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r>
      <w:tr w:rsidR="00537112" w:rsidRPr="00537112" w14:paraId="795C6568" w14:textId="77777777" w:rsidTr="00630EEC">
        <w:trPr>
          <w:trHeight w:hRule="exact" w:val="276"/>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DF98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DF8AF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77712E" w14:textId="77777777" w:rsidR="00537112" w:rsidRPr="00537112" w:rsidRDefault="00537112" w:rsidP="00537112">
            <w:pPr>
              <w:autoSpaceDE w:val="0"/>
              <w:autoSpaceDN w:val="0"/>
              <w:spacing w:before="4" w:line="240" w:lineRule="auto"/>
              <w:ind w:right="-20"/>
              <w:jc w:val="left"/>
              <w:textAlignment w:val="auto"/>
              <w:rPr>
                <w:rFonts w:ascii="Times New Roman" w:hAnsi="Times New Roman"/>
              </w:rPr>
            </w:pPr>
            <w:r w:rsidRPr="00537112">
              <w:rPr>
                <w:rFonts w:cs="Verdana"/>
                <w:sz w:val="20"/>
                <w:szCs w:val="20"/>
              </w:rPr>
              <w:t>4</w:t>
            </w:r>
            <w:r w:rsidRPr="00537112">
              <w:rPr>
                <w:rFonts w:cs="Verdana"/>
                <w:spacing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193DF7E9" w14:textId="77777777" w:rsidR="00537112" w:rsidRPr="00537112" w:rsidRDefault="00537112" w:rsidP="00537112">
            <w:pPr>
              <w:autoSpaceDE w:val="0"/>
              <w:autoSpaceDN w:val="0"/>
              <w:spacing w:before="4"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r</w:t>
            </w:r>
            <w:r w:rsidRPr="00537112">
              <w:rPr>
                <w:rFonts w:cs="Verdana"/>
                <w:spacing w:val="1"/>
                <w:sz w:val="20"/>
                <w:szCs w:val="20"/>
              </w:rPr>
              <w:t>m</w:t>
            </w:r>
            <w:r w:rsidRPr="00537112">
              <w:rPr>
                <w:rFonts w:cs="Verdana"/>
                <w:spacing w:val="-1"/>
                <w:sz w:val="20"/>
                <w:szCs w:val="20"/>
              </w:rPr>
              <w:t>e</w:t>
            </w:r>
            <w:r w:rsidRPr="00537112">
              <w:rPr>
                <w:rFonts w:cs="Verdana"/>
                <w:spacing w:val="3"/>
                <w:sz w:val="20"/>
                <w:szCs w:val="20"/>
              </w:rPr>
              <w:t>l</w:t>
            </w:r>
            <w:r w:rsidRPr="00537112">
              <w:rPr>
                <w:rFonts w:cs="Verdana"/>
                <w:sz w:val="20"/>
                <w:szCs w:val="20"/>
              </w:rPr>
              <w:t>a</w:t>
            </w:r>
            <w:r w:rsidRPr="00537112">
              <w:rPr>
                <w:rFonts w:cs="Verdana"/>
                <w:spacing w:val="-8"/>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637AB7C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8AB36B9" w14:textId="77777777" w:rsidR="00537112" w:rsidRPr="00537112" w:rsidRDefault="00537112" w:rsidP="00537112">
            <w:pPr>
              <w:autoSpaceDE w:val="0"/>
              <w:autoSpaceDN w:val="0"/>
              <w:spacing w:before="4"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B5F3F70" w14:textId="77777777" w:rsidR="00537112" w:rsidRPr="00537112" w:rsidRDefault="00537112" w:rsidP="00537112">
            <w:pPr>
              <w:autoSpaceDE w:val="0"/>
              <w:autoSpaceDN w:val="0"/>
              <w:spacing w:before="4"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01152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138B56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7AB3F6C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5E8B457"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7B5B5B26"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87</w:t>
            </w:r>
          </w:p>
        </w:tc>
        <w:tc>
          <w:tcPr>
            <w:tcW w:w="3958" w:type="dxa"/>
            <w:vMerge w:val="restart"/>
            <w:tcBorders>
              <w:top w:val="single" w:sz="8" w:space="0" w:color="000000"/>
              <w:left w:val="single" w:sz="8" w:space="0" w:color="000000"/>
              <w:bottom w:val="single" w:sz="8" w:space="0" w:color="000000"/>
              <w:right w:val="single" w:sz="8" w:space="0" w:color="000000"/>
            </w:tcBorders>
          </w:tcPr>
          <w:p w14:paraId="7AC4B038"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66A9587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Páz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B2C9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2AF7AC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Máx</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7479766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0EB8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0C479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6754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732F31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1BEC50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BF67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FBAB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E6B9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265813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04728483"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3D9E7D1"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99F0D2C"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88</w:t>
            </w:r>
          </w:p>
        </w:tc>
        <w:tc>
          <w:tcPr>
            <w:tcW w:w="3958" w:type="dxa"/>
            <w:vMerge w:val="restart"/>
            <w:tcBorders>
              <w:top w:val="single" w:sz="8" w:space="0" w:color="000000"/>
              <w:left w:val="single" w:sz="8" w:space="0" w:color="000000"/>
              <w:bottom w:val="single" w:sz="8" w:space="0" w:color="000000"/>
              <w:right w:val="single" w:sz="8" w:space="0" w:color="000000"/>
            </w:tcBorders>
          </w:tcPr>
          <w:p w14:paraId="15C93F6E"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4932EC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G</w:t>
            </w:r>
            <w:r w:rsidRPr="00537112">
              <w:rPr>
                <w:rFonts w:cs="Verdana"/>
                <w:sz w:val="20"/>
                <w:szCs w:val="20"/>
              </w:rPr>
              <w:t>a</w:t>
            </w:r>
            <w:r w:rsidRPr="00537112">
              <w:rPr>
                <w:rFonts w:cs="Verdana"/>
                <w:spacing w:val="-1"/>
                <w:sz w:val="20"/>
                <w:szCs w:val="20"/>
              </w:rPr>
              <w:t>s</w:t>
            </w:r>
            <w:r w:rsidRPr="00537112">
              <w:rPr>
                <w:rFonts w:cs="Verdana"/>
                <w:spacing w:val="1"/>
                <w:sz w:val="20"/>
                <w:szCs w:val="20"/>
              </w:rPr>
              <w:t>p</w:t>
            </w:r>
            <w:r w:rsidRPr="00537112">
              <w:rPr>
                <w:rFonts w:cs="Verdana"/>
                <w:sz w:val="20"/>
                <w:szCs w:val="20"/>
              </w:rPr>
              <w:t>ar</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75B3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277311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Pa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án</w:t>
            </w:r>
          </w:p>
        </w:tc>
      </w:tr>
      <w:tr w:rsidR="00537112" w:rsidRPr="00537112" w14:paraId="00996F5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524D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8737B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4ADF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00776C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p>
        </w:tc>
      </w:tr>
      <w:tr w:rsidR="00537112" w:rsidRPr="00537112" w14:paraId="49E8A32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51813A"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6D74F84"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89</w:t>
            </w:r>
          </w:p>
        </w:tc>
        <w:tc>
          <w:tcPr>
            <w:tcW w:w="3958" w:type="dxa"/>
            <w:vMerge w:val="restart"/>
            <w:tcBorders>
              <w:top w:val="single" w:sz="8" w:space="0" w:color="000000"/>
              <w:left w:val="single" w:sz="8" w:space="0" w:color="000000"/>
              <w:bottom w:val="single" w:sz="8" w:space="0" w:color="000000"/>
              <w:right w:val="single" w:sz="8" w:space="0" w:color="000000"/>
            </w:tcBorders>
          </w:tcPr>
          <w:p w14:paraId="6D126A68"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76890C1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Max</w:t>
            </w:r>
            <w:r w:rsidRPr="00537112">
              <w:rPr>
                <w:rFonts w:cs="Verdana"/>
                <w:spacing w:val="3"/>
                <w:sz w:val="20"/>
                <w:szCs w:val="20"/>
              </w:rPr>
              <w:t>i</w:t>
            </w:r>
            <w:r w:rsidRPr="00537112">
              <w:rPr>
                <w:rFonts w:cs="Verdana"/>
                <w:spacing w:val="1"/>
                <w:sz w:val="20"/>
                <w:szCs w:val="20"/>
              </w:rPr>
              <w:t>m</w:t>
            </w:r>
            <w:r w:rsidRPr="00537112">
              <w:rPr>
                <w:rFonts w:cs="Verdana"/>
                <w:spacing w:val="3"/>
                <w:sz w:val="20"/>
                <w:szCs w:val="20"/>
              </w:rPr>
              <w:t>ili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4"/>
                <w:sz w:val="20"/>
                <w:szCs w:val="20"/>
              </w:rPr>
              <w:t xml:space="preserve"> </w:t>
            </w:r>
            <w:r w:rsidRPr="00537112">
              <w:rPr>
                <w:rFonts w:cs="Verdana"/>
                <w:spacing w:val="1"/>
                <w:sz w:val="20"/>
                <w:szCs w:val="20"/>
              </w:rPr>
              <w:t>S</w:t>
            </w:r>
            <w:r w:rsidRPr="00537112">
              <w:rPr>
                <w:rFonts w:cs="Verdana"/>
                <w:spacing w:val="3"/>
                <w:sz w:val="20"/>
                <w:szCs w:val="20"/>
              </w:rPr>
              <w:t>ic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2A0E4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7175A9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w:t>
            </w:r>
            <w:r w:rsidRPr="00537112">
              <w:rPr>
                <w:rFonts w:cs="Verdana"/>
                <w:position w:val="-1"/>
                <w:sz w:val="20"/>
                <w:szCs w:val="20"/>
              </w:rPr>
              <w:t>m</w:t>
            </w:r>
            <w:r w:rsidRPr="00537112">
              <w:rPr>
                <w:rFonts w:cs="Verdana"/>
                <w:spacing w:val="-7"/>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54009DD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C804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06A53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1404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5D1043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w:t>
            </w:r>
            <w:r w:rsidRPr="00537112">
              <w:rPr>
                <w:rFonts w:cs="Verdana"/>
                <w:position w:val="-1"/>
                <w:sz w:val="20"/>
                <w:szCs w:val="20"/>
              </w:rPr>
              <w:t>m</w:t>
            </w:r>
          </w:p>
        </w:tc>
      </w:tr>
      <w:tr w:rsidR="00537112" w:rsidRPr="00537112" w14:paraId="5857D28E"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B4D73D" w14:textId="77777777" w:rsidR="00537112" w:rsidRPr="00537112" w:rsidRDefault="00537112" w:rsidP="00537112">
            <w:pPr>
              <w:autoSpaceDE w:val="0"/>
              <w:autoSpaceDN w:val="0"/>
              <w:spacing w:line="226" w:lineRule="exact"/>
              <w:ind w:right="273"/>
              <w:jc w:val="center"/>
              <w:textAlignment w:val="auto"/>
              <w:rPr>
                <w:rFonts w:ascii="Times New Roman" w:hAnsi="Times New Roman"/>
              </w:rPr>
            </w:pPr>
            <w:r w:rsidRPr="00537112">
              <w:rPr>
                <w:rFonts w:cs="Verdana"/>
                <w:b/>
                <w:bCs/>
                <w:w w:val="99"/>
                <w:position w:val="-1"/>
                <w:sz w:val="20"/>
                <w:szCs w:val="20"/>
              </w:rPr>
              <w:t>90</w:t>
            </w:r>
          </w:p>
        </w:tc>
        <w:tc>
          <w:tcPr>
            <w:tcW w:w="3958" w:type="dxa"/>
            <w:tcBorders>
              <w:top w:val="single" w:sz="8" w:space="0" w:color="000000"/>
              <w:left w:val="single" w:sz="8" w:space="0" w:color="000000"/>
              <w:bottom w:val="single" w:sz="8" w:space="0" w:color="000000"/>
              <w:right w:val="single" w:sz="8" w:space="0" w:color="000000"/>
            </w:tcBorders>
          </w:tcPr>
          <w:p w14:paraId="52B222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3"/>
                <w:position w:val="-1"/>
                <w:sz w:val="20"/>
                <w:szCs w:val="20"/>
              </w:rPr>
              <w:t>í</w:t>
            </w:r>
            <w:r w:rsidRPr="00537112">
              <w:rPr>
                <w:rFonts w:cs="Verdana"/>
                <w:position w:val="-1"/>
                <w:sz w:val="20"/>
                <w:szCs w:val="20"/>
              </w:rPr>
              <w:t>o</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E5D6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0A541FE2"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47170C9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C3566EE"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7BA8E07"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91</w:t>
            </w:r>
          </w:p>
        </w:tc>
        <w:tc>
          <w:tcPr>
            <w:tcW w:w="3958" w:type="dxa"/>
            <w:vMerge w:val="restart"/>
            <w:tcBorders>
              <w:top w:val="single" w:sz="8" w:space="0" w:color="000000"/>
              <w:left w:val="single" w:sz="8" w:space="0" w:color="000000"/>
              <w:bottom w:val="single" w:sz="8" w:space="0" w:color="000000"/>
              <w:right w:val="single" w:sz="8" w:space="0" w:color="000000"/>
            </w:tcBorders>
          </w:tcPr>
          <w:p w14:paraId="7AE78D03"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2019B09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g</w:t>
            </w:r>
            <w:r w:rsidRPr="00537112">
              <w:rPr>
                <w:rFonts w:cs="Verdana"/>
                <w:sz w:val="20"/>
                <w:szCs w:val="20"/>
              </w:rPr>
              <w:t>a</w:t>
            </w:r>
            <w:r w:rsidRPr="00537112">
              <w:rPr>
                <w:rFonts w:cs="Verdana"/>
                <w:spacing w:val="-8"/>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9763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0ED2C6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2F51921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A4C18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46670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E794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4733F5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1669BFF4" w14:textId="77777777" w:rsidTr="00630EEC">
        <w:trPr>
          <w:trHeight w:hRule="exact" w:val="247"/>
        </w:trPr>
        <w:tc>
          <w:tcPr>
            <w:tcW w:w="977" w:type="dxa"/>
            <w:vMerge w:val="restart"/>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675D846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9ACF7F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BB0F646"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92</w:t>
            </w:r>
          </w:p>
        </w:tc>
        <w:tc>
          <w:tcPr>
            <w:tcW w:w="3958" w:type="dxa"/>
            <w:vMerge w:val="restart"/>
            <w:tcBorders>
              <w:top w:val="single" w:sz="8" w:space="0" w:color="000000"/>
              <w:left w:val="single" w:sz="8" w:space="0" w:color="000000"/>
              <w:bottom w:val="single" w:sz="14" w:space="0" w:color="000000"/>
              <w:right w:val="single" w:sz="8" w:space="0" w:color="000000"/>
            </w:tcBorders>
          </w:tcPr>
          <w:p w14:paraId="5EE4C2D4"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913325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07EAF4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N</w:t>
            </w:r>
            <w:r w:rsidRPr="00537112">
              <w:rPr>
                <w:rFonts w:cs="Verdana"/>
                <w:spacing w:val="3"/>
                <w:sz w:val="20"/>
                <w:szCs w:val="20"/>
              </w:rPr>
              <w:t>i</w:t>
            </w:r>
            <w:r w:rsidRPr="00537112">
              <w:rPr>
                <w:rFonts w:cs="Verdana"/>
                <w:spacing w:val="-1"/>
                <w:sz w:val="20"/>
                <w:szCs w:val="20"/>
              </w:rPr>
              <w:t>co</w:t>
            </w:r>
            <w:r w:rsidRPr="00537112">
              <w:rPr>
                <w:rFonts w:cs="Verdana"/>
                <w:spacing w:val="3"/>
                <w:sz w:val="20"/>
                <w:szCs w:val="20"/>
              </w:rPr>
              <w:t>l</w:t>
            </w:r>
            <w:r w:rsidRPr="00537112">
              <w:rPr>
                <w:rFonts w:cs="Verdana"/>
                <w:sz w:val="20"/>
                <w:szCs w:val="20"/>
              </w:rPr>
              <w:t>as</w:t>
            </w:r>
            <w:r w:rsidRPr="00537112">
              <w:rPr>
                <w:rFonts w:cs="Verdana"/>
                <w:spacing w:val="-8"/>
                <w:sz w:val="20"/>
                <w:szCs w:val="20"/>
              </w:rPr>
              <w:t xml:space="preserve"> </w:t>
            </w:r>
            <w:r w:rsidRPr="00537112">
              <w:rPr>
                <w:rFonts w:cs="Verdana"/>
                <w:spacing w:val="-2"/>
                <w:sz w:val="20"/>
                <w:szCs w:val="20"/>
              </w:rPr>
              <w:t>I</w:t>
            </w:r>
            <w:r w:rsidRPr="00537112">
              <w:rPr>
                <w:rFonts w:cs="Verdana"/>
                <w:spacing w:val="1"/>
                <w:sz w:val="20"/>
                <w:szCs w:val="20"/>
              </w:rPr>
              <w:t>z</w:t>
            </w:r>
            <w:r w:rsidRPr="00537112">
              <w:rPr>
                <w:rFonts w:cs="Verdana"/>
                <w:sz w:val="20"/>
                <w:szCs w:val="20"/>
              </w:rPr>
              <w:t>a</w:t>
            </w:r>
            <w:r w:rsidRPr="00537112">
              <w:rPr>
                <w:rFonts w:cs="Verdana"/>
                <w:spacing w:val="1"/>
                <w:sz w:val="20"/>
                <w:szCs w:val="20"/>
              </w:rPr>
              <w:t>gu</w:t>
            </w:r>
            <w:r w:rsidRPr="00537112">
              <w:rPr>
                <w:rFonts w:cs="Verdana"/>
                <w:spacing w:val="3"/>
                <w:sz w:val="20"/>
                <w:szCs w:val="20"/>
              </w:rPr>
              <w:t>i</w:t>
            </w:r>
            <w:r w:rsidRPr="00537112">
              <w:rPr>
                <w:rFonts w:cs="Verdana"/>
                <w:spacing w:val="-1"/>
                <w:sz w:val="20"/>
                <w:szCs w:val="20"/>
              </w:rPr>
              <w:t>rr</w:t>
            </w:r>
            <w:r w:rsidRPr="00537112">
              <w:rPr>
                <w:rFonts w:cs="Verdana"/>
                <w:sz w:val="20"/>
                <w:szCs w:val="20"/>
              </w:rPr>
              <w:t>e</w:t>
            </w:r>
            <w:r w:rsidRPr="00537112">
              <w:rPr>
                <w:rFonts w:cs="Verdana"/>
                <w:spacing w:val="-11"/>
                <w:sz w:val="20"/>
                <w:szCs w:val="20"/>
              </w:rPr>
              <w:t xml:space="preserve"> </w:t>
            </w:r>
            <w:r w:rsidRPr="00537112">
              <w:rPr>
                <w:rFonts w:cs="Verdana"/>
                <w:sz w:val="20"/>
                <w:szCs w:val="20"/>
              </w:rPr>
              <w:t>B</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t</w:t>
            </w:r>
            <w:r w:rsidRPr="00537112">
              <w:rPr>
                <w:rFonts w:cs="Verdana"/>
                <w:spacing w:val="-1"/>
                <w:sz w:val="20"/>
                <w:szCs w:val="20"/>
              </w:rPr>
              <w:t>r</w:t>
            </w:r>
            <w:r w:rsidRPr="00537112">
              <w:rPr>
                <w:rFonts w:cs="Verdana"/>
                <w:sz w:val="20"/>
                <w:szCs w:val="20"/>
              </w:rPr>
              <w:t>an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1662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10D354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w:t>
            </w:r>
            <w:r w:rsidRPr="00537112">
              <w:rPr>
                <w:rFonts w:cs="Verdana"/>
                <w:spacing w:val="3"/>
                <w:position w:val="-1"/>
                <w:sz w:val="20"/>
                <w:szCs w:val="20"/>
              </w:rPr>
              <w:t>i</w:t>
            </w:r>
            <w:r w:rsidRPr="00537112">
              <w:rPr>
                <w:rFonts w:cs="Verdana"/>
                <w:spacing w:val="-1"/>
                <w:position w:val="-1"/>
                <w:sz w:val="20"/>
                <w:szCs w:val="20"/>
              </w:rPr>
              <w:t>co</w:t>
            </w:r>
            <w:r w:rsidRPr="00537112">
              <w:rPr>
                <w:rFonts w:cs="Verdana"/>
                <w:spacing w:val="3"/>
                <w:position w:val="-1"/>
                <w:sz w:val="20"/>
                <w:szCs w:val="20"/>
              </w:rPr>
              <w:t>l</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w:t>
            </w:r>
            <w:r w:rsidRPr="00537112">
              <w:rPr>
                <w:rFonts w:cs="Verdana"/>
                <w:position w:val="-1"/>
                <w:sz w:val="20"/>
                <w:szCs w:val="20"/>
              </w:rPr>
              <w:t>e</w:t>
            </w:r>
            <w:r w:rsidRPr="00537112">
              <w:rPr>
                <w:rFonts w:cs="Verdana"/>
                <w:spacing w:val="-11"/>
                <w:position w:val="-1"/>
                <w:sz w:val="20"/>
                <w:szCs w:val="20"/>
              </w:rPr>
              <w:t xml:space="preserve"> </w:t>
            </w:r>
            <w:r w:rsidRPr="00537112">
              <w:rPr>
                <w:rFonts w:cs="Verdana"/>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an</w:t>
            </w:r>
          </w:p>
        </w:tc>
      </w:tr>
      <w:tr w:rsidR="00537112" w:rsidRPr="00537112" w14:paraId="7A115B02" w14:textId="77777777" w:rsidTr="00630EEC">
        <w:trPr>
          <w:trHeight w:hRule="exact" w:val="247"/>
        </w:trPr>
        <w:tc>
          <w:tcPr>
            <w:tcW w:w="977" w:type="dxa"/>
            <w:vMerge/>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71F5A7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14" w:space="0" w:color="000000"/>
              <w:right w:val="single" w:sz="8" w:space="0" w:color="000000"/>
            </w:tcBorders>
          </w:tcPr>
          <w:p w14:paraId="78389A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E7E76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448D41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34FD0494" w14:textId="77777777" w:rsidTr="00630EEC">
        <w:trPr>
          <w:trHeight w:hRule="exact" w:val="247"/>
        </w:trPr>
        <w:tc>
          <w:tcPr>
            <w:tcW w:w="977" w:type="dxa"/>
            <w:vMerge/>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06DD4D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14" w:space="0" w:color="000000"/>
              <w:right w:val="single" w:sz="8" w:space="0" w:color="000000"/>
            </w:tcBorders>
          </w:tcPr>
          <w:p w14:paraId="730023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5F8D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57B77B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w:t>
            </w:r>
            <w:r w:rsidRPr="00537112">
              <w:rPr>
                <w:rFonts w:cs="Verdana"/>
                <w:position w:val="-1"/>
                <w:sz w:val="20"/>
                <w:szCs w:val="20"/>
              </w:rPr>
              <w:t>e</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139FC49F" w14:textId="77777777" w:rsidTr="00630EEC">
        <w:trPr>
          <w:trHeight w:hRule="exact" w:val="254"/>
        </w:trPr>
        <w:tc>
          <w:tcPr>
            <w:tcW w:w="977" w:type="dxa"/>
            <w:vMerge/>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69A561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14" w:space="0" w:color="000000"/>
              <w:right w:val="single" w:sz="8" w:space="0" w:color="000000"/>
            </w:tcBorders>
          </w:tcPr>
          <w:p w14:paraId="088A28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14" w:space="0" w:color="000000"/>
              <w:right w:val="single" w:sz="8" w:space="0" w:color="000000"/>
            </w:tcBorders>
            <w:shd w:val="clear" w:color="auto" w:fill="C0C0C0"/>
          </w:tcPr>
          <w:p w14:paraId="374A9B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77</w:t>
            </w:r>
          </w:p>
        </w:tc>
        <w:tc>
          <w:tcPr>
            <w:tcW w:w="4496" w:type="dxa"/>
            <w:tcBorders>
              <w:top w:val="single" w:sz="8" w:space="0" w:color="000000"/>
              <w:left w:val="single" w:sz="8" w:space="0" w:color="000000"/>
              <w:bottom w:val="single" w:sz="14" w:space="0" w:color="000000"/>
              <w:right w:val="single" w:sz="8" w:space="0" w:color="000000"/>
            </w:tcBorders>
          </w:tcPr>
          <w:p w14:paraId="4433D5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crec</w:t>
            </w:r>
            <w:r w:rsidRPr="00537112">
              <w:rPr>
                <w:rFonts w:cs="Verdana"/>
                <w:spacing w:val="3"/>
                <w:position w:val="-1"/>
                <w:sz w:val="20"/>
                <w:szCs w:val="20"/>
              </w:rPr>
              <w:t>í</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w:t>
            </w:r>
            <w:r w:rsidRPr="00537112">
              <w:rPr>
                <w:rFonts w:cs="Verdana"/>
                <w:position w:val="-1"/>
                <w:sz w:val="20"/>
                <w:szCs w:val="20"/>
              </w:rPr>
              <w:t>e</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649140D3" w14:textId="77777777" w:rsidTr="00630EEC">
        <w:trPr>
          <w:trHeight w:hRule="exact" w:val="254"/>
        </w:trPr>
        <w:tc>
          <w:tcPr>
            <w:tcW w:w="977" w:type="dxa"/>
            <w:tcBorders>
              <w:top w:val="single" w:sz="14" w:space="0" w:color="000000"/>
              <w:left w:val="single" w:sz="8" w:space="0" w:color="000000"/>
              <w:bottom w:val="single" w:sz="8" w:space="0" w:color="000000"/>
              <w:right w:val="single" w:sz="8" w:space="0" w:color="000000"/>
            </w:tcBorders>
            <w:shd w:val="clear" w:color="auto" w:fill="BFBFBF" w:themeFill="background1" w:themeFillShade="BF"/>
          </w:tcPr>
          <w:p w14:paraId="7346B29E" w14:textId="77777777" w:rsidR="00537112" w:rsidRPr="00537112" w:rsidRDefault="00537112" w:rsidP="00537112">
            <w:pPr>
              <w:autoSpaceDE w:val="0"/>
              <w:autoSpaceDN w:val="0"/>
              <w:spacing w:line="226" w:lineRule="exact"/>
              <w:ind w:right="273"/>
              <w:jc w:val="center"/>
              <w:textAlignment w:val="auto"/>
              <w:rPr>
                <w:rFonts w:ascii="Times New Roman" w:hAnsi="Times New Roman"/>
              </w:rPr>
            </w:pPr>
            <w:r w:rsidRPr="00537112">
              <w:rPr>
                <w:rFonts w:cs="Verdana"/>
                <w:b/>
                <w:bCs/>
                <w:w w:val="99"/>
                <w:position w:val="-1"/>
                <w:sz w:val="20"/>
                <w:szCs w:val="20"/>
              </w:rPr>
              <w:t>93</w:t>
            </w:r>
          </w:p>
        </w:tc>
        <w:tc>
          <w:tcPr>
            <w:tcW w:w="3958" w:type="dxa"/>
            <w:tcBorders>
              <w:top w:val="single" w:sz="14" w:space="0" w:color="000000"/>
              <w:left w:val="single" w:sz="8" w:space="0" w:color="000000"/>
              <w:bottom w:val="single" w:sz="8" w:space="0" w:color="000000"/>
              <w:right w:val="single" w:sz="8" w:space="0" w:color="000000"/>
            </w:tcBorders>
          </w:tcPr>
          <w:p w14:paraId="7A3F53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Rup</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c>
          <w:tcPr>
            <w:tcW w:w="772" w:type="dxa"/>
            <w:tcBorders>
              <w:top w:val="single" w:sz="14" w:space="0" w:color="000000"/>
              <w:left w:val="single" w:sz="8" w:space="0" w:color="000000"/>
              <w:bottom w:val="single" w:sz="8" w:space="0" w:color="000000"/>
              <w:right w:val="single" w:sz="8" w:space="0" w:color="000000"/>
            </w:tcBorders>
            <w:shd w:val="clear" w:color="auto" w:fill="C0C0C0"/>
          </w:tcPr>
          <w:p w14:paraId="6A7B07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78</w:t>
            </w:r>
          </w:p>
        </w:tc>
        <w:tc>
          <w:tcPr>
            <w:tcW w:w="4496" w:type="dxa"/>
            <w:tcBorders>
              <w:top w:val="single" w:sz="14" w:space="0" w:color="000000"/>
              <w:left w:val="single" w:sz="8" w:space="0" w:color="000000"/>
              <w:bottom w:val="single" w:sz="8" w:space="0" w:color="000000"/>
              <w:right w:val="single" w:sz="8" w:space="0" w:color="000000"/>
            </w:tcBorders>
          </w:tcPr>
          <w:p w14:paraId="0CD864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62E9A2C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70C455"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828B70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01C88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876C61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9A8BDE"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94</w:t>
            </w:r>
          </w:p>
        </w:tc>
        <w:tc>
          <w:tcPr>
            <w:tcW w:w="3958" w:type="dxa"/>
            <w:vMerge w:val="restart"/>
            <w:tcBorders>
              <w:top w:val="single" w:sz="8" w:space="0" w:color="000000"/>
              <w:left w:val="single" w:sz="8" w:space="0" w:color="000000"/>
              <w:bottom w:val="single" w:sz="8" w:space="0" w:color="000000"/>
              <w:right w:val="single" w:sz="8" w:space="0" w:color="000000"/>
            </w:tcBorders>
          </w:tcPr>
          <w:p w14:paraId="56F494DF"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000004F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BCAEB9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2BCEFB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457B1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59067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4FE6C3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28EE4F3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17D9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5F3AE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86AA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79540F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ás</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02DC60C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629A1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6BD86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D3F3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212AD2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2920349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B79D8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C78A1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EB16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57DBDF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7F87D51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38DF7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86EB5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3B38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6CF49F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352E820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0807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03D3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E6AA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09203F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íc</w:t>
            </w:r>
          </w:p>
        </w:tc>
      </w:tr>
      <w:tr w:rsidR="00537112" w:rsidRPr="00537112" w14:paraId="2CD2AE9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43E5A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72DBA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05220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59C31A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crec</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6FCFC85C"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97FB5B0"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2369DF9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B304E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D037D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BF9DFE2"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95</w:t>
            </w:r>
          </w:p>
        </w:tc>
        <w:tc>
          <w:tcPr>
            <w:tcW w:w="3958" w:type="dxa"/>
            <w:vMerge w:val="restart"/>
            <w:tcBorders>
              <w:top w:val="single" w:sz="8" w:space="0" w:color="000000"/>
              <w:left w:val="single" w:sz="8" w:space="0" w:color="000000"/>
              <w:bottom w:val="single" w:sz="8" w:space="0" w:color="000000"/>
              <w:right w:val="single" w:sz="8" w:space="0" w:color="000000"/>
            </w:tcBorders>
          </w:tcPr>
          <w:p w14:paraId="2C0EB939" w14:textId="77777777" w:rsidR="00537112" w:rsidRPr="00537112" w:rsidRDefault="00537112" w:rsidP="00537112">
            <w:pPr>
              <w:autoSpaceDE w:val="0"/>
              <w:autoSpaceDN w:val="0"/>
              <w:spacing w:before="2" w:line="120" w:lineRule="exact"/>
              <w:jc w:val="left"/>
              <w:textAlignment w:val="auto"/>
              <w:rPr>
                <w:rFonts w:ascii="Times New Roman" w:hAnsi="Times New Roman"/>
                <w:sz w:val="12"/>
                <w:szCs w:val="12"/>
              </w:rPr>
            </w:pPr>
          </w:p>
          <w:p w14:paraId="4BE47B3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75735E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7BBF21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042B93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1"/>
                <w:sz w:val="20"/>
                <w:szCs w:val="20"/>
              </w:rPr>
              <w:t>er</w:t>
            </w:r>
            <w:r w:rsidRPr="00537112">
              <w:rPr>
                <w:rFonts w:cs="Verdana"/>
                <w:sz w:val="20"/>
                <w:szCs w:val="20"/>
              </w:rPr>
              <w:t>a</w:t>
            </w:r>
            <w:r w:rsidRPr="00537112">
              <w:rPr>
                <w:rFonts w:cs="Verdana"/>
                <w:spacing w:val="1"/>
                <w:sz w:val="20"/>
                <w:szCs w:val="20"/>
              </w:rPr>
              <w:t>p</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C845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602112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496F134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14668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511E9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34D1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2450C3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es</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555178B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54409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2C50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50629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387400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r</w:t>
            </w:r>
            <w:r w:rsidRPr="00537112">
              <w:rPr>
                <w:rFonts w:cs="Verdana"/>
                <w:position w:val="-1"/>
                <w:sz w:val="20"/>
                <w:szCs w:val="20"/>
              </w:rPr>
              <w:t>á</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0B21DDA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19211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BA8CF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3B7B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52FE91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erce</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r>
      <w:tr w:rsidR="00537112" w:rsidRPr="00537112" w14:paraId="0BCD61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423C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2316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2CD0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443DA4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u</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av</w:t>
            </w:r>
            <w:r w:rsidRPr="00537112">
              <w:rPr>
                <w:rFonts w:cs="Verdana"/>
                <w:spacing w:val="-1"/>
                <w:position w:val="-1"/>
                <w:sz w:val="20"/>
                <w:szCs w:val="20"/>
              </w:rPr>
              <w:t>e</w:t>
            </w:r>
            <w:r w:rsidRPr="00537112">
              <w:rPr>
                <w:rFonts w:cs="Verdana"/>
                <w:spacing w:val="1"/>
                <w:position w:val="-1"/>
                <w:sz w:val="20"/>
                <w:szCs w:val="20"/>
              </w:rPr>
              <w:t>ntu</w:t>
            </w:r>
            <w:r w:rsidRPr="00537112">
              <w:rPr>
                <w:rFonts w:cs="Verdana"/>
                <w:spacing w:val="-1"/>
                <w:position w:val="-1"/>
                <w:sz w:val="20"/>
                <w:szCs w:val="20"/>
              </w:rPr>
              <w:t>r</w:t>
            </w:r>
            <w:r w:rsidRPr="00537112">
              <w:rPr>
                <w:rFonts w:cs="Verdana"/>
                <w:position w:val="-1"/>
                <w:sz w:val="20"/>
                <w:szCs w:val="20"/>
              </w:rPr>
              <w:t>a</w:t>
            </w:r>
            <w:r w:rsidRPr="00537112">
              <w:rPr>
                <w:rFonts w:cs="Verdana"/>
                <w:spacing w:val="-14"/>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741F53E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2310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9416D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E0F6A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307784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Agu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0B097AE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E1F7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7E44A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119B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4A7BD0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094FB0A2"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BC6249"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27133BC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E7F531"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96</w:t>
            </w:r>
          </w:p>
        </w:tc>
        <w:tc>
          <w:tcPr>
            <w:tcW w:w="3958" w:type="dxa"/>
            <w:vMerge w:val="restart"/>
            <w:tcBorders>
              <w:top w:val="single" w:sz="8" w:space="0" w:color="000000"/>
              <w:left w:val="single" w:sz="8" w:space="0" w:color="000000"/>
              <w:bottom w:val="single" w:sz="8" w:space="0" w:color="000000"/>
              <w:right w:val="single" w:sz="8" w:space="0" w:color="000000"/>
            </w:tcBorders>
          </w:tcPr>
          <w:p w14:paraId="08B6145F"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C38437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58247D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Lo</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209C6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1C1FC1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51CA257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37FB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BC60B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C457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3253BE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5027471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30D26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A951E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CB39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607052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n</w:t>
            </w:r>
            <w:r w:rsidRPr="00537112">
              <w:rPr>
                <w:rFonts w:cs="Verdana"/>
                <w:spacing w:val="-1"/>
                <w:position w:val="-1"/>
                <w:sz w:val="20"/>
                <w:szCs w:val="20"/>
              </w:rPr>
              <w:t>oce</w:t>
            </w:r>
            <w:r w:rsidRPr="00537112">
              <w:rPr>
                <w:rFonts w:cs="Verdana"/>
                <w:spacing w:val="1"/>
                <w:position w:val="-1"/>
                <w:sz w:val="20"/>
                <w:szCs w:val="20"/>
              </w:rPr>
              <w:t>nt</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7691084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DF2B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59A67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8299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603F46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7B75F7E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4F67FC1"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6F8FD65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C1FCA6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A403B7"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97</w:t>
            </w:r>
          </w:p>
        </w:tc>
        <w:tc>
          <w:tcPr>
            <w:tcW w:w="3958" w:type="dxa"/>
            <w:vMerge w:val="restart"/>
            <w:tcBorders>
              <w:top w:val="single" w:sz="8" w:space="0" w:color="000000"/>
              <w:left w:val="single" w:sz="8" w:space="0" w:color="000000"/>
              <w:bottom w:val="single" w:sz="8" w:space="0" w:color="000000"/>
              <w:right w:val="single" w:sz="8" w:space="0" w:color="000000"/>
            </w:tcBorders>
          </w:tcPr>
          <w:p w14:paraId="312F75E6"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04CABA0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050086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95EE0B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Agu</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í</w:t>
            </w:r>
            <w:r w:rsidRPr="00537112">
              <w:rPr>
                <w:rFonts w:cs="Verdana"/>
                <w:sz w:val="20"/>
                <w:szCs w:val="20"/>
              </w:rPr>
              <w:t>n</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DF6D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317F4B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r w:rsidRPr="00537112">
              <w:rPr>
                <w:rFonts w:cs="Verdana"/>
                <w:spacing w:val="-5"/>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2297E02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7B4B1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A1A12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54B91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3F2251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102A6D1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7F3F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7A23A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B1C2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4</w:t>
            </w:r>
            <w:r w:rsidRPr="00537112">
              <w:rPr>
                <w:rFonts w:cs="Verdana"/>
                <w:spacing w:val="1"/>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5F886F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2274596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A82B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9E87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8B83C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3EF044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Z</w:t>
            </w:r>
            <w:r w:rsidRPr="00537112">
              <w:rPr>
                <w:rFonts w:cs="Verdana"/>
                <w:spacing w:val="-1"/>
                <w:position w:val="-1"/>
                <w:sz w:val="20"/>
                <w:szCs w:val="20"/>
              </w:rPr>
              <w:t>o</w:t>
            </w:r>
            <w:r w:rsidRPr="00537112">
              <w:rPr>
                <w:rFonts w:cs="Verdana"/>
                <w:spacing w:val="3"/>
                <w:position w:val="-1"/>
                <w:sz w:val="20"/>
                <w:szCs w:val="20"/>
              </w:rPr>
              <w:t>il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69E7BCF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49588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79C9B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FF5C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3881E2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62782B7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4994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3C41F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052B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4F509B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03A253E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28B80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028635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8780468"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98</w:t>
            </w:r>
          </w:p>
        </w:tc>
        <w:tc>
          <w:tcPr>
            <w:tcW w:w="3958" w:type="dxa"/>
            <w:vMerge w:val="restart"/>
            <w:tcBorders>
              <w:top w:val="single" w:sz="8" w:space="0" w:color="000000"/>
              <w:left w:val="single" w:sz="8" w:space="0" w:color="000000"/>
              <w:bottom w:val="single" w:sz="8" w:space="0" w:color="000000"/>
              <w:right w:val="single" w:sz="8" w:space="0" w:color="000000"/>
            </w:tcBorders>
          </w:tcPr>
          <w:p w14:paraId="4F4DD0AA"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74ADD2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E13016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uqu</w:t>
            </w:r>
            <w:r w:rsidRPr="00537112">
              <w:rPr>
                <w:rFonts w:cs="Verdana"/>
                <w:spacing w:val="-1"/>
                <w:sz w:val="20"/>
                <w:szCs w:val="20"/>
              </w:rPr>
              <w:t>e</w:t>
            </w:r>
            <w:r w:rsidRPr="00537112">
              <w:rPr>
                <w:rFonts w:cs="Verdana"/>
                <w:sz w:val="20"/>
                <w:szCs w:val="20"/>
              </w:rPr>
              <w:t>j</w:t>
            </w:r>
            <w:r w:rsidRPr="00537112">
              <w:rPr>
                <w:rFonts w:cs="Verdana"/>
                <w:spacing w:val="-7"/>
                <w:sz w:val="20"/>
                <w:szCs w:val="20"/>
              </w:rPr>
              <w:t xml:space="preserve"> </w:t>
            </w:r>
            <w:r w:rsidRPr="00537112">
              <w:rPr>
                <w:rFonts w:cs="Verdana"/>
                <w:sz w:val="20"/>
                <w:szCs w:val="20"/>
              </w:rPr>
              <w:t>M</w:t>
            </w:r>
            <w:r w:rsidRPr="00537112">
              <w:rPr>
                <w:rFonts w:cs="Verdana"/>
                <w:spacing w:val="-1"/>
                <w:sz w:val="20"/>
                <w:szCs w:val="20"/>
              </w:rPr>
              <w:t>ore</w:t>
            </w:r>
            <w:r w:rsidRPr="00537112">
              <w:rPr>
                <w:rFonts w:cs="Verdana"/>
                <w:spacing w:val="1"/>
                <w:sz w:val="20"/>
                <w:szCs w:val="20"/>
              </w:rPr>
              <w:t>nt</w:t>
            </w:r>
            <w:r w:rsidRPr="00537112">
              <w:rPr>
                <w:rFonts w:cs="Verdana"/>
                <w:sz w:val="20"/>
                <w:szCs w:val="20"/>
              </w:rPr>
              <w:t>e</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A28A2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53EB44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b</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64545D3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788B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C9404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58CF8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1C28CD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r>
      <w:tr w:rsidR="00537112" w:rsidRPr="00537112" w14:paraId="67E264A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89CC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88452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610F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61968E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3F97BC7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3B52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5D6D7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05D0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202B7E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1479EAE7"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B25D8D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FC0E50" w14:textId="77777777" w:rsidR="00537112" w:rsidRPr="00537112" w:rsidRDefault="00537112" w:rsidP="00537112">
            <w:pPr>
              <w:autoSpaceDE w:val="0"/>
              <w:autoSpaceDN w:val="0"/>
              <w:spacing w:before="11" w:line="220" w:lineRule="exact"/>
              <w:jc w:val="left"/>
              <w:textAlignment w:val="auto"/>
              <w:rPr>
                <w:rFonts w:ascii="Times New Roman" w:hAnsi="Times New Roman"/>
                <w:sz w:val="22"/>
                <w:szCs w:val="22"/>
              </w:rPr>
            </w:pPr>
          </w:p>
          <w:p w14:paraId="21BDEFFA" w14:textId="77777777" w:rsidR="00537112" w:rsidRPr="00537112" w:rsidRDefault="00537112" w:rsidP="00537112">
            <w:pPr>
              <w:autoSpaceDE w:val="0"/>
              <w:autoSpaceDN w:val="0"/>
              <w:spacing w:line="240" w:lineRule="auto"/>
              <w:ind w:right="273"/>
              <w:jc w:val="center"/>
              <w:textAlignment w:val="auto"/>
              <w:rPr>
                <w:rFonts w:ascii="Times New Roman" w:hAnsi="Times New Roman"/>
              </w:rPr>
            </w:pPr>
            <w:r w:rsidRPr="00537112">
              <w:rPr>
                <w:rFonts w:cs="Verdana"/>
                <w:b/>
                <w:bCs/>
                <w:w w:val="99"/>
                <w:sz w:val="20"/>
                <w:szCs w:val="20"/>
              </w:rPr>
              <w:t>99</w:t>
            </w:r>
          </w:p>
        </w:tc>
        <w:tc>
          <w:tcPr>
            <w:tcW w:w="3958" w:type="dxa"/>
            <w:vMerge w:val="restart"/>
            <w:tcBorders>
              <w:top w:val="single" w:sz="8" w:space="0" w:color="000000"/>
              <w:left w:val="single" w:sz="8" w:space="0" w:color="000000"/>
              <w:bottom w:val="single" w:sz="8" w:space="0" w:color="000000"/>
              <w:right w:val="single" w:sz="8" w:space="0" w:color="000000"/>
            </w:tcBorders>
          </w:tcPr>
          <w:p w14:paraId="0EAC064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87A0EC2" w14:textId="77777777" w:rsidR="00537112" w:rsidRPr="00537112" w:rsidRDefault="00537112" w:rsidP="00537112">
            <w:pPr>
              <w:autoSpaceDE w:val="0"/>
              <w:autoSpaceDN w:val="0"/>
              <w:spacing w:before="11" w:line="220" w:lineRule="exact"/>
              <w:jc w:val="left"/>
              <w:textAlignment w:val="auto"/>
              <w:rPr>
                <w:rFonts w:ascii="Times New Roman" w:hAnsi="Times New Roman"/>
                <w:sz w:val="22"/>
                <w:szCs w:val="22"/>
              </w:rPr>
            </w:pPr>
          </w:p>
          <w:p w14:paraId="7D952C6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Ba</w:t>
            </w:r>
            <w:r w:rsidRPr="00537112">
              <w:rPr>
                <w:rFonts w:cs="Verdana"/>
                <w:spacing w:val="3"/>
                <w:sz w:val="20"/>
                <w:szCs w:val="20"/>
              </w:rPr>
              <w:t>l</w:t>
            </w:r>
            <w:r w:rsidRPr="00537112">
              <w:rPr>
                <w:rFonts w:cs="Verdana"/>
                <w:spacing w:val="1"/>
                <w:sz w:val="20"/>
                <w:szCs w:val="20"/>
              </w:rPr>
              <w:t>b</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9"/>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D626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588F81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01F378D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3551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C7C9E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EC03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5044FE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án</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7629A44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46F04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1FE38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D55C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4457C4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g</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1A94ED5F" w14:textId="77777777" w:rsidTr="00630EEC">
        <w:trPr>
          <w:trHeight w:hRule="exact" w:val="406"/>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8F90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C9745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24991DB" w14:textId="77777777" w:rsidR="00537112" w:rsidRPr="00537112" w:rsidRDefault="00537112" w:rsidP="00537112">
            <w:pPr>
              <w:autoSpaceDE w:val="0"/>
              <w:autoSpaceDN w:val="0"/>
              <w:spacing w:before="69" w:line="240" w:lineRule="auto"/>
              <w:ind w:right="-20"/>
              <w:jc w:val="left"/>
              <w:textAlignment w:val="auto"/>
              <w:rPr>
                <w:rFonts w:ascii="Times New Roman" w:hAnsi="Times New Roman"/>
              </w:rPr>
            </w:pPr>
            <w:r w:rsidRPr="00537112">
              <w:rPr>
                <w:rFonts w:cs="Verdana"/>
                <w:sz w:val="20"/>
                <w:szCs w:val="20"/>
              </w:rPr>
              <w:t>5</w:t>
            </w:r>
            <w:r w:rsidRPr="00537112">
              <w:rPr>
                <w:rFonts w:cs="Verdana"/>
                <w:spacing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2B6D48F7" w14:textId="77777777" w:rsidR="00537112" w:rsidRPr="00537112" w:rsidRDefault="00537112" w:rsidP="00537112">
            <w:pPr>
              <w:autoSpaceDE w:val="0"/>
              <w:autoSpaceDN w:val="0"/>
              <w:spacing w:before="69" w:line="240" w:lineRule="auto"/>
              <w:ind w:right="-20"/>
              <w:jc w:val="left"/>
              <w:textAlignment w:val="auto"/>
              <w:rPr>
                <w:rFonts w:ascii="Times New Roman" w:hAnsi="Times New Roman"/>
              </w:rPr>
            </w:pPr>
            <w:r w:rsidRPr="00537112">
              <w:rPr>
                <w:rFonts w:cs="Verdana"/>
                <w:spacing w:val="-1"/>
                <w:sz w:val="20"/>
                <w:szCs w:val="20"/>
              </w:rPr>
              <w:t>L</w:t>
            </w:r>
            <w:r w:rsidRPr="00537112">
              <w:rPr>
                <w:rFonts w:cs="Verdana"/>
                <w:spacing w:val="1"/>
                <w:sz w:val="20"/>
                <w:szCs w:val="20"/>
              </w:rPr>
              <w:t>u</w:t>
            </w:r>
            <w:r w:rsidRPr="00537112">
              <w:rPr>
                <w:rFonts w:cs="Verdana"/>
                <w:spacing w:val="3"/>
                <w:sz w:val="20"/>
                <w:szCs w:val="20"/>
              </w:rPr>
              <w:t>i</w:t>
            </w:r>
            <w:r w:rsidRPr="00537112">
              <w:rPr>
                <w:rFonts w:cs="Verdana"/>
                <w:sz w:val="20"/>
                <w:szCs w:val="20"/>
              </w:rPr>
              <w:t>s</w:t>
            </w:r>
            <w:r w:rsidRPr="00537112">
              <w:rPr>
                <w:rFonts w:cs="Verdana"/>
                <w:spacing w:val="-5"/>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r>
      <w:tr w:rsidR="00537112" w:rsidRPr="00537112" w14:paraId="7B1A825E" w14:textId="77777777" w:rsidTr="00630EEC">
        <w:trPr>
          <w:trHeight w:hRule="exact" w:val="348"/>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E630D7B"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19091BD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100</w:t>
            </w:r>
          </w:p>
        </w:tc>
        <w:tc>
          <w:tcPr>
            <w:tcW w:w="3958" w:type="dxa"/>
            <w:vMerge w:val="restart"/>
            <w:tcBorders>
              <w:top w:val="single" w:sz="8" w:space="0" w:color="000000"/>
              <w:left w:val="single" w:sz="8" w:space="0" w:color="000000"/>
              <w:bottom w:val="single" w:sz="8" w:space="0" w:color="000000"/>
              <w:right w:val="single" w:sz="8" w:space="0" w:color="000000"/>
            </w:tcBorders>
          </w:tcPr>
          <w:p w14:paraId="0D7D35F6"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178BDCB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3"/>
                <w:sz w:val="20"/>
                <w:szCs w:val="20"/>
              </w:rPr>
              <w:t>i</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B9EEA63"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z w:val="20"/>
                <w:szCs w:val="20"/>
              </w:rPr>
              <w:t>5</w:t>
            </w:r>
            <w:r w:rsidRPr="00537112">
              <w:rPr>
                <w:rFonts w:cs="Verdana"/>
                <w:spacing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4A92C19D"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m</w:t>
            </w:r>
            <w:r w:rsidRPr="00537112">
              <w:rPr>
                <w:rFonts w:cs="Verdana"/>
                <w:spacing w:val="3"/>
                <w:sz w:val="20"/>
                <w:szCs w:val="20"/>
              </w:rPr>
              <w:t>ili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r>
      <w:tr w:rsidR="00537112" w:rsidRPr="00537112" w14:paraId="36234C3F" w14:textId="77777777" w:rsidTr="00630EEC">
        <w:trPr>
          <w:trHeight w:hRule="exact" w:val="334"/>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308444A"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F309357"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5913CE1" w14:textId="77777777" w:rsidR="00537112" w:rsidRPr="00537112" w:rsidRDefault="00537112" w:rsidP="00537112">
            <w:pPr>
              <w:autoSpaceDE w:val="0"/>
              <w:autoSpaceDN w:val="0"/>
              <w:spacing w:before="33" w:line="240" w:lineRule="auto"/>
              <w:ind w:right="-20"/>
              <w:jc w:val="left"/>
              <w:textAlignment w:val="auto"/>
              <w:rPr>
                <w:rFonts w:ascii="Times New Roman" w:hAnsi="Times New Roman"/>
              </w:rPr>
            </w:pPr>
            <w:r w:rsidRPr="00537112">
              <w:rPr>
                <w:rFonts w:cs="Verdana"/>
                <w:sz w:val="20"/>
                <w:szCs w:val="20"/>
              </w:rPr>
              <w:t>5</w:t>
            </w:r>
            <w:r w:rsidRPr="00537112">
              <w:rPr>
                <w:rFonts w:cs="Verdana"/>
                <w:spacing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5FD9807E" w14:textId="77777777" w:rsidR="00537112" w:rsidRPr="00537112" w:rsidRDefault="00537112" w:rsidP="00537112">
            <w:pPr>
              <w:autoSpaceDE w:val="0"/>
              <w:autoSpaceDN w:val="0"/>
              <w:spacing w:before="33"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r>
    </w:tbl>
    <w:p w14:paraId="0330EB00"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06B417E0"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61D5EE3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049AA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9AEFFC9"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099792D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101</w:t>
            </w:r>
          </w:p>
        </w:tc>
        <w:tc>
          <w:tcPr>
            <w:tcW w:w="3958" w:type="dxa"/>
            <w:vMerge w:val="restart"/>
            <w:tcBorders>
              <w:top w:val="single" w:sz="8" w:space="0" w:color="000000"/>
              <w:left w:val="single" w:sz="8" w:space="0" w:color="000000"/>
              <w:bottom w:val="single" w:sz="8" w:space="0" w:color="000000"/>
              <w:right w:val="single" w:sz="8" w:space="0" w:color="000000"/>
            </w:tcBorders>
          </w:tcPr>
          <w:p w14:paraId="16EA281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011B5BB"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32758E9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t</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EB1D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70C572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position w:val="-1"/>
                <w:sz w:val="20"/>
                <w:szCs w:val="20"/>
              </w:rPr>
              <w:t>Paz</w:t>
            </w:r>
          </w:p>
        </w:tc>
      </w:tr>
      <w:tr w:rsidR="00537112" w:rsidRPr="00537112" w14:paraId="2EF4A77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71FCB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9D891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629F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269EA3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3948D6B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C890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B6571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C81E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01551D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45524CF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62E8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F6C31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C351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040EC2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148C7FB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1606E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B87E0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6B99E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2A081E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01D51B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D0BD51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9FB8044"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0749C8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102</w:t>
            </w:r>
          </w:p>
        </w:tc>
        <w:tc>
          <w:tcPr>
            <w:tcW w:w="3958" w:type="dxa"/>
            <w:vMerge w:val="restart"/>
            <w:tcBorders>
              <w:top w:val="single" w:sz="8" w:space="0" w:color="000000"/>
              <w:left w:val="single" w:sz="8" w:space="0" w:color="000000"/>
              <w:bottom w:val="single" w:sz="8" w:space="0" w:color="000000"/>
              <w:right w:val="single" w:sz="8" w:space="0" w:color="000000"/>
            </w:tcBorders>
          </w:tcPr>
          <w:p w14:paraId="54A5A93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25918A3"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5F1322D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pacing w:val="-1"/>
                <w:sz w:val="20"/>
                <w:szCs w:val="20"/>
              </w:rPr>
              <w:t>s</w:t>
            </w:r>
            <w:r w:rsidRPr="00537112">
              <w:rPr>
                <w:rFonts w:cs="Verdana"/>
                <w:spacing w:val="1"/>
                <w:sz w:val="20"/>
                <w:szCs w:val="20"/>
              </w:rPr>
              <w:t>t</w:t>
            </w:r>
            <w:r w:rsidRPr="00537112">
              <w:rPr>
                <w:rFonts w:cs="Verdana"/>
                <w:sz w:val="20"/>
                <w:szCs w:val="20"/>
              </w:rPr>
              <w:t>o</w:t>
            </w:r>
            <w:r w:rsidRPr="00537112">
              <w:rPr>
                <w:rFonts w:cs="Verdana"/>
                <w:spacing w:val="-7"/>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t</w:t>
            </w:r>
            <w:r w:rsidRPr="00537112">
              <w:rPr>
                <w:rFonts w:cs="Verdana"/>
                <w:sz w:val="20"/>
                <w:szCs w:val="20"/>
              </w:rPr>
              <w:t>á</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2D90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7AFABC78"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spacing w:val="1"/>
                <w:position w:val="-1"/>
                <w:sz w:val="20"/>
                <w:szCs w:val="20"/>
                <w:lang w:val="pt-BR"/>
              </w:rPr>
              <w:t>F</w:t>
            </w:r>
            <w:r w:rsidRPr="00537112">
              <w:rPr>
                <w:rFonts w:cs="Verdana"/>
                <w:spacing w:val="-1"/>
                <w:position w:val="-1"/>
                <w:sz w:val="20"/>
                <w:szCs w:val="20"/>
                <w:lang w:val="pt-BR"/>
              </w:rPr>
              <w:t>e</w:t>
            </w:r>
            <w:r w:rsidRPr="00537112">
              <w:rPr>
                <w:rFonts w:cs="Verdana"/>
                <w:spacing w:val="3"/>
                <w:position w:val="-1"/>
                <w:sz w:val="20"/>
                <w:szCs w:val="20"/>
                <w:lang w:val="pt-BR"/>
              </w:rPr>
              <w:t>li</w:t>
            </w:r>
            <w:r w:rsidRPr="00537112">
              <w:rPr>
                <w:rFonts w:cs="Verdana"/>
                <w:spacing w:val="1"/>
                <w:position w:val="-1"/>
                <w:sz w:val="20"/>
                <w:szCs w:val="20"/>
                <w:lang w:val="pt-BR"/>
              </w:rPr>
              <w:t>p</w:t>
            </w:r>
            <w:r w:rsidRPr="00537112">
              <w:rPr>
                <w:rFonts w:cs="Verdana"/>
                <w:position w:val="-1"/>
                <w:sz w:val="20"/>
                <w:szCs w:val="20"/>
                <w:lang w:val="pt-BR"/>
              </w:rPr>
              <w:t>a</w:t>
            </w:r>
            <w:r w:rsidRPr="00537112">
              <w:rPr>
                <w:rFonts w:cs="Verdana"/>
                <w:spacing w:val="-6"/>
                <w:position w:val="-1"/>
                <w:sz w:val="20"/>
                <w:szCs w:val="20"/>
                <w:lang w:val="pt-BR"/>
              </w:rPr>
              <w:t xml:space="preserve"> </w:t>
            </w:r>
            <w:r w:rsidRPr="00537112">
              <w:rPr>
                <w:rFonts w:cs="Verdana"/>
                <w:spacing w:val="1"/>
                <w:position w:val="-1"/>
                <w:sz w:val="20"/>
                <w:szCs w:val="20"/>
                <w:lang w:val="pt-BR"/>
              </w:rPr>
              <w:t>Ju</w:t>
            </w:r>
            <w:r w:rsidRPr="00537112">
              <w:rPr>
                <w:rFonts w:cs="Verdana"/>
                <w:position w:val="-1"/>
                <w:sz w:val="20"/>
                <w:szCs w:val="20"/>
                <w:lang w:val="pt-BR"/>
              </w:rPr>
              <w:t>a</w:t>
            </w:r>
            <w:r w:rsidRPr="00537112">
              <w:rPr>
                <w:rFonts w:cs="Verdana"/>
                <w:spacing w:val="-1"/>
                <w:position w:val="-1"/>
                <w:sz w:val="20"/>
                <w:szCs w:val="20"/>
                <w:lang w:val="pt-BR"/>
              </w:rPr>
              <w:t>re</w:t>
            </w:r>
            <w:r w:rsidRPr="00537112">
              <w:rPr>
                <w:rFonts w:cs="Verdana"/>
                <w:position w:val="-1"/>
                <w:sz w:val="20"/>
                <w:szCs w:val="20"/>
                <w:lang w:val="pt-BR"/>
              </w:rPr>
              <w:t>z</w:t>
            </w:r>
            <w:r w:rsidRPr="00537112">
              <w:rPr>
                <w:rFonts w:cs="Verdana"/>
                <w:spacing w:val="-6"/>
                <w:position w:val="-1"/>
                <w:sz w:val="20"/>
                <w:szCs w:val="20"/>
                <w:lang w:val="pt-BR"/>
              </w:rPr>
              <w:t xml:space="preserve"> </w:t>
            </w:r>
            <w:r w:rsidRPr="00537112">
              <w:rPr>
                <w:rFonts w:cs="Verdana"/>
                <w:spacing w:val="-1"/>
                <w:position w:val="-1"/>
                <w:sz w:val="20"/>
                <w:szCs w:val="20"/>
                <w:lang w:val="pt-BR"/>
              </w:rPr>
              <w:t>Lo</w:t>
            </w:r>
            <w:r w:rsidRPr="00537112">
              <w:rPr>
                <w:rFonts w:cs="Verdana"/>
                <w:spacing w:val="1"/>
                <w:position w:val="-1"/>
                <w:sz w:val="20"/>
                <w:szCs w:val="20"/>
                <w:lang w:val="pt-BR"/>
              </w:rPr>
              <w:t>p</w:t>
            </w:r>
            <w:r w:rsidRPr="00537112">
              <w:rPr>
                <w:rFonts w:cs="Verdana"/>
                <w:spacing w:val="-1"/>
                <w:position w:val="-1"/>
                <w:sz w:val="20"/>
                <w:szCs w:val="20"/>
                <w:lang w:val="pt-BR"/>
              </w:rPr>
              <w:t>e</w:t>
            </w:r>
            <w:r w:rsidRPr="00537112">
              <w:rPr>
                <w:rFonts w:cs="Verdana"/>
                <w:position w:val="-1"/>
                <w:sz w:val="20"/>
                <w:szCs w:val="20"/>
                <w:lang w:val="pt-BR"/>
              </w:rPr>
              <w:t>z</w:t>
            </w:r>
            <w:r w:rsidRPr="00537112">
              <w:rPr>
                <w:rFonts w:cs="Verdana"/>
                <w:spacing w:val="-6"/>
                <w:position w:val="-1"/>
                <w:sz w:val="20"/>
                <w:szCs w:val="20"/>
                <w:lang w:val="pt-BR"/>
              </w:rPr>
              <w:t xml:space="preserve"> </w:t>
            </w:r>
            <w:r w:rsidRPr="00537112">
              <w:rPr>
                <w:rFonts w:cs="Verdana"/>
                <w:spacing w:val="1"/>
                <w:position w:val="-1"/>
                <w:sz w:val="20"/>
                <w:szCs w:val="20"/>
                <w:lang w:val="pt-BR"/>
              </w:rPr>
              <w:t>d</w:t>
            </w:r>
            <w:r w:rsidRPr="00537112">
              <w:rPr>
                <w:rFonts w:cs="Verdana"/>
                <w:position w:val="-1"/>
                <w:sz w:val="20"/>
                <w:szCs w:val="20"/>
                <w:lang w:val="pt-BR"/>
              </w:rPr>
              <w:t>e</w:t>
            </w:r>
            <w:r w:rsidRPr="00537112">
              <w:rPr>
                <w:rFonts w:cs="Verdana"/>
                <w:spacing w:val="-4"/>
                <w:position w:val="-1"/>
                <w:sz w:val="20"/>
                <w:szCs w:val="20"/>
                <w:lang w:val="pt-BR"/>
              </w:rPr>
              <w:t xml:space="preserve"> </w:t>
            </w:r>
            <w:r w:rsidRPr="00537112">
              <w:rPr>
                <w:rFonts w:cs="Verdana"/>
                <w:position w:val="-1"/>
                <w:sz w:val="20"/>
                <w:szCs w:val="20"/>
                <w:lang w:val="pt-BR"/>
              </w:rPr>
              <w:t>Ma</w:t>
            </w:r>
            <w:r w:rsidRPr="00537112">
              <w:rPr>
                <w:rFonts w:cs="Verdana"/>
                <w:spacing w:val="1"/>
                <w:position w:val="-1"/>
                <w:sz w:val="20"/>
                <w:szCs w:val="20"/>
                <w:lang w:val="pt-BR"/>
              </w:rPr>
              <w:t>nu</w:t>
            </w:r>
            <w:r w:rsidRPr="00537112">
              <w:rPr>
                <w:rFonts w:cs="Verdana"/>
                <w:spacing w:val="-1"/>
                <w:position w:val="-1"/>
                <w:sz w:val="20"/>
                <w:szCs w:val="20"/>
                <w:lang w:val="pt-BR"/>
              </w:rPr>
              <w:t>e</w:t>
            </w:r>
            <w:r w:rsidRPr="00537112">
              <w:rPr>
                <w:rFonts w:cs="Verdana"/>
                <w:position w:val="-1"/>
                <w:sz w:val="20"/>
                <w:szCs w:val="20"/>
                <w:lang w:val="pt-BR"/>
              </w:rPr>
              <w:t>l</w:t>
            </w:r>
          </w:p>
        </w:tc>
      </w:tr>
      <w:tr w:rsidR="00537112" w:rsidRPr="00537112" w14:paraId="2206DEC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D39DC8"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p>
        </w:tc>
        <w:tc>
          <w:tcPr>
            <w:tcW w:w="3958" w:type="dxa"/>
            <w:vMerge/>
            <w:tcBorders>
              <w:top w:val="single" w:sz="8" w:space="0" w:color="000000"/>
              <w:left w:val="single" w:sz="8" w:space="0" w:color="000000"/>
              <w:bottom w:val="single" w:sz="8" w:space="0" w:color="000000"/>
              <w:right w:val="single" w:sz="8" w:space="0" w:color="000000"/>
            </w:tcBorders>
          </w:tcPr>
          <w:p w14:paraId="7459017C"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9AD5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700244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26A557F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9CB3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296C6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3E3B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277DF8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4493A94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02C85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70014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92CE9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6AF498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41D8B41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D0F7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EAE48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2447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6DD93B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3EC604D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181B73D"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85F73A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0E5AFD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103</w:t>
            </w:r>
          </w:p>
        </w:tc>
        <w:tc>
          <w:tcPr>
            <w:tcW w:w="3958" w:type="dxa"/>
            <w:vMerge w:val="restart"/>
            <w:tcBorders>
              <w:top w:val="single" w:sz="8" w:space="0" w:color="000000"/>
              <w:left w:val="single" w:sz="8" w:space="0" w:color="000000"/>
              <w:bottom w:val="single" w:sz="8" w:space="0" w:color="000000"/>
              <w:right w:val="single" w:sz="8" w:space="0" w:color="000000"/>
            </w:tcBorders>
          </w:tcPr>
          <w:p w14:paraId="66982FA2"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7685A3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9595C7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w:t>
            </w:r>
            <w:r w:rsidRPr="00537112">
              <w:rPr>
                <w:rFonts w:cs="Verdana"/>
                <w:spacing w:val="1"/>
                <w:sz w:val="20"/>
                <w:szCs w:val="20"/>
              </w:rPr>
              <w:t>m</w:t>
            </w:r>
            <w:r w:rsidRPr="00537112">
              <w:rPr>
                <w:rFonts w:cs="Verdana"/>
                <w:sz w:val="20"/>
                <w:szCs w:val="20"/>
              </w:rPr>
              <w:t>as</w:t>
            </w:r>
            <w:r w:rsidRPr="00537112">
              <w:rPr>
                <w:rFonts w:cs="Verdana"/>
                <w:spacing w:val="-8"/>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3E6B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19B48E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r>
      <w:tr w:rsidR="00537112" w:rsidRPr="00537112" w14:paraId="03D7398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DB36B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7316E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5663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13461D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78AC000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C6A3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981B6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4BF5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4D05F5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spacing w:val="-1"/>
                <w:position w:val="-1"/>
                <w:sz w:val="20"/>
                <w:szCs w:val="20"/>
              </w:rPr>
              <w:t>se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3"/>
                <w:position w:val="-1"/>
                <w:sz w:val="20"/>
                <w:szCs w:val="20"/>
              </w:rPr>
              <w:t>l</w:t>
            </w:r>
            <w:r w:rsidRPr="00537112">
              <w:rPr>
                <w:rFonts w:cs="Verdana"/>
                <w:position w:val="-1"/>
                <w:sz w:val="20"/>
                <w:szCs w:val="20"/>
              </w:rPr>
              <w:t>a</w:t>
            </w:r>
            <w:r w:rsidRPr="00537112">
              <w:rPr>
                <w:rFonts w:cs="Verdana"/>
                <w:spacing w:val="-2"/>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27A8277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8988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C5790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650FC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5BE97E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3631E3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8FE9D9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AF0FE9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634150" w14:textId="77777777" w:rsidR="00537112" w:rsidRPr="00537112" w:rsidRDefault="00537112" w:rsidP="00537112">
            <w:pPr>
              <w:autoSpaceDE w:val="0"/>
              <w:autoSpaceDN w:val="0"/>
              <w:spacing w:before="4" w:line="200" w:lineRule="exact"/>
              <w:jc w:val="left"/>
              <w:textAlignment w:val="auto"/>
              <w:rPr>
                <w:rFonts w:ascii="Times New Roman" w:hAnsi="Times New Roman"/>
                <w:sz w:val="20"/>
                <w:szCs w:val="20"/>
              </w:rPr>
            </w:pPr>
          </w:p>
          <w:p w14:paraId="7CCD9A3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104</w:t>
            </w:r>
          </w:p>
        </w:tc>
        <w:tc>
          <w:tcPr>
            <w:tcW w:w="3958" w:type="dxa"/>
            <w:vMerge w:val="restart"/>
            <w:tcBorders>
              <w:top w:val="single" w:sz="8" w:space="0" w:color="000000"/>
              <w:left w:val="single" w:sz="8" w:space="0" w:color="000000"/>
              <w:bottom w:val="single" w:sz="8" w:space="0" w:color="000000"/>
              <w:right w:val="single" w:sz="8" w:space="0" w:color="000000"/>
            </w:tcBorders>
          </w:tcPr>
          <w:p w14:paraId="76A1148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9C767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978EEAC" w14:textId="77777777" w:rsidR="00537112" w:rsidRPr="00537112" w:rsidRDefault="00537112" w:rsidP="00537112">
            <w:pPr>
              <w:autoSpaceDE w:val="0"/>
              <w:autoSpaceDN w:val="0"/>
              <w:spacing w:before="4" w:line="200" w:lineRule="exact"/>
              <w:jc w:val="left"/>
              <w:textAlignment w:val="auto"/>
              <w:rPr>
                <w:rFonts w:ascii="Times New Roman" w:hAnsi="Times New Roman"/>
                <w:sz w:val="20"/>
                <w:szCs w:val="20"/>
              </w:rPr>
            </w:pPr>
          </w:p>
          <w:p w14:paraId="6F690E9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L</w:t>
            </w:r>
            <w:r w:rsidRPr="00537112">
              <w:rPr>
                <w:rFonts w:cs="Verdana"/>
                <w:spacing w:val="1"/>
                <w:sz w:val="20"/>
                <w:szCs w:val="20"/>
              </w:rPr>
              <w:t>u</w:t>
            </w:r>
            <w:r w:rsidRPr="00537112">
              <w:rPr>
                <w:rFonts w:cs="Verdana"/>
                <w:spacing w:val="3"/>
                <w:sz w:val="20"/>
                <w:szCs w:val="20"/>
              </w:rPr>
              <w:t>i</w:t>
            </w:r>
            <w:r w:rsidRPr="00537112">
              <w:rPr>
                <w:rFonts w:cs="Verdana"/>
                <w:sz w:val="20"/>
                <w:szCs w:val="20"/>
              </w:rPr>
              <w:t>s</w:t>
            </w:r>
            <w:r w:rsidRPr="00537112">
              <w:rPr>
                <w:rFonts w:cs="Verdana"/>
                <w:spacing w:val="-5"/>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z w:val="20"/>
                <w:szCs w:val="20"/>
              </w:rPr>
              <w:t>C</w:t>
            </w:r>
            <w:r w:rsidRPr="00537112">
              <w:rPr>
                <w:rFonts w:cs="Verdana"/>
                <w:spacing w:val="3"/>
                <w:sz w:val="20"/>
                <w:szCs w:val="20"/>
              </w:rPr>
              <w:t>i</w:t>
            </w:r>
            <w:r w:rsidRPr="00537112">
              <w:rPr>
                <w:rFonts w:cs="Verdana"/>
                <w:spacing w:val="1"/>
                <w:sz w:val="20"/>
                <w:szCs w:val="20"/>
              </w:rPr>
              <w:t>p</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C622D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4D6AC0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roc</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Ca</w:t>
            </w:r>
            <w:r w:rsidRPr="00537112">
              <w:rPr>
                <w:rFonts w:cs="Verdana"/>
                <w:spacing w:val="1"/>
                <w:position w:val="-1"/>
                <w:sz w:val="20"/>
                <w:szCs w:val="20"/>
              </w:rPr>
              <w:t>m</w:t>
            </w:r>
            <w:r w:rsidRPr="00537112">
              <w:rPr>
                <w:rFonts w:cs="Verdana"/>
                <w:position w:val="-1"/>
                <w:sz w:val="20"/>
                <w:szCs w:val="20"/>
              </w:rPr>
              <w:t>ó</w:t>
            </w:r>
          </w:p>
        </w:tc>
      </w:tr>
      <w:tr w:rsidR="00537112" w:rsidRPr="00537112" w14:paraId="2787219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8AB0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F9BF8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DA02D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750A4F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1D0FE803" w14:textId="77777777" w:rsidTr="00630EEC">
        <w:trPr>
          <w:trHeight w:hRule="exact" w:val="391"/>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20EB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7ED31E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1A0C509"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r w:rsidRPr="00537112">
              <w:rPr>
                <w:rFonts w:cs="Verdana"/>
                <w:sz w:val="20"/>
                <w:szCs w:val="20"/>
              </w:rPr>
              <w:t>5</w:t>
            </w:r>
            <w:r w:rsidRPr="00537112">
              <w:rPr>
                <w:rFonts w:cs="Verdana"/>
                <w:spacing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2FB3BABE"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m</w:t>
            </w:r>
            <w:r w:rsidRPr="00537112">
              <w:rPr>
                <w:rFonts w:cs="Verdana"/>
                <w:sz w:val="20"/>
                <w:szCs w:val="20"/>
              </w:rPr>
              <w:t>a</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r>
      <w:tr w:rsidR="00537112" w:rsidRPr="00537112" w14:paraId="47F08561" w14:textId="77777777" w:rsidTr="00630EEC">
        <w:trPr>
          <w:trHeight w:hRule="exact" w:val="610"/>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447E87"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CB6C6CE" w14:textId="77777777" w:rsidR="00537112" w:rsidRPr="00537112" w:rsidRDefault="00537112" w:rsidP="00537112">
            <w:pPr>
              <w:autoSpaceDE w:val="0"/>
              <w:autoSpaceDN w:val="0"/>
              <w:spacing w:before="62"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F5846E" w14:textId="77777777" w:rsidR="00537112" w:rsidRPr="00537112" w:rsidRDefault="00537112" w:rsidP="00537112">
            <w:pPr>
              <w:autoSpaceDE w:val="0"/>
              <w:autoSpaceDN w:val="0"/>
              <w:spacing w:before="2" w:line="170" w:lineRule="exact"/>
              <w:jc w:val="left"/>
              <w:textAlignment w:val="auto"/>
              <w:rPr>
                <w:rFonts w:ascii="Times New Roman" w:hAnsi="Times New Roman"/>
                <w:sz w:val="17"/>
                <w:szCs w:val="17"/>
              </w:rPr>
            </w:pPr>
          </w:p>
          <w:p w14:paraId="17E667A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5</w:t>
            </w:r>
            <w:r w:rsidRPr="00537112">
              <w:rPr>
                <w:rFonts w:cs="Verdana"/>
                <w:spacing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7D221BAB" w14:textId="77777777" w:rsidR="00537112" w:rsidRPr="00537112" w:rsidRDefault="00537112" w:rsidP="00537112">
            <w:pPr>
              <w:autoSpaceDE w:val="0"/>
              <w:autoSpaceDN w:val="0"/>
              <w:spacing w:before="2" w:line="170" w:lineRule="exact"/>
              <w:jc w:val="left"/>
              <w:textAlignment w:val="auto"/>
              <w:rPr>
                <w:rFonts w:ascii="Times New Roman" w:hAnsi="Times New Roman"/>
                <w:sz w:val="17"/>
                <w:szCs w:val="17"/>
              </w:rPr>
            </w:pPr>
          </w:p>
          <w:p w14:paraId="208C785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7"/>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r>
      <w:tr w:rsidR="00537112" w:rsidRPr="00537112" w14:paraId="1592973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139BECA"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4F59427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E56DB0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51D0CD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68316A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E0A0B5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105</w:t>
            </w:r>
          </w:p>
        </w:tc>
        <w:tc>
          <w:tcPr>
            <w:tcW w:w="3958" w:type="dxa"/>
            <w:vMerge w:val="restart"/>
            <w:tcBorders>
              <w:top w:val="single" w:sz="8" w:space="0" w:color="000000"/>
              <w:left w:val="single" w:sz="8" w:space="0" w:color="000000"/>
              <w:bottom w:val="single" w:sz="8" w:space="0" w:color="000000"/>
              <w:right w:val="single" w:sz="8" w:space="0" w:color="000000"/>
            </w:tcBorders>
          </w:tcPr>
          <w:p w14:paraId="62620BA7"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6665FA0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135E21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30713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C7510F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219C65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er</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13"/>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DA47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5DE782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F7C99B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C00C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AD27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D51E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34F67F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O</w:t>
            </w:r>
            <w:r w:rsidRPr="00537112">
              <w:rPr>
                <w:rFonts w:cs="Verdana"/>
                <w:spacing w:val="1"/>
                <w:position w:val="-1"/>
                <w:sz w:val="20"/>
                <w:szCs w:val="20"/>
              </w:rPr>
              <w:t>j</w:t>
            </w:r>
            <w:r w:rsidRPr="00537112">
              <w:rPr>
                <w:rFonts w:cs="Verdana"/>
                <w:spacing w:val="-1"/>
                <w:position w:val="-1"/>
                <w:sz w:val="20"/>
                <w:szCs w:val="20"/>
              </w:rPr>
              <w:t>ó</w:t>
            </w:r>
            <w:r w:rsidRPr="00537112">
              <w:rPr>
                <w:rFonts w:cs="Verdana"/>
                <w:position w:val="-1"/>
                <w:sz w:val="20"/>
                <w:szCs w:val="20"/>
              </w:rPr>
              <w:t>m</w:t>
            </w:r>
          </w:p>
        </w:tc>
      </w:tr>
      <w:tr w:rsidR="00537112" w:rsidRPr="00537112" w14:paraId="4855DC8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219E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6C3D3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A177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5A63F9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12C4197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FB31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F9FC2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EEB2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7632B7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68A0ECD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109F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0BA31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20E4C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7991C7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3"/>
                <w:position w:val="-1"/>
                <w:sz w:val="20"/>
                <w:szCs w:val="20"/>
              </w:rPr>
              <w:t>l</w:t>
            </w:r>
            <w:r w:rsidRPr="00537112">
              <w:rPr>
                <w:rFonts w:cs="Verdana"/>
                <w:position w:val="-1"/>
                <w:sz w:val="20"/>
                <w:szCs w:val="20"/>
              </w:rPr>
              <w:t>a</w:t>
            </w:r>
            <w:r w:rsidRPr="00537112">
              <w:rPr>
                <w:rFonts w:cs="Verdana"/>
                <w:spacing w:val="-2"/>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3B955F5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AB78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D39E8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8F59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33576A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56CC294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C7676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7A813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FEDC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3D6B41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61228AB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158C4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57F69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3F50B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5AB4B2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6A55A52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3113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6C9FB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CE91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08A984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790F936C"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AE350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035B95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814306C"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499275B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106</w:t>
            </w:r>
          </w:p>
        </w:tc>
        <w:tc>
          <w:tcPr>
            <w:tcW w:w="3958" w:type="dxa"/>
            <w:vMerge w:val="restart"/>
            <w:tcBorders>
              <w:top w:val="single" w:sz="8" w:space="0" w:color="000000"/>
              <w:left w:val="single" w:sz="8" w:space="0" w:color="000000"/>
              <w:bottom w:val="single" w:sz="8" w:space="0" w:color="000000"/>
              <w:right w:val="single" w:sz="8" w:space="0" w:color="000000"/>
            </w:tcBorders>
          </w:tcPr>
          <w:p w14:paraId="12BA456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F0506B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EDF57D9"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6939F09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u</w:t>
            </w:r>
            <w:r w:rsidRPr="00537112">
              <w:rPr>
                <w:rFonts w:cs="Verdana"/>
                <w:sz w:val="20"/>
                <w:szCs w:val="20"/>
              </w:rPr>
              <w:t>x</w:t>
            </w:r>
            <w:r w:rsidRPr="00537112">
              <w:rPr>
                <w:rFonts w:cs="Verdana"/>
                <w:spacing w:val="1"/>
                <w:sz w:val="20"/>
                <w:szCs w:val="20"/>
              </w:rPr>
              <w:t>ú</w:t>
            </w:r>
            <w:r w:rsidRPr="00537112">
              <w:rPr>
                <w:rFonts w:cs="Verdana"/>
                <w:sz w:val="20"/>
                <w:szCs w:val="20"/>
              </w:rPr>
              <w:t>m</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ED03C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45B984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29A60378"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978C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1F4C9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EB1719"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5</w:t>
            </w:r>
            <w:r w:rsidRPr="00537112">
              <w:rPr>
                <w:rFonts w:cs="Verdana"/>
                <w:spacing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23E1D49B"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osef</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S</w:t>
            </w:r>
            <w:r w:rsidRPr="00537112">
              <w:rPr>
                <w:rFonts w:cs="Verdana"/>
                <w:spacing w:val="3"/>
                <w:sz w:val="20"/>
                <w:szCs w:val="20"/>
              </w:rPr>
              <w:t>í</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S</w:t>
            </w:r>
            <w:r w:rsidRPr="00537112">
              <w:rPr>
                <w:rFonts w:cs="Verdana"/>
                <w:spacing w:val="3"/>
                <w:sz w:val="20"/>
                <w:szCs w:val="20"/>
              </w:rPr>
              <w:t>í</w:t>
            </w:r>
            <w:r w:rsidRPr="00537112">
              <w:rPr>
                <w:rFonts w:cs="Verdana"/>
                <w:sz w:val="20"/>
                <w:szCs w:val="20"/>
              </w:rPr>
              <w:t>c</w:t>
            </w:r>
          </w:p>
        </w:tc>
      </w:tr>
      <w:tr w:rsidR="00537112" w:rsidRPr="00537112" w14:paraId="6770160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0DFDF2B"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8166E4"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A54EC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76FD1D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6524FD7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20919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22333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B7B17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1C50DC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734111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71C9D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FC353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368F3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6C5941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97057E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38178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8FA8C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DD4A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4A805C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3766EF6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E9FB56"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1C5BDCB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B2F6DD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949EC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107</w:t>
            </w:r>
          </w:p>
        </w:tc>
        <w:tc>
          <w:tcPr>
            <w:tcW w:w="3958" w:type="dxa"/>
            <w:vMerge w:val="restart"/>
            <w:tcBorders>
              <w:top w:val="single" w:sz="8" w:space="0" w:color="000000"/>
              <w:left w:val="single" w:sz="8" w:space="0" w:color="000000"/>
              <w:bottom w:val="single" w:sz="8" w:space="0" w:color="000000"/>
              <w:right w:val="single" w:sz="8" w:space="0" w:color="000000"/>
            </w:tcBorders>
          </w:tcPr>
          <w:p w14:paraId="219C0672"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79B0083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1375C9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3E946B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é</w:t>
            </w:r>
            <w:r w:rsidRPr="00537112">
              <w:rPr>
                <w:rFonts w:cs="Verdana"/>
                <w:spacing w:val="3"/>
                <w:sz w:val="20"/>
                <w:szCs w:val="20"/>
              </w:rPr>
              <w:t>li</w:t>
            </w:r>
            <w:r w:rsidRPr="00537112">
              <w:rPr>
                <w:rFonts w:cs="Verdana"/>
                <w:sz w:val="20"/>
                <w:szCs w:val="20"/>
              </w:rPr>
              <w:t>x</w:t>
            </w:r>
            <w:r w:rsidRPr="00537112">
              <w:rPr>
                <w:rFonts w:cs="Verdana"/>
                <w:spacing w:val="-6"/>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4A6CD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5D3E3A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21D315F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FC59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083D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389F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084D8A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x</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48B62E2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9FDAA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7827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8579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728DE5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09B20E0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15AD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AA9AE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A9DB7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1F89EF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fo</w:t>
            </w:r>
            <w:r w:rsidRPr="00537112">
              <w:rPr>
                <w:rFonts w:cs="Verdana"/>
                <w:spacing w:val="1"/>
                <w:position w:val="-1"/>
                <w:sz w:val="20"/>
                <w:szCs w:val="20"/>
              </w:rPr>
              <w:t>n</w:t>
            </w:r>
            <w:r w:rsidRPr="00537112">
              <w:rPr>
                <w:rFonts w:cs="Verdana"/>
                <w:spacing w:val="-1"/>
                <w:position w:val="-1"/>
                <w:sz w:val="20"/>
                <w:szCs w:val="20"/>
              </w:rPr>
              <w:t>s</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5EFCAD9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ED0BA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884DF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7DD2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21FC16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3AC0F90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9DA1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03B25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8275B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38DE14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4508FDE8"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81F2E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108</w:t>
            </w:r>
          </w:p>
        </w:tc>
        <w:tc>
          <w:tcPr>
            <w:tcW w:w="3958" w:type="dxa"/>
            <w:tcBorders>
              <w:top w:val="single" w:sz="8" w:space="0" w:color="000000"/>
              <w:left w:val="single" w:sz="8" w:space="0" w:color="000000"/>
              <w:bottom w:val="single" w:sz="8" w:space="0" w:color="000000"/>
              <w:right w:val="single" w:sz="8" w:space="0" w:color="000000"/>
            </w:tcBorders>
          </w:tcPr>
          <w:p w14:paraId="7F4603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w:t>
            </w:r>
            <w:r w:rsidRPr="00537112">
              <w:rPr>
                <w:rFonts w:cs="Verdana"/>
                <w:position w:val="-1"/>
                <w:sz w:val="20"/>
                <w:szCs w:val="20"/>
              </w:rPr>
              <w:t>e</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án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12DC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3AAE1FDC"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o</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ng</w:t>
            </w:r>
            <w:r w:rsidRPr="00537112">
              <w:rPr>
                <w:rFonts w:cs="Verdana"/>
                <w:sz w:val="20"/>
                <w:szCs w:val="20"/>
              </w:rPr>
              <w:t>a</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3"/>
                <w:sz w:val="20"/>
                <w:szCs w:val="20"/>
              </w:rPr>
              <w:t>i</w:t>
            </w:r>
            <w:r w:rsidRPr="00537112">
              <w:rPr>
                <w:rFonts w:cs="Verdana"/>
                <w:spacing w:val="1"/>
                <w:sz w:val="20"/>
                <w:szCs w:val="20"/>
              </w:rPr>
              <w:t>n</w:t>
            </w:r>
            <w:r w:rsidRPr="00537112">
              <w:rPr>
                <w:rFonts w:cs="Verdana"/>
                <w:spacing w:val="-1"/>
                <w:sz w:val="20"/>
                <w:szCs w:val="20"/>
              </w:rPr>
              <w:t>c</w:t>
            </w:r>
            <w:r w:rsidRPr="00537112">
              <w:rPr>
                <w:rFonts w:cs="Verdana"/>
                <w:spacing w:val="1"/>
                <w:sz w:val="20"/>
                <w:szCs w:val="20"/>
              </w:rPr>
              <w:t>h</w:t>
            </w:r>
            <w:r w:rsidRPr="00537112">
              <w:rPr>
                <w:rFonts w:cs="Verdana"/>
                <w:spacing w:val="3"/>
                <w:sz w:val="20"/>
                <w:szCs w:val="20"/>
              </w:rPr>
              <w:t>ill</w:t>
            </w:r>
            <w:r w:rsidRPr="00537112">
              <w:rPr>
                <w:rFonts w:cs="Verdana"/>
                <w:sz w:val="20"/>
                <w:szCs w:val="20"/>
              </w:rPr>
              <w:t>a</w:t>
            </w:r>
            <w:r w:rsidRPr="00537112">
              <w:rPr>
                <w:rFonts w:cs="Verdana"/>
                <w:spacing w:val="-10"/>
                <w:sz w:val="20"/>
                <w:szCs w:val="20"/>
              </w:rPr>
              <w:t xml:space="preserve"> </w:t>
            </w:r>
            <w:r w:rsidRPr="00537112">
              <w:rPr>
                <w:rFonts w:cs="Verdana"/>
                <w:sz w:val="20"/>
                <w:szCs w:val="20"/>
              </w:rPr>
              <w:t>Pa</w:t>
            </w:r>
            <w:r w:rsidRPr="00537112">
              <w:rPr>
                <w:rFonts w:cs="Verdana"/>
                <w:spacing w:val="-1"/>
                <w:sz w:val="20"/>
                <w:szCs w:val="20"/>
              </w:rPr>
              <w:t>re</w:t>
            </w:r>
            <w:r w:rsidRPr="00537112">
              <w:rPr>
                <w:rFonts w:cs="Verdana"/>
                <w:spacing w:val="1"/>
                <w:sz w:val="20"/>
                <w:szCs w:val="20"/>
              </w:rPr>
              <w:t>d</w:t>
            </w:r>
            <w:r w:rsidRPr="00537112">
              <w:rPr>
                <w:rFonts w:cs="Verdana"/>
                <w:spacing w:val="-1"/>
                <w:sz w:val="20"/>
                <w:szCs w:val="20"/>
              </w:rPr>
              <w:t>e</w:t>
            </w:r>
            <w:r w:rsidRPr="00537112">
              <w:rPr>
                <w:rFonts w:cs="Verdana"/>
                <w:sz w:val="20"/>
                <w:szCs w:val="20"/>
              </w:rPr>
              <w:t>s</w:t>
            </w:r>
          </w:p>
        </w:tc>
      </w:tr>
      <w:tr w:rsidR="00537112" w:rsidRPr="00537112" w14:paraId="25730E0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0195F6"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28E2A85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A606D9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109</w:t>
            </w:r>
          </w:p>
        </w:tc>
        <w:tc>
          <w:tcPr>
            <w:tcW w:w="3958" w:type="dxa"/>
            <w:vMerge w:val="restart"/>
            <w:tcBorders>
              <w:top w:val="single" w:sz="8" w:space="0" w:color="000000"/>
              <w:left w:val="single" w:sz="8" w:space="0" w:color="000000"/>
              <w:bottom w:val="single" w:sz="8" w:space="0" w:color="000000"/>
              <w:right w:val="single" w:sz="8" w:space="0" w:color="000000"/>
            </w:tcBorders>
          </w:tcPr>
          <w:p w14:paraId="00581F5C"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FB7AB1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42A902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or</w:t>
            </w:r>
            <w:r w:rsidRPr="00537112">
              <w:rPr>
                <w:rFonts w:cs="Verdana"/>
                <w:spacing w:val="3"/>
                <w:sz w:val="20"/>
                <w:szCs w:val="20"/>
              </w:rPr>
              <w:t>i</w:t>
            </w:r>
            <w:r w:rsidRPr="00537112">
              <w:rPr>
                <w:rFonts w:cs="Verdana"/>
                <w:spacing w:val="1"/>
                <w:sz w:val="20"/>
                <w:szCs w:val="20"/>
              </w:rPr>
              <w:t>b</w:t>
            </w:r>
            <w:r w:rsidRPr="00537112">
              <w:rPr>
                <w:rFonts w:cs="Verdana"/>
                <w:spacing w:val="3"/>
                <w:sz w:val="20"/>
                <w:szCs w:val="20"/>
              </w:rPr>
              <w:t>i</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EA17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528A79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u</w:t>
            </w:r>
            <w:r w:rsidRPr="00537112">
              <w:rPr>
                <w:rFonts w:cs="Verdana"/>
                <w:position w:val="-1"/>
                <w:sz w:val="20"/>
                <w:szCs w:val="20"/>
              </w:rPr>
              <w:t>s</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O</w:t>
            </w:r>
            <w:r w:rsidRPr="00537112">
              <w:rPr>
                <w:rFonts w:cs="Verdana"/>
                <w:spacing w:val="1"/>
                <w:position w:val="-1"/>
                <w:sz w:val="20"/>
                <w:szCs w:val="20"/>
              </w:rPr>
              <w:t>j</w:t>
            </w:r>
            <w:r w:rsidRPr="00537112">
              <w:rPr>
                <w:rFonts w:cs="Verdana"/>
                <w:spacing w:val="-1"/>
                <w:position w:val="-1"/>
                <w:sz w:val="20"/>
                <w:szCs w:val="20"/>
              </w:rPr>
              <w:t>ó</w:t>
            </w:r>
            <w:r w:rsidRPr="00537112">
              <w:rPr>
                <w:rFonts w:cs="Verdana"/>
                <w:position w:val="-1"/>
                <w:sz w:val="20"/>
                <w:szCs w:val="20"/>
              </w:rPr>
              <w:t>m</w:t>
            </w:r>
          </w:p>
        </w:tc>
      </w:tr>
      <w:tr w:rsidR="00537112" w:rsidRPr="00537112" w14:paraId="0207C2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EEC3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7D355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17FEB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136AC4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Max</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2996FAF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ECB83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09228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2951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66175E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27CC33C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26CE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BD8EF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73AC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1CBD5E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69AC41E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FEAB32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9E7CDE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CD34F5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110</w:t>
            </w:r>
          </w:p>
        </w:tc>
        <w:tc>
          <w:tcPr>
            <w:tcW w:w="3958" w:type="dxa"/>
            <w:vMerge w:val="restart"/>
            <w:tcBorders>
              <w:top w:val="single" w:sz="8" w:space="0" w:color="000000"/>
              <w:left w:val="single" w:sz="8" w:space="0" w:color="000000"/>
              <w:bottom w:val="single" w:sz="8" w:space="0" w:color="000000"/>
              <w:right w:val="single" w:sz="8" w:space="0" w:color="000000"/>
            </w:tcBorders>
          </w:tcPr>
          <w:p w14:paraId="3196B0F1"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7D0ED13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C7CDF4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w:t>
            </w:r>
            <w:r w:rsidRPr="00537112">
              <w:rPr>
                <w:rFonts w:cs="Verdana"/>
                <w:spacing w:val="3"/>
                <w:sz w:val="20"/>
                <w:szCs w:val="20"/>
              </w:rPr>
              <w:t>i</w:t>
            </w:r>
            <w:r w:rsidRPr="00537112">
              <w:rPr>
                <w:rFonts w:cs="Verdana"/>
                <w:spacing w:val="1"/>
                <w:sz w:val="20"/>
                <w:szCs w:val="20"/>
              </w:rPr>
              <w:t>gu</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Osor</w:t>
            </w:r>
            <w:r w:rsidRPr="00537112">
              <w:rPr>
                <w:rFonts w:cs="Verdana"/>
                <w:spacing w:val="3"/>
                <w:sz w:val="20"/>
                <w:szCs w:val="20"/>
              </w:rPr>
              <w:t>io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8E9E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0372E4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w:t>
            </w:r>
            <w:r w:rsidRPr="00537112">
              <w:rPr>
                <w:rFonts w:cs="Verdana"/>
                <w:position w:val="-1"/>
                <w:sz w:val="20"/>
                <w:szCs w:val="20"/>
              </w:rPr>
              <w:t>l</w:t>
            </w:r>
          </w:p>
        </w:tc>
      </w:tr>
      <w:tr w:rsidR="00537112" w:rsidRPr="00537112" w14:paraId="780F9DA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68E0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28062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3D99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002A76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6067002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1F00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26812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9310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1DF879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33F9528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7CAF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6006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F2EB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744FC9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4419E1D6" w14:textId="77777777" w:rsidTr="00630EEC">
        <w:trPr>
          <w:trHeight w:hRule="exact" w:val="247"/>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7EE107E5"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3958" w:type="dxa"/>
            <w:vMerge w:val="restart"/>
            <w:tcBorders>
              <w:top w:val="single" w:sz="8" w:space="0" w:color="000000"/>
              <w:left w:val="single" w:sz="8" w:space="0" w:color="000000"/>
              <w:bottom w:val="nil"/>
              <w:right w:val="single" w:sz="8" w:space="0" w:color="000000"/>
            </w:tcBorders>
          </w:tcPr>
          <w:p w14:paraId="19F8D521"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150D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14A2C9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z</w:t>
            </w:r>
          </w:p>
        </w:tc>
      </w:tr>
      <w:tr w:rsidR="00537112" w:rsidRPr="00537112" w14:paraId="03586538"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2FF9A5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174F53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933F5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395816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1"/>
                <w:position w:val="-1"/>
                <w:sz w:val="20"/>
                <w:szCs w:val="20"/>
              </w:rPr>
              <w:t>d</w:t>
            </w:r>
            <w:r w:rsidRPr="00537112">
              <w:rPr>
                <w:rFonts w:cs="Verdana"/>
                <w:position w:val="-1"/>
                <w:sz w:val="20"/>
                <w:szCs w:val="20"/>
              </w:rPr>
              <w:t>ad</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74115E16"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712FBB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4F43C8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6E4A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0037B4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7CD9C54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9535D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6E348C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ED73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607829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Agu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bl>
    <w:p w14:paraId="497366ED"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6B407C6B"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02DE4205" w14:textId="77777777" w:rsidTr="00630EEC">
        <w:trPr>
          <w:trHeight w:hRule="exact" w:val="247"/>
        </w:trPr>
        <w:tc>
          <w:tcPr>
            <w:tcW w:w="977" w:type="dxa"/>
            <w:vMerge w:val="restart"/>
            <w:tcBorders>
              <w:top w:val="nil"/>
              <w:left w:val="single" w:sz="8" w:space="0" w:color="000000"/>
              <w:bottom w:val="single" w:sz="8" w:space="0" w:color="000000"/>
              <w:right w:val="single" w:sz="8" w:space="0" w:color="000000"/>
            </w:tcBorders>
            <w:shd w:val="clear" w:color="auto" w:fill="BFBFBF" w:themeFill="background1" w:themeFillShade="BF"/>
          </w:tcPr>
          <w:p w14:paraId="23F20B69" w14:textId="77777777" w:rsidR="00537112" w:rsidRPr="00537112" w:rsidRDefault="00537112" w:rsidP="00537112">
            <w:pPr>
              <w:autoSpaceDE w:val="0"/>
              <w:autoSpaceDN w:val="0"/>
              <w:spacing w:line="234" w:lineRule="exact"/>
              <w:ind w:right="-20"/>
              <w:jc w:val="left"/>
              <w:textAlignment w:val="auto"/>
              <w:rPr>
                <w:rFonts w:ascii="Times New Roman" w:hAnsi="Times New Roman"/>
              </w:rPr>
            </w:pPr>
            <w:r w:rsidRPr="00537112">
              <w:rPr>
                <w:rFonts w:cs="Verdana"/>
                <w:b/>
                <w:bCs/>
                <w:sz w:val="20"/>
                <w:szCs w:val="20"/>
              </w:rPr>
              <w:t>111</w:t>
            </w:r>
          </w:p>
        </w:tc>
        <w:tc>
          <w:tcPr>
            <w:tcW w:w="3958" w:type="dxa"/>
            <w:vMerge w:val="restart"/>
            <w:tcBorders>
              <w:top w:val="nil"/>
              <w:left w:val="single" w:sz="8" w:space="0" w:color="000000"/>
              <w:bottom w:val="single" w:sz="8" w:space="0" w:color="000000"/>
              <w:right w:val="single" w:sz="8" w:space="0" w:color="000000"/>
            </w:tcBorders>
          </w:tcPr>
          <w:p w14:paraId="17AC7C69" w14:textId="77777777" w:rsidR="00537112" w:rsidRPr="00537112" w:rsidRDefault="00537112" w:rsidP="00537112">
            <w:pPr>
              <w:autoSpaceDE w:val="0"/>
              <w:autoSpaceDN w:val="0"/>
              <w:spacing w:line="234" w:lineRule="exact"/>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2D83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201FE6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464FBCA8"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239763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01CD38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1039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3E6F13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w:t>
            </w:r>
            <w:r w:rsidRPr="00537112">
              <w:rPr>
                <w:rFonts w:cs="Verdana"/>
                <w:spacing w:val="3"/>
                <w:position w:val="-1"/>
                <w:sz w:val="20"/>
                <w:szCs w:val="20"/>
              </w:rPr>
              <w:t>l</w:t>
            </w:r>
            <w:r w:rsidRPr="00537112">
              <w:rPr>
                <w:rFonts w:cs="Verdana"/>
                <w:spacing w:val="-1"/>
                <w:position w:val="-1"/>
                <w:sz w:val="20"/>
                <w:szCs w:val="20"/>
              </w:rPr>
              <w:t>c</w:t>
            </w:r>
            <w:r w:rsidRPr="00537112">
              <w:rPr>
                <w:rFonts w:cs="Verdana"/>
                <w:spacing w:val="3"/>
                <w:position w:val="-1"/>
                <w:sz w:val="20"/>
                <w:szCs w:val="20"/>
              </w:rPr>
              <w:t>ili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1CCEB0FA"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7C055E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7500D2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A78A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2571E0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1"/>
                <w:position w:val="-1"/>
                <w:sz w:val="20"/>
                <w:szCs w:val="20"/>
              </w:rPr>
              <w:t>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7845B552"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406828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76DC4F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CD83E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0ED764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0E9A7FAE"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254A03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237DB0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EE54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7D3252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u</w:t>
            </w:r>
            <w:r w:rsidRPr="00537112">
              <w:rPr>
                <w:rFonts w:cs="Verdana"/>
                <w:position w:val="-1"/>
                <w:sz w:val="20"/>
                <w:szCs w:val="20"/>
              </w:rPr>
              <w:t>s</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352C0A9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820FEF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4E231E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4A0710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112</w:t>
            </w:r>
          </w:p>
        </w:tc>
        <w:tc>
          <w:tcPr>
            <w:tcW w:w="3958" w:type="dxa"/>
            <w:vMerge w:val="restart"/>
            <w:tcBorders>
              <w:top w:val="single" w:sz="8" w:space="0" w:color="000000"/>
              <w:left w:val="single" w:sz="8" w:space="0" w:color="000000"/>
              <w:bottom w:val="single" w:sz="8" w:space="0" w:color="000000"/>
              <w:right w:val="single" w:sz="8" w:space="0" w:color="000000"/>
            </w:tcBorders>
          </w:tcPr>
          <w:p w14:paraId="4A1C459F"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9A7D42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683C65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u</w:t>
            </w:r>
            <w:r w:rsidRPr="00537112">
              <w:rPr>
                <w:rFonts w:cs="Verdana"/>
                <w:spacing w:val="-1"/>
                <w:sz w:val="20"/>
                <w:szCs w:val="20"/>
              </w:rPr>
              <w:t>e</w:t>
            </w:r>
            <w:r w:rsidRPr="00537112">
              <w:rPr>
                <w:rFonts w:cs="Verdana"/>
                <w:spacing w:val="1"/>
                <w:sz w:val="20"/>
                <w:szCs w:val="20"/>
              </w:rPr>
              <w:t>n</w:t>
            </w:r>
            <w:r w:rsidRPr="00537112">
              <w:rPr>
                <w:rFonts w:cs="Verdana"/>
                <w:sz w:val="20"/>
                <w:szCs w:val="20"/>
              </w:rPr>
              <w:t>av</w:t>
            </w:r>
            <w:r w:rsidRPr="00537112">
              <w:rPr>
                <w:rFonts w:cs="Verdana"/>
                <w:spacing w:val="-1"/>
                <w:sz w:val="20"/>
                <w:szCs w:val="20"/>
              </w:rPr>
              <w:t>e</w:t>
            </w:r>
            <w:r w:rsidRPr="00537112">
              <w:rPr>
                <w:rFonts w:cs="Verdana"/>
                <w:spacing w:val="1"/>
                <w:sz w:val="20"/>
                <w:szCs w:val="20"/>
              </w:rPr>
              <w:t>ntu</w:t>
            </w:r>
            <w:r w:rsidRPr="00537112">
              <w:rPr>
                <w:rFonts w:cs="Verdana"/>
                <w:spacing w:val="-1"/>
                <w:sz w:val="20"/>
                <w:szCs w:val="20"/>
              </w:rPr>
              <w:t>r</w:t>
            </w:r>
            <w:r w:rsidRPr="00537112">
              <w:rPr>
                <w:rFonts w:cs="Verdana"/>
                <w:sz w:val="20"/>
                <w:szCs w:val="20"/>
              </w:rPr>
              <w:t>a</w:t>
            </w:r>
            <w:r w:rsidRPr="00537112">
              <w:rPr>
                <w:rFonts w:cs="Verdana"/>
                <w:spacing w:val="-14"/>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z w:val="20"/>
                <w:szCs w:val="20"/>
              </w:rPr>
              <w:t>Ba</w:t>
            </w:r>
            <w:r w:rsidRPr="00537112">
              <w:rPr>
                <w:rFonts w:cs="Verdana"/>
                <w:spacing w:val="-1"/>
                <w:sz w:val="20"/>
                <w:szCs w:val="20"/>
              </w:rPr>
              <w:t>c</w:t>
            </w:r>
            <w:r w:rsidRPr="00537112">
              <w:rPr>
                <w:rFonts w:cs="Verdana"/>
                <w:spacing w:val="1"/>
                <w:sz w:val="20"/>
                <w:szCs w:val="20"/>
              </w:rPr>
              <w:t>h</w:t>
            </w:r>
            <w:r w:rsidRPr="00537112">
              <w:rPr>
                <w:rFonts w:cs="Verdana"/>
                <w:sz w:val="20"/>
                <w:szCs w:val="20"/>
              </w:rPr>
              <w:t>án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85E06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0A247F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0B3772B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59E30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0B841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C7B7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53D41B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u</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av</w:t>
            </w:r>
            <w:r w:rsidRPr="00537112">
              <w:rPr>
                <w:rFonts w:cs="Verdana"/>
                <w:spacing w:val="-1"/>
                <w:position w:val="-1"/>
                <w:sz w:val="20"/>
                <w:szCs w:val="20"/>
              </w:rPr>
              <w:t>e</w:t>
            </w:r>
            <w:r w:rsidRPr="00537112">
              <w:rPr>
                <w:rFonts w:cs="Verdana"/>
                <w:spacing w:val="1"/>
                <w:position w:val="-1"/>
                <w:sz w:val="20"/>
                <w:szCs w:val="20"/>
              </w:rPr>
              <w:t>ntu</w:t>
            </w:r>
            <w:r w:rsidRPr="00537112">
              <w:rPr>
                <w:rFonts w:cs="Verdana"/>
                <w:spacing w:val="-1"/>
                <w:position w:val="-1"/>
                <w:sz w:val="20"/>
                <w:szCs w:val="20"/>
              </w:rPr>
              <w:t>r</w:t>
            </w:r>
            <w:r w:rsidRPr="00537112">
              <w:rPr>
                <w:rFonts w:cs="Verdana"/>
                <w:position w:val="-1"/>
                <w:sz w:val="20"/>
                <w:szCs w:val="20"/>
              </w:rPr>
              <w:t>a</w:t>
            </w:r>
            <w:r w:rsidRPr="00537112">
              <w:rPr>
                <w:rFonts w:cs="Verdana"/>
                <w:spacing w:val="-14"/>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0CD8C6F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3915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DEB3D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4A3DE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2D901D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0CDD3BE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354EE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C3E70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25B77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2A11ED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5D15988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50B423"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191B6FA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113</w:t>
            </w:r>
          </w:p>
        </w:tc>
        <w:tc>
          <w:tcPr>
            <w:tcW w:w="3958" w:type="dxa"/>
            <w:vMerge w:val="restart"/>
            <w:tcBorders>
              <w:top w:val="single" w:sz="8" w:space="0" w:color="000000"/>
              <w:left w:val="single" w:sz="8" w:space="0" w:color="000000"/>
              <w:bottom w:val="single" w:sz="8" w:space="0" w:color="000000"/>
              <w:right w:val="single" w:sz="8" w:space="0" w:color="000000"/>
            </w:tcBorders>
          </w:tcPr>
          <w:p w14:paraId="4C97BB80"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7401092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1"/>
                <w:sz w:val="20"/>
                <w:szCs w:val="20"/>
              </w:rPr>
              <w:t>g</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t</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C9B7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63916D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Leo</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Herrera</w:t>
            </w:r>
          </w:p>
        </w:tc>
      </w:tr>
      <w:tr w:rsidR="00537112" w:rsidRPr="00537112" w14:paraId="5FF73DE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08A77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B1908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A5F84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0D6B14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2F6F8E2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0E45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D8162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A088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74AD17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sr</w:t>
            </w:r>
            <w:r w:rsidRPr="00537112">
              <w:rPr>
                <w:rFonts w:cs="Verdana"/>
                <w:position w:val="-1"/>
                <w:sz w:val="20"/>
                <w:szCs w:val="20"/>
              </w:rPr>
              <w:t>a</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h</w:t>
            </w:r>
            <w:r w:rsidRPr="00537112">
              <w:rPr>
                <w:rFonts w:cs="Verdana"/>
                <w:position w:val="-1"/>
                <w:sz w:val="20"/>
                <w:szCs w:val="20"/>
              </w:rPr>
              <w:t>í</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Herrera</w:t>
            </w:r>
          </w:p>
        </w:tc>
      </w:tr>
      <w:tr w:rsidR="00537112" w:rsidRPr="00537112" w14:paraId="055F1F93"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ADE102"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5A9DFE5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114</w:t>
            </w:r>
          </w:p>
        </w:tc>
        <w:tc>
          <w:tcPr>
            <w:tcW w:w="3958" w:type="dxa"/>
            <w:vMerge w:val="restart"/>
            <w:tcBorders>
              <w:top w:val="single" w:sz="8" w:space="0" w:color="000000"/>
              <w:left w:val="single" w:sz="8" w:space="0" w:color="000000"/>
              <w:bottom w:val="single" w:sz="8" w:space="0" w:color="000000"/>
              <w:right w:val="single" w:sz="8" w:space="0" w:color="000000"/>
            </w:tcBorders>
          </w:tcPr>
          <w:p w14:paraId="7A32352D"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732EF1A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1"/>
                <w:sz w:val="20"/>
                <w:szCs w:val="20"/>
              </w:rPr>
              <w:t>ec</w:t>
            </w:r>
            <w:r w:rsidRPr="00537112">
              <w:rPr>
                <w:rFonts w:cs="Verdana"/>
                <w:spacing w:val="1"/>
                <w:sz w:val="20"/>
                <w:szCs w:val="20"/>
              </w:rPr>
              <w:t>und</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FACD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32BC85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c</w:t>
            </w:r>
          </w:p>
        </w:tc>
      </w:tr>
      <w:tr w:rsidR="00537112" w:rsidRPr="00537112" w14:paraId="2FB5C06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4AF2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F4E25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085D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30044A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r>
      <w:tr w:rsidR="00537112" w:rsidRPr="00537112" w14:paraId="177D8D0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A3493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53DCC35"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7ECFCA5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115</w:t>
            </w:r>
          </w:p>
        </w:tc>
        <w:tc>
          <w:tcPr>
            <w:tcW w:w="3958" w:type="dxa"/>
            <w:vMerge w:val="restart"/>
            <w:tcBorders>
              <w:top w:val="single" w:sz="8" w:space="0" w:color="000000"/>
              <w:left w:val="single" w:sz="8" w:space="0" w:color="000000"/>
              <w:bottom w:val="single" w:sz="8" w:space="0" w:color="000000"/>
              <w:right w:val="single" w:sz="8" w:space="0" w:color="000000"/>
            </w:tcBorders>
          </w:tcPr>
          <w:p w14:paraId="0491870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DF6E0DA" w14:textId="77777777" w:rsidR="00537112" w:rsidRPr="00537112" w:rsidRDefault="00537112" w:rsidP="00537112">
            <w:pPr>
              <w:autoSpaceDE w:val="0"/>
              <w:autoSpaceDN w:val="0"/>
              <w:spacing w:before="14" w:line="260" w:lineRule="exact"/>
              <w:jc w:val="left"/>
              <w:textAlignment w:val="auto"/>
              <w:rPr>
                <w:rFonts w:ascii="Times New Roman" w:hAnsi="Times New Roman"/>
                <w:sz w:val="26"/>
                <w:szCs w:val="26"/>
              </w:rPr>
            </w:pPr>
          </w:p>
          <w:p w14:paraId="631CF0F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ce</w:t>
            </w:r>
            <w:r w:rsidRPr="00537112">
              <w:rPr>
                <w:rFonts w:cs="Verdana"/>
                <w:spacing w:val="1"/>
                <w:sz w:val="20"/>
                <w:szCs w:val="20"/>
              </w:rPr>
              <w:t>nt</w:t>
            </w:r>
            <w:r w:rsidRPr="00537112">
              <w:rPr>
                <w:rFonts w:cs="Verdana"/>
                <w:sz w:val="20"/>
                <w:szCs w:val="20"/>
              </w:rPr>
              <w:t>e</w:t>
            </w:r>
            <w:r w:rsidRPr="00537112">
              <w:rPr>
                <w:rFonts w:cs="Verdana"/>
                <w:spacing w:val="-9"/>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Paz</w:t>
            </w:r>
            <w:r w:rsidRPr="00537112">
              <w:rPr>
                <w:rFonts w:cs="Verdana"/>
                <w:spacing w:val="-3"/>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85467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090ECA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Herrera</w:t>
            </w:r>
          </w:p>
        </w:tc>
      </w:tr>
      <w:tr w:rsidR="00537112" w:rsidRPr="00537112" w14:paraId="7D4A210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97AD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3F0287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4D0E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7A3924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r>
      <w:tr w:rsidR="00537112" w:rsidRPr="00537112" w14:paraId="029694D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FE161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46A58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CBE4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0EF907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r>
      <w:tr w:rsidR="00537112" w:rsidRPr="00537112" w14:paraId="3ADD065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D79C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B8E14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A9FA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7806E0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o</w:t>
            </w:r>
            <w:r w:rsidRPr="00537112">
              <w:rPr>
                <w:rFonts w:cs="Verdana"/>
                <w:spacing w:val="3"/>
                <w:position w:val="-1"/>
                <w:sz w:val="20"/>
                <w:szCs w:val="20"/>
              </w:rPr>
              <w:t>i</w:t>
            </w:r>
            <w:r w:rsidRPr="00537112">
              <w:rPr>
                <w:rFonts w:cs="Verdana"/>
                <w:spacing w:val="-1"/>
                <w:position w:val="-1"/>
                <w:sz w:val="20"/>
                <w:szCs w:val="20"/>
              </w:rPr>
              <w:t>se</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Páz</w:t>
            </w:r>
            <w:r w:rsidRPr="00537112">
              <w:rPr>
                <w:rFonts w:cs="Verdana"/>
                <w:spacing w:val="-3"/>
                <w:position w:val="-1"/>
                <w:sz w:val="20"/>
                <w:szCs w:val="20"/>
              </w:rPr>
              <w:t xml:space="preserve"> </w:t>
            </w:r>
            <w:r w:rsidRPr="00537112">
              <w:rPr>
                <w:rFonts w:cs="Verdana"/>
                <w:spacing w:val="-1"/>
                <w:position w:val="-1"/>
                <w:sz w:val="20"/>
                <w:szCs w:val="20"/>
              </w:rPr>
              <w:t>Herrera</w:t>
            </w:r>
          </w:p>
        </w:tc>
      </w:tr>
      <w:tr w:rsidR="00537112" w:rsidRPr="00537112" w14:paraId="223572F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C4960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5FF0C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7D8E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2FCB38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g</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r>
      <w:tr w:rsidR="00537112" w:rsidRPr="00537112" w14:paraId="13A4AFF7"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787C51E"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2EA1FED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116</w:t>
            </w:r>
          </w:p>
        </w:tc>
        <w:tc>
          <w:tcPr>
            <w:tcW w:w="3958" w:type="dxa"/>
            <w:vMerge w:val="restart"/>
            <w:tcBorders>
              <w:top w:val="single" w:sz="8" w:space="0" w:color="000000"/>
              <w:left w:val="single" w:sz="8" w:space="0" w:color="000000"/>
              <w:bottom w:val="single" w:sz="8" w:space="0" w:color="000000"/>
              <w:right w:val="single" w:sz="8" w:space="0" w:color="000000"/>
            </w:tcBorders>
          </w:tcPr>
          <w:p w14:paraId="17BB64F1"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0B1C204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u</w:t>
            </w:r>
            <w:r w:rsidRPr="00537112">
              <w:rPr>
                <w:rFonts w:cs="Verdana"/>
                <w:sz w:val="20"/>
                <w:szCs w:val="20"/>
              </w:rPr>
              <w:t>x</w:t>
            </w:r>
            <w:r w:rsidRPr="00537112">
              <w:rPr>
                <w:rFonts w:cs="Verdana"/>
                <w:spacing w:val="1"/>
                <w:sz w:val="20"/>
                <w:szCs w:val="20"/>
              </w:rPr>
              <w:t>u</w:t>
            </w:r>
            <w:r w:rsidRPr="00537112">
              <w:rPr>
                <w:rFonts w:cs="Verdana"/>
                <w:sz w:val="20"/>
                <w:szCs w:val="20"/>
              </w:rPr>
              <w:t>m</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1037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7628BB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6A321FC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FF5A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235C9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7676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1F9D22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4F4045CC"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FFAEBF1"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783A48A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117</w:t>
            </w:r>
          </w:p>
        </w:tc>
        <w:tc>
          <w:tcPr>
            <w:tcW w:w="3958" w:type="dxa"/>
            <w:vMerge w:val="restart"/>
            <w:tcBorders>
              <w:top w:val="single" w:sz="8" w:space="0" w:color="000000"/>
              <w:left w:val="single" w:sz="8" w:space="0" w:color="000000"/>
              <w:bottom w:val="single" w:sz="8" w:space="0" w:color="000000"/>
              <w:right w:val="single" w:sz="8" w:space="0" w:color="000000"/>
            </w:tcBorders>
          </w:tcPr>
          <w:p w14:paraId="6F0303AA"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61B0837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m</w:t>
            </w:r>
            <w:r w:rsidRPr="00537112">
              <w:rPr>
                <w:rFonts w:cs="Verdana"/>
                <w:spacing w:val="3"/>
                <w:sz w:val="20"/>
                <w:szCs w:val="20"/>
              </w:rPr>
              <w:t>ili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s</w:t>
            </w:r>
            <w:r w:rsidRPr="00537112">
              <w:rPr>
                <w:rFonts w:cs="Verdana"/>
                <w:spacing w:val="-4"/>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BB096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508667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1FF0025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C283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4349C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7637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6F3A05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23A2080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5969D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E1D30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D481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437CBE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r w:rsidRPr="00537112">
              <w:rPr>
                <w:rFonts w:cs="Verdana"/>
                <w:spacing w:val="-4"/>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518EE44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1AE9BC"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585881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EC1EBE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118</w:t>
            </w:r>
          </w:p>
        </w:tc>
        <w:tc>
          <w:tcPr>
            <w:tcW w:w="3958" w:type="dxa"/>
            <w:vMerge w:val="restart"/>
            <w:tcBorders>
              <w:top w:val="single" w:sz="8" w:space="0" w:color="000000"/>
              <w:left w:val="single" w:sz="8" w:space="0" w:color="000000"/>
              <w:bottom w:val="single" w:sz="8" w:space="0" w:color="000000"/>
              <w:right w:val="single" w:sz="8" w:space="0" w:color="000000"/>
            </w:tcBorders>
          </w:tcPr>
          <w:p w14:paraId="30842D86"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lang w:val="pt-BR"/>
              </w:rPr>
            </w:pPr>
          </w:p>
          <w:p w14:paraId="59D34C6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1A266296" w14:textId="77777777" w:rsidR="00537112" w:rsidRPr="00537112" w:rsidRDefault="00537112" w:rsidP="00537112">
            <w:pPr>
              <w:autoSpaceDE w:val="0"/>
              <w:autoSpaceDN w:val="0"/>
              <w:spacing w:line="240" w:lineRule="auto"/>
              <w:ind w:right="-20"/>
              <w:jc w:val="left"/>
              <w:textAlignment w:val="auto"/>
              <w:rPr>
                <w:rFonts w:ascii="Times New Roman" w:hAnsi="Times New Roman"/>
                <w:lang w:val="pt-BR"/>
              </w:rPr>
            </w:pPr>
            <w:r w:rsidRPr="00537112">
              <w:rPr>
                <w:rFonts w:cs="Verdana"/>
                <w:sz w:val="20"/>
                <w:szCs w:val="20"/>
                <w:lang w:val="pt-BR"/>
              </w:rPr>
              <w:t>Ma</w:t>
            </w:r>
            <w:r w:rsidRPr="00537112">
              <w:rPr>
                <w:rFonts w:cs="Verdana"/>
                <w:spacing w:val="1"/>
                <w:sz w:val="20"/>
                <w:szCs w:val="20"/>
                <w:lang w:val="pt-BR"/>
              </w:rPr>
              <w:t>nu</w:t>
            </w:r>
            <w:r w:rsidRPr="00537112">
              <w:rPr>
                <w:rFonts w:cs="Verdana"/>
                <w:spacing w:val="-1"/>
                <w:sz w:val="20"/>
                <w:szCs w:val="20"/>
                <w:lang w:val="pt-BR"/>
              </w:rPr>
              <w:t>e</w:t>
            </w:r>
            <w:r w:rsidRPr="00537112">
              <w:rPr>
                <w:rFonts w:cs="Verdana"/>
                <w:sz w:val="20"/>
                <w:szCs w:val="20"/>
                <w:lang w:val="pt-BR"/>
              </w:rPr>
              <w:t>l</w:t>
            </w:r>
            <w:r w:rsidRPr="00537112">
              <w:rPr>
                <w:rFonts w:cs="Verdana"/>
                <w:spacing w:val="-5"/>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pacing w:val="1"/>
                <w:sz w:val="20"/>
                <w:szCs w:val="20"/>
                <w:lang w:val="pt-BR"/>
              </w:rPr>
              <w:t>J</w:t>
            </w:r>
            <w:r w:rsidRPr="00537112">
              <w:rPr>
                <w:rFonts w:cs="Verdana"/>
                <w:spacing w:val="-1"/>
                <w:sz w:val="20"/>
                <w:szCs w:val="20"/>
                <w:lang w:val="pt-BR"/>
              </w:rPr>
              <w:t>es</w:t>
            </w:r>
            <w:r w:rsidRPr="00537112">
              <w:rPr>
                <w:rFonts w:cs="Verdana"/>
                <w:spacing w:val="1"/>
                <w:sz w:val="20"/>
                <w:szCs w:val="20"/>
                <w:lang w:val="pt-BR"/>
              </w:rPr>
              <w:t>u</w:t>
            </w:r>
            <w:r w:rsidRPr="00537112">
              <w:rPr>
                <w:rFonts w:cs="Verdana"/>
                <w:sz w:val="20"/>
                <w:szCs w:val="20"/>
                <w:lang w:val="pt-BR"/>
              </w:rPr>
              <w:t>s</w:t>
            </w:r>
            <w:r w:rsidRPr="00537112">
              <w:rPr>
                <w:rFonts w:cs="Verdana"/>
                <w:spacing w:val="-6"/>
                <w:sz w:val="20"/>
                <w:szCs w:val="20"/>
                <w:lang w:val="pt-BR"/>
              </w:rPr>
              <w:t xml:space="preserve"> </w:t>
            </w:r>
            <w:r w:rsidRPr="00537112">
              <w:rPr>
                <w:rFonts w:cs="Verdana"/>
                <w:spacing w:val="-1"/>
                <w:sz w:val="20"/>
                <w:szCs w:val="20"/>
                <w:lang w:val="pt-BR"/>
              </w:rPr>
              <w:t>G</w:t>
            </w:r>
            <w:r w:rsidRPr="00537112">
              <w:rPr>
                <w:rFonts w:cs="Verdana"/>
                <w:sz w:val="20"/>
                <w:szCs w:val="20"/>
                <w:lang w:val="pt-BR"/>
              </w:rPr>
              <w:t>a</w:t>
            </w:r>
            <w:r w:rsidRPr="00537112">
              <w:rPr>
                <w:rFonts w:cs="Verdana"/>
                <w:spacing w:val="3"/>
                <w:sz w:val="20"/>
                <w:szCs w:val="20"/>
                <w:lang w:val="pt-BR"/>
              </w:rPr>
              <w:t>li</w:t>
            </w:r>
            <w:r w:rsidRPr="00537112">
              <w:rPr>
                <w:rFonts w:cs="Verdana"/>
                <w:spacing w:val="-1"/>
                <w:sz w:val="20"/>
                <w:szCs w:val="20"/>
                <w:lang w:val="pt-BR"/>
              </w:rPr>
              <w:t>e</w:t>
            </w:r>
            <w:r w:rsidRPr="00537112">
              <w:rPr>
                <w:rFonts w:cs="Verdana"/>
                <w:spacing w:val="1"/>
                <w:sz w:val="20"/>
                <w:szCs w:val="20"/>
                <w:lang w:val="pt-BR"/>
              </w:rPr>
              <w:t>g</w:t>
            </w:r>
            <w:r w:rsidRPr="00537112">
              <w:rPr>
                <w:rFonts w:cs="Verdana"/>
                <w:sz w:val="20"/>
                <w:szCs w:val="20"/>
                <w:lang w:val="pt-BR"/>
              </w:rPr>
              <w:t>o</w:t>
            </w:r>
            <w:r w:rsidRPr="00537112">
              <w:rPr>
                <w:rFonts w:cs="Verdana"/>
                <w:spacing w:val="-9"/>
                <w:sz w:val="20"/>
                <w:szCs w:val="20"/>
                <w:lang w:val="pt-BR"/>
              </w:rPr>
              <w:t xml:space="preserve"> </w:t>
            </w:r>
            <w:r w:rsidRPr="00537112">
              <w:rPr>
                <w:rFonts w:cs="Verdana"/>
                <w:sz w:val="20"/>
                <w:szCs w:val="20"/>
                <w:lang w:val="pt-BR"/>
              </w:rPr>
              <w:t>M</w:t>
            </w:r>
            <w:r w:rsidRPr="00537112">
              <w:rPr>
                <w:rFonts w:cs="Verdana"/>
                <w:spacing w:val="-1"/>
                <w:sz w:val="20"/>
                <w:szCs w:val="20"/>
                <w:lang w:val="pt-BR"/>
              </w:rPr>
              <w:t>e</w:t>
            </w:r>
            <w:r w:rsidRPr="00537112">
              <w:rPr>
                <w:rFonts w:cs="Verdana"/>
                <w:spacing w:val="1"/>
                <w:sz w:val="20"/>
                <w:szCs w:val="20"/>
                <w:lang w:val="pt-BR"/>
              </w:rPr>
              <w:t>nd</w:t>
            </w:r>
            <w:r w:rsidRPr="00537112">
              <w:rPr>
                <w:rFonts w:cs="Verdana"/>
                <w:spacing w:val="-1"/>
                <w:sz w:val="20"/>
                <w:szCs w:val="20"/>
                <w:lang w:val="pt-BR"/>
              </w:rPr>
              <w:t>o</w:t>
            </w:r>
            <w:r w:rsidRPr="00537112">
              <w:rPr>
                <w:rFonts w:cs="Verdana"/>
                <w:spacing w:val="1"/>
                <w:sz w:val="20"/>
                <w:szCs w:val="20"/>
                <w:lang w:val="pt-BR"/>
              </w:rPr>
              <w:t>z</w:t>
            </w:r>
            <w:r w:rsidRPr="00537112">
              <w:rPr>
                <w:rFonts w:cs="Verdana"/>
                <w:sz w:val="20"/>
                <w:szCs w:val="20"/>
                <w:lang w:val="pt-BR"/>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A0C8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2C2CE6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4794D72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1D7D4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FEEDE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D1FE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581C0F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r>
      <w:tr w:rsidR="00537112" w:rsidRPr="00537112" w14:paraId="50E1CDF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40F83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2249D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AD1F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49A819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e</w:t>
            </w:r>
            <w:r w:rsidRPr="00537112">
              <w:rPr>
                <w:rFonts w:cs="Verdana"/>
                <w:spacing w:val="-7"/>
                <w:position w:val="-1"/>
                <w:sz w:val="20"/>
                <w:szCs w:val="20"/>
              </w:rPr>
              <w:t xml:space="preserve"> </w:t>
            </w: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r>
      <w:tr w:rsidR="00537112" w:rsidRPr="00537112" w14:paraId="47BFC60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1A84E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D8A4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23607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6DD2B6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Héc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r>
      <w:tr w:rsidR="00537112" w:rsidRPr="00537112" w14:paraId="5A599CC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31DB8EA"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64BBAD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119</w:t>
            </w:r>
          </w:p>
        </w:tc>
        <w:tc>
          <w:tcPr>
            <w:tcW w:w="3958" w:type="dxa"/>
            <w:vMerge w:val="restart"/>
            <w:tcBorders>
              <w:top w:val="single" w:sz="8" w:space="0" w:color="000000"/>
              <w:left w:val="single" w:sz="8" w:space="0" w:color="000000"/>
              <w:bottom w:val="single" w:sz="8" w:space="0" w:color="000000"/>
              <w:right w:val="single" w:sz="8" w:space="0" w:color="000000"/>
            </w:tcBorders>
          </w:tcPr>
          <w:p w14:paraId="624B3E57"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7BA37BF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w:t>
            </w:r>
            <w:r w:rsidRPr="00537112">
              <w:rPr>
                <w:rFonts w:cs="Verdana"/>
                <w:spacing w:val="1"/>
                <w:sz w:val="20"/>
                <w:szCs w:val="20"/>
              </w:rPr>
              <w:t>m</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9D70C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59F9AC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Gre</w:t>
            </w:r>
            <w:r w:rsidRPr="00537112">
              <w:rPr>
                <w:rFonts w:cs="Verdana"/>
                <w:spacing w:val="1"/>
                <w:position w:val="-1"/>
                <w:sz w:val="20"/>
                <w:szCs w:val="20"/>
              </w:rPr>
              <w:t>g</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0420BD5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E078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08729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5531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1B681C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r>
      <w:tr w:rsidR="00537112" w:rsidRPr="00537112" w14:paraId="17923673"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70C77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120</w:t>
            </w:r>
          </w:p>
        </w:tc>
        <w:tc>
          <w:tcPr>
            <w:tcW w:w="3958" w:type="dxa"/>
            <w:tcBorders>
              <w:top w:val="single" w:sz="8" w:space="0" w:color="000000"/>
              <w:left w:val="single" w:sz="8" w:space="0" w:color="000000"/>
              <w:bottom w:val="single" w:sz="8" w:space="0" w:color="000000"/>
              <w:right w:val="single" w:sz="8" w:space="0" w:color="000000"/>
            </w:tcBorders>
          </w:tcPr>
          <w:p w14:paraId="345886E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3C68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7F8B2187"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u</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1066C59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F3F9DBC"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26932BD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121</w:t>
            </w:r>
          </w:p>
        </w:tc>
        <w:tc>
          <w:tcPr>
            <w:tcW w:w="3958" w:type="dxa"/>
            <w:vMerge w:val="restart"/>
            <w:tcBorders>
              <w:top w:val="single" w:sz="8" w:space="0" w:color="000000"/>
              <w:left w:val="single" w:sz="8" w:space="0" w:color="000000"/>
              <w:bottom w:val="single" w:sz="8" w:space="0" w:color="000000"/>
              <w:right w:val="single" w:sz="8" w:space="0" w:color="000000"/>
            </w:tcBorders>
          </w:tcPr>
          <w:p w14:paraId="770571DA" w14:textId="77777777" w:rsidR="00537112" w:rsidRPr="00537112" w:rsidRDefault="00537112" w:rsidP="00537112">
            <w:pPr>
              <w:autoSpaceDE w:val="0"/>
              <w:autoSpaceDN w:val="0"/>
              <w:spacing w:before="7" w:line="220" w:lineRule="exact"/>
              <w:jc w:val="left"/>
              <w:textAlignment w:val="auto"/>
              <w:rPr>
                <w:rFonts w:ascii="Times New Roman" w:hAnsi="Times New Roman"/>
                <w:sz w:val="22"/>
                <w:szCs w:val="22"/>
              </w:rPr>
            </w:pPr>
          </w:p>
          <w:p w14:paraId="26EDB27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z w:val="20"/>
                <w:szCs w:val="20"/>
              </w:rPr>
              <w:t>D</w:t>
            </w:r>
            <w:r w:rsidRPr="00537112">
              <w:rPr>
                <w:rFonts w:cs="Verdana"/>
                <w:spacing w:val="3"/>
                <w:sz w:val="20"/>
                <w:szCs w:val="20"/>
              </w:rPr>
              <w:t>í</w:t>
            </w:r>
            <w:r w:rsidRPr="00537112">
              <w:rPr>
                <w:rFonts w:cs="Verdana"/>
                <w:sz w:val="20"/>
                <w:szCs w:val="20"/>
              </w:rPr>
              <w:t>az</w:t>
            </w:r>
            <w:r w:rsidRPr="00537112">
              <w:rPr>
                <w:rFonts w:cs="Verdana"/>
                <w:spacing w:val="-4"/>
                <w:sz w:val="20"/>
                <w:szCs w:val="20"/>
              </w:rPr>
              <w:t xml:space="preserve"> </w:t>
            </w:r>
            <w:r w:rsidRPr="00537112">
              <w:rPr>
                <w:rFonts w:cs="Verdana"/>
                <w:sz w:val="20"/>
                <w:szCs w:val="20"/>
              </w:rPr>
              <w:t>T</w:t>
            </w:r>
            <w:r w:rsidRPr="00537112">
              <w:rPr>
                <w:rFonts w:cs="Verdana"/>
                <w:spacing w:val="-1"/>
                <w:sz w:val="20"/>
                <w:szCs w:val="20"/>
              </w:rPr>
              <w:t>o</w:t>
            </w:r>
            <w:r w:rsidRPr="00537112">
              <w:rPr>
                <w:rFonts w:cs="Verdana"/>
                <w:spacing w:val="3"/>
                <w:sz w:val="20"/>
                <w:szCs w:val="20"/>
              </w:rPr>
              <w:t>l</w:t>
            </w:r>
            <w:r w:rsidRPr="00537112">
              <w:rPr>
                <w:rFonts w:cs="Verdana"/>
                <w:spacing w:val="-1"/>
                <w:sz w:val="20"/>
                <w:szCs w:val="20"/>
              </w:rPr>
              <w:t>o</w:t>
            </w:r>
            <w:r w:rsidRPr="00537112">
              <w:rPr>
                <w:rFonts w:cs="Verdana"/>
                <w:sz w:val="20"/>
                <w:szCs w:val="20"/>
              </w:rPr>
              <w:t>m</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7E4DC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71FCF5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Cay</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748DB9E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B66D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A2CD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BA07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49CDBB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3"/>
                <w:position w:val="-1"/>
                <w:sz w:val="20"/>
                <w:szCs w:val="20"/>
              </w:rPr>
              <w:t>í</w:t>
            </w:r>
            <w:r w:rsidRPr="00537112">
              <w:rPr>
                <w:rFonts w:cs="Verdana"/>
                <w:position w:val="-1"/>
                <w:sz w:val="20"/>
                <w:szCs w:val="20"/>
              </w:rPr>
              <w:t>az</w:t>
            </w:r>
            <w:r w:rsidRPr="00537112">
              <w:rPr>
                <w:rFonts w:cs="Verdana"/>
                <w:spacing w:val="-4"/>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1BAD034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2217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2F907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9B81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76B1BD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orf</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3"/>
                <w:position w:val="-1"/>
                <w:sz w:val="20"/>
                <w:szCs w:val="20"/>
              </w:rPr>
              <w:t>í</w:t>
            </w:r>
            <w:r w:rsidRPr="00537112">
              <w:rPr>
                <w:rFonts w:cs="Verdana"/>
                <w:position w:val="-1"/>
                <w:sz w:val="20"/>
                <w:szCs w:val="20"/>
              </w:rPr>
              <w:t>az</w:t>
            </w:r>
            <w:r w:rsidRPr="00537112">
              <w:rPr>
                <w:rFonts w:cs="Verdana"/>
                <w:spacing w:val="-4"/>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5E15866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763263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1BCDB27"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1530273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122</w:t>
            </w:r>
          </w:p>
        </w:tc>
        <w:tc>
          <w:tcPr>
            <w:tcW w:w="3958" w:type="dxa"/>
            <w:vMerge w:val="restart"/>
            <w:tcBorders>
              <w:top w:val="single" w:sz="8" w:space="0" w:color="000000"/>
              <w:left w:val="single" w:sz="8" w:space="0" w:color="000000"/>
              <w:bottom w:val="single" w:sz="8" w:space="0" w:color="000000"/>
              <w:right w:val="single" w:sz="8" w:space="0" w:color="000000"/>
            </w:tcBorders>
          </w:tcPr>
          <w:p w14:paraId="735DE7E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495C70E"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31024AF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And</w:t>
            </w:r>
            <w:r w:rsidRPr="00537112">
              <w:rPr>
                <w:rFonts w:cs="Verdana"/>
                <w:spacing w:val="-1"/>
                <w:sz w:val="20"/>
                <w:szCs w:val="20"/>
              </w:rPr>
              <w:t>ré</w:t>
            </w:r>
            <w:r w:rsidRPr="00537112">
              <w:rPr>
                <w:rFonts w:cs="Verdana"/>
                <w:sz w:val="20"/>
                <w:szCs w:val="20"/>
              </w:rPr>
              <w:t>s</w:t>
            </w:r>
            <w:r w:rsidRPr="00537112">
              <w:rPr>
                <w:rFonts w:cs="Verdana"/>
                <w:spacing w:val="-8"/>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t</w:t>
            </w:r>
            <w:r w:rsidRPr="00537112">
              <w:rPr>
                <w:rFonts w:cs="Verdana"/>
                <w:spacing w:val="-1"/>
                <w:sz w:val="20"/>
                <w:szCs w:val="20"/>
              </w:rPr>
              <w:t>eco</w:t>
            </w:r>
            <w:r w:rsidRPr="00537112">
              <w:rPr>
                <w:rFonts w:cs="Verdana"/>
                <w:sz w:val="20"/>
                <w:szCs w:val="20"/>
              </w:rPr>
              <w:t>c</w:t>
            </w:r>
            <w:r w:rsidRPr="00537112">
              <w:rPr>
                <w:rFonts w:cs="Verdana"/>
                <w:spacing w:val="-8"/>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002A8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5</w:t>
            </w:r>
            <w:r w:rsidRPr="00537112">
              <w:rPr>
                <w:rFonts w:cs="Verdana"/>
                <w:spacing w:val="1"/>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4100FD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Herc</w:t>
            </w:r>
            <w:r w:rsidRPr="00537112">
              <w:rPr>
                <w:rFonts w:cs="Verdana"/>
                <w:spacing w:val="3"/>
                <w:position w:val="-1"/>
                <w:sz w:val="20"/>
                <w:szCs w:val="20"/>
              </w:rPr>
              <w:t>ili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r w:rsidRPr="00537112">
              <w:rPr>
                <w:rFonts w:cs="Verdana"/>
                <w:spacing w:val="-11"/>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2792F61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D1EA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221A6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FD82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7B7A8D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w:t>
            </w:r>
            <w:r w:rsidRPr="00537112">
              <w:rPr>
                <w:rFonts w:cs="Verdana"/>
                <w:spacing w:val="1"/>
                <w:position w:val="-1"/>
                <w:sz w:val="20"/>
                <w:szCs w:val="20"/>
              </w:rPr>
              <w:t>nj</w:t>
            </w:r>
            <w:r w:rsidRPr="00537112">
              <w:rPr>
                <w:rFonts w:cs="Verdana"/>
                <w:position w:val="-1"/>
                <w:sz w:val="20"/>
                <w:szCs w:val="20"/>
              </w:rPr>
              <w:t>a</w:t>
            </w:r>
            <w:r w:rsidRPr="00537112">
              <w:rPr>
                <w:rFonts w:cs="Verdana"/>
                <w:spacing w:val="1"/>
                <w:position w:val="-1"/>
                <w:sz w:val="20"/>
                <w:szCs w:val="20"/>
              </w:rPr>
              <w:t>m</w:t>
            </w:r>
            <w:r w:rsidRPr="00537112">
              <w:rPr>
                <w:rFonts w:cs="Verdana"/>
                <w:spacing w:val="3"/>
                <w:position w:val="-1"/>
                <w:sz w:val="20"/>
                <w:szCs w:val="20"/>
              </w:rPr>
              <w:t>i</w:t>
            </w:r>
            <w:r w:rsidRPr="00537112">
              <w:rPr>
                <w:rFonts w:cs="Verdana"/>
                <w:position w:val="-1"/>
                <w:sz w:val="20"/>
                <w:szCs w:val="20"/>
              </w:rPr>
              <w:t>n</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r>
      <w:tr w:rsidR="00537112" w:rsidRPr="00537112" w14:paraId="3A5FC7D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F87A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674AA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CA58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31B651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r>
      <w:tr w:rsidR="00537112" w:rsidRPr="00537112" w14:paraId="423166D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82C1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E48F3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FC1B4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1524DC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r>
      <w:tr w:rsidR="00537112" w:rsidRPr="00537112" w14:paraId="73F1195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42B8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A8CB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8CA6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12EEF3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fre</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r>
      <w:tr w:rsidR="00537112" w:rsidRPr="00537112" w14:paraId="37819F13"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650F5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0A716B"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46ADF68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123</w:t>
            </w:r>
          </w:p>
        </w:tc>
        <w:tc>
          <w:tcPr>
            <w:tcW w:w="3958" w:type="dxa"/>
            <w:vMerge w:val="restart"/>
            <w:tcBorders>
              <w:top w:val="single" w:sz="8" w:space="0" w:color="000000"/>
              <w:left w:val="single" w:sz="8" w:space="0" w:color="000000"/>
              <w:bottom w:val="single" w:sz="8" w:space="0" w:color="000000"/>
              <w:right w:val="single" w:sz="8" w:space="0" w:color="000000"/>
            </w:tcBorders>
          </w:tcPr>
          <w:p w14:paraId="1AD77F0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830C4D2"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61FB9C9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Z</w:t>
            </w:r>
            <w:r w:rsidRPr="00537112">
              <w:rPr>
                <w:rFonts w:cs="Verdana"/>
                <w:spacing w:val="-1"/>
                <w:sz w:val="20"/>
                <w:szCs w:val="20"/>
              </w:rPr>
              <w:t>e</w:t>
            </w:r>
            <w:r w:rsidRPr="00537112">
              <w:rPr>
                <w:rFonts w:cs="Verdana"/>
                <w:spacing w:val="1"/>
                <w:sz w:val="20"/>
                <w:szCs w:val="20"/>
              </w:rPr>
              <w:t>n</w:t>
            </w:r>
            <w:r w:rsidRPr="00537112">
              <w:rPr>
                <w:rFonts w:cs="Verdana"/>
                <w:spacing w:val="-1"/>
                <w:sz w:val="20"/>
                <w:szCs w:val="20"/>
              </w:rPr>
              <w:t>ó</w:t>
            </w:r>
            <w:r w:rsidRPr="00537112">
              <w:rPr>
                <w:rFonts w:cs="Verdana"/>
                <w:sz w:val="20"/>
                <w:szCs w:val="20"/>
              </w:rPr>
              <w:t>n</w:t>
            </w:r>
            <w:r w:rsidRPr="00537112">
              <w:rPr>
                <w:rFonts w:cs="Verdana"/>
                <w:spacing w:val="-6"/>
                <w:sz w:val="20"/>
                <w:szCs w:val="20"/>
              </w:rPr>
              <w:t xml:space="preserve"> </w:t>
            </w:r>
            <w:r w:rsidRPr="00537112">
              <w:rPr>
                <w:rFonts w:cs="Verdana"/>
                <w:spacing w:val="1"/>
                <w:sz w:val="20"/>
                <w:szCs w:val="20"/>
              </w:rPr>
              <w:t>U</w:t>
            </w:r>
            <w:r w:rsidRPr="00537112">
              <w:rPr>
                <w:rFonts w:cs="Verdana"/>
                <w:sz w:val="20"/>
                <w:szCs w:val="20"/>
              </w:rPr>
              <w:t>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B3CA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687A50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g</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w:t>
            </w:r>
            <w:r w:rsidRPr="00537112">
              <w:rPr>
                <w:rFonts w:cs="Verdana"/>
                <w:position w:val="-1"/>
                <w:sz w:val="20"/>
                <w:szCs w:val="20"/>
              </w:rPr>
              <w:t>h</w:t>
            </w:r>
            <w:r w:rsidRPr="00537112">
              <w:rPr>
                <w:rFonts w:cs="Verdana"/>
                <w:spacing w:val="-7"/>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772EBAD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C079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CFBC5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D41F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51D519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w:t>
            </w:r>
            <w:r w:rsidRPr="00537112">
              <w:rPr>
                <w:rFonts w:cs="Verdana"/>
                <w:position w:val="-1"/>
                <w:sz w:val="20"/>
                <w:szCs w:val="20"/>
              </w:rPr>
              <w:t>h</w:t>
            </w:r>
          </w:p>
        </w:tc>
      </w:tr>
      <w:tr w:rsidR="00537112" w:rsidRPr="00537112" w14:paraId="4E0FB8E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6C205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C671D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AE50A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4FCEDD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w:t>
            </w:r>
            <w:r w:rsidRPr="00537112">
              <w:rPr>
                <w:rFonts w:cs="Verdana"/>
                <w:position w:val="-1"/>
                <w:sz w:val="20"/>
                <w:szCs w:val="20"/>
              </w:rPr>
              <w:t>h</w:t>
            </w:r>
          </w:p>
        </w:tc>
      </w:tr>
      <w:tr w:rsidR="00537112" w:rsidRPr="00537112" w14:paraId="0A23A48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C34D6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22227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60CA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034BB3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och</w:t>
            </w:r>
          </w:p>
        </w:tc>
      </w:tr>
      <w:tr w:rsidR="00537112" w:rsidRPr="00537112" w14:paraId="1A79307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46B70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8CC0F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8A78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26475A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rc</w:t>
            </w:r>
            <w:r w:rsidRPr="00537112">
              <w:rPr>
                <w:rFonts w:cs="Verdana"/>
                <w:spacing w:val="3"/>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och</w:t>
            </w:r>
          </w:p>
        </w:tc>
      </w:tr>
      <w:tr w:rsidR="00537112" w:rsidRPr="00537112" w14:paraId="68F0D1B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45E9D4"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328294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6C3882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64AABA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124</w:t>
            </w:r>
          </w:p>
        </w:tc>
        <w:tc>
          <w:tcPr>
            <w:tcW w:w="3958" w:type="dxa"/>
            <w:vMerge w:val="restart"/>
            <w:tcBorders>
              <w:top w:val="single" w:sz="8" w:space="0" w:color="000000"/>
              <w:left w:val="single" w:sz="8" w:space="0" w:color="000000"/>
              <w:bottom w:val="single" w:sz="8" w:space="0" w:color="000000"/>
              <w:right w:val="single" w:sz="8" w:space="0" w:color="000000"/>
            </w:tcBorders>
          </w:tcPr>
          <w:p w14:paraId="69A76EE5"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5756297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F82D2F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8E421C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er</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an</w:t>
            </w:r>
            <w:r w:rsidRPr="00537112">
              <w:rPr>
                <w:rFonts w:cs="Verdana"/>
                <w:spacing w:val="-7"/>
                <w:sz w:val="20"/>
                <w:szCs w:val="20"/>
              </w:rPr>
              <w:t xml:space="preserve"> </w:t>
            </w:r>
            <w:r w:rsidRPr="00537112">
              <w:rPr>
                <w:rFonts w:cs="Verdana"/>
                <w:spacing w:val="-2"/>
                <w:sz w:val="20"/>
                <w:szCs w:val="20"/>
              </w:rPr>
              <w:t>I</w:t>
            </w:r>
            <w:r w:rsidRPr="00537112">
              <w:rPr>
                <w:rFonts w:cs="Verdana"/>
                <w:sz w:val="20"/>
                <w:szCs w:val="20"/>
              </w:rPr>
              <w:t>v</w:t>
            </w:r>
            <w:r w:rsidRPr="00537112">
              <w:rPr>
                <w:rFonts w:cs="Verdana"/>
                <w:spacing w:val="-1"/>
                <w:sz w:val="20"/>
                <w:szCs w:val="20"/>
              </w:rPr>
              <w:t>oy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F187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66EE8F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r>
      <w:tr w:rsidR="00537112" w:rsidRPr="00537112" w14:paraId="6A5D4CB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A9FD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969FF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27E91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0C9279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gn</w:t>
            </w:r>
            <w:r w:rsidRPr="00537112">
              <w:rPr>
                <w:rFonts w:cs="Verdana"/>
                <w:position w:val="-1"/>
                <w:sz w:val="20"/>
                <w:szCs w:val="20"/>
              </w:rPr>
              <w:t>a</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r>
      <w:tr w:rsidR="00537112" w:rsidRPr="00537112" w14:paraId="54A8574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85623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BA3EA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72DE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43C76C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747449B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928A4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74118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5E2F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234A4C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position w:val="-1"/>
                <w:sz w:val="20"/>
                <w:szCs w:val="20"/>
              </w:rPr>
              <w:t>s</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r>
      <w:tr w:rsidR="00537112" w:rsidRPr="00537112" w14:paraId="69C5BC3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3E27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78A21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9254B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66CD37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r>
      <w:tr w:rsidR="00537112" w:rsidRPr="00537112" w14:paraId="0791FE7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D3A4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F5B17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49F52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5F3822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r>
      <w:tr w:rsidR="00537112" w:rsidRPr="00537112" w14:paraId="4C216A05" w14:textId="77777777" w:rsidTr="00630EEC">
        <w:trPr>
          <w:trHeight w:hRule="exact" w:val="247"/>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06DB2DF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17FFCD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6133A8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B8AA33"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96654F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125</w:t>
            </w:r>
          </w:p>
        </w:tc>
        <w:tc>
          <w:tcPr>
            <w:tcW w:w="3958" w:type="dxa"/>
            <w:vMerge w:val="restart"/>
            <w:tcBorders>
              <w:top w:val="single" w:sz="8" w:space="0" w:color="000000"/>
              <w:left w:val="single" w:sz="8" w:space="0" w:color="000000"/>
              <w:bottom w:val="nil"/>
              <w:right w:val="single" w:sz="8" w:space="0" w:color="000000"/>
            </w:tcBorders>
          </w:tcPr>
          <w:p w14:paraId="75D6A44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6683C9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EA153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A3C07EA"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C08734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o</w:t>
            </w:r>
            <w:r w:rsidRPr="00537112">
              <w:rPr>
                <w:rFonts w:cs="Verdana"/>
                <w:spacing w:val="-9"/>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B3C1B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4C0738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w:t>
            </w:r>
            <w:r w:rsidRPr="00537112">
              <w:rPr>
                <w:rFonts w:cs="Verdana"/>
                <w:position w:val="-1"/>
                <w:sz w:val="20"/>
                <w:szCs w:val="20"/>
              </w:rPr>
              <w:t>h</w:t>
            </w:r>
          </w:p>
        </w:tc>
      </w:tr>
      <w:tr w:rsidR="00537112" w:rsidRPr="00537112" w14:paraId="2E4CB7AE"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8ED19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7AEBF1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8AEA5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6F0BAF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0674E8C3"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02F4F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421436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73D3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2285EA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r>
      <w:tr w:rsidR="00537112" w:rsidRPr="00537112" w14:paraId="002C10F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4E1227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97C8F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98DE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459856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r</w:t>
            </w:r>
            <w:r w:rsidRPr="00537112">
              <w:rPr>
                <w:rFonts w:cs="Verdana"/>
                <w:spacing w:val="3"/>
                <w:position w:val="-1"/>
                <w:sz w:val="20"/>
                <w:szCs w:val="20"/>
              </w:rPr>
              <w:t>í</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án</w:t>
            </w:r>
          </w:p>
        </w:tc>
      </w:tr>
      <w:tr w:rsidR="00537112" w:rsidRPr="00537112" w14:paraId="1A9334FE"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594A9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32B19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7BA9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6E2B9F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án</w:t>
            </w:r>
          </w:p>
        </w:tc>
      </w:tr>
    </w:tbl>
    <w:p w14:paraId="1C64A401"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5BF488E3"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56A5E246" w14:textId="77777777" w:rsidTr="00630EEC">
        <w:trPr>
          <w:trHeight w:hRule="exact" w:val="247"/>
        </w:trPr>
        <w:tc>
          <w:tcPr>
            <w:tcW w:w="977" w:type="dxa"/>
            <w:vMerge w:val="restart"/>
            <w:tcBorders>
              <w:top w:val="nil"/>
              <w:left w:val="single" w:sz="8" w:space="0" w:color="000000"/>
              <w:bottom w:val="single" w:sz="8" w:space="0" w:color="000000"/>
              <w:right w:val="single" w:sz="8" w:space="0" w:color="000000"/>
            </w:tcBorders>
            <w:shd w:val="clear" w:color="auto" w:fill="BFBFBF" w:themeFill="background1" w:themeFillShade="BF"/>
          </w:tcPr>
          <w:p w14:paraId="4F345417"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3958" w:type="dxa"/>
            <w:vMerge w:val="restart"/>
            <w:tcBorders>
              <w:top w:val="nil"/>
              <w:left w:val="single" w:sz="8" w:space="0" w:color="000000"/>
              <w:bottom w:val="single" w:sz="8" w:space="0" w:color="000000"/>
              <w:right w:val="single" w:sz="8" w:space="0" w:color="000000"/>
            </w:tcBorders>
          </w:tcPr>
          <w:p w14:paraId="258AD837"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9571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324330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ú</w:t>
            </w:r>
            <w:r w:rsidRPr="00537112">
              <w:rPr>
                <w:rFonts w:cs="Verdana"/>
                <w:position w:val="-1"/>
                <w:sz w:val="20"/>
                <w:szCs w:val="20"/>
              </w:rPr>
              <w:t>s</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r>
      <w:tr w:rsidR="00537112" w:rsidRPr="00537112" w14:paraId="4837F03D"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34E66A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067D62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304D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3F1FF6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And</w:t>
            </w:r>
            <w:r w:rsidRPr="00537112">
              <w:rPr>
                <w:rFonts w:cs="Verdana"/>
                <w:spacing w:val="-1"/>
                <w:position w:val="-1"/>
                <w:sz w:val="20"/>
                <w:szCs w:val="20"/>
              </w:rPr>
              <w:t>re</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spacing w:val="3"/>
                <w:position w:val="-1"/>
                <w:sz w:val="20"/>
                <w:szCs w:val="20"/>
              </w:rPr>
              <w:t>il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r>
      <w:tr w:rsidR="00537112" w:rsidRPr="00537112" w14:paraId="6E532140"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250823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445859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5B3D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235426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r>
      <w:tr w:rsidR="00537112" w:rsidRPr="00537112" w14:paraId="523968D6"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2F858C"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6822F18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126</w:t>
            </w:r>
          </w:p>
        </w:tc>
        <w:tc>
          <w:tcPr>
            <w:tcW w:w="3958" w:type="dxa"/>
            <w:vMerge w:val="restart"/>
            <w:tcBorders>
              <w:top w:val="single" w:sz="8" w:space="0" w:color="000000"/>
              <w:left w:val="single" w:sz="8" w:space="0" w:color="000000"/>
              <w:bottom w:val="single" w:sz="8" w:space="0" w:color="000000"/>
              <w:right w:val="single" w:sz="8" w:space="0" w:color="000000"/>
            </w:tcBorders>
          </w:tcPr>
          <w:p w14:paraId="1F996FB6"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5C5F698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il</w:t>
            </w:r>
            <w:r w:rsidRPr="00537112">
              <w:rPr>
                <w:rFonts w:cs="Verdana"/>
                <w:sz w:val="20"/>
                <w:szCs w:val="20"/>
              </w:rPr>
              <w:t>v</w:t>
            </w:r>
            <w:r w:rsidRPr="00537112">
              <w:rPr>
                <w:rFonts w:cs="Verdana"/>
                <w:spacing w:val="-1"/>
                <w:sz w:val="20"/>
                <w:szCs w:val="20"/>
              </w:rPr>
              <w:t>er</w:t>
            </w:r>
            <w:r w:rsidRPr="00537112">
              <w:rPr>
                <w:rFonts w:cs="Verdana"/>
                <w:spacing w:val="3"/>
                <w:sz w:val="20"/>
                <w:szCs w:val="20"/>
              </w:rPr>
              <w:t>i</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5FC2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1BC792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3384ADF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77BB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F565F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9EBE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28071A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1"/>
                <w:position w:val="-1"/>
                <w:sz w:val="20"/>
                <w:szCs w:val="20"/>
              </w:rPr>
              <w:t>ud</w:t>
            </w:r>
            <w:r w:rsidRPr="00537112">
              <w:rPr>
                <w:rFonts w:cs="Verdana"/>
                <w:spacing w:val="3"/>
                <w:position w:val="-1"/>
                <w:sz w:val="20"/>
                <w:szCs w:val="20"/>
              </w:rPr>
              <w:t>ili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5BF1B4A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4134A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31A31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EBC9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46A8FC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5431AF0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ACAC5B"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155D0DA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127</w:t>
            </w:r>
          </w:p>
        </w:tc>
        <w:tc>
          <w:tcPr>
            <w:tcW w:w="3958" w:type="dxa"/>
            <w:vMerge w:val="restart"/>
            <w:tcBorders>
              <w:top w:val="single" w:sz="8" w:space="0" w:color="000000"/>
              <w:left w:val="single" w:sz="8" w:space="0" w:color="000000"/>
              <w:bottom w:val="single" w:sz="8" w:space="0" w:color="000000"/>
              <w:right w:val="single" w:sz="8" w:space="0" w:color="000000"/>
            </w:tcBorders>
          </w:tcPr>
          <w:p w14:paraId="2DE19D68"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3605B2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m</w:t>
            </w:r>
            <w:r w:rsidRPr="00537112">
              <w:rPr>
                <w:rFonts w:cs="Verdana"/>
                <w:spacing w:val="-1"/>
                <w:sz w:val="20"/>
                <w:szCs w:val="20"/>
              </w:rPr>
              <w:t>o</w:t>
            </w:r>
            <w:r w:rsidRPr="00537112">
              <w:rPr>
                <w:rFonts w:cs="Verdana"/>
                <w:sz w:val="20"/>
                <w:szCs w:val="20"/>
              </w:rPr>
              <w:t>n</w:t>
            </w:r>
            <w:r w:rsidRPr="00537112">
              <w:rPr>
                <w:rFonts w:cs="Verdana"/>
                <w:spacing w:val="-7"/>
                <w:sz w:val="20"/>
                <w:szCs w:val="20"/>
              </w:rPr>
              <w:t xml:space="preserve"> </w:t>
            </w:r>
            <w:r w:rsidRPr="00537112">
              <w:rPr>
                <w:rFonts w:cs="Verdana"/>
                <w:sz w:val="20"/>
                <w:szCs w:val="20"/>
              </w:rPr>
              <w:t>Ca</w:t>
            </w:r>
            <w:r w:rsidRPr="00537112">
              <w:rPr>
                <w:rFonts w:cs="Verdana"/>
                <w:spacing w:val="3"/>
                <w:sz w:val="20"/>
                <w:szCs w:val="20"/>
              </w:rPr>
              <w:t>l</w:t>
            </w:r>
            <w:r w:rsidRPr="00537112">
              <w:rPr>
                <w:rFonts w:cs="Verdana"/>
                <w:sz w:val="20"/>
                <w:szCs w:val="20"/>
              </w:rPr>
              <w:t>at</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9690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452915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7D2701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11421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55AD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0003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3182AC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2C2BBD1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7FBB7A" w14:textId="77777777" w:rsidR="00537112" w:rsidRPr="00537112" w:rsidRDefault="00537112" w:rsidP="00537112">
            <w:pPr>
              <w:autoSpaceDE w:val="0"/>
              <w:autoSpaceDN w:val="0"/>
              <w:spacing w:before="9" w:line="170" w:lineRule="exact"/>
              <w:jc w:val="left"/>
              <w:textAlignment w:val="auto"/>
              <w:rPr>
                <w:rFonts w:ascii="Times New Roman" w:hAnsi="Times New Roman"/>
                <w:sz w:val="17"/>
                <w:szCs w:val="17"/>
              </w:rPr>
            </w:pPr>
          </w:p>
          <w:p w14:paraId="2B480DB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642E98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005441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512301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128</w:t>
            </w:r>
          </w:p>
        </w:tc>
        <w:tc>
          <w:tcPr>
            <w:tcW w:w="3958" w:type="dxa"/>
            <w:vMerge w:val="restart"/>
            <w:tcBorders>
              <w:top w:val="single" w:sz="8" w:space="0" w:color="000000"/>
              <w:left w:val="single" w:sz="8" w:space="0" w:color="000000"/>
              <w:bottom w:val="single" w:sz="8" w:space="0" w:color="000000"/>
              <w:right w:val="single" w:sz="8" w:space="0" w:color="000000"/>
            </w:tcBorders>
          </w:tcPr>
          <w:p w14:paraId="55CB1D32" w14:textId="77777777" w:rsidR="00537112" w:rsidRPr="00537112" w:rsidRDefault="00537112" w:rsidP="00537112">
            <w:pPr>
              <w:autoSpaceDE w:val="0"/>
              <w:autoSpaceDN w:val="0"/>
              <w:spacing w:before="9" w:line="170" w:lineRule="exact"/>
              <w:jc w:val="left"/>
              <w:textAlignment w:val="auto"/>
              <w:rPr>
                <w:rFonts w:ascii="Times New Roman" w:hAnsi="Times New Roman"/>
                <w:sz w:val="17"/>
                <w:szCs w:val="17"/>
              </w:rPr>
            </w:pPr>
          </w:p>
          <w:p w14:paraId="6C2BEE5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C635E0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1A943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5B42CC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C2707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3046EE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70FF4E69"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02E5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B1992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240726"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6</w:t>
            </w:r>
            <w:r w:rsidRPr="00537112">
              <w:rPr>
                <w:rFonts w:cs="Verdana"/>
                <w:spacing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4432EEC8"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r>
      <w:tr w:rsidR="00537112" w:rsidRPr="00537112" w14:paraId="531C4C6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701798"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045E907"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097D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483277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u</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av</w:t>
            </w:r>
            <w:r w:rsidRPr="00537112">
              <w:rPr>
                <w:rFonts w:cs="Verdana"/>
                <w:spacing w:val="-1"/>
                <w:position w:val="-1"/>
                <w:sz w:val="20"/>
                <w:szCs w:val="20"/>
              </w:rPr>
              <w:t>e</w:t>
            </w:r>
            <w:r w:rsidRPr="00537112">
              <w:rPr>
                <w:rFonts w:cs="Verdana"/>
                <w:spacing w:val="1"/>
                <w:position w:val="-1"/>
                <w:sz w:val="20"/>
                <w:szCs w:val="20"/>
              </w:rPr>
              <w:t>ntu</w:t>
            </w:r>
            <w:r w:rsidRPr="00537112">
              <w:rPr>
                <w:rFonts w:cs="Verdana"/>
                <w:spacing w:val="-1"/>
                <w:position w:val="-1"/>
                <w:sz w:val="20"/>
                <w:szCs w:val="20"/>
              </w:rPr>
              <w:t>r</w:t>
            </w:r>
            <w:r w:rsidRPr="00537112">
              <w:rPr>
                <w:rFonts w:cs="Verdana"/>
                <w:position w:val="-1"/>
                <w:sz w:val="20"/>
                <w:szCs w:val="20"/>
              </w:rPr>
              <w:t>a</w:t>
            </w:r>
            <w:r w:rsidRPr="00537112">
              <w:rPr>
                <w:rFonts w:cs="Verdana"/>
                <w:spacing w:val="-1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0CC8D129"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AB70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FCF0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A92E7A"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6</w:t>
            </w:r>
            <w:r w:rsidRPr="00537112">
              <w:rPr>
                <w:rFonts w:cs="Verdana"/>
                <w:spacing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0D68E93F"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é</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r>
      <w:tr w:rsidR="00537112" w:rsidRPr="00537112" w14:paraId="0ADFDA6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F0CB903"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6225485"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E1167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1CBC9D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ut</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2938317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C952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6AA5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4A3A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16C1F0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64DBE07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BCF77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2F1D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9C3D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1FFDC0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m</w:t>
            </w:r>
            <w:r w:rsidRPr="00537112">
              <w:rPr>
                <w:rFonts w:cs="Verdana"/>
                <w:spacing w:val="3"/>
                <w:position w:val="-1"/>
                <w:sz w:val="20"/>
                <w:szCs w:val="20"/>
              </w:rPr>
              <w:t>il</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02335372"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3FA97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F564CAC" w14:textId="77777777" w:rsidR="00537112" w:rsidRPr="00537112" w:rsidRDefault="00537112" w:rsidP="00537112">
            <w:pPr>
              <w:autoSpaceDE w:val="0"/>
              <w:autoSpaceDN w:val="0"/>
              <w:spacing w:before="13" w:line="240" w:lineRule="exact"/>
              <w:jc w:val="left"/>
              <w:textAlignment w:val="auto"/>
              <w:rPr>
                <w:rFonts w:ascii="Times New Roman" w:hAnsi="Times New Roman"/>
              </w:rPr>
            </w:pPr>
          </w:p>
          <w:p w14:paraId="6CC82CA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129</w:t>
            </w:r>
          </w:p>
        </w:tc>
        <w:tc>
          <w:tcPr>
            <w:tcW w:w="3958" w:type="dxa"/>
            <w:vMerge w:val="restart"/>
            <w:tcBorders>
              <w:top w:val="single" w:sz="8" w:space="0" w:color="000000"/>
              <w:left w:val="single" w:sz="8" w:space="0" w:color="000000"/>
              <w:bottom w:val="single" w:sz="8" w:space="0" w:color="000000"/>
              <w:right w:val="single" w:sz="8" w:space="0" w:color="000000"/>
            </w:tcBorders>
          </w:tcPr>
          <w:p w14:paraId="566648D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D05BDF8" w14:textId="77777777" w:rsidR="00537112" w:rsidRPr="00537112" w:rsidRDefault="00537112" w:rsidP="00537112">
            <w:pPr>
              <w:autoSpaceDE w:val="0"/>
              <w:autoSpaceDN w:val="0"/>
              <w:spacing w:before="13" w:line="240" w:lineRule="exact"/>
              <w:jc w:val="left"/>
              <w:textAlignment w:val="auto"/>
              <w:rPr>
                <w:rFonts w:ascii="Times New Roman" w:hAnsi="Times New Roman"/>
              </w:rPr>
            </w:pPr>
          </w:p>
          <w:p w14:paraId="5055A6B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rco</w:t>
            </w:r>
            <w:r w:rsidRPr="00537112">
              <w:rPr>
                <w:rFonts w:cs="Verdana"/>
                <w:sz w:val="20"/>
                <w:szCs w:val="20"/>
              </w:rPr>
              <w:t>s</w:t>
            </w:r>
            <w:r w:rsidRPr="00537112">
              <w:rPr>
                <w:rFonts w:cs="Verdana"/>
                <w:spacing w:val="-8"/>
                <w:sz w:val="20"/>
                <w:szCs w:val="20"/>
              </w:rPr>
              <w:t xml:space="preserve"> </w:t>
            </w:r>
            <w:r w:rsidRPr="00537112">
              <w:rPr>
                <w:rFonts w:cs="Verdana"/>
                <w:spacing w:val="1"/>
                <w:sz w:val="20"/>
                <w:szCs w:val="20"/>
              </w:rPr>
              <w:t>U</w:t>
            </w:r>
            <w:r w:rsidRPr="00537112">
              <w:rPr>
                <w:rFonts w:cs="Verdana"/>
                <w:spacing w:val="-1"/>
                <w:sz w:val="20"/>
                <w:szCs w:val="20"/>
              </w:rPr>
              <w:t>sc</w:t>
            </w:r>
            <w:r w:rsidRPr="00537112">
              <w:rPr>
                <w:rFonts w:cs="Verdana"/>
                <w:sz w:val="20"/>
                <w:szCs w:val="20"/>
              </w:rPr>
              <w:t>ap</w:t>
            </w:r>
            <w:r w:rsidRPr="00537112">
              <w:rPr>
                <w:rFonts w:cs="Verdana"/>
                <w:spacing w:val="-6"/>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0E989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1A4272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p>
        </w:tc>
      </w:tr>
      <w:tr w:rsidR="00537112" w:rsidRPr="00537112" w14:paraId="11E85BD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14DE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B01D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45C63F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077440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spacing w:val="3"/>
                <w:position w:val="-1"/>
                <w:sz w:val="20"/>
                <w:szCs w:val="20"/>
              </w:rPr>
              <w:t>l</w:t>
            </w:r>
          </w:p>
        </w:tc>
      </w:tr>
      <w:tr w:rsidR="00537112" w:rsidRPr="00537112" w14:paraId="06D409B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17F1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9927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58B40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0A269F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16E261C7" w14:textId="77777777" w:rsidTr="00630EEC">
        <w:trPr>
          <w:trHeight w:hRule="exact" w:val="44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F84BD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25DBE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52FAF0" w14:textId="77777777" w:rsidR="00537112" w:rsidRPr="00537112" w:rsidRDefault="00537112" w:rsidP="00537112">
            <w:pPr>
              <w:autoSpaceDE w:val="0"/>
              <w:autoSpaceDN w:val="0"/>
              <w:spacing w:before="90" w:line="240" w:lineRule="auto"/>
              <w:ind w:right="-20"/>
              <w:jc w:val="left"/>
              <w:textAlignment w:val="auto"/>
              <w:rPr>
                <w:rFonts w:ascii="Times New Roman" w:hAnsi="Times New Roman"/>
              </w:rPr>
            </w:pPr>
            <w:r w:rsidRPr="00537112">
              <w:rPr>
                <w:rFonts w:cs="Verdana"/>
                <w:sz w:val="20"/>
                <w:szCs w:val="20"/>
              </w:rPr>
              <w:t>6</w:t>
            </w:r>
            <w:r w:rsidRPr="00537112">
              <w:rPr>
                <w:rFonts w:cs="Verdana"/>
                <w:spacing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377176AB" w14:textId="77777777" w:rsidR="00537112" w:rsidRPr="00537112" w:rsidRDefault="00537112" w:rsidP="00537112">
            <w:pPr>
              <w:autoSpaceDE w:val="0"/>
              <w:autoSpaceDN w:val="0"/>
              <w:spacing w:before="90" w:line="240" w:lineRule="auto"/>
              <w:ind w:right="-20"/>
              <w:jc w:val="left"/>
              <w:textAlignment w:val="auto"/>
              <w:rPr>
                <w:rFonts w:ascii="Times New Roman" w:hAnsi="Times New Roman"/>
              </w:rPr>
            </w:pPr>
            <w:r w:rsidRPr="00537112">
              <w:rPr>
                <w:rFonts w:cs="Verdana"/>
                <w:spacing w:val="1"/>
                <w:sz w:val="20"/>
                <w:szCs w:val="20"/>
              </w:rPr>
              <w:t>Augu</w:t>
            </w:r>
            <w:r w:rsidRPr="00537112">
              <w:rPr>
                <w:rFonts w:cs="Verdana"/>
                <w:spacing w:val="-1"/>
                <w:sz w:val="20"/>
                <w:szCs w:val="20"/>
              </w:rPr>
              <w:t>s</w:t>
            </w:r>
            <w:r w:rsidRPr="00537112">
              <w:rPr>
                <w:rFonts w:cs="Verdana"/>
                <w:spacing w:val="1"/>
                <w:sz w:val="20"/>
                <w:szCs w:val="20"/>
              </w:rPr>
              <w:t>t</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U</w:t>
            </w:r>
            <w:r w:rsidRPr="00537112">
              <w:rPr>
                <w:rFonts w:cs="Verdana"/>
                <w:spacing w:val="-1"/>
                <w:sz w:val="20"/>
                <w:szCs w:val="20"/>
              </w:rPr>
              <w:t>sc</w:t>
            </w:r>
            <w:r w:rsidRPr="00537112">
              <w:rPr>
                <w:rFonts w:cs="Verdana"/>
                <w:sz w:val="20"/>
                <w:szCs w:val="20"/>
              </w:rPr>
              <w:t>ap</w:t>
            </w:r>
            <w:r w:rsidRPr="00537112">
              <w:rPr>
                <w:rFonts w:cs="Verdana"/>
                <w:spacing w:val="-6"/>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p>
        </w:tc>
      </w:tr>
      <w:tr w:rsidR="00537112" w:rsidRPr="00537112" w14:paraId="5DABCB83"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CDD91A"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50E6AB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130</w:t>
            </w:r>
          </w:p>
        </w:tc>
        <w:tc>
          <w:tcPr>
            <w:tcW w:w="3958" w:type="dxa"/>
            <w:vMerge w:val="restart"/>
            <w:tcBorders>
              <w:top w:val="single" w:sz="8" w:space="0" w:color="000000"/>
              <w:left w:val="single" w:sz="8" w:space="0" w:color="000000"/>
              <w:bottom w:val="single" w:sz="8" w:space="0" w:color="000000"/>
              <w:right w:val="single" w:sz="8" w:space="0" w:color="000000"/>
            </w:tcBorders>
          </w:tcPr>
          <w:p w14:paraId="55202DF7"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E904DD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N</w:t>
            </w:r>
            <w:r w:rsidRPr="00537112">
              <w:rPr>
                <w:rFonts w:cs="Verdana"/>
                <w:spacing w:val="3"/>
                <w:sz w:val="20"/>
                <w:szCs w:val="20"/>
              </w:rPr>
              <w:t>i</w:t>
            </w:r>
            <w:r w:rsidRPr="00537112">
              <w:rPr>
                <w:rFonts w:cs="Verdana"/>
                <w:spacing w:val="-1"/>
                <w:sz w:val="20"/>
                <w:szCs w:val="20"/>
              </w:rPr>
              <w:t>co</w:t>
            </w:r>
            <w:r w:rsidRPr="00537112">
              <w:rPr>
                <w:rFonts w:cs="Verdana"/>
                <w:spacing w:val="3"/>
                <w:sz w:val="20"/>
                <w:szCs w:val="20"/>
              </w:rPr>
              <w:t>l</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o</w:t>
            </w:r>
            <w:r w:rsidRPr="00537112">
              <w:rPr>
                <w:rFonts w:cs="Verdana"/>
                <w:spacing w:val="-3"/>
                <w:sz w:val="20"/>
                <w:szCs w:val="20"/>
              </w:rPr>
              <w:t xml:space="preserve"> </w:t>
            </w:r>
            <w:r w:rsidRPr="00537112">
              <w:rPr>
                <w:rFonts w:cs="Verdana"/>
                <w:sz w:val="20"/>
                <w:szCs w:val="20"/>
              </w:rPr>
              <w:t>N</w:t>
            </w:r>
            <w:r w:rsidRPr="00537112">
              <w:rPr>
                <w:rFonts w:cs="Verdana"/>
                <w:spacing w:val="3"/>
                <w:sz w:val="20"/>
                <w:szCs w:val="20"/>
              </w:rPr>
              <w:t>i</w:t>
            </w:r>
            <w:r w:rsidRPr="00537112">
              <w:rPr>
                <w:rFonts w:cs="Verdana"/>
                <w:spacing w:val="-1"/>
                <w:sz w:val="20"/>
                <w:szCs w:val="20"/>
              </w:rPr>
              <w:t>co</w:t>
            </w:r>
            <w:r w:rsidRPr="00537112">
              <w:rPr>
                <w:rFonts w:cs="Verdana"/>
                <w:spacing w:val="3"/>
                <w:sz w:val="20"/>
                <w:szCs w:val="20"/>
              </w:rPr>
              <w:t>l</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0848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05D1D3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4465715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2AB3D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E68FA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4E6C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27A6C8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5201A9A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BB11D2"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5DA763A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9A5F61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EE003E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131</w:t>
            </w:r>
          </w:p>
        </w:tc>
        <w:tc>
          <w:tcPr>
            <w:tcW w:w="3958" w:type="dxa"/>
            <w:vMerge w:val="restart"/>
            <w:tcBorders>
              <w:top w:val="single" w:sz="8" w:space="0" w:color="000000"/>
              <w:left w:val="single" w:sz="8" w:space="0" w:color="000000"/>
              <w:bottom w:val="single" w:sz="8" w:space="0" w:color="000000"/>
              <w:right w:val="single" w:sz="8" w:space="0" w:color="000000"/>
            </w:tcBorders>
          </w:tcPr>
          <w:p w14:paraId="2302FD34"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44B87B9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46A6FE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253CA2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Le</w:t>
            </w:r>
            <w:r w:rsidRPr="00537112">
              <w:rPr>
                <w:rFonts w:cs="Verdana"/>
                <w:sz w:val="20"/>
                <w:szCs w:val="20"/>
              </w:rPr>
              <w:t>a</w:t>
            </w:r>
            <w:r w:rsidRPr="00537112">
              <w:rPr>
                <w:rFonts w:cs="Verdana"/>
                <w:spacing w:val="1"/>
                <w:sz w:val="20"/>
                <w:szCs w:val="20"/>
              </w:rPr>
              <w:t>nd</w:t>
            </w:r>
            <w:r w:rsidRPr="00537112">
              <w:rPr>
                <w:rFonts w:cs="Verdana"/>
                <w:spacing w:val="-1"/>
                <w:sz w:val="20"/>
                <w:szCs w:val="20"/>
              </w:rPr>
              <w:t>r</w:t>
            </w:r>
            <w:r w:rsidRPr="00537112">
              <w:rPr>
                <w:rFonts w:cs="Verdana"/>
                <w:sz w:val="20"/>
                <w:szCs w:val="20"/>
              </w:rPr>
              <w:t>o</w:t>
            </w:r>
            <w:r w:rsidRPr="00537112">
              <w:rPr>
                <w:rFonts w:cs="Verdana"/>
                <w:spacing w:val="-10"/>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7F47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54DD89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r>
      <w:tr w:rsidR="00537112" w:rsidRPr="00537112" w14:paraId="4B6B76F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D67A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1FE2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49B6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6BF906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10F4641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4C007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5E89ED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82236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637EC2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Er</w:t>
            </w:r>
            <w:r w:rsidRPr="00537112">
              <w:rPr>
                <w:rFonts w:cs="Verdana"/>
                <w:spacing w:val="1"/>
                <w:position w:val="-1"/>
                <w:sz w:val="20"/>
                <w:szCs w:val="20"/>
              </w:rPr>
              <w:t>n</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1CE545E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B0F0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11644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50BA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4A0AD6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1"/>
                <w:position w:val="-1"/>
                <w:sz w:val="20"/>
                <w:szCs w:val="20"/>
              </w:rPr>
              <w:t>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Ge</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4AD3791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2B875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981B3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CF3D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6C7E78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ia</w:t>
            </w:r>
          </w:p>
        </w:tc>
      </w:tr>
      <w:tr w:rsidR="00537112" w:rsidRPr="00537112" w14:paraId="668A211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DD9E9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BCDCB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0F732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664E57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3"/>
                <w:position w:val="-1"/>
                <w:sz w:val="20"/>
                <w:szCs w:val="20"/>
              </w:rPr>
              <w:t>il</w:t>
            </w:r>
            <w:r w:rsidRPr="00537112">
              <w:rPr>
                <w:rFonts w:cs="Verdana"/>
                <w:spacing w:val="-1"/>
                <w:position w:val="-1"/>
                <w:sz w:val="20"/>
                <w:szCs w:val="20"/>
              </w:rPr>
              <w:t>c</w:t>
            </w:r>
            <w:r w:rsidRPr="00537112">
              <w:rPr>
                <w:rFonts w:cs="Verdana"/>
                <w:position w:val="-1"/>
                <w:sz w:val="20"/>
                <w:szCs w:val="20"/>
              </w:rPr>
              <w:t>ar</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ía</w:t>
            </w:r>
          </w:p>
        </w:tc>
      </w:tr>
      <w:tr w:rsidR="00537112" w:rsidRPr="00537112" w14:paraId="32441F4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C2376B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8E601C"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0C0A084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132</w:t>
            </w:r>
          </w:p>
        </w:tc>
        <w:tc>
          <w:tcPr>
            <w:tcW w:w="3958" w:type="dxa"/>
            <w:vMerge w:val="restart"/>
            <w:tcBorders>
              <w:top w:val="single" w:sz="8" w:space="0" w:color="000000"/>
              <w:left w:val="single" w:sz="8" w:space="0" w:color="000000"/>
              <w:bottom w:val="single" w:sz="8" w:space="0" w:color="000000"/>
              <w:right w:val="single" w:sz="8" w:space="0" w:color="000000"/>
            </w:tcBorders>
          </w:tcPr>
          <w:p w14:paraId="77EBB00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CC0303"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589C4C4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G</w:t>
            </w:r>
            <w:r w:rsidRPr="00537112">
              <w:rPr>
                <w:rFonts w:cs="Verdana"/>
                <w:spacing w:val="1"/>
                <w:sz w:val="20"/>
                <w:szCs w:val="20"/>
              </w:rPr>
              <w:t>u</w:t>
            </w:r>
            <w:r w:rsidRPr="00537112">
              <w:rPr>
                <w:rFonts w:cs="Verdana"/>
                <w:spacing w:val="3"/>
                <w:sz w:val="20"/>
                <w:szCs w:val="20"/>
              </w:rPr>
              <w:t>ill</w:t>
            </w:r>
            <w:r w:rsidRPr="00537112">
              <w:rPr>
                <w:rFonts w:cs="Verdana"/>
                <w:spacing w:val="-1"/>
                <w:sz w:val="20"/>
                <w:szCs w:val="20"/>
              </w:rPr>
              <w:t>er</w:t>
            </w:r>
            <w:r w:rsidRPr="00537112">
              <w:rPr>
                <w:rFonts w:cs="Verdana"/>
                <w:spacing w:val="1"/>
                <w:sz w:val="20"/>
                <w:szCs w:val="20"/>
              </w:rPr>
              <w:t>m</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261B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740D03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1"/>
                <w:position w:val="-1"/>
                <w:sz w:val="20"/>
                <w:szCs w:val="20"/>
              </w:rPr>
              <w:t>u</w:t>
            </w:r>
            <w:r w:rsidRPr="00537112">
              <w:rPr>
                <w:rFonts w:cs="Verdana"/>
                <w:spacing w:val="3"/>
                <w:position w:val="-1"/>
                <w:sz w:val="20"/>
                <w:szCs w:val="20"/>
              </w:rPr>
              <w:t>ill</w:t>
            </w:r>
            <w:r w:rsidRPr="00537112">
              <w:rPr>
                <w:rFonts w:cs="Verdana"/>
                <w:spacing w:val="-1"/>
                <w:position w:val="-1"/>
                <w:sz w:val="20"/>
                <w:szCs w:val="20"/>
              </w:rPr>
              <w:t>er</w:t>
            </w:r>
            <w:r w:rsidRPr="00537112">
              <w:rPr>
                <w:rFonts w:cs="Verdana"/>
                <w:spacing w:val="1"/>
                <w:position w:val="-1"/>
                <w:sz w:val="20"/>
                <w:szCs w:val="20"/>
              </w:rPr>
              <w:t>m</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68CFDF6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A6FAD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959F3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E5B3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592E85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r>
      <w:tr w:rsidR="00537112" w:rsidRPr="00537112" w14:paraId="2C5A8EE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BACC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4294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42E1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0FD653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h</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5FBE625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92A33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2F462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4858C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12624A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Osc</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z</w:t>
            </w:r>
            <w:r w:rsidRPr="00537112">
              <w:rPr>
                <w:rFonts w:cs="Verdana"/>
                <w:spacing w:val="-1"/>
                <w:position w:val="-1"/>
                <w:sz w:val="20"/>
                <w:szCs w:val="20"/>
              </w:rPr>
              <w:t>e</w:t>
            </w:r>
            <w:r w:rsidRPr="00537112">
              <w:rPr>
                <w:rFonts w:cs="Verdana"/>
                <w:spacing w:val="1"/>
                <w:position w:val="-1"/>
                <w:sz w:val="20"/>
                <w:szCs w:val="20"/>
              </w:rPr>
              <w:t>qu</w:t>
            </w:r>
            <w:r w:rsidRPr="00537112">
              <w:rPr>
                <w:rFonts w:cs="Verdana"/>
                <w:spacing w:val="3"/>
                <w:position w:val="-1"/>
                <w:sz w:val="20"/>
                <w:szCs w:val="20"/>
              </w:rPr>
              <w:t>i</w:t>
            </w:r>
            <w:r w:rsidRPr="00537112">
              <w:rPr>
                <w:rFonts w:cs="Verdana"/>
                <w:spacing w:val="-1"/>
                <w:position w:val="-1"/>
                <w:sz w:val="20"/>
                <w:szCs w:val="20"/>
              </w:rPr>
              <w:t>e</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0AF793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CF19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50EDC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63701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373B80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May</w:t>
            </w:r>
            <w:r w:rsidRPr="00537112">
              <w:rPr>
                <w:rFonts w:cs="Verdana"/>
                <w:spacing w:val="-1"/>
                <w:position w:val="-1"/>
                <w:sz w:val="20"/>
                <w:szCs w:val="20"/>
              </w:rPr>
              <w:t>r</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Jud</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h</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3F3E0A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6CAC750"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C4D441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133</w:t>
            </w:r>
          </w:p>
        </w:tc>
        <w:tc>
          <w:tcPr>
            <w:tcW w:w="3958" w:type="dxa"/>
            <w:vMerge w:val="restart"/>
            <w:tcBorders>
              <w:top w:val="single" w:sz="8" w:space="0" w:color="000000"/>
              <w:left w:val="single" w:sz="8" w:space="0" w:color="000000"/>
              <w:bottom w:val="single" w:sz="8" w:space="0" w:color="000000"/>
              <w:right w:val="single" w:sz="8" w:space="0" w:color="000000"/>
            </w:tcBorders>
          </w:tcPr>
          <w:p w14:paraId="0B393D16"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2DE9209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f</w:t>
            </w:r>
            <w:r w:rsidRPr="00537112">
              <w:rPr>
                <w:rFonts w:cs="Verdana"/>
                <w:sz w:val="20"/>
                <w:szCs w:val="20"/>
              </w:rPr>
              <w:t>a</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z w:val="20"/>
                <w:szCs w:val="20"/>
              </w:rPr>
              <w:t>Ca</w:t>
            </w:r>
            <w:r w:rsidRPr="00537112">
              <w:rPr>
                <w:rFonts w:cs="Verdana"/>
                <w:spacing w:val="3"/>
                <w:sz w:val="20"/>
                <w:szCs w:val="20"/>
              </w:rPr>
              <w:t>l</w:t>
            </w:r>
            <w:r w:rsidRPr="00537112">
              <w:rPr>
                <w:rFonts w:cs="Verdana"/>
                <w:sz w:val="20"/>
                <w:szCs w:val="20"/>
              </w:rPr>
              <w:t>at</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9482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536C7C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2370372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DFE4A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F8D1A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34EAB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3C1F9A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7AFF0A3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2FF79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DDF4A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A367A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5701CC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DDB6FF8"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387A0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2AD933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F6764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52584CD"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2B647D9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134</w:t>
            </w:r>
          </w:p>
        </w:tc>
        <w:tc>
          <w:tcPr>
            <w:tcW w:w="3958" w:type="dxa"/>
            <w:vMerge w:val="restart"/>
            <w:tcBorders>
              <w:top w:val="single" w:sz="8" w:space="0" w:color="000000"/>
              <w:left w:val="single" w:sz="8" w:space="0" w:color="000000"/>
              <w:bottom w:val="single" w:sz="8" w:space="0" w:color="000000"/>
              <w:right w:val="single" w:sz="8" w:space="0" w:color="000000"/>
            </w:tcBorders>
          </w:tcPr>
          <w:p w14:paraId="49340BB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CB3165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D6E03A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08E8F34"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2818BBE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f</w:t>
            </w:r>
            <w:r w:rsidRPr="00537112">
              <w:rPr>
                <w:rFonts w:cs="Verdana"/>
                <w:spacing w:val="3"/>
                <w:sz w:val="20"/>
                <w:szCs w:val="20"/>
              </w:rPr>
              <w:t>i</w:t>
            </w:r>
            <w:r w:rsidRPr="00537112">
              <w:rPr>
                <w:rFonts w:cs="Verdana"/>
                <w:spacing w:val="1"/>
                <w:sz w:val="20"/>
                <w:szCs w:val="20"/>
              </w:rPr>
              <w:t>n</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r w:rsidRPr="00537112">
              <w:rPr>
                <w:rFonts w:cs="Verdana"/>
                <w:spacing w:val="-6"/>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EE14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638D46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w:t>
            </w:r>
            <w:r w:rsidRPr="00537112">
              <w:rPr>
                <w:rFonts w:cs="Verdana"/>
                <w:spacing w:val="3"/>
                <w:position w:val="-1"/>
                <w:sz w:val="20"/>
                <w:szCs w:val="20"/>
              </w:rPr>
              <w:t>i</w:t>
            </w:r>
            <w:r w:rsidRPr="00537112">
              <w:rPr>
                <w:rFonts w:cs="Verdana"/>
                <w:spacing w:val="-1"/>
                <w:position w:val="-1"/>
                <w:sz w:val="20"/>
                <w:szCs w:val="20"/>
              </w:rPr>
              <w:t>co</w:t>
            </w:r>
            <w:r w:rsidRPr="00537112">
              <w:rPr>
                <w:rFonts w:cs="Verdana"/>
                <w:spacing w:val="3"/>
                <w:position w:val="-1"/>
                <w:sz w:val="20"/>
                <w:szCs w:val="20"/>
              </w:rPr>
              <w:t>l</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r>
      <w:tr w:rsidR="00537112" w:rsidRPr="00537112" w14:paraId="57EFE33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66363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DD9AB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9BD9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200416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BFE47E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8ED08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8608E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45D0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60619E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r>
      <w:tr w:rsidR="00537112" w:rsidRPr="00537112" w14:paraId="0BDCB36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19C9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96194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9CFA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0431F6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59F63A9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DA72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7783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0369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3CF9E5E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5CEC408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631B0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B4C36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5D0C1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74AE47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Rub</w:t>
            </w:r>
            <w:r w:rsidRPr="00537112">
              <w:rPr>
                <w:rFonts w:cs="Verdana"/>
                <w:spacing w:val="-1"/>
                <w:position w:val="-1"/>
                <w:sz w:val="20"/>
                <w:szCs w:val="20"/>
              </w:rPr>
              <w:t>e</w:t>
            </w:r>
            <w:r w:rsidRPr="00537112">
              <w:rPr>
                <w:rFonts w:cs="Verdana"/>
                <w:position w:val="-1"/>
                <w:sz w:val="20"/>
                <w:szCs w:val="20"/>
              </w:rPr>
              <w:t>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r>
      <w:tr w:rsidR="00537112" w:rsidRPr="00537112" w14:paraId="2BA5122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E74CF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2535F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8A69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0FF100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0D03A67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6B5C1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5C19E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FE531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76B15B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position w:val="-1"/>
                <w:sz w:val="20"/>
                <w:szCs w:val="20"/>
              </w:rPr>
              <w:t>s</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r>
      <w:tr w:rsidR="00537112" w:rsidRPr="00537112" w14:paraId="2C4EB05C"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014EF7A"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E33FE8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BB8476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135</w:t>
            </w:r>
          </w:p>
        </w:tc>
        <w:tc>
          <w:tcPr>
            <w:tcW w:w="3958" w:type="dxa"/>
            <w:vMerge w:val="restart"/>
            <w:tcBorders>
              <w:top w:val="single" w:sz="8" w:space="0" w:color="000000"/>
              <w:left w:val="single" w:sz="8" w:space="0" w:color="000000"/>
              <w:bottom w:val="single" w:sz="8" w:space="0" w:color="000000"/>
              <w:right w:val="single" w:sz="8" w:space="0" w:color="000000"/>
            </w:tcBorders>
          </w:tcPr>
          <w:p w14:paraId="7798036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DC736C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E8C1D5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z w:val="20"/>
                <w:szCs w:val="20"/>
              </w:rPr>
              <w:t>a</w:t>
            </w:r>
            <w:r w:rsidRPr="00537112">
              <w:rPr>
                <w:rFonts w:cs="Verdana"/>
                <w:spacing w:val="1"/>
                <w:sz w:val="20"/>
                <w:szCs w:val="20"/>
              </w:rPr>
              <w:t>nt</w:t>
            </w:r>
            <w:r w:rsidRPr="00537112">
              <w:rPr>
                <w:rFonts w:cs="Verdana"/>
                <w:spacing w:val="3"/>
                <w:sz w:val="20"/>
                <w:szCs w:val="20"/>
              </w:rPr>
              <w:t>i</w:t>
            </w:r>
            <w:r w:rsidRPr="00537112">
              <w:rPr>
                <w:rFonts w:cs="Verdana"/>
                <w:sz w:val="20"/>
                <w:szCs w:val="20"/>
              </w:rPr>
              <w:t>a</w:t>
            </w:r>
            <w:r w:rsidRPr="00537112">
              <w:rPr>
                <w:rFonts w:cs="Verdana"/>
                <w:spacing w:val="1"/>
                <w:sz w:val="20"/>
                <w:szCs w:val="20"/>
              </w:rPr>
              <w:t>g</w:t>
            </w:r>
            <w:r w:rsidRPr="00537112">
              <w:rPr>
                <w:rFonts w:cs="Verdana"/>
                <w:sz w:val="20"/>
                <w:szCs w:val="20"/>
              </w:rPr>
              <w:t>o</w:t>
            </w:r>
            <w:r w:rsidRPr="00537112">
              <w:rPr>
                <w:rFonts w:cs="Verdana"/>
                <w:spacing w:val="-11"/>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04F93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67CC86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v</w:t>
            </w:r>
            <w:r w:rsidRPr="00537112">
              <w:rPr>
                <w:rFonts w:cs="Verdana"/>
                <w:spacing w:val="-1"/>
                <w:position w:val="-1"/>
                <w:sz w:val="20"/>
                <w:szCs w:val="20"/>
              </w:rPr>
              <w:t>o</w:t>
            </w:r>
            <w:r w:rsidRPr="00537112">
              <w:rPr>
                <w:rFonts w:cs="Verdana"/>
                <w:position w:val="-1"/>
                <w:sz w:val="20"/>
                <w:szCs w:val="20"/>
              </w:rPr>
              <w:t>y</w:t>
            </w:r>
          </w:p>
        </w:tc>
      </w:tr>
      <w:tr w:rsidR="00537112" w:rsidRPr="00537112" w14:paraId="1EA9EB5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D097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A497C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27F9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689E5E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b</w:t>
            </w:r>
            <w:r w:rsidRPr="00537112">
              <w:rPr>
                <w:rFonts w:cs="Verdana"/>
                <w:spacing w:val="-1"/>
                <w:position w:val="-1"/>
                <w:sz w:val="20"/>
                <w:szCs w:val="20"/>
              </w:rPr>
              <w:t>oy</w:t>
            </w:r>
          </w:p>
        </w:tc>
      </w:tr>
      <w:tr w:rsidR="00537112" w:rsidRPr="00537112" w14:paraId="782A901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7B59AF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D0762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4C68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615E42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b</w:t>
            </w:r>
            <w:r w:rsidRPr="00537112">
              <w:rPr>
                <w:rFonts w:cs="Verdana"/>
                <w:spacing w:val="-1"/>
                <w:position w:val="-1"/>
                <w:sz w:val="20"/>
                <w:szCs w:val="20"/>
              </w:rPr>
              <w:t>óy</w:t>
            </w:r>
          </w:p>
        </w:tc>
      </w:tr>
      <w:tr w:rsidR="00537112" w:rsidRPr="00537112" w14:paraId="3E791EF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E720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4DA37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8EBE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1935C2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al</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b</w:t>
            </w:r>
            <w:r w:rsidRPr="00537112">
              <w:rPr>
                <w:rFonts w:cs="Verdana"/>
                <w:spacing w:val="-1"/>
                <w:position w:val="-1"/>
                <w:sz w:val="20"/>
                <w:szCs w:val="20"/>
              </w:rPr>
              <w:t>oy</w:t>
            </w:r>
          </w:p>
        </w:tc>
      </w:tr>
      <w:tr w:rsidR="00537112" w:rsidRPr="00537112" w14:paraId="6624B63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7A4C5B6"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1741BFD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136</w:t>
            </w:r>
          </w:p>
        </w:tc>
        <w:tc>
          <w:tcPr>
            <w:tcW w:w="3958" w:type="dxa"/>
            <w:vMerge w:val="restart"/>
            <w:tcBorders>
              <w:top w:val="single" w:sz="8" w:space="0" w:color="000000"/>
              <w:left w:val="single" w:sz="8" w:space="0" w:color="000000"/>
              <w:bottom w:val="single" w:sz="8" w:space="0" w:color="000000"/>
              <w:right w:val="single" w:sz="8" w:space="0" w:color="000000"/>
            </w:tcBorders>
          </w:tcPr>
          <w:p w14:paraId="506A7EF0"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2094AE7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o</w:t>
            </w:r>
            <w:r w:rsidRPr="00537112">
              <w:rPr>
                <w:rFonts w:cs="Verdana"/>
                <w:spacing w:val="-11"/>
                <w:sz w:val="20"/>
                <w:szCs w:val="20"/>
              </w:rPr>
              <w:t xml:space="preserve"> </w:t>
            </w:r>
            <w:r w:rsidRPr="00537112">
              <w:rPr>
                <w:rFonts w:cs="Verdana"/>
                <w:sz w:val="20"/>
                <w:szCs w:val="20"/>
              </w:rPr>
              <w:t>Ma</w:t>
            </w:r>
            <w:r w:rsidRPr="00537112">
              <w:rPr>
                <w:rFonts w:cs="Verdana"/>
                <w:spacing w:val="1"/>
                <w:sz w:val="20"/>
                <w:szCs w:val="20"/>
              </w:rPr>
              <w:t>t</w:t>
            </w:r>
            <w:r w:rsidRPr="00537112">
              <w:rPr>
                <w:rFonts w:cs="Verdana"/>
                <w:spacing w:val="3"/>
                <w:sz w:val="20"/>
                <w:szCs w:val="20"/>
              </w:rPr>
              <w:t>í</w:t>
            </w:r>
            <w:r w:rsidRPr="00537112">
              <w:rPr>
                <w:rFonts w:cs="Verdana"/>
                <w:sz w:val="20"/>
                <w:szCs w:val="20"/>
              </w:rPr>
              <w:t>as</w:t>
            </w:r>
            <w:r w:rsidRPr="00537112">
              <w:rPr>
                <w:rFonts w:cs="Verdana"/>
                <w:spacing w:val="-7"/>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1"/>
                <w:sz w:val="20"/>
                <w:szCs w:val="20"/>
              </w:rPr>
              <w:t>j</w:t>
            </w:r>
            <w:r w:rsidRPr="00537112">
              <w:rPr>
                <w:rFonts w:cs="Verdana"/>
                <w:spacing w:val="-1"/>
                <w:sz w:val="20"/>
                <w:szCs w:val="20"/>
              </w:rPr>
              <w:t>o</w:t>
            </w:r>
            <w:r w:rsidRPr="00537112">
              <w:rPr>
                <w:rFonts w:cs="Verdana"/>
                <w:sz w:val="20"/>
                <w:szCs w:val="20"/>
              </w:rPr>
              <w:t>m</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2F670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434FC4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61D1E4D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96ED5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C1130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7E64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3DEA55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p>
        </w:tc>
      </w:tr>
      <w:tr w:rsidR="00537112" w:rsidRPr="00537112" w14:paraId="0E5C7A9A" w14:textId="77777777" w:rsidTr="00630EEC">
        <w:trPr>
          <w:trHeight w:hRule="exact" w:val="475"/>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4C44782D" w14:textId="77777777" w:rsidR="00537112" w:rsidRPr="00537112" w:rsidRDefault="00537112" w:rsidP="00537112">
            <w:pPr>
              <w:autoSpaceDE w:val="0"/>
              <w:autoSpaceDN w:val="0"/>
              <w:spacing w:line="240" w:lineRule="auto"/>
              <w:jc w:val="left"/>
              <w:textAlignment w:val="auto"/>
              <w:rPr>
                <w:rFonts w:cs="Verdana"/>
                <w:b/>
                <w:bCs/>
                <w:sz w:val="20"/>
                <w:szCs w:val="20"/>
              </w:rPr>
            </w:pPr>
          </w:p>
          <w:p w14:paraId="79C3240C" w14:textId="77777777" w:rsidR="00537112" w:rsidRPr="00537112" w:rsidRDefault="00537112" w:rsidP="00537112">
            <w:pPr>
              <w:autoSpaceDE w:val="0"/>
              <w:autoSpaceDN w:val="0"/>
              <w:spacing w:line="240" w:lineRule="auto"/>
              <w:jc w:val="center"/>
              <w:textAlignment w:val="auto"/>
              <w:rPr>
                <w:rFonts w:ascii="Times New Roman" w:hAnsi="Times New Roman"/>
              </w:rPr>
            </w:pPr>
            <w:r w:rsidRPr="00537112">
              <w:rPr>
                <w:rFonts w:cs="Verdana"/>
                <w:b/>
                <w:bCs/>
                <w:sz w:val="20"/>
                <w:szCs w:val="20"/>
              </w:rPr>
              <w:t>137</w:t>
            </w:r>
          </w:p>
        </w:tc>
        <w:tc>
          <w:tcPr>
            <w:tcW w:w="3958" w:type="dxa"/>
            <w:vMerge w:val="restart"/>
            <w:tcBorders>
              <w:top w:val="single" w:sz="8" w:space="0" w:color="000000"/>
              <w:left w:val="single" w:sz="8" w:space="0" w:color="000000"/>
              <w:bottom w:val="nil"/>
              <w:right w:val="single" w:sz="8" w:space="0" w:color="000000"/>
            </w:tcBorders>
          </w:tcPr>
          <w:p w14:paraId="4E4AC80F" w14:textId="77777777" w:rsidR="00537112" w:rsidRPr="00537112" w:rsidRDefault="00537112" w:rsidP="00537112">
            <w:pPr>
              <w:autoSpaceDE w:val="0"/>
              <w:autoSpaceDN w:val="0"/>
              <w:spacing w:line="240" w:lineRule="auto"/>
              <w:jc w:val="left"/>
              <w:textAlignment w:val="auto"/>
              <w:rPr>
                <w:rFonts w:cs="Verdana"/>
                <w:spacing w:val="-2"/>
                <w:sz w:val="20"/>
                <w:szCs w:val="20"/>
              </w:rPr>
            </w:pPr>
          </w:p>
          <w:p w14:paraId="25E9D047" w14:textId="77777777" w:rsidR="00537112" w:rsidRPr="00537112" w:rsidRDefault="00537112" w:rsidP="00537112">
            <w:pPr>
              <w:autoSpaceDE w:val="0"/>
              <w:autoSpaceDN w:val="0"/>
              <w:spacing w:line="240" w:lineRule="auto"/>
              <w:jc w:val="left"/>
              <w:textAlignment w:val="auto"/>
              <w:rPr>
                <w:rFonts w:ascii="Times New Roman" w:hAnsi="Times New Roman"/>
              </w:rPr>
            </w:pPr>
            <w:r w:rsidRPr="00537112">
              <w:rPr>
                <w:rFonts w:cs="Verdana"/>
                <w:spacing w:val="-2"/>
                <w:sz w:val="20"/>
                <w:szCs w:val="20"/>
              </w:rPr>
              <w:t>I</w:t>
            </w:r>
            <w:r w:rsidRPr="00537112">
              <w:rPr>
                <w:rFonts w:cs="Verdana"/>
                <w:spacing w:val="-1"/>
                <w:sz w:val="20"/>
                <w:szCs w:val="20"/>
              </w:rPr>
              <w:t>s</w:t>
            </w:r>
            <w:r w:rsidRPr="00537112">
              <w:rPr>
                <w:rFonts w:cs="Verdana"/>
                <w:sz w:val="20"/>
                <w:szCs w:val="20"/>
              </w:rPr>
              <w:t>a</w:t>
            </w:r>
            <w:r w:rsidRPr="00537112">
              <w:rPr>
                <w:rFonts w:cs="Verdana"/>
                <w:spacing w:val="1"/>
                <w:sz w:val="20"/>
                <w:szCs w:val="20"/>
              </w:rPr>
              <w:t>b</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j</w:t>
            </w:r>
            <w:r w:rsidRPr="00537112">
              <w:rPr>
                <w:rFonts w:cs="Verdana"/>
                <w:sz w:val="20"/>
                <w:szCs w:val="20"/>
              </w:rPr>
              <w:t>as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E7EB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7D49AC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ore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32714B88" w14:textId="77777777" w:rsidTr="00630EEC">
        <w:trPr>
          <w:trHeight w:hRule="exact" w:val="403"/>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0CD823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5AE683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5B27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3C01F7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Efr</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z</w:t>
            </w:r>
          </w:p>
        </w:tc>
      </w:tr>
      <w:tr w:rsidR="00537112" w:rsidRPr="00537112" w14:paraId="1392B0F8"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3F6B64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160A59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1528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14BF8D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Héc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0170C9F3"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7D9BE8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61463C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8722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0142F9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bl>
    <w:p w14:paraId="5F0024ED"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23957F89"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6BA5FEAD" w14:textId="77777777" w:rsidTr="00630EEC">
        <w:trPr>
          <w:trHeight w:hRule="exact" w:val="247"/>
        </w:trPr>
        <w:tc>
          <w:tcPr>
            <w:tcW w:w="977" w:type="dxa"/>
            <w:vMerge w:val="restart"/>
            <w:tcBorders>
              <w:top w:val="nil"/>
              <w:left w:val="single" w:sz="8" w:space="0" w:color="000000"/>
              <w:bottom w:val="single" w:sz="8" w:space="0" w:color="000000"/>
              <w:right w:val="single" w:sz="8" w:space="0" w:color="000000"/>
            </w:tcBorders>
            <w:shd w:val="clear" w:color="auto" w:fill="BFBFBF" w:themeFill="background1" w:themeFillShade="BF"/>
          </w:tcPr>
          <w:p w14:paraId="394A776C" w14:textId="77777777" w:rsidR="00537112" w:rsidRPr="00537112" w:rsidRDefault="00537112" w:rsidP="00537112">
            <w:pPr>
              <w:autoSpaceDE w:val="0"/>
              <w:autoSpaceDN w:val="0"/>
              <w:spacing w:before="18" w:line="220" w:lineRule="exact"/>
              <w:jc w:val="left"/>
              <w:textAlignment w:val="auto"/>
              <w:rPr>
                <w:rFonts w:ascii="Times New Roman" w:hAnsi="Times New Roman"/>
                <w:sz w:val="22"/>
                <w:szCs w:val="22"/>
              </w:rPr>
            </w:pPr>
          </w:p>
          <w:p w14:paraId="78D43D1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3958" w:type="dxa"/>
            <w:vMerge w:val="restart"/>
            <w:tcBorders>
              <w:top w:val="nil"/>
              <w:left w:val="single" w:sz="8" w:space="0" w:color="000000"/>
              <w:bottom w:val="single" w:sz="8" w:space="0" w:color="000000"/>
              <w:right w:val="single" w:sz="8" w:space="0" w:color="000000"/>
            </w:tcBorders>
          </w:tcPr>
          <w:p w14:paraId="01390A9B" w14:textId="77777777" w:rsidR="00537112" w:rsidRPr="00537112" w:rsidRDefault="00537112" w:rsidP="00537112">
            <w:pPr>
              <w:autoSpaceDE w:val="0"/>
              <w:autoSpaceDN w:val="0"/>
              <w:spacing w:before="18" w:line="220" w:lineRule="exact"/>
              <w:jc w:val="left"/>
              <w:textAlignment w:val="auto"/>
              <w:rPr>
                <w:rFonts w:ascii="Times New Roman" w:hAnsi="Times New Roman"/>
                <w:sz w:val="22"/>
                <w:szCs w:val="22"/>
              </w:rPr>
            </w:pPr>
          </w:p>
          <w:p w14:paraId="04588F0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47424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06BBBF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Y</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127B00BF"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5A2824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511364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FFBAF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2599A5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E4D8743"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13D84D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6C1823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51CBF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6AEF02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Z</w:t>
            </w:r>
            <w:r w:rsidRPr="00537112">
              <w:rPr>
                <w:rFonts w:cs="Verdana"/>
                <w:spacing w:val="-1"/>
                <w:position w:val="-1"/>
                <w:sz w:val="20"/>
                <w:szCs w:val="20"/>
              </w:rPr>
              <w:t>o</w:t>
            </w:r>
            <w:r w:rsidRPr="00537112">
              <w:rPr>
                <w:rFonts w:cs="Verdana"/>
                <w:spacing w:val="3"/>
                <w:position w:val="-1"/>
                <w:sz w:val="20"/>
                <w:szCs w:val="20"/>
              </w:rPr>
              <w:t>il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014EC576"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2F4B11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6DE54E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00CC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669F1E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w:t>
            </w:r>
            <w:r w:rsidRPr="00537112">
              <w:rPr>
                <w:rFonts w:cs="Verdana"/>
                <w:spacing w:val="-1"/>
                <w:position w:val="-1"/>
                <w:sz w:val="20"/>
                <w:szCs w:val="20"/>
              </w:rPr>
              <w:t>or</w:t>
            </w:r>
            <w:r w:rsidRPr="00537112">
              <w:rPr>
                <w:rFonts w:cs="Verdana"/>
                <w:spacing w:val="1"/>
                <w:position w:val="-1"/>
                <w:sz w:val="20"/>
                <w:szCs w:val="20"/>
              </w:rPr>
              <w:t>m</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p</w:t>
            </w:r>
            <w:r w:rsidRPr="00537112">
              <w:rPr>
                <w:rFonts w:cs="Verdana"/>
                <w:spacing w:val="-1"/>
                <w:position w:val="-1"/>
                <w:sz w:val="20"/>
                <w:szCs w:val="20"/>
              </w:rPr>
              <w:t>er</w:t>
            </w:r>
            <w:r w:rsidRPr="00537112">
              <w:rPr>
                <w:rFonts w:cs="Verdana"/>
                <w:position w:val="-1"/>
                <w:sz w:val="20"/>
                <w:szCs w:val="20"/>
              </w:rPr>
              <w:t>a</w:t>
            </w:r>
            <w:r w:rsidRPr="00537112">
              <w:rPr>
                <w:rFonts w:cs="Verdana"/>
                <w:spacing w:val="1"/>
                <w:position w:val="-1"/>
                <w:sz w:val="20"/>
                <w:szCs w:val="20"/>
              </w:rPr>
              <w:t>nz</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0152564E"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45FA03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2354ED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277D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620553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7F2FC4FC"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4EC5AE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10D1A3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5832D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247A34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Hor</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BB17B65" w14:textId="77777777" w:rsidTr="00630EEC">
        <w:trPr>
          <w:trHeight w:hRule="exact" w:val="247"/>
        </w:trPr>
        <w:tc>
          <w:tcPr>
            <w:tcW w:w="977" w:type="dxa"/>
            <w:vMerge/>
            <w:tcBorders>
              <w:top w:val="nil"/>
              <w:left w:val="single" w:sz="8" w:space="0" w:color="000000"/>
              <w:bottom w:val="single" w:sz="8" w:space="0" w:color="000000"/>
              <w:right w:val="single" w:sz="8" w:space="0" w:color="000000"/>
            </w:tcBorders>
            <w:shd w:val="clear" w:color="auto" w:fill="BFBFBF" w:themeFill="background1" w:themeFillShade="BF"/>
          </w:tcPr>
          <w:p w14:paraId="66A4EB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nil"/>
              <w:left w:val="single" w:sz="8" w:space="0" w:color="000000"/>
              <w:bottom w:val="single" w:sz="8" w:space="0" w:color="000000"/>
              <w:right w:val="single" w:sz="8" w:space="0" w:color="000000"/>
            </w:tcBorders>
          </w:tcPr>
          <w:p w14:paraId="5FE427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DE08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36FE7A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1"/>
                <w:position w:val="-1"/>
                <w:sz w:val="20"/>
                <w:szCs w:val="20"/>
              </w:rPr>
              <w:t>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position w:val="-1"/>
                <w:sz w:val="20"/>
                <w:szCs w:val="20"/>
              </w:rPr>
              <w:t>Pa</w:t>
            </w:r>
            <w:r w:rsidRPr="00537112">
              <w:rPr>
                <w:rFonts w:cs="Verdana"/>
                <w:spacing w:val="-1"/>
                <w:position w:val="-1"/>
                <w:sz w:val="20"/>
                <w:szCs w:val="20"/>
              </w:rPr>
              <w:t>sc</w:t>
            </w:r>
            <w:r w:rsidRPr="00537112">
              <w:rPr>
                <w:rFonts w:cs="Verdana"/>
                <w:spacing w:val="1"/>
                <w:position w:val="-1"/>
                <w:sz w:val="20"/>
                <w:szCs w:val="20"/>
              </w:rPr>
              <w:t>u</w:t>
            </w:r>
            <w:r w:rsidRPr="00537112">
              <w:rPr>
                <w:rFonts w:cs="Verdana"/>
                <w:position w:val="-1"/>
                <w:sz w:val="20"/>
                <w:szCs w:val="20"/>
              </w:rPr>
              <w:t>al</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42BF12D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2D7C6A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ECE34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D75F1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D673EBC"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CDE7C2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138</w:t>
            </w:r>
          </w:p>
        </w:tc>
        <w:tc>
          <w:tcPr>
            <w:tcW w:w="3958" w:type="dxa"/>
            <w:vMerge w:val="restart"/>
            <w:tcBorders>
              <w:top w:val="single" w:sz="8" w:space="0" w:color="000000"/>
              <w:left w:val="single" w:sz="8" w:space="0" w:color="000000"/>
              <w:bottom w:val="single" w:sz="8" w:space="0" w:color="000000"/>
              <w:right w:val="single" w:sz="8" w:space="0" w:color="000000"/>
            </w:tcBorders>
          </w:tcPr>
          <w:p w14:paraId="0E4EA7F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A8D50A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A5B951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6739AC0"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5C049A3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pacing w:val="3"/>
                <w:sz w:val="20"/>
                <w:szCs w:val="20"/>
              </w:rPr>
              <w:t>liá</w:t>
            </w:r>
            <w:r w:rsidRPr="00537112">
              <w:rPr>
                <w:rFonts w:cs="Verdana"/>
                <w:sz w:val="20"/>
                <w:szCs w:val="20"/>
              </w:rPr>
              <w:t>n</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79CB0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1131E8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úm</w:t>
            </w:r>
          </w:p>
        </w:tc>
      </w:tr>
      <w:tr w:rsidR="00537112" w:rsidRPr="00537112" w14:paraId="7FFBF72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43AB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A13B0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05541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01C865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33790DB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44EE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F6E69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9D162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70CE3F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78DF7D5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112D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C0E74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A229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75131A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43D272E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0D798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9FB3A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EF3B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15BB0C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1"/>
                <w:position w:val="-1"/>
                <w:sz w:val="20"/>
                <w:szCs w:val="20"/>
              </w:rPr>
              <w:t>nd</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2E62EB0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8EFE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7D2EE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2685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0AEC82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7F0502B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3DF75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EB39E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BE22C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0ECA39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Oc</w:t>
            </w:r>
            <w:r w:rsidRPr="00537112">
              <w:rPr>
                <w:rFonts w:cs="Verdana"/>
                <w:spacing w:val="1"/>
                <w:position w:val="-1"/>
                <w:sz w:val="20"/>
                <w:szCs w:val="20"/>
              </w:rPr>
              <w:t>t</w:t>
            </w:r>
            <w:r w:rsidRPr="00537112">
              <w:rPr>
                <w:rFonts w:cs="Verdana"/>
                <w:position w:val="-1"/>
                <w:sz w:val="20"/>
                <w:szCs w:val="20"/>
              </w:rPr>
              <w:t>av</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64684E4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E45BB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43292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32BAB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2D6A5C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w:t>
            </w:r>
            <w:r w:rsidRPr="00537112">
              <w:rPr>
                <w:rFonts w:cs="Verdana"/>
                <w:spacing w:val="3"/>
                <w:position w:val="-1"/>
                <w:sz w:val="20"/>
                <w:szCs w:val="20"/>
              </w:rPr>
              <w:t>ill</w:t>
            </w:r>
            <w:r w:rsidRPr="00537112">
              <w:rPr>
                <w:rFonts w:cs="Verdana"/>
                <w:spacing w:val="-1"/>
                <w:position w:val="-1"/>
                <w:sz w:val="20"/>
                <w:szCs w:val="20"/>
              </w:rPr>
              <w:t>er</w:t>
            </w:r>
            <w:r w:rsidRPr="00537112">
              <w:rPr>
                <w:rFonts w:cs="Verdana"/>
                <w:spacing w:val="1"/>
                <w:position w:val="-1"/>
                <w:sz w:val="20"/>
                <w:szCs w:val="20"/>
              </w:rPr>
              <w:t>m</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5378A4F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8F2E91"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5FFA3C6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ED13F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B22BF1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139</w:t>
            </w:r>
          </w:p>
        </w:tc>
        <w:tc>
          <w:tcPr>
            <w:tcW w:w="3958" w:type="dxa"/>
            <w:vMerge w:val="restart"/>
            <w:tcBorders>
              <w:top w:val="single" w:sz="8" w:space="0" w:color="000000"/>
              <w:left w:val="single" w:sz="8" w:space="0" w:color="000000"/>
              <w:bottom w:val="single" w:sz="8" w:space="0" w:color="000000"/>
              <w:right w:val="single" w:sz="8" w:space="0" w:color="000000"/>
            </w:tcBorders>
          </w:tcPr>
          <w:p w14:paraId="6F08EA0E"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4408171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56ABEE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B2951F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u</w:t>
            </w:r>
            <w:r w:rsidRPr="00537112">
              <w:rPr>
                <w:rFonts w:cs="Verdana"/>
                <w:sz w:val="20"/>
                <w:szCs w:val="20"/>
              </w:rPr>
              <w:t>x</w:t>
            </w:r>
            <w:r w:rsidRPr="00537112">
              <w:rPr>
                <w:rFonts w:cs="Verdana"/>
                <w:spacing w:val="1"/>
                <w:sz w:val="20"/>
                <w:szCs w:val="20"/>
              </w:rPr>
              <w:t>ú</w:t>
            </w:r>
            <w:r w:rsidRPr="00537112">
              <w:rPr>
                <w:rFonts w:cs="Verdana"/>
                <w:sz w:val="20"/>
                <w:szCs w:val="20"/>
              </w:rPr>
              <w:t>m</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3A72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7C4A8F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1B82DA0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65E76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0F97D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E429D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5CA405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76CA80F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5F28B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4D68C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5E42B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4D6D57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Su</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1AAEAC3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C23E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EF10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566CD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73E45C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color w:val="FF0000"/>
                <w:position w:val="-1"/>
                <w:sz w:val="20"/>
                <w:szCs w:val="20"/>
              </w:rPr>
              <w:t>o</w:t>
            </w:r>
            <w:r w:rsidRPr="00537112">
              <w:rPr>
                <w:rFonts w:cs="Verdana"/>
                <w:color w:val="FF0000"/>
                <w:spacing w:val="-7"/>
                <w:position w:val="-1"/>
                <w:sz w:val="20"/>
                <w:szCs w:val="20"/>
              </w:rPr>
              <w:t xml:space="preserve"> </w:t>
            </w:r>
            <w:r w:rsidRPr="00537112">
              <w:rPr>
                <w:rFonts w:cs="Verdana"/>
                <w:color w:val="000000"/>
                <w:spacing w:val="1"/>
                <w:position w:val="-1"/>
                <w:sz w:val="20"/>
                <w:szCs w:val="20"/>
              </w:rPr>
              <w:t>S</w:t>
            </w:r>
            <w:r w:rsidRPr="00537112">
              <w:rPr>
                <w:rFonts w:cs="Verdana"/>
                <w:color w:val="000000"/>
                <w:spacing w:val="3"/>
                <w:position w:val="-1"/>
                <w:sz w:val="20"/>
                <w:szCs w:val="20"/>
              </w:rPr>
              <w:t>i</w:t>
            </w:r>
            <w:r w:rsidRPr="00537112">
              <w:rPr>
                <w:rFonts w:cs="Verdana"/>
                <w:color w:val="000000"/>
                <w:position w:val="-1"/>
                <w:sz w:val="20"/>
                <w:szCs w:val="20"/>
              </w:rPr>
              <w:t>c</w:t>
            </w:r>
            <w:r w:rsidRPr="00537112">
              <w:rPr>
                <w:rFonts w:cs="Verdana"/>
                <w:color w:val="000000"/>
                <w:spacing w:val="-4"/>
                <w:position w:val="-1"/>
                <w:sz w:val="20"/>
                <w:szCs w:val="20"/>
              </w:rPr>
              <w:t xml:space="preserve"> </w:t>
            </w:r>
            <w:r w:rsidRPr="00537112">
              <w:rPr>
                <w:rFonts w:cs="Verdana"/>
                <w:color w:val="000000"/>
                <w:spacing w:val="1"/>
                <w:position w:val="-1"/>
                <w:sz w:val="20"/>
                <w:szCs w:val="20"/>
              </w:rPr>
              <w:t>V</w:t>
            </w:r>
            <w:r w:rsidRPr="00537112">
              <w:rPr>
                <w:rFonts w:cs="Verdana"/>
                <w:color w:val="000000"/>
                <w:position w:val="-1"/>
                <w:sz w:val="20"/>
                <w:szCs w:val="20"/>
              </w:rPr>
              <w:t>a</w:t>
            </w:r>
            <w:r w:rsidRPr="00537112">
              <w:rPr>
                <w:rFonts w:cs="Verdana"/>
                <w:color w:val="000000"/>
                <w:spacing w:val="3"/>
                <w:position w:val="-1"/>
                <w:sz w:val="20"/>
                <w:szCs w:val="20"/>
              </w:rPr>
              <w:t>l</w:t>
            </w:r>
            <w:r w:rsidRPr="00537112">
              <w:rPr>
                <w:rFonts w:cs="Verdana"/>
                <w:color w:val="000000"/>
                <w:spacing w:val="-1"/>
                <w:position w:val="-1"/>
                <w:sz w:val="20"/>
                <w:szCs w:val="20"/>
              </w:rPr>
              <w:t>e</w:t>
            </w:r>
            <w:r w:rsidRPr="00537112">
              <w:rPr>
                <w:rFonts w:cs="Verdana"/>
                <w:color w:val="000000"/>
                <w:position w:val="-1"/>
                <w:sz w:val="20"/>
                <w:szCs w:val="20"/>
              </w:rPr>
              <w:t>y</w:t>
            </w:r>
          </w:p>
        </w:tc>
      </w:tr>
      <w:tr w:rsidR="00537112" w:rsidRPr="00537112" w14:paraId="247C4D7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1262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5E4C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9748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70D7DE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06C7728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FB3C6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EC312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CA046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0BC7B0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ú</w:t>
            </w:r>
            <w:r w:rsidRPr="00537112">
              <w:rPr>
                <w:rFonts w:cs="Verdana"/>
                <w:position w:val="-1"/>
                <w:sz w:val="20"/>
                <w:szCs w:val="20"/>
              </w:rPr>
              <w:t>s</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64B0B51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8087D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9E84029"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3DF244C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140</w:t>
            </w:r>
          </w:p>
        </w:tc>
        <w:tc>
          <w:tcPr>
            <w:tcW w:w="3958" w:type="dxa"/>
            <w:vMerge w:val="restart"/>
            <w:tcBorders>
              <w:top w:val="single" w:sz="8" w:space="0" w:color="000000"/>
              <w:left w:val="single" w:sz="8" w:space="0" w:color="000000"/>
              <w:bottom w:val="single" w:sz="8" w:space="0" w:color="000000"/>
              <w:right w:val="single" w:sz="8" w:space="0" w:color="000000"/>
            </w:tcBorders>
          </w:tcPr>
          <w:p w14:paraId="1246597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E41BA1"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5D04B5B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8BB4F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64D544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es</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330D133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210D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138E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64648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416AA3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p>
        </w:tc>
      </w:tr>
      <w:tr w:rsidR="00537112" w:rsidRPr="00537112" w14:paraId="7457B8F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A73E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60782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92D2F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96</w:t>
            </w:r>
          </w:p>
        </w:tc>
        <w:tc>
          <w:tcPr>
            <w:tcW w:w="4496" w:type="dxa"/>
            <w:tcBorders>
              <w:top w:val="single" w:sz="8" w:space="0" w:color="000000"/>
              <w:left w:val="single" w:sz="8" w:space="0" w:color="000000"/>
              <w:bottom w:val="single" w:sz="8" w:space="0" w:color="000000"/>
              <w:right w:val="single" w:sz="8" w:space="0" w:color="000000"/>
            </w:tcBorders>
          </w:tcPr>
          <w:p w14:paraId="057F01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p>
        </w:tc>
      </w:tr>
      <w:tr w:rsidR="00537112" w:rsidRPr="00537112" w14:paraId="1449AF2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45EED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8C4CD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1068A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97</w:t>
            </w:r>
          </w:p>
        </w:tc>
        <w:tc>
          <w:tcPr>
            <w:tcW w:w="4496" w:type="dxa"/>
            <w:tcBorders>
              <w:top w:val="single" w:sz="8" w:space="0" w:color="000000"/>
              <w:left w:val="single" w:sz="8" w:space="0" w:color="000000"/>
              <w:bottom w:val="single" w:sz="8" w:space="0" w:color="000000"/>
              <w:right w:val="single" w:sz="8" w:space="0" w:color="000000"/>
            </w:tcBorders>
          </w:tcPr>
          <w:p w14:paraId="12FD23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p>
        </w:tc>
      </w:tr>
      <w:tr w:rsidR="00537112" w:rsidRPr="00537112" w14:paraId="53A55C7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D0C6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95D09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49FE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1EA24E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Agu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p>
        </w:tc>
      </w:tr>
      <w:tr w:rsidR="00537112" w:rsidRPr="00537112" w14:paraId="45CC181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D925C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A8B60B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00A3E6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4079FF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38FF429" w14:textId="77777777" w:rsidR="00537112" w:rsidRPr="00537112" w:rsidRDefault="00537112" w:rsidP="00537112">
            <w:pPr>
              <w:autoSpaceDE w:val="0"/>
              <w:autoSpaceDN w:val="0"/>
              <w:spacing w:before="14" w:line="280" w:lineRule="exact"/>
              <w:jc w:val="left"/>
              <w:textAlignment w:val="auto"/>
              <w:rPr>
                <w:rFonts w:ascii="Times New Roman" w:hAnsi="Times New Roman"/>
                <w:sz w:val="28"/>
                <w:szCs w:val="28"/>
              </w:rPr>
            </w:pPr>
          </w:p>
          <w:p w14:paraId="5496A9E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141</w:t>
            </w:r>
          </w:p>
        </w:tc>
        <w:tc>
          <w:tcPr>
            <w:tcW w:w="3958" w:type="dxa"/>
            <w:vMerge w:val="restart"/>
            <w:tcBorders>
              <w:top w:val="single" w:sz="8" w:space="0" w:color="000000"/>
              <w:left w:val="single" w:sz="8" w:space="0" w:color="000000"/>
              <w:bottom w:val="single" w:sz="8" w:space="0" w:color="000000"/>
              <w:right w:val="single" w:sz="8" w:space="0" w:color="000000"/>
            </w:tcBorders>
          </w:tcPr>
          <w:p w14:paraId="3301CB8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6EAD3F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9D35CB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C99919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A73C412" w14:textId="77777777" w:rsidR="00537112" w:rsidRPr="00537112" w:rsidRDefault="00537112" w:rsidP="00537112">
            <w:pPr>
              <w:autoSpaceDE w:val="0"/>
              <w:autoSpaceDN w:val="0"/>
              <w:spacing w:before="14" w:line="280" w:lineRule="exact"/>
              <w:jc w:val="left"/>
              <w:textAlignment w:val="auto"/>
              <w:rPr>
                <w:rFonts w:ascii="Times New Roman" w:hAnsi="Times New Roman"/>
                <w:sz w:val="28"/>
                <w:szCs w:val="28"/>
              </w:rPr>
            </w:pPr>
          </w:p>
          <w:p w14:paraId="5635BB6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r w:rsidRPr="00537112">
              <w:rPr>
                <w:rFonts w:cs="Verdana"/>
                <w:spacing w:val="-6"/>
                <w:sz w:val="20"/>
                <w:szCs w:val="20"/>
              </w:rPr>
              <w:t xml:space="preserve"> C</w:t>
            </w:r>
            <w:r w:rsidRPr="00537112">
              <w:rPr>
                <w:rFonts w:cs="Verdana"/>
                <w:spacing w:val="-1"/>
                <w:sz w:val="20"/>
                <w:szCs w:val="20"/>
              </w:rPr>
              <w:t>r</w:t>
            </w:r>
            <w:r w:rsidRPr="00537112">
              <w:rPr>
                <w:rFonts w:cs="Verdana"/>
                <w:spacing w:val="1"/>
                <w:sz w:val="20"/>
                <w:szCs w:val="20"/>
              </w:rPr>
              <w:t>uz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6463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6</w:t>
            </w:r>
            <w:r w:rsidRPr="00537112">
              <w:rPr>
                <w:rFonts w:cs="Verdana"/>
                <w:spacing w:val="1"/>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3447E9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58F05AC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1C5DE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EF70A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6D17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622C4F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6762926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D724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3A653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D34D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5B4E56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997DAA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989D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8D523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B04C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7D6728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ug</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12EDF12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AB81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B8651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AFF7A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261BC8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33E9E9A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D4A60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95A8E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20E21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532455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F0863B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B594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1723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BF51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54B000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1F993C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E714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F0511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0783E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7FFEED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Ger</w:t>
            </w:r>
            <w:r w:rsidRPr="00537112">
              <w:rPr>
                <w:rFonts w:cs="Verdana"/>
                <w:spacing w:val="1"/>
                <w:position w:val="-1"/>
                <w:sz w:val="20"/>
                <w:szCs w:val="20"/>
              </w:rPr>
              <w:t>m</w:t>
            </w:r>
            <w:r w:rsidRPr="00537112">
              <w:rPr>
                <w:rFonts w:cs="Verdana"/>
                <w:position w:val="-1"/>
                <w:sz w:val="20"/>
                <w:szCs w:val="20"/>
              </w:rPr>
              <w:t>an</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27790C7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EA62F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867DA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34071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3A45EB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DD66AE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DEEB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802F3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3CD3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7C87B9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316E5CBA"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5D0DFA4"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59204C7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721C89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61A445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142</w:t>
            </w:r>
          </w:p>
        </w:tc>
        <w:tc>
          <w:tcPr>
            <w:tcW w:w="3958" w:type="dxa"/>
            <w:vMerge w:val="restart"/>
            <w:tcBorders>
              <w:top w:val="single" w:sz="8" w:space="0" w:color="000000"/>
              <w:left w:val="single" w:sz="8" w:space="0" w:color="000000"/>
              <w:bottom w:val="single" w:sz="8" w:space="0" w:color="000000"/>
              <w:right w:val="single" w:sz="8" w:space="0" w:color="000000"/>
            </w:tcBorders>
          </w:tcPr>
          <w:p w14:paraId="68BDA45C"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4E5751E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6EF28F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003A88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z w:val="20"/>
                <w:szCs w:val="20"/>
              </w:rPr>
              <w:t>Pa</w:t>
            </w:r>
            <w:r w:rsidRPr="00537112">
              <w:rPr>
                <w:rFonts w:cs="Verdana"/>
                <w:spacing w:val="1"/>
                <w:sz w:val="20"/>
                <w:szCs w:val="20"/>
              </w:rPr>
              <w:t>ng</w:t>
            </w:r>
            <w:r w:rsidRPr="00537112">
              <w:rPr>
                <w:rFonts w:cs="Verdana"/>
                <w:sz w:val="20"/>
                <w:szCs w:val="20"/>
              </w:rPr>
              <w:t>án</w:t>
            </w:r>
            <w:r w:rsidRPr="00537112">
              <w:rPr>
                <w:rFonts w:cs="Verdana"/>
                <w:spacing w:val="-7"/>
                <w:sz w:val="20"/>
                <w:szCs w:val="20"/>
              </w:rPr>
              <w:t xml:space="preserve"> </w:t>
            </w:r>
            <w:r w:rsidRPr="00537112">
              <w:rPr>
                <w:rFonts w:cs="Verdana"/>
                <w:sz w:val="20"/>
                <w:szCs w:val="20"/>
              </w:rPr>
              <w:t>C</w:t>
            </w:r>
            <w:r w:rsidRPr="00537112">
              <w:rPr>
                <w:rFonts w:cs="Verdana"/>
                <w:spacing w:val="1"/>
                <w:sz w:val="20"/>
                <w:szCs w:val="20"/>
              </w:rPr>
              <w:t>uj</w:t>
            </w:r>
            <w:r w:rsidRPr="00537112">
              <w:rPr>
                <w:rFonts w:cs="Verdana"/>
                <w:sz w:val="20"/>
                <w:szCs w:val="20"/>
              </w:rPr>
              <w:t>á</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6630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364FE0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0010347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1E814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F71DB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FF9D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524D71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5A71CD1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B8F7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B0517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D5BE6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599F97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139CBA3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AD50A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9F143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7C172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5344DB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6A056BA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EA082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C612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BA6B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6DC643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fre</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r>
      <w:tr w:rsidR="00537112" w:rsidRPr="00537112" w14:paraId="7B4A0D6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CFFF4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24A54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8A617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46D1D7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Pa</w:t>
            </w:r>
            <w:r w:rsidRPr="00537112">
              <w:rPr>
                <w:rFonts w:cs="Verdana"/>
                <w:spacing w:val="1"/>
                <w:position w:val="-1"/>
                <w:sz w:val="20"/>
                <w:szCs w:val="20"/>
              </w:rPr>
              <w:t>ng</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5D1B3F72"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F056E5"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3942776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143</w:t>
            </w:r>
          </w:p>
        </w:tc>
        <w:tc>
          <w:tcPr>
            <w:tcW w:w="3958" w:type="dxa"/>
            <w:vMerge w:val="restart"/>
            <w:tcBorders>
              <w:top w:val="single" w:sz="8" w:space="0" w:color="000000"/>
              <w:left w:val="single" w:sz="8" w:space="0" w:color="000000"/>
              <w:bottom w:val="single" w:sz="8" w:space="0" w:color="000000"/>
              <w:right w:val="single" w:sz="8" w:space="0" w:color="000000"/>
            </w:tcBorders>
          </w:tcPr>
          <w:p w14:paraId="45EC10BF"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C4B572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ay</w:t>
            </w:r>
            <w:r w:rsidRPr="00537112">
              <w:rPr>
                <w:rFonts w:cs="Verdana"/>
                <w:spacing w:val="1"/>
                <w:sz w:val="20"/>
                <w:szCs w:val="20"/>
              </w:rPr>
              <w:t>mund</w:t>
            </w:r>
            <w:r w:rsidRPr="00537112">
              <w:rPr>
                <w:rFonts w:cs="Verdana"/>
                <w:sz w:val="20"/>
                <w:szCs w:val="20"/>
              </w:rPr>
              <w:t>o</w:t>
            </w:r>
            <w:r w:rsidRPr="00537112">
              <w:rPr>
                <w:rFonts w:cs="Verdana"/>
                <w:spacing w:val="-13"/>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15BAF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756FCD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47A43AD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5DE7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293B4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76EBF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0EB819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4927717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713C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D303B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738B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41B7F4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17BD2C70"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39244C" w14:textId="77777777" w:rsidR="00537112" w:rsidRPr="00537112" w:rsidRDefault="00537112" w:rsidP="00537112">
            <w:pPr>
              <w:autoSpaceDE w:val="0"/>
              <w:autoSpaceDN w:val="0"/>
              <w:spacing w:before="3" w:line="110" w:lineRule="exact"/>
              <w:jc w:val="left"/>
              <w:textAlignment w:val="auto"/>
              <w:rPr>
                <w:rFonts w:ascii="Times New Roman" w:hAnsi="Times New Roman"/>
                <w:sz w:val="11"/>
                <w:szCs w:val="11"/>
              </w:rPr>
            </w:pPr>
          </w:p>
          <w:p w14:paraId="70323C5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240DEE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DB4C20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8351A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AE0D48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E461CD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144</w:t>
            </w:r>
          </w:p>
        </w:tc>
        <w:tc>
          <w:tcPr>
            <w:tcW w:w="3958" w:type="dxa"/>
            <w:vMerge w:val="restart"/>
            <w:tcBorders>
              <w:top w:val="single" w:sz="8" w:space="0" w:color="000000"/>
              <w:left w:val="single" w:sz="8" w:space="0" w:color="000000"/>
              <w:bottom w:val="single" w:sz="8" w:space="0" w:color="000000"/>
              <w:right w:val="single" w:sz="8" w:space="0" w:color="000000"/>
            </w:tcBorders>
          </w:tcPr>
          <w:p w14:paraId="62CDC0EB" w14:textId="77777777" w:rsidR="00537112" w:rsidRPr="00537112" w:rsidRDefault="00537112" w:rsidP="00537112">
            <w:pPr>
              <w:autoSpaceDE w:val="0"/>
              <w:autoSpaceDN w:val="0"/>
              <w:spacing w:before="3" w:line="110" w:lineRule="exact"/>
              <w:jc w:val="left"/>
              <w:textAlignment w:val="auto"/>
              <w:rPr>
                <w:rFonts w:ascii="Times New Roman" w:hAnsi="Times New Roman"/>
                <w:sz w:val="11"/>
                <w:szCs w:val="11"/>
              </w:rPr>
            </w:pPr>
          </w:p>
          <w:p w14:paraId="0A6EDC9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A11C2A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6648DA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A9B207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C39B5D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0305C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8016E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39EB6C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5673966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F5E94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A7BE3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DD980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1C17C1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lí</w:t>
            </w:r>
            <w:r w:rsidRPr="00537112">
              <w:rPr>
                <w:rFonts w:cs="Verdana"/>
                <w:spacing w:val="1"/>
                <w:position w:val="-1"/>
                <w:sz w:val="20"/>
                <w:szCs w:val="20"/>
              </w:rPr>
              <w:t>nd</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4695058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B5D52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641E9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9A759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442124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ú</w:t>
            </w:r>
            <w:r w:rsidRPr="00537112">
              <w:rPr>
                <w:rFonts w:cs="Verdana"/>
                <w:position w:val="-1"/>
                <w:sz w:val="20"/>
                <w:szCs w:val="20"/>
              </w:rPr>
              <w:t>l</w:t>
            </w:r>
            <w:r w:rsidRPr="00537112">
              <w:rPr>
                <w:rFonts w:cs="Verdana"/>
                <w:spacing w:val="-2"/>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342A619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E0203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E496D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06DE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4C88B8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Wa</w:t>
            </w:r>
            <w:r w:rsidRPr="00537112">
              <w:rPr>
                <w:rFonts w:cs="Verdana"/>
                <w:spacing w:val="3"/>
                <w:position w:val="-1"/>
                <w:sz w:val="20"/>
                <w:szCs w:val="20"/>
              </w:rPr>
              <w:t>l</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1"/>
                <w:position w:val="-1"/>
                <w:sz w:val="20"/>
                <w:szCs w:val="20"/>
              </w:rPr>
              <w:t>m</w:t>
            </w:r>
            <w:r w:rsidRPr="00537112">
              <w:rPr>
                <w:rFonts w:cs="Verdana"/>
                <w:position w:val="-1"/>
                <w:sz w:val="20"/>
                <w:szCs w:val="20"/>
              </w:rPr>
              <w:t>ar</w:t>
            </w:r>
            <w:r w:rsidRPr="00537112">
              <w:rPr>
                <w:rFonts w:cs="Verdana"/>
                <w:spacing w:val="-12"/>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0208775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8EEB8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923D8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28EA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6FBEB3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2510E34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D716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B985A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EC258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10C307D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0E927933" w14:textId="77777777" w:rsidTr="00630EEC">
        <w:trPr>
          <w:trHeight w:hRule="exact" w:val="362"/>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ECE8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292D8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67D8AB9" w14:textId="77777777" w:rsidR="00537112" w:rsidRPr="00537112" w:rsidRDefault="00537112" w:rsidP="00537112">
            <w:pPr>
              <w:autoSpaceDE w:val="0"/>
              <w:autoSpaceDN w:val="0"/>
              <w:spacing w:before="47" w:line="240" w:lineRule="auto"/>
              <w:ind w:right="-20"/>
              <w:jc w:val="left"/>
              <w:textAlignment w:val="auto"/>
              <w:rPr>
                <w:rFonts w:ascii="Times New Roman" w:hAnsi="Times New Roman"/>
              </w:rPr>
            </w:pPr>
            <w:r w:rsidRPr="00537112">
              <w:rPr>
                <w:rFonts w:cs="Verdana"/>
                <w:sz w:val="20"/>
                <w:szCs w:val="20"/>
              </w:rPr>
              <w:t>7</w:t>
            </w:r>
            <w:r w:rsidRPr="00537112">
              <w:rPr>
                <w:rFonts w:cs="Verdana"/>
                <w:spacing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293FC5C2" w14:textId="77777777" w:rsidR="00537112" w:rsidRPr="00537112" w:rsidRDefault="00537112" w:rsidP="00537112">
            <w:pPr>
              <w:autoSpaceDE w:val="0"/>
              <w:autoSpaceDN w:val="0"/>
              <w:spacing w:before="47"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r</w:t>
            </w:r>
            <w:r w:rsidRPr="00537112">
              <w:rPr>
                <w:rFonts w:cs="Verdana"/>
                <w:spacing w:val="3"/>
                <w:sz w:val="20"/>
                <w:szCs w:val="20"/>
              </w:rPr>
              <w:t>l</w:t>
            </w:r>
            <w:r w:rsidRPr="00537112">
              <w:rPr>
                <w:rFonts w:cs="Verdana"/>
                <w:spacing w:val="-1"/>
                <w:sz w:val="20"/>
                <w:szCs w:val="20"/>
              </w:rPr>
              <w:t>o</w:t>
            </w:r>
            <w:r w:rsidRPr="00537112">
              <w:rPr>
                <w:rFonts w:cs="Verdana"/>
                <w:sz w:val="20"/>
                <w:szCs w:val="20"/>
              </w:rPr>
              <w:t>s</w:t>
            </w:r>
            <w:r w:rsidRPr="00537112">
              <w:rPr>
                <w:rFonts w:cs="Verdana"/>
                <w:spacing w:val="-7"/>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41C52D27" w14:textId="77777777" w:rsidTr="00630EEC">
        <w:trPr>
          <w:trHeight w:hRule="exact" w:val="66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404536" w14:textId="77777777" w:rsidR="00537112" w:rsidRPr="00537112" w:rsidRDefault="00537112" w:rsidP="00537112">
            <w:pPr>
              <w:autoSpaceDE w:val="0"/>
              <w:autoSpaceDN w:val="0"/>
              <w:spacing w:before="47"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0ABFE7C" w14:textId="77777777" w:rsidR="00537112" w:rsidRPr="00537112" w:rsidRDefault="00537112" w:rsidP="00537112">
            <w:pPr>
              <w:autoSpaceDE w:val="0"/>
              <w:autoSpaceDN w:val="0"/>
              <w:spacing w:before="47"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14EBB07" w14:textId="77777777" w:rsidR="00537112" w:rsidRPr="00537112" w:rsidRDefault="00537112" w:rsidP="00537112">
            <w:pPr>
              <w:autoSpaceDE w:val="0"/>
              <w:autoSpaceDN w:val="0"/>
              <w:spacing w:before="1" w:line="200" w:lineRule="exact"/>
              <w:jc w:val="left"/>
              <w:textAlignment w:val="auto"/>
              <w:rPr>
                <w:rFonts w:ascii="Times New Roman" w:hAnsi="Times New Roman"/>
                <w:sz w:val="20"/>
                <w:szCs w:val="20"/>
              </w:rPr>
            </w:pPr>
          </w:p>
          <w:p w14:paraId="7469EF8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7</w:t>
            </w:r>
            <w:r w:rsidRPr="00537112">
              <w:rPr>
                <w:rFonts w:cs="Verdana"/>
                <w:spacing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1F171524" w14:textId="77777777" w:rsidR="00537112" w:rsidRPr="00537112" w:rsidRDefault="00537112" w:rsidP="00537112">
            <w:pPr>
              <w:autoSpaceDE w:val="0"/>
              <w:autoSpaceDN w:val="0"/>
              <w:spacing w:before="1" w:line="200" w:lineRule="exact"/>
              <w:jc w:val="left"/>
              <w:textAlignment w:val="auto"/>
              <w:rPr>
                <w:rFonts w:ascii="Times New Roman" w:hAnsi="Times New Roman"/>
                <w:sz w:val="20"/>
                <w:szCs w:val="20"/>
              </w:rPr>
            </w:pPr>
          </w:p>
          <w:p w14:paraId="5392CCB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w:t>
            </w:r>
            <w:r w:rsidRPr="00537112">
              <w:rPr>
                <w:rFonts w:cs="Verdana"/>
                <w:spacing w:val="3"/>
                <w:sz w:val="20"/>
                <w:szCs w:val="20"/>
              </w:rPr>
              <w:t>l</w:t>
            </w:r>
            <w:r w:rsidRPr="00537112">
              <w:rPr>
                <w:rFonts w:cs="Verdana"/>
                <w:sz w:val="20"/>
                <w:szCs w:val="20"/>
              </w:rPr>
              <w:t>a</w:t>
            </w:r>
            <w:r w:rsidRPr="00537112">
              <w:rPr>
                <w:rFonts w:cs="Verdana"/>
                <w:spacing w:val="-1"/>
                <w:sz w:val="20"/>
                <w:szCs w:val="20"/>
              </w:rPr>
              <w:t>r</w:t>
            </w:r>
            <w:r w:rsidRPr="00537112">
              <w:rPr>
                <w:rFonts w:cs="Verdana"/>
                <w:sz w:val="20"/>
                <w:szCs w:val="20"/>
              </w:rPr>
              <w:t>a</w:t>
            </w:r>
            <w:r w:rsidRPr="00537112">
              <w:rPr>
                <w:rFonts w:cs="Verdana"/>
                <w:spacing w:val="-5"/>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bl>
    <w:p w14:paraId="4461F760"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7D5BFF47"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1CFF49F9"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D5D4C1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F3CED9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F738E8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145</w:t>
            </w:r>
          </w:p>
        </w:tc>
        <w:tc>
          <w:tcPr>
            <w:tcW w:w="3958" w:type="dxa"/>
            <w:vMerge w:val="restart"/>
            <w:tcBorders>
              <w:top w:val="single" w:sz="8" w:space="0" w:color="000000"/>
              <w:left w:val="single" w:sz="8" w:space="0" w:color="000000"/>
              <w:bottom w:val="single" w:sz="8" w:space="0" w:color="000000"/>
              <w:right w:val="single" w:sz="8" w:space="0" w:color="000000"/>
            </w:tcBorders>
          </w:tcPr>
          <w:p w14:paraId="7F2F8E41"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E71632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EF6901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Au</w:t>
            </w:r>
            <w:r w:rsidRPr="00537112">
              <w:rPr>
                <w:rFonts w:cs="Verdana"/>
                <w:spacing w:val="-1"/>
                <w:sz w:val="20"/>
                <w:szCs w:val="20"/>
              </w:rPr>
              <w:t>re</w:t>
            </w:r>
            <w:r w:rsidRPr="00537112">
              <w:rPr>
                <w:rFonts w:cs="Verdana"/>
                <w:spacing w:val="3"/>
                <w:sz w:val="20"/>
                <w:szCs w:val="20"/>
              </w:rPr>
              <w:t>li</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0274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3D3E60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í</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z</w:t>
            </w:r>
            <w:r w:rsidRPr="00537112">
              <w:rPr>
                <w:rFonts w:cs="Verdana"/>
                <w:spacing w:val="-10"/>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4BF6172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8C59D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030E7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F2705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6715D7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Au</w:t>
            </w:r>
            <w:r w:rsidRPr="00537112">
              <w:rPr>
                <w:rFonts w:cs="Verdana"/>
                <w:spacing w:val="-1"/>
                <w:position w:val="-1"/>
                <w:sz w:val="20"/>
                <w:szCs w:val="20"/>
              </w:rPr>
              <w:t>re</w:t>
            </w:r>
            <w:r w:rsidRPr="00537112">
              <w:rPr>
                <w:rFonts w:cs="Verdana"/>
                <w:spacing w:val="3"/>
                <w:position w:val="-1"/>
                <w:sz w:val="20"/>
                <w:szCs w:val="20"/>
              </w:rPr>
              <w:t>li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Lo</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25EE5AB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AE454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96C1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68DE5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0C9AB3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í</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z</w:t>
            </w:r>
          </w:p>
        </w:tc>
      </w:tr>
      <w:tr w:rsidR="00537112" w:rsidRPr="00537112" w14:paraId="529E529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419E3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3AD1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B7817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29</w:t>
            </w:r>
          </w:p>
        </w:tc>
        <w:tc>
          <w:tcPr>
            <w:tcW w:w="4496" w:type="dxa"/>
            <w:tcBorders>
              <w:top w:val="single" w:sz="8" w:space="0" w:color="000000"/>
              <w:left w:val="single" w:sz="8" w:space="0" w:color="000000"/>
              <w:bottom w:val="single" w:sz="8" w:space="0" w:color="000000"/>
              <w:right w:val="single" w:sz="8" w:space="0" w:color="000000"/>
            </w:tcBorders>
          </w:tcPr>
          <w:p w14:paraId="291CD8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í</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z</w:t>
            </w:r>
          </w:p>
        </w:tc>
      </w:tr>
      <w:tr w:rsidR="00537112" w:rsidRPr="00537112" w14:paraId="064F40B3"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D2A087"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1652DB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196A03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146</w:t>
            </w:r>
          </w:p>
        </w:tc>
        <w:tc>
          <w:tcPr>
            <w:tcW w:w="3958" w:type="dxa"/>
            <w:vMerge w:val="restart"/>
            <w:tcBorders>
              <w:top w:val="single" w:sz="8" w:space="0" w:color="000000"/>
              <w:left w:val="single" w:sz="8" w:space="0" w:color="000000"/>
              <w:bottom w:val="single" w:sz="8" w:space="0" w:color="000000"/>
              <w:right w:val="single" w:sz="8" w:space="0" w:color="000000"/>
            </w:tcBorders>
          </w:tcPr>
          <w:p w14:paraId="3A8C36D1"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01FC0A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D2D85A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66D35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30</w:t>
            </w:r>
          </w:p>
        </w:tc>
        <w:tc>
          <w:tcPr>
            <w:tcW w:w="4496" w:type="dxa"/>
            <w:tcBorders>
              <w:top w:val="single" w:sz="8" w:space="0" w:color="000000"/>
              <w:left w:val="single" w:sz="8" w:space="0" w:color="000000"/>
              <w:bottom w:val="single" w:sz="8" w:space="0" w:color="000000"/>
              <w:right w:val="single" w:sz="8" w:space="0" w:color="000000"/>
            </w:tcBorders>
          </w:tcPr>
          <w:p w14:paraId="069B13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Su</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Pa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uj</w:t>
            </w:r>
            <w:r w:rsidRPr="00537112">
              <w:rPr>
                <w:rFonts w:cs="Verdana"/>
                <w:position w:val="-1"/>
                <w:sz w:val="20"/>
                <w:szCs w:val="20"/>
              </w:rPr>
              <w:t>á</w:t>
            </w:r>
          </w:p>
        </w:tc>
      </w:tr>
      <w:tr w:rsidR="00537112" w:rsidRPr="00537112" w14:paraId="191CC76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971CC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DCD69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C56CD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31</w:t>
            </w:r>
          </w:p>
        </w:tc>
        <w:tc>
          <w:tcPr>
            <w:tcW w:w="4496" w:type="dxa"/>
            <w:tcBorders>
              <w:top w:val="single" w:sz="8" w:space="0" w:color="000000"/>
              <w:left w:val="single" w:sz="8" w:space="0" w:color="000000"/>
              <w:bottom w:val="single" w:sz="8" w:space="0" w:color="000000"/>
              <w:right w:val="single" w:sz="8" w:space="0" w:color="000000"/>
            </w:tcBorders>
          </w:tcPr>
          <w:p w14:paraId="492485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03DCC66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019AD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42107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23BAF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32</w:t>
            </w:r>
          </w:p>
        </w:tc>
        <w:tc>
          <w:tcPr>
            <w:tcW w:w="4496" w:type="dxa"/>
            <w:tcBorders>
              <w:top w:val="single" w:sz="8" w:space="0" w:color="000000"/>
              <w:left w:val="single" w:sz="8" w:space="0" w:color="000000"/>
              <w:bottom w:val="single" w:sz="8" w:space="0" w:color="000000"/>
              <w:right w:val="single" w:sz="8" w:space="0" w:color="000000"/>
            </w:tcBorders>
          </w:tcPr>
          <w:p w14:paraId="36C6CE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an</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Pa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an</w:t>
            </w:r>
          </w:p>
        </w:tc>
      </w:tr>
      <w:tr w:rsidR="00537112" w:rsidRPr="00537112" w14:paraId="54DA0CD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7B468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F109C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B402E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33</w:t>
            </w:r>
          </w:p>
        </w:tc>
        <w:tc>
          <w:tcPr>
            <w:tcW w:w="4496" w:type="dxa"/>
            <w:tcBorders>
              <w:top w:val="single" w:sz="8" w:space="0" w:color="000000"/>
              <w:left w:val="single" w:sz="8" w:space="0" w:color="000000"/>
              <w:bottom w:val="single" w:sz="8" w:space="0" w:color="000000"/>
              <w:right w:val="single" w:sz="8" w:space="0" w:color="000000"/>
            </w:tcBorders>
          </w:tcPr>
          <w:p w14:paraId="1838C4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Pa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an</w:t>
            </w:r>
          </w:p>
        </w:tc>
      </w:tr>
      <w:tr w:rsidR="00537112" w:rsidRPr="00537112" w14:paraId="296C0BC7"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C2BCBAE"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4731ACC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BEFF1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54D5EF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147</w:t>
            </w:r>
          </w:p>
        </w:tc>
        <w:tc>
          <w:tcPr>
            <w:tcW w:w="3958" w:type="dxa"/>
            <w:vMerge w:val="restart"/>
            <w:tcBorders>
              <w:top w:val="single" w:sz="8" w:space="0" w:color="000000"/>
              <w:left w:val="single" w:sz="8" w:space="0" w:color="000000"/>
              <w:bottom w:val="single" w:sz="8" w:space="0" w:color="000000"/>
              <w:right w:val="single" w:sz="8" w:space="0" w:color="000000"/>
            </w:tcBorders>
          </w:tcPr>
          <w:p w14:paraId="1441E1E2" w14:textId="77777777" w:rsidR="00537112" w:rsidRPr="00537112" w:rsidRDefault="00537112" w:rsidP="00537112">
            <w:pPr>
              <w:autoSpaceDE w:val="0"/>
              <w:autoSpaceDN w:val="0"/>
              <w:spacing w:before="9" w:line="190" w:lineRule="exact"/>
              <w:jc w:val="left"/>
              <w:textAlignment w:val="auto"/>
              <w:rPr>
                <w:rFonts w:ascii="Times New Roman" w:hAnsi="Times New Roman"/>
                <w:sz w:val="19"/>
                <w:szCs w:val="19"/>
              </w:rPr>
            </w:pPr>
          </w:p>
          <w:p w14:paraId="3E836A0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286661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907E71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p</w:t>
            </w:r>
            <w:r w:rsidRPr="00537112">
              <w:rPr>
                <w:rFonts w:cs="Verdana"/>
                <w:sz w:val="20"/>
                <w:szCs w:val="20"/>
              </w:rPr>
              <w:t>e</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C</w:t>
            </w:r>
            <w:r w:rsidRPr="00537112">
              <w:rPr>
                <w:rFonts w:cs="Verdana"/>
                <w:spacing w:val="1"/>
                <w:sz w:val="20"/>
                <w:szCs w:val="20"/>
              </w:rPr>
              <w:t>u</w:t>
            </w:r>
            <w:r w:rsidRPr="00537112">
              <w:rPr>
                <w:rFonts w:cs="Verdana"/>
                <w:sz w:val="20"/>
                <w:szCs w:val="20"/>
              </w:rPr>
              <w:t>x</w:t>
            </w:r>
            <w:r w:rsidRPr="00537112">
              <w:rPr>
                <w:rFonts w:cs="Verdana"/>
                <w:spacing w:val="1"/>
                <w:sz w:val="20"/>
                <w:szCs w:val="20"/>
              </w:rPr>
              <w:t>ú</w:t>
            </w:r>
            <w:r w:rsidRPr="00537112">
              <w:rPr>
                <w:rFonts w:cs="Verdana"/>
                <w:sz w:val="20"/>
                <w:szCs w:val="20"/>
              </w:rPr>
              <w:t>m</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F380E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34</w:t>
            </w:r>
          </w:p>
        </w:tc>
        <w:tc>
          <w:tcPr>
            <w:tcW w:w="4496" w:type="dxa"/>
            <w:tcBorders>
              <w:top w:val="single" w:sz="8" w:space="0" w:color="000000"/>
              <w:left w:val="single" w:sz="8" w:space="0" w:color="000000"/>
              <w:bottom w:val="single" w:sz="8" w:space="0" w:color="000000"/>
              <w:right w:val="single" w:sz="8" w:space="0" w:color="000000"/>
            </w:tcBorders>
          </w:tcPr>
          <w:p w14:paraId="7498EA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235E41C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10CAD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E5E85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3099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35</w:t>
            </w:r>
          </w:p>
        </w:tc>
        <w:tc>
          <w:tcPr>
            <w:tcW w:w="4496" w:type="dxa"/>
            <w:tcBorders>
              <w:top w:val="single" w:sz="8" w:space="0" w:color="000000"/>
              <w:left w:val="single" w:sz="8" w:space="0" w:color="000000"/>
              <w:bottom w:val="single" w:sz="8" w:space="0" w:color="000000"/>
              <w:right w:val="single" w:sz="8" w:space="0" w:color="000000"/>
            </w:tcBorders>
          </w:tcPr>
          <w:p w14:paraId="327DE8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w:t>
            </w:r>
            <w:r w:rsidRPr="00537112">
              <w:rPr>
                <w:rFonts w:cs="Verdana"/>
                <w:position w:val="-1"/>
                <w:sz w:val="20"/>
                <w:szCs w:val="20"/>
              </w:rPr>
              <w:t>m</w:t>
            </w:r>
          </w:p>
        </w:tc>
      </w:tr>
      <w:tr w:rsidR="00537112" w:rsidRPr="00537112" w14:paraId="4730DB7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0EAC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80A62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1809F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36</w:t>
            </w:r>
          </w:p>
        </w:tc>
        <w:tc>
          <w:tcPr>
            <w:tcW w:w="4496" w:type="dxa"/>
            <w:tcBorders>
              <w:top w:val="single" w:sz="8" w:space="0" w:color="000000"/>
              <w:left w:val="single" w:sz="8" w:space="0" w:color="000000"/>
              <w:bottom w:val="single" w:sz="8" w:space="0" w:color="000000"/>
              <w:right w:val="single" w:sz="8" w:space="0" w:color="000000"/>
            </w:tcBorders>
          </w:tcPr>
          <w:p w14:paraId="3E6517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B759B4D"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860D9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6897D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A948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37</w:t>
            </w:r>
          </w:p>
        </w:tc>
        <w:tc>
          <w:tcPr>
            <w:tcW w:w="4496" w:type="dxa"/>
            <w:tcBorders>
              <w:top w:val="single" w:sz="8" w:space="0" w:color="000000"/>
              <w:left w:val="single" w:sz="8" w:space="0" w:color="000000"/>
              <w:bottom w:val="single" w:sz="8" w:space="0" w:color="000000"/>
              <w:right w:val="single" w:sz="8" w:space="0" w:color="000000"/>
            </w:tcBorders>
          </w:tcPr>
          <w:p w14:paraId="603CE6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59C03E9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9D39F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69448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1BBF6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38</w:t>
            </w:r>
          </w:p>
        </w:tc>
        <w:tc>
          <w:tcPr>
            <w:tcW w:w="4496" w:type="dxa"/>
            <w:tcBorders>
              <w:top w:val="single" w:sz="8" w:space="0" w:color="000000"/>
              <w:left w:val="single" w:sz="8" w:space="0" w:color="000000"/>
              <w:bottom w:val="single" w:sz="8" w:space="0" w:color="000000"/>
              <w:right w:val="single" w:sz="8" w:space="0" w:color="000000"/>
            </w:tcBorders>
          </w:tcPr>
          <w:p w14:paraId="32F0C4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5C5C78B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F2D4BE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7C556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9068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39</w:t>
            </w:r>
          </w:p>
        </w:tc>
        <w:tc>
          <w:tcPr>
            <w:tcW w:w="4496" w:type="dxa"/>
            <w:tcBorders>
              <w:top w:val="single" w:sz="8" w:space="0" w:color="000000"/>
              <w:left w:val="single" w:sz="8" w:space="0" w:color="000000"/>
              <w:bottom w:val="single" w:sz="8" w:space="0" w:color="000000"/>
              <w:right w:val="single" w:sz="8" w:space="0" w:color="000000"/>
            </w:tcBorders>
          </w:tcPr>
          <w:p w14:paraId="570455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roc</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3EE96BA4" w14:textId="77777777" w:rsidTr="00630EEC">
        <w:trPr>
          <w:trHeight w:hRule="exact" w:val="319"/>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8F8C6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80AEED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6788AC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9703594" w14:textId="77777777" w:rsidR="00537112" w:rsidRPr="00537112" w:rsidRDefault="00537112" w:rsidP="00537112">
            <w:pPr>
              <w:autoSpaceDE w:val="0"/>
              <w:autoSpaceDN w:val="0"/>
              <w:spacing w:line="280" w:lineRule="exact"/>
              <w:jc w:val="left"/>
              <w:textAlignment w:val="auto"/>
              <w:rPr>
                <w:rFonts w:ascii="Times New Roman" w:hAnsi="Times New Roman"/>
                <w:sz w:val="28"/>
                <w:szCs w:val="28"/>
              </w:rPr>
            </w:pPr>
          </w:p>
          <w:p w14:paraId="50C4475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148</w:t>
            </w:r>
          </w:p>
        </w:tc>
        <w:tc>
          <w:tcPr>
            <w:tcW w:w="3958" w:type="dxa"/>
            <w:vMerge w:val="restart"/>
            <w:tcBorders>
              <w:top w:val="single" w:sz="8" w:space="0" w:color="000000"/>
              <w:left w:val="single" w:sz="8" w:space="0" w:color="000000"/>
              <w:bottom w:val="single" w:sz="8" w:space="0" w:color="000000"/>
              <w:right w:val="single" w:sz="8" w:space="0" w:color="000000"/>
            </w:tcBorders>
          </w:tcPr>
          <w:p w14:paraId="14F1562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983F56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66B6B2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1FBA4F9" w14:textId="77777777" w:rsidR="00537112" w:rsidRPr="00537112" w:rsidRDefault="00537112" w:rsidP="00537112">
            <w:pPr>
              <w:autoSpaceDE w:val="0"/>
              <w:autoSpaceDN w:val="0"/>
              <w:spacing w:line="280" w:lineRule="exact"/>
              <w:jc w:val="left"/>
              <w:textAlignment w:val="auto"/>
              <w:rPr>
                <w:rFonts w:ascii="Times New Roman" w:hAnsi="Times New Roman"/>
                <w:sz w:val="28"/>
                <w:szCs w:val="28"/>
              </w:rPr>
            </w:pPr>
          </w:p>
          <w:p w14:paraId="2DF48F1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3"/>
                <w:sz w:val="20"/>
                <w:szCs w:val="20"/>
              </w:rPr>
              <w:t>l</w:t>
            </w:r>
            <w:r w:rsidRPr="00537112">
              <w:rPr>
                <w:rFonts w:cs="Verdana"/>
                <w:spacing w:val="-1"/>
                <w:sz w:val="20"/>
                <w:szCs w:val="20"/>
              </w:rPr>
              <w:t>ore</w:t>
            </w:r>
            <w:r w:rsidRPr="00537112">
              <w:rPr>
                <w:rFonts w:cs="Verdana"/>
                <w:spacing w:val="1"/>
                <w:sz w:val="20"/>
                <w:szCs w:val="20"/>
              </w:rPr>
              <w:t>nt</w:t>
            </w:r>
            <w:r w:rsidRPr="00537112">
              <w:rPr>
                <w:rFonts w:cs="Verdana"/>
                <w:spacing w:val="3"/>
                <w:sz w:val="20"/>
                <w:szCs w:val="20"/>
              </w:rPr>
              <w:t>i</w:t>
            </w:r>
            <w:r w:rsidRPr="00537112">
              <w:rPr>
                <w:rFonts w:cs="Verdana"/>
                <w:sz w:val="20"/>
                <w:szCs w:val="20"/>
              </w:rPr>
              <w:t>n</w:t>
            </w:r>
            <w:r w:rsidRPr="00537112">
              <w:rPr>
                <w:rFonts w:cs="Verdana"/>
                <w:spacing w:val="-9"/>
                <w:sz w:val="20"/>
                <w:szCs w:val="20"/>
              </w:rPr>
              <w:t xml:space="preserve"> </w:t>
            </w:r>
            <w:r w:rsidRPr="00537112">
              <w:rPr>
                <w:rFonts w:cs="Verdana"/>
                <w:sz w:val="20"/>
                <w:szCs w:val="20"/>
              </w:rPr>
              <w:t>T</w:t>
            </w:r>
            <w:r w:rsidRPr="00537112">
              <w:rPr>
                <w:rFonts w:cs="Verdana"/>
                <w:spacing w:val="-1"/>
                <w:sz w:val="20"/>
                <w:szCs w:val="20"/>
              </w:rPr>
              <w:t>oj</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A224CC3"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z w:val="20"/>
                <w:szCs w:val="20"/>
              </w:rPr>
              <w:t>7</w:t>
            </w:r>
            <w:r w:rsidRPr="00537112">
              <w:rPr>
                <w:rFonts w:cs="Verdana"/>
                <w:spacing w:val="1"/>
                <w:sz w:val="20"/>
                <w:szCs w:val="20"/>
              </w:rPr>
              <w:t>40</w:t>
            </w:r>
          </w:p>
        </w:tc>
        <w:tc>
          <w:tcPr>
            <w:tcW w:w="4496" w:type="dxa"/>
            <w:tcBorders>
              <w:top w:val="single" w:sz="8" w:space="0" w:color="000000"/>
              <w:left w:val="single" w:sz="8" w:space="0" w:color="000000"/>
              <w:bottom w:val="single" w:sz="8" w:space="0" w:color="000000"/>
              <w:right w:val="single" w:sz="8" w:space="0" w:color="000000"/>
            </w:tcBorders>
          </w:tcPr>
          <w:p w14:paraId="30E7926F"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57377D15" w14:textId="77777777" w:rsidTr="00630EEC">
        <w:trPr>
          <w:trHeight w:hRule="exact" w:val="44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BD338B7"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133788F" w14:textId="77777777" w:rsidR="00537112" w:rsidRPr="00537112" w:rsidRDefault="00537112" w:rsidP="00537112">
            <w:pPr>
              <w:autoSpaceDE w:val="0"/>
              <w:autoSpaceDN w:val="0"/>
              <w:spacing w:before="26"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EA4C2A3" w14:textId="77777777" w:rsidR="00537112" w:rsidRPr="00537112" w:rsidRDefault="00537112" w:rsidP="00537112">
            <w:pPr>
              <w:autoSpaceDE w:val="0"/>
              <w:autoSpaceDN w:val="0"/>
              <w:spacing w:before="90" w:line="240" w:lineRule="auto"/>
              <w:ind w:right="-20"/>
              <w:jc w:val="left"/>
              <w:textAlignment w:val="auto"/>
              <w:rPr>
                <w:rFonts w:ascii="Times New Roman" w:hAnsi="Times New Roman"/>
              </w:rPr>
            </w:pPr>
            <w:r w:rsidRPr="00537112">
              <w:rPr>
                <w:rFonts w:cs="Verdana"/>
                <w:sz w:val="20"/>
                <w:szCs w:val="20"/>
              </w:rPr>
              <w:t>7</w:t>
            </w:r>
            <w:r w:rsidRPr="00537112">
              <w:rPr>
                <w:rFonts w:cs="Verdana"/>
                <w:spacing w:val="1"/>
                <w:sz w:val="20"/>
                <w:szCs w:val="20"/>
              </w:rPr>
              <w:t>41</w:t>
            </w:r>
          </w:p>
        </w:tc>
        <w:tc>
          <w:tcPr>
            <w:tcW w:w="4496" w:type="dxa"/>
            <w:tcBorders>
              <w:top w:val="single" w:sz="8" w:space="0" w:color="000000"/>
              <w:left w:val="single" w:sz="8" w:space="0" w:color="000000"/>
              <w:bottom w:val="single" w:sz="8" w:space="0" w:color="000000"/>
              <w:right w:val="single" w:sz="8" w:space="0" w:color="000000"/>
            </w:tcBorders>
          </w:tcPr>
          <w:p w14:paraId="11CBEC5E" w14:textId="77777777" w:rsidR="00537112" w:rsidRPr="00537112" w:rsidRDefault="00537112" w:rsidP="00537112">
            <w:pPr>
              <w:autoSpaceDE w:val="0"/>
              <w:autoSpaceDN w:val="0"/>
              <w:spacing w:before="90"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3"/>
                <w:sz w:val="20"/>
                <w:szCs w:val="20"/>
              </w:rPr>
              <w:t>l</w:t>
            </w:r>
            <w:r w:rsidRPr="00537112">
              <w:rPr>
                <w:rFonts w:cs="Verdana"/>
                <w:spacing w:val="-1"/>
                <w:sz w:val="20"/>
                <w:szCs w:val="20"/>
              </w:rPr>
              <w:t>ore</w:t>
            </w:r>
            <w:r w:rsidRPr="00537112">
              <w:rPr>
                <w:rFonts w:cs="Verdana"/>
                <w:spacing w:val="1"/>
                <w:sz w:val="20"/>
                <w:szCs w:val="20"/>
              </w:rPr>
              <w:t>nt</w:t>
            </w:r>
            <w:r w:rsidRPr="00537112">
              <w:rPr>
                <w:rFonts w:cs="Verdana"/>
                <w:spacing w:val="3"/>
                <w:sz w:val="20"/>
                <w:szCs w:val="20"/>
              </w:rPr>
              <w:t>i</w:t>
            </w:r>
            <w:r w:rsidRPr="00537112">
              <w:rPr>
                <w:rFonts w:cs="Verdana"/>
                <w:sz w:val="20"/>
                <w:szCs w:val="20"/>
              </w:rPr>
              <w:t>n</w:t>
            </w:r>
            <w:r w:rsidRPr="00537112">
              <w:rPr>
                <w:rFonts w:cs="Verdana"/>
                <w:spacing w:val="-9"/>
                <w:sz w:val="20"/>
                <w:szCs w:val="20"/>
              </w:rPr>
              <w:t xml:space="preserve"> </w:t>
            </w:r>
            <w:r w:rsidRPr="00537112">
              <w:rPr>
                <w:rFonts w:cs="Verdana"/>
                <w:sz w:val="20"/>
                <w:szCs w:val="20"/>
              </w:rPr>
              <w:t>T</w:t>
            </w:r>
            <w:r w:rsidRPr="00537112">
              <w:rPr>
                <w:rFonts w:cs="Verdana"/>
                <w:spacing w:val="-1"/>
                <w:sz w:val="20"/>
                <w:szCs w:val="20"/>
              </w:rPr>
              <w:t>oj</w:t>
            </w:r>
          </w:p>
        </w:tc>
      </w:tr>
      <w:tr w:rsidR="00537112" w:rsidRPr="00537112" w14:paraId="171A5ECC" w14:textId="77777777" w:rsidTr="00630EEC">
        <w:trPr>
          <w:trHeight w:hRule="exact" w:val="348"/>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6C66B8B" w14:textId="77777777" w:rsidR="00537112" w:rsidRPr="00537112" w:rsidRDefault="00537112" w:rsidP="00537112">
            <w:pPr>
              <w:autoSpaceDE w:val="0"/>
              <w:autoSpaceDN w:val="0"/>
              <w:spacing w:before="90"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5186FF8" w14:textId="77777777" w:rsidR="00537112" w:rsidRPr="00537112" w:rsidRDefault="00537112" w:rsidP="00537112">
            <w:pPr>
              <w:autoSpaceDE w:val="0"/>
              <w:autoSpaceDN w:val="0"/>
              <w:spacing w:before="90"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58C209D"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z w:val="20"/>
                <w:szCs w:val="20"/>
              </w:rPr>
              <w:t>7</w:t>
            </w:r>
            <w:r w:rsidRPr="00537112">
              <w:rPr>
                <w:rFonts w:cs="Verdana"/>
                <w:spacing w:val="1"/>
                <w:sz w:val="20"/>
                <w:szCs w:val="20"/>
              </w:rPr>
              <w:t>42</w:t>
            </w:r>
          </w:p>
        </w:tc>
        <w:tc>
          <w:tcPr>
            <w:tcW w:w="4496" w:type="dxa"/>
            <w:tcBorders>
              <w:top w:val="single" w:sz="8" w:space="0" w:color="000000"/>
              <w:left w:val="single" w:sz="8" w:space="0" w:color="000000"/>
              <w:bottom w:val="single" w:sz="8" w:space="0" w:color="000000"/>
              <w:right w:val="single" w:sz="8" w:space="0" w:color="000000"/>
            </w:tcBorders>
          </w:tcPr>
          <w:p w14:paraId="3BCBDE42"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m</w:t>
            </w:r>
            <w:r w:rsidRPr="00537112">
              <w:rPr>
                <w:rFonts w:cs="Verdana"/>
                <w:spacing w:val="-1"/>
                <w:sz w:val="20"/>
                <w:szCs w:val="20"/>
              </w:rPr>
              <w:t>eó</w:t>
            </w:r>
            <w:r w:rsidRPr="00537112">
              <w:rPr>
                <w:rFonts w:cs="Verdana"/>
                <w:sz w:val="20"/>
                <w:szCs w:val="20"/>
              </w:rPr>
              <w:t>n</w:t>
            </w:r>
            <w:r w:rsidRPr="00537112">
              <w:rPr>
                <w:rFonts w:cs="Verdana"/>
                <w:spacing w:val="-8"/>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6E79A5DF" w14:textId="77777777" w:rsidTr="00630EEC">
        <w:trPr>
          <w:trHeight w:hRule="exact" w:val="929"/>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B38343"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6BF824D" w14:textId="77777777" w:rsidR="00537112" w:rsidRPr="00537112" w:rsidRDefault="00537112" w:rsidP="00537112">
            <w:pPr>
              <w:autoSpaceDE w:val="0"/>
              <w:autoSpaceDN w:val="0"/>
              <w:spacing w:before="40" w:line="240" w:lineRule="auto"/>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F67919" w14:textId="77777777" w:rsidR="00537112" w:rsidRPr="00537112" w:rsidRDefault="00537112" w:rsidP="00537112">
            <w:pPr>
              <w:autoSpaceDE w:val="0"/>
              <w:autoSpaceDN w:val="0"/>
              <w:spacing w:before="1" w:line="130" w:lineRule="exact"/>
              <w:jc w:val="left"/>
              <w:textAlignment w:val="auto"/>
              <w:rPr>
                <w:rFonts w:ascii="Times New Roman" w:hAnsi="Times New Roman"/>
                <w:sz w:val="13"/>
                <w:szCs w:val="13"/>
              </w:rPr>
            </w:pPr>
          </w:p>
          <w:p w14:paraId="5990859A"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86256C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7</w:t>
            </w:r>
            <w:r w:rsidRPr="00537112">
              <w:rPr>
                <w:rFonts w:cs="Verdana"/>
                <w:spacing w:val="1"/>
                <w:sz w:val="20"/>
                <w:szCs w:val="20"/>
              </w:rPr>
              <w:t>43</w:t>
            </w:r>
          </w:p>
        </w:tc>
        <w:tc>
          <w:tcPr>
            <w:tcW w:w="4496" w:type="dxa"/>
            <w:tcBorders>
              <w:top w:val="single" w:sz="8" w:space="0" w:color="000000"/>
              <w:left w:val="single" w:sz="8" w:space="0" w:color="000000"/>
              <w:bottom w:val="single" w:sz="8" w:space="0" w:color="000000"/>
              <w:right w:val="single" w:sz="8" w:space="0" w:color="000000"/>
            </w:tcBorders>
          </w:tcPr>
          <w:p w14:paraId="0FA74D4F" w14:textId="77777777" w:rsidR="00537112" w:rsidRPr="00537112" w:rsidRDefault="00537112" w:rsidP="00537112">
            <w:pPr>
              <w:autoSpaceDE w:val="0"/>
              <w:autoSpaceDN w:val="0"/>
              <w:spacing w:before="1" w:line="130" w:lineRule="exact"/>
              <w:jc w:val="left"/>
              <w:textAlignment w:val="auto"/>
              <w:rPr>
                <w:rFonts w:ascii="Times New Roman" w:hAnsi="Times New Roman"/>
                <w:sz w:val="13"/>
                <w:szCs w:val="13"/>
              </w:rPr>
            </w:pPr>
          </w:p>
          <w:p w14:paraId="204D9AB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C34BE6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o</w:t>
            </w:r>
            <w:r w:rsidRPr="00537112">
              <w:rPr>
                <w:rFonts w:cs="Verdana"/>
                <w:spacing w:val="3"/>
                <w:sz w:val="20"/>
                <w:szCs w:val="20"/>
              </w:rPr>
              <w:t>l</w:t>
            </w:r>
            <w:r w:rsidRPr="00537112">
              <w:rPr>
                <w:rFonts w:cs="Verdana"/>
                <w:spacing w:val="-1"/>
                <w:sz w:val="20"/>
                <w:szCs w:val="20"/>
              </w:rPr>
              <w:t>ore</w:t>
            </w:r>
            <w:r w:rsidRPr="00537112">
              <w:rPr>
                <w:rFonts w:cs="Verdana"/>
                <w:sz w:val="20"/>
                <w:szCs w:val="20"/>
              </w:rPr>
              <w:t>s</w:t>
            </w:r>
            <w:r w:rsidRPr="00537112">
              <w:rPr>
                <w:rFonts w:cs="Verdana"/>
                <w:spacing w:val="-9"/>
                <w:sz w:val="20"/>
                <w:szCs w:val="20"/>
              </w:rPr>
              <w:t xml:space="preserve"> </w:t>
            </w:r>
            <w:r w:rsidRPr="00537112">
              <w:rPr>
                <w:rFonts w:cs="Verdana"/>
                <w:sz w:val="20"/>
                <w:szCs w:val="20"/>
              </w:rPr>
              <w:t>T</w:t>
            </w:r>
            <w:r w:rsidRPr="00537112">
              <w:rPr>
                <w:rFonts w:cs="Verdana"/>
                <w:spacing w:val="-1"/>
                <w:sz w:val="20"/>
                <w:szCs w:val="20"/>
              </w:rPr>
              <w:t>o</w:t>
            </w:r>
            <w:r w:rsidRPr="00537112">
              <w:rPr>
                <w:rFonts w:cs="Verdana"/>
                <w:sz w:val="20"/>
                <w:szCs w:val="20"/>
              </w:rPr>
              <w:t>j</w:t>
            </w:r>
            <w:r w:rsidRPr="00537112">
              <w:rPr>
                <w:rFonts w:cs="Verdana"/>
                <w:spacing w:val="-3"/>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35A715D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BDD532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4CBAB7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47D420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45AEBEC"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F198D5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149</w:t>
            </w:r>
          </w:p>
        </w:tc>
        <w:tc>
          <w:tcPr>
            <w:tcW w:w="3958" w:type="dxa"/>
            <w:vMerge w:val="restart"/>
            <w:tcBorders>
              <w:top w:val="single" w:sz="8" w:space="0" w:color="000000"/>
              <w:left w:val="single" w:sz="8" w:space="0" w:color="000000"/>
              <w:bottom w:val="single" w:sz="8" w:space="0" w:color="000000"/>
              <w:right w:val="single" w:sz="8" w:space="0" w:color="000000"/>
            </w:tcBorders>
          </w:tcPr>
          <w:p w14:paraId="2250C6F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FEE6CB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8CE7B8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465E753"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468299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o</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ng</w:t>
            </w:r>
            <w:r w:rsidRPr="00537112">
              <w:rPr>
                <w:rFonts w:cs="Verdana"/>
                <w:sz w:val="20"/>
                <w:szCs w:val="20"/>
              </w:rPr>
              <w:t>o</w:t>
            </w:r>
            <w:r w:rsidRPr="00537112">
              <w:rPr>
                <w:rFonts w:cs="Verdana"/>
                <w:spacing w:val="-11"/>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z w:val="20"/>
                <w:szCs w:val="20"/>
              </w:rPr>
              <w:t>Ta</w:t>
            </w:r>
            <w:r w:rsidRPr="00537112">
              <w:rPr>
                <w:rFonts w:cs="Verdana"/>
                <w:spacing w:val="1"/>
                <w:sz w:val="20"/>
                <w:szCs w:val="20"/>
              </w:rPr>
              <w:t>hu</w:t>
            </w:r>
            <w:r w:rsidRPr="00537112">
              <w:rPr>
                <w:rFonts w:cs="Verdana"/>
                <w:spacing w:val="3"/>
                <w:sz w:val="20"/>
                <w:szCs w:val="20"/>
              </w:rPr>
              <w:t>i</w:t>
            </w:r>
            <w:r w:rsidRPr="00537112">
              <w:rPr>
                <w:rFonts w:cs="Verdana"/>
                <w:spacing w:val="-1"/>
                <w:sz w:val="20"/>
                <w:szCs w:val="20"/>
              </w:rPr>
              <w:t>c</w:t>
            </w:r>
            <w:r w:rsidRPr="00537112">
              <w:rPr>
                <w:rFonts w:cs="Verdana"/>
                <w:sz w:val="20"/>
                <w:szCs w:val="20"/>
              </w:rPr>
              <w:t>o</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B10D9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44</w:t>
            </w:r>
          </w:p>
        </w:tc>
        <w:tc>
          <w:tcPr>
            <w:tcW w:w="4496" w:type="dxa"/>
            <w:tcBorders>
              <w:top w:val="single" w:sz="8" w:space="0" w:color="000000"/>
              <w:left w:val="single" w:sz="8" w:space="0" w:color="000000"/>
              <w:bottom w:val="single" w:sz="8" w:space="0" w:color="000000"/>
              <w:right w:val="single" w:sz="8" w:space="0" w:color="000000"/>
            </w:tcBorders>
          </w:tcPr>
          <w:p w14:paraId="0078CE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Max</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2"/>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r w:rsidRPr="00537112">
              <w:rPr>
                <w:rFonts w:cs="Verdana"/>
                <w:spacing w:val="-5"/>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587228D3"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FCC3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CF247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5B699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45</w:t>
            </w:r>
          </w:p>
        </w:tc>
        <w:tc>
          <w:tcPr>
            <w:tcW w:w="4496" w:type="dxa"/>
            <w:tcBorders>
              <w:top w:val="single" w:sz="8" w:space="0" w:color="000000"/>
              <w:left w:val="single" w:sz="8" w:space="0" w:color="000000"/>
              <w:bottom w:val="single" w:sz="8" w:space="0" w:color="000000"/>
              <w:right w:val="single" w:sz="8" w:space="0" w:color="000000"/>
            </w:tcBorders>
          </w:tcPr>
          <w:p w14:paraId="293E5C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Ta</w:t>
            </w:r>
            <w:r w:rsidRPr="00537112">
              <w:rPr>
                <w:rFonts w:cs="Verdana"/>
                <w:spacing w:val="1"/>
                <w:position w:val="-1"/>
                <w:sz w:val="20"/>
                <w:szCs w:val="20"/>
              </w:rPr>
              <w:t>hu</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o</w:t>
            </w:r>
          </w:p>
        </w:tc>
      </w:tr>
      <w:tr w:rsidR="00537112" w:rsidRPr="00537112" w14:paraId="7BE7FA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E9514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82EF1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FAEB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46</w:t>
            </w:r>
          </w:p>
        </w:tc>
        <w:tc>
          <w:tcPr>
            <w:tcW w:w="4496" w:type="dxa"/>
            <w:tcBorders>
              <w:top w:val="single" w:sz="8" w:space="0" w:color="000000"/>
              <w:left w:val="single" w:sz="8" w:space="0" w:color="000000"/>
              <w:bottom w:val="single" w:sz="8" w:space="0" w:color="000000"/>
              <w:right w:val="single" w:sz="8" w:space="0" w:color="000000"/>
            </w:tcBorders>
          </w:tcPr>
          <w:p w14:paraId="542072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697DEA3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9028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645C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4E46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47</w:t>
            </w:r>
          </w:p>
        </w:tc>
        <w:tc>
          <w:tcPr>
            <w:tcW w:w="4496" w:type="dxa"/>
            <w:tcBorders>
              <w:top w:val="single" w:sz="8" w:space="0" w:color="000000"/>
              <w:left w:val="single" w:sz="8" w:space="0" w:color="000000"/>
              <w:bottom w:val="single" w:sz="8" w:space="0" w:color="000000"/>
              <w:right w:val="single" w:sz="8" w:space="0" w:color="000000"/>
            </w:tcBorders>
          </w:tcPr>
          <w:p w14:paraId="24F516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11A0B88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8F82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2856A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5A78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48</w:t>
            </w:r>
          </w:p>
        </w:tc>
        <w:tc>
          <w:tcPr>
            <w:tcW w:w="4496" w:type="dxa"/>
            <w:tcBorders>
              <w:top w:val="single" w:sz="8" w:space="0" w:color="000000"/>
              <w:left w:val="single" w:sz="8" w:space="0" w:color="000000"/>
              <w:bottom w:val="single" w:sz="8" w:space="0" w:color="000000"/>
              <w:right w:val="single" w:sz="8" w:space="0" w:color="000000"/>
            </w:tcBorders>
          </w:tcPr>
          <w:p w14:paraId="50C787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625A4B3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DD3E0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45081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F84E6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49</w:t>
            </w:r>
          </w:p>
        </w:tc>
        <w:tc>
          <w:tcPr>
            <w:tcW w:w="4496" w:type="dxa"/>
            <w:tcBorders>
              <w:top w:val="single" w:sz="8" w:space="0" w:color="000000"/>
              <w:left w:val="single" w:sz="8" w:space="0" w:color="000000"/>
              <w:bottom w:val="single" w:sz="8" w:space="0" w:color="000000"/>
              <w:right w:val="single" w:sz="8" w:space="0" w:color="000000"/>
            </w:tcBorders>
          </w:tcPr>
          <w:p w14:paraId="6892C9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1"/>
                <w:position w:val="-1"/>
                <w:sz w:val="20"/>
                <w:szCs w:val="20"/>
              </w:rPr>
              <w:t>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7436FF2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D0451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C8B0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22DE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50</w:t>
            </w:r>
          </w:p>
        </w:tc>
        <w:tc>
          <w:tcPr>
            <w:tcW w:w="4496" w:type="dxa"/>
            <w:tcBorders>
              <w:top w:val="single" w:sz="8" w:space="0" w:color="000000"/>
              <w:left w:val="single" w:sz="8" w:space="0" w:color="000000"/>
              <w:bottom w:val="single" w:sz="8" w:space="0" w:color="000000"/>
              <w:right w:val="single" w:sz="8" w:space="0" w:color="000000"/>
            </w:tcBorders>
          </w:tcPr>
          <w:p w14:paraId="7BCCA0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g</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0B54E726"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CE790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AA518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AAAE6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51</w:t>
            </w:r>
          </w:p>
        </w:tc>
        <w:tc>
          <w:tcPr>
            <w:tcW w:w="4496" w:type="dxa"/>
            <w:tcBorders>
              <w:top w:val="single" w:sz="8" w:space="0" w:color="000000"/>
              <w:left w:val="single" w:sz="8" w:space="0" w:color="000000"/>
              <w:bottom w:val="single" w:sz="8" w:space="0" w:color="000000"/>
              <w:right w:val="single" w:sz="8" w:space="0" w:color="000000"/>
            </w:tcBorders>
          </w:tcPr>
          <w:p w14:paraId="59541F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nt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r>
      <w:tr w:rsidR="00537112" w:rsidRPr="00537112" w14:paraId="30D7FE0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33450F4"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19128AA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75E766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DF1DED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2FE63E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44A61C4"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150</w:t>
            </w:r>
          </w:p>
        </w:tc>
        <w:tc>
          <w:tcPr>
            <w:tcW w:w="3958" w:type="dxa"/>
            <w:vMerge w:val="restart"/>
            <w:tcBorders>
              <w:top w:val="single" w:sz="8" w:space="0" w:color="000000"/>
              <w:left w:val="single" w:sz="8" w:space="0" w:color="000000"/>
              <w:bottom w:val="single" w:sz="8" w:space="0" w:color="000000"/>
              <w:right w:val="single" w:sz="8" w:space="0" w:color="000000"/>
            </w:tcBorders>
          </w:tcPr>
          <w:p w14:paraId="24956A6E"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1320C9B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BE73D7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12D926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C55B48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EFCAE9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Ju</w:t>
            </w:r>
            <w:r w:rsidRPr="00537112">
              <w:rPr>
                <w:rFonts w:cs="Verdana"/>
                <w:spacing w:val="3"/>
                <w:sz w:val="20"/>
                <w:szCs w:val="20"/>
              </w:rPr>
              <w:t>li</w:t>
            </w:r>
            <w:r w:rsidRPr="00537112">
              <w:rPr>
                <w:rFonts w:cs="Verdana"/>
                <w:sz w:val="20"/>
                <w:szCs w:val="20"/>
              </w:rPr>
              <w:t>án</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1"/>
                <w:sz w:val="20"/>
                <w:szCs w:val="20"/>
              </w:rPr>
              <w:t>r</w:t>
            </w:r>
            <w:r w:rsidRPr="00537112">
              <w:rPr>
                <w:rFonts w:cs="Verdana"/>
                <w:spacing w:val="1"/>
                <w:sz w:val="20"/>
                <w:szCs w:val="20"/>
              </w:rPr>
              <w:t>g</w:t>
            </w:r>
            <w:r w:rsidRPr="00537112">
              <w:rPr>
                <w:rFonts w:cs="Verdana"/>
                <w:sz w:val="20"/>
                <w:szCs w:val="20"/>
              </w:rPr>
              <w:t>as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EC191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52</w:t>
            </w:r>
          </w:p>
        </w:tc>
        <w:tc>
          <w:tcPr>
            <w:tcW w:w="4496" w:type="dxa"/>
            <w:tcBorders>
              <w:top w:val="single" w:sz="8" w:space="0" w:color="000000"/>
              <w:left w:val="single" w:sz="8" w:space="0" w:color="000000"/>
              <w:bottom w:val="single" w:sz="8" w:space="0" w:color="000000"/>
              <w:right w:val="single" w:sz="8" w:space="0" w:color="000000"/>
            </w:tcBorders>
          </w:tcPr>
          <w:p w14:paraId="52EEDE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r>
      <w:tr w:rsidR="00537112" w:rsidRPr="00537112" w14:paraId="609234B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39F5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F8302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005B4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53</w:t>
            </w:r>
          </w:p>
        </w:tc>
        <w:tc>
          <w:tcPr>
            <w:tcW w:w="4496" w:type="dxa"/>
            <w:tcBorders>
              <w:top w:val="single" w:sz="8" w:space="0" w:color="000000"/>
              <w:left w:val="single" w:sz="8" w:space="0" w:color="000000"/>
              <w:bottom w:val="single" w:sz="8" w:space="0" w:color="000000"/>
              <w:right w:val="single" w:sz="8" w:space="0" w:color="000000"/>
            </w:tcBorders>
          </w:tcPr>
          <w:p w14:paraId="45F199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as</w:t>
            </w:r>
          </w:p>
        </w:tc>
      </w:tr>
      <w:tr w:rsidR="00537112" w:rsidRPr="00537112" w14:paraId="0423176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3FD87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04AFC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7BEB5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54</w:t>
            </w:r>
          </w:p>
        </w:tc>
        <w:tc>
          <w:tcPr>
            <w:tcW w:w="4496" w:type="dxa"/>
            <w:tcBorders>
              <w:top w:val="single" w:sz="8" w:space="0" w:color="000000"/>
              <w:left w:val="single" w:sz="8" w:space="0" w:color="000000"/>
              <w:bottom w:val="single" w:sz="8" w:space="0" w:color="000000"/>
              <w:right w:val="single" w:sz="8" w:space="0" w:color="000000"/>
            </w:tcBorders>
          </w:tcPr>
          <w:p w14:paraId="5A337B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r>
      <w:tr w:rsidR="00537112" w:rsidRPr="00537112" w14:paraId="2AAFE71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14600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5880A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F0F9A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55</w:t>
            </w:r>
          </w:p>
        </w:tc>
        <w:tc>
          <w:tcPr>
            <w:tcW w:w="4496" w:type="dxa"/>
            <w:tcBorders>
              <w:top w:val="single" w:sz="8" w:space="0" w:color="000000"/>
              <w:left w:val="single" w:sz="8" w:space="0" w:color="000000"/>
              <w:bottom w:val="single" w:sz="8" w:space="0" w:color="000000"/>
              <w:right w:val="single" w:sz="8" w:space="0" w:color="000000"/>
            </w:tcBorders>
          </w:tcPr>
          <w:p w14:paraId="24A00A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4F31742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940B2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1FE30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F982F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56</w:t>
            </w:r>
          </w:p>
        </w:tc>
        <w:tc>
          <w:tcPr>
            <w:tcW w:w="4496" w:type="dxa"/>
            <w:tcBorders>
              <w:top w:val="single" w:sz="8" w:space="0" w:color="000000"/>
              <w:left w:val="single" w:sz="8" w:space="0" w:color="000000"/>
              <w:bottom w:val="single" w:sz="8" w:space="0" w:color="000000"/>
              <w:right w:val="single" w:sz="8" w:space="0" w:color="000000"/>
            </w:tcBorders>
          </w:tcPr>
          <w:p w14:paraId="5C5BF7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Za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as</w:t>
            </w:r>
            <w:r w:rsidRPr="00537112">
              <w:rPr>
                <w:rFonts w:cs="Verdana"/>
                <w:spacing w:val="-9"/>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p>
        </w:tc>
      </w:tr>
      <w:tr w:rsidR="00537112" w:rsidRPr="00537112" w14:paraId="5029A83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4314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37FF6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16A9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57</w:t>
            </w:r>
          </w:p>
        </w:tc>
        <w:tc>
          <w:tcPr>
            <w:tcW w:w="4496" w:type="dxa"/>
            <w:tcBorders>
              <w:top w:val="single" w:sz="8" w:space="0" w:color="000000"/>
              <w:left w:val="single" w:sz="8" w:space="0" w:color="000000"/>
              <w:bottom w:val="single" w:sz="8" w:space="0" w:color="000000"/>
              <w:right w:val="single" w:sz="8" w:space="0" w:color="000000"/>
            </w:tcBorders>
          </w:tcPr>
          <w:p w14:paraId="236AB8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mu</w:t>
            </w:r>
            <w:r w:rsidRPr="00537112">
              <w:rPr>
                <w:rFonts w:cs="Verdana"/>
                <w:spacing w:val="-1"/>
                <w:position w:val="-1"/>
                <w:sz w:val="20"/>
                <w:szCs w:val="20"/>
              </w:rPr>
              <w:t>e</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552757D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92618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58A73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B7578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58</w:t>
            </w:r>
          </w:p>
        </w:tc>
        <w:tc>
          <w:tcPr>
            <w:tcW w:w="4496" w:type="dxa"/>
            <w:tcBorders>
              <w:top w:val="single" w:sz="8" w:space="0" w:color="000000"/>
              <w:left w:val="single" w:sz="8" w:space="0" w:color="000000"/>
              <w:bottom w:val="single" w:sz="8" w:space="0" w:color="000000"/>
              <w:right w:val="single" w:sz="8" w:space="0" w:color="000000"/>
            </w:tcBorders>
          </w:tcPr>
          <w:p w14:paraId="44AA52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p>
        </w:tc>
      </w:tr>
      <w:tr w:rsidR="00537112" w:rsidRPr="00537112" w14:paraId="2B6A9C1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6280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AD8E5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DBA0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59</w:t>
            </w:r>
          </w:p>
        </w:tc>
        <w:tc>
          <w:tcPr>
            <w:tcW w:w="4496" w:type="dxa"/>
            <w:tcBorders>
              <w:top w:val="single" w:sz="8" w:space="0" w:color="000000"/>
              <w:left w:val="single" w:sz="8" w:space="0" w:color="000000"/>
              <w:bottom w:val="single" w:sz="8" w:space="0" w:color="000000"/>
              <w:right w:val="single" w:sz="8" w:space="0" w:color="000000"/>
            </w:tcBorders>
          </w:tcPr>
          <w:p w14:paraId="3DB387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78E64A9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3F347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706BF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8DF8C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60</w:t>
            </w:r>
          </w:p>
        </w:tc>
        <w:tc>
          <w:tcPr>
            <w:tcW w:w="4496" w:type="dxa"/>
            <w:tcBorders>
              <w:top w:val="single" w:sz="8" w:space="0" w:color="000000"/>
              <w:left w:val="single" w:sz="8" w:space="0" w:color="000000"/>
              <w:bottom w:val="single" w:sz="8" w:space="0" w:color="000000"/>
              <w:right w:val="single" w:sz="8" w:space="0" w:color="000000"/>
            </w:tcBorders>
          </w:tcPr>
          <w:p w14:paraId="33204A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0F4A005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5C99346"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123B24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17B436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151</w:t>
            </w:r>
          </w:p>
        </w:tc>
        <w:tc>
          <w:tcPr>
            <w:tcW w:w="3958" w:type="dxa"/>
            <w:vMerge w:val="restart"/>
            <w:tcBorders>
              <w:top w:val="single" w:sz="8" w:space="0" w:color="000000"/>
              <w:left w:val="single" w:sz="8" w:space="0" w:color="000000"/>
              <w:bottom w:val="single" w:sz="8" w:space="0" w:color="000000"/>
              <w:right w:val="single" w:sz="8" w:space="0" w:color="000000"/>
            </w:tcBorders>
          </w:tcPr>
          <w:p w14:paraId="10D6B38C"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17B2BA8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EA9CCF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o</w:t>
            </w:r>
            <w:r w:rsidRPr="00537112">
              <w:rPr>
                <w:rFonts w:cs="Verdana"/>
                <w:spacing w:val="-11"/>
                <w:sz w:val="20"/>
                <w:szCs w:val="20"/>
              </w:rPr>
              <w:t xml:space="preserve"> </w:t>
            </w:r>
            <w:r w:rsidRPr="00537112">
              <w:rPr>
                <w:rFonts w:cs="Verdana"/>
                <w:sz w:val="20"/>
                <w:szCs w:val="20"/>
              </w:rPr>
              <w:t>B</w:t>
            </w:r>
            <w:r w:rsidRPr="00537112">
              <w:rPr>
                <w:rFonts w:cs="Verdana"/>
                <w:spacing w:val="-1"/>
                <w:sz w:val="20"/>
                <w:szCs w:val="20"/>
              </w:rPr>
              <w:t>o</w:t>
            </w:r>
            <w:r w:rsidRPr="00537112">
              <w:rPr>
                <w:rFonts w:cs="Verdana"/>
                <w:spacing w:val="3"/>
                <w:sz w:val="20"/>
                <w:szCs w:val="20"/>
              </w:rPr>
              <w:t>l</w:t>
            </w:r>
            <w:r w:rsidRPr="00537112">
              <w:rPr>
                <w:rFonts w:cs="Verdana"/>
                <w:sz w:val="20"/>
                <w:szCs w:val="20"/>
              </w:rPr>
              <w:t>aj</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329F5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61</w:t>
            </w:r>
          </w:p>
        </w:tc>
        <w:tc>
          <w:tcPr>
            <w:tcW w:w="4496" w:type="dxa"/>
            <w:tcBorders>
              <w:top w:val="single" w:sz="8" w:space="0" w:color="000000"/>
              <w:left w:val="single" w:sz="8" w:space="0" w:color="000000"/>
              <w:bottom w:val="single" w:sz="8" w:space="0" w:color="000000"/>
              <w:right w:val="single" w:sz="8" w:space="0" w:color="000000"/>
            </w:tcBorders>
          </w:tcPr>
          <w:p w14:paraId="4BC994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777C0C7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4FD06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9E268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C833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62</w:t>
            </w:r>
          </w:p>
        </w:tc>
        <w:tc>
          <w:tcPr>
            <w:tcW w:w="4496" w:type="dxa"/>
            <w:tcBorders>
              <w:top w:val="single" w:sz="8" w:space="0" w:color="000000"/>
              <w:left w:val="single" w:sz="8" w:space="0" w:color="000000"/>
              <w:bottom w:val="single" w:sz="8" w:space="0" w:color="000000"/>
              <w:right w:val="single" w:sz="8" w:space="0" w:color="000000"/>
            </w:tcBorders>
          </w:tcPr>
          <w:p w14:paraId="245F4F9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b</w:t>
            </w:r>
            <w:r w:rsidRPr="00537112">
              <w:rPr>
                <w:rFonts w:cs="Verdana"/>
                <w:spacing w:val="3"/>
                <w:position w:val="-1"/>
                <w:sz w:val="20"/>
                <w:szCs w:val="20"/>
              </w:rPr>
              <w:t>l</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79C0323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CF74A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5F335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E64A1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63</w:t>
            </w:r>
          </w:p>
        </w:tc>
        <w:tc>
          <w:tcPr>
            <w:tcW w:w="4496" w:type="dxa"/>
            <w:tcBorders>
              <w:top w:val="single" w:sz="8" w:space="0" w:color="000000"/>
              <w:left w:val="single" w:sz="8" w:space="0" w:color="000000"/>
              <w:bottom w:val="single" w:sz="8" w:space="0" w:color="000000"/>
              <w:right w:val="single" w:sz="8" w:space="0" w:color="000000"/>
            </w:tcBorders>
          </w:tcPr>
          <w:p w14:paraId="358992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7AA02B6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D53C9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7260DD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0B88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64</w:t>
            </w:r>
          </w:p>
        </w:tc>
        <w:tc>
          <w:tcPr>
            <w:tcW w:w="4496" w:type="dxa"/>
            <w:tcBorders>
              <w:top w:val="single" w:sz="8" w:space="0" w:color="000000"/>
              <w:left w:val="single" w:sz="8" w:space="0" w:color="000000"/>
              <w:bottom w:val="single" w:sz="8" w:space="0" w:color="000000"/>
              <w:right w:val="single" w:sz="8" w:space="0" w:color="000000"/>
            </w:tcBorders>
          </w:tcPr>
          <w:p w14:paraId="1A9253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6E4C4AA2"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DADB9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152</w:t>
            </w:r>
          </w:p>
        </w:tc>
        <w:tc>
          <w:tcPr>
            <w:tcW w:w="3958" w:type="dxa"/>
            <w:tcBorders>
              <w:top w:val="single" w:sz="8" w:space="0" w:color="000000"/>
              <w:left w:val="single" w:sz="8" w:space="0" w:color="000000"/>
              <w:bottom w:val="single" w:sz="8" w:space="0" w:color="000000"/>
              <w:right w:val="single" w:sz="8" w:space="0" w:color="000000"/>
            </w:tcBorders>
          </w:tcPr>
          <w:p w14:paraId="3CC38D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51DE2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65</w:t>
            </w:r>
          </w:p>
        </w:tc>
        <w:tc>
          <w:tcPr>
            <w:tcW w:w="4496" w:type="dxa"/>
            <w:tcBorders>
              <w:top w:val="single" w:sz="8" w:space="0" w:color="000000"/>
              <w:left w:val="single" w:sz="8" w:space="0" w:color="000000"/>
              <w:bottom w:val="single" w:sz="8" w:space="0" w:color="000000"/>
              <w:right w:val="single" w:sz="8" w:space="0" w:color="000000"/>
            </w:tcBorders>
          </w:tcPr>
          <w:p w14:paraId="567C0157"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ug</w:t>
            </w:r>
            <w:r w:rsidRPr="00537112">
              <w:rPr>
                <w:rFonts w:cs="Verdana"/>
                <w:spacing w:val="-1"/>
                <w:sz w:val="20"/>
                <w:szCs w:val="20"/>
              </w:rPr>
              <w:t>e</w:t>
            </w:r>
            <w:r w:rsidRPr="00537112">
              <w:rPr>
                <w:rFonts w:cs="Verdana"/>
                <w:spacing w:val="1"/>
                <w:sz w:val="20"/>
                <w:szCs w:val="20"/>
              </w:rPr>
              <w:t>n</w:t>
            </w:r>
            <w:r w:rsidRPr="00537112">
              <w:rPr>
                <w:rFonts w:cs="Verdana"/>
                <w:spacing w:val="3"/>
                <w:sz w:val="20"/>
                <w:szCs w:val="20"/>
              </w:rPr>
              <w:t>i</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r>
      <w:tr w:rsidR="00537112" w:rsidRPr="00537112" w14:paraId="60D5DF7B"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D8157E"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1FBD91A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153</w:t>
            </w:r>
          </w:p>
        </w:tc>
        <w:tc>
          <w:tcPr>
            <w:tcW w:w="3958" w:type="dxa"/>
            <w:vMerge w:val="restart"/>
            <w:tcBorders>
              <w:top w:val="single" w:sz="8" w:space="0" w:color="000000"/>
              <w:left w:val="single" w:sz="8" w:space="0" w:color="000000"/>
              <w:bottom w:val="single" w:sz="8" w:space="0" w:color="000000"/>
              <w:right w:val="single" w:sz="8" w:space="0" w:color="000000"/>
            </w:tcBorders>
          </w:tcPr>
          <w:p w14:paraId="4689E938"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33C4E79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w:t>
            </w:r>
            <w:r w:rsidRPr="00537112">
              <w:rPr>
                <w:rFonts w:cs="Verdana"/>
                <w:spacing w:val="-1"/>
                <w:sz w:val="20"/>
                <w:szCs w:val="20"/>
              </w:rPr>
              <w:t>oro</w:t>
            </w:r>
            <w:r w:rsidRPr="00537112">
              <w:rPr>
                <w:rFonts w:cs="Verdana"/>
                <w:spacing w:val="1"/>
                <w:sz w:val="20"/>
                <w:szCs w:val="20"/>
              </w:rPr>
              <w:t>t</w:t>
            </w:r>
            <w:r w:rsidRPr="00537112">
              <w:rPr>
                <w:rFonts w:cs="Verdana"/>
                <w:spacing w:val="-1"/>
                <w:sz w:val="20"/>
                <w:szCs w:val="20"/>
              </w:rPr>
              <w:t>e</w:t>
            </w:r>
            <w:r w:rsidRPr="00537112">
              <w:rPr>
                <w:rFonts w:cs="Verdana"/>
                <w:sz w:val="20"/>
                <w:szCs w:val="20"/>
              </w:rPr>
              <w:t>o</w:t>
            </w:r>
            <w:r w:rsidRPr="00537112">
              <w:rPr>
                <w:rFonts w:cs="Verdana"/>
                <w:spacing w:val="-10"/>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j</w:t>
            </w:r>
            <w:r w:rsidRPr="00537112">
              <w:rPr>
                <w:rFonts w:cs="Verdana"/>
                <w:sz w:val="20"/>
                <w:szCs w:val="20"/>
              </w:rPr>
              <w:t>as</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3F5EC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66</w:t>
            </w:r>
          </w:p>
        </w:tc>
        <w:tc>
          <w:tcPr>
            <w:tcW w:w="4496" w:type="dxa"/>
            <w:tcBorders>
              <w:top w:val="single" w:sz="8" w:space="0" w:color="000000"/>
              <w:left w:val="single" w:sz="8" w:space="0" w:color="000000"/>
              <w:bottom w:val="single" w:sz="8" w:space="0" w:color="000000"/>
              <w:right w:val="single" w:sz="8" w:space="0" w:color="000000"/>
            </w:tcBorders>
          </w:tcPr>
          <w:p w14:paraId="2C7007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r>
      <w:tr w:rsidR="00537112" w:rsidRPr="00537112" w14:paraId="664D430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7EB53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9FC36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BD6B0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67</w:t>
            </w:r>
          </w:p>
        </w:tc>
        <w:tc>
          <w:tcPr>
            <w:tcW w:w="4496" w:type="dxa"/>
            <w:tcBorders>
              <w:top w:val="single" w:sz="8" w:space="0" w:color="000000"/>
              <w:left w:val="single" w:sz="8" w:space="0" w:color="000000"/>
              <w:bottom w:val="single" w:sz="8" w:space="0" w:color="000000"/>
              <w:right w:val="single" w:sz="8" w:space="0" w:color="000000"/>
            </w:tcBorders>
          </w:tcPr>
          <w:p w14:paraId="464F2B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r>
      <w:tr w:rsidR="00537112" w:rsidRPr="00537112" w14:paraId="6C8FECF4" w14:textId="77777777" w:rsidTr="00630EEC">
        <w:trPr>
          <w:trHeight w:hRule="exact" w:val="247"/>
        </w:trPr>
        <w:tc>
          <w:tcPr>
            <w:tcW w:w="977" w:type="dxa"/>
            <w:vMerge w:val="restart"/>
            <w:tcBorders>
              <w:top w:val="single" w:sz="8" w:space="0" w:color="000000"/>
              <w:left w:val="single" w:sz="8" w:space="0" w:color="000000"/>
              <w:bottom w:val="nil"/>
              <w:right w:val="single" w:sz="8" w:space="0" w:color="000000"/>
            </w:tcBorders>
            <w:shd w:val="clear" w:color="auto" w:fill="BFBFBF" w:themeFill="background1" w:themeFillShade="BF"/>
          </w:tcPr>
          <w:p w14:paraId="3D124AAD"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01C7997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157B3D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C9BF74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66984E2"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91B86C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154</w:t>
            </w:r>
          </w:p>
        </w:tc>
        <w:tc>
          <w:tcPr>
            <w:tcW w:w="3958" w:type="dxa"/>
            <w:vMerge w:val="restart"/>
            <w:tcBorders>
              <w:top w:val="single" w:sz="8" w:space="0" w:color="000000"/>
              <w:left w:val="single" w:sz="8" w:space="0" w:color="000000"/>
              <w:bottom w:val="nil"/>
              <w:right w:val="single" w:sz="8" w:space="0" w:color="000000"/>
            </w:tcBorders>
          </w:tcPr>
          <w:p w14:paraId="500E4E5E" w14:textId="77777777" w:rsidR="00537112" w:rsidRPr="00537112" w:rsidRDefault="00537112" w:rsidP="00537112">
            <w:pPr>
              <w:autoSpaceDE w:val="0"/>
              <w:autoSpaceDN w:val="0"/>
              <w:spacing w:before="9" w:line="160" w:lineRule="exact"/>
              <w:jc w:val="left"/>
              <w:textAlignment w:val="auto"/>
              <w:rPr>
                <w:rFonts w:ascii="Times New Roman" w:hAnsi="Times New Roman"/>
                <w:sz w:val="16"/>
                <w:szCs w:val="16"/>
              </w:rPr>
            </w:pPr>
          </w:p>
          <w:p w14:paraId="4FE15054"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1D37AB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9185E6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6EB7D8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33B565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Agu</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i</w:t>
            </w:r>
            <w:r w:rsidRPr="00537112">
              <w:rPr>
                <w:rFonts w:cs="Verdana"/>
                <w:sz w:val="20"/>
                <w:szCs w:val="20"/>
              </w:rPr>
              <w:t>n</w:t>
            </w:r>
            <w:r w:rsidRPr="00537112">
              <w:rPr>
                <w:rFonts w:cs="Verdana"/>
                <w:spacing w:val="-8"/>
                <w:sz w:val="20"/>
                <w:szCs w:val="20"/>
              </w:rPr>
              <w:t xml:space="preserve"> Valey (o Baley)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66B5D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68</w:t>
            </w:r>
          </w:p>
        </w:tc>
        <w:tc>
          <w:tcPr>
            <w:tcW w:w="4496" w:type="dxa"/>
            <w:tcBorders>
              <w:top w:val="single" w:sz="8" w:space="0" w:color="000000"/>
              <w:left w:val="single" w:sz="8" w:space="0" w:color="000000"/>
              <w:bottom w:val="single" w:sz="8" w:space="0" w:color="000000"/>
              <w:right w:val="single" w:sz="8" w:space="0" w:color="000000"/>
            </w:tcBorders>
          </w:tcPr>
          <w:p w14:paraId="2FDDD7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63DE870F"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88247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690475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B118F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69</w:t>
            </w:r>
          </w:p>
        </w:tc>
        <w:tc>
          <w:tcPr>
            <w:tcW w:w="4496" w:type="dxa"/>
            <w:tcBorders>
              <w:top w:val="single" w:sz="8" w:space="0" w:color="000000"/>
              <w:left w:val="single" w:sz="8" w:space="0" w:color="000000"/>
              <w:bottom w:val="single" w:sz="8" w:space="0" w:color="000000"/>
              <w:right w:val="single" w:sz="8" w:space="0" w:color="000000"/>
            </w:tcBorders>
          </w:tcPr>
          <w:p w14:paraId="1BC4B1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Agu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n</w:t>
            </w:r>
            <w:r w:rsidRPr="00537112">
              <w:rPr>
                <w:rFonts w:cs="Verdana"/>
                <w:spacing w:val="-8"/>
                <w:position w:val="-1"/>
                <w:sz w:val="20"/>
                <w:szCs w:val="20"/>
              </w:rPr>
              <w:t xml:space="preserve"> Valey (o </w:t>
            </w:r>
            <w:r w:rsidRPr="00537112">
              <w:rPr>
                <w:rFonts w:cs="Verdana"/>
                <w:position w:val="-1"/>
                <w:sz w:val="20"/>
                <w:szCs w:val="20"/>
              </w:rPr>
              <w:t>Ba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57CE75BC"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AF03F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1DAF2E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9358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70</w:t>
            </w:r>
          </w:p>
        </w:tc>
        <w:tc>
          <w:tcPr>
            <w:tcW w:w="4496" w:type="dxa"/>
            <w:tcBorders>
              <w:top w:val="single" w:sz="8" w:space="0" w:color="000000"/>
              <w:left w:val="single" w:sz="8" w:space="0" w:color="000000"/>
              <w:bottom w:val="single" w:sz="8" w:space="0" w:color="000000"/>
              <w:right w:val="single" w:sz="8" w:space="0" w:color="000000"/>
            </w:tcBorders>
          </w:tcPr>
          <w:p w14:paraId="03A479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082DCF75"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268783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7C581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F1865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71</w:t>
            </w:r>
          </w:p>
        </w:tc>
        <w:tc>
          <w:tcPr>
            <w:tcW w:w="4496" w:type="dxa"/>
            <w:tcBorders>
              <w:top w:val="single" w:sz="8" w:space="0" w:color="000000"/>
              <w:left w:val="single" w:sz="8" w:space="0" w:color="000000"/>
              <w:bottom w:val="single" w:sz="8" w:space="0" w:color="000000"/>
              <w:right w:val="single" w:sz="8" w:space="0" w:color="000000"/>
            </w:tcBorders>
          </w:tcPr>
          <w:p w14:paraId="560B3C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457F5C85"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607C70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20E862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229D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72</w:t>
            </w:r>
          </w:p>
        </w:tc>
        <w:tc>
          <w:tcPr>
            <w:tcW w:w="4496" w:type="dxa"/>
            <w:tcBorders>
              <w:top w:val="single" w:sz="8" w:space="0" w:color="000000"/>
              <w:left w:val="single" w:sz="8" w:space="0" w:color="000000"/>
              <w:bottom w:val="single" w:sz="8" w:space="0" w:color="000000"/>
              <w:right w:val="single" w:sz="8" w:space="0" w:color="000000"/>
            </w:tcBorders>
          </w:tcPr>
          <w:p w14:paraId="60F581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4E8B54D7"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420D35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0FD8D1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BDF8B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73</w:t>
            </w:r>
          </w:p>
        </w:tc>
        <w:tc>
          <w:tcPr>
            <w:tcW w:w="4496" w:type="dxa"/>
            <w:tcBorders>
              <w:top w:val="single" w:sz="8" w:space="0" w:color="000000"/>
              <w:left w:val="single" w:sz="8" w:space="0" w:color="000000"/>
              <w:bottom w:val="single" w:sz="8" w:space="0" w:color="000000"/>
              <w:right w:val="single" w:sz="8" w:space="0" w:color="000000"/>
            </w:tcBorders>
          </w:tcPr>
          <w:p w14:paraId="1A01B5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41FFEB24"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5242A0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6122E3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28655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74</w:t>
            </w:r>
          </w:p>
        </w:tc>
        <w:tc>
          <w:tcPr>
            <w:tcW w:w="4496" w:type="dxa"/>
            <w:tcBorders>
              <w:top w:val="single" w:sz="8" w:space="0" w:color="000000"/>
              <w:left w:val="single" w:sz="8" w:space="0" w:color="000000"/>
              <w:bottom w:val="single" w:sz="8" w:space="0" w:color="000000"/>
              <w:right w:val="single" w:sz="8" w:space="0" w:color="000000"/>
            </w:tcBorders>
          </w:tcPr>
          <w:p w14:paraId="469AF6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1DE9D941" w14:textId="77777777" w:rsidTr="00630EEC">
        <w:trPr>
          <w:trHeight w:hRule="exact" w:val="247"/>
        </w:trPr>
        <w:tc>
          <w:tcPr>
            <w:tcW w:w="977" w:type="dxa"/>
            <w:vMerge/>
            <w:tcBorders>
              <w:top w:val="single" w:sz="8" w:space="0" w:color="000000"/>
              <w:left w:val="single" w:sz="8" w:space="0" w:color="000000"/>
              <w:bottom w:val="nil"/>
              <w:right w:val="single" w:sz="8" w:space="0" w:color="000000"/>
            </w:tcBorders>
            <w:shd w:val="clear" w:color="auto" w:fill="BFBFBF" w:themeFill="background1" w:themeFillShade="BF"/>
          </w:tcPr>
          <w:p w14:paraId="11ECA6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nil"/>
              <w:right w:val="single" w:sz="8" w:space="0" w:color="000000"/>
            </w:tcBorders>
          </w:tcPr>
          <w:p w14:paraId="3EB7E3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F9CC7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75</w:t>
            </w:r>
          </w:p>
        </w:tc>
        <w:tc>
          <w:tcPr>
            <w:tcW w:w="4496" w:type="dxa"/>
            <w:tcBorders>
              <w:top w:val="single" w:sz="8" w:space="0" w:color="000000"/>
              <w:left w:val="single" w:sz="8" w:space="0" w:color="000000"/>
              <w:bottom w:val="single" w:sz="8" w:space="0" w:color="000000"/>
              <w:right w:val="single" w:sz="8" w:space="0" w:color="000000"/>
            </w:tcBorders>
          </w:tcPr>
          <w:p w14:paraId="2C8C50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d</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bl>
    <w:p w14:paraId="2F4043FE"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4F7D35A6"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772"/>
        <w:gridCol w:w="4496"/>
      </w:tblGrid>
      <w:tr w:rsidR="00537112" w:rsidRPr="00537112" w14:paraId="49BD6C0A" w14:textId="77777777" w:rsidTr="00630EEC">
        <w:trPr>
          <w:trHeight w:hRule="exact" w:val="247"/>
        </w:trPr>
        <w:tc>
          <w:tcPr>
            <w:tcW w:w="977" w:type="dxa"/>
            <w:tcBorders>
              <w:top w:val="nil"/>
              <w:left w:val="single" w:sz="8" w:space="0" w:color="000000"/>
              <w:bottom w:val="single" w:sz="8" w:space="0" w:color="000000"/>
              <w:right w:val="single" w:sz="8" w:space="0" w:color="000000"/>
            </w:tcBorders>
            <w:shd w:val="clear" w:color="auto" w:fill="BFBFBF" w:themeFill="background1" w:themeFillShade="BF"/>
          </w:tcPr>
          <w:p w14:paraId="117FFAFF"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3958" w:type="dxa"/>
            <w:tcBorders>
              <w:top w:val="nil"/>
              <w:left w:val="single" w:sz="8" w:space="0" w:color="000000"/>
              <w:bottom w:val="single" w:sz="8" w:space="0" w:color="000000"/>
              <w:right w:val="single" w:sz="8" w:space="0" w:color="000000"/>
            </w:tcBorders>
          </w:tcPr>
          <w:p w14:paraId="75CCCC5E" w14:textId="77777777" w:rsidR="00537112" w:rsidRPr="00537112" w:rsidRDefault="00537112" w:rsidP="00537112">
            <w:pPr>
              <w:autoSpaceDE w:val="0"/>
              <w:autoSpaceDN w:val="0"/>
              <w:spacing w:line="240" w:lineRule="auto"/>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CC93A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76</w:t>
            </w:r>
          </w:p>
        </w:tc>
        <w:tc>
          <w:tcPr>
            <w:tcW w:w="4496" w:type="dxa"/>
            <w:tcBorders>
              <w:top w:val="single" w:sz="8" w:space="0" w:color="000000"/>
              <w:left w:val="single" w:sz="8" w:space="0" w:color="000000"/>
              <w:bottom w:val="single" w:sz="8" w:space="0" w:color="000000"/>
              <w:right w:val="single" w:sz="8" w:space="0" w:color="000000"/>
            </w:tcBorders>
          </w:tcPr>
          <w:p w14:paraId="5EC86A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37CB801D"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2E68657"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0BC6EC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155</w:t>
            </w:r>
          </w:p>
        </w:tc>
        <w:tc>
          <w:tcPr>
            <w:tcW w:w="3958" w:type="dxa"/>
            <w:vMerge w:val="restart"/>
            <w:tcBorders>
              <w:top w:val="single" w:sz="8" w:space="0" w:color="000000"/>
              <w:left w:val="single" w:sz="8" w:space="0" w:color="000000"/>
              <w:bottom w:val="single" w:sz="8" w:space="0" w:color="000000"/>
              <w:right w:val="single" w:sz="8" w:space="0" w:color="000000"/>
            </w:tcBorders>
          </w:tcPr>
          <w:p w14:paraId="37F1AFF8"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DF87D0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w:t>
            </w:r>
            <w:r w:rsidRPr="00537112">
              <w:rPr>
                <w:rFonts w:cs="Verdana"/>
                <w:spacing w:val="1"/>
                <w:sz w:val="20"/>
                <w:szCs w:val="20"/>
              </w:rPr>
              <w:t>m</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0E08D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77</w:t>
            </w:r>
          </w:p>
        </w:tc>
        <w:tc>
          <w:tcPr>
            <w:tcW w:w="4496" w:type="dxa"/>
            <w:tcBorders>
              <w:top w:val="single" w:sz="8" w:space="0" w:color="000000"/>
              <w:left w:val="single" w:sz="8" w:space="0" w:color="000000"/>
              <w:bottom w:val="single" w:sz="8" w:space="0" w:color="000000"/>
              <w:right w:val="single" w:sz="8" w:space="0" w:color="000000"/>
            </w:tcBorders>
          </w:tcPr>
          <w:p w14:paraId="519763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eo</w:t>
            </w:r>
            <w:r w:rsidRPr="00537112">
              <w:rPr>
                <w:rFonts w:cs="Verdana"/>
                <w:spacing w:val="1"/>
                <w:position w:val="-1"/>
                <w:sz w:val="20"/>
                <w:szCs w:val="20"/>
              </w:rPr>
              <w:t>d</w:t>
            </w:r>
            <w:r w:rsidRPr="00537112">
              <w:rPr>
                <w:rFonts w:cs="Verdana"/>
                <w:spacing w:val="-1"/>
                <w:position w:val="-1"/>
                <w:sz w:val="20"/>
                <w:szCs w:val="20"/>
              </w:rPr>
              <w:t>or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j</w:t>
            </w:r>
            <w:r w:rsidRPr="00537112">
              <w:rPr>
                <w:rFonts w:cs="Verdana"/>
                <w:spacing w:val="-1"/>
                <w:position w:val="-1"/>
                <w:sz w:val="20"/>
                <w:szCs w:val="20"/>
              </w:rPr>
              <w:t>ó</w:t>
            </w:r>
            <w:r w:rsidRPr="00537112">
              <w:rPr>
                <w:rFonts w:cs="Verdana"/>
                <w:position w:val="-1"/>
                <w:sz w:val="20"/>
                <w:szCs w:val="20"/>
              </w:rPr>
              <w:t>m</w:t>
            </w:r>
          </w:p>
        </w:tc>
      </w:tr>
      <w:tr w:rsidR="00537112" w:rsidRPr="00537112" w14:paraId="3343C2A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4FE9B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692C6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7DB40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78</w:t>
            </w:r>
          </w:p>
        </w:tc>
        <w:tc>
          <w:tcPr>
            <w:tcW w:w="4496" w:type="dxa"/>
            <w:tcBorders>
              <w:top w:val="single" w:sz="8" w:space="0" w:color="000000"/>
              <w:left w:val="single" w:sz="8" w:space="0" w:color="000000"/>
              <w:bottom w:val="single" w:sz="8" w:space="0" w:color="000000"/>
              <w:right w:val="single" w:sz="8" w:space="0" w:color="000000"/>
            </w:tcBorders>
          </w:tcPr>
          <w:p w14:paraId="413898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ero</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p>
        </w:tc>
      </w:tr>
      <w:tr w:rsidR="00537112" w:rsidRPr="00537112" w14:paraId="56D3C2D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99092E2"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4A5FC3B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156</w:t>
            </w:r>
          </w:p>
        </w:tc>
        <w:tc>
          <w:tcPr>
            <w:tcW w:w="3958" w:type="dxa"/>
            <w:vMerge w:val="restart"/>
            <w:tcBorders>
              <w:top w:val="single" w:sz="8" w:space="0" w:color="000000"/>
              <w:left w:val="single" w:sz="8" w:space="0" w:color="000000"/>
              <w:bottom w:val="single" w:sz="8" w:space="0" w:color="000000"/>
              <w:right w:val="single" w:sz="8" w:space="0" w:color="000000"/>
            </w:tcBorders>
          </w:tcPr>
          <w:p w14:paraId="56E5091E"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2B9BAD7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t</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t</w:t>
            </w:r>
            <w:r w:rsidRPr="00537112">
              <w:rPr>
                <w:rFonts w:cs="Verdana"/>
                <w:sz w:val="20"/>
                <w:szCs w:val="20"/>
              </w:rPr>
              <w:t>á</w:t>
            </w:r>
            <w:r w:rsidRPr="00537112">
              <w:rPr>
                <w:rFonts w:cs="Verdana"/>
                <w:spacing w:val="-6"/>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5AD2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79</w:t>
            </w:r>
          </w:p>
        </w:tc>
        <w:tc>
          <w:tcPr>
            <w:tcW w:w="4496" w:type="dxa"/>
            <w:tcBorders>
              <w:top w:val="single" w:sz="8" w:space="0" w:color="000000"/>
              <w:left w:val="single" w:sz="8" w:space="0" w:color="000000"/>
              <w:bottom w:val="single" w:sz="8" w:space="0" w:color="000000"/>
              <w:right w:val="single" w:sz="8" w:space="0" w:color="000000"/>
            </w:tcBorders>
          </w:tcPr>
          <w:p w14:paraId="4D3DCC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5DE9F1D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4E7CC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B9CAB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65A0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80</w:t>
            </w:r>
          </w:p>
        </w:tc>
        <w:tc>
          <w:tcPr>
            <w:tcW w:w="4496" w:type="dxa"/>
            <w:tcBorders>
              <w:top w:val="single" w:sz="8" w:space="0" w:color="000000"/>
              <w:left w:val="single" w:sz="8" w:space="0" w:color="000000"/>
              <w:bottom w:val="single" w:sz="8" w:space="0" w:color="000000"/>
              <w:right w:val="single" w:sz="8" w:space="0" w:color="000000"/>
            </w:tcBorders>
          </w:tcPr>
          <w:p w14:paraId="29BD4A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4"/>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33184ECF"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2EF4DC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18867A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8FD0B5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EA9FA9A"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49FFBD8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157</w:t>
            </w:r>
          </w:p>
        </w:tc>
        <w:tc>
          <w:tcPr>
            <w:tcW w:w="3958" w:type="dxa"/>
            <w:vMerge w:val="restart"/>
            <w:tcBorders>
              <w:top w:val="single" w:sz="8" w:space="0" w:color="000000"/>
              <w:left w:val="single" w:sz="8" w:space="0" w:color="000000"/>
              <w:bottom w:val="single" w:sz="8" w:space="0" w:color="000000"/>
              <w:right w:val="single" w:sz="8" w:space="0" w:color="000000"/>
            </w:tcBorders>
          </w:tcPr>
          <w:p w14:paraId="7317179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7F01DF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1BA9C85"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F136398" w14:textId="77777777" w:rsidR="00537112" w:rsidRPr="00537112" w:rsidRDefault="00537112" w:rsidP="00537112">
            <w:pPr>
              <w:autoSpaceDE w:val="0"/>
              <w:autoSpaceDN w:val="0"/>
              <w:spacing w:before="7" w:line="240" w:lineRule="exact"/>
              <w:jc w:val="left"/>
              <w:textAlignment w:val="auto"/>
              <w:rPr>
                <w:rFonts w:ascii="Times New Roman" w:hAnsi="Times New Roman"/>
              </w:rPr>
            </w:pPr>
          </w:p>
          <w:p w14:paraId="05E0B0CA"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7EADE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81</w:t>
            </w:r>
          </w:p>
        </w:tc>
        <w:tc>
          <w:tcPr>
            <w:tcW w:w="4496" w:type="dxa"/>
            <w:tcBorders>
              <w:top w:val="single" w:sz="8" w:space="0" w:color="000000"/>
              <w:left w:val="single" w:sz="8" w:space="0" w:color="000000"/>
              <w:bottom w:val="single" w:sz="8" w:space="0" w:color="000000"/>
              <w:right w:val="single" w:sz="8" w:space="0" w:color="000000"/>
            </w:tcBorders>
          </w:tcPr>
          <w:p w14:paraId="286483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368E472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6941B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AF7FE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6D8C4A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82</w:t>
            </w:r>
          </w:p>
        </w:tc>
        <w:tc>
          <w:tcPr>
            <w:tcW w:w="4496" w:type="dxa"/>
            <w:tcBorders>
              <w:top w:val="single" w:sz="8" w:space="0" w:color="000000"/>
              <w:left w:val="single" w:sz="8" w:space="0" w:color="000000"/>
              <w:bottom w:val="single" w:sz="8" w:space="0" w:color="000000"/>
              <w:right w:val="single" w:sz="8" w:space="0" w:color="000000"/>
            </w:tcBorders>
          </w:tcPr>
          <w:p w14:paraId="54FE30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p>
        </w:tc>
      </w:tr>
      <w:tr w:rsidR="00537112" w:rsidRPr="00537112" w14:paraId="14B4404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B4C10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030A2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4C44D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83</w:t>
            </w:r>
          </w:p>
        </w:tc>
        <w:tc>
          <w:tcPr>
            <w:tcW w:w="4496" w:type="dxa"/>
            <w:tcBorders>
              <w:top w:val="single" w:sz="8" w:space="0" w:color="000000"/>
              <w:left w:val="single" w:sz="8" w:space="0" w:color="000000"/>
              <w:bottom w:val="single" w:sz="8" w:space="0" w:color="000000"/>
              <w:right w:val="single" w:sz="8" w:space="0" w:color="000000"/>
            </w:tcBorders>
          </w:tcPr>
          <w:p w14:paraId="59D328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5C072AA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11ED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4BF29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AA7B7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84</w:t>
            </w:r>
          </w:p>
        </w:tc>
        <w:tc>
          <w:tcPr>
            <w:tcW w:w="4496" w:type="dxa"/>
            <w:tcBorders>
              <w:top w:val="single" w:sz="8" w:space="0" w:color="000000"/>
              <w:left w:val="single" w:sz="8" w:space="0" w:color="000000"/>
              <w:bottom w:val="single" w:sz="8" w:space="0" w:color="000000"/>
              <w:right w:val="single" w:sz="8" w:space="0" w:color="000000"/>
            </w:tcBorders>
          </w:tcPr>
          <w:p w14:paraId="6B4F4B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33A4489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FCE0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53E5E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4CC99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85</w:t>
            </w:r>
          </w:p>
        </w:tc>
        <w:tc>
          <w:tcPr>
            <w:tcW w:w="4496" w:type="dxa"/>
            <w:tcBorders>
              <w:top w:val="single" w:sz="8" w:space="0" w:color="000000"/>
              <w:left w:val="single" w:sz="8" w:space="0" w:color="000000"/>
              <w:bottom w:val="single" w:sz="8" w:space="0" w:color="000000"/>
              <w:right w:val="single" w:sz="8" w:space="0" w:color="000000"/>
            </w:tcBorders>
          </w:tcPr>
          <w:p w14:paraId="082FFA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Or</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1B2FF3D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0822A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C958E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8E25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86</w:t>
            </w:r>
          </w:p>
        </w:tc>
        <w:tc>
          <w:tcPr>
            <w:tcW w:w="4496" w:type="dxa"/>
            <w:tcBorders>
              <w:top w:val="single" w:sz="8" w:space="0" w:color="000000"/>
              <w:left w:val="single" w:sz="8" w:space="0" w:color="000000"/>
              <w:bottom w:val="single" w:sz="8" w:space="0" w:color="000000"/>
              <w:right w:val="single" w:sz="8" w:space="0" w:color="000000"/>
            </w:tcBorders>
          </w:tcPr>
          <w:p w14:paraId="183097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3009079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9AB6F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0E54C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7B95C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87</w:t>
            </w:r>
          </w:p>
        </w:tc>
        <w:tc>
          <w:tcPr>
            <w:tcW w:w="4496" w:type="dxa"/>
            <w:tcBorders>
              <w:top w:val="single" w:sz="8" w:space="0" w:color="000000"/>
              <w:left w:val="single" w:sz="8" w:space="0" w:color="000000"/>
              <w:bottom w:val="single" w:sz="8" w:space="0" w:color="000000"/>
              <w:right w:val="single" w:sz="8" w:space="0" w:color="000000"/>
            </w:tcBorders>
          </w:tcPr>
          <w:p w14:paraId="7D152A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erce</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405A9DA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73FE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DED96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EA218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88</w:t>
            </w:r>
          </w:p>
        </w:tc>
        <w:tc>
          <w:tcPr>
            <w:tcW w:w="4496" w:type="dxa"/>
            <w:tcBorders>
              <w:top w:val="single" w:sz="8" w:space="0" w:color="000000"/>
              <w:left w:val="single" w:sz="8" w:space="0" w:color="000000"/>
              <w:bottom w:val="single" w:sz="8" w:space="0" w:color="000000"/>
              <w:right w:val="single" w:sz="8" w:space="0" w:color="000000"/>
            </w:tcBorders>
          </w:tcPr>
          <w:p w14:paraId="7B81DF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4B1D1895"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F5E07D2"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055EF76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746FF6B"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158</w:t>
            </w:r>
          </w:p>
        </w:tc>
        <w:tc>
          <w:tcPr>
            <w:tcW w:w="3958" w:type="dxa"/>
            <w:vMerge w:val="restart"/>
            <w:tcBorders>
              <w:top w:val="single" w:sz="8" w:space="0" w:color="000000"/>
              <w:left w:val="single" w:sz="8" w:space="0" w:color="000000"/>
              <w:bottom w:val="single" w:sz="8" w:space="0" w:color="000000"/>
              <w:right w:val="single" w:sz="8" w:space="0" w:color="000000"/>
            </w:tcBorders>
          </w:tcPr>
          <w:p w14:paraId="69C17825"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E2B203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77F089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w:t>
            </w:r>
            <w:r w:rsidRPr="00537112">
              <w:rPr>
                <w:rFonts w:cs="Verdana"/>
                <w:spacing w:val="3"/>
                <w:sz w:val="20"/>
                <w:szCs w:val="20"/>
              </w:rPr>
              <w:t>i</w:t>
            </w:r>
            <w:r w:rsidRPr="00537112">
              <w:rPr>
                <w:rFonts w:cs="Verdana"/>
                <w:spacing w:val="1"/>
                <w:sz w:val="20"/>
                <w:szCs w:val="20"/>
              </w:rPr>
              <w:t>gu</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z w:val="20"/>
                <w:szCs w:val="20"/>
              </w:rPr>
              <w:t>Xa</w:t>
            </w:r>
            <w:r w:rsidRPr="00537112">
              <w:rPr>
                <w:rFonts w:cs="Verdana"/>
                <w:spacing w:val="1"/>
                <w:sz w:val="20"/>
                <w:szCs w:val="20"/>
              </w:rPr>
              <w:t>p</w:t>
            </w:r>
            <w:r w:rsidRPr="00537112">
              <w:rPr>
                <w:rFonts w:cs="Verdana"/>
                <w:spacing w:val="-1"/>
                <w:sz w:val="20"/>
                <w:szCs w:val="20"/>
              </w:rPr>
              <w:t>o</w:t>
            </w:r>
            <w:r w:rsidRPr="00537112">
              <w:rPr>
                <w:rFonts w:cs="Verdana"/>
                <w:sz w:val="20"/>
                <w:szCs w:val="20"/>
              </w:rPr>
              <w:t>t</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r</w:t>
            </w:r>
            <w:r w:rsidRPr="00537112">
              <w:rPr>
                <w:rFonts w:cs="Verdana"/>
                <w:spacing w:val="1"/>
                <w:sz w:val="20"/>
                <w:szCs w:val="20"/>
              </w:rPr>
              <w:t>t</w:t>
            </w:r>
            <w:r w:rsidRPr="00537112">
              <w:rPr>
                <w:rFonts w:cs="Verdana"/>
                <w:spacing w:val="3"/>
                <w:sz w:val="20"/>
                <w:szCs w:val="20"/>
              </w:rPr>
              <w:t>i</w:t>
            </w:r>
            <w:r w:rsidRPr="00537112">
              <w:rPr>
                <w:rFonts w:cs="Verdana"/>
                <w:spacing w:val="1"/>
                <w:sz w:val="20"/>
                <w:szCs w:val="20"/>
              </w:rPr>
              <w:t>n</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7853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89</w:t>
            </w:r>
          </w:p>
        </w:tc>
        <w:tc>
          <w:tcPr>
            <w:tcW w:w="4496" w:type="dxa"/>
            <w:tcBorders>
              <w:top w:val="single" w:sz="8" w:space="0" w:color="000000"/>
              <w:left w:val="single" w:sz="8" w:space="0" w:color="000000"/>
              <w:bottom w:val="single" w:sz="8" w:space="0" w:color="000000"/>
              <w:right w:val="single" w:sz="8" w:space="0" w:color="000000"/>
            </w:tcBorders>
          </w:tcPr>
          <w:p w14:paraId="46266C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erce</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w:t>
            </w:r>
            <w:r w:rsidRPr="00537112">
              <w:rPr>
                <w:rFonts w:cs="Verdana"/>
                <w:position w:val="-1"/>
                <w:sz w:val="20"/>
                <w:szCs w:val="20"/>
              </w:rPr>
              <w:t>án</w:t>
            </w:r>
            <w:r w:rsidRPr="00537112">
              <w:rPr>
                <w:rFonts w:cs="Verdana"/>
                <w:spacing w:val="-8"/>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p>
        </w:tc>
      </w:tr>
      <w:tr w:rsidR="00537112" w:rsidRPr="00537112" w14:paraId="467D7C30"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44DA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A8AE0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CC192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90</w:t>
            </w:r>
          </w:p>
        </w:tc>
        <w:tc>
          <w:tcPr>
            <w:tcW w:w="4496" w:type="dxa"/>
            <w:tcBorders>
              <w:top w:val="single" w:sz="8" w:space="0" w:color="000000"/>
              <w:left w:val="single" w:sz="8" w:space="0" w:color="000000"/>
              <w:bottom w:val="single" w:sz="8" w:space="0" w:color="000000"/>
              <w:right w:val="single" w:sz="8" w:space="0" w:color="000000"/>
            </w:tcBorders>
          </w:tcPr>
          <w:p w14:paraId="792CCB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o</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Xa</w:t>
            </w:r>
            <w:r w:rsidRPr="00537112">
              <w:rPr>
                <w:rFonts w:cs="Verdana"/>
                <w:spacing w:val="1"/>
                <w:position w:val="-1"/>
                <w:sz w:val="20"/>
                <w:szCs w:val="20"/>
              </w:rPr>
              <w:t>p</w:t>
            </w:r>
            <w:r w:rsidRPr="00537112">
              <w:rPr>
                <w:rFonts w:cs="Verdana"/>
                <w:spacing w:val="-1"/>
                <w:position w:val="-1"/>
                <w:sz w:val="20"/>
                <w:szCs w:val="20"/>
              </w:rPr>
              <w:t>o</w:t>
            </w:r>
            <w:r w:rsidRPr="00537112">
              <w:rPr>
                <w:rFonts w:cs="Verdana"/>
                <w:position w:val="-1"/>
                <w:sz w:val="20"/>
                <w:szCs w:val="20"/>
              </w:rPr>
              <w:t>t</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uzmA</w:t>
            </w:r>
            <w:r w:rsidRPr="00537112">
              <w:rPr>
                <w:rFonts w:cs="Verdana"/>
                <w:position w:val="-1"/>
                <w:sz w:val="20"/>
                <w:szCs w:val="20"/>
              </w:rPr>
              <w:t>n</w:t>
            </w:r>
          </w:p>
        </w:tc>
      </w:tr>
      <w:tr w:rsidR="00537112" w:rsidRPr="00537112" w14:paraId="58498AA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7120A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A30E6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0FBC0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91</w:t>
            </w:r>
          </w:p>
        </w:tc>
        <w:tc>
          <w:tcPr>
            <w:tcW w:w="4496" w:type="dxa"/>
            <w:tcBorders>
              <w:top w:val="single" w:sz="8" w:space="0" w:color="000000"/>
              <w:left w:val="single" w:sz="8" w:space="0" w:color="000000"/>
              <w:bottom w:val="single" w:sz="8" w:space="0" w:color="000000"/>
              <w:right w:val="single" w:sz="8" w:space="0" w:color="000000"/>
            </w:tcBorders>
          </w:tcPr>
          <w:p w14:paraId="052785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position w:val="-1"/>
                <w:sz w:val="20"/>
                <w:szCs w:val="20"/>
              </w:rPr>
              <w:t>z</w:t>
            </w:r>
            <w:r w:rsidRPr="00537112">
              <w:rPr>
                <w:rFonts w:cs="Verdana"/>
                <w:spacing w:val="-3"/>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Xa</w:t>
            </w:r>
            <w:r w:rsidRPr="00537112">
              <w:rPr>
                <w:rFonts w:cs="Verdana"/>
                <w:spacing w:val="1"/>
                <w:position w:val="-1"/>
                <w:sz w:val="20"/>
                <w:szCs w:val="20"/>
              </w:rPr>
              <w:t>p</w:t>
            </w:r>
            <w:r w:rsidRPr="00537112">
              <w:rPr>
                <w:rFonts w:cs="Verdana"/>
                <w:spacing w:val="-1"/>
                <w:position w:val="-1"/>
                <w:sz w:val="20"/>
                <w:szCs w:val="20"/>
              </w:rPr>
              <w:t>o</w:t>
            </w:r>
            <w:r w:rsidRPr="00537112">
              <w:rPr>
                <w:rFonts w:cs="Verdana"/>
                <w:position w:val="-1"/>
                <w:sz w:val="20"/>
                <w:szCs w:val="20"/>
              </w:rPr>
              <w:t>t</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w:t>
            </w:r>
            <w:r w:rsidRPr="00537112">
              <w:rPr>
                <w:rFonts w:cs="Verdana"/>
                <w:position w:val="-1"/>
                <w:sz w:val="20"/>
                <w:szCs w:val="20"/>
              </w:rPr>
              <w:t>án</w:t>
            </w:r>
          </w:p>
        </w:tc>
      </w:tr>
      <w:tr w:rsidR="00537112" w:rsidRPr="00537112" w14:paraId="2BD4AA7A"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859BD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5C5E4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3D184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92</w:t>
            </w:r>
          </w:p>
        </w:tc>
        <w:tc>
          <w:tcPr>
            <w:tcW w:w="4496" w:type="dxa"/>
            <w:tcBorders>
              <w:top w:val="single" w:sz="8" w:space="0" w:color="000000"/>
              <w:left w:val="single" w:sz="8" w:space="0" w:color="000000"/>
              <w:bottom w:val="single" w:sz="8" w:space="0" w:color="000000"/>
              <w:right w:val="single" w:sz="8" w:space="0" w:color="000000"/>
            </w:tcBorders>
          </w:tcPr>
          <w:p w14:paraId="27C782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Xa</w:t>
            </w:r>
            <w:r w:rsidRPr="00537112">
              <w:rPr>
                <w:rFonts w:cs="Verdana"/>
                <w:spacing w:val="1"/>
                <w:position w:val="-1"/>
                <w:sz w:val="20"/>
                <w:szCs w:val="20"/>
              </w:rPr>
              <w:t>p</w:t>
            </w:r>
            <w:r w:rsidRPr="00537112">
              <w:rPr>
                <w:rFonts w:cs="Verdana"/>
                <w:spacing w:val="-1"/>
                <w:position w:val="-1"/>
                <w:sz w:val="20"/>
                <w:szCs w:val="20"/>
              </w:rPr>
              <w:t>o</w:t>
            </w:r>
            <w:r w:rsidRPr="00537112">
              <w:rPr>
                <w:rFonts w:cs="Verdana"/>
                <w:position w:val="-1"/>
                <w:sz w:val="20"/>
                <w:szCs w:val="20"/>
              </w:rPr>
              <w:t>t</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w:t>
            </w:r>
            <w:r w:rsidRPr="00537112">
              <w:rPr>
                <w:rFonts w:cs="Verdana"/>
                <w:position w:val="-1"/>
                <w:sz w:val="20"/>
                <w:szCs w:val="20"/>
              </w:rPr>
              <w:t>án</w:t>
            </w:r>
          </w:p>
        </w:tc>
      </w:tr>
      <w:tr w:rsidR="00537112" w:rsidRPr="00537112" w14:paraId="3C451373" w14:textId="77777777" w:rsidTr="00630EEC">
        <w:trPr>
          <w:trHeight w:hRule="exact" w:val="247"/>
        </w:trPr>
        <w:tc>
          <w:tcPr>
            <w:tcW w:w="977" w:type="dxa"/>
            <w:vMerge w:val="restart"/>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189CD2EE"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354A84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1C9D33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159</w:t>
            </w:r>
          </w:p>
        </w:tc>
        <w:tc>
          <w:tcPr>
            <w:tcW w:w="3958" w:type="dxa"/>
            <w:vMerge w:val="restart"/>
            <w:tcBorders>
              <w:top w:val="single" w:sz="8" w:space="0" w:color="000000"/>
              <w:left w:val="single" w:sz="8" w:space="0" w:color="000000"/>
              <w:bottom w:val="single" w:sz="14" w:space="0" w:color="000000"/>
              <w:right w:val="single" w:sz="8" w:space="0" w:color="000000"/>
            </w:tcBorders>
          </w:tcPr>
          <w:p w14:paraId="66B8A9C3"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5555947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F2CEE3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Efr</w:t>
            </w:r>
            <w:r w:rsidRPr="00537112">
              <w:rPr>
                <w:rFonts w:cs="Verdana"/>
                <w:sz w:val="20"/>
                <w:szCs w:val="20"/>
              </w:rPr>
              <w:t>a</w:t>
            </w:r>
            <w:r w:rsidRPr="00537112">
              <w:rPr>
                <w:rFonts w:cs="Verdana"/>
                <w:spacing w:val="3"/>
                <w:sz w:val="20"/>
                <w:szCs w:val="20"/>
              </w:rPr>
              <w:t>í</w:t>
            </w:r>
            <w:r w:rsidRPr="00537112">
              <w:rPr>
                <w:rFonts w:cs="Verdana"/>
                <w:sz w:val="20"/>
                <w:szCs w:val="20"/>
              </w:rPr>
              <w:t>n</w:t>
            </w:r>
            <w:r w:rsidRPr="00537112">
              <w:rPr>
                <w:rFonts w:cs="Verdana"/>
                <w:spacing w:val="-6"/>
                <w:sz w:val="20"/>
                <w:szCs w:val="20"/>
              </w:rPr>
              <w:t xml:space="preserve"> </w:t>
            </w:r>
            <w:r w:rsidRPr="00537112">
              <w:rPr>
                <w:rFonts w:cs="Verdana"/>
                <w:spacing w:val="1"/>
                <w:sz w:val="20"/>
                <w:szCs w:val="20"/>
              </w:rPr>
              <w:t>A</w:t>
            </w:r>
            <w:r w:rsidRPr="00537112">
              <w:rPr>
                <w:rFonts w:cs="Verdana"/>
                <w:sz w:val="20"/>
                <w:szCs w:val="20"/>
              </w:rPr>
              <w:t>c</w:t>
            </w:r>
            <w:r w:rsidRPr="00537112">
              <w:rPr>
                <w:rFonts w:cs="Verdana"/>
                <w:spacing w:val="-3"/>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9BBD0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93</w:t>
            </w:r>
          </w:p>
        </w:tc>
        <w:tc>
          <w:tcPr>
            <w:tcW w:w="4496" w:type="dxa"/>
            <w:tcBorders>
              <w:top w:val="single" w:sz="8" w:space="0" w:color="000000"/>
              <w:left w:val="single" w:sz="8" w:space="0" w:color="000000"/>
              <w:bottom w:val="single" w:sz="8" w:space="0" w:color="000000"/>
              <w:right w:val="single" w:sz="8" w:space="0" w:color="000000"/>
            </w:tcBorders>
          </w:tcPr>
          <w:p w14:paraId="053ACF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0695CB33" w14:textId="77777777" w:rsidTr="00630EEC">
        <w:trPr>
          <w:trHeight w:hRule="exact" w:val="247"/>
        </w:trPr>
        <w:tc>
          <w:tcPr>
            <w:tcW w:w="977" w:type="dxa"/>
            <w:vMerge/>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4107E5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14" w:space="0" w:color="000000"/>
              <w:right w:val="single" w:sz="8" w:space="0" w:color="000000"/>
            </w:tcBorders>
          </w:tcPr>
          <w:p w14:paraId="66EF53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66513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94</w:t>
            </w:r>
          </w:p>
        </w:tc>
        <w:tc>
          <w:tcPr>
            <w:tcW w:w="4496" w:type="dxa"/>
            <w:tcBorders>
              <w:top w:val="single" w:sz="8" w:space="0" w:color="000000"/>
              <w:left w:val="single" w:sz="8" w:space="0" w:color="000000"/>
              <w:bottom w:val="single" w:sz="8" w:space="0" w:color="000000"/>
              <w:right w:val="single" w:sz="8" w:space="0" w:color="000000"/>
            </w:tcBorders>
          </w:tcPr>
          <w:p w14:paraId="6E9C8B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Efr</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position w:val="-1"/>
                <w:sz w:val="20"/>
                <w:szCs w:val="20"/>
              </w:rPr>
              <w:t>c</w:t>
            </w:r>
            <w:r w:rsidRPr="00537112">
              <w:rPr>
                <w:rFonts w:cs="Verdana"/>
                <w:spacing w:val="-3"/>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61D12BC2" w14:textId="77777777" w:rsidTr="00630EEC">
        <w:trPr>
          <w:trHeight w:hRule="exact" w:val="247"/>
        </w:trPr>
        <w:tc>
          <w:tcPr>
            <w:tcW w:w="977" w:type="dxa"/>
            <w:vMerge/>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3BA10D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14" w:space="0" w:color="000000"/>
              <w:right w:val="single" w:sz="8" w:space="0" w:color="000000"/>
            </w:tcBorders>
          </w:tcPr>
          <w:p w14:paraId="2C97E3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9EF0F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95</w:t>
            </w:r>
          </w:p>
        </w:tc>
        <w:tc>
          <w:tcPr>
            <w:tcW w:w="4496" w:type="dxa"/>
            <w:tcBorders>
              <w:top w:val="single" w:sz="8" w:space="0" w:color="000000"/>
              <w:left w:val="single" w:sz="8" w:space="0" w:color="000000"/>
              <w:bottom w:val="single" w:sz="8" w:space="0" w:color="000000"/>
              <w:right w:val="single" w:sz="8" w:space="0" w:color="000000"/>
            </w:tcBorders>
          </w:tcPr>
          <w:p w14:paraId="43279D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position w:val="-1"/>
                <w:sz w:val="20"/>
                <w:szCs w:val="20"/>
              </w:rPr>
              <w:t>c</w:t>
            </w:r>
            <w:r w:rsidRPr="00537112">
              <w:rPr>
                <w:rFonts w:cs="Verdana"/>
                <w:spacing w:val="-3"/>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í</w:t>
            </w:r>
            <w:r w:rsidRPr="00537112">
              <w:rPr>
                <w:rFonts w:cs="Verdana"/>
                <w:spacing w:val="1"/>
                <w:position w:val="-1"/>
                <w:sz w:val="20"/>
                <w:szCs w:val="20"/>
              </w:rPr>
              <w:t>g</w:t>
            </w:r>
            <w:r w:rsidRPr="00537112">
              <w:rPr>
                <w:rFonts w:cs="Verdana"/>
                <w:position w:val="-1"/>
                <w:sz w:val="20"/>
                <w:szCs w:val="20"/>
              </w:rPr>
              <w:t>a</w:t>
            </w:r>
          </w:p>
        </w:tc>
      </w:tr>
      <w:tr w:rsidR="00537112" w:rsidRPr="00537112" w14:paraId="09C33438" w14:textId="77777777" w:rsidTr="00630EEC">
        <w:trPr>
          <w:trHeight w:hRule="exact" w:val="254"/>
        </w:trPr>
        <w:tc>
          <w:tcPr>
            <w:tcW w:w="977" w:type="dxa"/>
            <w:vMerge/>
            <w:tcBorders>
              <w:top w:val="single" w:sz="8" w:space="0" w:color="000000"/>
              <w:left w:val="single" w:sz="8" w:space="0" w:color="000000"/>
              <w:bottom w:val="single" w:sz="14" w:space="0" w:color="000000"/>
              <w:right w:val="single" w:sz="8" w:space="0" w:color="000000"/>
            </w:tcBorders>
            <w:shd w:val="clear" w:color="auto" w:fill="BFBFBF" w:themeFill="background1" w:themeFillShade="BF"/>
          </w:tcPr>
          <w:p w14:paraId="308894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14" w:space="0" w:color="000000"/>
              <w:right w:val="single" w:sz="8" w:space="0" w:color="000000"/>
            </w:tcBorders>
          </w:tcPr>
          <w:p w14:paraId="02B704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14" w:space="0" w:color="000000"/>
              <w:right w:val="single" w:sz="8" w:space="0" w:color="000000"/>
            </w:tcBorders>
            <w:shd w:val="clear" w:color="auto" w:fill="C0C0C0"/>
          </w:tcPr>
          <w:p w14:paraId="42289D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96</w:t>
            </w:r>
          </w:p>
        </w:tc>
        <w:tc>
          <w:tcPr>
            <w:tcW w:w="4496" w:type="dxa"/>
            <w:tcBorders>
              <w:top w:val="single" w:sz="8" w:space="0" w:color="000000"/>
              <w:left w:val="single" w:sz="8" w:space="0" w:color="000000"/>
              <w:bottom w:val="single" w:sz="14" w:space="0" w:color="000000"/>
              <w:right w:val="single" w:sz="8" w:space="0" w:color="000000"/>
            </w:tcBorders>
          </w:tcPr>
          <w:p w14:paraId="2B1CC5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h</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position w:val="-1"/>
                <w:sz w:val="20"/>
                <w:szCs w:val="20"/>
              </w:rPr>
              <w:t>c</w:t>
            </w:r>
            <w:r w:rsidRPr="00537112">
              <w:rPr>
                <w:rFonts w:cs="Verdana"/>
                <w:spacing w:val="-3"/>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r>
      <w:tr w:rsidR="00537112" w:rsidRPr="00537112" w14:paraId="636C1A7A" w14:textId="77777777" w:rsidTr="00630EEC">
        <w:trPr>
          <w:trHeight w:hRule="exact" w:val="254"/>
        </w:trPr>
        <w:tc>
          <w:tcPr>
            <w:tcW w:w="977" w:type="dxa"/>
            <w:vMerge w:val="restart"/>
            <w:tcBorders>
              <w:top w:val="single" w:sz="14" w:space="0" w:color="000000"/>
              <w:left w:val="single" w:sz="8" w:space="0" w:color="000000"/>
              <w:bottom w:val="single" w:sz="8" w:space="0" w:color="000000"/>
              <w:right w:val="single" w:sz="8" w:space="0" w:color="000000"/>
            </w:tcBorders>
            <w:shd w:val="clear" w:color="auto" w:fill="BFBFBF" w:themeFill="background1" w:themeFillShade="BF"/>
          </w:tcPr>
          <w:p w14:paraId="20B708C9"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28D8C29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160</w:t>
            </w:r>
          </w:p>
        </w:tc>
        <w:tc>
          <w:tcPr>
            <w:tcW w:w="3958" w:type="dxa"/>
            <w:vMerge w:val="restart"/>
            <w:tcBorders>
              <w:top w:val="single" w:sz="14" w:space="0" w:color="000000"/>
              <w:left w:val="single" w:sz="8" w:space="0" w:color="000000"/>
              <w:bottom w:val="single" w:sz="8" w:space="0" w:color="000000"/>
              <w:right w:val="single" w:sz="8" w:space="0" w:color="000000"/>
            </w:tcBorders>
          </w:tcPr>
          <w:p w14:paraId="1EADDDD8"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F2469C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V</w:t>
            </w:r>
            <w:r w:rsidRPr="00537112">
              <w:rPr>
                <w:rFonts w:cs="Verdana"/>
                <w:spacing w:val="-1"/>
                <w:sz w:val="20"/>
                <w:szCs w:val="20"/>
              </w:rPr>
              <w:t>e</w:t>
            </w:r>
            <w:r w:rsidRPr="00537112">
              <w:rPr>
                <w:rFonts w:cs="Verdana"/>
                <w:spacing w:val="1"/>
                <w:sz w:val="20"/>
                <w:szCs w:val="20"/>
              </w:rPr>
              <w:t>n</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Paz</w:t>
            </w:r>
          </w:p>
        </w:tc>
        <w:tc>
          <w:tcPr>
            <w:tcW w:w="772" w:type="dxa"/>
            <w:tcBorders>
              <w:top w:val="single" w:sz="14" w:space="0" w:color="000000"/>
              <w:left w:val="single" w:sz="8" w:space="0" w:color="000000"/>
              <w:bottom w:val="single" w:sz="8" w:space="0" w:color="000000"/>
              <w:right w:val="single" w:sz="8" w:space="0" w:color="000000"/>
            </w:tcBorders>
            <w:shd w:val="clear" w:color="auto" w:fill="C0C0C0"/>
          </w:tcPr>
          <w:p w14:paraId="02FAED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97</w:t>
            </w:r>
          </w:p>
        </w:tc>
        <w:tc>
          <w:tcPr>
            <w:tcW w:w="4496" w:type="dxa"/>
            <w:tcBorders>
              <w:top w:val="single" w:sz="14" w:space="0" w:color="000000"/>
              <w:left w:val="single" w:sz="8" w:space="0" w:color="000000"/>
              <w:bottom w:val="single" w:sz="8" w:space="0" w:color="000000"/>
              <w:right w:val="single" w:sz="8" w:space="0" w:color="000000"/>
            </w:tcBorders>
          </w:tcPr>
          <w:p w14:paraId="6F8885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5E23003D" w14:textId="77777777" w:rsidTr="00630EEC">
        <w:trPr>
          <w:trHeight w:hRule="exact" w:val="247"/>
        </w:trPr>
        <w:tc>
          <w:tcPr>
            <w:tcW w:w="977" w:type="dxa"/>
            <w:vMerge/>
            <w:tcBorders>
              <w:top w:val="single" w:sz="14" w:space="0" w:color="000000"/>
              <w:left w:val="single" w:sz="8" w:space="0" w:color="000000"/>
              <w:bottom w:val="single" w:sz="8" w:space="0" w:color="000000"/>
              <w:right w:val="single" w:sz="8" w:space="0" w:color="000000"/>
            </w:tcBorders>
            <w:shd w:val="clear" w:color="auto" w:fill="BFBFBF" w:themeFill="background1" w:themeFillShade="BF"/>
          </w:tcPr>
          <w:p w14:paraId="454096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14" w:space="0" w:color="000000"/>
              <w:left w:val="single" w:sz="8" w:space="0" w:color="000000"/>
              <w:bottom w:val="single" w:sz="8" w:space="0" w:color="000000"/>
              <w:right w:val="single" w:sz="8" w:space="0" w:color="000000"/>
            </w:tcBorders>
          </w:tcPr>
          <w:p w14:paraId="59D6F6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6C28E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98</w:t>
            </w:r>
          </w:p>
        </w:tc>
        <w:tc>
          <w:tcPr>
            <w:tcW w:w="4496" w:type="dxa"/>
            <w:tcBorders>
              <w:top w:val="single" w:sz="8" w:space="0" w:color="000000"/>
              <w:left w:val="single" w:sz="8" w:space="0" w:color="000000"/>
              <w:bottom w:val="single" w:sz="8" w:space="0" w:color="000000"/>
              <w:right w:val="single" w:sz="8" w:space="0" w:color="000000"/>
            </w:tcBorders>
          </w:tcPr>
          <w:p w14:paraId="10EC8E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f</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162D44B9" w14:textId="77777777" w:rsidTr="00630EEC">
        <w:trPr>
          <w:trHeight w:hRule="exact" w:val="247"/>
        </w:trPr>
        <w:tc>
          <w:tcPr>
            <w:tcW w:w="977" w:type="dxa"/>
            <w:vMerge/>
            <w:tcBorders>
              <w:top w:val="single" w:sz="14" w:space="0" w:color="000000"/>
              <w:left w:val="single" w:sz="8" w:space="0" w:color="000000"/>
              <w:bottom w:val="single" w:sz="8" w:space="0" w:color="000000"/>
              <w:right w:val="single" w:sz="8" w:space="0" w:color="000000"/>
            </w:tcBorders>
            <w:shd w:val="clear" w:color="auto" w:fill="BFBFBF" w:themeFill="background1" w:themeFillShade="BF"/>
          </w:tcPr>
          <w:p w14:paraId="7FCD12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14" w:space="0" w:color="000000"/>
              <w:left w:val="single" w:sz="8" w:space="0" w:color="000000"/>
              <w:bottom w:val="single" w:sz="8" w:space="0" w:color="000000"/>
              <w:right w:val="single" w:sz="8" w:space="0" w:color="000000"/>
            </w:tcBorders>
          </w:tcPr>
          <w:p w14:paraId="793E54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74B3F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7</w:t>
            </w:r>
            <w:r w:rsidRPr="00537112">
              <w:rPr>
                <w:rFonts w:cs="Verdana"/>
                <w:spacing w:val="1"/>
                <w:position w:val="-1"/>
                <w:sz w:val="20"/>
                <w:szCs w:val="20"/>
              </w:rPr>
              <w:t>99</w:t>
            </w:r>
          </w:p>
        </w:tc>
        <w:tc>
          <w:tcPr>
            <w:tcW w:w="4496" w:type="dxa"/>
            <w:tcBorders>
              <w:top w:val="single" w:sz="8" w:space="0" w:color="000000"/>
              <w:left w:val="single" w:sz="8" w:space="0" w:color="000000"/>
              <w:bottom w:val="single" w:sz="8" w:space="0" w:color="000000"/>
              <w:right w:val="single" w:sz="8" w:space="0" w:color="000000"/>
            </w:tcBorders>
          </w:tcPr>
          <w:p w14:paraId="4CD158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Ad</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2A20A3A4"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B222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161</w:t>
            </w:r>
          </w:p>
        </w:tc>
        <w:tc>
          <w:tcPr>
            <w:tcW w:w="3958" w:type="dxa"/>
            <w:tcBorders>
              <w:top w:val="single" w:sz="8" w:space="0" w:color="000000"/>
              <w:left w:val="single" w:sz="8" w:space="0" w:color="000000"/>
              <w:bottom w:val="single" w:sz="8" w:space="0" w:color="000000"/>
              <w:right w:val="single" w:sz="8" w:space="0" w:color="000000"/>
            </w:tcBorders>
          </w:tcPr>
          <w:p w14:paraId="09F2E7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A2D1F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00</w:t>
            </w:r>
          </w:p>
        </w:tc>
        <w:tc>
          <w:tcPr>
            <w:tcW w:w="4496" w:type="dxa"/>
            <w:tcBorders>
              <w:top w:val="single" w:sz="8" w:space="0" w:color="000000"/>
              <w:left w:val="single" w:sz="8" w:space="0" w:color="000000"/>
              <w:bottom w:val="single" w:sz="8" w:space="0" w:color="000000"/>
              <w:right w:val="single" w:sz="8" w:space="0" w:color="000000"/>
            </w:tcBorders>
          </w:tcPr>
          <w:p w14:paraId="6F5EFD1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r</w:t>
            </w:r>
            <w:r w:rsidRPr="00537112">
              <w:rPr>
                <w:rFonts w:cs="Verdana"/>
                <w:sz w:val="20"/>
                <w:szCs w:val="20"/>
              </w:rPr>
              <w:t>á</w:t>
            </w:r>
            <w:r w:rsidRPr="00537112">
              <w:rPr>
                <w:rFonts w:cs="Verdana"/>
                <w:spacing w:val="1"/>
                <w:sz w:val="20"/>
                <w:szCs w:val="20"/>
              </w:rPr>
              <w:t>n</w:t>
            </w: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t</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U</w:t>
            </w:r>
            <w:r w:rsidRPr="00537112">
              <w:rPr>
                <w:rFonts w:cs="Verdana"/>
                <w:sz w:val="20"/>
                <w:szCs w:val="20"/>
              </w:rPr>
              <w:t>z</w:t>
            </w:r>
          </w:p>
        </w:tc>
      </w:tr>
      <w:tr w:rsidR="00537112" w:rsidRPr="00537112" w14:paraId="4D41E76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1329249"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C22CDD7"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E3F8A5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162</w:t>
            </w:r>
          </w:p>
        </w:tc>
        <w:tc>
          <w:tcPr>
            <w:tcW w:w="3958" w:type="dxa"/>
            <w:vMerge w:val="restart"/>
            <w:tcBorders>
              <w:top w:val="single" w:sz="8" w:space="0" w:color="000000"/>
              <w:left w:val="single" w:sz="8" w:space="0" w:color="000000"/>
              <w:bottom w:val="single" w:sz="8" w:space="0" w:color="000000"/>
              <w:right w:val="single" w:sz="8" w:space="0" w:color="000000"/>
            </w:tcBorders>
          </w:tcPr>
          <w:p w14:paraId="16AB38A0"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41A7FFE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511407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Da</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1E235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01</w:t>
            </w:r>
          </w:p>
        </w:tc>
        <w:tc>
          <w:tcPr>
            <w:tcW w:w="4496" w:type="dxa"/>
            <w:tcBorders>
              <w:top w:val="single" w:sz="8" w:space="0" w:color="000000"/>
              <w:left w:val="single" w:sz="8" w:space="0" w:color="000000"/>
              <w:bottom w:val="single" w:sz="8" w:space="0" w:color="000000"/>
              <w:right w:val="single" w:sz="8" w:space="0" w:color="000000"/>
            </w:tcBorders>
          </w:tcPr>
          <w:p w14:paraId="3E1BD8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efer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Ca</w:t>
            </w:r>
            <w:r w:rsidRPr="00537112">
              <w:rPr>
                <w:rFonts w:cs="Verdana"/>
                <w:spacing w:val="-1"/>
                <w:position w:val="-1"/>
                <w:sz w:val="20"/>
                <w:szCs w:val="20"/>
              </w:rPr>
              <w:t>c</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9"/>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p>
        </w:tc>
      </w:tr>
      <w:tr w:rsidR="00537112" w:rsidRPr="00537112" w14:paraId="04A036A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4565F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A1A8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4CBD2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02</w:t>
            </w:r>
          </w:p>
        </w:tc>
        <w:tc>
          <w:tcPr>
            <w:tcW w:w="4496" w:type="dxa"/>
            <w:tcBorders>
              <w:top w:val="single" w:sz="8" w:space="0" w:color="000000"/>
              <w:left w:val="single" w:sz="8" w:space="0" w:color="000000"/>
              <w:bottom w:val="single" w:sz="8" w:space="0" w:color="000000"/>
              <w:right w:val="single" w:sz="8" w:space="0" w:color="000000"/>
            </w:tcBorders>
          </w:tcPr>
          <w:p w14:paraId="5A68E1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w:t>
            </w:r>
            <w:r w:rsidRPr="00537112">
              <w:rPr>
                <w:rFonts w:cs="Verdana"/>
                <w:spacing w:val="-1"/>
                <w:position w:val="-1"/>
                <w:sz w:val="20"/>
                <w:szCs w:val="20"/>
              </w:rPr>
              <w:t>c</w:t>
            </w:r>
            <w:r w:rsidRPr="00537112">
              <w:rPr>
                <w:rFonts w:cs="Verdana"/>
                <w:spacing w:val="1"/>
                <w:position w:val="-1"/>
                <w:sz w:val="20"/>
                <w:szCs w:val="20"/>
              </w:rPr>
              <w:t>u</w:t>
            </w:r>
            <w:r w:rsidRPr="00537112">
              <w:rPr>
                <w:rFonts w:cs="Verdana"/>
                <w:spacing w:val="-1"/>
                <w:position w:val="-1"/>
                <w:sz w:val="20"/>
                <w:szCs w:val="20"/>
              </w:rPr>
              <w:t>e</w:t>
            </w:r>
            <w:r w:rsidRPr="00537112">
              <w:rPr>
                <w:rFonts w:cs="Verdana"/>
                <w:position w:val="-1"/>
                <w:sz w:val="20"/>
                <w:szCs w:val="20"/>
              </w:rPr>
              <w:t>c</w:t>
            </w:r>
          </w:p>
        </w:tc>
      </w:tr>
      <w:tr w:rsidR="00537112" w:rsidRPr="00537112" w14:paraId="4E4EB52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15CA8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2AC223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E6C0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03</w:t>
            </w:r>
          </w:p>
        </w:tc>
        <w:tc>
          <w:tcPr>
            <w:tcW w:w="4496" w:type="dxa"/>
            <w:tcBorders>
              <w:top w:val="single" w:sz="8" w:space="0" w:color="000000"/>
              <w:left w:val="single" w:sz="8" w:space="0" w:color="000000"/>
              <w:bottom w:val="single" w:sz="8" w:space="0" w:color="000000"/>
              <w:right w:val="single" w:sz="8" w:space="0" w:color="000000"/>
            </w:tcBorders>
          </w:tcPr>
          <w:p w14:paraId="538271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16D0C4B7"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C88C7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64CF4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13FD6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04</w:t>
            </w:r>
          </w:p>
        </w:tc>
        <w:tc>
          <w:tcPr>
            <w:tcW w:w="4496" w:type="dxa"/>
            <w:tcBorders>
              <w:top w:val="single" w:sz="8" w:space="0" w:color="000000"/>
              <w:left w:val="single" w:sz="8" w:space="0" w:color="000000"/>
              <w:bottom w:val="single" w:sz="8" w:space="0" w:color="000000"/>
              <w:right w:val="single" w:sz="8" w:space="0" w:color="000000"/>
            </w:tcBorders>
          </w:tcPr>
          <w:p w14:paraId="791ADE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6B1474E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1765F0"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36AE90A3"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61EF9EFF"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0B3780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163</w:t>
            </w:r>
          </w:p>
        </w:tc>
        <w:tc>
          <w:tcPr>
            <w:tcW w:w="3958" w:type="dxa"/>
            <w:vMerge w:val="restart"/>
            <w:tcBorders>
              <w:top w:val="single" w:sz="8" w:space="0" w:color="000000"/>
              <w:left w:val="single" w:sz="8" w:space="0" w:color="000000"/>
              <w:bottom w:val="single" w:sz="8" w:space="0" w:color="000000"/>
              <w:right w:val="single" w:sz="8" w:space="0" w:color="000000"/>
            </w:tcBorders>
          </w:tcPr>
          <w:p w14:paraId="40115547" w14:textId="77777777" w:rsidR="00537112" w:rsidRPr="00537112" w:rsidRDefault="00537112" w:rsidP="00537112">
            <w:pPr>
              <w:autoSpaceDE w:val="0"/>
              <w:autoSpaceDN w:val="0"/>
              <w:spacing w:before="10" w:line="190" w:lineRule="exact"/>
              <w:jc w:val="left"/>
              <w:textAlignment w:val="auto"/>
              <w:rPr>
                <w:rFonts w:ascii="Times New Roman" w:hAnsi="Times New Roman"/>
                <w:sz w:val="19"/>
                <w:szCs w:val="19"/>
              </w:rPr>
            </w:pPr>
          </w:p>
          <w:p w14:paraId="7401545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20E703D"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2EF4C92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S</w:t>
            </w:r>
            <w:r w:rsidRPr="00537112">
              <w:rPr>
                <w:rFonts w:cs="Verdana"/>
                <w:sz w:val="20"/>
                <w:szCs w:val="20"/>
              </w:rPr>
              <w:t>a</w:t>
            </w:r>
            <w:r w:rsidRPr="00537112">
              <w:rPr>
                <w:rFonts w:cs="Verdana"/>
                <w:spacing w:val="1"/>
                <w:sz w:val="20"/>
                <w:szCs w:val="20"/>
              </w:rPr>
              <w:t>nt</w:t>
            </w:r>
            <w:r w:rsidRPr="00537112">
              <w:rPr>
                <w:rFonts w:cs="Verdana"/>
                <w:spacing w:val="3"/>
                <w:sz w:val="20"/>
                <w:szCs w:val="20"/>
              </w:rPr>
              <w:t>i</w:t>
            </w:r>
            <w:r w:rsidRPr="00537112">
              <w:rPr>
                <w:rFonts w:cs="Verdana"/>
                <w:sz w:val="20"/>
                <w:szCs w:val="20"/>
              </w:rPr>
              <w:t>a</w:t>
            </w:r>
            <w:r w:rsidRPr="00537112">
              <w:rPr>
                <w:rFonts w:cs="Verdana"/>
                <w:spacing w:val="1"/>
                <w:sz w:val="20"/>
                <w:szCs w:val="20"/>
              </w:rPr>
              <w:t>g</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FD498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05</w:t>
            </w:r>
          </w:p>
        </w:tc>
        <w:tc>
          <w:tcPr>
            <w:tcW w:w="4496" w:type="dxa"/>
            <w:tcBorders>
              <w:top w:val="single" w:sz="8" w:space="0" w:color="000000"/>
              <w:left w:val="single" w:sz="8" w:space="0" w:color="000000"/>
              <w:bottom w:val="single" w:sz="8" w:space="0" w:color="000000"/>
              <w:right w:val="single" w:sz="8" w:space="0" w:color="000000"/>
            </w:tcBorders>
          </w:tcPr>
          <w:p w14:paraId="19FBC72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n</w:t>
            </w:r>
            <w:r w:rsidRPr="00537112">
              <w:rPr>
                <w:rFonts w:cs="Verdana"/>
                <w:spacing w:val="-1"/>
                <w:position w:val="-1"/>
                <w:sz w:val="20"/>
                <w:szCs w:val="20"/>
              </w:rPr>
              <w:t>oce</w:t>
            </w:r>
            <w:r w:rsidRPr="00537112">
              <w:rPr>
                <w:rFonts w:cs="Verdana"/>
                <w:spacing w:val="1"/>
                <w:position w:val="-1"/>
                <w:sz w:val="20"/>
                <w:szCs w:val="20"/>
              </w:rPr>
              <w:t>nt</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2BC1729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AD538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0E47E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8DBC0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06</w:t>
            </w:r>
          </w:p>
        </w:tc>
        <w:tc>
          <w:tcPr>
            <w:tcW w:w="4496" w:type="dxa"/>
            <w:tcBorders>
              <w:top w:val="single" w:sz="8" w:space="0" w:color="000000"/>
              <w:left w:val="single" w:sz="8" w:space="0" w:color="000000"/>
              <w:bottom w:val="single" w:sz="8" w:space="0" w:color="000000"/>
              <w:right w:val="single" w:sz="8" w:space="0" w:color="000000"/>
            </w:tcBorders>
          </w:tcPr>
          <w:p w14:paraId="31808D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ó</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9D50C1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5503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36CD7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18E4F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07</w:t>
            </w:r>
          </w:p>
        </w:tc>
        <w:tc>
          <w:tcPr>
            <w:tcW w:w="4496" w:type="dxa"/>
            <w:tcBorders>
              <w:top w:val="single" w:sz="8" w:space="0" w:color="000000"/>
              <w:left w:val="single" w:sz="8" w:space="0" w:color="000000"/>
              <w:bottom w:val="single" w:sz="8" w:space="0" w:color="000000"/>
              <w:right w:val="single" w:sz="8" w:space="0" w:color="000000"/>
            </w:tcBorders>
          </w:tcPr>
          <w:p w14:paraId="1B8D61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575C198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D3D3F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1AF2D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85F05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08</w:t>
            </w:r>
          </w:p>
        </w:tc>
        <w:tc>
          <w:tcPr>
            <w:tcW w:w="4496" w:type="dxa"/>
            <w:tcBorders>
              <w:top w:val="single" w:sz="8" w:space="0" w:color="000000"/>
              <w:left w:val="single" w:sz="8" w:space="0" w:color="000000"/>
              <w:bottom w:val="single" w:sz="8" w:space="0" w:color="000000"/>
              <w:right w:val="single" w:sz="8" w:space="0" w:color="000000"/>
            </w:tcBorders>
          </w:tcPr>
          <w:p w14:paraId="005BA8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1"/>
                <w:position w:val="-1"/>
                <w:sz w:val="20"/>
                <w:szCs w:val="20"/>
              </w:rPr>
              <w:t>umb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5189BE44"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34D3B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4EB8B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B44F5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09</w:t>
            </w:r>
          </w:p>
        </w:tc>
        <w:tc>
          <w:tcPr>
            <w:tcW w:w="4496" w:type="dxa"/>
            <w:tcBorders>
              <w:top w:val="single" w:sz="8" w:space="0" w:color="000000"/>
              <w:left w:val="single" w:sz="8" w:space="0" w:color="000000"/>
              <w:bottom w:val="single" w:sz="8" w:space="0" w:color="000000"/>
              <w:right w:val="single" w:sz="8" w:space="0" w:color="000000"/>
            </w:tcBorders>
          </w:tcPr>
          <w:p w14:paraId="3F87A3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2ECB1FE1"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C5527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9C6CF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0E40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10</w:t>
            </w:r>
          </w:p>
        </w:tc>
        <w:tc>
          <w:tcPr>
            <w:tcW w:w="4496" w:type="dxa"/>
            <w:tcBorders>
              <w:top w:val="single" w:sz="8" w:space="0" w:color="000000"/>
              <w:left w:val="single" w:sz="8" w:space="0" w:color="000000"/>
              <w:bottom w:val="single" w:sz="8" w:space="0" w:color="000000"/>
              <w:right w:val="single" w:sz="8" w:space="0" w:color="000000"/>
            </w:tcBorders>
          </w:tcPr>
          <w:p w14:paraId="2CC223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ore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3CAAA48B"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192C19F"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rPr>
            </w:pPr>
          </w:p>
          <w:p w14:paraId="361AC42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BE412B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164</w:t>
            </w:r>
          </w:p>
        </w:tc>
        <w:tc>
          <w:tcPr>
            <w:tcW w:w="3958" w:type="dxa"/>
            <w:vMerge w:val="restart"/>
            <w:tcBorders>
              <w:top w:val="single" w:sz="8" w:space="0" w:color="000000"/>
              <w:left w:val="single" w:sz="8" w:space="0" w:color="000000"/>
              <w:bottom w:val="single" w:sz="8" w:space="0" w:color="000000"/>
              <w:right w:val="single" w:sz="8" w:space="0" w:color="000000"/>
            </w:tcBorders>
          </w:tcPr>
          <w:p w14:paraId="37AFBF31" w14:textId="77777777" w:rsidR="00537112" w:rsidRPr="00537112" w:rsidRDefault="00537112" w:rsidP="00537112">
            <w:pPr>
              <w:autoSpaceDE w:val="0"/>
              <w:autoSpaceDN w:val="0"/>
              <w:spacing w:before="2" w:line="150" w:lineRule="exact"/>
              <w:jc w:val="left"/>
              <w:textAlignment w:val="auto"/>
              <w:rPr>
                <w:rFonts w:ascii="Times New Roman" w:hAnsi="Times New Roman"/>
                <w:sz w:val="15"/>
                <w:szCs w:val="15"/>
                <w:lang w:val="pt-BR"/>
              </w:rPr>
            </w:pPr>
          </w:p>
          <w:p w14:paraId="6C468F2B"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lang w:val="pt-BR"/>
              </w:rPr>
            </w:pPr>
          </w:p>
          <w:p w14:paraId="69EF52B0" w14:textId="77777777" w:rsidR="00537112" w:rsidRPr="00537112" w:rsidRDefault="00537112" w:rsidP="00537112">
            <w:pPr>
              <w:autoSpaceDE w:val="0"/>
              <w:autoSpaceDN w:val="0"/>
              <w:spacing w:line="240" w:lineRule="auto"/>
              <w:ind w:right="-20"/>
              <w:jc w:val="left"/>
              <w:textAlignment w:val="auto"/>
              <w:rPr>
                <w:rFonts w:ascii="Times New Roman" w:hAnsi="Times New Roman"/>
                <w:lang w:val="pt-BR"/>
              </w:rPr>
            </w:pPr>
            <w:r w:rsidRPr="00537112">
              <w:rPr>
                <w:rFonts w:cs="Verdana"/>
                <w:spacing w:val="1"/>
                <w:sz w:val="20"/>
                <w:szCs w:val="20"/>
                <w:lang w:val="pt-BR"/>
              </w:rPr>
              <w:t>F</w:t>
            </w:r>
            <w:r w:rsidRPr="00537112">
              <w:rPr>
                <w:rFonts w:cs="Verdana"/>
                <w:spacing w:val="-1"/>
                <w:sz w:val="20"/>
                <w:szCs w:val="20"/>
                <w:lang w:val="pt-BR"/>
              </w:rPr>
              <w:t>r</w:t>
            </w:r>
            <w:r w:rsidRPr="00537112">
              <w:rPr>
                <w:rFonts w:cs="Verdana"/>
                <w:sz w:val="20"/>
                <w:szCs w:val="20"/>
                <w:lang w:val="pt-BR"/>
              </w:rPr>
              <w:t>a</w:t>
            </w:r>
            <w:r w:rsidRPr="00537112">
              <w:rPr>
                <w:rFonts w:cs="Verdana"/>
                <w:spacing w:val="1"/>
                <w:sz w:val="20"/>
                <w:szCs w:val="20"/>
                <w:lang w:val="pt-BR"/>
              </w:rPr>
              <w:t>n</w:t>
            </w:r>
            <w:r w:rsidRPr="00537112">
              <w:rPr>
                <w:rFonts w:cs="Verdana"/>
                <w:spacing w:val="-1"/>
                <w:sz w:val="20"/>
                <w:szCs w:val="20"/>
                <w:lang w:val="pt-BR"/>
              </w:rPr>
              <w:t>c</w:t>
            </w:r>
            <w:r w:rsidRPr="00537112">
              <w:rPr>
                <w:rFonts w:cs="Verdana"/>
                <w:spacing w:val="3"/>
                <w:sz w:val="20"/>
                <w:szCs w:val="20"/>
                <w:lang w:val="pt-BR"/>
              </w:rPr>
              <w:t>i</w:t>
            </w:r>
            <w:r w:rsidRPr="00537112">
              <w:rPr>
                <w:rFonts w:cs="Verdana"/>
                <w:spacing w:val="-1"/>
                <w:sz w:val="20"/>
                <w:szCs w:val="20"/>
                <w:lang w:val="pt-BR"/>
              </w:rPr>
              <w:t>sc</w:t>
            </w:r>
            <w:r w:rsidRPr="00537112">
              <w:rPr>
                <w:rFonts w:cs="Verdana"/>
                <w:sz w:val="20"/>
                <w:szCs w:val="20"/>
                <w:lang w:val="pt-BR"/>
              </w:rPr>
              <w:t>o</w:t>
            </w:r>
            <w:r w:rsidRPr="00537112">
              <w:rPr>
                <w:rFonts w:cs="Verdana"/>
                <w:spacing w:val="-11"/>
                <w:sz w:val="20"/>
                <w:szCs w:val="20"/>
                <w:lang w:val="pt-BR"/>
              </w:rPr>
              <w:t xml:space="preserve"> </w:t>
            </w:r>
            <w:r w:rsidRPr="00537112">
              <w:rPr>
                <w:rFonts w:cs="Verdana"/>
                <w:sz w:val="20"/>
                <w:szCs w:val="20"/>
                <w:lang w:val="pt-BR"/>
              </w:rPr>
              <w:t>B</w:t>
            </w:r>
            <w:r w:rsidRPr="00537112">
              <w:rPr>
                <w:rFonts w:cs="Verdana"/>
                <w:spacing w:val="-1"/>
                <w:sz w:val="20"/>
                <w:szCs w:val="20"/>
                <w:lang w:val="pt-BR"/>
              </w:rPr>
              <w:t>o</w:t>
            </w:r>
            <w:r w:rsidRPr="00537112">
              <w:rPr>
                <w:rFonts w:cs="Verdana"/>
                <w:spacing w:val="3"/>
                <w:sz w:val="20"/>
                <w:szCs w:val="20"/>
                <w:lang w:val="pt-BR"/>
              </w:rPr>
              <w:t>l</w:t>
            </w:r>
            <w:r w:rsidRPr="00537112">
              <w:rPr>
                <w:rFonts w:cs="Verdana"/>
                <w:sz w:val="20"/>
                <w:szCs w:val="20"/>
                <w:lang w:val="pt-BR"/>
              </w:rPr>
              <w:t>aj (o Bolaj López)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D4423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11</w:t>
            </w:r>
          </w:p>
        </w:tc>
        <w:tc>
          <w:tcPr>
            <w:tcW w:w="4496" w:type="dxa"/>
            <w:tcBorders>
              <w:top w:val="single" w:sz="8" w:space="0" w:color="000000"/>
              <w:left w:val="single" w:sz="8" w:space="0" w:color="000000"/>
              <w:bottom w:val="single" w:sz="8" w:space="0" w:color="000000"/>
              <w:right w:val="single" w:sz="8" w:space="0" w:color="000000"/>
            </w:tcBorders>
          </w:tcPr>
          <w:p w14:paraId="5A1A43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568DF0CF" w14:textId="77777777" w:rsidTr="00630EEC">
        <w:trPr>
          <w:trHeight w:hRule="exact" w:val="340"/>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9773C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66D8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86EE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12</w:t>
            </w:r>
          </w:p>
        </w:tc>
        <w:tc>
          <w:tcPr>
            <w:tcW w:w="4496" w:type="dxa"/>
            <w:tcBorders>
              <w:top w:val="single" w:sz="8" w:space="0" w:color="000000"/>
              <w:left w:val="single" w:sz="8" w:space="0" w:color="000000"/>
              <w:bottom w:val="single" w:sz="8" w:space="0" w:color="000000"/>
              <w:right w:val="single" w:sz="8" w:space="0" w:color="000000"/>
            </w:tcBorders>
          </w:tcPr>
          <w:p w14:paraId="2576B8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61CC2A05"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E5C0C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C5528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A0C43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13</w:t>
            </w:r>
          </w:p>
        </w:tc>
        <w:tc>
          <w:tcPr>
            <w:tcW w:w="4496" w:type="dxa"/>
            <w:tcBorders>
              <w:top w:val="single" w:sz="8" w:space="0" w:color="000000"/>
              <w:left w:val="single" w:sz="8" w:space="0" w:color="000000"/>
              <w:bottom w:val="single" w:sz="8" w:space="0" w:color="000000"/>
              <w:right w:val="single" w:sz="8" w:space="0" w:color="000000"/>
            </w:tcBorders>
          </w:tcPr>
          <w:p w14:paraId="43885F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ecoc</w:t>
            </w:r>
          </w:p>
        </w:tc>
      </w:tr>
      <w:tr w:rsidR="00537112" w:rsidRPr="00537112" w14:paraId="208D54B8"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074F3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51AAC4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1F492B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14</w:t>
            </w:r>
          </w:p>
        </w:tc>
        <w:tc>
          <w:tcPr>
            <w:tcW w:w="4496" w:type="dxa"/>
            <w:tcBorders>
              <w:top w:val="single" w:sz="8" w:space="0" w:color="000000"/>
              <w:left w:val="single" w:sz="8" w:space="0" w:color="000000"/>
              <w:bottom w:val="single" w:sz="8" w:space="0" w:color="000000"/>
              <w:right w:val="single" w:sz="8" w:space="0" w:color="000000"/>
            </w:tcBorders>
          </w:tcPr>
          <w:p w14:paraId="550AF6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6BFA48AE"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8F7D914"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074FC3F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165</w:t>
            </w:r>
          </w:p>
        </w:tc>
        <w:tc>
          <w:tcPr>
            <w:tcW w:w="3958" w:type="dxa"/>
            <w:vMerge w:val="restart"/>
            <w:tcBorders>
              <w:top w:val="single" w:sz="8" w:space="0" w:color="000000"/>
              <w:left w:val="single" w:sz="8" w:space="0" w:color="000000"/>
              <w:bottom w:val="single" w:sz="8" w:space="0" w:color="000000"/>
              <w:right w:val="single" w:sz="8" w:space="0" w:color="000000"/>
            </w:tcBorders>
          </w:tcPr>
          <w:p w14:paraId="1A1E6DB8" w14:textId="77777777" w:rsidR="00537112" w:rsidRPr="00537112" w:rsidRDefault="00537112" w:rsidP="00537112">
            <w:pPr>
              <w:autoSpaceDE w:val="0"/>
              <w:autoSpaceDN w:val="0"/>
              <w:spacing w:before="8" w:line="220" w:lineRule="exact"/>
              <w:jc w:val="left"/>
              <w:textAlignment w:val="auto"/>
              <w:rPr>
                <w:rFonts w:ascii="Times New Roman" w:hAnsi="Times New Roman"/>
                <w:sz w:val="22"/>
                <w:szCs w:val="22"/>
              </w:rPr>
            </w:pPr>
          </w:p>
          <w:p w14:paraId="1C63F72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qu</w:t>
            </w:r>
            <w:r w:rsidRPr="00537112">
              <w:rPr>
                <w:rFonts w:cs="Verdana"/>
                <w:spacing w:val="-1"/>
                <w:sz w:val="20"/>
                <w:szCs w:val="20"/>
              </w:rPr>
              <w:t>e</w:t>
            </w:r>
            <w:r w:rsidRPr="00537112">
              <w:rPr>
                <w:rFonts w:cs="Verdana"/>
                <w:spacing w:val="1"/>
                <w:sz w:val="20"/>
                <w:szCs w:val="20"/>
              </w:rPr>
              <w:t>j</w:t>
            </w:r>
            <w:r w:rsidRPr="00537112">
              <w:rPr>
                <w:rFonts w:cs="Verdana"/>
                <w:sz w:val="20"/>
                <w:szCs w:val="20"/>
              </w:rPr>
              <w:t>ay</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20D35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15</w:t>
            </w:r>
          </w:p>
        </w:tc>
        <w:tc>
          <w:tcPr>
            <w:tcW w:w="4496" w:type="dxa"/>
            <w:tcBorders>
              <w:top w:val="single" w:sz="8" w:space="0" w:color="000000"/>
              <w:left w:val="single" w:sz="8" w:space="0" w:color="000000"/>
              <w:bottom w:val="single" w:sz="8" w:space="0" w:color="000000"/>
              <w:right w:val="single" w:sz="8" w:space="0" w:color="000000"/>
            </w:tcBorders>
          </w:tcPr>
          <w:p w14:paraId="0FC3F7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53C194CC"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BC325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89508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86A085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16</w:t>
            </w:r>
          </w:p>
        </w:tc>
        <w:tc>
          <w:tcPr>
            <w:tcW w:w="4496" w:type="dxa"/>
            <w:tcBorders>
              <w:top w:val="single" w:sz="8" w:space="0" w:color="000000"/>
              <w:left w:val="single" w:sz="8" w:space="0" w:color="000000"/>
              <w:bottom w:val="single" w:sz="8" w:space="0" w:color="000000"/>
              <w:right w:val="single" w:sz="8" w:space="0" w:color="000000"/>
            </w:tcBorders>
          </w:tcPr>
          <w:p w14:paraId="76CDE4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Gre</w:t>
            </w:r>
            <w:r w:rsidRPr="00537112">
              <w:rPr>
                <w:rFonts w:cs="Verdana"/>
                <w:spacing w:val="1"/>
                <w:position w:val="-1"/>
                <w:sz w:val="20"/>
                <w:szCs w:val="20"/>
              </w:rPr>
              <w:t>g</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ay</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1946418F"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47636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061743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58800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17</w:t>
            </w:r>
          </w:p>
        </w:tc>
        <w:tc>
          <w:tcPr>
            <w:tcW w:w="4496" w:type="dxa"/>
            <w:tcBorders>
              <w:top w:val="single" w:sz="8" w:space="0" w:color="000000"/>
              <w:left w:val="single" w:sz="8" w:space="0" w:color="000000"/>
              <w:bottom w:val="single" w:sz="8" w:space="0" w:color="000000"/>
              <w:right w:val="single" w:sz="8" w:space="0" w:color="000000"/>
            </w:tcBorders>
          </w:tcPr>
          <w:p w14:paraId="0D7695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ay</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5C3F8E64"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74DCCBD" w14:textId="77777777" w:rsidR="00537112" w:rsidRPr="00537112" w:rsidRDefault="00537112" w:rsidP="00537112">
            <w:pPr>
              <w:autoSpaceDE w:val="0"/>
              <w:autoSpaceDN w:val="0"/>
              <w:spacing w:before="4" w:line="130" w:lineRule="exact"/>
              <w:jc w:val="left"/>
              <w:textAlignment w:val="auto"/>
              <w:rPr>
                <w:rFonts w:ascii="Times New Roman" w:hAnsi="Times New Roman"/>
                <w:sz w:val="13"/>
                <w:szCs w:val="13"/>
              </w:rPr>
            </w:pPr>
          </w:p>
          <w:p w14:paraId="3EB4349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166</w:t>
            </w:r>
          </w:p>
        </w:tc>
        <w:tc>
          <w:tcPr>
            <w:tcW w:w="3958" w:type="dxa"/>
            <w:vMerge w:val="restart"/>
            <w:tcBorders>
              <w:top w:val="single" w:sz="8" w:space="0" w:color="000000"/>
              <w:left w:val="single" w:sz="8" w:space="0" w:color="000000"/>
              <w:bottom w:val="single" w:sz="8" w:space="0" w:color="000000"/>
              <w:right w:val="single" w:sz="8" w:space="0" w:color="000000"/>
            </w:tcBorders>
          </w:tcPr>
          <w:p w14:paraId="22518A93" w14:textId="77777777" w:rsidR="00537112" w:rsidRPr="00537112" w:rsidRDefault="00537112" w:rsidP="00537112">
            <w:pPr>
              <w:autoSpaceDE w:val="0"/>
              <w:autoSpaceDN w:val="0"/>
              <w:spacing w:before="4" w:line="130" w:lineRule="exact"/>
              <w:jc w:val="left"/>
              <w:textAlignment w:val="auto"/>
              <w:rPr>
                <w:rFonts w:ascii="Times New Roman" w:hAnsi="Times New Roman"/>
                <w:sz w:val="13"/>
                <w:szCs w:val="13"/>
              </w:rPr>
            </w:pPr>
          </w:p>
          <w:p w14:paraId="2D3DF27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Lore</w:t>
            </w:r>
            <w:r w:rsidRPr="00537112">
              <w:rPr>
                <w:rFonts w:cs="Verdana"/>
                <w:spacing w:val="1"/>
                <w:sz w:val="20"/>
                <w:szCs w:val="20"/>
              </w:rPr>
              <w:t>nz</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8B50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18</w:t>
            </w:r>
          </w:p>
        </w:tc>
        <w:tc>
          <w:tcPr>
            <w:tcW w:w="4496" w:type="dxa"/>
            <w:tcBorders>
              <w:top w:val="single" w:sz="8" w:space="0" w:color="000000"/>
              <w:left w:val="single" w:sz="8" w:space="0" w:color="000000"/>
              <w:bottom w:val="single" w:sz="8" w:space="0" w:color="000000"/>
              <w:right w:val="single" w:sz="8" w:space="0" w:color="000000"/>
            </w:tcBorders>
          </w:tcPr>
          <w:p w14:paraId="478F37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or</w:t>
            </w:r>
            <w:r w:rsidRPr="00537112">
              <w:rPr>
                <w:rFonts w:cs="Verdana"/>
                <w:spacing w:val="1"/>
                <w:position w:val="-1"/>
                <w:sz w:val="20"/>
                <w:szCs w:val="20"/>
              </w:rPr>
              <w:t>n</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r>
      <w:tr w:rsidR="00537112" w:rsidRPr="00537112" w14:paraId="060C0BB5" w14:textId="77777777" w:rsidTr="00630EEC">
        <w:trPr>
          <w:trHeight w:hRule="exact" w:val="305"/>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4673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2CFF2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E9196B3"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8</w:t>
            </w:r>
            <w:r w:rsidRPr="00537112">
              <w:rPr>
                <w:rFonts w:cs="Verdana"/>
                <w:spacing w:val="1"/>
                <w:sz w:val="20"/>
                <w:szCs w:val="20"/>
              </w:rPr>
              <w:t>19</w:t>
            </w:r>
          </w:p>
        </w:tc>
        <w:tc>
          <w:tcPr>
            <w:tcW w:w="4496" w:type="dxa"/>
            <w:tcBorders>
              <w:top w:val="single" w:sz="8" w:space="0" w:color="000000"/>
              <w:left w:val="single" w:sz="8" w:space="0" w:color="000000"/>
              <w:bottom w:val="single" w:sz="8" w:space="0" w:color="000000"/>
              <w:right w:val="single" w:sz="8" w:space="0" w:color="000000"/>
            </w:tcBorders>
          </w:tcPr>
          <w:p w14:paraId="124F44B8" w14:textId="77777777" w:rsidR="00537112" w:rsidRPr="00537112" w:rsidRDefault="00537112" w:rsidP="00537112">
            <w:pPr>
              <w:autoSpaceDE w:val="0"/>
              <w:autoSpaceDN w:val="0"/>
              <w:spacing w:before="18" w:line="240" w:lineRule="auto"/>
              <w:ind w:right="-20"/>
              <w:jc w:val="left"/>
              <w:textAlignment w:val="auto"/>
              <w:rPr>
                <w:rFonts w:ascii="Times New Roman" w:hAnsi="Times New Roman"/>
              </w:rPr>
            </w:pP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r>
      <w:tr w:rsidR="00537112" w:rsidRPr="00537112" w14:paraId="0573444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29CF7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A0897E4"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76B7DE3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167</w:t>
            </w:r>
          </w:p>
        </w:tc>
        <w:tc>
          <w:tcPr>
            <w:tcW w:w="3958" w:type="dxa"/>
            <w:vMerge w:val="restart"/>
            <w:tcBorders>
              <w:top w:val="single" w:sz="8" w:space="0" w:color="000000"/>
              <w:left w:val="single" w:sz="8" w:space="0" w:color="000000"/>
              <w:bottom w:val="single" w:sz="8" w:space="0" w:color="000000"/>
              <w:right w:val="single" w:sz="8" w:space="0" w:color="000000"/>
            </w:tcBorders>
          </w:tcPr>
          <w:p w14:paraId="06D5D741"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4AF8D49" w14:textId="77777777" w:rsidR="00537112" w:rsidRPr="00537112" w:rsidRDefault="00537112" w:rsidP="00537112">
            <w:pPr>
              <w:autoSpaceDE w:val="0"/>
              <w:autoSpaceDN w:val="0"/>
              <w:spacing w:before="15" w:line="260" w:lineRule="exact"/>
              <w:jc w:val="left"/>
              <w:textAlignment w:val="auto"/>
              <w:rPr>
                <w:rFonts w:ascii="Times New Roman" w:hAnsi="Times New Roman"/>
                <w:sz w:val="26"/>
                <w:szCs w:val="26"/>
              </w:rPr>
            </w:pPr>
          </w:p>
          <w:p w14:paraId="6DCC1DF5"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t</w:t>
            </w:r>
            <w:r w:rsidRPr="00537112">
              <w:rPr>
                <w:rFonts w:cs="Verdana"/>
                <w:spacing w:val="3"/>
                <w:sz w:val="20"/>
                <w:szCs w:val="20"/>
              </w:rPr>
              <w:t>il</w:t>
            </w:r>
            <w:r w:rsidRPr="00537112">
              <w:rPr>
                <w:rFonts w:cs="Verdana"/>
                <w:spacing w:val="1"/>
                <w:sz w:val="20"/>
                <w:szCs w:val="20"/>
              </w:rPr>
              <w:t>d</w:t>
            </w:r>
            <w:r w:rsidRPr="00537112">
              <w:rPr>
                <w:rFonts w:cs="Verdana"/>
                <w:sz w:val="20"/>
                <w:szCs w:val="20"/>
              </w:rPr>
              <w:t>e</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AA624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20</w:t>
            </w:r>
          </w:p>
        </w:tc>
        <w:tc>
          <w:tcPr>
            <w:tcW w:w="4496" w:type="dxa"/>
            <w:tcBorders>
              <w:top w:val="single" w:sz="8" w:space="0" w:color="000000"/>
              <w:left w:val="single" w:sz="8" w:space="0" w:color="000000"/>
              <w:bottom w:val="single" w:sz="8" w:space="0" w:color="000000"/>
              <w:right w:val="single" w:sz="8" w:space="0" w:color="000000"/>
            </w:tcBorders>
          </w:tcPr>
          <w:p w14:paraId="62C6F3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3111EBA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20E22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355B9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6AAD6A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21</w:t>
            </w:r>
          </w:p>
        </w:tc>
        <w:tc>
          <w:tcPr>
            <w:tcW w:w="4496" w:type="dxa"/>
            <w:tcBorders>
              <w:top w:val="single" w:sz="8" w:space="0" w:color="000000"/>
              <w:left w:val="single" w:sz="8" w:space="0" w:color="000000"/>
              <w:bottom w:val="single" w:sz="8" w:space="0" w:color="000000"/>
              <w:right w:val="single" w:sz="8" w:space="0" w:color="000000"/>
            </w:tcBorders>
          </w:tcPr>
          <w:p w14:paraId="19D8E69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ay</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11CF89B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78AD2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43B2528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2B15B3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22</w:t>
            </w:r>
          </w:p>
        </w:tc>
        <w:tc>
          <w:tcPr>
            <w:tcW w:w="4496" w:type="dxa"/>
            <w:tcBorders>
              <w:top w:val="single" w:sz="8" w:space="0" w:color="000000"/>
              <w:left w:val="single" w:sz="8" w:space="0" w:color="000000"/>
              <w:bottom w:val="single" w:sz="8" w:space="0" w:color="000000"/>
              <w:right w:val="single" w:sz="8" w:space="0" w:color="000000"/>
            </w:tcBorders>
          </w:tcPr>
          <w:p w14:paraId="7A9DC6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ore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04A5ED39"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1E236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E470A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466199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23</w:t>
            </w:r>
          </w:p>
        </w:tc>
        <w:tc>
          <w:tcPr>
            <w:tcW w:w="4496" w:type="dxa"/>
            <w:tcBorders>
              <w:top w:val="single" w:sz="8" w:space="0" w:color="000000"/>
              <w:left w:val="single" w:sz="8" w:space="0" w:color="000000"/>
              <w:bottom w:val="single" w:sz="8" w:space="0" w:color="000000"/>
              <w:right w:val="single" w:sz="8" w:space="0" w:color="000000"/>
            </w:tcBorders>
          </w:tcPr>
          <w:p w14:paraId="293F83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3"/>
                <w:position w:val="-1"/>
                <w:sz w:val="20"/>
                <w:szCs w:val="20"/>
              </w:rPr>
              <w:t>ili</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spacing w:val="1"/>
                <w:position w:val="-1"/>
                <w:sz w:val="20"/>
                <w:szCs w:val="20"/>
              </w:rPr>
              <w:t>m</w:t>
            </w:r>
            <w:r w:rsidRPr="00537112">
              <w:rPr>
                <w:rFonts w:cs="Verdana"/>
                <w:spacing w:val="-1"/>
                <w:position w:val="-1"/>
                <w:sz w:val="20"/>
                <w:szCs w:val="20"/>
              </w:rPr>
              <w:t>er</w:t>
            </w:r>
            <w:r w:rsidRPr="00537112">
              <w:rPr>
                <w:rFonts w:cs="Verdana"/>
                <w:position w:val="-1"/>
                <w:sz w:val="20"/>
                <w:szCs w:val="20"/>
              </w:rPr>
              <w:t>y</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152C5D8B"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C8A5E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13450B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5AE957E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24</w:t>
            </w:r>
          </w:p>
        </w:tc>
        <w:tc>
          <w:tcPr>
            <w:tcW w:w="4496" w:type="dxa"/>
            <w:tcBorders>
              <w:top w:val="single" w:sz="8" w:space="0" w:color="000000"/>
              <w:left w:val="single" w:sz="8" w:space="0" w:color="000000"/>
              <w:bottom w:val="single" w:sz="8" w:space="0" w:color="000000"/>
              <w:right w:val="single" w:sz="8" w:space="0" w:color="000000"/>
            </w:tcBorders>
          </w:tcPr>
          <w:p w14:paraId="44DE09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4DCB6E91"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20D4834"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3297E143"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168</w:t>
            </w:r>
          </w:p>
        </w:tc>
        <w:tc>
          <w:tcPr>
            <w:tcW w:w="3958" w:type="dxa"/>
            <w:vMerge w:val="restart"/>
            <w:tcBorders>
              <w:top w:val="single" w:sz="8" w:space="0" w:color="000000"/>
              <w:left w:val="single" w:sz="8" w:space="0" w:color="000000"/>
              <w:bottom w:val="single" w:sz="8" w:space="0" w:color="000000"/>
              <w:right w:val="single" w:sz="8" w:space="0" w:color="000000"/>
            </w:tcBorders>
          </w:tcPr>
          <w:p w14:paraId="07A9902D"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0F0CB0B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fo</w:t>
            </w:r>
            <w:r w:rsidRPr="00537112">
              <w:rPr>
                <w:rFonts w:cs="Verdana"/>
                <w:spacing w:val="1"/>
                <w:sz w:val="20"/>
                <w:szCs w:val="20"/>
              </w:rPr>
              <w:t>n</w:t>
            </w:r>
            <w:r w:rsidRPr="00537112">
              <w:rPr>
                <w:rFonts w:cs="Verdana"/>
                <w:spacing w:val="-1"/>
                <w:sz w:val="20"/>
                <w:szCs w:val="20"/>
              </w:rPr>
              <w:t>s</w:t>
            </w:r>
            <w:r w:rsidRPr="00537112">
              <w:rPr>
                <w:rFonts w:cs="Verdana"/>
                <w:sz w:val="20"/>
                <w:szCs w:val="20"/>
              </w:rPr>
              <w:t>o</w:t>
            </w:r>
            <w:r w:rsidRPr="00537112">
              <w:rPr>
                <w:rFonts w:cs="Verdana"/>
                <w:spacing w:val="-9"/>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tumú</w:t>
            </w:r>
            <w:r w:rsidRPr="00537112">
              <w:rPr>
                <w:rFonts w:cs="Verdana"/>
                <w:sz w:val="20"/>
                <w:szCs w:val="20"/>
              </w:rPr>
              <w:t>l</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74E52A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25</w:t>
            </w:r>
          </w:p>
        </w:tc>
        <w:tc>
          <w:tcPr>
            <w:tcW w:w="4496" w:type="dxa"/>
            <w:tcBorders>
              <w:top w:val="single" w:sz="8" w:space="0" w:color="000000"/>
              <w:left w:val="single" w:sz="8" w:space="0" w:color="000000"/>
              <w:bottom w:val="single" w:sz="8" w:space="0" w:color="000000"/>
              <w:right w:val="single" w:sz="8" w:space="0" w:color="000000"/>
            </w:tcBorders>
          </w:tcPr>
          <w:p w14:paraId="16A833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ec</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2DA50ADE"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05D80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6E1F2C9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CFD92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26</w:t>
            </w:r>
          </w:p>
        </w:tc>
        <w:tc>
          <w:tcPr>
            <w:tcW w:w="4496" w:type="dxa"/>
            <w:tcBorders>
              <w:top w:val="single" w:sz="8" w:space="0" w:color="000000"/>
              <w:left w:val="single" w:sz="8" w:space="0" w:color="000000"/>
              <w:bottom w:val="single" w:sz="8" w:space="0" w:color="000000"/>
              <w:right w:val="single" w:sz="8" w:space="0" w:color="000000"/>
            </w:tcBorders>
          </w:tcPr>
          <w:p w14:paraId="66F705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Y</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0C0C23AB" w14:textId="77777777" w:rsidTr="00630EEC">
        <w:trPr>
          <w:trHeight w:hRule="exact" w:val="247"/>
        </w:trPr>
        <w:tc>
          <w:tcPr>
            <w:tcW w:w="977" w:type="dxa"/>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2F9EB83F"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770F1B4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169</w:t>
            </w:r>
          </w:p>
        </w:tc>
        <w:tc>
          <w:tcPr>
            <w:tcW w:w="3958" w:type="dxa"/>
            <w:vMerge w:val="restart"/>
            <w:tcBorders>
              <w:top w:val="single" w:sz="8" w:space="0" w:color="000000"/>
              <w:left w:val="single" w:sz="8" w:space="0" w:color="000000"/>
              <w:bottom w:val="single" w:sz="8" w:space="0" w:color="000000"/>
              <w:right w:val="single" w:sz="8" w:space="0" w:color="000000"/>
            </w:tcBorders>
          </w:tcPr>
          <w:p w14:paraId="1997780C"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62E52FC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eres</w:t>
            </w:r>
            <w:r w:rsidRPr="00537112">
              <w:rPr>
                <w:rFonts w:cs="Verdana"/>
                <w:sz w:val="20"/>
                <w:szCs w:val="20"/>
              </w:rPr>
              <w:t>a</w:t>
            </w:r>
            <w:r w:rsidRPr="00537112">
              <w:rPr>
                <w:rFonts w:cs="Verdana"/>
                <w:spacing w:val="-7"/>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0D6815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27</w:t>
            </w:r>
          </w:p>
        </w:tc>
        <w:tc>
          <w:tcPr>
            <w:tcW w:w="4496" w:type="dxa"/>
            <w:tcBorders>
              <w:top w:val="single" w:sz="8" w:space="0" w:color="000000"/>
              <w:left w:val="single" w:sz="8" w:space="0" w:color="000000"/>
              <w:bottom w:val="single" w:sz="8" w:space="0" w:color="000000"/>
              <w:right w:val="single" w:sz="8" w:space="0" w:color="000000"/>
            </w:tcBorders>
          </w:tcPr>
          <w:p w14:paraId="6CFB9E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13C09152" w14:textId="77777777" w:rsidTr="00630EEC">
        <w:trPr>
          <w:trHeight w:hRule="exact" w:val="247"/>
        </w:trPr>
        <w:tc>
          <w:tcPr>
            <w:tcW w:w="977" w:type="dxa"/>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48C114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3958" w:type="dxa"/>
            <w:vMerge/>
            <w:tcBorders>
              <w:top w:val="single" w:sz="8" w:space="0" w:color="000000"/>
              <w:left w:val="single" w:sz="8" w:space="0" w:color="000000"/>
              <w:bottom w:val="single" w:sz="8" w:space="0" w:color="000000"/>
              <w:right w:val="single" w:sz="8" w:space="0" w:color="000000"/>
            </w:tcBorders>
          </w:tcPr>
          <w:p w14:paraId="323BD0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c>
          <w:tcPr>
            <w:tcW w:w="772" w:type="dxa"/>
            <w:tcBorders>
              <w:top w:val="single" w:sz="8" w:space="0" w:color="000000"/>
              <w:left w:val="single" w:sz="8" w:space="0" w:color="000000"/>
              <w:bottom w:val="single" w:sz="8" w:space="0" w:color="000000"/>
              <w:right w:val="single" w:sz="8" w:space="0" w:color="000000"/>
            </w:tcBorders>
            <w:shd w:val="clear" w:color="auto" w:fill="C0C0C0"/>
          </w:tcPr>
          <w:p w14:paraId="3BAE6D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8</w:t>
            </w:r>
            <w:r w:rsidRPr="00537112">
              <w:rPr>
                <w:rFonts w:cs="Verdana"/>
                <w:spacing w:val="1"/>
                <w:position w:val="-1"/>
                <w:sz w:val="20"/>
                <w:szCs w:val="20"/>
              </w:rPr>
              <w:t>28</w:t>
            </w:r>
          </w:p>
        </w:tc>
        <w:tc>
          <w:tcPr>
            <w:tcW w:w="4496" w:type="dxa"/>
            <w:tcBorders>
              <w:top w:val="single" w:sz="8" w:space="0" w:color="000000"/>
              <w:left w:val="single" w:sz="8" w:space="0" w:color="000000"/>
              <w:bottom w:val="single" w:sz="8" w:space="0" w:color="000000"/>
              <w:right w:val="single" w:sz="8" w:space="0" w:color="000000"/>
            </w:tcBorders>
          </w:tcPr>
          <w:p w14:paraId="2DAE53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oc</w:t>
            </w:r>
            <w:r w:rsidRPr="00537112">
              <w:rPr>
                <w:rFonts w:cs="Verdana"/>
                <w:position w:val="-1"/>
                <w:sz w:val="20"/>
                <w:szCs w:val="20"/>
              </w:rPr>
              <w:t>a</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bl>
    <w:p w14:paraId="5D93A04C"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03797594" w14:textId="77777777" w:rsidR="00537112" w:rsidRPr="00537112" w:rsidRDefault="00537112" w:rsidP="00537112">
      <w:pPr>
        <w:autoSpaceDE w:val="0"/>
        <w:autoSpaceDN w:val="0"/>
        <w:spacing w:before="16" w:line="280" w:lineRule="exact"/>
        <w:jc w:val="left"/>
        <w:textAlignment w:val="auto"/>
        <w:rPr>
          <w:rFonts w:ascii="Times New Roman" w:hAnsi="Times New Roman"/>
          <w:sz w:val="28"/>
          <w:szCs w:val="28"/>
        </w:rPr>
      </w:pPr>
    </w:p>
    <w:tbl>
      <w:tblPr>
        <w:tblW w:w="0" w:type="auto"/>
        <w:tblInd w:w="116" w:type="dxa"/>
        <w:tblLayout w:type="fixed"/>
        <w:tblCellMar>
          <w:left w:w="0" w:type="dxa"/>
          <w:right w:w="0" w:type="dxa"/>
        </w:tblCellMar>
        <w:tblLook w:val="0000" w:firstRow="0" w:lastRow="0" w:firstColumn="0" w:lastColumn="0" w:noHBand="0" w:noVBand="0"/>
      </w:tblPr>
      <w:tblGrid>
        <w:gridCol w:w="977"/>
        <w:gridCol w:w="3958"/>
        <w:gridCol w:w="5268"/>
      </w:tblGrid>
      <w:tr w:rsidR="00537112" w:rsidRPr="00537112" w14:paraId="24F2D628" w14:textId="77777777" w:rsidTr="00630EEC">
        <w:trPr>
          <w:trHeight w:hRule="exact" w:val="696"/>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5A06CCE" w14:textId="77777777" w:rsidR="00537112" w:rsidRPr="00537112" w:rsidRDefault="00537112" w:rsidP="00537112">
            <w:pPr>
              <w:autoSpaceDE w:val="0"/>
              <w:autoSpaceDN w:val="0"/>
              <w:spacing w:before="16" w:line="200" w:lineRule="exact"/>
              <w:jc w:val="left"/>
              <w:textAlignment w:val="auto"/>
              <w:rPr>
                <w:rFonts w:ascii="Times New Roman" w:hAnsi="Times New Roman"/>
                <w:sz w:val="20"/>
                <w:szCs w:val="20"/>
              </w:rPr>
            </w:pPr>
          </w:p>
          <w:p w14:paraId="567B03F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170</w:t>
            </w:r>
          </w:p>
        </w:tc>
        <w:tc>
          <w:tcPr>
            <w:tcW w:w="3958" w:type="dxa"/>
            <w:tcBorders>
              <w:top w:val="single" w:sz="8" w:space="0" w:color="000000"/>
              <w:left w:val="single" w:sz="8" w:space="0" w:color="000000"/>
              <w:bottom w:val="single" w:sz="8" w:space="0" w:color="000000"/>
              <w:right w:val="single" w:sz="8" w:space="0" w:color="000000"/>
            </w:tcBorders>
          </w:tcPr>
          <w:p w14:paraId="4853C823" w14:textId="77777777" w:rsidR="00537112" w:rsidRPr="00537112" w:rsidRDefault="00537112" w:rsidP="00537112">
            <w:pPr>
              <w:autoSpaceDE w:val="0"/>
              <w:autoSpaceDN w:val="0"/>
              <w:spacing w:before="16" w:line="200" w:lineRule="exact"/>
              <w:jc w:val="left"/>
              <w:textAlignment w:val="auto"/>
              <w:rPr>
                <w:rFonts w:ascii="Times New Roman" w:hAnsi="Times New Roman"/>
                <w:sz w:val="20"/>
                <w:szCs w:val="20"/>
              </w:rPr>
            </w:pPr>
          </w:p>
          <w:p w14:paraId="5131C36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"N</w:t>
            </w:r>
            <w:r w:rsidRPr="00537112">
              <w:rPr>
                <w:rFonts w:cs="Verdana"/>
                <w:spacing w:val="3"/>
                <w:sz w:val="20"/>
                <w:szCs w:val="20"/>
              </w:rPr>
              <w:t>i</w:t>
            </w:r>
            <w:r w:rsidRPr="00537112">
              <w:rPr>
                <w:rFonts w:cs="Verdana"/>
                <w:spacing w:val="1"/>
                <w:sz w:val="20"/>
                <w:szCs w:val="20"/>
              </w:rPr>
              <w:t>ñ</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n</w:t>
            </w:r>
            <w:r w:rsidRPr="00537112">
              <w:rPr>
                <w:rFonts w:cs="Verdana"/>
                <w:spacing w:val="-3"/>
                <w:sz w:val="20"/>
                <w:szCs w:val="20"/>
              </w:rPr>
              <w:t xml:space="preserve"> </w:t>
            </w:r>
            <w:r w:rsidRPr="00537112">
              <w:rPr>
                <w:rFonts w:cs="Verdana"/>
                <w:spacing w:val="1"/>
                <w:sz w:val="20"/>
                <w:szCs w:val="20"/>
              </w:rPr>
              <w:t>n</w:t>
            </w:r>
            <w:r w:rsidRPr="00537112">
              <w:rPr>
                <w:rFonts w:cs="Verdana"/>
                <w:spacing w:val="-1"/>
                <w:sz w:val="20"/>
                <w:szCs w:val="20"/>
              </w:rPr>
              <w:t>o</w:t>
            </w:r>
            <w:r w:rsidRPr="00537112">
              <w:rPr>
                <w:rFonts w:cs="Verdana"/>
                <w:spacing w:val="1"/>
                <w:sz w:val="20"/>
                <w:szCs w:val="20"/>
              </w:rPr>
              <w:t>mb</w:t>
            </w:r>
            <w:r w:rsidRPr="00537112">
              <w:rPr>
                <w:rFonts w:cs="Verdana"/>
                <w:spacing w:val="-1"/>
                <w:sz w:val="20"/>
                <w:szCs w:val="20"/>
              </w:rPr>
              <w:t>re</w:t>
            </w:r>
            <w:r w:rsidRPr="00537112">
              <w:rPr>
                <w:rFonts w:cs="Verdana"/>
                <w:sz w:val="20"/>
                <w:szCs w:val="20"/>
              </w:rPr>
              <w:t>"</w:t>
            </w:r>
          </w:p>
        </w:tc>
        <w:tc>
          <w:tcPr>
            <w:tcW w:w="5268" w:type="dxa"/>
            <w:tcBorders>
              <w:top w:val="single" w:sz="8" w:space="0" w:color="000000"/>
              <w:left w:val="single" w:sz="8" w:space="0" w:color="000000"/>
              <w:bottom w:val="single" w:sz="8" w:space="0" w:color="000000"/>
              <w:right w:val="single" w:sz="8" w:space="0" w:color="000000"/>
            </w:tcBorders>
          </w:tcPr>
          <w:p w14:paraId="7D221457" w14:textId="77777777" w:rsidR="00537112" w:rsidRPr="00537112" w:rsidRDefault="00537112" w:rsidP="00537112">
            <w:pPr>
              <w:autoSpaceDE w:val="0"/>
              <w:autoSpaceDN w:val="0"/>
              <w:spacing w:before="76" w:line="240" w:lineRule="auto"/>
              <w:ind w:right="28"/>
              <w:jc w:val="center"/>
              <w:textAlignment w:val="auto"/>
              <w:rPr>
                <w:rFonts w:cs="Verdana"/>
                <w:sz w:val="20"/>
                <w:szCs w:val="20"/>
              </w:rPr>
            </w:pPr>
            <w:r w:rsidRPr="00537112">
              <w:rPr>
                <w:rFonts w:cs="Verdana"/>
                <w:spacing w:val="1"/>
                <w:sz w:val="20"/>
                <w:szCs w:val="20"/>
              </w:rPr>
              <w:t>h</w:t>
            </w:r>
            <w:r w:rsidRPr="00537112">
              <w:rPr>
                <w:rFonts w:cs="Verdana"/>
                <w:spacing w:val="3"/>
                <w:sz w:val="20"/>
                <w:szCs w:val="20"/>
              </w:rPr>
              <w:t>i</w:t>
            </w:r>
            <w:r w:rsidRPr="00537112">
              <w:rPr>
                <w:rFonts w:cs="Verdana"/>
                <w:spacing w:val="1"/>
                <w:sz w:val="20"/>
                <w:szCs w:val="20"/>
              </w:rPr>
              <w:t>j</w:t>
            </w:r>
            <w:r w:rsidRPr="00537112">
              <w:rPr>
                <w:rFonts w:cs="Verdana"/>
                <w:sz w:val="20"/>
                <w:szCs w:val="20"/>
              </w:rPr>
              <w:t>a</w:t>
            </w:r>
            <w:r w:rsidRPr="00537112">
              <w:rPr>
                <w:rFonts w:cs="Verdana"/>
                <w:spacing w:val="-4"/>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pacing w:val="-1"/>
                <w:sz w:val="20"/>
                <w:szCs w:val="20"/>
              </w:rPr>
              <w:t>L</w:t>
            </w:r>
            <w:r w:rsidRPr="00537112">
              <w:rPr>
                <w:rFonts w:cs="Verdana"/>
                <w:spacing w:val="1"/>
                <w:sz w:val="20"/>
                <w:szCs w:val="20"/>
              </w:rPr>
              <w:t>u</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8"/>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n</w:t>
            </w:r>
            <w:r w:rsidRPr="00537112">
              <w:rPr>
                <w:rFonts w:cs="Verdana"/>
                <w:spacing w:val="-1"/>
                <w:sz w:val="20"/>
                <w:szCs w:val="20"/>
              </w:rPr>
              <w:t>co</w:t>
            </w:r>
            <w:r w:rsidRPr="00537112">
              <w:rPr>
                <w:rFonts w:cs="Verdana"/>
                <w:sz w:val="20"/>
                <w:szCs w:val="20"/>
              </w:rPr>
              <w:t>c</w:t>
            </w:r>
            <w:r w:rsidRPr="00537112">
              <w:rPr>
                <w:rFonts w:cs="Verdana"/>
                <w:spacing w:val="-10"/>
                <w:sz w:val="20"/>
                <w:szCs w:val="20"/>
              </w:rPr>
              <w:t xml:space="preserve"> </w:t>
            </w:r>
            <w:r w:rsidRPr="00537112">
              <w:rPr>
                <w:rFonts w:cs="Verdana"/>
                <w:sz w:val="20"/>
                <w:szCs w:val="20"/>
              </w:rPr>
              <w:t>y</w:t>
            </w:r>
            <w:r w:rsidRPr="00537112">
              <w:rPr>
                <w:rFonts w:cs="Verdana"/>
                <w:spacing w:val="-2"/>
                <w:sz w:val="20"/>
                <w:szCs w:val="20"/>
              </w:rPr>
              <w:t xml:space="preserve"> </w:t>
            </w:r>
            <w:r w:rsidRPr="00537112">
              <w:rPr>
                <w:rFonts w:cs="Verdana"/>
                <w:sz w:val="20"/>
                <w:szCs w:val="20"/>
              </w:rPr>
              <w:t>Da</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w w:val="99"/>
                <w:sz w:val="20"/>
                <w:szCs w:val="20"/>
              </w:rPr>
              <w:t>X</w:t>
            </w:r>
            <w:r w:rsidRPr="00537112">
              <w:rPr>
                <w:rFonts w:cs="Verdana"/>
                <w:spacing w:val="3"/>
                <w:w w:val="99"/>
                <w:sz w:val="20"/>
                <w:szCs w:val="20"/>
              </w:rPr>
              <w:t>i</w:t>
            </w:r>
            <w:r w:rsidRPr="00537112">
              <w:rPr>
                <w:rFonts w:cs="Verdana"/>
                <w:spacing w:val="1"/>
                <w:w w:val="99"/>
                <w:sz w:val="20"/>
                <w:szCs w:val="20"/>
              </w:rPr>
              <w:t>tumul</w:t>
            </w:r>
          </w:p>
          <w:p w14:paraId="1F734A37" w14:textId="77777777" w:rsidR="00537112" w:rsidRPr="00537112" w:rsidRDefault="00537112" w:rsidP="00537112">
            <w:pPr>
              <w:autoSpaceDE w:val="0"/>
              <w:autoSpaceDN w:val="0"/>
              <w:spacing w:before="16" w:line="240" w:lineRule="auto"/>
              <w:ind w:right="2214"/>
              <w:jc w:val="center"/>
              <w:textAlignment w:val="auto"/>
              <w:rPr>
                <w:rFonts w:ascii="Times New Roman" w:hAnsi="Times New Roman"/>
              </w:rPr>
            </w:pPr>
            <w:r w:rsidRPr="00537112">
              <w:rPr>
                <w:rFonts w:cs="Verdana"/>
                <w:w w:val="99"/>
                <w:sz w:val="20"/>
                <w:szCs w:val="20"/>
              </w:rPr>
              <w:t>C</w:t>
            </w:r>
            <w:r w:rsidRPr="00537112">
              <w:rPr>
                <w:rFonts w:cs="Verdana"/>
                <w:spacing w:val="1"/>
                <w:w w:val="99"/>
                <w:sz w:val="20"/>
                <w:szCs w:val="20"/>
              </w:rPr>
              <w:t>u</w:t>
            </w:r>
            <w:r w:rsidRPr="00537112">
              <w:rPr>
                <w:rFonts w:cs="Verdana"/>
                <w:w w:val="99"/>
                <w:sz w:val="20"/>
                <w:szCs w:val="20"/>
              </w:rPr>
              <w:t>x</w:t>
            </w:r>
            <w:r w:rsidRPr="00537112">
              <w:rPr>
                <w:rFonts w:cs="Verdana"/>
                <w:spacing w:val="1"/>
                <w:w w:val="99"/>
                <w:sz w:val="20"/>
                <w:szCs w:val="20"/>
              </w:rPr>
              <w:t>um</w:t>
            </w:r>
          </w:p>
        </w:tc>
      </w:tr>
      <w:tr w:rsidR="00537112" w:rsidRPr="00537112" w14:paraId="35BFD110" w14:textId="77777777" w:rsidTr="00630EEC">
        <w:trPr>
          <w:trHeight w:hRule="exact" w:val="494"/>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30E7C86" w14:textId="77777777" w:rsidR="00537112" w:rsidRPr="00537112" w:rsidRDefault="00537112" w:rsidP="00537112">
            <w:pPr>
              <w:autoSpaceDE w:val="0"/>
              <w:autoSpaceDN w:val="0"/>
              <w:spacing w:before="5" w:line="100" w:lineRule="exact"/>
              <w:jc w:val="left"/>
              <w:textAlignment w:val="auto"/>
              <w:rPr>
                <w:rFonts w:ascii="Times New Roman" w:hAnsi="Times New Roman"/>
                <w:sz w:val="10"/>
                <w:szCs w:val="10"/>
              </w:rPr>
            </w:pPr>
          </w:p>
          <w:p w14:paraId="2DCBD8C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171</w:t>
            </w:r>
          </w:p>
        </w:tc>
        <w:tc>
          <w:tcPr>
            <w:tcW w:w="3958" w:type="dxa"/>
            <w:tcBorders>
              <w:top w:val="single" w:sz="8" w:space="0" w:color="000000"/>
              <w:left w:val="single" w:sz="8" w:space="0" w:color="000000"/>
              <w:bottom w:val="single" w:sz="8" w:space="0" w:color="000000"/>
              <w:right w:val="single" w:sz="8" w:space="0" w:color="000000"/>
            </w:tcBorders>
          </w:tcPr>
          <w:p w14:paraId="00490C30" w14:textId="77777777" w:rsidR="00537112" w:rsidRPr="00537112" w:rsidRDefault="00537112" w:rsidP="00537112">
            <w:pPr>
              <w:autoSpaceDE w:val="0"/>
              <w:autoSpaceDN w:val="0"/>
              <w:spacing w:line="219" w:lineRule="exact"/>
              <w:ind w:right="55"/>
              <w:jc w:val="center"/>
              <w:textAlignment w:val="auto"/>
              <w:rPr>
                <w:rFonts w:cs="Verdana"/>
                <w:sz w:val="20"/>
                <w:szCs w:val="20"/>
                <w:lang w:val="pt-BR"/>
              </w:rPr>
            </w:pPr>
            <w:r w:rsidRPr="00537112">
              <w:rPr>
                <w:rFonts w:cs="Verdana"/>
                <w:sz w:val="20"/>
                <w:szCs w:val="20"/>
                <w:lang w:val="pt-BR"/>
              </w:rPr>
              <w:t>P</w:t>
            </w:r>
            <w:r w:rsidRPr="00537112">
              <w:rPr>
                <w:rFonts w:cs="Verdana"/>
                <w:spacing w:val="-1"/>
                <w:sz w:val="20"/>
                <w:szCs w:val="20"/>
                <w:lang w:val="pt-BR"/>
              </w:rPr>
              <w:t>e</w:t>
            </w:r>
            <w:r w:rsidRPr="00537112">
              <w:rPr>
                <w:rFonts w:cs="Verdana"/>
                <w:spacing w:val="1"/>
                <w:sz w:val="20"/>
                <w:szCs w:val="20"/>
                <w:lang w:val="pt-BR"/>
              </w:rPr>
              <w:t>d</w:t>
            </w:r>
            <w:r w:rsidRPr="00537112">
              <w:rPr>
                <w:rFonts w:cs="Verdana"/>
                <w:spacing w:val="-1"/>
                <w:sz w:val="20"/>
                <w:szCs w:val="20"/>
                <w:lang w:val="pt-BR"/>
              </w:rPr>
              <w:t>r</w:t>
            </w:r>
            <w:r w:rsidRPr="00537112">
              <w:rPr>
                <w:rFonts w:cs="Verdana"/>
                <w:sz w:val="20"/>
                <w:szCs w:val="20"/>
                <w:lang w:val="pt-BR"/>
              </w:rPr>
              <w:t>o</w:t>
            </w:r>
            <w:r w:rsidRPr="00537112">
              <w:rPr>
                <w:rFonts w:cs="Verdana"/>
                <w:spacing w:val="-8"/>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z w:val="20"/>
                <w:szCs w:val="20"/>
                <w:lang w:val="pt-BR"/>
              </w:rPr>
              <w:t>Paz</w:t>
            </w:r>
            <w:r w:rsidRPr="00537112">
              <w:rPr>
                <w:rFonts w:cs="Verdana"/>
                <w:spacing w:val="-3"/>
                <w:sz w:val="20"/>
                <w:szCs w:val="20"/>
                <w:lang w:val="pt-BR"/>
              </w:rPr>
              <w:t xml:space="preserve"> </w:t>
            </w:r>
            <w:r w:rsidRPr="00537112">
              <w:rPr>
                <w:rFonts w:cs="Verdana"/>
                <w:sz w:val="20"/>
                <w:szCs w:val="20"/>
                <w:lang w:val="pt-BR"/>
              </w:rPr>
              <w:t>C</w:t>
            </w:r>
            <w:r w:rsidRPr="00537112">
              <w:rPr>
                <w:rFonts w:cs="Verdana"/>
                <w:spacing w:val="3"/>
                <w:sz w:val="20"/>
                <w:szCs w:val="20"/>
                <w:lang w:val="pt-BR"/>
              </w:rPr>
              <w:t>i</w:t>
            </w:r>
            <w:r w:rsidRPr="00537112">
              <w:rPr>
                <w:rFonts w:cs="Verdana"/>
                <w:spacing w:val="1"/>
                <w:sz w:val="20"/>
                <w:szCs w:val="20"/>
                <w:lang w:val="pt-BR"/>
              </w:rPr>
              <w:t>p</w:t>
            </w:r>
            <w:r w:rsidRPr="00537112">
              <w:rPr>
                <w:rFonts w:cs="Verdana"/>
                <w:spacing w:val="-1"/>
                <w:sz w:val="20"/>
                <w:szCs w:val="20"/>
                <w:lang w:val="pt-BR"/>
              </w:rPr>
              <w:t>r</w:t>
            </w:r>
            <w:r w:rsidRPr="00537112">
              <w:rPr>
                <w:rFonts w:cs="Verdana"/>
                <w:spacing w:val="3"/>
                <w:sz w:val="20"/>
                <w:szCs w:val="20"/>
                <w:lang w:val="pt-BR"/>
              </w:rPr>
              <w:t>i</w:t>
            </w:r>
            <w:r w:rsidRPr="00537112">
              <w:rPr>
                <w:rFonts w:cs="Verdana"/>
                <w:sz w:val="20"/>
                <w:szCs w:val="20"/>
                <w:lang w:val="pt-BR"/>
              </w:rPr>
              <w:t>an</w:t>
            </w:r>
            <w:r w:rsidRPr="00537112">
              <w:rPr>
                <w:rFonts w:cs="Verdana"/>
                <w:spacing w:val="-7"/>
                <w:sz w:val="20"/>
                <w:szCs w:val="20"/>
                <w:lang w:val="pt-BR"/>
              </w:rPr>
              <w:t xml:space="preserve"> </w:t>
            </w:r>
            <w:r w:rsidRPr="00537112">
              <w:rPr>
                <w:rFonts w:cs="Verdana"/>
                <w:spacing w:val="1"/>
                <w:sz w:val="20"/>
                <w:szCs w:val="20"/>
                <w:lang w:val="pt-BR"/>
              </w:rPr>
              <w:t>(</w:t>
            </w:r>
            <w:r w:rsidRPr="00537112">
              <w:rPr>
                <w:rFonts w:cs="Verdana"/>
                <w:sz w:val="20"/>
                <w:szCs w:val="20"/>
                <w:lang w:val="pt-BR"/>
              </w:rPr>
              <w:t>o</w:t>
            </w:r>
            <w:r w:rsidRPr="00537112">
              <w:rPr>
                <w:rFonts w:cs="Verdana"/>
                <w:spacing w:val="-4"/>
                <w:sz w:val="20"/>
                <w:szCs w:val="20"/>
                <w:lang w:val="pt-BR"/>
              </w:rPr>
              <w:t xml:space="preserve"> </w:t>
            </w:r>
            <w:r w:rsidRPr="00537112">
              <w:rPr>
                <w:rFonts w:cs="Verdana"/>
                <w:sz w:val="20"/>
                <w:szCs w:val="20"/>
                <w:lang w:val="pt-BR"/>
              </w:rPr>
              <w:t>P</w:t>
            </w:r>
            <w:r w:rsidRPr="00537112">
              <w:rPr>
                <w:rFonts w:cs="Verdana"/>
                <w:spacing w:val="-1"/>
                <w:sz w:val="20"/>
                <w:szCs w:val="20"/>
                <w:lang w:val="pt-BR"/>
              </w:rPr>
              <w:t>e</w:t>
            </w:r>
            <w:r w:rsidRPr="00537112">
              <w:rPr>
                <w:rFonts w:cs="Verdana"/>
                <w:spacing w:val="1"/>
                <w:sz w:val="20"/>
                <w:szCs w:val="20"/>
                <w:lang w:val="pt-BR"/>
              </w:rPr>
              <w:t>d</w:t>
            </w:r>
            <w:r w:rsidRPr="00537112">
              <w:rPr>
                <w:rFonts w:cs="Verdana"/>
                <w:spacing w:val="-1"/>
                <w:sz w:val="20"/>
                <w:szCs w:val="20"/>
                <w:lang w:val="pt-BR"/>
              </w:rPr>
              <w:t>r</w:t>
            </w:r>
            <w:r w:rsidRPr="00537112">
              <w:rPr>
                <w:rFonts w:cs="Verdana"/>
                <w:sz w:val="20"/>
                <w:szCs w:val="20"/>
                <w:lang w:val="pt-BR"/>
              </w:rPr>
              <w:t>o</w:t>
            </w:r>
            <w:r w:rsidRPr="00537112">
              <w:rPr>
                <w:rFonts w:cs="Verdana"/>
                <w:spacing w:val="-8"/>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w w:val="99"/>
                <w:sz w:val="20"/>
                <w:szCs w:val="20"/>
                <w:lang w:val="pt-BR"/>
              </w:rPr>
              <w:t>Paz</w:t>
            </w:r>
          </w:p>
          <w:p w14:paraId="0D654D81" w14:textId="77777777" w:rsidR="00537112" w:rsidRPr="00537112" w:rsidRDefault="00537112" w:rsidP="00537112">
            <w:pPr>
              <w:autoSpaceDE w:val="0"/>
              <w:autoSpaceDN w:val="0"/>
              <w:spacing w:before="16" w:line="239" w:lineRule="exact"/>
              <w:ind w:right="1450"/>
              <w:jc w:val="center"/>
              <w:textAlignment w:val="auto"/>
              <w:rPr>
                <w:rFonts w:ascii="Times New Roman" w:hAnsi="Times New Roman"/>
              </w:rPr>
            </w:pPr>
            <w:r w:rsidRPr="00537112">
              <w:rPr>
                <w:rFonts w:cs="Verdana"/>
                <w:w w:val="99"/>
                <w:position w:val="-1"/>
                <w:sz w:val="20"/>
                <w:szCs w:val="20"/>
              </w:rPr>
              <w:t>C</w:t>
            </w:r>
            <w:r w:rsidRPr="00537112">
              <w:rPr>
                <w:rFonts w:cs="Verdana"/>
                <w:spacing w:val="3"/>
                <w:w w:val="99"/>
                <w:position w:val="-1"/>
                <w:sz w:val="20"/>
                <w:szCs w:val="20"/>
              </w:rPr>
              <w:t>i</w:t>
            </w:r>
            <w:r w:rsidRPr="00537112">
              <w:rPr>
                <w:rFonts w:cs="Verdana"/>
                <w:spacing w:val="1"/>
                <w:w w:val="99"/>
                <w:position w:val="-1"/>
                <w:sz w:val="20"/>
                <w:szCs w:val="20"/>
              </w:rPr>
              <w:t>p</w:t>
            </w:r>
            <w:r w:rsidRPr="00537112">
              <w:rPr>
                <w:rFonts w:cs="Verdana"/>
                <w:spacing w:val="-1"/>
                <w:w w:val="99"/>
                <w:position w:val="-1"/>
                <w:sz w:val="20"/>
                <w:szCs w:val="20"/>
              </w:rPr>
              <w:t>r</w:t>
            </w:r>
            <w:r w:rsidRPr="00537112">
              <w:rPr>
                <w:rFonts w:cs="Verdana"/>
                <w:spacing w:val="3"/>
                <w:w w:val="99"/>
                <w:position w:val="-1"/>
                <w:sz w:val="20"/>
                <w:szCs w:val="20"/>
              </w:rPr>
              <w:t>i</w:t>
            </w:r>
            <w:r w:rsidRPr="00537112">
              <w:rPr>
                <w:rFonts w:cs="Verdana"/>
                <w:w w:val="99"/>
                <w:position w:val="-1"/>
                <w:sz w:val="20"/>
                <w:szCs w:val="20"/>
              </w:rPr>
              <w:t>a</w:t>
            </w:r>
            <w:r w:rsidRPr="00537112">
              <w:rPr>
                <w:rFonts w:cs="Verdana"/>
                <w:spacing w:val="1"/>
                <w:w w:val="99"/>
                <w:position w:val="-1"/>
                <w:sz w:val="20"/>
                <w:szCs w:val="20"/>
              </w:rPr>
              <w:t>n</w:t>
            </w:r>
            <w:r w:rsidRPr="00537112">
              <w:rPr>
                <w:rFonts w:cs="Verdana"/>
                <w:spacing w:val="-1"/>
                <w:w w:val="99"/>
                <w:position w:val="-1"/>
                <w:sz w:val="20"/>
                <w:szCs w:val="20"/>
              </w:rPr>
              <w:t>o</w:t>
            </w:r>
            <w:r w:rsidRPr="00537112">
              <w:rPr>
                <w:rFonts w:cs="Verdana"/>
                <w:w w:val="99"/>
                <w:position w:val="-1"/>
                <w:sz w:val="20"/>
                <w:szCs w:val="20"/>
              </w:rPr>
              <w:t>)</w:t>
            </w:r>
          </w:p>
        </w:tc>
        <w:tc>
          <w:tcPr>
            <w:tcW w:w="5268" w:type="dxa"/>
            <w:vMerge w:val="restart"/>
            <w:tcBorders>
              <w:top w:val="single" w:sz="8" w:space="0" w:color="000000"/>
              <w:left w:val="single" w:sz="8" w:space="0" w:color="000000"/>
              <w:bottom w:val="single" w:sz="8" w:space="0" w:color="000000"/>
              <w:right w:val="single" w:sz="8" w:space="0" w:color="000000"/>
            </w:tcBorders>
          </w:tcPr>
          <w:p w14:paraId="025B0CF5" w14:textId="77777777" w:rsidR="00537112" w:rsidRPr="00537112" w:rsidRDefault="00537112" w:rsidP="00537112">
            <w:pPr>
              <w:autoSpaceDE w:val="0"/>
              <w:autoSpaceDN w:val="0"/>
              <w:spacing w:before="1" w:line="180" w:lineRule="exact"/>
              <w:jc w:val="left"/>
              <w:textAlignment w:val="auto"/>
              <w:rPr>
                <w:rFonts w:ascii="Times New Roman" w:hAnsi="Times New Roman"/>
                <w:sz w:val="18"/>
                <w:szCs w:val="18"/>
              </w:rPr>
            </w:pPr>
          </w:p>
          <w:p w14:paraId="7A0CD29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8F8217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4227B15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07CBF0F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5E6EAD9"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76CC617E"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19C516BC"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3905FCCB" w14:textId="77777777" w:rsidR="00537112" w:rsidRPr="00537112" w:rsidRDefault="00537112" w:rsidP="00537112">
            <w:pPr>
              <w:autoSpaceDE w:val="0"/>
              <w:autoSpaceDN w:val="0"/>
              <w:spacing w:line="255" w:lineRule="auto"/>
              <w:ind w:right="163"/>
              <w:jc w:val="left"/>
              <w:textAlignment w:val="auto"/>
              <w:rPr>
                <w:rFonts w:ascii="Times New Roman" w:hAnsi="Times New Roman"/>
              </w:rPr>
            </w:pPr>
            <w:r w:rsidRPr="00537112">
              <w:rPr>
                <w:rFonts w:cs="Verdana"/>
                <w:b/>
                <w:bCs/>
                <w:sz w:val="20"/>
                <w:szCs w:val="20"/>
              </w:rPr>
              <w:t>LA</w:t>
            </w:r>
            <w:r w:rsidRPr="00537112">
              <w:rPr>
                <w:rFonts w:cs="Verdana"/>
                <w:b/>
                <w:bCs/>
                <w:spacing w:val="-5"/>
                <w:sz w:val="20"/>
                <w:szCs w:val="20"/>
              </w:rPr>
              <w:t xml:space="preserve"> </w:t>
            </w:r>
            <w:r w:rsidRPr="00537112">
              <w:rPr>
                <w:rFonts w:cs="Verdana"/>
                <w:b/>
                <w:bCs/>
                <w:sz w:val="20"/>
                <w:szCs w:val="20"/>
              </w:rPr>
              <w:t>C</w:t>
            </w:r>
            <w:r w:rsidRPr="00537112">
              <w:rPr>
                <w:rFonts w:cs="Verdana"/>
                <w:b/>
                <w:bCs/>
                <w:spacing w:val="1"/>
                <w:sz w:val="20"/>
                <w:szCs w:val="20"/>
              </w:rPr>
              <w:t>O</w:t>
            </w:r>
            <w:r w:rsidRPr="00537112">
              <w:rPr>
                <w:rFonts w:cs="Verdana"/>
                <w:b/>
                <w:bCs/>
                <w:sz w:val="20"/>
                <w:szCs w:val="20"/>
              </w:rPr>
              <w:t>R</w:t>
            </w:r>
            <w:r w:rsidRPr="00537112">
              <w:rPr>
                <w:rFonts w:cs="Verdana"/>
                <w:b/>
                <w:bCs/>
                <w:spacing w:val="1"/>
                <w:sz w:val="20"/>
                <w:szCs w:val="20"/>
              </w:rPr>
              <w:t>T</w:t>
            </w:r>
            <w:r w:rsidRPr="00537112">
              <w:rPr>
                <w:rFonts w:cs="Verdana"/>
                <w:b/>
                <w:bCs/>
                <w:sz w:val="20"/>
                <w:szCs w:val="20"/>
              </w:rPr>
              <w:t>E</w:t>
            </w:r>
            <w:r w:rsidRPr="00537112">
              <w:rPr>
                <w:rFonts w:cs="Verdana"/>
                <w:b/>
                <w:bCs/>
                <w:spacing w:val="-7"/>
                <w:sz w:val="20"/>
                <w:szCs w:val="20"/>
              </w:rPr>
              <w:t xml:space="preserve"> </w:t>
            </w:r>
            <w:r w:rsidRPr="00537112">
              <w:rPr>
                <w:rFonts w:cs="Verdana"/>
                <w:b/>
                <w:bCs/>
                <w:spacing w:val="-1"/>
                <w:sz w:val="20"/>
                <w:szCs w:val="20"/>
              </w:rPr>
              <w:t>N</w:t>
            </w:r>
            <w:r w:rsidRPr="00537112">
              <w:rPr>
                <w:rFonts w:cs="Verdana"/>
                <w:b/>
                <w:bCs/>
                <w:sz w:val="20"/>
                <w:szCs w:val="20"/>
              </w:rPr>
              <w:t>O</w:t>
            </w:r>
            <w:r w:rsidRPr="00537112">
              <w:rPr>
                <w:rFonts w:cs="Verdana"/>
                <w:b/>
                <w:bCs/>
                <w:spacing w:val="-3"/>
                <w:sz w:val="20"/>
                <w:szCs w:val="20"/>
              </w:rPr>
              <w:t xml:space="preserve"> </w:t>
            </w:r>
            <w:r w:rsidRPr="00537112">
              <w:rPr>
                <w:rFonts w:cs="Verdana"/>
                <w:b/>
                <w:bCs/>
                <w:spacing w:val="1"/>
                <w:sz w:val="20"/>
                <w:szCs w:val="20"/>
              </w:rPr>
              <w:t>T</w:t>
            </w:r>
            <w:r w:rsidRPr="00537112">
              <w:rPr>
                <w:rFonts w:cs="Verdana"/>
                <w:b/>
                <w:bCs/>
                <w:spacing w:val="-1"/>
                <w:sz w:val="20"/>
                <w:szCs w:val="20"/>
              </w:rPr>
              <w:t>I</w:t>
            </w:r>
            <w:r w:rsidRPr="00537112">
              <w:rPr>
                <w:rFonts w:cs="Verdana"/>
                <w:b/>
                <w:bCs/>
                <w:spacing w:val="1"/>
                <w:sz w:val="20"/>
                <w:szCs w:val="20"/>
              </w:rPr>
              <w:t>E</w:t>
            </w:r>
            <w:r w:rsidRPr="00537112">
              <w:rPr>
                <w:rFonts w:cs="Verdana"/>
                <w:b/>
                <w:bCs/>
                <w:spacing w:val="-1"/>
                <w:sz w:val="20"/>
                <w:szCs w:val="20"/>
              </w:rPr>
              <w:t>N</w:t>
            </w:r>
            <w:r w:rsidRPr="00537112">
              <w:rPr>
                <w:rFonts w:cs="Verdana"/>
                <w:b/>
                <w:bCs/>
                <w:sz w:val="20"/>
                <w:szCs w:val="20"/>
              </w:rPr>
              <w:t>E</w:t>
            </w:r>
            <w:r w:rsidRPr="00537112">
              <w:rPr>
                <w:rFonts w:cs="Verdana"/>
                <w:b/>
                <w:bCs/>
                <w:spacing w:val="-7"/>
                <w:sz w:val="20"/>
                <w:szCs w:val="20"/>
              </w:rPr>
              <w:t xml:space="preserve"> </w:t>
            </w:r>
            <w:r w:rsidRPr="00537112">
              <w:rPr>
                <w:rFonts w:cs="Verdana"/>
                <w:b/>
                <w:bCs/>
                <w:spacing w:val="-1"/>
                <w:sz w:val="20"/>
                <w:szCs w:val="20"/>
              </w:rPr>
              <w:t>IN</w:t>
            </w:r>
            <w:r w:rsidRPr="00537112">
              <w:rPr>
                <w:rFonts w:cs="Verdana"/>
                <w:b/>
                <w:bCs/>
                <w:sz w:val="20"/>
                <w:szCs w:val="20"/>
              </w:rPr>
              <w:t>F</w:t>
            </w:r>
            <w:r w:rsidRPr="00537112">
              <w:rPr>
                <w:rFonts w:cs="Verdana"/>
                <w:b/>
                <w:bCs/>
                <w:spacing w:val="1"/>
                <w:sz w:val="20"/>
                <w:szCs w:val="20"/>
              </w:rPr>
              <w:t>O</w:t>
            </w:r>
            <w:r w:rsidRPr="00537112">
              <w:rPr>
                <w:rFonts w:cs="Verdana"/>
                <w:b/>
                <w:bCs/>
                <w:sz w:val="20"/>
                <w:szCs w:val="20"/>
              </w:rPr>
              <w:t>R</w:t>
            </w:r>
            <w:r w:rsidRPr="00537112">
              <w:rPr>
                <w:rFonts w:cs="Verdana"/>
                <w:b/>
                <w:bCs/>
                <w:spacing w:val="1"/>
                <w:sz w:val="20"/>
                <w:szCs w:val="20"/>
              </w:rPr>
              <w:t>M</w:t>
            </w:r>
            <w:r w:rsidRPr="00537112">
              <w:rPr>
                <w:rFonts w:cs="Verdana"/>
                <w:b/>
                <w:bCs/>
                <w:spacing w:val="-1"/>
                <w:sz w:val="20"/>
                <w:szCs w:val="20"/>
              </w:rPr>
              <w:t>A</w:t>
            </w:r>
            <w:r w:rsidRPr="00537112">
              <w:rPr>
                <w:rFonts w:cs="Verdana"/>
                <w:b/>
                <w:bCs/>
                <w:sz w:val="20"/>
                <w:szCs w:val="20"/>
              </w:rPr>
              <w:t>C</w:t>
            </w:r>
            <w:r w:rsidRPr="00537112">
              <w:rPr>
                <w:rFonts w:cs="Verdana"/>
                <w:b/>
                <w:bCs/>
                <w:spacing w:val="-1"/>
                <w:sz w:val="20"/>
                <w:szCs w:val="20"/>
              </w:rPr>
              <w:t>I</w:t>
            </w:r>
            <w:r w:rsidRPr="00537112">
              <w:rPr>
                <w:rFonts w:cs="Verdana"/>
                <w:b/>
                <w:bCs/>
                <w:spacing w:val="1"/>
                <w:sz w:val="20"/>
                <w:szCs w:val="20"/>
              </w:rPr>
              <w:t>Ó</w:t>
            </w:r>
            <w:r w:rsidRPr="00537112">
              <w:rPr>
                <w:rFonts w:cs="Verdana"/>
                <w:b/>
                <w:bCs/>
                <w:sz w:val="20"/>
                <w:szCs w:val="20"/>
              </w:rPr>
              <w:t>N</w:t>
            </w:r>
            <w:r w:rsidRPr="00537112">
              <w:rPr>
                <w:rFonts w:cs="Verdana"/>
                <w:b/>
                <w:bCs/>
                <w:spacing w:val="-19"/>
                <w:sz w:val="20"/>
                <w:szCs w:val="20"/>
              </w:rPr>
              <w:t xml:space="preserve"> </w:t>
            </w:r>
            <w:r w:rsidRPr="00537112">
              <w:rPr>
                <w:rFonts w:cs="Verdana"/>
                <w:b/>
                <w:bCs/>
                <w:sz w:val="20"/>
                <w:szCs w:val="20"/>
              </w:rPr>
              <w:t>S</w:t>
            </w:r>
            <w:r w:rsidRPr="00537112">
              <w:rPr>
                <w:rFonts w:cs="Verdana"/>
                <w:b/>
                <w:bCs/>
                <w:spacing w:val="1"/>
                <w:sz w:val="20"/>
                <w:szCs w:val="20"/>
              </w:rPr>
              <w:t>O</w:t>
            </w:r>
            <w:r w:rsidRPr="00537112">
              <w:rPr>
                <w:rFonts w:cs="Verdana"/>
                <w:b/>
                <w:bCs/>
                <w:spacing w:val="-1"/>
                <w:sz w:val="20"/>
                <w:szCs w:val="20"/>
              </w:rPr>
              <w:t>B</w:t>
            </w:r>
            <w:r w:rsidRPr="00537112">
              <w:rPr>
                <w:rFonts w:cs="Verdana"/>
                <w:b/>
                <w:bCs/>
                <w:sz w:val="20"/>
                <w:szCs w:val="20"/>
              </w:rPr>
              <w:t>RE S</w:t>
            </w:r>
            <w:r w:rsidRPr="00537112">
              <w:rPr>
                <w:rFonts w:cs="Verdana"/>
                <w:b/>
                <w:bCs/>
                <w:spacing w:val="-1"/>
                <w:sz w:val="20"/>
                <w:szCs w:val="20"/>
              </w:rPr>
              <w:t>U</w:t>
            </w:r>
            <w:r w:rsidRPr="00537112">
              <w:rPr>
                <w:rFonts w:cs="Verdana"/>
                <w:b/>
                <w:bCs/>
                <w:sz w:val="20"/>
                <w:szCs w:val="20"/>
              </w:rPr>
              <w:t>S</w:t>
            </w:r>
            <w:r w:rsidRPr="00537112">
              <w:rPr>
                <w:rFonts w:cs="Verdana"/>
                <w:b/>
                <w:bCs/>
                <w:spacing w:val="-5"/>
                <w:sz w:val="20"/>
                <w:szCs w:val="20"/>
              </w:rPr>
              <w:t xml:space="preserve"> </w:t>
            </w:r>
            <w:r w:rsidRPr="00537112">
              <w:rPr>
                <w:rFonts w:cs="Verdana"/>
                <w:b/>
                <w:bCs/>
                <w:sz w:val="20"/>
                <w:szCs w:val="20"/>
              </w:rPr>
              <w:t>F</w:t>
            </w:r>
            <w:r w:rsidRPr="00537112">
              <w:rPr>
                <w:rFonts w:cs="Verdana"/>
                <w:b/>
                <w:bCs/>
                <w:spacing w:val="-1"/>
                <w:sz w:val="20"/>
                <w:szCs w:val="20"/>
              </w:rPr>
              <w:t>A</w:t>
            </w:r>
            <w:r w:rsidRPr="00537112">
              <w:rPr>
                <w:rFonts w:cs="Verdana"/>
                <w:b/>
                <w:bCs/>
                <w:spacing w:val="1"/>
                <w:sz w:val="20"/>
                <w:szCs w:val="20"/>
              </w:rPr>
              <w:t>M</w:t>
            </w:r>
            <w:r w:rsidRPr="00537112">
              <w:rPr>
                <w:rFonts w:cs="Verdana"/>
                <w:b/>
                <w:bCs/>
                <w:spacing w:val="-1"/>
                <w:sz w:val="20"/>
                <w:szCs w:val="20"/>
              </w:rPr>
              <w:t>I</w:t>
            </w:r>
            <w:r w:rsidRPr="00537112">
              <w:rPr>
                <w:rFonts w:cs="Verdana"/>
                <w:b/>
                <w:bCs/>
                <w:sz w:val="20"/>
                <w:szCs w:val="20"/>
              </w:rPr>
              <w:t>L</w:t>
            </w:r>
            <w:r w:rsidRPr="00537112">
              <w:rPr>
                <w:rFonts w:cs="Verdana"/>
                <w:b/>
                <w:bCs/>
                <w:spacing w:val="-1"/>
                <w:sz w:val="20"/>
                <w:szCs w:val="20"/>
              </w:rPr>
              <w:t>IA</w:t>
            </w:r>
            <w:r w:rsidRPr="00537112">
              <w:rPr>
                <w:rFonts w:cs="Verdana"/>
                <w:b/>
                <w:bCs/>
                <w:sz w:val="20"/>
                <w:szCs w:val="20"/>
              </w:rPr>
              <w:t>R</w:t>
            </w:r>
            <w:r w:rsidRPr="00537112">
              <w:rPr>
                <w:rFonts w:cs="Verdana"/>
                <w:b/>
                <w:bCs/>
                <w:spacing w:val="1"/>
                <w:sz w:val="20"/>
                <w:szCs w:val="20"/>
              </w:rPr>
              <w:t>E</w:t>
            </w:r>
            <w:r w:rsidRPr="00537112">
              <w:rPr>
                <w:rFonts w:cs="Verdana"/>
                <w:b/>
                <w:bCs/>
                <w:sz w:val="20"/>
                <w:szCs w:val="20"/>
              </w:rPr>
              <w:t>S</w:t>
            </w:r>
          </w:p>
        </w:tc>
      </w:tr>
      <w:tr w:rsidR="00537112" w:rsidRPr="00537112" w14:paraId="0E9BE0A7"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AC41A1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172</w:t>
            </w:r>
          </w:p>
        </w:tc>
        <w:tc>
          <w:tcPr>
            <w:tcW w:w="3958" w:type="dxa"/>
            <w:tcBorders>
              <w:top w:val="single" w:sz="8" w:space="0" w:color="000000"/>
              <w:left w:val="single" w:sz="8" w:space="0" w:color="000000"/>
              <w:bottom w:val="single" w:sz="8" w:space="0" w:color="000000"/>
              <w:right w:val="single" w:sz="8" w:space="0" w:color="000000"/>
            </w:tcBorders>
          </w:tcPr>
          <w:p w14:paraId="7028F4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co</w:t>
            </w:r>
            <w:r w:rsidRPr="00537112">
              <w:rPr>
                <w:rFonts w:cs="Verdana"/>
                <w:spacing w:val="1"/>
                <w:position w:val="-1"/>
                <w:sz w:val="20"/>
                <w:szCs w:val="20"/>
              </w:rPr>
              <w:t>p</w:t>
            </w:r>
            <w:r w:rsidRPr="00537112">
              <w:rPr>
                <w:rFonts w:cs="Verdana"/>
                <w:position w:val="-1"/>
                <w:sz w:val="20"/>
                <w:szCs w:val="20"/>
              </w:rPr>
              <w:t>al</w:t>
            </w:r>
          </w:p>
        </w:tc>
        <w:tc>
          <w:tcPr>
            <w:tcW w:w="5268" w:type="dxa"/>
            <w:vMerge/>
            <w:tcBorders>
              <w:top w:val="single" w:sz="8" w:space="0" w:color="000000"/>
              <w:left w:val="single" w:sz="8" w:space="0" w:color="000000"/>
              <w:bottom w:val="single" w:sz="8" w:space="0" w:color="000000"/>
              <w:right w:val="single" w:sz="8" w:space="0" w:color="000000"/>
            </w:tcBorders>
          </w:tcPr>
          <w:p w14:paraId="6E35521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7B0D02BE"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D0630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173</w:t>
            </w:r>
          </w:p>
        </w:tc>
        <w:tc>
          <w:tcPr>
            <w:tcW w:w="3958" w:type="dxa"/>
            <w:tcBorders>
              <w:top w:val="single" w:sz="8" w:space="0" w:color="000000"/>
              <w:left w:val="single" w:sz="8" w:space="0" w:color="000000"/>
              <w:bottom w:val="single" w:sz="8" w:space="0" w:color="000000"/>
              <w:right w:val="single" w:sz="8" w:space="0" w:color="000000"/>
            </w:tcBorders>
          </w:tcPr>
          <w:p w14:paraId="417E68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B</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t</w:t>
            </w:r>
            <w:r w:rsidRPr="00537112">
              <w:rPr>
                <w:rFonts w:cs="Verdana"/>
                <w:spacing w:val="-1"/>
                <w:position w:val="-1"/>
                <w:sz w:val="20"/>
                <w:szCs w:val="20"/>
              </w:rPr>
              <w:t>r</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rre</w:t>
            </w:r>
          </w:p>
        </w:tc>
        <w:tc>
          <w:tcPr>
            <w:tcW w:w="5268" w:type="dxa"/>
            <w:vMerge/>
            <w:tcBorders>
              <w:top w:val="single" w:sz="8" w:space="0" w:color="000000"/>
              <w:left w:val="single" w:sz="8" w:space="0" w:color="000000"/>
              <w:bottom w:val="single" w:sz="8" w:space="0" w:color="000000"/>
              <w:right w:val="single" w:sz="8" w:space="0" w:color="000000"/>
            </w:tcBorders>
          </w:tcPr>
          <w:p w14:paraId="297EA85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1B87726B"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D2F3D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174</w:t>
            </w:r>
          </w:p>
        </w:tc>
        <w:tc>
          <w:tcPr>
            <w:tcW w:w="3958" w:type="dxa"/>
            <w:tcBorders>
              <w:top w:val="single" w:sz="8" w:space="0" w:color="000000"/>
              <w:left w:val="single" w:sz="8" w:space="0" w:color="000000"/>
              <w:bottom w:val="single" w:sz="8" w:space="0" w:color="000000"/>
              <w:right w:val="single" w:sz="8" w:space="0" w:color="000000"/>
            </w:tcBorders>
          </w:tcPr>
          <w:p w14:paraId="586537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268" w:type="dxa"/>
            <w:vMerge/>
            <w:tcBorders>
              <w:top w:val="single" w:sz="8" w:space="0" w:color="000000"/>
              <w:left w:val="single" w:sz="8" w:space="0" w:color="000000"/>
              <w:bottom w:val="single" w:sz="8" w:space="0" w:color="000000"/>
              <w:right w:val="single" w:sz="8" w:space="0" w:color="000000"/>
            </w:tcBorders>
          </w:tcPr>
          <w:p w14:paraId="3E0D33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7464F265"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63D3D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175</w:t>
            </w:r>
          </w:p>
        </w:tc>
        <w:tc>
          <w:tcPr>
            <w:tcW w:w="3958" w:type="dxa"/>
            <w:tcBorders>
              <w:top w:val="single" w:sz="8" w:space="0" w:color="000000"/>
              <w:left w:val="single" w:sz="8" w:space="0" w:color="000000"/>
              <w:bottom w:val="single" w:sz="8" w:space="0" w:color="000000"/>
              <w:right w:val="single" w:sz="8" w:space="0" w:color="000000"/>
            </w:tcBorders>
          </w:tcPr>
          <w:p w14:paraId="6672ED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c>
          <w:tcPr>
            <w:tcW w:w="5268" w:type="dxa"/>
            <w:vMerge/>
            <w:tcBorders>
              <w:top w:val="single" w:sz="8" w:space="0" w:color="000000"/>
              <w:left w:val="single" w:sz="8" w:space="0" w:color="000000"/>
              <w:bottom w:val="single" w:sz="8" w:space="0" w:color="000000"/>
              <w:right w:val="single" w:sz="8" w:space="0" w:color="000000"/>
            </w:tcBorders>
          </w:tcPr>
          <w:p w14:paraId="621901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25E1B093"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FB410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176</w:t>
            </w:r>
          </w:p>
        </w:tc>
        <w:tc>
          <w:tcPr>
            <w:tcW w:w="3958" w:type="dxa"/>
            <w:tcBorders>
              <w:top w:val="single" w:sz="8" w:space="0" w:color="000000"/>
              <w:left w:val="single" w:sz="8" w:space="0" w:color="000000"/>
              <w:bottom w:val="single" w:sz="8" w:space="0" w:color="000000"/>
              <w:right w:val="single" w:sz="8" w:space="0" w:color="000000"/>
            </w:tcBorders>
          </w:tcPr>
          <w:p w14:paraId="19DB19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c>
          <w:tcPr>
            <w:tcW w:w="5268" w:type="dxa"/>
            <w:vMerge/>
            <w:tcBorders>
              <w:top w:val="single" w:sz="8" w:space="0" w:color="000000"/>
              <w:left w:val="single" w:sz="8" w:space="0" w:color="000000"/>
              <w:bottom w:val="single" w:sz="8" w:space="0" w:color="000000"/>
              <w:right w:val="single" w:sz="8" w:space="0" w:color="000000"/>
            </w:tcBorders>
          </w:tcPr>
          <w:p w14:paraId="056C46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3DECBC88" w14:textId="77777777" w:rsidTr="00630EEC">
        <w:trPr>
          <w:trHeight w:hRule="exact" w:val="494"/>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5E3FC5ED"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4F98FCB9"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177</w:t>
            </w:r>
          </w:p>
        </w:tc>
        <w:tc>
          <w:tcPr>
            <w:tcW w:w="3958" w:type="dxa"/>
            <w:tcBorders>
              <w:top w:val="single" w:sz="8" w:space="0" w:color="000000"/>
              <w:left w:val="single" w:sz="8" w:space="0" w:color="000000"/>
              <w:bottom w:val="single" w:sz="8" w:space="0" w:color="000000"/>
              <w:right w:val="single" w:sz="8" w:space="0" w:color="000000"/>
            </w:tcBorders>
          </w:tcPr>
          <w:p w14:paraId="3B242710"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74FB733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t</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c>
          <w:tcPr>
            <w:tcW w:w="5268" w:type="dxa"/>
            <w:vMerge/>
            <w:tcBorders>
              <w:top w:val="single" w:sz="8" w:space="0" w:color="000000"/>
              <w:left w:val="single" w:sz="8" w:space="0" w:color="000000"/>
              <w:bottom w:val="single" w:sz="8" w:space="0" w:color="000000"/>
              <w:right w:val="single" w:sz="8" w:space="0" w:color="000000"/>
            </w:tcBorders>
          </w:tcPr>
          <w:p w14:paraId="6D7F0B98"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p>
        </w:tc>
      </w:tr>
      <w:tr w:rsidR="00537112" w:rsidRPr="00537112" w14:paraId="2E55045E"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3E0980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178</w:t>
            </w:r>
          </w:p>
        </w:tc>
        <w:tc>
          <w:tcPr>
            <w:tcW w:w="3958" w:type="dxa"/>
            <w:tcBorders>
              <w:top w:val="single" w:sz="8" w:space="0" w:color="000000"/>
              <w:left w:val="single" w:sz="8" w:space="0" w:color="000000"/>
              <w:bottom w:val="single" w:sz="8" w:space="0" w:color="000000"/>
              <w:right w:val="single" w:sz="8" w:space="0" w:color="000000"/>
            </w:tcBorders>
          </w:tcPr>
          <w:p w14:paraId="0D8259F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c>
          <w:tcPr>
            <w:tcW w:w="5268" w:type="dxa"/>
            <w:vMerge/>
            <w:tcBorders>
              <w:top w:val="single" w:sz="8" w:space="0" w:color="000000"/>
              <w:left w:val="single" w:sz="8" w:space="0" w:color="000000"/>
              <w:bottom w:val="single" w:sz="8" w:space="0" w:color="000000"/>
              <w:right w:val="single" w:sz="8" w:space="0" w:color="000000"/>
            </w:tcBorders>
          </w:tcPr>
          <w:p w14:paraId="5CC28A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7213DDF4"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0E954E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179</w:t>
            </w:r>
          </w:p>
        </w:tc>
        <w:tc>
          <w:tcPr>
            <w:tcW w:w="3958" w:type="dxa"/>
            <w:tcBorders>
              <w:top w:val="single" w:sz="8" w:space="0" w:color="000000"/>
              <w:left w:val="single" w:sz="8" w:space="0" w:color="000000"/>
              <w:bottom w:val="single" w:sz="8" w:space="0" w:color="000000"/>
              <w:right w:val="single" w:sz="8" w:space="0" w:color="000000"/>
            </w:tcBorders>
          </w:tcPr>
          <w:p w14:paraId="10F957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c</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268" w:type="dxa"/>
            <w:vMerge/>
            <w:tcBorders>
              <w:top w:val="single" w:sz="8" w:space="0" w:color="000000"/>
              <w:left w:val="single" w:sz="8" w:space="0" w:color="000000"/>
              <w:bottom w:val="single" w:sz="8" w:space="0" w:color="000000"/>
              <w:right w:val="single" w:sz="8" w:space="0" w:color="000000"/>
            </w:tcBorders>
          </w:tcPr>
          <w:p w14:paraId="48975E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5271E7D5"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F36CE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180</w:t>
            </w:r>
          </w:p>
        </w:tc>
        <w:tc>
          <w:tcPr>
            <w:tcW w:w="3958" w:type="dxa"/>
            <w:tcBorders>
              <w:top w:val="single" w:sz="8" w:space="0" w:color="000000"/>
              <w:left w:val="single" w:sz="8" w:space="0" w:color="000000"/>
              <w:bottom w:val="single" w:sz="8" w:space="0" w:color="000000"/>
              <w:right w:val="single" w:sz="8" w:space="0" w:color="000000"/>
            </w:tcBorders>
          </w:tcPr>
          <w:p w14:paraId="749B18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c>
          <w:tcPr>
            <w:tcW w:w="5268" w:type="dxa"/>
            <w:vMerge/>
            <w:tcBorders>
              <w:top w:val="single" w:sz="8" w:space="0" w:color="000000"/>
              <w:left w:val="single" w:sz="8" w:space="0" w:color="000000"/>
              <w:bottom w:val="single" w:sz="8" w:space="0" w:color="000000"/>
              <w:right w:val="single" w:sz="8" w:space="0" w:color="000000"/>
            </w:tcBorders>
          </w:tcPr>
          <w:p w14:paraId="7D1610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76C8F22F"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76D7C9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181</w:t>
            </w:r>
          </w:p>
        </w:tc>
        <w:tc>
          <w:tcPr>
            <w:tcW w:w="3958" w:type="dxa"/>
            <w:tcBorders>
              <w:top w:val="single" w:sz="8" w:space="0" w:color="000000"/>
              <w:left w:val="single" w:sz="8" w:space="0" w:color="000000"/>
              <w:bottom w:val="single" w:sz="8" w:space="0" w:color="000000"/>
              <w:right w:val="single" w:sz="8" w:space="0" w:color="000000"/>
            </w:tcBorders>
          </w:tcPr>
          <w:p w14:paraId="4F6CF9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c>
          <w:tcPr>
            <w:tcW w:w="5268" w:type="dxa"/>
            <w:vMerge/>
            <w:tcBorders>
              <w:top w:val="single" w:sz="8" w:space="0" w:color="000000"/>
              <w:left w:val="single" w:sz="8" w:space="0" w:color="000000"/>
              <w:bottom w:val="single" w:sz="8" w:space="0" w:color="000000"/>
              <w:right w:val="single" w:sz="8" w:space="0" w:color="000000"/>
            </w:tcBorders>
          </w:tcPr>
          <w:p w14:paraId="22AD8B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19263741"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15FFEF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182</w:t>
            </w:r>
          </w:p>
        </w:tc>
        <w:tc>
          <w:tcPr>
            <w:tcW w:w="3958" w:type="dxa"/>
            <w:tcBorders>
              <w:top w:val="single" w:sz="8" w:space="0" w:color="000000"/>
              <w:left w:val="single" w:sz="8" w:space="0" w:color="000000"/>
              <w:bottom w:val="single" w:sz="8" w:space="0" w:color="000000"/>
              <w:right w:val="single" w:sz="8" w:space="0" w:color="000000"/>
            </w:tcBorders>
          </w:tcPr>
          <w:p w14:paraId="1685C1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c>
          <w:tcPr>
            <w:tcW w:w="5268" w:type="dxa"/>
            <w:vMerge/>
            <w:tcBorders>
              <w:top w:val="single" w:sz="8" w:space="0" w:color="000000"/>
              <w:left w:val="single" w:sz="8" w:space="0" w:color="000000"/>
              <w:bottom w:val="single" w:sz="8" w:space="0" w:color="000000"/>
              <w:right w:val="single" w:sz="8" w:space="0" w:color="000000"/>
            </w:tcBorders>
          </w:tcPr>
          <w:p w14:paraId="244F81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r w:rsidR="00537112" w:rsidRPr="00537112" w14:paraId="172F91B1" w14:textId="77777777" w:rsidTr="00630EEC">
        <w:trPr>
          <w:trHeight w:hRule="exact" w:val="247"/>
        </w:trPr>
        <w:tc>
          <w:tcPr>
            <w:tcW w:w="977"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Pr>
          <w:p w14:paraId="6A2272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183</w:t>
            </w:r>
          </w:p>
        </w:tc>
        <w:tc>
          <w:tcPr>
            <w:tcW w:w="3958" w:type="dxa"/>
            <w:tcBorders>
              <w:top w:val="single" w:sz="8" w:space="0" w:color="000000"/>
              <w:left w:val="single" w:sz="8" w:space="0" w:color="000000"/>
              <w:bottom w:val="single" w:sz="8" w:space="0" w:color="000000"/>
              <w:right w:val="single" w:sz="8" w:space="0" w:color="000000"/>
            </w:tcBorders>
          </w:tcPr>
          <w:p w14:paraId="469394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Lore</w:t>
            </w:r>
            <w:r w:rsidRPr="00537112">
              <w:rPr>
                <w:rFonts w:cs="Verdana"/>
                <w:spacing w:val="1"/>
                <w:position w:val="-1"/>
                <w:sz w:val="20"/>
                <w:szCs w:val="20"/>
              </w:rPr>
              <w:t>nz</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c>
          <w:tcPr>
            <w:tcW w:w="5268" w:type="dxa"/>
            <w:vMerge/>
            <w:tcBorders>
              <w:top w:val="single" w:sz="8" w:space="0" w:color="000000"/>
              <w:left w:val="single" w:sz="8" w:space="0" w:color="000000"/>
              <w:bottom w:val="single" w:sz="8" w:space="0" w:color="000000"/>
              <w:right w:val="single" w:sz="8" w:space="0" w:color="000000"/>
            </w:tcBorders>
          </w:tcPr>
          <w:p w14:paraId="26BF62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p>
        </w:tc>
      </w:tr>
    </w:tbl>
    <w:p w14:paraId="16F4FF95"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pgSz w:w="12260" w:h="15840"/>
          <w:pgMar w:top="760" w:right="900" w:bottom="280" w:left="900" w:header="493" w:footer="0" w:gutter="0"/>
          <w:cols w:space="720"/>
          <w:noEndnote/>
        </w:sectPr>
      </w:pPr>
    </w:p>
    <w:p w14:paraId="4FFDA728"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10293EE" w14:textId="77777777" w:rsidR="00537112" w:rsidRPr="00537112" w:rsidRDefault="00537112" w:rsidP="00537112">
      <w:pPr>
        <w:autoSpaceDE w:val="0"/>
        <w:autoSpaceDN w:val="0"/>
        <w:spacing w:before="9" w:line="80" w:lineRule="exact"/>
        <w:jc w:val="left"/>
        <w:textAlignment w:val="auto"/>
        <w:rPr>
          <w:rFonts w:ascii="Arial" w:hAnsi="Arial" w:cs="Arial"/>
          <w:sz w:val="8"/>
          <w:szCs w:val="8"/>
        </w:rPr>
      </w:pPr>
    </w:p>
    <w:tbl>
      <w:tblPr>
        <w:tblW w:w="0" w:type="auto"/>
        <w:tblInd w:w="113" w:type="dxa"/>
        <w:tblLayout w:type="fixed"/>
        <w:tblCellMar>
          <w:left w:w="0" w:type="dxa"/>
          <w:right w:w="0" w:type="dxa"/>
        </w:tblCellMar>
        <w:tblLook w:val="0000" w:firstRow="0" w:lastRow="0" w:firstColumn="0" w:lastColumn="0" w:noHBand="0" w:noVBand="0"/>
      </w:tblPr>
      <w:tblGrid>
        <w:gridCol w:w="569"/>
        <w:gridCol w:w="3706"/>
        <w:gridCol w:w="583"/>
        <w:gridCol w:w="3991"/>
      </w:tblGrid>
      <w:tr w:rsidR="00537112" w:rsidRPr="00537112" w14:paraId="5D753F4C" w14:textId="77777777" w:rsidTr="00630EEC">
        <w:trPr>
          <w:trHeight w:hRule="exact" w:val="466"/>
        </w:trPr>
        <w:tc>
          <w:tcPr>
            <w:tcW w:w="8849" w:type="dxa"/>
            <w:gridSpan w:val="4"/>
            <w:tcBorders>
              <w:top w:val="single" w:sz="16" w:space="0" w:color="000000"/>
              <w:left w:val="single" w:sz="16" w:space="0" w:color="000000"/>
              <w:bottom w:val="single" w:sz="16" w:space="0" w:color="000000"/>
              <w:right w:val="single" w:sz="16" w:space="0" w:color="000000"/>
            </w:tcBorders>
            <w:shd w:val="clear" w:color="auto" w:fill="C0C0C0"/>
          </w:tcPr>
          <w:p w14:paraId="6AF1E89A" w14:textId="77777777" w:rsidR="00537112" w:rsidRPr="00537112" w:rsidRDefault="00537112" w:rsidP="00537112">
            <w:pPr>
              <w:autoSpaceDE w:val="0"/>
              <w:autoSpaceDN w:val="0"/>
              <w:spacing w:before="55" w:line="240" w:lineRule="auto"/>
              <w:ind w:right="-20"/>
              <w:jc w:val="left"/>
              <w:textAlignment w:val="auto"/>
              <w:rPr>
                <w:rFonts w:ascii="Times New Roman" w:hAnsi="Times New Roman"/>
              </w:rPr>
            </w:pPr>
            <w:r w:rsidRPr="00537112">
              <w:rPr>
                <w:rFonts w:cs="Verdana"/>
                <w:b/>
                <w:bCs/>
                <w:spacing w:val="1"/>
              </w:rPr>
              <w:t>AN</w:t>
            </w:r>
            <w:r w:rsidRPr="00537112">
              <w:rPr>
                <w:rFonts w:cs="Verdana"/>
                <w:b/>
                <w:bCs/>
                <w:spacing w:val="-1"/>
              </w:rPr>
              <w:t>EX</w:t>
            </w:r>
            <w:r w:rsidRPr="00537112">
              <w:rPr>
                <w:rFonts w:cs="Verdana"/>
                <w:b/>
                <w:bCs/>
              </w:rPr>
              <w:t xml:space="preserve">O </w:t>
            </w:r>
            <w:r w:rsidRPr="00537112">
              <w:rPr>
                <w:rFonts w:cs="Verdana"/>
                <w:b/>
                <w:bCs/>
                <w:spacing w:val="1"/>
              </w:rPr>
              <w:t>II</w:t>
            </w:r>
            <w:r w:rsidRPr="00537112">
              <w:rPr>
                <w:rFonts w:cs="Verdana"/>
                <w:b/>
                <w:bCs/>
              </w:rPr>
              <w:t xml:space="preserve">. </w:t>
            </w:r>
            <w:r w:rsidRPr="00537112">
              <w:rPr>
                <w:rFonts w:cs="Verdana"/>
                <w:b/>
                <w:bCs/>
                <w:spacing w:val="-1"/>
              </w:rPr>
              <w:t>PE</w:t>
            </w:r>
            <w:r w:rsidRPr="00537112">
              <w:rPr>
                <w:rFonts w:cs="Verdana"/>
                <w:b/>
                <w:bCs/>
              </w:rPr>
              <w:t>RSO</w:t>
            </w:r>
            <w:r w:rsidRPr="00537112">
              <w:rPr>
                <w:rFonts w:cs="Verdana"/>
                <w:b/>
                <w:bCs/>
                <w:spacing w:val="1"/>
              </w:rPr>
              <w:t>NA</w:t>
            </w:r>
            <w:r w:rsidRPr="00537112">
              <w:rPr>
                <w:rFonts w:cs="Verdana"/>
                <w:b/>
                <w:bCs/>
              </w:rPr>
              <w:t>S</w:t>
            </w:r>
            <w:r w:rsidRPr="00537112">
              <w:rPr>
                <w:rFonts w:cs="Verdana"/>
                <w:b/>
                <w:bCs/>
                <w:spacing w:val="81"/>
              </w:rPr>
              <w:t xml:space="preserve"> </w:t>
            </w:r>
            <w:r w:rsidRPr="00537112">
              <w:rPr>
                <w:rFonts w:cs="Verdana"/>
                <w:b/>
                <w:bCs/>
              </w:rPr>
              <w:t>D</w:t>
            </w:r>
            <w:r w:rsidRPr="00537112">
              <w:rPr>
                <w:rFonts w:cs="Verdana"/>
                <w:b/>
                <w:bCs/>
                <w:spacing w:val="-1"/>
              </w:rPr>
              <w:t>E</w:t>
            </w:r>
            <w:r w:rsidRPr="00537112">
              <w:rPr>
                <w:rFonts w:cs="Verdana"/>
                <w:b/>
                <w:bCs/>
              </w:rPr>
              <w:t>S</w:t>
            </w:r>
            <w:r w:rsidRPr="00537112">
              <w:rPr>
                <w:rFonts w:cs="Verdana"/>
                <w:b/>
                <w:bCs/>
                <w:spacing w:val="-1"/>
              </w:rPr>
              <w:t>P</w:t>
            </w:r>
            <w:r w:rsidRPr="00537112">
              <w:rPr>
                <w:rFonts w:cs="Verdana"/>
                <w:b/>
                <w:bCs/>
                <w:spacing w:val="1"/>
              </w:rPr>
              <w:t>LA</w:t>
            </w:r>
            <w:r w:rsidRPr="00537112">
              <w:rPr>
                <w:rFonts w:cs="Verdana"/>
                <w:b/>
                <w:bCs/>
              </w:rPr>
              <w:t>Z</w:t>
            </w:r>
            <w:r w:rsidRPr="00537112">
              <w:rPr>
                <w:rFonts w:cs="Verdana"/>
                <w:b/>
                <w:bCs/>
                <w:spacing w:val="1"/>
              </w:rPr>
              <w:t>A</w:t>
            </w:r>
            <w:r w:rsidRPr="00537112">
              <w:rPr>
                <w:rFonts w:cs="Verdana"/>
                <w:b/>
                <w:bCs/>
              </w:rPr>
              <w:t>D</w:t>
            </w:r>
            <w:r w:rsidRPr="00537112">
              <w:rPr>
                <w:rFonts w:cs="Verdana"/>
                <w:b/>
                <w:bCs/>
                <w:spacing w:val="1"/>
              </w:rPr>
              <w:t>A</w:t>
            </w:r>
            <w:r w:rsidRPr="00537112">
              <w:rPr>
                <w:rFonts w:cs="Verdana"/>
                <w:b/>
                <w:bCs/>
              </w:rPr>
              <w:t>S</w:t>
            </w:r>
          </w:p>
        </w:tc>
      </w:tr>
      <w:tr w:rsidR="00537112" w:rsidRPr="00537112" w14:paraId="628626CD" w14:textId="77777777" w:rsidTr="00630EEC">
        <w:trPr>
          <w:trHeight w:hRule="exact" w:val="247"/>
        </w:trPr>
        <w:tc>
          <w:tcPr>
            <w:tcW w:w="569" w:type="dxa"/>
            <w:tcBorders>
              <w:top w:val="single" w:sz="16" w:space="0" w:color="000000"/>
              <w:left w:val="single" w:sz="8" w:space="0" w:color="000000"/>
              <w:bottom w:val="single" w:sz="8" w:space="0" w:color="000000"/>
              <w:right w:val="single" w:sz="8" w:space="0" w:color="000000"/>
            </w:tcBorders>
            <w:shd w:val="clear" w:color="auto" w:fill="C0C0C0"/>
          </w:tcPr>
          <w:p w14:paraId="760A416A" w14:textId="77777777" w:rsidR="00537112" w:rsidRPr="00537112" w:rsidRDefault="00537112" w:rsidP="00537112">
            <w:pPr>
              <w:autoSpaceDE w:val="0"/>
              <w:autoSpaceDN w:val="0"/>
              <w:spacing w:line="216" w:lineRule="exact"/>
              <w:ind w:right="146"/>
              <w:jc w:val="center"/>
              <w:textAlignment w:val="auto"/>
              <w:rPr>
                <w:rFonts w:ascii="Times New Roman" w:hAnsi="Times New Roman"/>
              </w:rPr>
            </w:pPr>
            <w:r w:rsidRPr="00537112">
              <w:rPr>
                <w:rFonts w:cs="Verdana"/>
                <w:b/>
                <w:bCs/>
                <w:w w:val="99"/>
                <w:position w:val="-1"/>
                <w:sz w:val="20"/>
                <w:szCs w:val="20"/>
              </w:rPr>
              <w:t>1</w:t>
            </w:r>
          </w:p>
        </w:tc>
        <w:tc>
          <w:tcPr>
            <w:tcW w:w="3706" w:type="dxa"/>
            <w:tcBorders>
              <w:top w:val="single" w:sz="16" w:space="0" w:color="000000"/>
              <w:left w:val="single" w:sz="8" w:space="0" w:color="000000"/>
              <w:bottom w:val="single" w:sz="8" w:space="0" w:color="000000"/>
              <w:right w:val="single" w:sz="8" w:space="0" w:color="000000"/>
            </w:tcBorders>
          </w:tcPr>
          <w:p w14:paraId="027C748D" w14:textId="77777777" w:rsidR="00537112" w:rsidRPr="00537112" w:rsidRDefault="00537112" w:rsidP="00537112">
            <w:pPr>
              <w:autoSpaceDE w:val="0"/>
              <w:autoSpaceDN w:val="0"/>
              <w:spacing w:line="21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3" w:type="dxa"/>
            <w:tcBorders>
              <w:top w:val="single" w:sz="16" w:space="0" w:color="000000"/>
              <w:left w:val="single" w:sz="8" w:space="0" w:color="000000"/>
              <w:bottom w:val="single" w:sz="8" w:space="0" w:color="000000"/>
              <w:right w:val="single" w:sz="8" w:space="0" w:color="000000"/>
            </w:tcBorders>
            <w:shd w:val="clear" w:color="auto" w:fill="C0C0C0"/>
          </w:tcPr>
          <w:p w14:paraId="7B8FEE35" w14:textId="77777777" w:rsidR="00537112" w:rsidRPr="00537112" w:rsidRDefault="00537112" w:rsidP="00537112">
            <w:pPr>
              <w:autoSpaceDE w:val="0"/>
              <w:autoSpaceDN w:val="0"/>
              <w:spacing w:line="216" w:lineRule="exact"/>
              <w:ind w:right="-20"/>
              <w:jc w:val="left"/>
              <w:textAlignment w:val="auto"/>
              <w:rPr>
                <w:rFonts w:ascii="Times New Roman" w:hAnsi="Times New Roman"/>
              </w:rPr>
            </w:pPr>
            <w:r w:rsidRPr="00537112">
              <w:rPr>
                <w:rFonts w:cs="Verdana"/>
                <w:b/>
                <w:bCs/>
                <w:position w:val="-1"/>
                <w:sz w:val="20"/>
                <w:szCs w:val="20"/>
              </w:rPr>
              <w:t>56</w:t>
            </w:r>
          </w:p>
        </w:tc>
        <w:tc>
          <w:tcPr>
            <w:tcW w:w="3991" w:type="dxa"/>
            <w:tcBorders>
              <w:top w:val="single" w:sz="16" w:space="0" w:color="000000"/>
              <w:left w:val="single" w:sz="8" w:space="0" w:color="000000"/>
              <w:bottom w:val="single" w:sz="8" w:space="0" w:color="000000"/>
              <w:right w:val="single" w:sz="8" w:space="0" w:color="000000"/>
            </w:tcBorders>
          </w:tcPr>
          <w:p w14:paraId="5BB24ECE" w14:textId="77777777" w:rsidR="00537112" w:rsidRPr="00537112" w:rsidRDefault="00537112" w:rsidP="00537112">
            <w:pPr>
              <w:autoSpaceDE w:val="0"/>
              <w:autoSpaceDN w:val="0"/>
              <w:spacing w:line="216" w:lineRule="exact"/>
              <w:ind w:right="-20"/>
              <w:jc w:val="left"/>
              <w:textAlignment w:val="auto"/>
              <w:rPr>
                <w:rFonts w:ascii="Times New Roman" w:hAnsi="Times New Roman"/>
              </w:rPr>
            </w:pPr>
            <w:r w:rsidRPr="00537112">
              <w:rPr>
                <w:rFonts w:cs="Verdana"/>
                <w:spacing w:val="1"/>
                <w:position w:val="-1"/>
                <w:sz w:val="20"/>
                <w:szCs w:val="20"/>
              </w:rPr>
              <w:t>Ub</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7D74BF0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F8B6AE0"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2</w:t>
            </w:r>
          </w:p>
        </w:tc>
        <w:tc>
          <w:tcPr>
            <w:tcW w:w="3706" w:type="dxa"/>
            <w:tcBorders>
              <w:top w:val="single" w:sz="8" w:space="0" w:color="000000"/>
              <w:left w:val="single" w:sz="8" w:space="0" w:color="000000"/>
              <w:bottom w:val="single" w:sz="8" w:space="0" w:color="000000"/>
              <w:right w:val="single" w:sz="8" w:space="0" w:color="000000"/>
            </w:tcBorders>
          </w:tcPr>
          <w:p w14:paraId="328FFC8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U</w:t>
            </w:r>
            <w:r w:rsidRPr="00537112">
              <w:rPr>
                <w:rFonts w:cs="Verdana"/>
                <w:spacing w:val="-1"/>
                <w:position w:val="-1"/>
                <w:sz w:val="20"/>
                <w:szCs w:val="20"/>
              </w:rPr>
              <w:t>r</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8D68E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57</w:t>
            </w:r>
          </w:p>
        </w:tc>
        <w:tc>
          <w:tcPr>
            <w:tcW w:w="3991" w:type="dxa"/>
            <w:tcBorders>
              <w:top w:val="single" w:sz="8" w:space="0" w:color="000000"/>
              <w:left w:val="single" w:sz="8" w:space="0" w:color="000000"/>
              <w:bottom w:val="single" w:sz="8" w:space="0" w:color="000000"/>
              <w:right w:val="single" w:sz="8" w:space="0" w:color="000000"/>
            </w:tcBorders>
          </w:tcPr>
          <w:p w14:paraId="3A1CC9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3C9A4345"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2D1B8E1" w14:textId="77777777" w:rsidR="00537112" w:rsidRPr="00537112" w:rsidRDefault="00537112" w:rsidP="00537112">
            <w:pPr>
              <w:autoSpaceDE w:val="0"/>
              <w:autoSpaceDN w:val="0"/>
              <w:spacing w:line="240" w:lineRule="exact"/>
              <w:ind w:right="146"/>
              <w:jc w:val="center"/>
              <w:textAlignment w:val="auto"/>
              <w:rPr>
                <w:rFonts w:ascii="Times New Roman" w:hAnsi="Times New Roman"/>
              </w:rPr>
            </w:pPr>
            <w:r w:rsidRPr="00537112">
              <w:rPr>
                <w:rFonts w:cs="Verdana"/>
                <w:b/>
                <w:bCs/>
                <w:w w:val="99"/>
                <w:position w:val="-1"/>
                <w:sz w:val="20"/>
                <w:szCs w:val="20"/>
              </w:rPr>
              <w:t>3</w:t>
            </w:r>
          </w:p>
        </w:tc>
        <w:tc>
          <w:tcPr>
            <w:tcW w:w="3706" w:type="dxa"/>
            <w:tcBorders>
              <w:top w:val="single" w:sz="8" w:space="0" w:color="000000"/>
              <w:left w:val="single" w:sz="8" w:space="0" w:color="000000"/>
              <w:bottom w:val="single" w:sz="8" w:space="0" w:color="000000"/>
              <w:right w:val="single" w:sz="8" w:space="0" w:color="000000"/>
            </w:tcBorders>
          </w:tcPr>
          <w:p w14:paraId="42AE45E9"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2BCE200"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58</w:t>
            </w:r>
          </w:p>
        </w:tc>
        <w:tc>
          <w:tcPr>
            <w:tcW w:w="3991" w:type="dxa"/>
            <w:tcBorders>
              <w:top w:val="single" w:sz="8" w:space="0" w:color="000000"/>
              <w:left w:val="single" w:sz="8" w:space="0" w:color="000000"/>
              <w:bottom w:val="single" w:sz="8" w:space="0" w:color="000000"/>
              <w:right w:val="single" w:sz="8" w:space="0" w:color="000000"/>
            </w:tcBorders>
          </w:tcPr>
          <w:p w14:paraId="1336E921"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746B322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5139552"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4</w:t>
            </w:r>
          </w:p>
        </w:tc>
        <w:tc>
          <w:tcPr>
            <w:tcW w:w="3706" w:type="dxa"/>
            <w:tcBorders>
              <w:top w:val="single" w:sz="8" w:space="0" w:color="000000"/>
              <w:left w:val="single" w:sz="8" w:space="0" w:color="000000"/>
              <w:bottom w:val="single" w:sz="8" w:space="0" w:color="000000"/>
              <w:right w:val="single" w:sz="8" w:space="0" w:color="000000"/>
            </w:tcBorders>
          </w:tcPr>
          <w:p w14:paraId="5B5429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6D494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59</w:t>
            </w:r>
          </w:p>
        </w:tc>
        <w:tc>
          <w:tcPr>
            <w:tcW w:w="3991" w:type="dxa"/>
            <w:tcBorders>
              <w:top w:val="single" w:sz="8" w:space="0" w:color="000000"/>
              <w:left w:val="single" w:sz="8" w:space="0" w:color="000000"/>
              <w:bottom w:val="single" w:sz="8" w:space="0" w:color="000000"/>
              <w:right w:val="single" w:sz="8" w:space="0" w:color="000000"/>
            </w:tcBorders>
          </w:tcPr>
          <w:p w14:paraId="645037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444DBA4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F6FEF0A"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5</w:t>
            </w:r>
          </w:p>
        </w:tc>
        <w:tc>
          <w:tcPr>
            <w:tcW w:w="3706" w:type="dxa"/>
            <w:tcBorders>
              <w:top w:val="single" w:sz="8" w:space="0" w:color="000000"/>
              <w:left w:val="single" w:sz="8" w:space="0" w:color="000000"/>
              <w:bottom w:val="single" w:sz="8" w:space="0" w:color="000000"/>
              <w:right w:val="single" w:sz="8" w:space="0" w:color="000000"/>
            </w:tcBorders>
          </w:tcPr>
          <w:p w14:paraId="143229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Dav</w:t>
            </w:r>
            <w:r w:rsidRPr="00537112">
              <w:rPr>
                <w:rFonts w:cs="Verdana"/>
                <w:spacing w:val="3"/>
                <w:position w:val="-1"/>
                <w:sz w:val="20"/>
                <w:szCs w:val="20"/>
              </w:rPr>
              <w:t>i</w:t>
            </w:r>
            <w:r w:rsidRPr="00537112">
              <w:rPr>
                <w:rFonts w:cs="Verdana"/>
                <w:position w:val="-1"/>
                <w:sz w:val="20"/>
                <w:szCs w:val="20"/>
              </w:rPr>
              <w:t>d</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373B4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60</w:t>
            </w:r>
          </w:p>
        </w:tc>
        <w:tc>
          <w:tcPr>
            <w:tcW w:w="3991" w:type="dxa"/>
            <w:tcBorders>
              <w:top w:val="single" w:sz="8" w:space="0" w:color="000000"/>
              <w:left w:val="single" w:sz="8" w:space="0" w:color="000000"/>
              <w:bottom w:val="single" w:sz="8" w:space="0" w:color="000000"/>
              <w:right w:val="single" w:sz="8" w:space="0" w:color="000000"/>
            </w:tcBorders>
          </w:tcPr>
          <w:p w14:paraId="68E215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7665B83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4EF5475"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6</w:t>
            </w:r>
          </w:p>
        </w:tc>
        <w:tc>
          <w:tcPr>
            <w:tcW w:w="3706" w:type="dxa"/>
            <w:tcBorders>
              <w:top w:val="single" w:sz="8" w:space="0" w:color="000000"/>
              <w:left w:val="single" w:sz="8" w:space="0" w:color="000000"/>
              <w:bottom w:val="single" w:sz="8" w:space="0" w:color="000000"/>
              <w:right w:val="single" w:sz="8" w:space="0" w:color="000000"/>
            </w:tcBorders>
          </w:tcPr>
          <w:p w14:paraId="1C880E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2AA42A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61</w:t>
            </w:r>
          </w:p>
        </w:tc>
        <w:tc>
          <w:tcPr>
            <w:tcW w:w="3991" w:type="dxa"/>
            <w:tcBorders>
              <w:top w:val="single" w:sz="8" w:space="0" w:color="000000"/>
              <w:left w:val="single" w:sz="8" w:space="0" w:color="000000"/>
              <w:bottom w:val="single" w:sz="8" w:space="0" w:color="000000"/>
              <w:right w:val="single" w:sz="8" w:space="0" w:color="000000"/>
            </w:tcBorders>
          </w:tcPr>
          <w:p w14:paraId="76F37F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6B4012C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75889C5"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7</w:t>
            </w:r>
          </w:p>
        </w:tc>
        <w:tc>
          <w:tcPr>
            <w:tcW w:w="3706" w:type="dxa"/>
            <w:tcBorders>
              <w:top w:val="single" w:sz="8" w:space="0" w:color="000000"/>
              <w:left w:val="single" w:sz="8" w:space="0" w:color="000000"/>
              <w:bottom w:val="single" w:sz="8" w:space="0" w:color="000000"/>
              <w:right w:val="single" w:sz="8" w:space="0" w:color="000000"/>
            </w:tcBorders>
          </w:tcPr>
          <w:p w14:paraId="5AAA0D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8C863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62</w:t>
            </w:r>
          </w:p>
        </w:tc>
        <w:tc>
          <w:tcPr>
            <w:tcW w:w="3991" w:type="dxa"/>
            <w:tcBorders>
              <w:top w:val="single" w:sz="8" w:space="0" w:color="000000"/>
              <w:left w:val="single" w:sz="8" w:space="0" w:color="000000"/>
              <w:bottom w:val="single" w:sz="8" w:space="0" w:color="000000"/>
              <w:right w:val="single" w:sz="8" w:space="0" w:color="000000"/>
            </w:tcBorders>
          </w:tcPr>
          <w:p w14:paraId="4A9FB0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44B974B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41D1338"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8</w:t>
            </w:r>
          </w:p>
        </w:tc>
        <w:tc>
          <w:tcPr>
            <w:tcW w:w="3706" w:type="dxa"/>
            <w:tcBorders>
              <w:top w:val="single" w:sz="8" w:space="0" w:color="000000"/>
              <w:left w:val="single" w:sz="8" w:space="0" w:color="000000"/>
              <w:bottom w:val="single" w:sz="8" w:space="0" w:color="000000"/>
              <w:right w:val="single" w:sz="8" w:space="0" w:color="000000"/>
            </w:tcBorders>
          </w:tcPr>
          <w:p w14:paraId="3A7704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02EF46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63</w:t>
            </w:r>
          </w:p>
        </w:tc>
        <w:tc>
          <w:tcPr>
            <w:tcW w:w="3991" w:type="dxa"/>
            <w:tcBorders>
              <w:top w:val="single" w:sz="8" w:space="0" w:color="000000"/>
              <w:left w:val="single" w:sz="8" w:space="0" w:color="000000"/>
              <w:bottom w:val="single" w:sz="8" w:space="0" w:color="000000"/>
              <w:right w:val="single" w:sz="8" w:space="0" w:color="000000"/>
            </w:tcBorders>
          </w:tcPr>
          <w:p w14:paraId="306C45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1CA0E9D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9BF2E74" w14:textId="77777777" w:rsidR="00537112" w:rsidRPr="00537112" w:rsidRDefault="00537112" w:rsidP="00537112">
            <w:pPr>
              <w:autoSpaceDE w:val="0"/>
              <w:autoSpaceDN w:val="0"/>
              <w:spacing w:line="226" w:lineRule="exact"/>
              <w:ind w:right="146"/>
              <w:jc w:val="center"/>
              <w:textAlignment w:val="auto"/>
              <w:rPr>
                <w:rFonts w:ascii="Times New Roman" w:hAnsi="Times New Roman"/>
              </w:rPr>
            </w:pPr>
            <w:r w:rsidRPr="00537112">
              <w:rPr>
                <w:rFonts w:cs="Verdana"/>
                <w:b/>
                <w:bCs/>
                <w:w w:val="99"/>
                <w:position w:val="-1"/>
                <w:sz w:val="20"/>
                <w:szCs w:val="20"/>
              </w:rPr>
              <w:t>9</w:t>
            </w:r>
          </w:p>
        </w:tc>
        <w:tc>
          <w:tcPr>
            <w:tcW w:w="3706" w:type="dxa"/>
            <w:tcBorders>
              <w:top w:val="single" w:sz="8" w:space="0" w:color="000000"/>
              <w:left w:val="single" w:sz="8" w:space="0" w:color="000000"/>
              <w:bottom w:val="single" w:sz="8" w:space="0" w:color="000000"/>
              <w:right w:val="single" w:sz="8" w:space="0" w:color="000000"/>
            </w:tcBorders>
          </w:tcPr>
          <w:p w14:paraId="5665E4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o</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H</w:t>
            </w:r>
            <w:r w:rsidRPr="00537112">
              <w:rPr>
                <w:rFonts w:cs="Verdana"/>
                <w:spacing w:val="1"/>
                <w:position w:val="-1"/>
                <w:sz w:val="20"/>
                <w:szCs w:val="20"/>
              </w:rPr>
              <w:t>umb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E0712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64</w:t>
            </w:r>
          </w:p>
        </w:tc>
        <w:tc>
          <w:tcPr>
            <w:tcW w:w="3991" w:type="dxa"/>
            <w:tcBorders>
              <w:top w:val="single" w:sz="8" w:space="0" w:color="000000"/>
              <w:left w:val="single" w:sz="8" w:space="0" w:color="000000"/>
              <w:bottom w:val="single" w:sz="8" w:space="0" w:color="000000"/>
              <w:right w:val="single" w:sz="8" w:space="0" w:color="000000"/>
            </w:tcBorders>
          </w:tcPr>
          <w:p w14:paraId="10620D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of</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p>
        </w:tc>
      </w:tr>
      <w:tr w:rsidR="00537112" w:rsidRPr="00537112" w14:paraId="0DB8BED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436C8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w:t>
            </w:r>
          </w:p>
        </w:tc>
        <w:tc>
          <w:tcPr>
            <w:tcW w:w="3706" w:type="dxa"/>
            <w:tcBorders>
              <w:top w:val="single" w:sz="8" w:space="0" w:color="000000"/>
              <w:left w:val="single" w:sz="8" w:space="0" w:color="000000"/>
              <w:bottom w:val="single" w:sz="8" w:space="0" w:color="000000"/>
              <w:right w:val="single" w:sz="8" w:space="0" w:color="000000"/>
            </w:tcBorders>
          </w:tcPr>
          <w:p w14:paraId="24BD4E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0D867E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65</w:t>
            </w:r>
          </w:p>
        </w:tc>
        <w:tc>
          <w:tcPr>
            <w:tcW w:w="3991" w:type="dxa"/>
            <w:tcBorders>
              <w:top w:val="single" w:sz="8" w:space="0" w:color="000000"/>
              <w:left w:val="single" w:sz="8" w:space="0" w:color="000000"/>
              <w:bottom w:val="single" w:sz="8" w:space="0" w:color="000000"/>
              <w:right w:val="single" w:sz="8" w:space="0" w:color="000000"/>
            </w:tcBorders>
          </w:tcPr>
          <w:p w14:paraId="7BB299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3E29386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37EF0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w:t>
            </w:r>
          </w:p>
        </w:tc>
        <w:tc>
          <w:tcPr>
            <w:tcW w:w="3706" w:type="dxa"/>
            <w:tcBorders>
              <w:top w:val="single" w:sz="8" w:space="0" w:color="000000"/>
              <w:left w:val="single" w:sz="8" w:space="0" w:color="000000"/>
              <w:bottom w:val="single" w:sz="8" w:space="0" w:color="000000"/>
              <w:right w:val="single" w:sz="8" w:space="0" w:color="000000"/>
            </w:tcBorders>
          </w:tcPr>
          <w:p w14:paraId="37E27A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es</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06853F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66</w:t>
            </w:r>
          </w:p>
        </w:tc>
        <w:tc>
          <w:tcPr>
            <w:tcW w:w="3991" w:type="dxa"/>
            <w:tcBorders>
              <w:top w:val="single" w:sz="8" w:space="0" w:color="000000"/>
              <w:left w:val="single" w:sz="8" w:space="0" w:color="000000"/>
              <w:bottom w:val="single" w:sz="8" w:space="0" w:color="000000"/>
              <w:right w:val="single" w:sz="8" w:space="0" w:color="000000"/>
            </w:tcBorders>
          </w:tcPr>
          <w:p w14:paraId="40E8CD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36D7A4BA"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E65AD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w:t>
            </w:r>
          </w:p>
        </w:tc>
        <w:tc>
          <w:tcPr>
            <w:tcW w:w="3706" w:type="dxa"/>
            <w:tcBorders>
              <w:top w:val="single" w:sz="8" w:space="0" w:color="000000"/>
              <w:left w:val="single" w:sz="8" w:space="0" w:color="000000"/>
              <w:bottom w:val="single" w:sz="8" w:space="0" w:color="000000"/>
              <w:right w:val="single" w:sz="8" w:space="0" w:color="000000"/>
            </w:tcBorders>
          </w:tcPr>
          <w:p w14:paraId="2DBCBD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Su</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w:t>
            </w:r>
            <w:r w:rsidRPr="00537112">
              <w:rPr>
                <w:rFonts w:cs="Verdana"/>
                <w:position w:val="-1"/>
                <w:sz w:val="20"/>
                <w:szCs w:val="20"/>
              </w:rPr>
              <w:t>l</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CC14F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67</w:t>
            </w:r>
          </w:p>
        </w:tc>
        <w:tc>
          <w:tcPr>
            <w:tcW w:w="3991" w:type="dxa"/>
            <w:tcBorders>
              <w:top w:val="single" w:sz="8" w:space="0" w:color="000000"/>
              <w:left w:val="single" w:sz="8" w:space="0" w:color="000000"/>
              <w:bottom w:val="single" w:sz="8" w:space="0" w:color="000000"/>
              <w:right w:val="single" w:sz="8" w:space="0" w:color="000000"/>
            </w:tcBorders>
          </w:tcPr>
          <w:p w14:paraId="5F2202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33C6736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9D750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w:t>
            </w:r>
          </w:p>
        </w:tc>
        <w:tc>
          <w:tcPr>
            <w:tcW w:w="3706" w:type="dxa"/>
            <w:tcBorders>
              <w:top w:val="single" w:sz="8" w:space="0" w:color="000000"/>
              <w:left w:val="single" w:sz="8" w:space="0" w:color="000000"/>
              <w:bottom w:val="single" w:sz="8" w:space="0" w:color="000000"/>
              <w:right w:val="single" w:sz="8" w:space="0" w:color="000000"/>
            </w:tcBorders>
          </w:tcPr>
          <w:p w14:paraId="2445C0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2304E0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68</w:t>
            </w:r>
          </w:p>
        </w:tc>
        <w:tc>
          <w:tcPr>
            <w:tcW w:w="3991" w:type="dxa"/>
            <w:tcBorders>
              <w:top w:val="single" w:sz="8" w:space="0" w:color="000000"/>
              <w:left w:val="single" w:sz="8" w:space="0" w:color="000000"/>
              <w:bottom w:val="single" w:sz="8" w:space="0" w:color="000000"/>
              <w:right w:val="single" w:sz="8" w:space="0" w:color="000000"/>
            </w:tcBorders>
          </w:tcPr>
          <w:p w14:paraId="0D1D2F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06F736D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F45C0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w:t>
            </w:r>
          </w:p>
        </w:tc>
        <w:tc>
          <w:tcPr>
            <w:tcW w:w="3706" w:type="dxa"/>
            <w:tcBorders>
              <w:top w:val="single" w:sz="8" w:space="0" w:color="000000"/>
              <w:left w:val="single" w:sz="8" w:space="0" w:color="000000"/>
              <w:bottom w:val="single" w:sz="8" w:space="0" w:color="000000"/>
              <w:right w:val="single" w:sz="8" w:space="0" w:color="000000"/>
            </w:tcBorders>
          </w:tcPr>
          <w:p w14:paraId="12066E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BCE00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69</w:t>
            </w:r>
          </w:p>
        </w:tc>
        <w:tc>
          <w:tcPr>
            <w:tcW w:w="3991" w:type="dxa"/>
            <w:tcBorders>
              <w:top w:val="single" w:sz="8" w:space="0" w:color="000000"/>
              <w:left w:val="single" w:sz="8" w:space="0" w:color="000000"/>
              <w:bottom w:val="single" w:sz="8" w:space="0" w:color="000000"/>
              <w:right w:val="single" w:sz="8" w:space="0" w:color="000000"/>
            </w:tcBorders>
          </w:tcPr>
          <w:p w14:paraId="48F556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0D12997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4FEB4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w:t>
            </w:r>
          </w:p>
        </w:tc>
        <w:tc>
          <w:tcPr>
            <w:tcW w:w="3706" w:type="dxa"/>
            <w:tcBorders>
              <w:top w:val="single" w:sz="8" w:space="0" w:color="000000"/>
              <w:left w:val="single" w:sz="8" w:space="0" w:color="000000"/>
              <w:bottom w:val="single" w:sz="8" w:space="0" w:color="000000"/>
              <w:right w:val="single" w:sz="8" w:space="0" w:color="000000"/>
            </w:tcBorders>
          </w:tcPr>
          <w:p w14:paraId="4A535B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Y</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7ADB8B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70</w:t>
            </w:r>
          </w:p>
        </w:tc>
        <w:tc>
          <w:tcPr>
            <w:tcW w:w="3991" w:type="dxa"/>
            <w:tcBorders>
              <w:top w:val="single" w:sz="8" w:space="0" w:color="000000"/>
              <w:left w:val="single" w:sz="8" w:space="0" w:color="000000"/>
              <w:bottom w:val="single" w:sz="8" w:space="0" w:color="000000"/>
              <w:right w:val="single" w:sz="8" w:space="0" w:color="000000"/>
            </w:tcBorders>
          </w:tcPr>
          <w:p w14:paraId="537A12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4179307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D956A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w:t>
            </w:r>
          </w:p>
        </w:tc>
        <w:tc>
          <w:tcPr>
            <w:tcW w:w="3706" w:type="dxa"/>
            <w:tcBorders>
              <w:top w:val="single" w:sz="8" w:space="0" w:color="000000"/>
              <w:left w:val="single" w:sz="8" w:space="0" w:color="000000"/>
              <w:bottom w:val="single" w:sz="8" w:space="0" w:color="000000"/>
              <w:right w:val="single" w:sz="8" w:space="0" w:color="000000"/>
            </w:tcBorders>
          </w:tcPr>
          <w:p w14:paraId="081FCF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th</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777AC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71</w:t>
            </w:r>
          </w:p>
        </w:tc>
        <w:tc>
          <w:tcPr>
            <w:tcW w:w="3991" w:type="dxa"/>
            <w:tcBorders>
              <w:top w:val="single" w:sz="8" w:space="0" w:color="000000"/>
              <w:left w:val="single" w:sz="8" w:space="0" w:color="000000"/>
              <w:bottom w:val="single" w:sz="8" w:space="0" w:color="000000"/>
              <w:right w:val="single" w:sz="8" w:space="0" w:color="000000"/>
            </w:tcBorders>
          </w:tcPr>
          <w:p w14:paraId="552682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r>
      <w:tr w:rsidR="00537112" w:rsidRPr="00537112" w14:paraId="534DF852" w14:textId="77777777" w:rsidTr="00630EEC">
        <w:trPr>
          <w:trHeight w:hRule="exact" w:val="494"/>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144F675"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2DAFCD4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17</w:t>
            </w:r>
          </w:p>
        </w:tc>
        <w:tc>
          <w:tcPr>
            <w:tcW w:w="3706" w:type="dxa"/>
            <w:tcBorders>
              <w:top w:val="single" w:sz="8" w:space="0" w:color="000000"/>
              <w:left w:val="single" w:sz="8" w:space="0" w:color="000000"/>
              <w:bottom w:val="single" w:sz="8" w:space="0" w:color="000000"/>
              <w:right w:val="single" w:sz="8" w:space="0" w:color="000000"/>
            </w:tcBorders>
          </w:tcPr>
          <w:p w14:paraId="4C640B44"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3511190E"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z w:val="20"/>
                <w:szCs w:val="20"/>
              </w:rPr>
              <w:t>v</w:t>
            </w:r>
            <w:r w:rsidRPr="00537112">
              <w:rPr>
                <w:rFonts w:cs="Verdana"/>
                <w:spacing w:val="3"/>
                <w:sz w:val="20"/>
                <w:szCs w:val="20"/>
              </w:rPr>
              <w:t>i</w:t>
            </w:r>
            <w:r w:rsidRPr="00537112">
              <w:rPr>
                <w:rFonts w:cs="Verdana"/>
                <w:sz w:val="20"/>
                <w:szCs w:val="20"/>
              </w:rPr>
              <w:t>n</w:t>
            </w:r>
            <w:r w:rsidRPr="00537112">
              <w:rPr>
                <w:rFonts w:cs="Verdana"/>
                <w:spacing w:val="-7"/>
                <w:sz w:val="20"/>
                <w:szCs w:val="20"/>
              </w:rPr>
              <w:t xml:space="preserve"> </w:t>
            </w:r>
            <w:r w:rsidRPr="00537112">
              <w:rPr>
                <w:rFonts w:cs="Verdana"/>
                <w:spacing w:val="-1"/>
                <w:sz w:val="20"/>
                <w:szCs w:val="20"/>
              </w:rPr>
              <w:t>G</w:t>
            </w:r>
            <w:r w:rsidRPr="00537112">
              <w:rPr>
                <w:rFonts w:cs="Verdana"/>
                <w:spacing w:val="3"/>
                <w:sz w:val="20"/>
                <w:szCs w:val="20"/>
              </w:rPr>
              <w:t>i</w:t>
            </w:r>
            <w:r w:rsidRPr="00537112">
              <w:rPr>
                <w:rFonts w:cs="Verdana"/>
                <w:spacing w:val="-1"/>
                <w:sz w:val="20"/>
                <w:szCs w:val="20"/>
              </w:rPr>
              <w:t>o</w:t>
            </w:r>
            <w:r w:rsidRPr="00537112">
              <w:rPr>
                <w:rFonts w:cs="Verdana"/>
                <w:sz w:val="20"/>
                <w:szCs w:val="20"/>
              </w:rPr>
              <w:t>va</w:t>
            </w:r>
            <w:r w:rsidRPr="00537112">
              <w:rPr>
                <w:rFonts w:cs="Verdana"/>
                <w:spacing w:val="1"/>
                <w:sz w:val="20"/>
                <w:szCs w:val="20"/>
              </w:rPr>
              <w:t>n</w:t>
            </w:r>
            <w:r w:rsidRPr="00537112">
              <w:rPr>
                <w:rFonts w:cs="Verdana"/>
                <w:sz w:val="20"/>
                <w:szCs w:val="20"/>
              </w:rPr>
              <w:t>y</w:t>
            </w:r>
            <w:r w:rsidRPr="00537112">
              <w:rPr>
                <w:rFonts w:cs="Verdana"/>
                <w:spacing w:val="-9"/>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BFAF065"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14E5496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72</w:t>
            </w:r>
          </w:p>
        </w:tc>
        <w:tc>
          <w:tcPr>
            <w:tcW w:w="3991" w:type="dxa"/>
            <w:tcBorders>
              <w:top w:val="single" w:sz="8" w:space="0" w:color="000000"/>
              <w:left w:val="single" w:sz="8" w:space="0" w:color="000000"/>
              <w:bottom w:val="single" w:sz="8" w:space="0" w:color="000000"/>
              <w:right w:val="single" w:sz="8" w:space="0" w:color="000000"/>
            </w:tcBorders>
          </w:tcPr>
          <w:p w14:paraId="3B3CDD4A"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29022B90"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C</w:t>
            </w:r>
            <w:r w:rsidRPr="00537112">
              <w:rPr>
                <w:rFonts w:cs="Verdana"/>
                <w:spacing w:val="-1"/>
                <w:sz w:val="20"/>
                <w:szCs w:val="20"/>
              </w:rPr>
              <w:t>or</w:t>
            </w:r>
            <w:r w:rsidRPr="00537112">
              <w:rPr>
                <w:rFonts w:cs="Verdana"/>
                <w:spacing w:val="1"/>
                <w:sz w:val="20"/>
                <w:szCs w:val="20"/>
              </w:rPr>
              <w:t>t</w:t>
            </w:r>
            <w:r w:rsidRPr="00537112">
              <w:rPr>
                <w:rFonts w:cs="Verdana"/>
                <w:spacing w:val="-1"/>
                <w:sz w:val="20"/>
                <w:szCs w:val="20"/>
              </w:rPr>
              <w:t>e</w:t>
            </w:r>
            <w:r w:rsidRPr="00537112">
              <w:rPr>
                <w:rFonts w:cs="Verdana"/>
                <w:sz w:val="20"/>
                <w:szCs w:val="20"/>
              </w:rPr>
              <w:t>z</w:t>
            </w:r>
          </w:p>
        </w:tc>
      </w:tr>
      <w:tr w:rsidR="00537112" w:rsidRPr="00537112" w14:paraId="7502880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13C46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w:t>
            </w:r>
          </w:p>
        </w:tc>
        <w:tc>
          <w:tcPr>
            <w:tcW w:w="3706" w:type="dxa"/>
            <w:tcBorders>
              <w:top w:val="single" w:sz="8" w:space="0" w:color="000000"/>
              <w:left w:val="single" w:sz="8" w:space="0" w:color="000000"/>
              <w:bottom w:val="single" w:sz="8" w:space="0" w:color="000000"/>
              <w:right w:val="single" w:sz="8" w:space="0" w:color="000000"/>
            </w:tcBorders>
          </w:tcPr>
          <w:p w14:paraId="3074AD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073FDD1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73</w:t>
            </w:r>
          </w:p>
        </w:tc>
        <w:tc>
          <w:tcPr>
            <w:tcW w:w="3991" w:type="dxa"/>
            <w:tcBorders>
              <w:top w:val="single" w:sz="8" w:space="0" w:color="000000"/>
              <w:left w:val="single" w:sz="8" w:space="0" w:color="000000"/>
              <w:bottom w:val="single" w:sz="8" w:space="0" w:color="000000"/>
              <w:right w:val="single" w:sz="8" w:space="0" w:color="000000"/>
            </w:tcBorders>
          </w:tcPr>
          <w:p w14:paraId="3810BB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75DE23F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D28A6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w:t>
            </w:r>
          </w:p>
        </w:tc>
        <w:tc>
          <w:tcPr>
            <w:tcW w:w="3706" w:type="dxa"/>
            <w:tcBorders>
              <w:top w:val="single" w:sz="8" w:space="0" w:color="000000"/>
              <w:left w:val="single" w:sz="8" w:space="0" w:color="000000"/>
              <w:bottom w:val="single" w:sz="8" w:space="0" w:color="000000"/>
              <w:right w:val="single" w:sz="8" w:space="0" w:color="000000"/>
            </w:tcBorders>
          </w:tcPr>
          <w:p w14:paraId="1B8159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C4DA9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74</w:t>
            </w:r>
          </w:p>
        </w:tc>
        <w:tc>
          <w:tcPr>
            <w:tcW w:w="3991" w:type="dxa"/>
            <w:tcBorders>
              <w:top w:val="single" w:sz="8" w:space="0" w:color="000000"/>
              <w:left w:val="single" w:sz="8" w:space="0" w:color="000000"/>
              <w:bottom w:val="single" w:sz="8" w:space="0" w:color="000000"/>
              <w:right w:val="single" w:sz="8" w:space="0" w:color="000000"/>
            </w:tcBorders>
          </w:tcPr>
          <w:p w14:paraId="5A5E7C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7C8E91A"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61596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w:t>
            </w:r>
          </w:p>
        </w:tc>
        <w:tc>
          <w:tcPr>
            <w:tcW w:w="3706" w:type="dxa"/>
            <w:tcBorders>
              <w:top w:val="single" w:sz="8" w:space="0" w:color="000000"/>
              <w:left w:val="single" w:sz="8" w:space="0" w:color="000000"/>
              <w:bottom w:val="single" w:sz="8" w:space="0" w:color="000000"/>
              <w:right w:val="single" w:sz="8" w:space="0" w:color="000000"/>
            </w:tcBorders>
          </w:tcPr>
          <w:p w14:paraId="65468CB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E9201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75</w:t>
            </w:r>
          </w:p>
        </w:tc>
        <w:tc>
          <w:tcPr>
            <w:tcW w:w="3991" w:type="dxa"/>
            <w:tcBorders>
              <w:top w:val="single" w:sz="8" w:space="0" w:color="000000"/>
              <w:left w:val="single" w:sz="8" w:space="0" w:color="000000"/>
              <w:bottom w:val="single" w:sz="8" w:space="0" w:color="000000"/>
              <w:right w:val="single" w:sz="8" w:space="0" w:color="000000"/>
            </w:tcBorders>
          </w:tcPr>
          <w:p w14:paraId="225D13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position w:val="-1"/>
                <w:sz w:val="20"/>
                <w:szCs w:val="20"/>
              </w:rPr>
              <w:t>z</w:t>
            </w:r>
            <w:r w:rsidRPr="00537112">
              <w:rPr>
                <w:rFonts w:cs="Verdana"/>
                <w:spacing w:val="-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41741C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1A3840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w:t>
            </w:r>
          </w:p>
        </w:tc>
        <w:tc>
          <w:tcPr>
            <w:tcW w:w="3706" w:type="dxa"/>
            <w:tcBorders>
              <w:top w:val="single" w:sz="8" w:space="0" w:color="000000"/>
              <w:left w:val="single" w:sz="8" w:space="0" w:color="000000"/>
              <w:bottom w:val="single" w:sz="8" w:space="0" w:color="000000"/>
              <w:right w:val="single" w:sz="8" w:space="0" w:color="000000"/>
            </w:tcBorders>
          </w:tcPr>
          <w:p w14:paraId="190DDF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u</w:t>
            </w:r>
            <w:r w:rsidRPr="00537112">
              <w:rPr>
                <w:rFonts w:cs="Verdana"/>
                <w:spacing w:val="-1"/>
                <w:position w:val="-1"/>
                <w:sz w:val="20"/>
                <w:szCs w:val="20"/>
              </w:rPr>
              <w:t>r</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43E90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76</w:t>
            </w:r>
          </w:p>
        </w:tc>
        <w:tc>
          <w:tcPr>
            <w:tcW w:w="3991" w:type="dxa"/>
            <w:tcBorders>
              <w:top w:val="single" w:sz="8" w:space="0" w:color="000000"/>
              <w:left w:val="single" w:sz="8" w:space="0" w:color="000000"/>
              <w:bottom w:val="single" w:sz="8" w:space="0" w:color="000000"/>
              <w:right w:val="single" w:sz="8" w:space="0" w:color="000000"/>
            </w:tcBorders>
          </w:tcPr>
          <w:p w14:paraId="2F470F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z</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495F4DE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B4238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w:t>
            </w:r>
          </w:p>
        </w:tc>
        <w:tc>
          <w:tcPr>
            <w:tcW w:w="3706" w:type="dxa"/>
            <w:tcBorders>
              <w:top w:val="single" w:sz="8" w:space="0" w:color="000000"/>
              <w:left w:val="single" w:sz="8" w:space="0" w:color="000000"/>
              <w:bottom w:val="single" w:sz="8" w:space="0" w:color="000000"/>
              <w:right w:val="single" w:sz="8" w:space="0" w:color="000000"/>
            </w:tcBorders>
          </w:tcPr>
          <w:p w14:paraId="568E64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2FC055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77</w:t>
            </w:r>
          </w:p>
        </w:tc>
        <w:tc>
          <w:tcPr>
            <w:tcW w:w="3991" w:type="dxa"/>
            <w:tcBorders>
              <w:top w:val="single" w:sz="8" w:space="0" w:color="000000"/>
              <w:left w:val="single" w:sz="8" w:space="0" w:color="000000"/>
              <w:bottom w:val="single" w:sz="8" w:space="0" w:color="000000"/>
              <w:right w:val="single" w:sz="8" w:space="0" w:color="000000"/>
            </w:tcBorders>
          </w:tcPr>
          <w:p w14:paraId="00A808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y</w:t>
            </w:r>
            <w:r w:rsidRPr="00537112">
              <w:rPr>
                <w:rFonts w:cs="Verdana"/>
                <w:spacing w:val="-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17B65E2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83C22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w:t>
            </w:r>
          </w:p>
        </w:tc>
        <w:tc>
          <w:tcPr>
            <w:tcW w:w="3706" w:type="dxa"/>
            <w:tcBorders>
              <w:top w:val="single" w:sz="8" w:space="0" w:color="000000"/>
              <w:left w:val="single" w:sz="8" w:space="0" w:color="000000"/>
              <w:bottom w:val="single" w:sz="8" w:space="0" w:color="000000"/>
              <w:right w:val="single" w:sz="8" w:space="0" w:color="000000"/>
            </w:tcBorders>
          </w:tcPr>
          <w:p w14:paraId="65FFE6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o</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254971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78</w:t>
            </w:r>
          </w:p>
        </w:tc>
        <w:tc>
          <w:tcPr>
            <w:tcW w:w="3991" w:type="dxa"/>
            <w:tcBorders>
              <w:top w:val="single" w:sz="8" w:space="0" w:color="000000"/>
              <w:left w:val="single" w:sz="8" w:space="0" w:color="000000"/>
              <w:bottom w:val="single" w:sz="8" w:space="0" w:color="000000"/>
              <w:right w:val="single" w:sz="8" w:space="0" w:color="000000"/>
            </w:tcBorders>
          </w:tcPr>
          <w:p w14:paraId="0D9E94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ub</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1DDA7CA8"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A4627E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w:t>
            </w:r>
          </w:p>
        </w:tc>
        <w:tc>
          <w:tcPr>
            <w:tcW w:w="3706" w:type="dxa"/>
            <w:tcBorders>
              <w:top w:val="single" w:sz="8" w:space="0" w:color="000000"/>
              <w:left w:val="single" w:sz="8" w:space="0" w:color="000000"/>
              <w:bottom w:val="single" w:sz="8" w:space="0" w:color="000000"/>
              <w:right w:val="single" w:sz="8" w:space="0" w:color="000000"/>
            </w:tcBorders>
          </w:tcPr>
          <w:p w14:paraId="007686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ó</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E0B95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79</w:t>
            </w:r>
          </w:p>
        </w:tc>
        <w:tc>
          <w:tcPr>
            <w:tcW w:w="3991" w:type="dxa"/>
            <w:tcBorders>
              <w:top w:val="single" w:sz="8" w:space="0" w:color="000000"/>
              <w:left w:val="single" w:sz="8" w:space="0" w:color="000000"/>
              <w:bottom w:val="single" w:sz="8" w:space="0" w:color="000000"/>
              <w:right w:val="single" w:sz="8" w:space="0" w:color="000000"/>
            </w:tcBorders>
          </w:tcPr>
          <w:p w14:paraId="7D6EC7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Lore</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ug</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53DA3D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1ED05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w:t>
            </w:r>
          </w:p>
        </w:tc>
        <w:tc>
          <w:tcPr>
            <w:tcW w:w="3706" w:type="dxa"/>
            <w:tcBorders>
              <w:top w:val="single" w:sz="8" w:space="0" w:color="000000"/>
              <w:left w:val="single" w:sz="8" w:space="0" w:color="000000"/>
              <w:bottom w:val="single" w:sz="8" w:space="0" w:color="000000"/>
              <w:right w:val="single" w:sz="8" w:space="0" w:color="000000"/>
            </w:tcBorders>
          </w:tcPr>
          <w:p w14:paraId="5CE8DE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ó</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CABE5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80</w:t>
            </w:r>
          </w:p>
        </w:tc>
        <w:tc>
          <w:tcPr>
            <w:tcW w:w="3991" w:type="dxa"/>
            <w:tcBorders>
              <w:top w:val="single" w:sz="8" w:space="0" w:color="000000"/>
              <w:left w:val="single" w:sz="8" w:space="0" w:color="000000"/>
              <w:bottom w:val="single" w:sz="8" w:space="0" w:color="000000"/>
              <w:right w:val="single" w:sz="8" w:space="0" w:color="000000"/>
            </w:tcBorders>
          </w:tcPr>
          <w:p w14:paraId="19802C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b</w:t>
            </w:r>
            <w:r w:rsidRPr="00537112">
              <w:rPr>
                <w:rFonts w:cs="Verdana"/>
                <w:spacing w:val="3"/>
                <w:position w:val="-1"/>
                <w:sz w:val="20"/>
                <w:szCs w:val="20"/>
              </w:rPr>
              <w:t>l</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ecoc</w:t>
            </w:r>
          </w:p>
        </w:tc>
      </w:tr>
      <w:tr w:rsidR="00537112" w:rsidRPr="00537112" w14:paraId="19EEFC1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8C41A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w:t>
            </w:r>
          </w:p>
        </w:tc>
        <w:tc>
          <w:tcPr>
            <w:tcW w:w="3706" w:type="dxa"/>
            <w:tcBorders>
              <w:top w:val="single" w:sz="8" w:space="0" w:color="000000"/>
              <w:left w:val="single" w:sz="8" w:space="0" w:color="000000"/>
              <w:bottom w:val="single" w:sz="8" w:space="0" w:color="000000"/>
              <w:right w:val="single" w:sz="8" w:space="0" w:color="000000"/>
            </w:tcBorders>
          </w:tcPr>
          <w:p w14:paraId="663FF3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3"/>
                <w:position w:val="-1"/>
                <w:sz w:val="20"/>
                <w:szCs w:val="20"/>
              </w:rPr>
              <w:t>l</w:t>
            </w:r>
            <w:r w:rsidRPr="00537112">
              <w:rPr>
                <w:rFonts w:cs="Verdana"/>
                <w:spacing w:val="-1"/>
                <w:position w:val="-1"/>
                <w:sz w:val="20"/>
                <w:szCs w:val="20"/>
              </w:rPr>
              <w:t>o</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é</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ó</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E7140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81</w:t>
            </w:r>
          </w:p>
        </w:tc>
        <w:tc>
          <w:tcPr>
            <w:tcW w:w="3991" w:type="dxa"/>
            <w:tcBorders>
              <w:top w:val="single" w:sz="8" w:space="0" w:color="000000"/>
              <w:left w:val="single" w:sz="8" w:space="0" w:color="000000"/>
              <w:bottom w:val="single" w:sz="8" w:space="0" w:color="000000"/>
              <w:right w:val="single" w:sz="8" w:space="0" w:color="000000"/>
            </w:tcBorders>
          </w:tcPr>
          <w:p w14:paraId="19D19F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350730A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049BC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w:t>
            </w:r>
          </w:p>
        </w:tc>
        <w:tc>
          <w:tcPr>
            <w:tcW w:w="3706" w:type="dxa"/>
            <w:tcBorders>
              <w:top w:val="single" w:sz="8" w:space="0" w:color="000000"/>
              <w:left w:val="single" w:sz="8" w:space="0" w:color="000000"/>
              <w:bottom w:val="single" w:sz="8" w:space="0" w:color="000000"/>
              <w:right w:val="single" w:sz="8" w:space="0" w:color="000000"/>
            </w:tcBorders>
          </w:tcPr>
          <w:p w14:paraId="27C4B83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th</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gu</w:t>
            </w:r>
            <w:r w:rsidRPr="00537112">
              <w:rPr>
                <w:rFonts w:cs="Verdana"/>
                <w:spacing w:val="3"/>
                <w:position w:val="-1"/>
                <w:sz w:val="20"/>
                <w:szCs w:val="20"/>
              </w:rPr>
              <w:t>i</w:t>
            </w:r>
            <w:r w:rsidRPr="00537112">
              <w:rPr>
                <w:rFonts w:cs="Verdana"/>
                <w:spacing w:val="-1"/>
                <w:position w:val="-1"/>
                <w:sz w:val="20"/>
                <w:szCs w:val="20"/>
              </w:rPr>
              <w:t>rre</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0DB83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82</w:t>
            </w:r>
          </w:p>
        </w:tc>
        <w:tc>
          <w:tcPr>
            <w:tcW w:w="3991" w:type="dxa"/>
            <w:tcBorders>
              <w:top w:val="single" w:sz="8" w:space="0" w:color="000000"/>
              <w:left w:val="single" w:sz="8" w:space="0" w:color="000000"/>
              <w:bottom w:val="single" w:sz="8" w:space="0" w:color="000000"/>
              <w:right w:val="single" w:sz="8" w:space="0" w:color="000000"/>
            </w:tcBorders>
          </w:tcPr>
          <w:p w14:paraId="403E67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n</w:t>
            </w:r>
            <w:r w:rsidRPr="00537112">
              <w:rPr>
                <w:rFonts w:cs="Verdana"/>
                <w:spacing w:val="-1"/>
                <w:position w:val="-1"/>
                <w:sz w:val="20"/>
                <w:szCs w:val="20"/>
              </w:rPr>
              <w:t>oce</w:t>
            </w:r>
            <w:r w:rsidRPr="00537112">
              <w:rPr>
                <w:rFonts w:cs="Verdana"/>
                <w:spacing w:val="1"/>
                <w:position w:val="-1"/>
                <w:sz w:val="20"/>
                <w:szCs w:val="20"/>
              </w:rPr>
              <w:t>nt</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16EA62D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FE37F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w:t>
            </w:r>
          </w:p>
        </w:tc>
        <w:tc>
          <w:tcPr>
            <w:tcW w:w="3706" w:type="dxa"/>
            <w:tcBorders>
              <w:top w:val="single" w:sz="8" w:space="0" w:color="000000"/>
              <w:left w:val="single" w:sz="8" w:space="0" w:color="000000"/>
              <w:bottom w:val="single" w:sz="8" w:space="0" w:color="000000"/>
              <w:right w:val="single" w:sz="8" w:space="0" w:color="000000"/>
            </w:tcBorders>
          </w:tcPr>
          <w:p w14:paraId="059732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w:t>
            </w:r>
            <w:r w:rsidRPr="00537112">
              <w:rPr>
                <w:rFonts w:cs="Verdana"/>
                <w:position w:val="-1"/>
                <w:sz w:val="20"/>
                <w:szCs w:val="20"/>
              </w:rPr>
              <w:t>w</w:t>
            </w:r>
            <w:r w:rsidRPr="00537112">
              <w:rPr>
                <w:rFonts w:cs="Verdana"/>
                <w:spacing w:val="3"/>
                <w:position w:val="-1"/>
                <w:sz w:val="20"/>
                <w:szCs w:val="20"/>
              </w:rPr>
              <w:t>i</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4713D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83</w:t>
            </w:r>
          </w:p>
        </w:tc>
        <w:tc>
          <w:tcPr>
            <w:tcW w:w="3991" w:type="dxa"/>
            <w:tcBorders>
              <w:top w:val="single" w:sz="8" w:space="0" w:color="000000"/>
              <w:left w:val="single" w:sz="8" w:space="0" w:color="000000"/>
              <w:bottom w:val="single" w:sz="8" w:space="0" w:color="000000"/>
              <w:right w:val="single" w:sz="8" w:space="0" w:color="000000"/>
            </w:tcBorders>
          </w:tcPr>
          <w:p w14:paraId="574541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position w:val="-1"/>
                <w:sz w:val="20"/>
                <w:szCs w:val="20"/>
              </w:rPr>
              <w:t>a</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ecóc</w:t>
            </w:r>
          </w:p>
        </w:tc>
      </w:tr>
      <w:tr w:rsidR="00537112" w:rsidRPr="00537112" w14:paraId="4C212E3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8DE66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w:t>
            </w:r>
          </w:p>
        </w:tc>
        <w:tc>
          <w:tcPr>
            <w:tcW w:w="3706" w:type="dxa"/>
            <w:tcBorders>
              <w:top w:val="single" w:sz="8" w:space="0" w:color="000000"/>
              <w:left w:val="single" w:sz="8" w:space="0" w:color="000000"/>
              <w:bottom w:val="single" w:sz="8" w:space="0" w:color="000000"/>
              <w:right w:val="single" w:sz="8" w:space="0" w:color="000000"/>
            </w:tcBorders>
          </w:tcPr>
          <w:p w14:paraId="470E8C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g</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42FC7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84</w:t>
            </w:r>
          </w:p>
        </w:tc>
        <w:tc>
          <w:tcPr>
            <w:tcW w:w="3991" w:type="dxa"/>
            <w:tcBorders>
              <w:top w:val="single" w:sz="8" w:space="0" w:color="000000"/>
              <w:left w:val="single" w:sz="8" w:space="0" w:color="000000"/>
              <w:bottom w:val="single" w:sz="8" w:space="0" w:color="000000"/>
              <w:right w:val="single" w:sz="8" w:space="0" w:color="000000"/>
            </w:tcBorders>
          </w:tcPr>
          <w:p w14:paraId="07FB3B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0AEC8D2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FF695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w:t>
            </w:r>
          </w:p>
        </w:tc>
        <w:tc>
          <w:tcPr>
            <w:tcW w:w="3706" w:type="dxa"/>
            <w:tcBorders>
              <w:top w:val="single" w:sz="8" w:space="0" w:color="000000"/>
              <w:left w:val="single" w:sz="8" w:space="0" w:color="000000"/>
              <w:bottom w:val="single" w:sz="8" w:space="0" w:color="000000"/>
              <w:right w:val="single" w:sz="8" w:space="0" w:color="000000"/>
            </w:tcBorders>
          </w:tcPr>
          <w:p w14:paraId="21DCA3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Hor</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2880CA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85</w:t>
            </w:r>
          </w:p>
        </w:tc>
        <w:tc>
          <w:tcPr>
            <w:tcW w:w="3991" w:type="dxa"/>
            <w:tcBorders>
              <w:top w:val="single" w:sz="8" w:space="0" w:color="000000"/>
              <w:left w:val="single" w:sz="8" w:space="0" w:color="000000"/>
              <w:bottom w:val="single" w:sz="8" w:space="0" w:color="000000"/>
              <w:right w:val="single" w:sz="8" w:space="0" w:color="000000"/>
            </w:tcBorders>
          </w:tcPr>
          <w:p w14:paraId="6FE6F90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5BC2E7FA"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FEF3A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w:t>
            </w:r>
          </w:p>
        </w:tc>
        <w:tc>
          <w:tcPr>
            <w:tcW w:w="3706" w:type="dxa"/>
            <w:tcBorders>
              <w:top w:val="single" w:sz="8" w:space="0" w:color="000000"/>
              <w:left w:val="single" w:sz="8" w:space="0" w:color="000000"/>
              <w:bottom w:val="single" w:sz="8" w:space="0" w:color="000000"/>
              <w:right w:val="single" w:sz="8" w:space="0" w:color="000000"/>
            </w:tcBorders>
          </w:tcPr>
          <w:p w14:paraId="07A32E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spacing w:val="1"/>
                <w:position w:val="-1"/>
                <w:sz w:val="20"/>
                <w:szCs w:val="20"/>
              </w:rPr>
              <w:t>n</w:t>
            </w:r>
            <w:r w:rsidRPr="00537112">
              <w:rPr>
                <w:rFonts w:cs="Verdana"/>
                <w:spacing w:val="-1"/>
                <w:position w:val="-1"/>
                <w:sz w:val="20"/>
                <w:szCs w:val="20"/>
              </w:rPr>
              <w:t>e</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A2C05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86</w:t>
            </w:r>
          </w:p>
        </w:tc>
        <w:tc>
          <w:tcPr>
            <w:tcW w:w="3991" w:type="dxa"/>
            <w:tcBorders>
              <w:top w:val="single" w:sz="8" w:space="0" w:color="000000"/>
              <w:left w:val="single" w:sz="8" w:space="0" w:color="000000"/>
              <w:bottom w:val="single" w:sz="8" w:space="0" w:color="000000"/>
              <w:right w:val="single" w:sz="8" w:space="0" w:color="000000"/>
            </w:tcBorders>
          </w:tcPr>
          <w:p w14:paraId="25CA44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8"/>
                <w:position w:val="-1"/>
                <w:sz w:val="20"/>
                <w:szCs w:val="20"/>
              </w:rPr>
              <w:t xml:space="preserve"> </w:t>
            </w:r>
            <w:r w:rsidRPr="00537112">
              <w:rPr>
                <w:rFonts w:cs="Verdana"/>
                <w:position w:val="-1"/>
                <w:sz w:val="20"/>
                <w:szCs w:val="20"/>
              </w:rPr>
              <w:t>Cá</w:t>
            </w:r>
            <w:r w:rsidRPr="00537112">
              <w:rPr>
                <w:rFonts w:cs="Verdana"/>
                <w:spacing w:val="-1"/>
                <w:position w:val="-1"/>
                <w:sz w:val="20"/>
                <w:szCs w:val="20"/>
              </w:rPr>
              <w:t>s</w:t>
            </w:r>
            <w:r w:rsidRPr="00537112">
              <w:rPr>
                <w:rFonts w:cs="Verdana"/>
                <w:spacing w:val="1"/>
                <w:position w:val="-1"/>
                <w:sz w:val="20"/>
                <w:szCs w:val="20"/>
              </w:rPr>
              <w:t>tu</w:t>
            </w:r>
            <w:r w:rsidRPr="00537112">
              <w:rPr>
                <w:rFonts w:cs="Verdana"/>
                <w:spacing w:val="3"/>
                <w:position w:val="-1"/>
                <w:sz w:val="20"/>
                <w:szCs w:val="20"/>
              </w:rPr>
              <w:t>l</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538D749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F4A3E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w:t>
            </w:r>
          </w:p>
        </w:tc>
        <w:tc>
          <w:tcPr>
            <w:tcW w:w="3706" w:type="dxa"/>
            <w:tcBorders>
              <w:top w:val="single" w:sz="8" w:space="0" w:color="000000"/>
              <w:left w:val="single" w:sz="8" w:space="0" w:color="000000"/>
              <w:bottom w:val="single" w:sz="8" w:space="0" w:color="000000"/>
              <w:right w:val="single" w:sz="8" w:space="0" w:color="000000"/>
            </w:tcBorders>
          </w:tcPr>
          <w:p w14:paraId="3E442F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8E0A3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87</w:t>
            </w:r>
          </w:p>
        </w:tc>
        <w:tc>
          <w:tcPr>
            <w:tcW w:w="3991" w:type="dxa"/>
            <w:tcBorders>
              <w:top w:val="single" w:sz="8" w:space="0" w:color="000000"/>
              <w:left w:val="single" w:sz="8" w:space="0" w:color="000000"/>
              <w:bottom w:val="single" w:sz="8" w:space="0" w:color="000000"/>
              <w:right w:val="single" w:sz="8" w:space="0" w:color="000000"/>
            </w:tcBorders>
          </w:tcPr>
          <w:p w14:paraId="3CF665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ú</w:t>
            </w:r>
            <w:r w:rsidRPr="00537112">
              <w:rPr>
                <w:rFonts w:cs="Verdana"/>
                <w:position w:val="-1"/>
                <w:sz w:val="20"/>
                <w:szCs w:val="20"/>
              </w:rPr>
              <w:t>p</w:t>
            </w:r>
          </w:p>
        </w:tc>
      </w:tr>
      <w:tr w:rsidR="00537112" w:rsidRPr="00537112" w14:paraId="1FD9C2D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4BE72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w:t>
            </w:r>
          </w:p>
        </w:tc>
        <w:tc>
          <w:tcPr>
            <w:tcW w:w="3706" w:type="dxa"/>
            <w:tcBorders>
              <w:top w:val="single" w:sz="8" w:space="0" w:color="000000"/>
              <w:left w:val="single" w:sz="8" w:space="0" w:color="000000"/>
              <w:bottom w:val="single" w:sz="8" w:space="0" w:color="000000"/>
              <w:right w:val="single" w:sz="8" w:space="0" w:color="000000"/>
            </w:tcBorders>
          </w:tcPr>
          <w:p w14:paraId="492F71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C14DD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88</w:t>
            </w:r>
          </w:p>
        </w:tc>
        <w:tc>
          <w:tcPr>
            <w:tcW w:w="3991" w:type="dxa"/>
            <w:tcBorders>
              <w:top w:val="single" w:sz="8" w:space="0" w:color="000000"/>
              <w:left w:val="single" w:sz="8" w:space="0" w:color="000000"/>
              <w:bottom w:val="single" w:sz="8" w:space="0" w:color="000000"/>
              <w:right w:val="single" w:sz="8" w:space="0" w:color="000000"/>
            </w:tcBorders>
          </w:tcPr>
          <w:p w14:paraId="07854C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r>
      <w:tr w:rsidR="00537112" w:rsidRPr="00537112" w14:paraId="249C37B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01459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w:t>
            </w:r>
          </w:p>
        </w:tc>
        <w:tc>
          <w:tcPr>
            <w:tcW w:w="3706" w:type="dxa"/>
            <w:tcBorders>
              <w:top w:val="single" w:sz="8" w:space="0" w:color="000000"/>
              <w:left w:val="single" w:sz="8" w:space="0" w:color="000000"/>
              <w:bottom w:val="single" w:sz="8" w:space="0" w:color="000000"/>
              <w:right w:val="single" w:sz="8" w:space="0" w:color="000000"/>
            </w:tcBorders>
          </w:tcPr>
          <w:p w14:paraId="27B54B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712CE3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89</w:t>
            </w:r>
          </w:p>
        </w:tc>
        <w:tc>
          <w:tcPr>
            <w:tcW w:w="3991" w:type="dxa"/>
            <w:tcBorders>
              <w:top w:val="single" w:sz="8" w:space="0" w:color="000000"/>
              <w:left w:val="single" w:sz="8" w:space="0" w:color="000000"/>
              <w:bottom w:val="single" w:sz="8" w:space="0" w:color="000000"/>
              <w:right w:val="single" w:sz="8" w:space="0" w:color="000000"/>
            </w:tcBorders>
          </w:tcPr>
          <w:p w14:paraId="62279C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02BF13F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812FA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w:t>
            </w:r>
          </w:p>
        </w:tc>
        <w:tc>
          <w:tcPr>
            <w:tcW w:w="3706" w:type="dxa"/>
            <w:tcBorders>
              <w:top w:val="single" w:sz="8" w:space="0" w:color="000000"/>
              <w:left w:val="single" w:sz="8" w:space="0" w:color="000000"/>
              <w:bottom w:val="single" w:sz="8" w:space="0" w:color="000000"/>
              <w:right w:val="single" w:sz="8" w:space="0" w:color="000000"/>
            </w:tcBorders>
          </w:tcPr>
          <w:p w14:paraId="2B1419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D1FD0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90</w:t>
            </w:r>
          </w:p>
        </w:tc>
        <w:tc>
          <w:tcPr>
            <w:tcW w:w="3991" w:type="dxa"/>
            <w:tcBorders>
              <w:top w:val="single" w:sz="8" w:space="0" w:color="000000"/>
              <w:left w:val="single" w:sz="8" w:space="0" w:color="000000"/>
              <w:bottom w:val="single" w:sz="8" w:space="0" w:color="000000"/>
              <w:right w:val="single" w:sz="8" w:space="0" w:color="000000"/>
            </w:tcBorders>
          </w:tcPr>
          <w:p w14:paraId="088F76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0FB1C8E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76D68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36</w:t>
            </w:r>
          </w:p>
        </w:tc>
        <w:tc>
          <w:tcPr>
            <w:tcW w:w="3706" w:type="dxa"/>
            <w:tcBorders>
              <w:top w:val="single" w:sz="8" w:space="0" w:color="000000"/>
              <w:left w:val="single" w:sz="8" w:space="0" w:color="000000"/>
              <w:bottom w:val="single" w:sz="8" w:space="0" w:color="000000"/>
              <w:right w:val="single" w:sz="8" w:space="0" w:color="000000"/>
            </w:tcBorders>
          </w:tcPr>
          <w:p w14:paraId="3B3FC64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8A757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91</w:t>
            </w:r>
          </w:p>
        </w:tc>
        <w:tc>
          <w:tcPr>
            <w:tcW w:w="3991" w:type="dxa"/>
            <w:tcBorders>
              <w:top w:val="single" w:sz="8" w:space="0" w:color="000000"/>
              <w:left w:val="single" w:sz="8" w:space="0" w:color="000000"/>
              <w:bottom w:val="single" w:sz="8" w:space="0" w:color="000000"/>
              <w:right w:val="single" w:sz="8" w:space="0" w:color="000000"/>
            </w:tcBorders>
          </w:tcPr>
          <w:p w14:paraId="66D4E0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Ta</w:t>
            </w:r>
            <w:r w:rsidRPr="00537112">
              <w:rPr>
                <w:rFonts w:cs="Verdana"/>
                <w:spacing w:val="-1"/>
                <w:position w:val="-1"/>
                <w:sz w:val="20"/>
                <w:szCs w:val="20"/>
              </w:rPr>
              <w:t>rc</w:t>
            </w:r>
            <w:r w:rsidRPr="00537112">
              <w:rPr>
                <w:rFonts w:cs="Verdana"/>
                <w:spacing w:val="3"/>
                <w:position w:val="-1"/>
                <w:sz w:val="20"/>
                <w:szCs w:val="20"/>
              </w:rPr>
              <w:t>il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029069B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27424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37</w:t>
            </w:r>
          </w:p>
        </w:tc>
        <w:tc>
          <w:tcPr>
            <w:tcW w:w="3706" w:type="dxa"/>
            <w:tcBorders>
              <w:top w:val="single" w:sz="8" w:space="0" w:color="000000"/>
              <w:left w:val="single" w:sz="8" w:space="0" w:color="000000"/>
              <w:bottom w:val="single" w:sz="8" w:space="0" w:color="000000"/>
              <w:right w:val="single" w:sz="8" w:space="0" w:color="000000"/>
            </w:tcBorders>
          </w:tcPr>
          <w:p w14:paraId="2C98B9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7A134F7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92</w:t>
            </w:r>
          </w:p>
        </w:tc>
        <w:tc>
          <w:tcPr>
            <w:tcW w:w="3991" w:type="dxa"/>
            <w:tcBorders>
              <w:top w:val="single" w:sz="8" w:space="0" w:color="000000"/>
              <w:left w:val="single" w:sz="8" w:space="0" w:color="000000"/>
              <w:bottom w:val="single" w:sz="8" w:space="0" w:color="000000"/>
              <w:right w:val="single" w:sz="8" w:space="0" w:color="000000"/>
            </w:tcBorders>
          </w:tcPr>
          <w:p w14:paraId="51DC11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42D754D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933D0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38</w:t>
            </w:r>
          </w:p>
        </w:tc>
        <w:tc>
          <w:tcPr>
            <w:tcW w:w="3706" w:type="dxa"/>
            <w:tcBorders>
              <w:top w:val="single" w:sz="8" w:space="0" w:color="000000"/>
              <w:left w:val="single" w:sz="8" w:space="0" w:color="000000"/>
              <w:bottom w:val="single" w:sz="8" w:space="0" w:color="000000"/>
              <w:right w:val="single" w:sz="8" w:space="0" w:color="000000"/>
            </w:tcBorders>
          </w:tcPr>
          <w:p w14:paraId="53DBE5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up</w:t>
            </w:r>
            <w:r w:rsidRPr="00537112">
              <w:rPr>
                <w:rFonts w:cs="Verdana"/>
                <w:position w:val="-1"/>
                <w:sz w:val="20"/>
                <w:szCs w:val="20"/>
              </w:rPr>
              <w:t>e</w:t>
            </w:r>
            <w:r w:rsidRPr="00537112">
              <w:rPr>
                <w:rFonts w:cs="Verdana"/>
                <w:spacing w:val="-13"/>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5F71CD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93</w:t>
            </w:r>
          </w:p>
        </w:tc>
        <w:tc>
          <w:tcPr>
            <w:tcW w:w="3991" w:type="dxa"/>
            <w:tcBorders>
              <w:top w:val="single" w:sz="8" w:space="0" w:color="000000"/>
              <w:left w:val="single" w:sz="8" w:space="0" w:color="000000"/>
              <w:bottom w:val="single" w:sz="8" w:space="0" w:color="000000"/>
              <w:right w:val="single" w:sz="8" w:space="0" w:color="000000"/>
            </w:tcBorders>
          </w:tcPr>
          <w:p w14:paraId="64198A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ia</w:t>
            </w:r>
          </w:p>
        </w:tc>
      </w:tr>
      <w:tr w:rsidR="00537112" w:rsidRPr="00537112" w14:paraId="63FD025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9DE8A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39</w:t>
            </w:r>
          </w:p>
        </w:tc>
        <w:tc>
          <w:tcPr>
            <w:tcW w:w="3706" w:type="dxa"/>
            <w:tcBorders>
              <w:top w:val="single" w:sz="8" w:space="0" w:color="000000"/>
              <w:left w:val="single" w:sz="8" w:space="0" w:color="000000"/>
              <w:bottom w:val="single" w:sz="8" w:space="0" w:color="000000"/>
              <w:right w:val="single" w:sz="8" w:space="0" w:color="000000"/>
            </w:tcBorders>
          </w:tcPr>
          <w:p w14:paraId="4967EA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2AB01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94</w:t>
            </w:r>
          </w:p>
        </w:tc>
        <w:tc>
          <w:tcPr>
            <w:tcW w:w="3991" w:type="dxa"/>
            <w:tcBorders>
              <w:top w:val="single" w:sz="8" w:space="0" w:color="000000"/>
              <w:left w:val="single" w:sz="8" w:space="0" w:color="000000"/>
              <w:bottom w:val="single" w:sz="8" w:space="0" w:color="000000"/>
              <w:right w:val="single" w:sz="8" w:space="0" w:color="000000"/>
            </w:tcBorders>
          </w:tcPr>
          <w:p w14:paraId="655409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Ya</w:t>
            </w:r>
            <w:r w:rsidRPr="00537112">
              <w:rPr>
                <w:rFonts w:cs="Verdana"/>
                <w:spacing w:val="1"/>
                <w:position w:val="-1"/>
                <w:sz w:val="20"/>
                <w:szCs w:val="20"/>
              </w:rPr>
              <w:t>n</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h</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ia</w:t>
            </w:r>
          </w:p>
        </w:tc>
      </w:tr>
      <w:tr w:rsidR="00537112" w:rsidRPr="00537112" w14:paraId="03EED53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C4F75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40</w:t>
            </w:r>
          </w:p>
        </w:tc>
        <w:tc>
          <w:tcPr>
            <w:tcW w:w="3706" w:type="dxa"/>
            <w:tcBorders>
              <w:top w:val="single" w:sz="8" w:space="0" w:color="000000"/>
              <w:left w:val="single" w:sz="8" w:space="0" w:color="000000"/>
              <w:bottom w:val="single" w:sz="8" w:space="0" w:color="000000"/>
              <w:right w:val="single" w:sz="8" w:space="0" w:color="000000"/>
            </w:tcBorders>
          </w:tcPr>
          <w:p w14:paraId="0F6474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BDB1B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95</w:t>
            </w:r>
          </w:p>
        </w:tc>
        <w:tc>
          <w:tcPr>
            <w:tcW w:w="3991" w:type="dxa"/>
            <w:tcBorders>
              <w:top w:val="single" w:sz="8" w:space="0" w:color="000000"/>
              <w:left w:val="single" w:sz="8" w:space="0" w:color="000000"/>
              <w:bottom w:val="single" w:sz="8" w:space="0" w:color="000000"/>
              <w:right w:val="single" w:sz="8" w:space="0" w:color="000000"/>
            </w:tcBorders>
          </w:tcPr>
          <w:p w14:paraId="3FB453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é</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1318FB4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C75EB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41</w:t>
            </w:r>
          </w:p>
        </w:tc>
        <w:tc>
          <w:tcPr>
            <w:tcW w:w="3706" w:type="dxa"/>
            <w:tcBorders>
              <w:top w:val="single" w:sz="8" w:space="0" w:color="000000"/>
              <w:left w:val="single" w:sz="8" w:space="0" w:color="000000"/>
              <w:bottom w:val="single" w:sz="8" w:space="0" w:color="000000"/>
              <w:right w:val="single" w:sz="8" w:space="0" w:color="000000"/>
            </w:tcBorders>
          </w:tcPr>
          <w:p w14:paraId="52CA36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329A44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96</w:t>
            </w:r>
          </w:p>
        </w:tc>
        <w:tc>
          <w:tcPr>
            <w:tcW w:w="3991" w:type="dxa"/>
            <w:tcBorders>
              <w:top w:val="single" w:sz="8" w:space="0" w:color="000000"/>
              <w:left w:val="single" w:sz="8" w:space="0" w:color="000000"/>
              <w:bottom w:val="single" w:sz="8" w:space="0" w:color="000000"/>
              <w:right w:val="single" w:sz="8" w:space="0" w:color="000000"/>
            </w:tcBorders>
          </w:tcPr>
          <w:p w14:paraId="634618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c</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46B2493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06C1F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42</w:t>
            </w:r>
          </w:p>
        </w:tc>
        <w:tc>
          <w:tcPr>
            <w:tcW w:w="3706" w:type="dxa"/>
            <w:tcBorders>
              <w:top w:val="single" w:sz="8" w:space="0" w:color="000000"/>
              <w:left w:val="single" w:sz="8" w:space="0" w:color="000000"/>
              <w:bottom w:val="single" w:sz="8" w:space="0" w:color="000000"/>
              <w:right w:val="single" w:sz="8" w:space="0" w:color="000000"/>
            </w:tcBorders>
          </w:tcPr>
          <w:p w14:paraId="0F02E8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Y</w:t>
            </w:r>
            <w:r w:rsidRPr="00537112">
              <w:rPr>
                <w:rFonts w:cs="Verdana"/>
                <w:spacing w:val="-1"/>
                <w:position w:val="-1"/>
                <w:sz w:val="20"/>
                <w:szCs w:val="20"/>
              </w:rPr>
              <w:t>esce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7D8CD1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97</w:t>
            </w:r>
          </w:p>
        </w:tc>
        <w:tc>
          <w:tcPr>
            <w:tcW w:w="3991" w:type="dxa"/>
            <w:tcBorders>
              <w:top w:val="single" w:sz="8" w:space="0" w:color="000000"/>
              <w:left w:val="single" w:sz="8" w:space="0" w:color="000000"/>
              <w:bottom w:val="single" w:sz="8" w:space="0" w:color="000000"/>
              <w:right w:val="single" w:sz="8" w:space="0" w:color="000000"/>
            </w:tcBorders>
          </w:tcPr>
          <w:p w14:paraId="1E5F3C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26D20F7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0AF7E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43</w:t>
            </w:r>
          </w:p>
        </w:tc>
        <w:tc>
          <w:tcPr>
            <w:tcW w:w="3706" w:type="dxa"/>
            <w:tcBorders>
              <w:top w:val="single" w:sz="8" w:space="0" w:color="000000"/>
              <w:left w:val="single" w:sz="8" w:space="0" w:color="000000"/>
              <w:bottom w:val="single" w:sz="8" w:space="0" w:color="000000"/>
              <w:right w:val="single" w:sz="8" w:space="0" w:color="000000"/>
            </w:tcBorders>
          </w:tcPr>
          <w:p w14:paraId="27828B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1"/>
                <w:position w:val="-1"/>
                <w:sz w:val="20"/>
                <w:szCs w:val="20"/>
              </w:rPr>
              <w:t>ug</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3"/>
                <w:position w:val="-1"/>
                <w:sz w:val="20"/>
                <w:szCs w:val="20"/>
              </w:rPr>
              <w:t>l</w:t>
            </w:r>
            <w:r w:rsidRPr="00537112">
              <w:rPr>
                <w:rFonts w:cs="Verdana"/>
                <w:spacing w:val="1"/>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1"/>
                <w:position w:val="-1"/>
                <w:sz w:val="20"/>
                <w:szCs w:val="20"/>
              </w:rPr>
              <w:t>er</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61FB6B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98</w:t>
            </w:r>
          </w:p>
        </w:tc>
        <w:tc>
          <w:tcPr>
            <w:tcW w:w="3991" w:type="dxa"/>
            <w:tcBorders>
              <w:top w:val="single" w:sz="8" w:space="0" w:color="000000"/>
              <w:left w:val="single" w:sz="8" w:space="0" w:color="000000"/>
              <w:bottom w:val="single" w:sz="8" w:space="0" w:color="000000"/>
              <w:right w:val="single" w:sz="8" w:space="0" w:color="000000"/>
            </w:tcBorders>
          </w:tcPr>
          <w:p w14:paraId="19B0985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nz</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139F4FD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3A8F0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44</w:t>
            </w:r>
          </w:p>
        </w:tc>
        <w:tc>
          <w:tcPr>
            <w:tcW w:w="3706" w:type="dxa"/>
            <w:tcBorders>
              <w:top w:val="single" w:sz="8" w:space="0" w:color="000000"/>
              <w:left w:val="single" w:sz="8" w:space="0" w:color="000000"/>
              <w:bottom w:val="single" w:sz="8" w:space="0" w:color="000000"/>
              <w:right w:val="single" w:sz="8" w:space="0" w:color="000000"/>
            </w:tcBorders>
          </w:tcPr>
          <w:p w14:paraId="632D79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Au</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x</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292393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99</w:t>
            </w:r>
          </w:p>
        </w:tc>
        <w:tc>
          <w:tcPr>
            <w:tcW w:w="3991" w:type="dxa"/>
            <w:tcBorders>
              <w:top w:val="single" w:sz="8" w:space="0" w:color="000000"/>
              <w:left w:val="single" w:sz="8" w:space="0" w:color="000000"/>
              <w:bottom w:val="single" w:sz="8" w:space="0" w:color="000000"/>
              <w:right w:val="single" w:sz="8" w:space="0" w:color="000000"/>
            </w:tcBorders>
          </w:tcPr>
          <w:p w14:paraId="1EAAA5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4B6C279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1C60D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45</w:t>
            </w:r>
          </w:p>
        </w:tc>
        <w:tc>
          <w:tcPr>
            <w:tcW w:w="3706" w:type="dxa"/>
            <w:tcBorders>
              <w:top w:val="single" w:sz="8" w:space="0" w:color="000000"/>
              <w:left w:val="single" w:sz="8" w:space="0" w:color="000000"/>
              <w:bottom w:val="single" w:sz="8" w:space="0" w:color="000000"/>
              <w:right w:val="single" w:sz="8" w:space="0" w:color="000000"/>
            </w:tcBorders>
          </w:tcPr>
          <w:p w14:paraId="05FEA6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53EDA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100</w:t>
            </w:r>
          </w:p>
        </w:tc>
        <w:tc>
          <w:tcPr>
            <w:tcW w:w="3991" w:type="dxa"/>
            <w:tcBorders>
              <w:top w:val="single" w:sz="8" w:space="0" w:color="000000"/>
              <w:left w:val="single" w:sz="8" w:space="0" w:color="000000"/>
              <w:bottom w:val="single" w:sz="8" w:space="0" w:color="000000"/>
              <w:right w:val="single" w:sz="8" w:space="0" w:color="000000"/>
            </w:tcBorders>
          </w:tcPr>
          <w:p w14:paraId="2756E3C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7555F66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F37F3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46</w:t>
            </w:r>
          </w:p>
        </w:tc>
        <w:tc>
          <w:tcPr>
            <w:tcW w:w="3706" w:type="dxa"/>
            <w:tcBorders>
              <w:top w:val="single" w:sz="8" w:space="0" w:color="000000"/>
              <w:left w:val="single" w:sz="8" w:space="0" w:color="000000"/>
              <w:bottom w:val="single" w:sz="8" w:space="0" w:color="000000"/>
              <w:right w:val="single" w:sz="8" w:space="0" w:color="000000"/>
            </w:tcBorders>
          </w:tcPr>
          <w:p w14:paraId="7078A9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00FC2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101</w:t>
            </w:r>
          </w:p>
        </w:tc>
        <w:tc>
          <w:tcPr>
            <w:tcW w:w="3991" w:type="dxa"/>
            <w:tcBorders>
              <w:top w:val="single" w:sz="8" w:space="0" w:color="000000"/>
              <w:left w:val="single" w:sz="8" w:space="0" w:color="000000"/>
              <w:bottom w:val="single" w:sz="8" w:space="0" w:color="000000"/>
              <w:right w:val="single" w:sz="8" w:space="0" w:color="000000"/>
            </w:tcBorders>
          </w:tcPr>
          <w:p w14:paraId="57A879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6F442A48"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DDBB9F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47</w:t>
            </w:r>
          </w:p>
        </w:tc>
        <w:tc>
          <w:tcPr>
            <w:tcW w:w="3706" w:type="dxa"/>
            <w:tcBorders>
              <w:top w:val="single" w:sz="8" w:space="0" w:color="000000"/>
              <w:left w:val="single" w:sz="8" w:space="0" w:color="000000"/>
              <w:bottom w:val="single" w:sz="8" w:space="0" w:color="000000"/>
              <w:right w:val="single" w:sz="8" w:space="0" w:color="000000"/>
            </w:tcBorders>
          </w:tcPr>
          <w:p w14:paraId="717946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or</w:t>
            </w:r>
            <w:r w:rsidRPr="00537112">
              <w:rPr>
                <w:rFonts w:cs="Verdana"/>
                <w:spacing w:val="1"/>
                <w:position w:val="-1"/>
                <w:sz w:val="20"/>
                <w:szCs w:val="20"/>
              </w:rPr>
              <w:t>g</w:t>
            </w:r>
            <w:r w:rsidRPr="00537112">
              <w:rPr>
                <w:rFonts w:cs="Verdana"/>
                <w:position w:val="-1"/>
                <w:sz w:val="20"/>
                <w:szCs w:val="20"/>
              </w:rPr>
              <w:t>e</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496DC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102</w:t>
            </w:r>
          </w:p>
        </w:tc>
        <w:tc>
          <w:tcPr>
            <w:tcW w:w="3991" w:type="dxa"/>
            <w:tcBorders>
              <w:top w:val="single" w:sz="8" w:space="0" w:color="000000"/>
              <w:left w:val="single" w:sz="8" w:space="0" w:color="000000"/>
              <w:bottom w:val="single" w:sz="8" w:space="0" w:color="000000"/>
              <w:right w:val="single" w:sz="8" w:space="0" w:color="000000"/>
            </w:tcBorders>
          </w:tcPr>
          <w:p w14:paraId="3AA1E1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2BF0B99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516F5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48</w:t>
            </w:r>
          </w:p>
        </w:tc>
        <w:tc>
          <w:tcPr>
            <w:tcW w:w="3706" w:type="dxa"/>
            <w:tcBorders>
              <w:top w:val="single" w:sz="8" w:space="0" w:color="000000"/>
              <w:left w:val="single" w:sz="8" w:space="0" w:color="000000"/>
              <w:bottom w:val="single" w:sz="8" w:space="0" w:color="000000"/>
              <w:right w:val="single" w:sz="8" w:space="0" w:color="000000"/>
            </w:tcBorders>
          </w:tcPr>
          <w:p w14:paraId="7CD81E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0A164E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103</w:t>
            </w:r>
          </w:p>
        </w:tc>
        <w:tc>
          <w:tcPr>
            <w:tcW w:w="3991" w:type="dxa"/>
            <w:tcBorders>
              <w:top w:val="single" w:sz="8" w:space="0" w:color="000000"/>
              <w:left w:val="single" w:sz="8" w:space="0" w:color="000000"/>
              <w:bottom w:val="single" w:sz="8" w:space="0" w:color="000000"/>
              <w:right w:val="single" w:sz="8" w:space="0" w:color="000000"/>
            </w:tcBorders>
          </w:tcPr>
          <w:p w14:paraId="14C385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3C2D932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D0C2D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49</w:t>
            </w:r>
          </w:p>
        </w:tc>
        <w:tc>
          <w:tcPr>
            <w:tcW w:w="3706" w:type="dxa"/>
            <w:tcBorders>
              <w:top w:val="single" w:sz="8" w:space="0" w:color="000000"/>
              <w:left w:val="single" w:sz="8" w:space="0" w:color="000000"/>
              <w:bottom w:val="single" w:sz="8" w:space="0" w:color="000000"/>
              <w:right w:val="single" w:sz="8" w:space="0" w:color="000000"/>
            </w:tcBorders>
          </w:tcPr>
          <w:p w14:paraId="6744B1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515DAB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104</w:t>
            </w:r>
          </w:p>
        </w:tc>
        <w:tc>
          <w:tcPr>
            <w:tcW w:w="3991" w:type="dxa"/>
            <w:tcBorders>
              <w:top w:val="single" w:sz="8" w:space="0" w:color="000000"/>
              <w:left w:val="single" w:sz="8" w:space="0" w:color="000000"/>
              <w:bottom w:val="single" w:sz="8" w:space="0" w:color="000000"/>
              <w:right w:val="single" w:sz="8" w:space="0" w:color="000000"/>
            </w:tcBorders>
          </w:tcPr>
          <w:p w14:paraId="117E7A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dg</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67028DF8"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B7425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50</w:t>
            </w:r>
          </w:p>
        </w:tc>
        <w:tc>
          <w:tcPr>
            <w:tcW w:w="3706" w:type="dxa"/>
            <w:tcBorders>
              <w:top w:val="single" w:sz="8" w:space="0" w:color="000000"/>
              <w:left w:val="single" w:sz="8" w:space="0" w:color="000000"/>
              <w:bottom w:val="single" w:sz="8" w:space="0" w:color="000000"/>
              <w:right w:val="single" w:sz="8" w:space="0" w:color="000000"/>
            </w:tcBorders>
          </w:tcPr>
          <w:p w14:paraId="71BD44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position w:val="-1"/>
                <w:sz w:val="20"/>
                <w:szCs w:val="20"/>
              </w:rPr>
              <w:t>s</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é</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05053C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105</w:t>
            </w:r>
          </w:p>
        </w:tc>
        <w:tc>
          <w:tcPr>
            <w:tcW w:w="3991" w:type="dxa"/>
            <w:tcBorders>
              <w:top w:val="single" w:sz="8" w:space="0" w:color="000000"/>
              <w:left w:val="single" w:sz="8" w:space="0" w:color="000000"/>
              <w:bottom w:val="single" w:sz="8" w:space="0" w:color="000000"/>
              <w:right w:val="single" w:sz="8" w:space="0" w:color="000000"/>
            </w:tcBorders>
          </w:tcPr>
          <w:p w14:paraId="34E8EE1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53164BA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80D43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51</w:t>
            </w:r>
          </w:p>
        </w:tc>
        <w:tc>
          <w:tcPr>
            <w:tcW w:w="3706" w:type="dxa"/>
            <w:tcBorders>
              <w:top w:val="single" w:sz="8" w:space="0" w:color="000000"/>
              <w:left w:val="single" w:sz="8" w:space="0" w:color="000000"/>
              <w:bottom w:val="single" w:sz="8" w:space="0" w:color="000000"/>
              <w:right w:val="single" w:sz="8" w:space="0" w:color="000000"/>
            </w:tcBorders>
          </w:tcPr>
          <w:p w14:paraId="5FF5A2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D61B9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106</w:t>
            </w:r>
          </w:p>
        </w:tc>
        <w:tc>
          <w:tcPr>
            <w:tcW w:w="3991" w:type="dxa"/>
            <w:tcBorders>
              <w:top w:val="single" w:sz="8" w:space="0" w:color="000000"/>
              <w:left w:val="single" w:sz="8" w:space="0" w:color="000000"/>
              <w:bottom w:val="single" w:sz="8" w:space="0" w:color="000000"/>
              <w:right w:val="single" w:sz="8" w:space="0" w:color="000000"/>
            </w:tcBorders>
          </w:tcPr>
          <w:p w14:paraId="590C97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1CC997E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96133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52</w:t>
            </w:r>
          </w:p>
        </w:tc>
        <w:tc>
          <w:tcPr>
            <w:tcW w:w="3706" w:type="dxa"/>
            <w:tcBorders>
              <w:top w:val="single" w:sz="8" w:space="0" w:color="000000"/>
              <w:left w:val="single" w:sz="8" w:space="0" w:color="000000"/>
              <w:bottom w:val="single" w:sz="8" w:space="0" w:color="000000"/>
              <w:right w:val="single" w:sz="8" w:space="0" w:color="000000"/>
            </w:tcBorders>
          </w:tcPr>
          <w:p w14:paraId="40F68D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b</w:t>
            </w:r>
            <w:r w:rsidRPr="00537112">
              <w:rPr>
                <w:rFonts w:cs="Verdana"/>
                <w:spacing w:val="-1"/>
                <w:position w:val="-1"/>
                <w:sz w:val="20"/>
                <w:szCs w:val="20"/>
              </w:rPr>
              <w:t>oy</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4DAE0D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107</w:t>
            </w:r>
          </w:p>
        </w:tc>
        <w:tc>
          <w:tcPr>
            <w:tcW w:w="3991" w:type="dxa"/>
            <w:tcBorders>
              <w:top w:val="single" w:sz="8" w:space="0" w:color="000000"/>
              <w:left w:val="single" w:sz="8" w:space="0" w:color="000000"/>
              <w:bottom w:val="single" w:sz="8" w:space="0" w:color="000000"/>
              <w:right w:val="single" w:sz="8" w:space="0" w:color="000000"/>
            </w:tcBorders>
          </w:tcPr>
          <w:p w14:paraId="293CCE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3"/>
                <w:position w:val="-1"/>
                <w:sz w:val="20"/>
                <w:szCs w:val="20"/>
              </w:rPr>
              <w:t>li</w:t>
            </w:r>
            <w:r w:rsidRPr="00537112">
              <w:rPr>
                <w:rFonts w:cs="Verdana"/>
                <w:position w:val="-1"/>
                <w:sz w:val="20"/>
                <w:szCs w:val="20"/>
              </w:rPr>
              <w:t>v</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0227D80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CD454B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53</w:t>
            </w:r>
          </w:p>
        </w:tc>
        <w:tc>
          <w:tcPr>
            <w:tcW w:w="3706" w:type="dxa"/>
            <w:tcBorders>
              <w:top w:val="single" w:sz="8" w:space="0" w:color="000000"/>
              <w:left w:val="single" w:sz="8" w:space="0" w:color="000000"/>
              <w:bottom w:val="single" w:sz="8" w:space="0" w:color="000000"/>
              <w:right w:val="single" w:sz="8" w:space="0" w:color="000000"/>
            </w:tcBorders>
          </w:tcPr>
          <w:p w14:paraId="78C424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l</w:t>
            </w:r>
            <w:r w:rsidRPr="00537112">
              <w:rPr>
                <w:rFonts w:cs="Verdana"/>
                <w:spacing w:val="-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17BB87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108</w:t>
            </w:r>
          </w:p>
        </w:tc>
        <w:tc>
          <w:tcPr>
            <w:tcW w:w="3991" w:type="dxa"/>
            <w:tcBorders>
              <w:top w:val="single" w:sz="8" w:space="0" w:color="000000"/>
              <w:left w:val="single" w:sz="8" w:space="0" w:color="000000"/>
              <w:bottom w:val="single" w:sz="8" w:space="0" w:color="000000"/>
              <w:right w:val="single" w:sz="8" w:space="0" w:color="000000"/>
            </w:tcBorders>
          </w:tcPr>
          <w:p w14:paraId="10575A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7E2EB62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D9877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54</w:t>
            </w:r>
          </w:p>
        </w:tc>
        <w:tc>
          <w:tcPr>
            <w:tcW w:w="3706" w:type="dxa"/>
            <w:tcBorders>
              <w:top w:val="single" w:sz="8" w:space="0" w:color="000000"/>
              <w:left w:val="single" w:sz="8" w:space="0" w:color="000000"/>
              <w:bottom w:val="single" w:sz="8" w:space="0" w:color="000000"/>
              <w:right w:val="single" w:sz="8" w:space="0" w:color="000000"/>
            </w:tcBorders>
          </w:tcPr>
          <w:p w14:paraId="6D3381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N</w:t>
            </w:r>
            <w:r w:rsidRPr="00537112">
              <w:rPr>
                <w:rFonts w:cs="Verdana"/>
                <w:spacing w:val="3"/>
                <w:position w:val="-1"/>
                <w:sz w:val="20"/>
                <w:szCs w:val="20"/>
              </w:rPr>
              <w:t>i</w:t>
            </w:r>
            <w:r w:rsidRPr="00537112">
              <w:rPr>
                <w:rFonts w:cs="Verdana"/>
                <w:spacing w:val="-1"/>
                <w:position w:val="-1"/>
                <w:sz w:val="20"/>
                <w:szCs w:val="20"/>
              </w:rPr>
              <w:t>co</w:t>
            </w:r>
            <w:r w:rsidRPr="00537112">
              <w:rPr>
                <w:rFonts w:cs="Verdana"/>
                <w:spacing w:val="3"/>
                <w:position w:val="-1"/>
                <w:sz w:val="20"/>
                <w:szCs w:val="20"/>
              </w:rPr>
              <w:t>l</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C06E2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109</w:t>
            </w:r>
          </w:p>
        </w:tc>
        <w:tc>
          <w:tcPr>
            <w:tcW w:w="3991" w:type="dxa"/>
            <w:tcBorders>
              <w:top w:val="single" w:sz="8" w:space="0" w:color="000000"/>
              <w:left w:val="single" w:sz="8" w:space="0" w:color="000000"/>
              <w:bottom w:val="single" w:sz="8" w:space="0" w:color="000000"/>
              <w:right w:val="single" w:sz="8" w:space="0" w:color="000000"/>
            </w:tcBorders>
          </w:tcPr>
          <w:p w14:paraId="5F2735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r</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8E0CE3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10F4E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55</w:t>
            </w:r>
          </w:p>
        </w:tc>
        <w:tc>
          <w:tcPr>
            <w:tcW w:w="3706" w:type="dxa"/>
            <w:tcBorders>
              <w:top w:val="single" w:sz="8" w:space="0" w:color="000000"/>
              <w:left w:val="single" w:sz="8" w:space="0" w:color="000000"/>
              <w:bottom w:val="single" w:sz="8" w:space="0" w:color="000000"/>
              <w:right w:val="single" w:sz="8" w:space="0" w:color="000000"/>
            </w:tcBorders>
          </w:tcPr>
          <w:p w14:paraId="233FF4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c>
          <w:tcPr>
            <w:tcW w:w="583" w:type="dxa"/>
            <w:tcBorders>
              <w:top w:val="single" w:sz="8" w:space="0" w:color="000000"/>
              <w:left w:val="single" w:sz="8" w:space="0" w:color="000000"/>
              <w:bottom w:val="single" w:sz="8" w:space="0" w:color="000000"/>
              <w:right w:val="single" w:sz="8" w:space="0" w:color="000000"/>
            </w:tcBorders>
            <w:shd w:val="clear" w:color="auto" w:fill="C0C0C0"/>
          </w:tcPr>
          <w:p w14:paraId="678EE5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110</w:t>
            </w:r>
          </w:p>
        </w:tc>
        <w:tc>
          <w:tcPr>
            <w:tcW w:w="3991" w:type="dxa"/>
            <w:tcBorders>
              <w:top w:val="single" w:sz="8" w:space="0" w:color="000000"/>
              <w:left w:val="single" w:sz="8" w:space="0" w:color="000000"/>
              <w:bottom w:val="single" w:sz="8" w:space="0" w:color="000000"/>
              <w:right w:val="single" w:sz="8" w:space="0" w:color="000000"/>
            </w:tcBorders>
          </w:tcPr>
          <w:p w14:paraId="701035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a</w:t>
            </w:r>
            <w:r w:rsidRPr="00537112">
              <w:rPr>
                <w:rFonts w:cs="Verdana"/>
                <w:spacing w:val="1"/>
                <w:position w:val="-1"/>
                <w:sz w:val="20"/>
                <w:szCs w:val="20"/>
              </w:rPr>
              <w:t>qu</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bl>
    <w:p w14:paraId="235494C3"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headerReference w:type="default" r:id="rId17"/>
          <w:pgSz w:w="12260" w:h="15840"/>
          <w:pgMar w:top="600" w:right="1720" w:bottom="280" w:left="1340" w:header="0" w:footer="0" w:gutter="0"/>
          <w:cols w:space="720" w:equalWidth="0">
            <w:col w:w="9200"/>
          </w:cols>
          <w:noEndnote/>
        </w:sectPr>
      </w:pPr>
    </w:p>
    <w:p w14:paraId="7EDBC2D2" w14:textId="77777777" w:rsidR="00537112" w:rsidRPr="00537112" w:rsidRDefault="00537112" w:rsidP="00537112">
      <w:pPr>
        <w:autoSpaceDE w:val="0"/>
        <w:autoSpaceDN w:val="0"/>
        <w:spacing w:before="9" w:line="80" w:lineRule="exact"/>
        <w:jc w:val="left"/>
        <w:textAlignment w:val="auto"/>
        <w:rPr>
          <w:rFonts w:ascii="Times New Roman" w:hAnsi="Times New Roman"/>
          <w:sz w:val="8"/>
          <w:szCs w:val="8"/>
        </w:rPr>
      </w:pPr>
    </w:p>
    <w:tbl>
      <w:tblPr>
        <w:tblW w:w="0" w:type="auto"/>
        <w:tblInd w:w="113" w:type="dxa"/>
        <w:tblLayout w:type="fixed"/>
        <w:tblCellMar>
          <w:left w:w="0" w:type="dxa"/>
          <w:right w:w="0" w:type="dxa"/>
        </w:tblCellMar>
        <w:tblLook w:val="0000" w:firstRow="0" w:lastRow="0" w:firstColumn="0" w:lastColumn="0" w:noHBand="0" w:noVBand="0"/>
      </w:tblPr>
      <w:tblGrid>
        <w:gridCol w:w="569"/>
        <w:gridCol w:w="3705"/>
        <w:gridCol w:w="584"/>
        <w:gridCol w:w="3991"/>
      </w:tblGrid>
      <w:tr w:rsidR="00537112" w:rsidRPr="00537112" w14:paraId="6A3E8A1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FCDE5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111</w:t>
            </w:r>
          </w:p>
        </w:tc>
        <w:tc>
          <w:tcPr>
            <w:tcW w:w="3705" w:type="dxa"/>
            <w:tcBorders>
              <w:top w:val="single" w:sz="8" w:space="0" w:color="000000"/>
              <w:left w:val="single" w:sz="8" w:space="0" w:color="000000"/>
              <w:bottom w:val="single" w:sz="8" w:space="0" w:color="000000"/>
              <w:right w:val="single" w:sz="8" w:space="0" w:color="000000"/>
            </w:tcBorders>
          </w:tcPr>
          <w:p w14:paraId="28DCF4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F9E37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169</w:t>
            </w:r>
          </w:p>
        </w:tc>
        <w:tc>
          <w:tcPr>
            <w:tcW w:w="3991" w:type="dxa"/>
            <w:tcBorders>
              <w:top w:val="single" w:sz="8" w:space="0" w:color="000000"/>
              <w:left w:val="single" w:sz="8" w:space="0" w:color="000000"/>
              <w:bottom w:val="single" w:sz="8" w:space="0" w:color="000000"/>
              <w:right w:val="single" w:sz="8" w:space="0" w:color="000000"/>
            </w:tcBorders>
          </w:tcPr>
          <w:p w14:paraId="33B60D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1"/>
                <w:position w:val="-1"/>
                <w:sz w:val="20"/>
                <w:szCs w:val="20"/>
              </w:rPr>
              <w:t>u</w:t>
            </w:r>
            <w:r w:rsidRPr="00537112">
              <w:rPr>
                <w:rFonts w:cs="Verdana"/>
                <w:spacing w:val="3"/>
                <w:position w:val="-1"/>
                <w:sz w:val="20"/>
                <w:szCs w:val="20"/>
              </w:rPr>
              <w:t>ill</w:t>
            </w:r>
            <w:r w:rsidRPr="00537112">
              <w:rPr>
                <w:rFonts w:cs="Verdana"/>
                <w:spacing w:val="-1"/>
                <w:position w:val="-1"/>
                <w:sz w:val="20"/>
                <w:szCs w:val="20"/>
              </w:rPr>
              <w:t>er</w:t>
            </w:r>
            <w:r w:rsidRPr="00537112">
              <w:rPr>
                <w:rFonts w:cs="Verdana"/>
                <w:spacing w:val="1"/>
                <w:position w:val="-1"/>
                <w:sz w:val="20"/>
                <w:szCs w:val="20"/>
              </w:rPr>
              <w:t>m</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6F1B455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C444D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112</w:t>
            </w:r>
          </w:p>
        </w:tc>
        <w:tc>
          <w:tcPr>
            <w:tcW w:w="3705" w:type="dxa"/>
            <w:tcBorders>
              <w:top w:val="single" w:sz="8" w:space="0" w:color="000000"/>
              <w:left w:val="single" w:sz="8" w:space="0" w:color="000000"/>
              <w:bottom w:val="single" w:sz="8" w:space="0" w:color="000000"/>
              <w:right w:val="single" w:sz="8" w:space="0" w:color="000000"/>
            </w:tcBorders>
          </w:tcPr>
          <w:p w14:paraId="6364BD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AD877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170</w:t>
            </w:r>
          </w:p>
        </w:tc>
        <w:tc>
          <w:tcPr>
            <w:tcW w:w="3991" w:type="dxa"/>
            <w:tcBorders>
              <w:top w:val="single" w:sz="8" w:space="0" w:color="000000"/>
              <w:left w:val="single" w:sz="8" w:space="0" w:color="000000"/>
              <w:bottom w:val="single" w:sz="8" w:space="0" w:color="000000"/>
              <w:right w:val="single" w:sz="8" w:space="0" w:color="000000"/>
            </w:tcBorders>
          </w:tcPr>
          <w:p w14:paraId="4D707A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35FB2CC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44143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113</w:t>
            </w:r>
          </w:p>
        </w:tc>
        <w:tc>
          <w:tcPr>
            <w:tcW w:w="3705" w:type="dxa"/>
            <w:tcBorders>
              <w:top w:val="single" w:sz="8" w:space="0" w:color="000000"/>
              <w:left w:val="single" w:sz="8" w:space="0" w:color="000000"/>
              <w:bottom w:val="single" w:sz="8" w:space="0" w:color="000000"/>
              <w:right w:val="single" w:sz="8" w:space="0" w:color="000000"/>
            </w:tcBorders>
          </w:tcPr>
          <w:p w14:paraId="56D6A8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3FB7C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171</w:t>
            </w:r>
          </w:p>
        </w:tc>
        <w:tc>
          <w:tcPr>
            <w:tcW w:w="3991" w:type="dxa"/>
            <w:tcBorders>
              <w:top w:val="single" w:sz="8" w:space="0" w:color="000000"/>
              <w:left w:val="single" w:sz="8" w:space="0" w:color="000000"/>
              <w:bottom w:val="single" w:sz="8" w:space="0" w:color="000000"/>
              <w:right w:val="single" w:sz="8" w:space="0" w:color="000000"/>
            </w:tcBorders>
          </w:tcPr>
          <w:p w14:paraId="61F2AD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3"/>
                <w:position w:val="-1"/>
                <w:sz w:val="20"/>
                <w:szCs w:val="20"/>
              </w:rPr>
              <w:t>ili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6A562088"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FF10E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114</w:t>
            </w:r>
          </w:p>
        </w:tc>
        <w:tc>
          <w:tcPr>
            <w:tcW w:w="3705" w:type="dxa"/>
            <w:tcBorders>
              <w:top w:val="single" w:sz="8" w:space="0" w:color="000000"/>
              <w:left w:val="single" w:sz="8" w:space="0" w:color="000000"/>
              <w:bottom w:val="single" w:sz="8" w:space="0" w:color="000000"/>
              <w:right w:val="single" w:sz="8" w:space="0" w:color="000000"/>
            </w:tcBorders>
          </w:tcPr>
          <w:p w14:paraId="5DCCFA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BC189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172</w:t>
            </w:r>
          </w:p>
        </w:tc>
        <w:tc>
          <w:tcPr>
            <w:tcW w:w="3991" w:type="dxa"/>
            <w:tcBorders>
              <w:top w:val="single" w:sz="8" w:space="0" w:color="000000"/>
              <w:left w:val="single" w:sz="8" w:space="0" w:color="000000"/>
              <w:bottom w:val="single" w:sz="8" w:space="0" w:color="000000"/>
              <w:right w:val="single" w:sz="8" w:space="0" w:color="000000"/>
            </w:tcBorders>
          </w:tcPr>
          <w:p w14:paraId="6ACA34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Leoc</w:t>
            </w:r>
            <w:r w:rsidRPr="00537112">
              <w:rPr>
                <w:rFonts w:cs="Verdana"/>
                <w:position w:val="-1"/>
                <w:sz w:val="20"/>
                <w:szCs w:val="20"/>
              </w:rPr>
              <w:t>a</w:t>
            </w:r>
            <w:r w:rsidRPr="00537112">
              <w:rPr>
                <w:rFonts w:cs="Verdana"/>
                <w:spacing w:val="1"/>
                <w:position w:val="-1"/>
                <w:sz w:val="20"/>
                <w:szCs w:val="20"/>
              </w:rPr>
              <w:t>d</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uqu</w:t>
            </w:r>
            <w:r w:rsidRPr="00537112">
              <w:rPr>
                <w:rFonts w:cs="Verdana"/>
                <w:spacing w:val="-1"/>
                <w:position w:val="-1"/>
                <w:sz w:val="20"/>
                <w:szCs w:val="20"/>
              </w:rPr>
              <w:t>e</w:t>
            </w:r>
            <w:r w:rsidRPr="00537112">
              <w:rPr>
                <w:rFonts w:cs="Verdana"/>
                <w:position w:val="-1"/>
                <w:sz w:val="20"/>
                <w:szCs w:val="20"/>
              </w:rPr>
              <w:t>j</w:t>
            </w:r>
          </w:p>
        </w:tc>
      </w:tr>
      <w:tr w:rsidR="00537112" w:rsidRPr="00537112" w14:paraId="4644010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52AF4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115</w:t>
            </w:r>
          </w:p>
        </w:tc>
        <w:tc>
          <w:tcPr>
            <w:tcW w:w="3705" w:type="dxa"/>
            <w:tcBorders>
              <w:top w:val="single" w:sz="8" w:space="0" w:color="000000"/>
              <w:left w:val="single" w:sz="8" w:space="0" w:color="000000"/>
              <w:bottom w:val="single" w:sz="8" w:space="0" w:color="000000"/>
              <w:right w:val="single" w:sz="8" w:space="0" w:color="000000"/>
            </w:tcBorders>
          </w:tcPr>
          <w:p w14:paraId="5BF565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05103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173</w:t>
            </w:r>
          </w:p>
        </w:tc>
        <w:tc>
          <w:tcPr>
            <w:tcW w:w="3991" w:type="dxa"/>
            <w:tcBorders>
              <w:top w:val="single" w:sz="8" w:space="0" w:color="000000"/>
              <w:left w:val="single" w:sz="8" w:space="0" w:color="000000"/>
              <w:bottom w:val="single" w:sz="8" w:space="0" w:color="000000"/>
              <w:right w:val="single" w:sz="8" w:space="0" w:color="000000"/>
            </w:tcBorders>
          </w:tcPr>
          <w:p w14:paraId="6EFBA05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r>
      <w:tr w:rsidR="00537112" w:rsidRPr="00537112" w14:paraId="77D2002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9E748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116</w:t>
            </w:r>
          </w:p>
        </w:tc>
        <w:tc>
          <w:tcPr>
            <w:tcW w:w="3705" w:type="dxa"/>
            <w:tcBorders>
              <w:top w:val="single" w:sz="8" w:space="0" w:color="000000"/>
              <w:left w:val="single" w:sz="8" w:space="0" w:color="000000"/>
              <w:bottom w:val="single" w:sz="8" w:space="0" w:color="000000"/>
              <w:right w:val="single" w:sz="8" w:space="0" w:color="000000"/>
            </w:tcBorders>
          </w:tcPr>
          <w:p w14:paraId="78D609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3"/>
                <w:position w:val="-1"/>
                <w:sz w:val="20"/>
                <w:szCs w:val="20"/>
              </w:rPr>
              <w:t>il</w:t>
            </w:r>
            <w:r w:rsidRPr="00537112">
              <w:rPr>
                <w:rFonts w:cs="Verdana"/>
                <w:position w:val="-1"/>
                <w:sz w:val="20"/>
                <w:szCs w:val="20"/>
              </w:rPr>
              <w:t>v</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62DF4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174</w:t>
            </w:r>
          </w:p>
        </w:tc>
        <w:tc>
          <w:tcPr>
            <w:tcW w:w="3991" w:type="dxa"/>
            <w:tcBorders>
              <w:top w:val="single" w:sz="8" w:space="0" w:color="000000"/>
              <w:left w:val="single" w:sz="8" w:space="0" w:color="000000"/>
              <w:bottom w:val="single" w:sz="8" w:space="0" w:color="000000"/>
              <w:right w:val="single" w:sz="8" w:space="0" w:color="000000"/>
            </w:tcBorders>
          </w:tcPr>
          <w:p w14:paraId="6C1835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251813F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E5DB5D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117</w:t>
            </w:r>
          </w:p>
        </w:tc>
        <w:tc>
          <w:tcPr>
            <w:tcW w:w="3705" w:type="dxa"/>
            <w:tcBorders>
              <w:top w:val="single" w:sz="8" w:space="0" w:color="000000"/>
              <w:left w:val="single" w:sz="8" w:space="0" w:color="000000"/>
              <w:bottom w:val="single" w:sz="8" w:space="0" w:color="000000"/>
              <w:right w:val="single" w:sz="8" w:space="0" w:color="000000"/>
            </w:tcBorders>
          </w:tcPr>
          <w:p w14:paraId="7C1687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position w:val="-1"/>
                <w:sz w:val="20"/>
                <w:szCs w:val="20"/>
              </w:rPr>
              <w:t>Páz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76B27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175</w:t>
            </w:r>
          </w:p>
        </w:tc>
        <w:tc>
          <w:tcPr>
            <w:tcW w:w="3991" w:type="dxa"/>
            <w:tcBorders>
              <w:top w:val="single" w:sz="8" w:space="0" w:color="000000"/>
              <w:left w:val="single" w:sz="8" w:space="0" w:color="000000"/>
              <w:bottom w:val="single" w:sz="8" w:space="0" w:color="000000"/>
              <w:right w:val="single" w:sz="8" w:space="0" w:color="000000"/>
            </w:tcBorders>
          </w:tcPr>
          <w:p w14:paraId="34C92E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68C4D67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7C243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118</w:t>
            </w:r>
          </w:p>
        </w:tc>
        <w:tc>
          <w:tcPr>
            <w:tcW w:w="3705" w:type="dxa"/>
            <w:tcBorders>
              <w:top w:val="single" w:sz="8" w:space="0" w:color="000000"/>
              <w:left w:val="single" w:sz="8" w:space="0" w:color="000000"/>
              <w:bottom w:val="single" w:sz="8" w:space="0" w:color="000000"/>
              <w:right w:val="single" w:sz="8" w:space="0" w:color="000000"/>
            </w:tcBorders>
          </w:tcPr>
          <w:p w14:paraId="62A605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62A65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176</w:t>
            </w:r>
          </w:p>
        </w:tc>
        <w:tc>
          <w:tcPr>
            <w:tcW w:w="3991" w:type="dxa"/>
            <w:tcBorders>
              <w:top w:val="single" w:sz="8" w:space="0" w:color="000000"/>
              <w:left w:val="single" w:sz="8" w:space="0" w:color="000000"/>
              <w:bottom w:val="single" w:sz="8" w:space="0" w:color="000000"/>
              <w:right w:val="single" w:sz="8" w:space="0" w:color="000000"/>
            </w:tcBorders>
          </w:tcPr>
          <w:p w14:paraId="738FA5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Máx</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70D86CA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2651B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119</w:t>
            </w:r>
          </w:p>
        </w:tc>
        <w:tc>
          <w:tcPr>
            <w:tcW w:w="3705" w:type="dxa"/>
            <w:tcBorders>
              <w:top w:val="single" w:sz="8" w:space="0" w:color="000000"/>
              <w:left w:val="single" w:sz="8" w:space="0" w:color="000000"/>
              <w:bottom w:val="single" w:sz="8" w:space="0" w:color="000000"/>
              <w:right w:val="single" w:sz="8" w:space="0" w:color="000000"/>
            </w:tcBorders>
          </w:tcPr>
          <w:p w14:paraId="5BD7306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96897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177</w:t>
            </w:r>
          </w:p>
        </w:tc>
        <w:tc>
          <w:tcPr>
            <w:tcW w:w="3991" w:type="dxa"/>
            <w:tcBorders>
              <w:top w:val="single" w:sz="8" w:space="0" w:color="000000"/>
              <w:left w:val="single" w:sz="8" w:space="0" w:color="000000"/>
              <w:bottom w:val="single" w:sz="8" w:space="0" w:color="000000"/>
              <w:right w:val="single" w:sz="8" w:space="0" w:color="000000"/>
            </w:tcBorders>
          </w:tcPr>
          <w:p w14:paraId="6C9024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23147D8"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9CE0F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120</w:t>
            </w:r>
          </w:p>
        </w:tc>
        <w:tc>
          <w:tcPr>
            <w:tcW w:w="3705" w:type="dxa"/>
            <w:tcBorders>
              <w:top w:val="single" w:sz="8" w:space="0" w:color="000000"/>
              <w:left w:val="single" w:sz="8" w:space="0" w:color="000000"/>
              <w:bottom w:val="single" w:sz="8" w:space="0" w:color="000000"/>
              <w:right w:val="single" w:sz="8" w:space="0" w:color="000000"/>
            </w:tcBorders>
          </w:tcPr>
          <w:p w14:paraId="312716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u</w:t>
            </w:r>
            <w:r w:rsidRPr="00537112">
              <w:rPr>
                <w:rFonts w:cs="Verdana"/>
                <w:position w:val="-1"/>
                <w:sz w:val="20"/>
                <w:szCs w:val="20"/>
              </w:rPr>
              <w:t>s</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38C22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178</w:t>
            </w:r>
          </w:p>
        </w:tc>
        <w:tc>
          <w:tcPr>
            <w:tcW w:w="3991" w:type="dxa"/>
            <w:tcBorders>
              <w:top w:val="single" w:sz="8" w:space="0" w:color="000000"/>
              <w:left w:val="single" w:sz="8" w:space="0" w:color="000000"/>
              <w:bottom w:val="single" w:sz="8" w:space="0" w:color="000000"/>
              <w:right w:val="single" w:sz="8" w:space="0" w:color="000000"/>
            </w:tcBorders>
          </w:tcPr>
          <w:p w14:paraId="721F34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71062FE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79DEB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121</w:t>
            </w:r>
          </w:p>
        </w:tc>
        <w:tc>
          <w:tcPr>
            <w:tcW w:w="3705" w:type="dxa"/>
            <w:tcBorders>
              <w:top w:val="single" w:sz="8" w:space="0" w:color="000000"/>
              <w:left w:val="single" w:sz="8" w:space="0" w:color="000000"/>
              <w:bottom w:val="single" w:sz="8" w:space="0" w:color="000000"/>
              <w:right w:val="single" w:sz="8" w:space="0" w:color="000000"/>
            </w:tcBorders>
          </w:tcPr>
          <w:p w14:paraId="7070E7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6766B0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179</w:t>
            </w:r>
          </w:p>
        </w:tc>
        <w:tc>
          <w:tcPr>
            <w:tcW w:w="3991" w:type="dxa"/>
            <w:tcBorders>
              <w:top w:val="single" w:sz="8" w:space="0" w:color="000000"/>
              <w:left w:val="single" w:sz="8" w:space="0" w:color="000000"/>
              <w:bottom w:val="single" w:sz="8" w:space="0" w:color="000000"/>
              <w:right w:val="single" w:sz="8" w:space="0" w:color="000000"/>
            </w:tcBorders>
          </w:tcPr>
          <w:p w14:paraId="77F444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5961B64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569E8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122</w:t>
            </w:r>
          </w:p>
        </w:tc>
        <w:tc>
          <w:tcPr>
            <w:tcW w:w="3705" w:type="dxa"/>
            <w:tcBorders>
              <w:top w:val="single" w:sz="8" w:space="0" w:color="000000"/>
              <w:left w:val="single" w:sz="8" w:space="0" w:color="000000"/>
              <w:bottom w:val="single" w:sz="8" w:space="0" w:color="000000"/>
              <w:right w:val="single" w:sz="8" w:space="0" w:color="000000"/>
            </w:tcBorders>
          </w:tcPr>
          <w:p w14:paraId="1AFEAB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6F4CB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180</w:t>
            </w:r>
          </w:p>
        </w:tc>
        <w:tc>
          <w:tcPr>
            <w:tcW w:w="3991" w:type="dxa"/>
            <w:tcBorders>
              <w:top w:val="single" w:sz="8" w:space="0" w:color="000000"/>
              <w:left w:val="single" w:sz="8" w:space="0" w:color="000000"/>
              <w:bottom w:val="single" w:sz="8" w:space="0" w:color="000000"/>
              <w:right w:val="single" w:sz="8" w:space="0" w:color="000000"/>
            </w:tcBorders>
          </w:tcPr>
          <w:p w14:paraId="68211C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ec</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5335748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49AAD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123</w:t>
            </w:r>
          </w:p>
        </w:tc>
        <w:tc>
          <w:tcPr>
            <w:tcW w:w="3705" w:type="dxa"/>
            <w:tcBorders>
              <w:top w:val="single" w:sz="8" w:space="0" w:color="000000"/>
              <w:left w:val="single" w:sz="8" w:space="0" w:color="000000"/>
              <w:bottom w:val="single" w:sz="8" w:space="0" w:color="000000"/>
              <w:right w:val="single" w:sz="8" w:space="0" w:color="000000"/>
            </w:tcBorders>
          </w:tcPr>
          <w:p w14:paraId="0D0348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2009E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181</w:t>
            </w:r>
          </w:p>
        </w:tc>
        <w:tc>
          <w:tcPr>
            <w:tcW w:w="3991" w:type="dxa"/>
            <w:tcBorders>
              <w:top w:val="single" w:sz="8" w:space="0" w:color="000000"/>
              <w:left w:val="single" w:sz="8" w:space="0" w:color="000000"/>
              <w:bottom w:val="single" w:sz="8" w:space="0" w:color="000000"/>
              <w:right w:val="single" w:sz="8" w:space="0" w:color="000000"/>
            </w:tcBorders>
          </w:tcPr>
          <w:p w14:paraId="7CDA06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r</w:t>
            </w:r>
            <w:r w:rsidRPr="00537112">
              <w:rPr>
                <w:rFonts w:cs="Verdana"/>
                <w:position w:val="-1"/>
                <w:sz w:val="20"/>
                <w:szCs w:val="20"/>
              </w:rPr>
              <w:t>á</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2A2B0C3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4C3BB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124</w:t>
            </w:r>
          </w:p>
        </w:tc>
        <w:tc>
          <w:tcPr>
            <w:tcW w:w="3705" w:type="dxa"/>
            <w:tcBorders>
              <w:top w:val="single" w:sz="8" w:space="0" w:color="000000"/>
              <w:left w:val="single" w:sz="8" w:space="0" w:color="000000"/>
              <w:bottom w:val="single" w:sz="8" w:space="0" w:color="000000"/>
              <w:right w:val="single" w:sz="8" w:space="0" w:color="000000"/>
            </w:tcBorders>
          </w:tcPr>
          <w:p w14:paraId="2400E0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ecú</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09E77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182</w:t>
            </w:r>
          </w:p>
        </w:tc>
        <w:tc>
          <w:tcPr>
            <w:tcW w:w="3991" w:type="dxa"/>
            <w:tcBorders>
              <w:top w:val="single" w:sz="8" w:space="0" w:color="000000"/>
              <w:left w:val="single" w:sz="8" w:space="0" w:color="000000"/>
              <w:bottom w:val="single" w:sz="8" w:space="0" w:color="000000"/>
              <w:right w:val="single" w:sz="8" w:space="0" w:color="000000"/>
            </w:tcBorders>
          </w:tcPr>
          <w:p w14:paraId="6A4D14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erce</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7D5AD03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0819A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125</w:t>
            </w:r>
          </w:p>
        </w:tc>
        <w:tc>
          <w:tcPr>
            <w:tcW w:w="3705" w:type="dxa"/>
            <w:tcBorders>
              <w:top w:val="single" w:sz="8" w:space="0" w:color="000000"/>
              <w:left w:val="single" w:sz="8" w:space="0" w:color="000000"/>
              <w:bottom w:val="single" w:sz="8" w:space="0" w:color="000000"/>
              <w:right w:val="single" w:sz="8" w:space="0" w:color="000000"/>
            </w:tcBorders>
          </w:tcPr>
          <w:p w14:paraId="1717341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Cá</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tumú</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0352E8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183</w:t>
            </w:r>
          </w:p>
        </w:tc>
        <w:tc>
          <w:tcPr>
            <w:tcW w:w="3991" w:type="dxa"/>
            <w:tcBorders>
              <w:top w:val="single" w:sz="8" w:space="0" w:color="000000"/>
              <w:left w:val="single" w:sz="8" w:space="0" w:color="000000"/>
              <w:bottom w:val="single" w:sz="8" w:space="0" w:color="000000"/>
              <w:right w:val="single" w:sz="8" w:space="0" w:color="000000"/>
            </w:tcBorders>
          </w:tcPr>
          <w:p w14:paraId="43465C9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p>
        </w:tc>
      </w:tr>
      <w:tr w:rsidR="00537112" w:rsidRPr="00537112" w14:paraId="59AC785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FF2B32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126</w:t>
            </w:r>
          </w:p>
        </w:tc>
        <w:tc>
          <w:tcPr>
            <w:tcW w:w="3705" w:type="dxa"/>
            <w:tcBorders>
              <w:top w:val="single" w:sz="8" w:space="0" w:color="000000"/>
              <w:left w:val="single" w:sz="8" w:space="0" w:color="000000"/>
              <w:bottom w:val="single" w:sz="8" w:space="0" w:color="000000"/>
              <w:right w:val="single" w:sz="8" w:space="0" w:color="000000"/>
            </w:tcBorders>
          </w:tcPr>
          <w:p w14:paraId="3CCF01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C7C8F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184</w:t>
            </w:r>
          </w:p>
        </w:tc>
        <w:tc>
          <w:tcPr>
            <w:tcW w:w="3991" w:type="dxa"/>
            <w:tcBorders>
              <w:top w:val="single" w:sz="8" w:space="0" w:color="000000"/>
              <w:left w:val="single" w:sz="8" w:space="0" w:color="000000"/>
              <w:bottom w:val="single" w:sz="8" w:space="0" w:color="000000"/>
              <w:right w:val="single" w:sz="8" w:space="0" w:color="000000"/>
            </w:tcBorders>
          </w:tcPr>
          <w:p w14:paraId="01ACB51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position w:val="-1"/>
                <w:sz w:val="20"/>
                <w:szCs w:val="20"/>
              </w:rPr>
              <w:t>Paz</w:t>
            </w:r>
          </w:p>
        </w:tc>
      </w:tr>
      <w:tr w:rsidR="00537112" w:rsidRPr="00537112" w14:paraId="450ECEC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8918FE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127</w:t>
            </w:r>
          </w:p>
        </w:tc>
        <w:tc>
          <w:tcPr>
            <w:tcW w:w="3705" w:type="dxa"/>
            <w:tcBorders>
              <w:top w:val="single" w:sz="8" w:space="0" w:color="000000"/>
              <w:left w:val="single" w:sz="8" w:space="0" w:color="000000"/>
              <w:bottom w:val="single" w:sz="8" w:space="0" w:color="000000"/>
              <w:right w:val="single" w:sz="8" w:space="0" w:color="000000"/>
            </w:tcBorders>
          </w:tcPr>
          <w:p w14:paraId="134A69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8C907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185</w:t>
            </w:r>
          </w:p>
        </w:tc>
        <w:tc>
          <w:tcPr>
            <w:tcW w:w="3991" w:type="dxa"/>
            <w:tcBorders>
              <w:top w:val="single" w:sz="8" w:space="0" w:color="000000"/>
              <w:left w:val="single" w:sz="8" w:space="0" w:color="000000"/>
              <w:bottom w:val="single" w:sz="8" w:space="0" w:color="000000"/>
              <w:right w:val="single" w:sz="8" w:space="0" w:color="000000"/>
            </w:tcBorders>
          </w:tcPr>
          <w:p w14:paraId="433E389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ía</w:t>
            </w:r>
          </w:p>
        </w:tc>
      </w:tr>
      <w:tr w:rsidR="00537112" w:rsidRPr="00537112" w14:paraId="38A5ED1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41E95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128</w:t>
            </w:r>
          </w:p>
        </w:tc>
        <w:tc>
          <w:tcPr>
            <w:tcW w:w="3705" w:type="dxa"/>
            <w:tcBorders>
              <w:top w:val="single" w:sz="8" w:space="0" w:color="000000"/>
              <w:left w:val="single" w:sz="8" w:space="0" w:color="000000"/>
              <w:bottom w:val="single" w:sz="8" w:space="0" w:color="000000"/>
              <w:right w:val="single" w:sz="8" w:space="0" w:color="000000"/>
            </w:tcBorders>
          </w:tcPr>
          <w:p w14:paraId="0451DC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39153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186</w:t>
            </w:r>
          </w:p>
        </w:tc>
        <w:tc>
          <w:tcPr>
            <w:tcW w:w="3991" w:type="dxa"/>
            <w:tcBorders>
              <w:top w:val="single" w:sz="8" w:space="0" w:color="000000"/>
              <w:left w:val="single" w:sz="8" w:space="0" w:color="000000"/>
              <w:bottom w:val="single" w:sz="8" w:space="0" w:color="000000"/>
              <w:right w:val="single" w:sz="8" w:space="0" w:color="000000"/>
            </w:tcBorders>
          </w:tcPr>
          <w:p w14:paraId="093105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44BE247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08443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129</w:t>
            </w:r>
          </w:p>
        </w:tc>
        <w:tc>
          <w:tcPr>
            <w:tcW w:w="3705" w:type="dxa"/>
            <w:tcBorders>
              <w:top w:val="single" w:sz="8" w:space="0" w:color="000000"/>
              <w:left w:val="single" w:sz="8" w:space="0" w:color="000000"/>
              <w:bottom w:val="single" w:sz="8" w:space="0" w:color="000000"/>
              <w:right w:val="single" w:sz="8" w:space="0" w:color="000000"/>
            </w:tcBorders>
          </w:tcPr>
          <w:p w14:paraId="7D13B553"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position w:val="-1"/>
                <w:sz w:val="20"/>
                <w:szCs w:val="20"/>
                <w:lang w:val="pt-BR"/>
              </w:rPr>
              <w:t>P</w:t>
            </w:r>
            <w:r w:rsidRPr="00537112">
              <w:rPr>
                <w:rFonts w:cs="Verdana"/>
                <w:spacing w:val="-1"/>
                <w:position w:val="-1"/>
                <w:sz w:val="20"/>
                <w:szCs w:val="20"/>
                <w:lang w:val="pt-BR"/>
              </w:rPr>
              <w:t>e</w:t>
            </w:r>
            <w:r w:rsidRPr="00537112">
              <w:rPr>
                <w:rFonts w:cs="Verdana"/>
                <w:spacing w:val="1"/>
                <w:position w:val="-1"/>
                <w:sz w:val="20"/>
                <w:szCs w:val="20"/>
                <w:lang w:val="pt-BR"/>
              </w:rPr>
              <w:t>d</w:t>
            </w:r>
            <w:r w:rsidRPr="00537112">
              <w:rPr>
                <w:rFonts w:cs="Verdana"/>
                <w:spacing w:val="-1"/>
                <w:position w:val="-1"/>
                <w:sz w:val="20"/>
                <w:szCs w:val="20"/>
                <w:lang w:val="pt-BR"/>
              </w:rPr>
              <w:t>r</w:t>
            </w:r>
            <w:r w:rsidRPr="00537112">
              <w:rPr>
                <w:rFonts w:cs="Verdana"/>
                <w:spacing w:val="3"/>
                <w:position w:val="-1"/>
                <w:sz w:val="20"/>
                <w:szCs w:val="20"/>
                <w:lang w:val="pt-BR"/>
              </w:rPr>
              <w:t>i</w:t>
            </w:r>
            <w:r w:rsidRPr="00537112">
              <w:rPr>
                <w:rFonts w:cs="Verdana"/>
                <w:spacing w:val="1"/>
                <w:position w:val="-1"/>
                <w:sz w:val="20"/>
                <w:szCs w:val="20"/>
                <w:lang w:val="pt-BR"/>
              </w:rPr>
              <w:t>n</w:t>
            </w:r>
            <w:r w:rsidRPr="00537112">
              <w:rPr>
                <w:rFonts w:cs="Verdana"/>
                <w:position w:val="-1"/>
                <w:sz w:val="20"/>
                <w:szCs w:val="20"/>
                <w:lang w:val="pt-BR"/>
              </w:rPr>
              <w:t>a</w:t>
            </w:r>
            <w:r w:rsidRPr="00537112">
              <w:rPr>
                <w:rFonts w:cs="Verdana"/>
                <w:spacing w:val="-8"/>
                <w:position w:val="-1"/>
                <w:sz w:val="20"/>
                <w:szCs w:val="20"/>
                <w:lang w:val="pt-BR"/>
              </w:rPr>
              <w:t xml:space="preserve"> </w:t>
            </w:r>
            <w:r w:rsidRPr="00537112">
              <w:rPr>
                <w:rFonts w:cs="Verdana"/>
                <w:spacing w:val="1"/>
                <w:position w:val="-1"/>
                <w:sz w:val="20"/>
                <w:szCs w:val="20"/>
                <w:lang w:val="pt-BR"/>
              </w:rPr>
              <w:t>R</w:t>
            </w:r>
            <w:r w:rsidRPr="00537112">
              <w:rPr>
                <w:rFonts w:cs="Verdana"/>
                <w:spacing w:val="-1"/>
                <w:position w:val="-1"/>
                <w:sz w:val="20"/>
                <w:szCs w:val="20"/>
                <w:lang w:val="pt-BR"/>
              </w:rPr>
              <w:t>o</w:t>
            </w:r>
            <w:r w:rsidRPr="00537112">
              <w:rPr>
                <w:rFonts w:cs="Verdana"/>
                <w:spacing w:val="1"/>
                <w:position w:val="-1"/>
                <w:sz w:val="20"/>
                <w:szCs w:val="20"/>
                <w:lang w:val="pt-BR"/>
              </w:rPr>
              <w:t>m</w:t>
            </w:r>
            <w:r w:rsidRPr="00537112">
              <w:rPr>
                <w:rFonts w:cs="Verdana"/>
                <w:position w:val="-1"/>
                <w:sz w:val="20"/>
                <w:szCs w:val="20"/>
                <w:lang w:val="pt-BR"/>
              </w:rPr>
              <w:t>án</w:t>
            </w:r>
            <w:r w:rsidRPr="00537112">
              <w:rPr>
                <w:rFonts w:cs="Verdana"/>
                <w:spacing w:val="-7"/>
                <w:position w:val="-1"/>
                <w:sz w:val="20"/>
                <w:szCs w:val="20"/>
                <w:lang w:val="pt-BR"/>
              </w:rPr>
              <w:t xml:space="preserve"> </w:t>
            </w:r>
            <w:r w:rsidRPr="00537112">
              <w:rPr>
                <w:rFonts w:cs="Verdana"/>
                <w:position w:val="-1"/>
                <w:sz w:val="20"/>
                <w:szCs w:val="20"/>
                <w:lang w:val="pt-BR"/>
              </w:rPr>
              <w:t>X</w:t>
            </w:r>
            <w:r w:rsidRPr="00537112">
              <w:rPr>
                <w:rFonts w:cs="Verdana"/>
                <w:spacing w:val="3"/>
                <w:position w:val="-1"/>
                <w:sz w:val="20"/>
                <w:szCs w:val="20"/>
                <w:lang w:val="pt-BR"/>
              </w:rPr>
              <w:t>i</w:t>
            </w:r>
            <w:r w:rsidRPr="00537112">
              <w:rPr>
                <w:rFonts w:cs="Verdana"/>
                <w:spacing w:val="1"/>
                <w:position w:val="-1"/>
                <w:sz w:val="20"/>
                <w:szCs w:val="20"/>
                <w:lang w:val="pt-BR"/>
              </w:rPr>
              <w:t>tumu</w:t>
            </w:r>
            <w:r w:rsidRPr="00537112">
              <w:rPr>
                <w:rFonts w:cs="Verdana"/>
                <w:position w:val="-1"/>
                <w:sz w:val="20"/>
                <w:szCs w:val="20"/>
                <w:lang w:val="pt-BR"/>
              </w:rPr>
              <w:t>l</w:t>
            </w:r>
            <w:r w:rsidRPr="00537112">
              <w:rPr>
                <w:rFonts w:cs="Verdana"/>
                <w:spacing w:val="-6"/>
                <w:position w:val="-1"/>
                <w:sz w:val="20"/>
                <w:szCs w:val="20"/>
                <w:lang w:val="pt-BR"/>
              </w:rPr>
              <w:t xml:space="preserve"> </w:t>
            </w:r>
            <w:r w:rsidRPr="00537112">
              <w:rPr>
                <w:rFonts w:cs="Verdana"/>
                <w:spacing w:val="1"/>
                <w:position w:val="-1"/>
                <w:sz w:val="20"/>
                <w:szCs w:val="20"/>
                <w:lang w:val="pt-BR"/>
              </w:rPr>
              <w:t>d</w:t>
            </w:r>
            <w:r w:rsidRPr="00537112">
              <w:rPr>
                <w:rFonts w:cs="Verdana"/>
                <w:position w:val="-1"/>
                <w:sz w:val="20"/>
                <w:szCs w:val="20"/>
                <w:lang w:val="pt-BR"/>
              </w:rPr>
              <w:t>e</w:t>
            </w:r>
            <w:r w:rsidRPr="00537112">
              <w:rPr>
                <w:rFonts w:cs="Verdana"/>
                <w:spacing w:val="-4"/>
                <w:position w:val="-1"/>
                <w:sz w:val="20"/>
                <w:szCs w:val="20"/>
                <w:lang w:val="pt-BR"/>
              </w:rPr>
              <w:t xml:space="preserve"> </w:t>
            </w:r>
            <w:r w:rsidRPr="00537112">
              <w:rPr>
                <w:rFonts w:cs="Verdana"/>
                <w:position w:val="-1"/>
                <w:sz w:val="20"/>
                <w:szCs w:val="20"/>
                <w:lang w:val="pt-BR"/>
              </w:rPr>
              <w:t>P</w:t>
            </w:r>
            <w:r w:rsidRPr="00537112">
              <w:rPr>
                <w:rFonts w:cs="Verdana"/>
                <w:spacing w:val="3"/>
                <w:position w:val="-1"/>
                <w:sz w:val="20"/>
                <w:szCs w:val="20"/>
                <w:lang w:val="pt-BR"/>
              </w:rPr>
              <w:t>i</w:t>
            </w:r>
            <w:r w:rsidRPr="00537112">
              <w:rPr>
                <w:rFonts w:cs="Verdana"/>
                <w:spacing w:val="-1"/>
                <w:position w:val="-1"/>
                <w:sz w:val="20"/>
                <w:szCs w:val="20"/>
                <w:lang w:val="pt-BR"/>
              </w:rPr>
              <w:t>o</w:t>
            </w:r>
            <w:r w:rsidRPr="00537112">
              <w:rPr>
                <w:rFonts w:cs="Verdana"/>
                <w:position w:val="-1"/>
                <w:sz w:val="20"/>
                <w:szCs w:val="20"/>
                <w:lang w:val="pt-BR"/>
              </w:rPr>
              <w:t>x</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82026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187</w:t>
            </w:r>
          </w:p>
        </w:tc>
        <w:tc>
          <w:tcPr>
            <w:tcW w:w="3991" w:type="dxa"/>
            <w:tcBorders>
              <w:top w:val="single" w:sz="8" w:space="0" w:color="000000"/>
              <w:left w:val="single" w:sz="8" w:space="0" w:color="000000"/>
              <w:bottom w:val="single" w:sz="8" w:space="0" w:color="000000"/>
              <w:right w:val="single" w:sz="8" w:space="0" w:color="000000"/>
            </w:tcBorders>
          </w:tcPr>
          <w:p w14:paraId="0468D4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3"/>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42BA595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D89362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130</w:t>
            </w:r>
          </w:p>
        </w:tc>
        <w:tc>
          <w:tcPr>
            <w:tcW w:w="3705" w:type="dxa"/>
            <w:tcBorders>
              <w:top w:val="single" w:sz="8" w:space="0" w:color="000000"/>
              <w:left w:val="single" w:sz="8" w:space="0" w:color="000000"/>
              <w:bottom w:val="single" w:sz="8" w:space="0" w:color="000000"/>
              <w:right w:val="single" w:sz="8" w:space="0" w:color="000000"/>
            </w:tcBorders>
          </w:tcPr>
          <w:p w14:paraId="23EE6E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up</w:t>
            </w:r>
            <w:r w:rsidRPr="00537112">
              <w:rPr>
                <w:rFonts w:cs="Verdana"/>
                <w:position w:val="-1"/>
                <w:sz w:val="20"/>
                <w:szCs w:val="20"/>
              </w:rPr>
              <w:t>e</w:t>
            </w:r>
            <w:r w:rsidRPr="00537112">
              <w:rPr>
                <w:rFonts w:cs="Verdana"/>
                <w:spacing w:val="-13"/>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D10F3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188</w:t>
            </w:r>
          </w:p>
        </w:tc>
        <w:tc>
          <w:tcPr>
            <w:tcW w:w="3991" w:type="dxa"/>
            <w:tcBorders>
              <w:top w:val="single" w:sz="8" w:space="0" w:color="000000"/>
              <w:left w:val="single" w:sz="8" w:space="0" w:color="000000"/>
              <w:bottom w:val="single" w:sz="8" w:space="0" w:color="000000"/>
              <w:right w:val="single" w:sz="8" w:space="0" w:color="000000"/>
            </w:tcBorders>
          </w:tcPr>
          <w:p w14:paraId="5E60CD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Lo</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10EC190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20129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131</w:t>
            </w:r>
          </w:p>
        </w:tc>
        <w:tc>
          <w:tcPr>
            <w:tcW w:w="3705" w:type="dxa"/>
            <w:tcBorders>
              <w:top w:val="single" w:sz="8" w:space="0" w:color="000000"/>
              <w:left w:val="single" w:sz="8" w:space="0" w:color="000000"/>
              <w:bottom w:val="single" w:sz="8" w:space="0" w:color="000000"/>
              <w:right w:val="single" w:sz="8" w:space="0" w:color="000000"/>
            </w:tcBorders>
          </w:tcPr>
          <w:p w14:paraId="01A7D2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E4227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189</w:t>
            </w:r>
          </w:p>
        </w:tc>
        <w:tc>
          <w:tcPr>
            <w:tcW w:w="3991" w:type="dxa"/>
            <w:tcBorders>
              <w:top w:val="single" w:sz="8" w:space="0" w:color="000000"/>
              <w:left w:val="single" w:sz="8" w:space="0" w:color="000000"/>
              <w:bottom w:val="single" w:sz="8" w:space="0" w:color="000000"/>
              <w:right w:val="single" w:sz="8" w:space="0" w:color="000000"/>
            </w:tcBorders>
          </w:tcPr>
          <w:p w14:paraId="6AF3400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roc</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7B6B11F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C8836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132</w:t>
            </w:r>
          </w:p>
        </w:tc>
        <w:tc>
          <w:tcPr>
            <w:tcW w:w="3705" w:type="dxa"/>
            <w:tcBorders>
              <w:top w:val="single" w:sz="8" w:space="0" w:color="000000"/>
              <w:left w:val="single" w:sz="8" w:space="0" w:color="000000"/>
              <w:bottom w:val="single" w:sz="8" w:space="0" w:color="000000"/>
              <w:right w:val="single" w:sz="8" w:space="0" w:color="000000"/>
            </w:tcBorders>
          </w:tcPr>
          <w:p w14:paraId="209E84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Augu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C403E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190</w:t>
            </w:r>
          </w:p>
        </w:tc>
        <w:tc>
          <w:tcPr>
            <w:tcW w:w="3991" w:type="dxa"/>
            <w:tcBorders>
              <w:top w:val="single" w:sz="8" w:space="0" w:color="000000"/>
              <w:left w:val="single" w:sz="8" w:space="0" w:color="000000"/>
              <w:bottom w:val="single" w:sz="8" w:space="0" w:color="000000"/>
              <w:right w:val="single" w:sz="8" w:space="0" w:color="000000"/>
            </w:tcBorders>
          </w:tcPr>
          <w:p w14:paraId="479D5F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Gre</w:t>
            </w:r>
            <w:r w:rsidRPr="00537112">
              <w:rPr>
                <w:rFonts w:cs="Verdana"/>
                <w:spacing w:val="1"/>
                <w:position w:val="-1"/>
                <w:sz w:val="20"/>
                <w:szCs w:val="20"/>
              </w:rPr>
              <w:t>g</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7532D28D"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59DD09B"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133</w:t>
            </w:r>
          </w:p>
        </w:tc>
        <w:tc>
          <w:tcPr>
            <w:tcW w:w="3705" w:type="dxa"/>
            <w:tcBorders>
              <w:top w:val="single" w:sz="8" w:space="0" w:color="000000"/>
              <w:left w:val="single" w:sz="8" w:space="0" w:color="000000"/>
              <w:bottom w:val="single" w:sz="8" w:space="0" w:color="000000"/>
              <w:right w:val="single" w:sz="8" w:space="0" w:color="000000"/>
            </w:tcBorders>
          </w:tcPr>
          <w:p w14:paraId="22589F0E"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Hec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w:t>
            </w:r>
            <w:r w:rsidRPr="00537112">
              <w:rPr>
                <w:rFonts w:cs="Verdana"/>
                <w:position w:val="-1"/>
                <w:sz w:val="20"/>
                <w:szCs w:val="20"/>
              </w:rPr>
              <w:t>c</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CDAA045"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191</w:t>
            </w:r>
          </w:p>
        </w:tc>
        <w:tc>
          <w:tcPr>
            <w:tcW w:w="3991" w:type="dxa"/>
            <w:tcBorders>
              <w:top w:val="single" w:sz="8" w:space="0" w:color="000000"/>
              <w:left w:val="single" w:sz="8" w:space="0" w:color="000000"/>
              <w:bottom w:val="single" w:sz="8" w:space="0" w:color="000000"/>
              <w:right w:val="single" w:sz="8" w:space="0" w:color="000000"/>
            </w:tcBorders>
          </w:tcPr>
          <w:p w14:paraId="2A435C25"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tá</w:t>
            </w:r>
          </w:p>
        </w:tc>
      </w:tr>
      <w:tr w:rsidR="00537112" w:rsidRPr="00537112" w14:paraId="081F564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9C466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134</w:t>
            </w:r>
          </w:p>
        </w:tc>
        <w:tc>
          <w:tcPr>
            <w:tcW w:w="3705" w:type="dxa"/>
            <w:tcBorders>
              <w:top w:val="single" w:sz="8" w:space="0" w:color="000000"/>
              <w:left w:val="single" w:sz="8" w:space="0" w:color="000000"/>
              <w:bottom w:val="single" w:sz="8" w:space="0" w:color="000000"/>
              <w:right w:val="single" w:sz="8" w:space="0" w:color="000000"/>
            </w:tcBorders>
          </w:tcPr>
          <w:p w14:paraId="3EA20E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a</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co</w:t>
            </w:r>
            <w:r w:rsidRPr="00537112">
              <w:rPr>
                <w:rFonts w:cs="Verdana"/>
                <w:position w:val="-1"/>
                <w:sz w:val="20"/>
                <w:szCs w:val="20"/>
              </w:rPr>
              <w:t>c</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A17C5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192</w:t>
            </w:r>
          </w:p>
        </w:tc>
        <w:tc>
          <w:tcPr>
            <w:tcW w:w="3991" w:type="dxa"/>
            <w:tcBorders>
              <w:top w:val="single" w:sz="8" w:space="0" w:color="000000"/>
              <w:left w:val="single" w:sz="8" w:space="0" w:color="000000"/>
              <w:bottom w:val="single" w:sz="8" w:space="0" w:color="000000"/>
              <w:right w:val="single" w:sz="8" w:space="0" w:color="000000"/>
            </w:tcBorders>
          </w:tcPr>
          <w:p w14:paraId="2CF9D9A5"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spacing w:val="1"/>
                <w:position w:val="-1"/>
                <w:sz w:val="20"/>
                <w:szCs w:val="20"/>
                <w:lang w:val="pt-BR"/>
              </w:rPr>
              <w:t>F</w:t>
            </w:r>
            <w:r w:rsidRPr="00537112">
              <w:rPr>
                <w:rFonts w:cs="Verdana"/>
                <w:spacing w:val="-1"/>
                <w:position w:val="-1"/>
                <w:sz w:val="20"/>
                <w:szCs w:val="20"/>
                <w:lang w:val="pt-BR"/>
              </w:rPr>
              <w:t>e</w:t>
            </w:r>
            <w:r w:rsidRPr="00537112">
              <w:rPr>
                <w:rFonts w:cs="Verdana"/>
                <w:spacing w:val="3"/>
                <w:position w:val="-1"/>
                <w:sz w:val="20"/>
                <w:szCs w:val="20"/>
                <w:lang w:val="pt-BR"/>
              </w:rPr>
              <w:t>li</w:t>
            </w:r>
            <w:r w:rsidRPr="00537112">
              <w:rPr>
                <w:rFonts w:cs="Verdana"/>
                <w:spacing w:val="1"/>
                <w:position w:val="-1"/>
                <w:sz w:val="20"/>
                <w:szCs w:val="20"/>
                <w:lang w:val="pt-BR"/>
              </w:rPr>
              <w:t>p</w:t>
            </w:r>
            <w:r w:rsidRPr="00537112">
              <w:rPr>
                <w:rFonts w:cs="Verdana"/>
                <w:position w:val="-1"/>
                <w:sz w:val="20"/>
                <w:szCs w:val="20"/>
                <w:lang w:val="pt-BR"/>
              </w:rPr>
              <w:t>a</w:t>
            </w:r>
            <w:r w:rsidRPr="00537112">
              <w:rPr>
                <w:rFonts w:cs="Verdana"/>
                <w:spacing w:val="-6"/>
                <w:position w:val="-1"/>
                <w:sz w:val="20"/>
                <w:szCs w:val="20"/>
                <w:lang w:val="pt-BR"/>
              </w:rPr>
              <w:t xml:space="preserve"> </w:t>
            </w:r>
            <w:r w:rsidRPr="00537112">
              <w:rPr>
                <w:rFonts w:cs="Verdana"/>
                <w:spacing w:val="1"/>
                <w:position w:val="-1"/>
                <w:sz w:val="20"/>
                <w:szCs w:val="20"/>
                <w:lang w:val="pt-BR"/>
              </w:rPr>
              <w:t>Ju</w:t>
            </w:r>
            <w:r w:rsidRPr="00537112">
              <w:rPr>
                <w:rFonts w:cs="Verdana"/>
                <w:position w:val="-1"/>
                <w:sz w:val="20"/>
                <w:szCs w:val="20"/>
                <w:lang w:val="pt-BR"/>
              </w:rPr>
              <w:t>a</w:t>
            </w:r>
            <w:r w:rsidRPr="00537112">
              <w:rPr>
                <w:rFonts w:cs="Verdana"/>
                <w:spacing w:val="-1"/>
                <w:position w:val="-1"/>
                <w:sz w:val="20"/>
                <w:szCs w:val="20"/>
                <w:lang w:val="pt-BR"/>
              </w:rPr>
              <w:t>re</w:t>
            </w:r>
            <w:r w:rsidRPr="00537112">
              <w:rPr>
                <w:rFonts w:cs="Verdana"/>
                <w:position w:val="-1"/>
                <w:sz w:val="20"/>
                <w:szCs w:val="20"/>
                <w:lang w:val="pt-BR"/>
              </w:rPr>
              <w:t>z</w:t>
            </w:r>
            <w:r w:rsidRPr="00537112">
              <w:rPr>
                <w:rFonts w:cs="Verdana"/>
                <w:spacing w:val="-6"/>
                <w:position w:val="-1"/>
                <w:sz w:val="20"/>
                <w:szCs w:val="20"/>
                <w:lang w:val="pt-BR"/>
              </w:rPr>
              <w:t xml:space="preserve"> </w:t>
            </w:r>
            <w:r w:rsidRPr="00537112">
              <w:rPr>
                <w:rFonts w:cs="Verdana"/>
                <w:spacing w:val="-1"/>
                <w:position w:val="-1"/>
                <w:sz w:val="20"/>
                <w:szCs w:val="20"/>
                <w:lang w:val="pt-BR"/>
              </w:rPr>
              <w:t>Lo</w:t>
            </w:r>
            <w:r w:rsidRPr="00537112">
              <w:rPr>
                <w:rFonts w:cs="Verdana"/>
                <w:spacing w:val="1"/>
                <w:position w:val="-1"/>
                <w:sz w:val="20"/>
                <w:szCs w:val="20"/>
                <w:lang w:val="pt-BR"/>
              </w:rPr>
              <w:t>p</w:t>
            </w:r>
            <w:r w:rsidRPr="00537112">
              <w:rPr>
                <w:rFonts w:cs="Verdana"/>
                <w:spacing w:val="-1"/>
                <w:position w:val="-1"/>
                <w:sz w:val="20"/>
                <w:szCs w:val="20"/>
                <w:lang w:val="pt-BR"/>
              </w:rPr>
              <w:t>e</w:t>
            </w:r>
            <w:r w:rsidRPr="00537112">
              <w:rPr>
                <w:rFonts w:cs="Verdana"/>
                <w:position w:val="-1"/>
                <w:sz w:val="20"/>
                <w:szCs w:val="20"/>
                <w:lang w:val="pt-BR"/>
              </w:rPr>
              <w:t>z</w:t>
            </w:r>
            <w:r w:rsidRPr="00537112">
              <w:rPr>
                <w:rFonts w:cs="Verdana"/>
                <w:spacing w:val="-6"/>
                <w:position w:val="-1"/>
                <w:sz w:val="20"/>
                <w:szCs w:val="20"/>
                <w:lang w:val="pt-BR"/>
              </w:rPr>
              <w:t xml:space="preserve"> </w:t>
            </w:r>
            <w:r w:rsidRPr="00537112">
              <w:rPr>
                <w:rFonts w:cs="Verdana"/>
                <w:spacing w:val="1"/>
                <w:position w:val="-1"/>
                <w:sz w:val="20"/>
                <w:szCs w:val="20"/>
                <w:lang w:val="pt-BR"/>
              </w:rPr>
              <w:t>d</w:t>
            </w:r>
            <w:r w:rsidRPr="00537112">
              <w:rPr>
                <w:rFonts w:cs="Verdana"/>
                <w:position w:val="-1"/>
                <w:sz w:val="20"/>
                <w:szCs w:val="20"/>
                <w:lang w:val="pt-BR"/>
              </w:rPr>
              <w:t>e</w:t>
            </w:r>
            <w:r w:rsidRPr="00537112">
              <w:rPr>
                <w:rFonts w:cs="Verdana"/>
                <w:spacing w:val="-4"/>
                <w:position w:val="-1"/>
                <w:sz w:val="20"/>
                <w:szCs w:val="20"/>
                <w:lang w:val="pt-BR"/>
              </w:rPr>
              <w:t xml:space="preserve"> </w:t>
            </w:r>
            <w:r w:rsidRPr="00537112">
              <w:rPr>
                <w:rFonts w:cs="Verdana"/>
                <w:position w:val="-1"/>
                <w:sz w:val="20"/>
                <w:szCs w:val="20"/>
                <w:lang w:val="pt-BR"/>
              </w:rPr>
              <w:t>Ma</w:t>
            </w:r>
            <w:r w:rsidRPr="00537112">
              <w:rPr>
                <w:rFonts w:cs="Verdana"/>
                <w:spacing w:val="1"/>
                <w:position w:val="-1"/>
                <w:sz w:val="20"/>
                <w:szCs w:val="20"/>
                <w:lang w:val="pt-BR"/>
              </w:rPr>
              <w:t>nu</w:t>
            </w:r>
            <w:r w:rsidRPr="00537112">
              <w:rPr>
                <w:rFonts w:cs="Verdana"/>
                <w:spacing w:val="-1"/>
                <w:position w:val="-1"/>
                <w:sz w:val="20"/>
                <w:szCs w:val="20"/>
                <w:lang w:val="pt-BR"/>
              </w:rPr>
              <w:t>e</w:t>
            </w:r>
            <w:r w:rsidRPr="00537112">
              <w:rPr>
                <w:rFonts w:cs="Verdana"/>
                <w:position w:val="-1"/>
                <w:sz w:val="20"/>
                <w:szCs w:val="20"/>
                <w:lang w:val="pt-BR"/>
              </w:rPr>
              <w:t>l</w:t>
            </w:r>
          </w:p>
        </w:tc>
      </w:tr>
      <w:tr w:rsidR="00537112" w:rsidRPr="00537112" w14:paraId="18A8484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53D92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135</w:t>
            </w:r>
          </w:p>
        </w:tc>
        <w:tc>
          <w:tcPr>
            <w:tcW w:w="3705" w:type="dxa"/>
            <w:tcBorders>
              <w:top w:val="single" w:sz="8" w:space="0" w:color="000000"/>
              <w:left w:val="single" w:sz="8" w:space="0" w:color="000000"/>
              <w:bottom w:val="single" w:sz="8" w:space="0" w:color="000000"/>
              <w:right w:val="single" w:sz="8" w:space="0" w:color="000000"/>
            </w:tcBorders>
          </w:tcPr>
          <w:p w14:paraId="16214EE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6DD25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193</w:t>
            </w:r>
          </w:p>
        </w:tc>
        <w:tc>
          <w:tcPr>
            <w:tcW w:w="3991" w:type="dxa"/>
            <w:tcBorders>
              <w:top w:val="single" w:sz="8" w:space="0" w:color="000000"/>
              <w:left w:val="single" w:sz="8" w:space="0" w:color="000000"/>
              <w:bottom w:val="single" w:sz="8" w:space="0" w:color="000000"/>
              <w:right w:val="single" w:sz="8" w:space="0" w:color="000000"/>
            </w:tcBorders>
          </w:tcPr>
          <w:p w14:paraId="3CF185D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5E303C5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AE95D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136</w:t>
            </w:r>
          </w:p>
        </w:tc>
        <w:tc>
          <w:tcPr>
            <w:tcW w:w="3705" w:type="dxa"/>
            <w:tcBorders>
              <w:top w:val="single" w:sz="8" w:space="0" w:color="000000"/>
              <w:left w:val="single" w:sz="8" w:space="0" w:color="000000"/>
              <w:bottom w:val="single" w:sz="8" w:space="0" w:color="000000"/>
              <w:right w:val="single" w:sz="8" w:space="0" w:color="000000"/>
            </w:tcBorders>
          </w:tcPr>
          <w:p w14:paraId="35B9A5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roc</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E1AB2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194</w:t>
            </w:r>
          </w:p>
        </w:tc>
        <w:tc>
          <w:tcPr>
            <w:tcW w:w="3991" w:type="dxa"/>
            <w:tcBorders>
              <w:top w:val="single" w:sz="8" w:space="0" w:color="000000"/>
              <w:left w:val="single" w:sz="8" w:space="0" w:color="000000"/>
              <w:bottom w:val="single" w:sz="8" w:space="0" w:color="000000"/>
              <w:right w:val="single" w:sz="8" w:space="0" w:color="000000"/>
            </w:tcBorders>
          </w:tcPr>
          <w:p w14:paraId="5130F4E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09E7CFE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B881A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137</w:t>
            </w:r>
          </w:p>
        </w:tc>
        <w:tc>
          <w:tcPr>
            <w:tcW w:w="3705" w:type="dxa"/>
            <w:tcBorders>
              <w:top w:val="single" w:sz="8" w:space="0" w:color="000000"/>
              <w:left w:val="single" w:sz="8" w:space="0" w:color="000000"/>
              <w:bottom w:val="single" w:sz="8" w:space="0" w:color="000000"/>
              <w:right w:val="single" w:sz="8" w:space="0" w:color="000000"/>
            </w:tcBorders>
          </w:tcPr>
          <w:p w14:paraId="2F7C80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65F9E9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195</w:t>
            </w:r>
          </w:p>
        </w:tc>
        <w:tc>
          <w:tcPr>
            <w:tcW w:w="3991" w:type="dxa"/>
            <w:tcBorders>
              <w:top w:val="single" w:sz="8" w:space="0" w:color="000000"/>
              <w:left w:val="single" w:sz="8" w:space="0" w:color="000000"/>
              <w:bottom w:val="single" w:sz="8" w:space="0" w:color="000000"/>
              <w:right w:val="single" w:sz="8" w:space="0" w:color="000000"/>
            </w:tcBorders>
          </w:tcPr>
          <w:p w14:paraId="2D53FB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6E2DD0D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D1FE16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138</w:t>
            </w:r>
          </w:p>
        </w:tc>
        <w:tc>
          <w:tcPr>
            <w:tcW w:w="3705" w:type="dxa"/>
            <w:tcBorders>
              <w:top w:val="single" w:sz="8" w:space="0" w:color="000000"/>
              <w:left w:val="single" w:sz="8" w:space="0" w:color="000000"/>
              <w:bottom w:val="single" w:sz="8" w:space="0" w:color="000000"/>
              <w:right w:val="single" w:sz="8" w:space="0" w:color="000000"/>
            </w:tcBorders>
          </w:tcPr>
          <w:p w14:paraId="6B1627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nd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C0463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196</w:t>
            </w:r>
          </w:p>
        </w:tc>
        <w:tc>
          <w:tcPr>
            <w:tcW w:w="3991" w:type="dxa"/>
            <w:tcBorders>
              <w:top w:val="single" w:sz="8" w:space="0" w:color="000000"/>
              <w:left w:val="single" w:sz="8" w:space="0" w:color="000000"/>
              <w:bottom w:val="single" w:sz="8" w:space="0" w:color="000000"/>
              <w:right w:val="single" w:sz="8" w:space="0" w:color="000000"/>
            </w:tcBorders>
          </w:tcPr>
          <w:p w14:paraId="5F6985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r>
      <w:tr w:rsidR="00537112" w:rsidRPr="00537112" w14:paraId="5273666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EB0DD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139</w:t>
            </w:r>
          </w:p>
        </w:tc>
        <w:tc>
          <w:tcPr>
            <w:tcW w:w="3705" w:type="dxa"/>
            <w:tcBorders>
              <w:top w:val="single" w:sz="8" w:space="0" w:color="000000"/>
              <w:left w:val="single" w:sz="8" w:space="0" w:color="000000"/>
              <w:bottom w:val="single" w:sz="8" w:space="0" w:color="000000"/>
              <w:right w:val="single" w:sz="8" w:space="0" w:color="000000"/>
            </w:tcBorders>
          </w:tcPr>
          <w:p w14:paraId="122226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32308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197</w:t>
            </w:r>
          </w:p>
        </w:tc>
        <w:tc>
          <w:tcPr>
            <w:tcW w:w="3991" w:type="dxa"/>
            <w:tcBorders>
              <w:top w:val="single" w:sz="8" w:space="0" w:color="000000"/>
              <w:left w:val="single" w:sz="8" w:space="0" w:color="000000"/>
              <w:bottom w:val="single" w:sz="8" w:space="0" w:color="000000"/>
              <w:right w:val="single" w:sz="8" w:space="0" w:color="000000"/>
            </w:tcBorders>
          </w:tcPr>
          <w:p w14:paraId="321B0A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0EAD322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02B714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140</w:t>
            </w:r>
          </w:p>
        </w:tc>
        <w:tc>
          <w:tcPr>
            <w:tcW w:w="3705" w:type="dxa"/>
            <w:tcBorders>
              <w:top w:val="single" w:sz="8" w:space="0" w:color="000000"/>
              <w:left w:val="single" w:sz="8" w:space="0" w:color="000000"/>
              <w:bottom w:val="single" w:sz="8" w:space="0" w:color="000000"/>
              <w:right w:val="single" w:sz="8" w:space="0" w:color="000000"/>
            </w:tcBorders>
          </w:tcPr>
          <w:p w14:paraId="0DA67D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e</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up</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72B57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198</w:t>
            </w:r>
          </w:p>
        </w:tc>
        <w:tc>
          <w:tcPr>
            <w:tcW w:w="3991" w:type="dxa"/>
            <w:tcBorders>
              <w:top w:val="single" w:sz="8" w:space="0" w:color="000000"/>
              <w:left w:val="single" w:sz="8" w:space="0" w:color="000000"/>
              <w:bottom w:val="single" w:sz="8" w:space="0" w:color="000000"/>
              <w:right w:val="single" w:sz="8" w:space="0" w:color="000000"/>
            </w:tcBorders>
          </w:tcPr>
          <w:p w14:paraId="64BF01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s</w:t>
            </w:r>
          </w:p>
        </w:tc>
      </w:tr>
      <w:tr w:rsidR="00537112" w:rsidRPr="00537112" w14:paraId="08E7D0D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5691D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141</w:t>
            </w:r>
          </w:p>
        </w:tc>
        <w:tc>
          <w:tcPr>
            <w:tcW w:w="3705" w:type="dxa"/>
            <w:tcBorders>
              <w:top w:val="single" w:sz="8" w:space="0" w:color="000000"/>
              <w:left w:val="single" w:sz="8" w:space="0" w:color="000000"/>
              <w:bottom w:val="single" w:sz="8" w:space="0" w:color="000000"/>
              <w:right w:val="single" w:sz="8" w:space="0" w:color="000000"/>
            </w:tcBorders>
          </w:tcPr>
          <w:p w14:paraId="4C9393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494A6D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199</w:t>
            </w:r>
          </w:p>
        </w:tc>
        <w:tc>
          <w:tcPr>
            <w:tcW w:w="3991" w:type="dxa"/>
            <w:tcBorders>
              <w:top w:val="single" w:sz="8" w:space="0" w:color="000000"/>
              <w:left w:val="single" w:sz="8" w:space="0" w:color="000000"/>
              <w:bottom w:val="single" w:sz="8" w:space="0" w:color="000000"/>
              <w:right w:val="single" w:sz="8" w:space="0" w:color="000000"/>
            </w:tcBorders>
          </w:tcPr>
          <w:p w14:paraId="65D073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spacing w:val="-1"/>
                <w:position w:val="-1"/>
                <w:sz w:val="20"/>
                <w:szCs w:val="20"/>
              </w:rPr>
              <w:t>se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3"/>
                <w:position w:val="-1"/>
                <w:sz w:val="20"/>
                <w:szCs w:val="20"/>
              </w:rPr>
              <w:t>l</w:t>
            </w:r>
            <w:r w:rsidRPr="00537112">
              <w:rPr>
                <w:rFonts w:cs="Verdana"/>
                <w:position w:val="-1"/>
                <w:sz w:val="20"/>
                <w:szCs w:val="20"/>
              </w:rPr>
              <w:t>a</w:t>
            </w:r>
            <w:r w:rsidRPr="00537112">
              <w:rPr>
                <w:rFonts w:cs="Verdana"/>
                <w:spacing w:val="-2"/>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50E5F4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044B3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142</w:t>
            </w:r>
          </w:p>
        </w:tc>
        <w:tc>
          <w:tcPr>
            <w:tcW w:w="3705" w:type="dxa"/>
            <w:tcBorders>
              <w:top w:val="single" w:sz="8" w:space="0" w:color="000000"/>
              <w:left w:val="single" w:sz="8" w:space="0" w:color="000000"/>
              <w:bottom w:val="single" w:sz="8" w:space="0" w:color="000000"/>
              <w:right w:val="single" w:sz="8" w:space="0" w:color="000000"/>
            </w:tcBorders>
          </w:tcPr>
          <w:p w14:paraId="26961B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nqu</w:t>
            </w:r>
            <w:r w:rsidRPr="00537112">
              <w:rPr>
                <w:rFonts w:cs="Verdana"/>
                <w:spacing w:val="3"/>
                <w:position w:val="-1"/>
                <w:sz w:val="20"/>
                <w:szCs w:val="20"/>
              </w:rPr>
              <w:t>ili</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79E11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200</w:t>
            </w:r>
          </w:p>
        </w:tc>
        <w:tc>
          <w:tcPr>
            <w:tcW w:w="3991" w:type="dxa"/>
            <w:tcBorders>
              <w:top w:val="single" w:sz="8" w:space="0" w:color="000000"/>
              <w:left w:val="single" w:sz="8" w:space="0" w:color="000000"/>
              <w:bottom w:val="single" w:sz="8" w:space="0" w:color="000000"/>
              <w:right w:val="single" w:sz="8" w:space="0" w:color="000000"/>
            </w:tcBorders>
          </w:tcPr>
          <w:p w14:paraId="360C68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4C078B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3693C0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143</w:t>
            </w:r>
          </w:p>
        </w:tc>
        <w:tc>
          <w:tcPr>
            <w:tcW w:w="3705" w:type="dxa"/>
            <w:tcBorders>
              <w:top w:val="single" w:sz="8" w:space="0" w:color="000000"/>
              <w:left w:val="single" w:sz="8" w:space="0" w:color="000000"/>
              <w:bottom w:val="single" w:sz="8" w:space="0" w:color="000000"/>
              <w:right w:val="single" w:sz="8" w:space="0" w:color="000000"/>
            </w:tcBorders>
          </w:tcPr>
          <w:p w14:paraId="57306B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7A744F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201</w:t>
            </w:r>
          </w:p>
        </w:tc>
        <w:tc>
          <w:tcPr>
            <w:tcW w:w="3991" w:type="dxa"/>
            <w:tcBorders>
              <w:top w:val="single" w:sz="8" w:space="0" w:color="000000"/>
              <w:left w:val="single" w:sz="8" w:space="0" w:color="000000"/>
              <w:bottom w:val="single" w:sz="8" w:space="0" w:color="000000"/>
              <w:right w:val="single" w:sz="8" w:space="0" w:color="000000"/>
            </w:tcBorders>
          </w:tcPr>
          <w:p w14:paraId="670DBA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1"/>
                <w:position w:val="-1"/>
                <w:sz w:val="20"/>
                <w:szCs w:val="20"/>
              </w:rPr>
              <w:t>o</w:t>
            </w:r>
            <w:r w:rsidRPr="00537112">
              <w:rPr>
                <w:rFonts w:cs="Verdana"/>
                <w:position w:val="-1"/>
                <w:sz w:val="20"/>
                <w:szCs w:val="20"/>
              </w:rPr>
              <w:t>d</w:t>
            </w:r>
            <w:r w:rsidRPr="00537112">
              <w:rPr>
                <w:rFonts w:cs="Verdana"/>
                <w:spacing w:val="-1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2EC6F44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6E3B8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144</w:t>
            </w:r>
          </w:p>
        </w:tc>
        <w:tc>
          <w:tcPr>
            <w:tcW w:w="3705" w:type="dxa"/>
            <w:tcBorders>
              <w:top w:val="single" w:sz="8" w:space="0" w:color="000000"/>
              <w:left w:val="single" w:sz="8" w:space="0" w:color="000000"/>
              <w:bottom w:val="single" w:sz="8" w:space="0" w:color="000000"/>
              <w:right w:val="single" w:sz="8" w:space="0" w:color="000000"/>
            </w:tcBorders>
          </w:tcPr>
          <w:p w14:paraId="592922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A27C2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202</w:t>
            </w:r>
          </w:p>
        </w:tc>
        <w:tc>
          <w:tcPr>
            <w:tcW w:w="3991" w:type="dxa"/>
            <w:tcBorders>
              <w:top w:val="single" w:sz="8" w:space="0" w:color="000000"/>
              <w:left w:val="single" w:sz="8" w:space="0" w:color="000000"/>
              <w:bottom w:val="single" w:sz="8" w:space="0" w:color="000000"/>
              <w:right w:val="single" w:sz="8" w:space="0" w:color="000000"/>
            </w:tcBorders>
          </w:tcPr>
          <w:p w14:paraId="025C6C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O</w:t>
            </w:r>
            <w:r w:rsidRPr="00537112">
              <w:rPr>
                <w:rFonts w:cs="Verdana"/>
                <w:spacing w:val="1"/>
                <w:position w:val="-1"/>
                <w:sz w:val="20"/>
                <w:szCs w:val="20"/>
              </w:rPr>
              <w:t>j</w:t>
            </w:r>
            <w:r w:rsidRPr="00537112">
              <w:rPr>
                <w:rFonts w:cs="Verdana"/>
                <w:spacing w:val="-1"/>
                <w:position w:val="-1"/>
                <w:sz w:val="20"/>
                <w:szCs w:val="20"/>
              </w:rPr>
              <w:t>ó</w:t>
            </w:r>
            <w:r w:rsidRPr="00537112">
              <w:rPr>
                <w:rFonts w:cs="Verdana"/>
                <w:position w:val="-1"/>
                <w:sz w:val="20"/>
                <w:szCs w:val="20"/>
              </w:rPr>
              <w:t>m</w:t>
            </w:r>
          </w:p>
        </w:tc>
      </w:tr>
      <w:tr w:rsidR="00537112" w:rsidRPr="00537112" w14:paraId="0C5664E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19703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145</w:t>
            </w:r>
          </w:p>
        </w:tc>
        <w:tc>
          <w:tcPr>
            <w:tcW w:w="3705" w:type="dxa"/>
            <w:tcBorders>
              <w:top w:val="single" w:sz="8" w:space="0" w:color="000000"/>
              <w:left w:val="single" w:sz="8" w:space="0" w:color="000000"/>
              <w:bottom w:val="single" w:sz="8" w:space="0" w:color="000000"/>
              <w:right w:val="single" w:sz="8" w:space="0" w:color="000000"/>
            </w:tcBorders>
          </w:tcPr>
          <w:p w14:paraId="396167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8C3124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203</w:t>
            </w:r>
          </w:p>
        </w:tc>
        <w:tc>
          <w:tcPr>
            <w:tcW w:w="3991" w:type="dxa"/>
            <w:tcBorders>
              <w:top w:val="single" w:sz="8" w:space="0" w:color="000000"/>
              <w:left w:val="single" w:sz="8" w:space="0" w:color="000000"/>
              <w:bottom w:val="single" w:sz="8" w:space="0" w:color="000000"/>
              <w:right w:val="single" w:sz="8" w:space="0" w:color="000000"/>
            </w:tcBorders>
          </w:tcPr>
          <w:p w14:paraId="1EA0728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4B9F939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96902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146</w:t>
            </w:r>
          </w:p>
        </w:tc>
        <w:tc>
          <w:tcPr>
            <w:tcW w:w="3705" w:type="dxa"/>
            <w:tcBorders>
              <w:top w:val="single" w:sz="8" w:space="0" w:color="000000"/>
              <w:left w:val="single" w:sz="8" w:space="0" w:color="000000"/>
              <w:bottom w:val="single" w:sz="8" w:space="0" w:color="000000"/>
              <w:right w:val="single" w:sz="8" w:space="0" w:color="000000"/>
            </w:tcBorders>
          </w:tcPr>
          <w:p w14:paraId="7C977E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AD38F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204</w:t>
            </w:r>
          </w:p>
        </w:tc>
        <w:tc>
          <w:tcPr>
            <w:tcW w:w="3991" w:type="dxa"/>
            <w:tcBorders>
              <w:top w:val="single" w:sz="8" w:space="0" w:color="000000"/>
              <w:left w:val="single" w:sz="8" w:space="0" w:color="000000"/>
              <w:bottom w:val="single" w:sz="8" w:space="0" w:color="000000"/>
              <w:right w:val="single" w:sz="8" w:space="0" w:color="000000"/>
            </w:tcBorders>
          </w:tcPr>
          <w:p w14:paraId="013AE6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3BDAA55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3ED00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147</w:t>
            </w:r>
          </w:p>
        </w:tc>
        <w:tc>
          <w:tcPr>
            <w:tcW w:w="3705" w:type="dxa"/>
            <w:tcBorders>
              <w:top w:val="single" w:sz="8" w:space="0" w:color="000000"/>
              <w:left w:val="single" w:sz="8" w:space="0" w:color="000000"/>
              <w:bottom w:val="single" w:sz="8" w:space="0" w:color="000000"/>
              <w:right w:val="single" w:sz="8" w:space="0" w:color="000000"/>
            </w:tcBorders>
          </w:tcPr>
          <w:p w14:paraId="763D4B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87E68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205</w:t>
            </w:r>
          </w:p>
        </w:tc>
        <w:tc>
          <w:tcPr>
            <w:tcW w:w="3991" w:type="dxa"/>
            <w:tcBorders>
              <w:top w:val="single" w:sz="8" w:space="0" w:color="000000"/>
              <w:left w:val="single" w:sz="8" w:space="0" w:color="000000"/>
              <w:bottom w:val="single" w:sz="8" w:space="0" w:color="000000"/>
              <w:right w:val="single" w:sz="8" w:space="0" w:color="000000"/>
            </w:tcBorders>
          </w:tcPr>
          <w:p w14:paraId="1473DC6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3"/>
                <w:position w:val="-1"/>
                <w:sz w:val="20"/>
                <w:szCs w:val="20"/>
              </w:rPr>
              <w:t>l</w:t>
            </w:r>
            <w:r w:rsidRPr="00537112">
              <w:rPr>
                <w:rFonts w:cs="Verdana"/>
                <w:position w:val="-1"/>
                <w:sz w:val="20"/>
                <w:szCs w:val="20"/>
              </w:rPr>
              <w:t>a</w:t>
            </w:r>
            <w:r w:rsidRPr="00537112">
              <w:rPr>
                <w:rFonts w:cs="Verdana"/>
                <w:spacing w:val="-2"/>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6FE8ABD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E050F1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148</w:t>
            </w:r>
          </w:p>
        </w:tc>
        <w:tc>
          <w:tcPr>
            <w:tcW w:w="3705" w:type="dxa"/>
            <w:tcBorders>
              <w:top w:val="single" w:sz="8" w:space="0" w:color="000000"/>
              <w:left w:val="single" w:sz="8" w:space="0" w:color="000000"/>
              <w:bottom w:val="single" w:sz="8" w:space="0" w:color="000000"/>
              <w:right w:val="single" w:sz="8" w:space="0" w:color="000000"/>
            </w:tcBorders>
          </w:tcPr>
          <w:p w14:paraId="33207F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0D100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206</w:t>
            </w:r>
          </w:p>
        </w:tc>
        <w:tc>
          <w:tcPr>
            <w:tcW w:w="3991" w:type="dxa"/>
            <w:tcBorders>
              <w:top w:val="single" w:sz="8" w:space="0" w:color="000000"/>
              <w:left w:val="single" w:sz="8" w:space="0" w:color="000000"/>
              <w:bottom w:val="single" w:sz="8" w:space="0" w:color="000000"/>
              <w:right w:val="single" w:sz="8" w:space="0" w:color="000000"/>
            </w:tcBorders>
          </w:tcPr>
          <w:p w14:paraId="6D083B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28A99A9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C14FE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149</w:t>
            </w:r>
          </w:p>
        </w:tc>
        <w:tc>
          <w:tcPr>
            <w:tcW w:w="3705" w:type="dxa"/>
            <w:tcBorders>
              <w:top w:val="single" w:sz="8" w:space="0" w:color="000000"/>
              <w:left w:val="single" w:sz="8" w:space="0" w:color="000000"/>
              <w:bottom w:val="single" w:sz="8" w:space="0" w:color="000000"/>
              <w:right w:val="single" w:sz="8" w:space="0" w:color="000000"/>
            </w:tcBorders>
          </w:tcPr>
          <w:p w14:paraId="5C77DC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Da</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úm</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D558E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207</w:t>
            </w:r>
          </w:p>
        </w:tc>
        <w:tc>
          <w:tcPr>
            <w:tcW w:w="3991" w:type="dxa"/>
            <w:tcBorders>
              <w:top w:val="single" w:sz="8" w:space="0" w:color="000000"/>
              <w:left w:val="single" w:sz="8" w:space="0" w:color="000000"/>
              <w:bottom w:val="single" w:sz="8" w:space="0" w:color="000000"/>
              <w:right w:val="single" w:sz="8" w:space="0" w:color="000000"/>
            </w:tcBorders>
          </w:tcPr>
          <w:p w14:paraId="563E21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as</w:t>
            </w:r>
          </w:p>
        </w:tc>
      </w:tr>
      <w:tr w:rsidR="00537112" w:rsidRPr="00537112" w14:paraId="5B37541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D9C13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150</w:t>
            </w:r>
          </w:p>
        </w:tc>
        <w:tc>
          <w:tcPr>
            <w:tcW w:w="3705" w:type="dxa"/>
            <w:tcBorders>
              <w:top w:val="single" w:sz="8" w:space="0" w:color="000000"/>
              <w:left w:val="single" w:sz="8" w:space="0" w:color="000000"/>
              <w:bottom w:val="single" w:sz="8" w:space="0" w:color="000000"/>
              <w:right w:val="single" w:sz="8" w:space="0" w:color="000000"/>
            </w:tcBorders>
          </w:tcPr>
          <w:p w14:paraId="3797B4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203034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208</w:t>
            </w:r>
          </w:p>
        </w:tc>
        <w:tc>
          <w:tcPr>
            <w:tcW w:w="3991" w:type="dxa"/>
            <w:tcBorders>
              <w:top w:val="single" w:sz="8" w:space="0" w:color="000000"/>
              <w:left w:val="single" w:sz="8" w:space="0" w:color="000000"/>
              <w:bottom w:val="single" w:sz="8" w:space="0" w:color="000000"/>
              <w:right w:val="single" w:sz="8" w:space="0" w:color="000000"/>
            </w:tcBorders>
          </w:tcPr>
          <w:p w14:paraId="58A208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00B86F4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4A0FC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151</w:t>
            </w:r>
          </w:p>
        </w:tc>
        <w:tc>
          <w:tcPr>
            <w:tcW w:w="3705" w:type="dxa"/>
            <w:tcBorders>
              <w:top w:val="single" w:sz="8" w:space="0" w:color="000000"/>
              <w:left w:val="single" w:sz="8" w:space="0" w:color="000000"/>
              <w:bottom w:val="single" w:sz="8" w:space="0" w:color="000000"/>
              <w:right w:val="single" w:sz="8" w:space="0" w:color="000000"/>
            </w:tcBorders>
          </w:tcPr>
          <w:p w14:paraId="5F074D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T</w:t>
            </w:r>
            <w:r w:rsidRPr="00537112">
              <w:rPr>
                <w:rFonts w:cs="Verdana"/>
                <w:spacing w:val="-1"/>
                <w:position w:val="-1"/>
                <w:sz w:val="20"/>
                <w:szCs w:val="20"/>
              </w:rPr>
              <w:t>o</w:t>
            </w:r>
            <w:r w:rsidRPr="00537112">
              <w:rPr>
                <w:rFonts w:cs="Verdana"/>
                <w:position w:val="-1"/>
                <w:sz w:val="20"/>
                <w:szCs w:val="20"/>
              </w:rPr>
              <w:t>j</w:t>
            </w:r>
            <w:r w:rsidRPr="00537112">
              <w:rPr>
                <w:rFonts w:cs="Verdana"/>
                <w:spacing w:val="-3"/>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623D3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209</w:t>
            </w:r>
          </w:p>
        </w:tc>
        <w:tc>
          <w:tcPr>
            <w:tcW w:w="3991" w:type="dxa"/>
            <w:tcBorders>
              <w:top w:val="single" w:sz="8" w:space="0" w:color="000000"/>
              <w:left w:val="single" w:sz="8" w:space="0" w:color="000000"/>
              <w:bottom w:val="single" w:sz="8" w:space="0" w:color="000000"/>
              <w:right w:val="single" w:sz="8" w:space="0" w:color="000000"/>
            </w:tcBorders>
          </w:tcPr>
          <w:p w14:paraId="17645F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p>
        </w:tc>
      </w:tr>
      <w:tr w:rsidR="00537112" w:rsidRPr="00537112" w14:paraId="5BF1B1A6"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E90FBE9"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152</w:t>
            </w:r>
          </w:p>
        </w:tc>
        <w:tc>
          <w:tcPr>
            <w:tcW w:w="3705" w:type="dxa"/>
            <w:tcBorders>
              <w:top w:val="single" w:sz="8" w:space="0" w:color="000000"/>
              <w:left w:val="single" w:sz="8" w:space="0" w:color="000000"/>
              <w:bottom w:val="single" w:sz="8" w:space="0" w:color="000000"/>
              <w:right w:val="single" w:sz="8" w:space="0" w:color="000000"/>
            </w:tcBorders>
          </w:tcPr>
          <w:p w14:paraId="5B1CF7AE"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Er</w:t>
            </w:r>
            <w:r w:rsidRPr="00537112">
              <w:rPr>
                <w:rFonts w:cs="Verdana"/>
                <w:spacing w:val="1"/>
                <w:position w:val="-1"/>
                <w:sz w:val="20"/>
                <w:szCs w:val="20"/>
              </w:rPr>
              <w:t>n</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oj</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156B1F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210</w:t>
            </w:r>
          </w:p>
        </w:tc>
        <w:tc>
          <w:tcPr>
            <w:tcW w:w="3991" w:type="dxa"/>
            <w:tcBorders>
              <w:top w:val="single" w:sz="8" w:space="0" w:color="000000"/>
              <w:left w:val="single" w:sz="8" w:space="0" w:color="000000"/>
              <w:bottom w:val="single" w:sz="8" w:space="0" w:color="000000"/>
              <w:right w:val="single" w:sz="8" w:space="0" w:color="000000"/>
            </w:tcBorders>
          </w:tcPr>
          <w:p w14:paraId="75F53B5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06DF898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23912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153</w:t>
            </w:r>
          </w:p>
        </w:tc>
        <w:tc>
          <w:tcPr>
            <w:tcW w:w="3705" w:type="dxa"/>
            <w:tcBorders>
              <w:top w:val="single" w:sz="8" w:space="0" w:color="000000"/>
              <w:left w:val="single" w:sz="8" w:space="0" w:color="000000"/>
              <w:bottom w:val="single" w:sz="8" w:space="0" w:color="000000"/>
              <w:right w:val="single" w:sz="8" w:space="0" w:color="000000"/>
            </w:tcBorders>
          </w:tcPr>
          <w:p w14:paraId="427D54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il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D31B1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211</w:t>
            </w:r>
          </w:p>
        </w:tc>
        <w:tc>
          <w:tcPr>
            <w:tcW w:w="3991" w:type="dxa"/>
            <w:tcBorders>
              <w:top w:val="single" w:sz="8" w:space="0" w:color="000000"/>
              <w:left w:val="single" w:sz="8" w:space="0" w:color="000000"/>
              <w:bottom w:val="single" w:sz="8" w:space="0" w:color="000000"/>
              <w:right w:val="single" w:sz="8" w:space="0" w:color="000000"/>
            </w:tcBorders>
          </w:tcPr>
          <w:p w14:paraId="567CA5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229E001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8AB6C6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154</w:t>
            </w:r>
          </w:p>
        </w:tc>
        <w:tc>
          <w:tcPr>
            <w:tcW w:w="3705" w:type="dxa"/>
            <w:tcBorders>
              <w:top w:val="single" w:sz="8" w:space="0" w:color="000000"/>
              <w:left w:val="single" w:sz="8" w:space="0" w:color="000000"/>
              <w:bottom w:val="single" w:sz="8" w:space="0" w:color="000000"/>
              <w:right w:val="single" w:sz="8" w:space="0" w:color="000000"/>
            </w:tcBorders>
          </w:tcPr>
          <w:p w14:paraId="736AE1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u</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66227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212</w:t>
            </w:r>
          </w:p>
        </w:tc>
        <w:tc>
          <w:tcPr>
            <w:tcW w:w="3991" w:type="dxa"/>
            <w:tcBorders>
              <w:top w:val="single" w:sz="8" w:space="0" w:color="000000"/>
              <w:left w:val="single" w:sz="8" w:space="0" w:color="000000"/>
              <w:bottom w:val="single" w:sz="8" w:space="0" w:color="000000"/>
              <w:right w:val="single" w:sz="8" w:space="0" w:color="000000"/>
            </w:tcBorders>
          </w:tcPr>
          <w:p w14:paraId="5E8154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2635F57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276CC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155</w:t>
            </w:r>
          </w:p>
        </w:tc>
        <w:tc>
          <w:tcPr>
            <w:tcW w:w="3705" w:type="dxa"/>
            <w:tcBorders>
              <w:top w:val="single" w:sz="8" w:space="0" w:color="000000"/>
              <w:left w:val="single" w:sz="8" w:space="0" w:color="000000"/>
              <w:bottom w:val="single" w:sz="8" w:space="0" w:color="000000"/>
              <w:right w:val="single" w:sz="8" w:space="0" w:color="000000"/>
            </w:tcBorders>
          </w:tcPr>
          <w:p w14:paraId="42A04D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position w:val="-1"/>
                <w:sz w:val="20"/>
                <w:szCs w:val="20"/>
              </w:rPr>
              <w:t>va</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ACFEA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213</w:t>
            </w:r>
          </w:p>
        </w:tc>
        <w:tc>
          <w:tcPr>
            <w:tcW w:w="3991" w:type="dxa"/>
            <w:tcBorders>
              <w:top w:val="single" w:sz="8" w:space="0" w:color="000000"/>
              <w:left w:val="single" w:sz="8" w:space="0" w:color="000000"/>
              <w:bottom w:val="single" w:sz="8" w:space="0" w:color="000000"/>
              <w:right w:val="single" w:sz="8" w:space="0" w:color="000000"/>
            </w:tcBorders>
          </w:tcPr>
          <w:p w14:paraId="355C04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é</w:t>
            </w:r>
            <w:r w:rsidRPr="00537112">
              <w:rPr>
                <w:rFonts w:cs="Verdana"/>
                <w:spacing w:val="3"/>
                <w:position w:val="-1"/>
                <w:sz w:val="20"/>
                <w:szCs w:val="20"/>
              </w:rPr>
              <w:t>li</w:t>
            </w:r>
            <w:r w:rsidRPr="00537112">
              <w:rPr>
                <w:rFonts w:cs="Verdana"/>
                <w:position w:val="-1"/>
                <w:sz w:val="20"/>
                <w:szCs w:val="20"/>
              </w:rPr>
              <w:t>x</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6019DBB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F1638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156</w:t>
            </w:r>
          </w:p>
        </w:tc>
        <w:tc>
          <w:tcPr>
            <w:tcW w:w="3705" w:type="dxa"/>
            <w:tcBorders>
              <w:top w:val="single" w:sz="8" w:space="0" w:color="000000"/>
              <w:left w:val="single" w:sz="8" w:space="0" w:color="000000"/>
              <w:bottom w:val="single" w:sz="8" w:space="0" w:color="000000"/>
              <w:right w:val="single" w:sz="8" w:space="0" w:color="000000"/>
            </w:tcBorders>
          </w:tcPr>
          <w:p w14:paraId="1284A27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co</w:t>
            </w:r>
            <w:r w:rsidRPr="00537112">
              <w:rPr>
                <w:rFonts w:cs="Verdana"/>
                <w:spacing w:val="1"/>
                <w:position w:val="-1"/>
                <w:sz w:val="20"/>
                <w:szCs w:val="20"/>
              </w:rPr>
              <w:t>b</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55A55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214</w:t>
            </w:r>
          </w:p>
        </w:tc>
        <w:tc>
          <w:tcPr>
            <w:tcW w:w="3991" w:type="dxa"/>
            <w:tcBorders>
              <w:top w:val="single" w:sz="8" w:space="0" w:color="000000"/>
              <w:left w:val="single" w:sz="8" w:space="0" w:color="000000"/>
              <w:bottom w:val="single" w:sz="8" w:space="0" w:color="000000"/>
              <w:right w:val="single" w:sz="8" w:space="0" w:color="000000"/>
            </w:tcBorders>
          </w:tcPr>
          <w:p w14:paraId="758DE8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3C409E7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B0FA22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157</w:t>
            </w:r>
          </w:p>
        </w:tc>
        <w:tc>
          <w:tcPr>
            <w:tcW w:w="3705" w:type="dxa"/>
            <w:tcBorders>
              <w:top w:val="single" w:sz="8" w:space="0" w:color="000000"/>
              <w:left w:val="single" w:sz="8" w:space="0" w:color="000000"/>
              <w:bottom w:val="single" w:sz="8" w:space="0" w:color="000000"/>
              <w:right w:val="single" w:sz="8" w:space="0" w:color="000000"/>
            </w:tcBorders>
          </w:tcPr>
          <w:p w14:paraId="01CD5AE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E2475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215</w:t>
            </w:r>
          </w:p>
        </w:tc>
        <w:tc>
          <w:tcPr>
            <w:tcW w:w="3991" w:type="dxa"/>
            <w:tcBorders>
              <w:top w:val="single" w:sz="8" w:space="0" w:color="000000"/>
              <w:left w:val="single" w:sz="8" w:space="0" w:color="000000"/>
              <w:bottom w:val="single" w:sz="8" w:space="0" w:color="000000"/>
              <w:right w:val="single" w:sz="8" w:space="0" w:color="000000"/>
            </w:tcBorders>
          </w:tcPr>
          <w:p w14:paraId="17B600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fo</w:t>
            </w:r>
            <w:r w:rsidRPr="00537112">
              <w:rPr>
                <w:rFonts w:cs="Verdana"/>
                <w:spacing w:val="1"/>
                <w:position w:val="-1"/>
                <w:sz w:val="20"/>
                <w:szCs w:val="20"/>
              </w:rPr>
              <w:t>n</w:t>
            </w:r>
            <w:r w:rsidRPr="00537112">
              <w:rPr>
                <w:rFonts w:cs="Verdana"/>
                <w:spacing w:val="-1"/>
                <w:position w:val="-1"/>
                <w:sz w:val="20"/>
                <w:szCs w:val="20"/>
              </w:rPr>
              <w:t>s</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251205A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60CAC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158</w:t>
            </w:r>
          </w:p>
        </w:tc>
        <w:tc>
          <w:tcPr>
            <w:tcW w:w="3705" w:type="dxa"/>
            <w:tcBorders>
              <w:top w:val="single" w:sz="8" w:space="0" w:color="000000"/>
              <w:left w:val="single" w:sz="8" w:space="0" w:color="000000"/>
              <w:bottom w:val="single" w:sz="8" w:space="0" w:color="000000"/>
              <w:right w:val="single" w:sz="8" w:space="0" w:color="000000"/>
            </w:tcBorders>
          </w:tcPr>
          <w:p w14:paraId="7F3F9F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Ab</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án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6E8ED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216</w:t>
            </w:r>
          </w:p>
        </w:tc>
        <w:tc>
          <w:tcPr>
            <w:tcW w:w="3991" w:type="dxa"/>
            <w:tcBorders>
              <w:top w:val="single" w:sz="8" w:space="0" w:color="000000"/>
              <w:left w:val="single" w:sz="8" w:space="0" w:color="000000"/>
              <w:bottom w:val="single" w:sz="8" w:space="0" w:color="000000"/>
              <w:right w:val="single" w:sz="8" w:space="0" w:color="000000"/>
            </w:tcBorders>
          </w:tcPr>
          <w:p w14:paraId="70DE8E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433B7EF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F6F07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159</w:t>
            </w:r>
          </w:p>
        </w:tc>
        <w:tc>
          <w:tcPr>
            <w:tcW w:w="3705" w:type="dxa"/>
            <w:tcBorders>
              <w:top w:val="single" w:sz="8" w:space="0" w:color="000000"/>
              <w:left w:val="single" w:sz="8" w:space="0" w:color="000000"/>
              <w:bottom w:val="single" w:sz="8" w:space="0" w:color="000000"/>
              <w:right w:val="single" w:sz="8" w:space="0" w:color="000000"/>
            </w:tcBorders>
          </w:tcPr>
          <w:p w14:paraId="21823F3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CBFC5E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217</w:t>
            </w:r>
          </w:p>
        </w:tc>
        <w:tc>
          <w:tcPr>
            <w:tcW w:w="3991" w:type="dxa"/>
            <w:tcBorders>
              <w:top w:val="single" w:sz="8" w:space="0" w:color="000000"/>
              <w:left w:val="single" w:sz="8" w:space="0" w:color="000000"/>
              <w:bottom w:val="single" w:sz="8" w:space="0" w:color="000000"/>
              <w:right w:val="single" w:sz="8" w:space="0" w:color="000000"/>
            </w:tcBorders>
          </w:tcPr>
          <w:p w14:paraId="0418B74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Max</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7DDBC1E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C8202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160</w:t>
            </w:r>
          </w:p>
        </w:tc>
        <w:tc>
          <w:tcPr>
            <w:tcW w:w="3705" w:type="dxa"/>
            <w:tcBorders>
              <w:top w:val="single" w:sz="8" w:space="0" w:color="000000"/>
              <w:left w:val="single" w:sz="8" w:space="0" w:color="000000"/>
              <w:bottom w:val="single" w:sz="8" w:space="0" w:color="000000"/>
              <w:right w:val="single" w:sz="8" w:space="0" w:color="000000"/>
            </w:tcBorders>
          </w:tcPr>
          <w:p w14:paraId="02A89F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A00DD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218</w:t>
            </w:r>
          </w:p>
        </w:tc>
        <w:tc>
          <w:tcPr>
            <w:tcW w:w="3991" w:type="dxa"/>
            <w:tcBorders>
              <w:top w:val="single" w:sz="8" w:space="0" w:color="000000"/>
              <w:left w:val="single" w:sz="8" w:space="0" w:color="000000"/>
              <w:bottom w:val="single" w:sz="8" w:space="0" w:color="000000"/>
              <w:right w:val="single" w:sz="8" w:space="0" w:color="000000"/>
            </w:tcBorders>
          </w:tcPr>
          <w:p w14:paraId="2E3D39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w:t>
            </w:r>
            <w:r w:rsidRPr="00537112">
              <w:rPr>
                <w:rFonts w:cs="Verdana"/>
                <w:spacing w:val="3"/>
                <w:position w:val="-1"/>
                <w:sz w:val="20"/>
                <w:szCs w:val="20"/>
              </w:rPr>
              <w:t>li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5E9A0F7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2AB6D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161</w:t>
            </w:r>
          </w:p>
        </w:tc>
        <w:tc>
          <w:tcPr>
            <w:tcW w:w="3705" w:type="dxa"/>
            <w:tcBorders>
              <w:top w:val="single" w:sz="8" w:space="0" w:color="000000"/>
              <w:left w:val="single" w:sz="8" w:space="0" w:color="000000"/>
              <w:bottom w:val="single" w:sz="8" w:space="0" w:color="000000"/>
              <w:right w:val="single" w:sz="8" w:space="0" w:color="000000"/>
            </w:tcBorders>
          </w:tcPr>
          <w:p w14:paraId="3595920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ose</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60F38F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219</w:t>
            </w:r>
          </w:p>
        </w:tc>
        <w:tc>
          <w:tcPr>
            <w:tcW w:w="3991" w:type="dxa"/>
            <w:tcBorders>
              <w:top w:val="single" w:sz="8" w:space="0" w:color="000000"/>
              <w:left w:val="single" w:sz="8" w:space="0" w:color="000000"/>
              <w:bottom w:val="single" w:sz="8" w:space="0" w:color="000000"/>
              <w:right w:val="single" w:sz="8" w:space="0" w:color="000000"/>
            </w:tcBorders>
          </w:tcPr>
          <w:p w14:paraId="5108EDD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as</w:t>
            </w:r>
          </w:p>
        </w:tc>
      </w:tr>
      <w:tr w:rsidR="00537112" w:rsidRPr="00537112" w14:paraId="21878FB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7508D2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162</w:t>
            </w:r>
          </w:p>
        </w:tc>
        <w:tc>
          <w:tcPr>
            <w:tcW w:w="3705" w:type="dxa"/>
            <w:tcBorders>
              <w:top w:val="single" w:sz="8" w:space="0" w:color="000000"/>
              <w:left w:val="single" w:sz="8" w:space="0" w:color="000000"/>
              <w:bottom w:val="single" w:sz="8" w:space="0" w:color="000000"/>
              <w:right w:val="single" w:sz="8" w:space="0" w:color="000000"/>
            </w:tcBorders>
          </w:tcPr>
          <w:p w14:paraId="4843856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du</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161AC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220</w:t>
            </w:r>
          </w:p>
        </w:tc>
        <w:tc>
          <w:tcPr>
            <w:tcW w:w="3991" w:type="dxa"/>
            <w:tcBorders>
              <w:top w:val="single" w:sz="8" w:space="0" w:color="000000"/>
              <w:left w:val="single" w:sz="8" w:space="0" w:color="000000"/>
              <w:bottom w:val="single" w:sz="8" w:space="0" w:color="000000"/>
              <w:right w:val="single" w:sz="8" w:space="0" w:color="000000"/>
            </w:tcBorders>
          </w:tcPr>
          <w:p w14:paraId="7B2DA7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14AC0AD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8A030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163</w:t>
            </w:r>
          </w:p>
        </w:tc>
        <w:tc>
          <w:tcPr>
            <w:tcW w:w="3705" w:type="dxa"/>
            <w:tcBorders>
              <w:top w:val="single" w:sz="8" w:space="0" w:color="000000"/>
              <w:left w:val="single" w:sz="8" w:space="0" w:color="000000"/>
              <w:bottom w:val="single" w:sz="8" w:space="0" w:color="000000"/>
              <w:right w:val="single" w:sz="8" w:space="0" w:color="000000"/>
            </w:tcBorders>
          </w:tcPr>
          <w:p w14:paraId="648398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é</w:t>
            </w:r>
            <w:r w:rsidRPr="00537112">
              <w:rPr>
                <w:rFonts w:cs="Verdana"/>
                <w:spacing w:val="-7"/>
                <w:position w:val="-1"/>
                <w:sz w:val="20"/>
                <w:szCs w:val="20"/>
              </w:rPr>
              <w:t xml:space="preserve"> </w:t>
            </w:r>
            <w:r w:rsidRPr="00537112">
              <w:rPr>
                <w:rFonts w:cs="Verdana"/>
                <w:spacing w:val="1"/>
                <w:position w:val="-1"/>
                <w:sz w:val="20"/>
                <w:szCs w:val="20"/>
              </w:rPr>
              <w:t>Ap</w:t>
            </w:r>
            <w:r w:rsidRPr="00537112">
              <w:rPr>
                <w:rFonts w:cs="Verdana"/>
                <w:spacing w:val="-1"/>
                <w:position w:val="-1"/>
                <w:sz w:val="20"/>
                <w:szCs w:val="20"/>
              </w:rPr>
              <w:t>o</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786CA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221</w:t>
            </w:r>
          </w:p>
        </w:tc>
        <w:tc>
          <w:tcPr>
            <w:tcW w:w="3991" w:type="dxa"/>
            <w:tcBorders>
              <w:top w:val="single" w:sz="8" w:space="0" w:color="000000"/>
              <w:left w:val="single" w:sz="8" w:space="0" w:color="000000"/>
              <w:bottom w:val="single" w:sz="8" w:space="0" w:color="000000"/>
              <w:right w:val="single" w:sz="8" w:space="0" w:color="000000"/>
            </w:tcBorders>
          </w:tcPr>
          <w:p w14:paraId="79001ED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0E6CEBD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72830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164</w:t>
            </w:r>
          </w:p>
        </w:tc>
        <w:tc>
          <w:tcPr>
            <w:tcW w:w="3705" w:type="dxa"/>
            <w:tcBorders>
              <w:top w:val="single" w:sz="8" w:space="0" w:color="000000"/>
              <w:left w:val="single" w:sz="8" w:space="0" w:color="000000"/>
              <w:bottom w:val="single" w:sz="8" w:space="0" w:color="000000"/>
              <w:right w:val="single" w:sz="8" w:space="0" w:color="000000"/>
            </w:tcBorders>
          </w:tcPr>
          <w:p w14:paraId="4BC900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or</w:t>
            </w:r>
            <w:r w:rsidRPr="00537112">
              <w:rPr>
                <w:rFonts w:cs="Verdana"/>
                <w:spacing w:val="1"/>
                <w:position w:val="-1"/>
                <w:sz w:val="20"/>
                <w:szCs w:val="20"/>
              </w:rPr>
              <w:t>g</w:t>
            </w:r>
            <w:r w:rsidRPr="00537112">
              <w:rPr>
                <w:rFonts w:cs="Verdana"/>
                <w:position w:val="-1"/>
                <w:sz w:val="20"/>
                <w:szCs w:val="20"/>
              </w:rPr>
              <w:t>e</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e</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91980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222</w:t>
            </w:r>
          </w:p>
        </w:tc>
        <w:tc>
          <w:tcPr>
            <w:tcW w:w="3991" w:type="dxa"/>
            <w:tcBorders>
              <w:top w:val="single" w:sz="8" w:space="0" w:color="000000"/>
              <w:left w:val="single" w:sz="8" w:space="0" w:color="000000"/>
              <w:bottom w:val="single" w:sz="8" w:space="0" w:color="000000"/>
              <w:right w:val="single" w:sz="8" w:space="0" w:color="000000"/>
            </w:tcBorders>
          </w:tcPr>
          <w:p w14:paraId="625C6A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039E1D1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3A048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165</w:t>
            </w:r>
          </w:p>
        </w:tc>
        <w:tc>
          <w:tcPr>
            <w:tcW w:w="3705" w:type="dxa"/>
            <w:tcBorders>
              <w:top w:val="single" w:sz="8" w:space="0" w:color="000000"/>
              <w:left w:val="single" w:sz="8" w:space="0" w:color="000000"/>
              <w:bottom w:val="single" w:sz="8" w:space="0" w:color="000000"/>
              <w:right w:val="single" w:sz="8" w:space="0" w:color="000000"/>
            </w:tcBorders>
          </w:tcPr>
          <w:p w14:paraId="37122B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F09C59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223</w:t>
            </w:r>
          </w:p>
        </w:tc>
        <w:tc>
          <w:tcPr>
            <w:tcW w:w="3991" w:type="dxa"/>
            <w:tcBorders>
              <w:top w:val="single" w:sz="8" w:space="0" w:color="000000"/>
              <w:left w:val="single" w:sz="8" w:space="0" w:color="000000"/>
              <w:bottom w:val="single" w:sz="8" w:space="0" w:color="000000"/>
              <w:right w:val="single" w:sz="8" w:space="0" w:color="000000"/>
            </w:tcBorders>
          </w:tcPr>
          <w:p w14:paraId="44EE43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Leo</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Herrer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705B3FB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3CFE4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166</w:t>
            </w:r>
          </w:p>
        </w:tc>
        <w:tc>
          <w:tcPr>
            <w:tcW w:w="3705" w:type="dxa"/>
            <w:tcBorders>
              <w:top w:val="single" w:sz="8" w:space="0" w:color="000000"/>
              <w:left w:val="single" w:sz="8" w:space="0" w:color="000000"/>
              <w:bottom w:val="single" w:sz="8" w:space="0" w:color="000000"/>
              <w:right w:val="single" w:sz="8" w:space="0" w:color="000000"/>
            </w:tcBorders>
          </w:tcPr>
          <w:p w14:paraId="39759C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01263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224</w:t>
            </w:r>
          </w:p>
        </w:tc>
        <w:tc>
          <w:tcPr>
            <w:tcW w:w="3991" w:type="dxa"/>
            <w:tcBorders>
              <w:top w:val="single" w:sz="8" w:space="0" w:color="000000"/>
              <w:left w:val="single" w:sz="8" w:space="0" w:color="000000"/>
              <w:bottom w:val="single" w:sz="8" w:space="0" w:color="000000"/>
              <w:right w:val="single" w:sz="8" w:space="0" w:color="000000"/>
            </w:tcBorders>
          </w:tcPr>
          <w:p w14:paraId="0C81F33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sr</w:t>
            </w:r>
            <w:r w:rsidRPr="00537112">
              <w:rPr>
                <w:rFonts w:cs="Verdana"/>
                <w:position w:val="-1"/>
                <w:sz w:val="20"/>
                <w:szCs w:val="20"/>
              </w:rPr>
              <w:t>a</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h</w:t>
            </w:r>
            <w:r w:rsidRPr="00537112">
              <w:rPr>
                <w:rFonts w:cs="Verdana"/>
                <w:position w:val="-1"/>
                <w:sz w:val="20"/>
                <w:szCs w:val="20"/>
              </w:rPr>
              <w:t>í</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Herrera</w:t>
            </w:r>
          </w:p>
        </w:tc>
      </w:tr>
      <w:tr w:rsidR="00537112" w:rsidRPr="00537112" w14:paraId="37665E1B"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7A75F89"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167</w:t>
            </w:r>
          </w:p>
        </w:tc>
        <w:tc>
          <w:tcPr>
            <w:tcW w:w="3705" w:type="dxa"/>
            <w:tcBorders>
              <w:top w:val="single" w:sz="8" w:space="0" w:color="000000"/>
              <w:left w:val="single" w:sz="8" w:space="0" w:color="000000"/>
              <w:bottom w:val="single" w:sz="8" w:space="0" w:color="000000"/>
              <w:right w:val="single" w:sz="8" w:space="0" w:color="000000"/>
            </w:tcBorders>
          </w:tcPr>
          <w:p w14:paraId="6B08FCE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2DA5C84"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225</w:t>
            </w:r>
          </w:p>
        </w:tc>
        <w:tc>
          <w:tcPr>
            <w:tcW w:w="3991" w:type="dxa"/>
            <w:tcBorders>
              <w:top w:val="single" w:sz="8" w:space="0" w:color="000000"/>
              <w:left w:val="single" w:sz="8" w:space="0" w:color="000000"/>
              <w:bottom w:val="single" w:sz="8" w:space="0" w:color="000000"/>
              <w:right w:val="single" w:sz="8" w:space="0" w:color="000000"/>
            </w:tcBorders>
          </w:tcPr>
          <w:p w14:paraId="1E1C1BE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39796E1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D3503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168</w:t>
            </w:r>
          </w:p>
        </w:tc>
        <w:tc>
          <w:tcPr>
            <w:tcW w:w="3705" w:type="dxa"/>
            <w:tcBorders>
              <w:top w:val="single" w:sz="8" w:space="0" w:color="000000"/>
              <w:left w:val="single" w:sz="8" w:space="0" w:color="000000"/>
              <w:bottom w:val="single" w:sz="8" w:space="0" w:color="000000"/>
              <w:right w:val="single" w:sz="8" w:space="0" w:color="000000"/>
            </w:tcBorders>
          </w:tcPr>
          <w:p w14:paraId="25DBFE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3C667C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226</w:t>
            </w:r>
          </w:p>
        </w:tc>
        <w:tc>
          <w:tcPr>
            <w:tcW w:w="3991" w:type="dxa"/>
            <w:tcBorders>
              <w:top w:val="single" w:sz="8" w:space="0" w:color="000000"/>
              <w:left w:val="single" w:sz="8" w:space="0" w:color="000000"/>
              <w:bottom w:val="single" w:sz="8" w:space="0" w:color="000000"/>
              <w:right w:val="single" w:sz="8" w:space="0" w:color="000000"/>
            </w:tcBorders>
          </w:tcPr>
          <w:p w14:paraId="6D88F05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z</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h</w:t>
            </w:r>
            <w:r w:rsidRPr="00537112">
              <w:rPr>
                <w:rFonts w:cs="Verdana"/>
                <w:spacing w:val="-9"/>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ía</w:t>
            </w:r>
          </w:p>
        </w:tc>
      </w:tr>
    </w:tbl>
    <w:p w14:paraId="0281F1AE"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headerReference w:type="default" r:id="rId18"/>
          <w:pgSz w:w="12260" w:h="15840"/>
          <w:pgMar w:top="620" w:right="1720" w:bottom="280" w:left="1340" w:header="0" w:footer="0" w:gutter="0"/>
          <w:cols w:space="720"/>
          <w:noEndnote/>
        </w:sectPr>
      </w:pPr>
    </w:p>
    <w:p w14:paraId="4E215AF4" w14:textId="77777777" w:rsidR="00537112" w:rsidRPr="00537112" w:rsidRDefault="00537112" w:rsidP="00537112">
      <w:pPr>
        <w:autoSpaceDE w:val="0"/>
        <w:autoSpaceDN w:val="0"/>
        <w:spacing w:before="9" w:line="80" w:lineRule="exact"/>
        <w:jc w:val="left"/>
        <w:textAlignment w:val="auto"/>
        <w:rPr>
          <w:rFonts w:ascii="Times New Roman" w:hAnsi="Times New Roman"/>
          <w:sz w:val="8"/>
          <w:szCs w:val="8"/>
        </w:rPr>
      </w:pPr>
    </w:p>
    <w:tbl>
      <w:tblPr>
        <w:tblW w:w="0" w:type="auto"/>
        <w:tblInd w:w="113" w:type="dxa"/>
        <w:tblLayout w:type="fixed"/>
        <w:tblCellMar>
          <w:left w:w="0" w:type="dxa"/>
          <w:right w:w="0" w:type="dxa"/>
        </w:tblCellMar>
        <w:tblLook w:val="0000" w:firstRow="0" w:lastRow="0" w:firstColumn="0" w:lastColumn="0" w:noHBand="0" w:noVBand="0"/>
      </w:tblPr>
      <w:tblGrid>
        <w:gridCol w:w="569"/>
        <w:gridCol w:w="3705"/>
        <w:gridCol w:w="584"/>
        <w:gridCol w:w="3991"/>
      </w:tblGrid>
      <w:tr w:rsidR="00537112" w:rsidRPr="00537112" w14:paraId="0ED880E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0AB2C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227</w:t>
            </w:r>
          </w:p>
        </w:tc>
        <w:tc>
          <w:tcPr>
            <w:tcW w:w="3705" w:type="dxa"/>
            <w:tcBorders>
              <w:top w:val="single" w:sz="8" w:space="0" w:color="000000"/>
              <w:left w:val="single" w:sz="8" w:space="0" w:color="000000"/>
              <w:bottom w:val="single" w:sz="8" w:space="0" w:color="000000"/>
              <w:right w:val="single" w:sz="8" w:space="0" w:color="000000"/>
            </w:tcBorders>
          </w:tcPr>
          <w:p w14:paraId="71C668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3A23A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282</w:t>
            </w:r>
          </w:p>
        </w:tc>
        <w:tc>
          <w:tcPr>
            <w:tcW w:w="3991" w:type="dxa"/>
            <w:tcBorders>
              <w:top w:val="single" w:sz="8" w:space="0" w:color="000000"/>
              <w:left w:val="single" w:sz="8" w:space="0" w:color="000000"/>
              <w:bottom w:val="single" w:sz="8" w:space="0" w:color="000000"/>
              <w:right w:val="single" w:sz="8" w:space="0" w:color="000000"/>
            </w:tcBorders>
          </w:tcPr>
          <w:p w14:paraId="619AE8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D</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ore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633F68A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2D503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228</w:t>
            </w:r>
          </w:p>
        </w:tc>
        <w:tc>
          <w:tcPr>
            <w:tcW w:w="3705" w:type="dxa"/>
            <w:tcBorders>
              <w:top w:val="single" w:sz="8" w:space="0" w:color="000000"/>
              <w:left w:val="single" w:sz="8" w:space="0" w:color="000000"/>
              <w:bottom w:val="single" w:sz="8" w:space="0" w:color="000000"/>
              <w:right w:val="single" w:sz="8" w:space="0" w:color="000000"/>
            </w:tcBorders>
          </w:tcPr>
          <w:p w14:paraId="60FF44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o</w:t>
            </w:r>
            <w:r w:rsidRPr="00537112">
              <w:rPr>
                <w:rFonts w:cs="Verdana"/>
                <w:spacing w:val="3"/>
                <w:position w:val="-1"/>
                <w:sz w:val="20"/>
                <w:szCs w:val="20"/>
              </w:rPr>
              <w:t>i</w:t>
            </w:r>
            <w:r w:rsidRPr="00537112">
              <w:rPr>
                <w:rFonts w:cs="Verdana"/>
                <w:spacing w:val="-1"/>
                <w:position w:val="-1"/>
                <w:sz w:val="20"/>
                <w:szCs w:val="20"/>
              </w:rPr>
              <w:t>se</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BE982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283</w:t>
            </w:r>
          </w:p>
        </w:tc>
        <w:tc>
          <w:tcPr>
            <w:tcW w:w="3991" w:type="dxa"/>
            <w:tcBorders>
              <w:top w:val="single" w:sz="8" w:space="0" w:color="000000"/>
              <w:left w:val="single" w:sz="8" w:space="0" w:color="000000"/>
              <w:bottom w:val="single" w:sz="8" w:space="0" w:color="000000"/>
              <w:right w:val="single" w:sz="8" w:space="0" w:color="000000"/>
            </w:tcBorders>
          </w:tcPr>
          <w:p w14:paraId="08348E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Efr</w:t>
            </w:r>
            <w:r w:rsidRPr="00537112">
              <w:rPr>
                <w:rFonts w:cs="Verdana"/>
                <w:position w:val="-1"/>
                <w:sz w:val="20"/>
                <w:szCs w:val="20"/>
              </w:rPr>
              <w:t>a</w:t>
            </w:r>
            <w:r w:rsidRPr="00537112">
              <w:rPr>
                <w:rFonts w:cs="Verdana"/>
                <w:spacing w:val="3"/>
                <w:position w:val="-1"/>
                <w:sz w:val="20"/>
                <w:szCs w:val="20"/>
              </w:rPr>
              <w:t>í</w:t>
            </w:r>
            <w:r w:rsidRPr="00537112">
              <w:rPr>
                <w:rFonts w:cs="Verdana"/>
                <w:position w:val="-1"/>
                <w:sz w:val="20"/>
                <w:szCs w:val="20"/>
              </w:rPr>
              <w:t>n</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í</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z</w:t>
            </w:r>
          </w:p>
        </w:tc>
      </w:tr>
      <w:tr w:rsidR="00537112" w:rsidRPr="00537112" w14:paraId="50F8D27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29DD4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229</w:t>
            </w:r>
          </w:p>
        </w:tc>
        <w:tc>
          <w:tcPr>
            <w:tcW w:w="3705" w:type="dxa"/>
            <w:tcBorders>
              <w:top w:val="single" w:sz="8" w:space="0" w:color="000000"/>
              <w:left w:val="single" w:sz="8" w:space="0" w:color="000000"/>
              <w:bottom w:val="single" w:sz="8" w:space="0" w:color="000000"/>
              <w:right w:val="single" w:sz="8" w:space="0" w:color="000000"/>
            </w:tcBorders>
          </w:tcPr>
          <w:p w14:paraId="4BE3E34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g</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position w:val="-1"/>
                <w:sz w:val="20"/>
                <w:szCs w:val="20"/>
              </w:rPr>
              <w:t>Paz</w:t>
            </w:r>
            <w:r w:rsidRPr="00537112">
              <w:rPr>
                <w:rFonts w:cs="Verdana"/>
                <w:spacing w:val="-3"/>
                <w:position w:val="-1"/>
                <w:sz w:val="20"/>
                <w:szCs w:val="20"/>
              </w:rPr>
              <w:t xml:space="preserve"> </w:t>
            </w:r>
            <w:r w:rsidRPr="00537112">
              <w:rPr>
                <w:rFonts w:cs="Verdana"/>
                <w:spacing w:val="-1"/>
                <w:position w:val="-1"/>
                <w:sz w:val="20"/>
                <w:szCs w:val="20"/>
              </w:rPr>
              <w:t>Herrera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09300B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284</w:t>
            </w:r>
          </w:p>
        </w:tc>
        <w:tc>
          <w:tcPr>
            <w:tcW w:w="3991" w:type="dxa"/>
            <w:tcBorders>
              <w:top w:val="single" w:sz="8" w:space="0" w:color="000000"/>
              <w:left w:val="single" w:sz="8" w:space="0" w:color="000000"/>
              <w:bottom w:val="single" w:sz="8" w:space="0" w:color="000000"/>
              <w:right w:val="single" w:sz="8" w:space="0" w:color="000000"/>
            </w:tcBorders>
          </w:tcPr>
          <w:p w14:paraId="228E87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úm</w:t>
            </w:r>
          </w:p>
        </w:tc>
      </w:tr>
      <w:tr w:rsidR="00537112" w:rsidRPr="00537112" w14:paraId="7272286D"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4AF0EE8"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230</w:t>
            </w:r>
          </w:p>
        </w:tc>
        <w:tc>
          <w:tcPr>
            <w:tcW w:w="3705" w:type="dxa"/>
            <w:tcBorders>
              <w:top w:val="single" w:sz="8" w:space="0" w:color="000000"/>
              <w:left w:val="single" w:sz="8" w:space="0" w:color="000000"/>
              <w:bottom w:val="single" w:sz="8" w:space="0" w:color="000000"/>
              <w:right w:val="single" w:sz="8" w:space="0" w:color="000000"/>
            </w:tcBorders>
          </w:tcPr>
          <w:p w14:paraId="7ADBE38C"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u</w:t>
            </w:r>
            <w:r w:rsidRPr="00537112">
              <w:rPr>
                <w:rFonts w:cs="Verdana"/>
                <w:position w:val="-1"/>
                <w:sz w:val="20"/>
                <w:szCs w:val="20"/>
              </w:rPr>
              <w:t>m</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0B5691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285</w:t>
            </w:r>
          </w:p>
        </w:tc>
        <w:tc>
          <w:tcPr>
            <w:tcW w:w="3991" w:type="dxa"/>
            <w:tcBorders>
              <w:top w:val="single" w:sz="8" w:space="0" w:color="000000"/>
              <w:left w:val="single" w:sz="8" w:space="0" w:color="000000"/>
              <w:bottom w:val="single" w:sz="8" w:space="0" w:color="000000"/>
              <w:right w:val="single" w:sz="8" w:space="0" w:color="000000"/>
            </w:tcBorders>
          </w:tcPr>
          <w:p w14:paraId="2A8CB114"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2E0D7A4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085C7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231</w:t>
            </w:r>
          </w:p>
        </w:tc>
        <w:tc>
          <w:tcPr>
            <w:tcW w:w="3705" w:type="dxa"/>
            <w:tcBorders>
              <w:top w:val="single" w:sz="8" w:space="0" w:color="000000"/>
              <w:left w:val="single" w:sz="8" w:space="0" w:color="000000"/>
              <w:bottom w:val="single" w:sz="8" w:space="0" w:color="000000"/>
              <w:right w:val="single" w:sz="8" w:space="0" w:color="000000"/>
            </w:tcBorders>
          </w:tcPr>
          <w:p w14:paraId="474239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2AEA8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286</w:t>
            </w:r>
          </w:p>
        </w:tc>
        <w:tc>
          <w:tcPr>
            <w:tcW w:w="3991" w:type="dxa"/>
            <w:tcBorders>
              <w:top w:val="single" w:sz="8" w:space="0" w:color="000000"/>
              <w:left w:val="single" w:sz="8" w:space="0" w:color="000000"/>
              <w:bottom w:val="single" w:sz="8" w:space="0" w:color="000000"/>
              <w:right w:val="single" w:sz="8" w:space="0" w:color="000000"/>
            </w:tcBorders>
          </w:tcPr>
          <w:p w14:paraId="117AC6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6C3D39E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619CD0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232</w:t>
            </w:r>
          </w:p>
        </w:tc>
        <w:tc>
          <w:tcPr>
            <w:tcW w:w="3705" w:type="dxa"/>
            <w:tcBorders>
              <w:top w:val="single" w:sz="8" w:space="0" w:color="000000"/>
              <w:left w:val="single" w:sz="8" w:space="0" w:color="000000"/>
              <w:bottom w:val="single" w:sz="8" w:space="0" w:color="000000"/>
              <w:right w:val="single" w:sz="8" w:space="0" w:color="000000"/>
            </w:tcBorders>
          </w:tcPr>
          <w:p w14:paraId="36DBD625"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position w:val="-1"/>
                <w:sz w:val="20"/>
                <w:szCs w:val="20"/>
                <w:lang w:val="pt-BR"/>
              </w:rPr>
              <w:t>Ma</w:t>
            </w:r>
            <w:r w:rsidRPr="00537112">
              <w:rPr>
                <w:rFonts w:cs="Verdana"/>
                <w:spacing w:val="1"/>
                <w:position w:val="-1"/>
                <w:sz w:val="20"/>
                <w:szCs w:val="20"/>
                <w:lang w:val="pt-BR"/>
              </w:rPr>
              <w:t>nu</w:t>
            </w:r>
            <w:r w:rsidRPr="00537112">
              <w:rPr>
                <w:rFonts w:cs="Verdana"/>
                <w:spacing w:val="-1"/>
                <w:position w:val="-1"/>
                <w:sz w:val="20"/>
                <w:szCs w:val="20"/>
                <w:lang w:val="pt-BR"/>
              </w:rPr>
              <w:t>e</w:t>
            </w:r>
            <w:r w:rsidRPr="00537112">
              <w:rPr>
                <w:rFonts w:cs="Verdana"/>
                <w:position w:val="-1"/>
                <w:sz w:val="20"/>
                <w:szCs w:val="20"/>
                <w:lang w:val="pt-BR"/>
              </w:rPr>
              <w:t>l</w:t>
            </w:r>
            <w:r w:rsidRPr="00537112">
              <w:rPr>
                <w:rFonts w:cs="Verdana"/>
                <w:spacing w:val="-5"/>
                <w:position w:val="-1"/>
                <w:sz w:val="20"/>
                <w:szCs w:val="20"/>
                <w:lang w:val="pt-BR"/>
              </w:rPr>
              <w:t xml:space="preserve"> </w:t>
            </w:r>
            <w:r w:rsidRPr="00537112">
              <w:rPr>
                <w:rFonts w:cs="Verdana"/>
                <w:spacing w:val="1"/>
                <w:position w:val="-1"/>
                <w:sz w:val="20"/>
                <w:szCs w:val="20"/>
                <w:lang w:val="pt-BR"/>
              </w:rPr>
              <w:t>d</w:t>
            </w:r>
            <w:r w:rsidRPr="00537112">
              <w:rPr>
                <w:rFonts w:cs="Verdana"/>
                <w:position w:val="-1"/>
                <w:sz w:val="20"/>
                <w:szCs w:val="20"/>
                <w:lang w:val="pt-BR"/>
              </w:rPr>
              <w:t>e</w:t>
            </w:r>
            <w:r w:rsidRPr="00537112">
              <w:rPr>
                <w:rFonts w:cs="Verdana"/>
                <w:spacing w:val="-4"/>
                <w:position w:val="-1"/>
                <w:sz w:val="20"/>
                <w:szCs w:val="20"/>
                <w:lang w:val="pt-BR"/>
              </w:rPr>
              <w:t xml:space="preserve"> </w:t>
            </w:r>
            <w:r w:rsidRPr="00537112">
              <w:rPr>
                <w:rFonts w:cs="Verdana"/>
                <w:spacing w:val="1"/>
                <w:position w:val="-1"/>
                <w:sz w:val="20"/>
                <w:szCs w:val="20"/>
                <w:lang w:val="pt-BR"/>
              </w:rPr>
              <w:t>J</w:t>
            </w:r>
            <w:r w:rsidRPr="00537112">
              <w:rPr>
                <w:rFonts w:cs="Verdana"/>
                <w:spacing w:val="-1"/>
                <w:position w:val="-1"/>
                <w:sz w:val="20"/>
                <w:szCs w:val="20"/>
                <w:lang w:val="pt-BR"/>
              </w:rPr>
              <w:t>es</w:t>
            </w:r>
            <w:r w:rsidRPr="00537112">
              <w:rPr>
                <w:rFonts w:cs="Verdana"/>
                <w:spacing w:val="1"/>
                <w:position w:val="-1"/>
                <w:sz w:val="20"/>
                <w:szCs w:val="20"/>
                <w:lang w:val="pt-BR"/>
              </w:rPr>
              <w:t>u</w:t>
            </w:r>
            <w:r w:rsidRPr="00537112">
              <w:rPr>
                <w:rFonts w:cs="Verdana"/>
                <w:position w:val="-1"/>
                <w:sz w:val="20"/>
                <w:szCs w:val="20"/>
                <w:lang w:val="pt-BR"/>
              </w:rPr>
              <w:t>s</w:t>
            </w:r>
            <w:r w:rsidRPr="00537112">
              <w:rPr>
                <w:rFonts w:cs="Verdana"/>
                <w:spacing w:val="-6"/>
                <w:position w:val="-1"/>
                <w:sz w:val="20"/>
                <w:szCs w:val="20"/>
                <w:lang w:val="pt-BR"/>
              </w:rPr>
              <w:t xml:space="preserve"> </w:t>
            </w:r>
            <w:r w:rsidRPr="00537112">
              <w:rPr>
                <w:rFonts w:cs="Verdana"/>
                <w:spacing w:val="-1"/>
                <w:position w:val="-1"/>
                <w:sz w:val="20"/>
                <w:szCs w:val="20"/>
                <w:lang w:val="pt-BR"/>
              </w:rPr>
              <w:t>G</w:t>
            </w:r>
            <w:r w:rsidRPr="00537112">
              <w:rPr>
                <w:rFonts w:cs="Verdana"/>
                <w:position w:val="-1"/>
                <w:sz w:val="20"/>
                <w:szCs w:val="20"/>
                <w:lang w:val="pt-BR"/>
              </w:rPr>
              <w:t>a</w:t>
            </w:r>
            <w:r w:rsidRPr="00537112">
              <w:rPr>
                <w:rFonts w:cs="Verdana"/>
                <w:spacing w:val="3"/>
                <w:position w:val="-1"/>
                <w:sz w:val="20"/>
                <w:szCs w:val="20"/>
                <w:lang w:val="pt-BR"/>
              </w:rPr>
              <w:t>li</w:t>
            </w:r>
            <w:r w:rsidRPr="00537112">
              <w:rPr>
                <w:rFonts w:cs="Verdana"/>
                <w:spacing w:val="-1"/>
                <w:position w:val="-1"/>
                <w:sz w:val="20"/>
                <w:szCs w:val="20"/>
                <w:lang w:val="pt-BR"/>
              </w:rPr>
              <w:t>e</w:t>
            </w:r>
            <w:r w:rsidRPr="00537112">
              <w:rPr>
                <w:rFonts w:cs="Verdana"/>
                <w:spacing w:val="1"/>
                <w:position w:val="-1"/>
                <w:sz w:val="20"/>
                <w:szCs w:val="20"/>
                <w:lang w:val="pt-BR"/>
              </w:rPr>
              <w:t>g</w:t>
            </w:r>
            <w:r w:rsidRPr="00537112">
              <w:rPr>
                <w:rFonts w:cs="Verdana"/>
                <w:position w:val="-1"/>
                <w:sz w:val="20"/>
                <w:szCs w:val="20"/>
                <w:lang w:val="pt-BR"/>
              </w:rPr>
              <w:t>o</w:t>
            </w:r>
            <w:r w:rsidRPr="00537112">
              <w:rPr>
                <w:rFonts w:cs="Verdana"/>
                <w:spacing w:val="-9"/>
                <w:position w:val="-1"/>
                <w:sz w:val="20"/>
                <w:szCs w:val="20"/>
                <w:lang w:val="pt-BR"/>
              </w:rPr>
              <w:t xml:space="preserve"> </w:t>
            </w:r>
            <w:r w:rsidRPr="00537112">
              <w:rPr>
                <w:rFonts w:cs="Verdana"/>
                <w:position w:val="-1"/>
                <w:sz w:val="20"/>
                <w:szCs w:val="20"/>
                <w:lang w:val="pt-BR"/>
              </w:rPr>
              <w:t>M</w:t>
            </w:r>
            <w:r w:rsidRPr="00537112">
              <w:rPr>
                <w:rFonts w:cs="Verdana"/>
                <w:spacing w:val="-1"/>
                <w:position w:val="-1"/>
                <w:sz w:val="20"/>
                <w:szCs w:val="20"/>
                <w:lang w:val="pt-BR"/>
              </w:rPr>
              <w:t>e</w:t>
            </w:r>
            <w:r w:rsidRPr="00537112">
              <w:rPr>
                <w:rFonts w:cs="Verdana"/>
                <w:spacing w:val="1"/>
                <w:position w:val="-1"/>
                <w:sz w:val="20"/>
                <w:szCs w:val="20"/>
                <w:lang w:val="pt-BR"/>
              </w:rPr>
              <w:t>nd</w:t>
            </w:r>
            <w:r w:rsidRPr="00537112">
              <w:rPr>
                <w:rFonts w:cs="Verdana"/>
                <w:spacing w:val="-1"/>
                <w:position w:val="-1"/>
                <w:sz w:val="20"/>
                <w:szCs w:val="20"/>
                <w:lang w:val="pt-BR"/>
              </w:rPr>
              <w:t>o</w:t>
            </w:r>
            <w:r w:rsidRPr="00537112">
              <w:rPr>
                <w:rFonts w:cs="Verdana"/>
                <w:spacing w:val="1"/>
                <w:position w:val="-1"/>
                <w:sz w:val="20"/>
                <w:szCs w:val="20"/>
                <w:lang w:val="pt-BR"/>
              </w:rPr>
              <w:t>z</w:t>
            </w:r>
            <w:r w:rsidRPr="00537112">
              <w:rPr>
                <w:rFonts w:cs="Verdana"/>
                <w:position w:val="-1"/>
                <w:sz w:val="20"/>
                <w:szCs w:val="20"/>
                <w:lang w:val="pt-BR"/>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AB317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287</w:t>
            </w:r>
          </w:p>
        </w:tc>
        <w:tc>
          <w:tcPr>
            <w:tcW w:w="3991" w:type="dxa"/>
            <w:tcBorders>
              <w:top w:val="single" w:sz="8" w:space="0" w:color="000000"/>
              <w:left w:val="single" w:sz="8" w:space="0" w:color="000000"/>
              <w:bottom w:val="single" w:sz="8" w:space="0" w:color="000000"/>
              <w:right w:val="single" w:sz="8" w:space="0" w:color="000000"/>
            </w:tcBorders>
          </w:tcPr>
          <w:p w14:paraId="3391678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78FEC982" w14:textId="77777777" w:rsidTr="00630EEC">
        <w:trPr>
          <w:trHeight w:hRule="exact" w:val="494"/>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3E30B91"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383F797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233</w:t>
            </w:r>
          </w:p>
        </w:tc>
        <w:tc>
          <w:tcPr>
            <w:tcW w:w="3705" w:type="dxa"/>
            <w:tcBorders>
              <w:top w:val="single" w:sz="8" w:space="0" w:color="000000"/>
              <w:left w:val="single" w:sz="8" w:space="0" w:color="000000"/>
              <w:bottom w:val="single" w:sz="8" w:space="0" w:color="000000"/>
              <w:right w:val="single" w:sz="8" w:space="0" w:color="000000"/>
            </w:tcBorders>
          </w:tcPr>
          <w:p w14:paraId="7622ADA1"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2B6BE191"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rce</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10"/>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g</w:t>
            </w:r>
            <w:r w:rsidRPr="00537112">
              <w:rPr>
                <w:rFonts w:cs="Verdana"/>
                <w:sz w:val="20"/>
                <w:szCs w:val="20"/>
              </w:rPr>
              <w:t>a</w:t>
            </w:r>
            <w:r w:rsidRPr="00537112">
              <w:rPr>
                <w:rFonts w:cs="Verdana"/>
                <w:spacing w:val="-8"/>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4B936B0"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3073F4ED"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288</w:t>
            </w:r>
          </w:p>
        </w:tc>
        <w:tc>
          <w:tcPr>
            <w:tcW w:w="3991" w:type="dxa"/>
            <w:tcBorders>
              <w:top w:val="single" w:sz="8" w:space="0" w:color="000000"/>
              <w:left w:val="single" w:sz="8" w:space="0" w:color="000000"/>
              <w:bottom w:val="single" w:sz="8" w:space="0" w:color="000000"/>
              <w:right w:val="single" w:sz="8" w:space="0" w:color="000000"/>
            </w:tcBorders>
          </w:tcPr>
          <w:p w14:paraId="6B87ECA8"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588ECA96"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ose</w:t>
            </w:r>
            <w:r w:rsidRPr="00537112">
              <w:rPr>
                <w:rFonts w:cs="Verdana"/>
                <w:spacing w:val="1"/>
                <w:sz w:val="20"/>
                <w:szCs w:val="20"/>
              </w:rPr>
              <w:t>nd</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5EB2B626"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1858B71"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234</w:t>
            </w:r>
          </w:p>
        </w:tc>
        <w:tc>
          <w:tcPr>
            <w:tcW w:w="3705" w:type="dxa"/>
            <w:tcBorders>
              <w:top w:val="single" w:sz="8" w:space="0" w:color="000000"/>
              <w:left w:val="single" w:sz="8" w:space="0" w:color="000000"/>
              <w:bottom w:val="single" w:sz="8" w:space="0" w:color="000000"/>
              <w:right w:val="single" w:sz="8" w:space="0" w:color="000000"/>
            </w:tcBorders>
          </w:tcPr>
          <w:p w14:paraId="5B435AC5"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1FE26E9"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289</w:t>
            </w:r>
          </w:p>
        </w:tc>
        <w:tc>
          <w:tcPr>
            <w:tcW w:w="3991" w:type="dxa"/>
            <w:tcBorders>
              <w:top w:val="single" w:sz="8" w:space="0" w:color="000000"/>
              <w:left w:val="single" w:sz="8" w:space="0" w:color="000000"/>
              <w:bottom w:val="single" w:sz="8" w:space="0" w:color="000000"/>
              <w:right w:val="single" w:sz="8" w:space="0" w:color="000000"/>
            </w:tcBorders>
          </w:tcPr>
          <w:p w14:paraId="4E278F56"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2DB98FD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902BC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235</w:t>
            </w:r>
          </w:p>
        </w:tc>
        <w:tc>
          <w:tcPr>
            <w:tcW w:w="3705" w:type="dxa"/>
            <w:tcBorders>
              <w:top w:val="single" w:sz="8" w:space="0" w:color="000000"/>
              <w:left w:val="single" w:sz="8" w:space="0" w:color="000000"/>
              <w:bottom w:val="single" w:sz="8" w:space="0" w:color="000000"/>
              <w:right w:val="single" w:sz="8" w:space="0" w:color="000000"/>
            </w:tcBorders>
          </w:tcPr>
          <w:p w14:paraId="4912CF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é</w:t>
            </w:r>
            <w:r w:rsidRPr="00537112">
              <w:rPr>
                <w:rFonts w:cs="Verdana"/>
                <w:spacing w:val="-7"/>
                <w:position w:val="-1"/>
                <w:sz w:val="20"/>
                <w:szCs w:val="20"/>
              </w:rPr>
              <w:t xml:space="preserve"> </w:t>
            </w: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1AF746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290</w:t>
            </w:r>
          </w:p>
        </w:tc>
        <w:tc>
          <w:tcPr>
            <w:tcW w:w="3991" w:type="dxa"/>
            <w:tcBorders>
              <w:top w:val="single" w:sz="8" w:space="0" w:color="000000"/>
              <w:left w:val="single" w:sz="8" w:space="0" w:color="000000"/>
              <w:bottom w:val="single" w:sz="8" w:space="0" w:color="000000"/>
              <w:right w:val="single" w:sz="8" w:space="0" w:color="000000"/>
            </w:tcBorders>
          </w:tcPr>
          <w:p w14:paraId="7312A7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Oc</w:t>
            </w:r>
            <w:r w:rsidRPr="00537112">
              <w:rPr>
                <w:rFonts w:cs="Verdana"/>
                <w:spacing w:val="1"/>
                <w:position w:val="-1"/>
                <w:sz w:val="20"/>
                <w:szCs w:val="20"/>
              </w:rPr>
              <w:t>t</w:t>
            </w:r>
            <w:r w:rsidRPr="00537112">
              <w:rPr>
                <w:rFonts w:cs="Verdana"/>
                <w:position w:val="-1"/>
                <w:sz w:val="20"/>
                <w:szCs w:val="20"/>
              </w:rPr>
              <w:t>av</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4E69735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2D116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236</w:t>
            </w:r>
          </w:p>
        </w:tc>
        <w:tc>
          <w:tcPr>
            <w:tcW w:w="3705" w:type="dxa"/>
            <w:tcBorders>
              <w:top w:val="single" w:sz="8" w:space="0" w:color="000000"/>
              <w:left w:val="single" w:sz="8" w:space="0" w:color="000000"/>
              <w:bottom w:val="single" w:sz="8" w:space="0" w:color="000000"/>
              <w:right w:val="single" w:sz="8" w:space="0" w:color="000000"/>
            </w:tcBorders>
          </w:tcPr>
          <w:p w14:paraId="6A67B0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6F559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291</w:t>
            </w:r>
          </w:p>
        </w:tc>
        <w:tc>
          <w:tcPr>
            <w:tcW w:w="3991" w:type="dxa"/>
            <w:tcBorders>
              <w:top w:val="single" w:sz="8" w:space="0" w:color="000000"/>
              <w:left w:val="single" w:sz="8" w:space="0" w:color="000000"/>
              <w:bottom w:val="single" w:sz="8" w:space="0" w:color="000000"/>
              <w:right w:val="single" w:sz="8" w:space="0" w:color="000000"/>
            </w:tcBorders>
          </w:tcPr>
          <w:p w14:paraId="2D69C9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w:t>
            </w:r>
            <w:r w:rsidRPr="00537112">
              <w:rPr>
                <w:rFonts w:cs="Verdana"/>
                <w:spacing w:val="3"/>
                <w:position w:val="-1"/>
                <w:sz w:val="20"/>
                <w:szCs w:val="20"/>
              </w:rPr>
              <w:t>ill</w:t>
            </w:r>
            <w:r w:rsidRPr="00537112">
              <w:rPr>
                <w:rFonts w:cs="Verdana"/>
                <w:spacing w:val="-1"/>
                <w:position w:val="-1"/>
                <w:sz w:val="20"/>
                <w:szCs w:val="20"/>
              </w:rPr>
              <w:t>er</w:t>
            </w:r>
            <w:r w:rsidRPr="00537112">
              <w:rPr>
                <w:rFonts w:cs="Verdana"/>
                <w:spacing w:val="1"/>
                <w:position w:val="-1"/>
                <w:sz w:val="20"/>
                <w:szCs w:val="20"/>
              </w:rPr>
              <w:t>m</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p>
        </w:tc>
      </w:tr>
      <w:tr w:rsidR="00537112" w:rsidRPr="00537112" w14:paraId="398698F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E79C2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237</w:t>
            </w:r>
          </w:p>
        </w:tc>
        <w:tc>
          <w:tcPr>
            <w:tcW w:w="3705" w:type="dxa"/>
            <w:tcBorders>
              <w:top w:val="single" w:sz="8" w:space="0" w:color="000000"/>
              <w:left w:val="single" w:sz="8" w:space="0" w:color="000000"/>
              <w:bottom w:val="single" w:sz="8" w:space="0" w:color="000000"/>
              <w:right w:val="single" w:sz="8" w:space="0" w:color="000000"/>
            </w:tcBorders>
          </w:tcPr>
          <w:p w14:paraId="603A589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D</w:t>
            </w:r>
            <w:r w:rsidRPr="00537112">
              <w:rPr>
                <w:rFonts w:cs="Verdana"/>
                <w:spacing w:val="3"/>
                <w:position w:val="-1"/>
                <w:sz w:val="20"/>
                <w:szCs w:val="20"/>
              </w:rPr>
              <w:t>í</w:t>
            </w:r>
            <w:r w:rsidRPr="00537112">
              <w:rPr>
                <w:rFonts w:cs="Verdana"/>
                <w:position w:val="-1"/>
                <w:sz w:val="20"/>
                <w:szCs w:val="20"/>
              </w:rPr>
              <w:t>az</w:t>
            </w:r>
            <w:r w:rsidRPr="00537112">
              <w:rPr>
                <w:rFonts w:cs="Verdana"/>
                <w:spacing w:val="-4"/>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964D2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292</w:t>
            </w:r>
          </w:p>
        </w:tc>
        <w:tc>
          <w:tcPr>
            <w:tcW w:w="3991" w:type="dxa"/>
            <w:tcBorders>
              <w:top w:val="single" w:sz="8" w:space="0" w:color="000000"/>
              <w:left w:val="single" w:sz="8" w:space="0" w:color="000000"/>
              <w:bottom w:val="single" w:sz="8" w:space="0" w:color="000000"/>
              <w:right w:val="single" w:sz="8" w:space="0" w:color="000000"/>
            </w:tcBorders>
          </w:tcPr>
          <w:p w14:paraId="6BDDDD7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ec</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4A3D787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BA626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238</w:t>
            </w:r>
          </w:p>
        </w:tc>
        <w:tc>
          <w:tcPr>
            <w:tcW w:w="3705" w:type="dxa"/>
            <w:tcBorders>
              <w:top w:val="single" w:sz="8" w:space="0" w:color="000000"/>
              <w:left w:val="single" w:sz="8" w:space="0" w:color="000000"/>
              <w:bottom w:val="single" w:sz="8" w:space="0" w:color="000000"/>
              <w:right w:val="single" w:sz="8" w:space="0" w:color="000000"/>
            </w:tcBorders>
          </w:tcPr>
          <w:p w14:paraId="3027700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orf</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3"/>
                <w:position w:val="-1"/>
                <w:sz w:val="20"/>
                <w:szCs w:val="20"/>
              </w:rPr>
              <w:t>í</w:t>
            </w:r>
            <w:r w:rsidRPr="00537112">
              <w:rPr>
                <w:rFonts w:cs="Verdana"/>
                <w:position w:val="-1"/>
                <w:sz w:val="20"/>
                <w:szCs w:val="20"/>
              </w:rPr>
              <w:t>az</w:t>
            </w:r>
            <w:r w:rsidRPr="00537112">
              <w:rPr>
                <w:rFonts w:cs="Verdana"/>
                <w:spacing w:val="-4"/>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4009B3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293</w:t>
            </w:r>
          </w:p>
        </w:tc>
        <w:tc>
          <w:tcPr>
            <w:tcW w:w="3991" w:type="dxa"/>
            <w:tcBorders>
              <w:top w:val="single" w:sz="8" w:space="0" w:color="000000"/>
              <w:left w:val="single" w:sz="8" w:space="0" w:color="000000"/>
              <w:bottom w:val="single" w:sz="8" w:space="0" w:color="000000"/>
              <w:right w:val="single" w:sz="8" w:space="0" w:color="000000"/>
            </w:tcBorders>
          </w:tcPr>
          <w:p w14:paraId="564FB0C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Y</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7A06110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343539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239</w:t>
            </w:r>
          </w:p>
        </w:tc>
        <w:tc>
          <w:tcPr>
            <w:tcW w:w="3705" w:type="dxa"/>
            <w:tcBorders>
              <w:top w:val="single" w:sz="8" w:space="0" w:color="000000"/>
              <w:left w:val="single" w:sz="8" w:space="0" w:color="000000"/>
              <w:bottom w:val="single" w:sz="8" w:space="0" w:color="000000"/>
              <w:right w:val="single" w:sz="8" w:space="0" w:color="000000"/>
            </w:tcBorders>
          </w:tcPr>
          <w:p w14:paraId="38EA59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Herc</w:t>
            </w:r>
            <w:r w:rsidRPr="00537112">
              <w:rPr>
                <w:rFonts w:cs="Verdana"/>
                <w:spacing w:val="3"/>
                <w:position w:val="-1"/>
                <w:sz w:val="20"/>
                <w:szCs w:val="20"/>
              </w:rPr>
              <w:t>ili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r w:rsidRPr="00537112">
              <w:rPr>
                <w:rFonts w:cs="Verdana"/>
                <w:spacing w:val="-11"/>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17CB7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294</w:t>
            </w:r>
          </w:p>
        </w:tc>
        <w:tc>
          <w:tcPr>
            <w:tcW w:w="3991" w:type="dxa"/>
            <w:tcBorders>
              <w:top w:val="single" w:sz="8" w:space="0" w:color="000000"/>
              <w:left w:val="single" w:sz="8" w:space="0" w:color="000000"/>
              <w:bottom w:val="single" w:sz="8" w:space="0" w:color="000000"/>
              <w:right w:val="single" w:sz="8" w:space="0" w:color="000000"/>
            </w:tcBorders>
          </w:tcPr>
          <w:p w14:paraId="78A200D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A611AC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5C79E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240</w:t>
            </w:r>
          </w:p>
        </w:tc>
        <w:tc>
          <w:tcPr>
            <w:tcW w:w="3705" w:type="dxa"/>
            <w:tcBorders>
              <w:top w:val="single" w:sz="8" w:space="0" w:color="000000"/>
              <w:left w:val="single" w:sz="8" w:space="0" w:color="000000"/>
              <w:bottom w:val="single" w:sz="8" w:space="0" w:color="000000"/>
              <w:right w:val="single" w:sz="8" w:space="0" w:color="000000"/>
            </w:tcBorders>
          </w:tcPr>
          <w:p w14:paraId="660CB2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w:t>
            </w:r>
            <w:r w:rsidRPr="00537112">
              <w:rPr>
                <w:rFonts w:cs="Verdana"/>
                <w:spacing w:val="1"/>
                <w:position w:val="-1"/>
                <w:sz w:val="20"/>
                <w:szCs w:val="20"/>
              </w:rPr>
              <w:t>nj</w:t>
            </w:r>
            <w:r w:rsidRPr="00537112">
              <w:rPr>
                <w:rFonts w:cs="Verdana"/>
                <w:position w:val="-1"/>
                <w:sz w:val="20"/>
                <w:szCs w:val="20"/>
              </w:rPr>
              <w:t>a</w:t>
            </w:r>
            <w:r w:rsidRPr="00537112">
              <w:rPr>
                <w:rFonts w:cs="Verdana"/>
                <w:spacing w:val="1"/>
                <w:position w:val="-1"/>
                <w:sz w:val="20"/>
                <w:szCs w:val="20"/>
              </w:rPr>
              <w:t>m</w:t>
            </w:r>
            <w:r w:rsidRPr="00537112">
              <w:rPr>
                <w:rFonts w:cs="Verdana"/>
                <w:spacing w:val="3"/>
                <w:position w:val="-1"/>
                <w:sz w:val="20"/>
                <w:szCs w:val="20"/>
              </w:rPr>
              <w:t>i</w:t>
            </w:r>
            <w:r w:rsidRPr="00537112">
              <w:rPr>
                <w:rFonts w:cs="Verdana"/>
                <w:position w:val="-1"/>
                <w:sz w:val="20"/>
                <w:szCs w:val="20"/>
              </w:rPr>
              <w:t>n</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02D11B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295</w:t>
            </w:r>
          </w:p>
        </w:tc>
        <w:tc>
          <w:tcPr>
            <w:tcW w:w="3991" w:type="dxa"/>
            <w:tcBorders>
              <w:top w:val="single" w:sz="8" w:space="0" w:color="000000"/>
              <w:left w:val="single" w:sz="8" w:space="0" w:color="000000"/>
              <w:bottom w:val="single" w:sz="8" w:space="0" w:color="000000"/>
              <w:right w:val="single" w:sz="8" w:space="0" w:color="000000"/>
            </w:tcBorders>
          </w:tcPr>
          <w:p w14:paraId="2C0C99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ug</w:t>
            </w: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04226408"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A4DF46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241</w:t>
            </w:r>
          </w:p>
        </w:tc>
        <w:tc>
          <w:tcPr>
            <w:tcW w:w="3705" w:type="dxa"/>
            <w:tcBorders>
              <w:top w:val="single" w:sz="8" w:space="0" w:color="000000"/>
              <w:left w:val="single" w:sz="8" w:space="0" w:color="000000"/>
              <w:bottom w:val="single" w:sz="8" w:space="0" w:color="000000"/>
              <w:right w:val="single" w:sz="8" w:space="0" w:color="000000"/>
            </w:tcBorders>
          </w:tcPr>
          <w:p w14:paraId="1BA6DE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BA82E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296</w:t>
            </w:r>
          </w:p>
        </w:tc>
        <w:tc>
          <w:tcPr>
            <w:tcW w:w="3991" w:type="dxa"/>
            <w:tcBorders>
              <w:top w:val="single" w:sz="8" w:space="0" w:color="000000"/>
              <w:left w:val="single" w:sz="8" w:space="0" w:color="000000"/>
              <w:bottom w:val="single" w:sz="8" w:space="0" w:color="000000"/>
              <w:right w:val="single" w:sz="8" w:space="0" w:color="000000"/>
            </w:tcBorders>
          </w:tcPr>
          <w:p w14:paraId="2E18AF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3669B37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664323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242</w:t>
            </w:r>
          </w:p>
        </w:tc>
        <w:tc>
          <w:tcPr>
            <w:tcW w:w="3705" w:type="dxa"/>
            <w:tcBorders>
              <w:top w:val="single" w:sz="8" w:space="0" w:color="000000"/>
              <w:left w:val="single" w:sz="8" w:space="0" w:color="000000"/>
              <w:bottom w:val="single" w:sz="8" w:space="0" w:color="000000"/>
              <w:right w:val="single" w:sz="8" w:space="0" w:color="000000"/>
            </w:tcBorders>
          </w:tcPr>
          <w:p w14:paraId="3CE7415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63"/>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EC3A7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297</w:t>
            </w:r>
          </w:p>
        </w:tc>
        <w:tc>
          <w:tcPr>
            <w:tcW w:w="3991" w:type="dxa"/>
            <w:tcBorders>
              <w:top w:val="single" w:sz="8" w:space="0" w:color="000000"/>
              <w:left w:val="single" w:sz="8" w:space="0" w:color="000000"/>
              <w:bottom w:val="single" w:sz="8" w:space="0" w:color="000000"/>
              <w:right w:val="single" w:sz="8" w:space="0" w:color="000000"/>
            </w:tcBorders>
          </w:tcPr>
          <w:p w14:paraId="0306C9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0D62E4B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0177CE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243</w:t>
            </w:r>
          </w:p>
        </w:tc>
        <w:tc>
          <w:tcPr>
            <w:tcW w:w="3705" w:type="dxa"/>
            <w:tcBorders>
              <w:top w:val="single" w:sz="8" w:space="0" w:color="000000"/>
              <w:left w:val="single" w:sz="8" w:space="0" w:color="000000"/>
              <w:bottom w:val="single" w:sz="8" w:space="0" w:color="000000"/>
              <w:right w:val="single" w:sz="8" w:space="0" w:color="000000"/>
            </w:tcBorders>
          </w:tcPr>
          <w:p w14:paraId="7020A1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fre</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á</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EF30D2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298</w:t>
            </w:r>
          </w:p>
        </w:tc>
        <w:tc>
          <w:tcPr>
            <w:tcW w:w="3991" w:type="dxa"/>
            <w:tcBorders>
              <w:top w:val="single" w:sz="8" w:space="0" w:color="000000"/>
              <w:left w:val="single" w:sz="8" w:space="0" w:color="000000"/>
              <w:bottom w:val="single" w:sz="8" w:space="0" w:color="000000"/>
              <w:right w:val="single" w:sz="8" w:space="0" w:color="000000"/>
            </w:tcBorders>
          </w:tcPr>
          <w:p w14:paraId="3D4B50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Ger</w:t>
            </w:r>
            <w:r w:rsidRPr="00537112">
              <w:rPr>
                <w:rFonts w:cs="Verdana"/>
                <w:spacing w:val="1"/>
                <w:position w:val="-1"/>
                <w:sz w:val="20"/>
                <w:szCs w:val="20"/>
              </w:rPr>
              <w:t>m</w:t>
            </w:r>
            <w:r w:rsidRPr="00537112">
              <w:rPr>
                <w:rFonts w:cs="Verdana"/>
                <w:position w:val="-1"/>
                <w:sz w:val="20"/>
                <w:szCs w:val="20"/>
              </w:rPr>
              <w:t>an</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55DBB56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5EC776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244</w:t>
            </w:r>
          </w:p>
        </w:tc>
        <w:tc>
          <w:tcPr>
            <w:tcW w:w="3705" w:type="dxa"/>
            <w:tcBorders>
              <w:top w:val="single" w:sz="8" w:space="0" w:color="000000"/>
              <w:left w:val="single" w:sz="8" w:space="0" w:color="000000"/>
              <w:bottom w:val="single" w:sz="8" w:space="0" w:color="000000"/>
              <w:right w:val="single" w:sz="8" w:space="0" w:color="000000"/>
            </w:tcBorders>
          </w:tcPr>
          <w:p w14:paraId="7BAE66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w:t>
            </w:r>
            <w:r w:rsidRPr="00537112">
              <w:rPr>
                <w:rFonts w:cs="Verdana"/>
                <w:position w:val="-1"/>
                <w:sz w:val="20"/>
                <w:szCs w:val="20"/>
              </w:rPr>
              <w:t>h</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CA382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299</w:t>
            </w:r>
          </w:p>
        </w:tc>
        <w:tc>
          <w:tcPr>
            <w:tcW w:w="3991" w:type="dxa"/>
            <w:tcBorders>
              <w:top w:val="single" w:sz="8" w:space="0" w:color="000000"/>
              <w:left w:val="single" w:sz="8" w:space="0" w:color="000000"/>
              <w:bottom w:val="single" w:sz="8" w:space="0" w:color="000000"/>
              <w:right w:val="single" w:sz="8" w:space="0" w:color="000000"/>
            </w:tcBorders>
          </w:tcPr>
          <w:p w14:paraId="57E3B67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5A73703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8CAA6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245</w:t>
            </w:r>
          </w:p>
        </w:tc>
        <w:tc>
          <w:tcPr>
            <w:tcW w:w="3705" w:type="dxa"/>
            <w:tcBorders>
              <w:top w:val="single" w:sz="8" w:space="0" w:color="000000"/>
              <w:left w:val="single" w:sz="8" w:space="0" w:color="000000"/>
              <w:bottom w:val="single" w:sz="8" w:space="0" w:color="000000"/>
              <w:right w:val="single" w:sz="8" w:space="0" w:color="000000"/>
            </w:tcBorders>
          </w:tcPr>
          <w:p w14:paraId="4152248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w:t>
            </w:r>
            <w:r w:rsidRPr="00537112">
              <w:rPr>
                <w:rFonts w:cs="Verdana"/>
                <w:position w:val="-1"/>
                <w:sz w:val="20"/>
                <w:szCs w:val="20"/>
              </w:rPr>
              <w:t>h</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7514CE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300</w:t>
            </w:r>
          </w:p>
        </w:tc>
        <w:tc>
          <w:tcPr>
            <w:tcW w:w="3991" w:type="dxa"/>
            <w:tcBorders>
              <w:top w:val="single" w:sz="8" w:space="0" w:color="000000"/>
              <w:left w:val="single" w:sz="8" w:space="0" w:color="000000"/>
              <w:bottom w:val="single" w:sz="8" w:space="0" w:color="000000"/>
              <w:right w:val="single" w:sz="8" w:space="0" w:color="000000"/>
            </w:tcBorders>
          </w:tcPr>
          <w:p w14:paraId="54FF1F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4C37F2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9A57E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246</w:t>
            </w:r>
          </w:p>
        </w:tc>
        <w:tc>
          <w:tcPr>
            <w:tcW w:w="3705" w:type="dxa"/>
            <w:tcBorders>
              <w:top w:val="single" w:sz="8" w:space="0" w:color="000000"/>
              <w:left w:val="single" w:sz="8" w:space="0" w:color="000000"/>
              <w:bottom w:val="single" w:sz="8" w:space="0" w:color="000000"/>
              <w:right w:val="single" w:sz="8" w:space="0" w:color="000000"/>
            </w:tcBorders>
          </w:tcPr>
          <w:p w14:paraId="7CE71A2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och</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8E444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301</w:t>
            </w:r>
          </w:p>
        </w:tc>
        <w:tc>
          <w:tcPr>
            <w:tcW w:w="3991" w:type="dxa"/>
            <w:tcBorders>
              <w:top w:val="single" w:sz="8" w:space="0" w:color="000000"/>
              <w:left w:val="single" w:sz="8" w:space="0" w:color="000000"/>
              <w:bottom w:val="single" w:sz="8" w:space="0" w:color="000000"/>
              <w:right w:val="single" w:sz="8" w:space="0" w:color="000000"/>
            </w:tcBorders>
          </w:tcPr>
          <w:p w14:paraId="7829C0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3B35323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AF1B6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247</w:t>
            </w:r>
          </w:p>
        </w:tc>
        <w:tc>
          <w:tcPr>
            <w:tcW w:w="3705" w:type="dxa"/>
            <w:tcBorders>
              <w:top w:val="single" w:sz="8" w:space="0" w:color="000000"/>
              <w:left w:val="single" w:sz="8" w:space="0" w:color="000000"/>
              <w:bottom w:val="single" w:sz="8" w:space="0" w:color="000000"/>
              <w:right w:val="single" w:sz="8" w:space="0" w:color="000000"/>
            </w:tcBorders>
          </w:tcPr>
          <w:p w14:paraId="75FC33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Na</w:t>
            </w:r>
            <w:r w:rsidRPr="00537112">
              <w:rPr>
                <w:rFonts w:cs="Verdana"/>
                <w:spacing w:val="-1"/>
                <w:position w:val="-1"/>
                <w:sz w:val="20"/>
                <w:szCs w:val="20"/>
              </w:rPr>
              <w:t>rc</w:t>
            </w:r>
            <w:r w:rsidRPr="00537112">
              <w:rPr>
                <w:rFonts w:cs="Verdana"/>
                <w:spacing w:val="3"/>
                <w:position w:val="-1"/>
                <w:sz w:val="20"/>
                <w:szCs w:val="20"/>
              </w:rPr>
              <w:t>i</w:t>
            </w:r>
            <w:r w:rsidRPr="00537112">
              <w:rPr>
                <w:rFonts w:cs="Verdana"/>
                <w:spacing w:val="1"/>
                <w:position w:val="-1"/>
                <w:sz w:val="20"/>
                <w:szCs w:val="20"/>
              </w:rPr>
              <w:t>z</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U</w:t>
            </w:r>
            <w:r w:rsidRPr="00537112">
              <w:rPr>
                <w:rFonts w:cs="Verdana"/>
                <w:position w:val="-1"/>
                <w:sz w:val="20"/>
                <w:szCs w:val="20"/>
              </w:rPr>
              <w:t>s</w:t>
            </w:r>
            <w:r w:rsidRPr="00537112">
              <w:rPr>
                <w:rFonts w:cs="Verdana"/>
                <w:spacing w:val="-3"/>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och</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75909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302</w:t>
            </w:r>
          </w:p>
        </w:tc>
        <w:tc>
          <w:tcPr>
            <w:tcW w:w="3991" w:type="dxa"/>
            <w:tcBorders>
              <w:top w:val="single" w:sz="8" w:space="0" w:color="000000"/>
              <w:left w:val="single" w:sz="8" w:space="0" w:color="000000"/>
              <w:bottom w:val="single" w:sz="8" w:space="0" w:color="000000"/>
              <w:right w:val="single" w:sz="8" w:space="0" w:color="000000"/>
            </w:tcBorders>
          </w:tcPr>
          <w:p w14:paraId="5DCDCC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725CB4F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2D3B4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248</w:t>
            </w:r>
          </w:p>
        </w:tc>
        <w:tc>
          <w:tcPr>
            <w:tcW w:w="3705" w:type="dxa"/>
            <w:tcBorders>
              <w:top w:val="single" w:sz="8" w:space="0" w:color="000000"/>
              <w:left w:val="single" w:sz="8" w:space="0" w:color="000000"/>
              <w:bottom w:val="single" w:sz="8" w:space="0" w:color="000000"/>
              <w:right w:val="single" w:sz="8" w:space="0" w:color="000000"/>
            </w:tcBorders>
          </w:tcPr>
          <w:p w14:paraId="0ECC1A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71BCE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303</w:t>
            </w:r>
          </w:p>
        </w:tc>
        <w:tc>
          <w:tcPr>
            <w:tcW w:w="3991" w:type="dxa"/>
            <w:tcBorders>
              <w:top w:val="single" w:sz="8" w:space="0" w:color="000000"/>
              <w:left w:val="single" w:sz="8" w:space="0" w:color="000000"/>
              <w:bottom w:val="single" w:sz="8" w:space="0" w:color="000000"/>
              <w:right w:val="single" w:sz="8" w:space="0" w:color="000000"/>
            </w:tcBorders>
          </w:tcPr>
          <w:p w14:paraId="10CF0E1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09AEB11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9983A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249</w:t>
            </w:r>
          </w:p>
        </w:tc>
        <w:tc>
          <w:tcPr>
            <w:tcW w:w="3705" w:type="dxa"/>
            <w:tcBorders>
              <w:top w:val="single" w:sz="8" w:space="0" w:color="000000"/>
              <w:left w:val="single" w:sz="8" w:space="0" w:color="000000"/>
              <w:bottom w:val="single" w:sz="8" w:space="0" w:color="000000"/>
              <w:right w:val="single" w:sz="8" w:space="0" w:color="000000"/>
            </w:tcBorders>
          </w:tcPr>
          <w:p w14:paraId="1019A1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gn</w:t>
            </w:r>
            <w:r w:rsidRPr="00537112">
              <w:rPr>
                <w:rFonts w:cs="Verdana"/>
                <w:position w:val="-1"/>
                <w:sz w:val="20"/>
                <w:szCs w:val="20"/>
              </w:rPr>
              <w:t>a</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251468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304</w:t>
            </w:r>
          </w:p>
        </w:tc>
        <w:tc>
          <w:tcPr>
            <w:tcW w:w="3991" w:type="dxa"/>
            <w:tcBorders>
              <w:top w:val="single" w:sz="8" w:space="0" w:color="000000"/>
              <w:left w:val="single" w:sz="8" w:space="0" w:color="000000"/>
              <w:bottom w:val="single" w:sz="8" w:space="0" w:color="000000"/>
              <w:right w:val="single" w:sz="8" w:space="0" w:color="000000"/>
            </w:tcBorders>
          </w:tcPr>
          <w:p w14:paraId="430AA0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u</w:t>
            </w:r>
            <w:r w:rsidRPr="00537112">
              <w:rPr>
                <w:rFonts w:cs="Verdana"/>
                <w:position w:val="-1"/>
                <w:sz w:val="20"/>
                <w:szCs w:val="20"/>
              </w:rPr>
              <w:t>x</w:t>
            </w:r>
            <w:r w:rsidRPr="00537112">
              <w:rPr>
                <w:rFonts w:cs="Verdana"/>
                <w:spacing w:val="1"/>
                <w:position w:val="-1"/>
                <w:sz w:val="20"/>
                <w:szCs w:val="20"/>
              </w:rPr>
              <w:t>ú</w:t>
            </w:r>
            <w:r w:rsidRPr="00537112">
              <w:rPr>
                <w:rFonts w:cs="Verdana"/>
                <w:position w:val="-1"/>
                <w:sz w:val="20"/>
                <w:szCs w:val="20"/>
              </w:rPr>
              <w:t>m</w:t>
            </w:r>
          </w:p>
        </w:tc>
      </w:tr>
      <w:tr w:rsidR="00537112" w:rsidRPr="00537112" w14:paraId="4E6D1CE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DCD81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250</w:t>
            </w:r>
          </w:p>
        </w:tc>
        <w:tc>
          <w:tcPr>
            <w:tcW w:w="3705" w:type="dxa"/>
            <w:tcBorders>
              <w:top w:val="single" w:sz="8" w:space="0" w:color="000000"/>
              <w:left w:val="single" w:sz="8" w:space="0" w:color="000000"/>
              <w:bottom w:val="single" w:sz="8" w:space="0" w:color="000000"/>
              <w:right w:val="single" w:sz="8" w:space="0" w:color="000000"/>
            </w:tcBorders>
          </w:tcPr>
          <w:p w14:paraId="1FE154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2715CA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305</w:t>
            </w:r>
          </w:p>
        </w:tc>
        <w:tc>
          <w:tcPr>
            <w:tcW w:w="3991" w:type="dxa"/>
            <w:tcBorders>
              <w:top w:val="single" w:sz="8" w:space="0" w:color="000000"/>
              <w:left w:val="single" w:sz="8" w:space="0" w:color="000000"/>
              <w:bottom w:val="single" w:sz="8" w:space="0" w:color="000000"/>
              <w:right w:val="single" w:sz="8" w:space="0" w:color="000000"/>
            </w:tcBorders>
          </w:tcPr>
          <w:p w14:paraId="71FB3D5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s</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3372895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AFBA6B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251</w:t>
            </w:r>
          </w:p>
        </w:tc>
        <w:tc>
          <w:tcPr>
            <w:tcW w:w="3705" w:type="dxa"/>
            <w:tcBorders>
              <w:top w:val="single" w:sz="8" w:space="0" w:color="000000"/>
              <w:left w:val="single" w:sz="8" w:space="0" w:color="000000"/>
              <w:bottom w:val="single" w:sz="8" w:space="0" w:color="000000"/>
              <w:right w:val="single" w:sz="8" w:space="0" w:color="000000"/>
            </w:tcBorders>
          </w:tcPr>
          <w:p w14:paraId="33375C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position w:val="-1"/>
                <w:sz w:val="20"/>
                <w:szCs w:val="20"/>
              </w:rPr>
              <w:t>s</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DD8E0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306</w:t>
            </w:r>
          </w:p>
        </w:tc>
        <w:tc>
          <w:tcPr>
            <w:tcW w:w="3991" w:type="dxa"/>
            <w:tcBorders>
              <w:top w:val="single" w:sz="8" w:space="0" w:color="000000"/>
              <w:left w:val="single" w:sz="8" w:space="0" w:color="000000"/>
              <w:bottom w:val="single" w:sz="8" w:space="0" w:color="000000"/>
              <w:right w:val="single" w:sz="8" w:space="0" w:color="000000"/>
            </w:tcBorders>
          </w:tcPr>
          <w:p w14:paraId="3422BB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j</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3FD9E56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C0B44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252</w:t>
            </w:r>
          </w:p>
        </w:tc>
        <w:tc>
          <w:tcPr>
            <w:tcW w:w="3705" w:type="dxa"/>
            <w:tcBorders>
              <w:top w:val="single" w:sz="8" w:space="0" w:color="000000"/>
              <w:left w:val="single" w:sz="8" w:space="0" w:color="000000"/>
              <w:bottom w:val="single" w:sz="8" w:space="0" w:color="000000"/>
              <w:right w:val="single" w:sz="8" w:space="0" w:color="000000"/>
            </w:tcBorders>
          </w:tcPr>
          <w:p w14:paraId="6746BBF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Ba</w:t>
            </w:r>
            <w:r w:rsidRPr="00537112">
              <w:rPr>
                <w:rFonts w:cs="Verdana"/>
                <w:spacing w:val="-1"/>
                <w:position w:val="-1"/>
                <w:sz w:val="20"/>
                <w:szCs w:val="20"/>
              </w:rPr>
              <w:t>c</w:t>
            </w:r>
            <w:r w:rsidRPr="00537112">
              <w:rPr>
                <w:rFonts w:cs="Verdana"/>
                <w:spacing w:val="1"/>
                <w:position w:val="-1"/>
                <w:sz w:val="20"/>
                <w:szCs w:val="20"/>
              </w:rPr>
              <w:t>h</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FA6F0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307</w:t>
            </w:r>
          </w:p>
        </w:tc>
        <w:tc>
          <w:tcPr>
            <w:tcW w:w="3991" w:type="dxa"/>
            <w:tcBorders>
              <w:top w:val="single" w:sz="8" w:space="0" w:color="000000"/>
              <w:left w:val="single" w:sz="8" w:space="0" w:color="000000"/>
              <w:bottom w:val="single" w:sz="8" w:space="0" w:color="000000"/>
              <w:right w:val="single" w:sz="8" w:space="0" w:color="000000"/>
            </w:tcBorders>
          </w:tcPr>
          <w:p w14:paraId="6267B6B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163437DA" w14:textId="77777777" w:rsidTr="00630EEC">
        <w:trPr>
          <w:trHeight w:hRule="exact" w:val="494"/>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54330A2"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1DAD8CDF"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253</w:t>
            </w:r>
          </w:p>
        </w:tc>
        <w:tc>
          <w:tcPr>
            <w:tcW w:w="3705" w:type="dxa"/>
            <w:tcBorders>
              <w:top w:val="single" w:sz="8" w:space="0" w:color="000000"/>
              <w:left w:val="single" w:sz="8" w:space="0" w:color="000000"/>
              <w:bottom w:val="single" w:sz="8" w:space="0" w:color="000000"/>
              <w:right w:val="single" w:sz="8" w:space="0" w:color="000000"/>
            </w:tcBorders>
          </w:tcPr>
          <w:p w14:paraId="26020E92"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37F5BC6C"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w:t>
            </w:r>
            <w:r w:rsidRPr="00537112">
              <w:rPr>
                <w:rFonts w:cs="Verdana"/>
                <w:spacing w:val="3"/>
                <w:sz w:val="20"/>
                <w:szCs w:val="20"/>
              </w:rPr>
              <w:t>i</w:t>
            </w:r>
            <w:r w:rsidRPr="00537112">
              <w:rPr>
                <w:rFonts w:cs="Verdana"/>
                <w:sz w:val="20"/>
                <w:szCs w:val="20"/>
              </w:rPr>
              <w:t>a</w:t>
            </w:r>
            <w:r w:rsidRPr="00537112">
              <w:rPr>
                <w:rFonts w:cs="Verdana"/>
                <w:spacing w:val="3"/>
                <w:sz w:val="20"/>
                <w:szCs w:val="20"/>
              </w:rPr>
              <w:t>l</w:t>
            </w:r>
            <w:r w:rsidRPr="00537112">
              <w:rPr>
                <w:rFonts w:cs="Verdana"/>
                <w:sz w:val="20"/>
                <w:szCs w:val="20"/>
              </w:rPr>
              <w:t>a</w:t>
            </w:r>
            <w:r w:rsidRPr="00537112">
              <w:rPr>
                <w:rFonts w:cs="Verdana"/>
                <w:spacing w:val="-8"/>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z w:val="20"/>
                <w:szCs w:val="20"/>
              </w:rPr>
              <w:t>C</w:t>
            </w:r>
            <w:r w:rsidRPr="00537112">
              <w:rPr>
                <w:rFonts w:cs="Verdana"/>
                <w:spacing w:val="3"/>
                <w:sz w:val="20"/>
                <w:szCs w:val="20"/>
              </w:rPr>
              <w:t>i</w:t>
            </w:r>
            <w:r w:rsidRPr="00537112">
              <w:rPr>
                <w:rFonts w:cs="Verdana"/>
                <w:spacing w:val="1"/>
                <w:sz w:val="20"/>
                <w:szCs w:val="20"/>
              </w:rPr>
              <w:t>p</w:t>
            </w:r>
            <w:r w:rsidRPr="00537112">
              <w:rPr>
                <w:rFonts w:cs="Verdana"/>
                <w:spacing w:val="-1"/>
                <w:sz w:val="20"/>
                <w:szCs w:val="20"/>
              </w:rPr>
              <w:t>r</w:t>
            </w:r>
            <w:r w:rsidRPr="00537112">
              <w:rPr>
                <w:rFonts w:cs="Verdana"/>
                <w:spacing w:val="3"/>
                <w:sz w:val="20"/>
                <w:szCs w:val="20"/>
              </w:rPr>
              <w:t>i</w:t>
            </w:r>
            <w:r w:rsidRPr="00537112">
              <w:rPr>
                <w:rFonts w:cs="Verdana"/>
                <w:sz w:val="20"/>
                <w:szCs w:val="20"/>
              </w:rPr>
              <w:t>an</w:t>
            </w:r>
            <w:r w:rsidRPr="00537112">
              <w:rPr>
                <w:rFonts w:cs="Verdana"/>
                <w:spacing w:val="-7"/>
                <w:sz w:val="20"/>
                <w:szCs w:val="20"/>
              </w:rPr>
              <w:t xml:space="preserve"> </w:t>
            </w:r>
            <w:r w:rsidRPr="00537112">
              <w:rPr>
                <w:rFonts w:cs="Verdana"/>
                <w:sz w:val="20"/>
                <w:szCs w:val="20"/>
              </w:rPr>
              <w:t>De</w:t>
            </w:r>
            <w:r w:rsidRPr="00537112">
              <w:rPr>
                <w:rFonts w:cs="Verdana"/>
                <w:spacing w:val="-5"/>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94A5CB7"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64D3BE62"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b/>
                <w:bCs/>
                <w:sz w:val="20"/>
                <w:szCs w:val="20"/>
              </w:rPr>
              <w:t>308</w:t>
            </w:r>
          </w:p>
        </w:tc>
        <w:tc>
          <w:tcPr>
            <w:tcW w:w="3991" w:type="dxa"/>
            <w:tcBorders>
              <w:top w:val="single" w:sz="8" w:space="0" w:color="000000"/>
              <w:left w:val="single" w:sz="8" w:space="0" w:color="000000"/>
              <w:bottom w:val="single" w:sz="8" w:space="0" w:color="000000"/>
              <w:right w:val="single" w:sz="8" w:space="0" w:color="000000"/>
            </w:tcBorders>
          </w:tcPr>
          <w:p w14:paraId="2A3B90A4" w14:textId="77777777" w:rsidR="00537112" w:rsidRPr="00537112" w:rsidRDefault="00537112" w:rsidP="00537112">
            <w:pPr>
              <w:autoSpaceDE w:val="0"/>
              <w:autoSpaceDN w:val="0"/>
              <w:spacing w:before="5" w:line="110" w:lineRule="exact"/>
              <w:jc w:val="left"/>
              <w:textAlignment w:val="auto"/>
              <w:rPr>
                <w:rFonts w:ascii="Times New Roman" w:hAnsi="Times New Roman"/>
                <w:sz w:val="11"/>
                <w:szCs w:val="11"/>
              </w:rPr>
            </w:pPr>
          </w:p>
          <w:p w14:paraId="4A28B1A7" w14:textId="77777777" w:rsidR="00537112" w:rsidRPr="00537112" w:rsidRDefault="00537112" w:rsidP="00537112">
            <w:pPr>
              <w:autoSpaceDE w:val="0"/>
              <w:autoSpaceDN w:val="0"/>
              <w:spacing w:line="240" w:lineRule="auto"/>
              <w:ind w:right="-20"/>
              <w:jc w:val="left"/>
              <w:textAlignment w:val="auto"/>
              <w:rPr>
                <w:rFonts w:ascii="Times New Roman" w:hAnsi="Times New Roman"/>
              </w:rPr>
            </w:pPr>
            <w:r w:rsidRPr="00537112">
              <w:rPr>
                <w:rFonts w:cs="Verdana"/>
                <w:sz w:val="20"/>
                <w:szCs w:val="20"/>
              </w:rPr>
              <w:t>M</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es</w:t>
            </w:r>
            <w:r w:rsidRPr="00537112">
              <w:rPr>
                <w:rFonts w:cs="Verdana"/>
                <w:spacing w:val="3"/>
                <w:sz w:val="20"/>
                <w:szCs w:val="20"/>
              </w:rPr>
              <w:t>i</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r>
      <w:tr w:rsidR="00537112" w:rsidRPr="00537112" w14:paraId="22D8095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C4F54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254</w:t>
            </w:r>
          </w:p>
        </w:tc>
        <w:tc>
          <w:tcPr>
            <w:tcW w:w="3705" w:type="dxa"/>
            <w:tcBorders>
              <w:top w:val="single" w:sz="8" w:space="0" w:color="000000"/>
              <w:left w:val="single" w:sz="8" w:space="0" w:color="000000"/>
              <w:bottom w:val="single" w:sz="8" w:space="0" w:color="000000"/>
              <w:right w:val="single" w:sz="8" w:space="0" w:color="000000"/>
            </w:tcBorders>
          </w:tcPr>
          <w:p w14:paraId="3A5856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g</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A08EB3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309</w:t>
            </w:r>
          </w:p>
        </w:tc>
        <w:tc>
          <w:tcPr>
            <w:tcW w:w="3991" w:type="dxa"/>
            <w:tcBorders>
              <w:top w:val="single" w:sz="8" w:space="0" w:color="000000"/>
              <w:left w:val="single" w:sz="8" w:space="0" w:color="000000"/>
              <w:bottom w:val="single" w:sz="8" w:space="0" w:color="000000"/>
              <w:right w:val="single" w:sz="8" w:space="0" w:color="000000"/>
            </w:tcBorders>
          </w:tcPr>
          <w:p w14:paraId="7333BC9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roc</w:t>
            </w:r>
            <w:r w:rsidRPr="00537112">
              <w:rPr>
                <w:rFonts w:cs="Verdana"/>
                <w:spacing w:val="3"/>
                <w:position w:val="-1"/>
                <w:sz w:val="20"/>
                <w:szCs w:val="20"/>
              </w:rPr>
              <w:t>i</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65CADA4B"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4EAFF88"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255</w:t>
            </w:r>
          </w:p>
        </w:tc>
        <w:tc>
          <w:tcPr>
            <w:tcW w:w="3705" w:type="dxa"/>
            <w:tcBorders>
              <w:top w:val="single" w:sz="8" w:space="0" w:color="000000"/>
              <w:left w:val="single" w:sz="8" w:space="0" w:color="000000"/>
              <w:bottom w:val="single" w:sz="8" w:space="0" w:color="000000"/>
              <w:right w:val="single" w:sz="8" w:space="0" w:color="000000"/>
            </w:tcBorders>
          </w:tcPr>
          <w:p w14:paraId="5659F5B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433A014"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310</w:t>
            </w:r>
          </w:p>
        </w:tc>
        <w:tc>
          <w:tcPr>
            <w:tcW w:w="3991" w:type="dxa"/>
            <w:tcBorders>
              <w:top w:val="single" w:sz="8" w:space="0" w:color="000000"/>
              <w:left w:val="single" w:sz="8" w:space="0" w:color="000000"/>
              <w:bottom w:val="single" w:sz="8" w:space="0" w:color="000000"/>
              <w:right w:val="single" w:sz="8" w:space="0" w:color="000000"/>
            </w:tcBorders>
          </w:tcPr>
          <w:p w14:paraId="5B91071D"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3E90A8C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2256BA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256</w:t>
            </w:r>
          </w:p>
        </w:tc>
        <w:tc>
          <w:tcPr>
            <w:tcW w:w="3705" w:type="dxa"/>
            <w:tcBorders>
              <w:top w:val="single" w:sz="8" w:space="0" w:color="000000"/>
              <w:left w:val="single" w:sz="8" w:space="0" w:color="000000"/>
              <w:bottom w:val="single" w:sz="8" w:space="0" w:color="000000"/>
              <w:right w:val="single" w:sz="8" w:space="0" w:color="000000"/>
            </w:tcBorders>
          </w:tcPr>
          <w:p w14:paraId="609EC70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es</w:t>
            </w:r>
            <w:r w:rsidRPr="00537112">
              <w:rPr>
                <w:rFonts w:cs="Verdana"/>
                <w:spacing w:val="1"/>
                <w:position w:val="-1"/>
                <w:sz w:val="20"/>
                <w:szCs w:val="20"/>
              </w:rPr>
              <w:t>u</w:t>
            </w:r>
            <w:r w:rsidRPr="00537112">
              <w:rPr>
                <w:rFonts w:cs="Verdana"/>
                <w:spacing w:val="-1"/>
                <w:position w:val="-1"/>
                <w:sz w:val="20"/>
                <w:szCs w:val="20"/>
              </w:rPr>
              <w:t>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646DCB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311</w:t>
            </w:r>
          </w:p>
        </w:tc>
        <w:tc>
          <w:tcPr>
            <w:tcW w:w="3991" w:type="dxa"/>
            <w:tcBorders>
              <w:top w:val="single" w:sz="8" w:space="0" w:color="000000"/>
              <w:left w:val="single" w:sz="8" w:space="0" w:color="000000"/>
              <w:bottom w:val="single" w:sz="8" w:space="0" w:color="000000"/>
              <w:right w:val="single" w:sz="8" w:space="0" w:color="000000"/>
            </w:tcBorders>
          </w:tcPr>
          <w:p w14:paraId="278F468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3"/>
                <w:position w:val="-1"/>
                <w:sz w:val="20"/>
                <w:szCs w:val="20"/>
              </w:rPr>
              <w:t>l</w:t>
            </w:r>
            <w:r w:rsidRPr="00537112">
              <w:rPr>
                <w:rFonts w:cs="Verdana"/>
                <w:spacing w:val="-1"/>
                <w:position w:val="-1"/>
                <w:sz w:val="20"/>
                <w:szCs w:val="20"/>
              </w:rPr>
              <w:t>ore</w:t>
            </w:r>
            <w:r w:rsidRPr="00537112">
              <w:rPr>
                <w:rFonts w:cs="Verdana"/>
                <w:position w:val="-1"/>
                <w:sz w:val="20"/>
                <w:szCs w:val="20"/>
              </w:rPr>
              <w:t>s</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o</w:t>
            </w:r>
            <w:r w:rsidRPr="00537112">
              <w:rPr>
                <w:rFonts w:cs="Verdana"/>
                <w:position w:val="-1"/>
                <w:sz w:val="20"/>
                <w:szCs w:val="20"/>
              </w:rPr>
              <w:t>j</w:t>
            </w:r>
            <w:r w:rsidRPr="00537112">
              <w:rPr>
                <w:rFonts w:cs="Verdana"/>
                <w:spacing w:val="-3"/>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3AF9571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EA742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257</w:t>
            </w:r>
          </w:p>
        </w:tc>
        <w:tc>
          <w:tcPr>
            <w:tcW w:w="3705" w:type="dxa"/>
            <w:tcBorders>
              <w:top w:val="single" w:sz="8" w:space="0" w:color="000000"/>
              <w:left w:val="single" w:sz="8" w:space="0" w:color="000000"/>
              <w:bottom w:val="single" w:sz="8" w:space="0" w:color="000000"/>
              <w:right w:val="single" w:sz="8" w:space="0" w:color="000000"/>
            </w:tcBorders>
          </w:tcPr>
          <w:p w14:paraId="01A512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And</w:t>
            </w:r>
            <w:r w:rsidRPr="00537112">
              <w:rPr>
                <w:rFonts w:cs="Verdana"/>
                <w:spacing w:val="-1"/>
                <w:position w:val="-1"/>
                <w:sz w:val="20"/>
                <w:szCs w:val="20"/>
              </w:rPr>
              <w:t>re</w:t>
            </w:r>
            <w:r w:rsidRPr="00537112">
              <w:rPr>
                <w:rFonts w:cs="Verdana"/>
                <w:position w:val="-1"/>
                <w:sz w:val="20"/>
                <w:szCs w:val="20"/>
              </w:rPr>
              <w:t>s</w:t>
            </w:r>
            <w:r w:rsidRPr="00537112">
              <w:rPr>
                <w:rFonts w:cs="Verdana"/>
                <w:spacing w:val="-8"/>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p</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4C75BC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312</w:t>
            </w:r>
          </w:p>
        </w:tc>
        <w:tc>
          <w:tcPr>
            <w:tcW w:w="3991" w:type="dxa"/>
            <w:tcBorders>
              <w:top w:val="single" w:sz="8" w:space="0" w:color="000000"/>
              <w:left w:val="single" w:sz="8" w:space="0" w:color="000000"/>
              <w:bottom w:val="single" w:sz="8" w:space="0" w:color="000000"/>
              <w:right w:val="single" w:sz="8" w:space="0" w:color="000000"/>
            </w:tcBorders>
          </w:tcPr>
          <w:p w14:paraId="5F181C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as</w:t>
            </w:r>
          </w:p>
        </w:tc>
      </w:tr>
      <w:tr w:rsidR="00537112" w:rsidRPr="00537112" w14:paraId="157EF07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A8EAA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258</w:t>
            </w:r>
          </w:p>
        </w:tc>
        <w:tc>
          <w:tcPr>
            <w:tcW w:w="3705" w:type="dxa"/>
            <w:tcBorders>
              <w:top w:val="single" w:sz="8" w:space="0" w:color="000000"/>
              <w:left w:val="single" w:sz="8" w:space="0" w:color="000000"/>
              <w:bottom w:val="single" w:sz="8" w:space="0" w:color="000000"/>
              <w:right w:val="single" w:sz="8" w:space="0" w:color="000000"/>
            </w:tcBorders>
          </w:tcPr>
          <w:p w14:paraId="1E3E42F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3"/>
                <w:position w:val="-1"/>
                <w:sz w:val="20"/>
                <w:szCs w:val="20"/>
              </w:rPr>
              <w:t>il</w:t>
            </w:r>
            <w:r w:rsidRPr="00537112">
              <w:rPr>
                <w:rFonts w:cs="Verdana"/>
                <w:position w:val="-1"/>
                <w:sz w:val="20"/>
                <w:szCs w:val="20"/>
              </w:rPr>
              <w:t>v</w:t>
            </w:r>
            <w:r w:rsidRPr="00537112">
              <w:rPr>
                <w:rFonts w:cs="Verdana"/>
                <w:spacing w:val="-1"/>
                <w:position w:val="-1"/>
                <w:sz w:val="20"/>
                <w:szCs w:val="20"/>
              </w:rPr>
              <w:t>er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559B032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313</w:t>
            </w:r>
          </w:p>
        </w:tc>
        <w:tc>
          <w:tcPr>
            <w:tcW w:w="3991" w:type="dxa"/>
            <w:tcBorders>
              <w:top w:val="single" w:sz="8" w:space="0" w:color="000000"/>
              <w:left w:val="single" w:sz="8" w:space="0" w:color="000000"/>
              <w:bottom w:val="single" w:sz="8" w:space="0" w:color="000000"/>
              <w:right w:val="single" w:sz="8" w:space="0" w:color="000000"/>
            </w:tcBorders>
          </w:tcPr>
          <w:p w14:paraId="36D49C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p>
        </w:tc>
      </w:tr>
      <w:tr w:rsidR="00537112" w:rsidRPr="00537112" w14:paraId="63A6ED6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1DC529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259</w:t>
            </w:r>
          </w:p>
        </w:tc>
        <w:tc>
          <w:tcPr>
            <w:tcW w:w="3705" w:type="dxa"/>
            <w:tcBorders>
              <w:top w:val="single" w:sz="8" w:space="0" w:color="000000"/>
              <w:left w:val="single" w:sz="8" w:space="0" w:color="000000"/>
              <w:bottom w:val="single" w:sz="8" w:space="0" w:color="000000"/>
              <w:right w:val="single" w:sz="8" w:space="0" w:color="000000"/>
            </w:tcBorders>
          </w:tcPr>
          <w:p w14:paraId="3C59FFC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3B6CF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314</w:t>
            </w:r>
          </w:p>
        </w:tc>
        <w:tc>
          <w:tcPr>
            <w:tcW w:w="3991" w:type="dxa"/>
            <w:tcBorders>
              <w:top w:val="single" w:sz="8" w:space="0" w:color="000000"/>
              <w:left w:val="single" w:sz="8" w:space="0" w:color="000000"/>
              <w:bottom w:val="single" w:sz="8" w:space="0" w:color="000000"/>
              <w:right w:val="single" w:sz="8" w:space="0" w:color="000000"/>
            </w:tcBorders>
          </w:tcPr>
          <w:p w14:paraId="773FBF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3"/>
                <w:position w:val="-1"/>
                <w:sz w:val="20"/>
                <w:szCs w:val="20"/>
              </w:rPr>
              <w:t>i</w:t>
            </w:r>
            <w:r w:rsidRPr="00537112">
              <w:rPr>
                <w:rFonts w:cs="Verdana"/>
                <w:position w:val="-1"/>
                <w:sz w:val="20"/>
                <w:szCs w:val="20"/>
              </w:rPr>
              <w:t>as</w:t>
            </w:r>
            <w:r w:rsidRPr="00537112">
              <w:rPr>
                <w:rFonts w:cs="Verdana"/>
                <w:spacing w:val="-7"/>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r>
      <w:tr w:rsidR="00537112" w:rsidRPr="00537112" w14:paraId="4CC56CE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5EDB2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260</w:t>
            </w:r>
          </w:p>
        </w:tc>
        <w:tc>
          <w:tcPr>
            <w:tcW w:w="3705" w:type="dxa"/>
            <w:tcBorders>
              <w:top w:val="single" w:sz="8" w:space="0" w:color="000000"/>
              <w:left w:val="single" w:sz="8" w:space="0" w:color="000000"/>
              <w:bottom w:val="single" w:sz="8" w:space="0" w:color="000000"/>
              <w:right w:val="single" w:sz="8" w:space="0" w:color="000000"/>
            </w:tcBorders>
          </w:tcPr>
          <w:p w14:paraId="5AE4BF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1"/>
                <w:position w:val="-1"/>
                <w:sz w:val="20"/>
                <w:szCs w:val="20"/>
              </w:rPr>
              <w:t>ud</w:t>
            </w:r>
            <w:r w:rsidRPr="00537112">
              <w:rPr>
                <w:rFonts w:cs="Verdana"/>
                <w:spacing w:val="3"/>
                <w:position w:val="-1"/>
                <w:sz w:val="20"/>
                <w:szCs w:val="20"/>
              </w:rPr>
              <w:t>ili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48209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315</w:t>
            </w:r>
          </w:p>
        </w:tc>
        <w:tc>
          <w:tcPr>
            <w:tcW w:w="3991" w:type="dxa"/>
            <w:tcBorders>
              <w:top w:val="single" w:sz="8" w:space="0" w:color="000000"/>
              <w:left w:val="single" w:sz="8" w:space="0" w:color="000000"/>
              <w:bottom w:val="single" w:sz="8" w:space="0" w:color="000000"/>
              <w:right w:val="single" w:sz="8" w:space="0" w:color="000000"/>
            </w:tcBorders>
          </w:tcPr>
          <w:p w14:paraId="5BA7BB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Za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as</w:t>
            </w:r>
            <w:r w:rsidRPr="00537112">
              <w:rPr>
                <w:rFonts w:cs="Verdana"/>
                <w:spacing w:val="-9"/>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p>
        </w:tc>
      </w:tr>
      <w:tr w:rsidR="00537112" w:rsidRPr="00537112" w14:paraId="6DF1AB9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CF041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261</w:t>
            </w:r>
          </w:p>
        </w:tc>
        <w:tc>
          <w:tcPr>
            <w:tcW w:w="3705" w:type="dxa"/>
            <w:tcBorders>
              <w:top w:val="single" w:sz="8" w:space="0" w:color="000000"/>
              <w:left w:val="single" w:sz="8" w:space="0" w:color="000000"/>
              <w:bottom w:val="single" w:sz="8" w:space="0" w:color="000000"/>
              <w:right w:val="single" w:sz="8" w:space="0" w:color="000000"/>
            </w:tcBorders>
          </w:tcPr>
          <w:p w14:paraId="3811565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C29ED3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316</w:t>
            </w:r>
          </w:p>
        </w:tc>
        <w:tc>
          <w:tcPr>
            <w:tcW w:w="3991" w:type="dxa"/>
            <w:tcBorders>
              <w:top w:val="single" w:sz="8" w:space="0" w:color="000000"/>
              <w:left w:val="single" w:sz="8" w:space="0" w:color="000000"/>
              <w:bottom w:val="single" w:sz="8" w:space="0" w:color="000000"/>
              <w:right w:val="single" w:sz="8" w:space="0" w:color="000000"/>
            </w:tcBorders>
          </w:tcPr>
          <w:p w14:paraId="3F7E5E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mu</w:t>
            </w:r>
            <w:r w:rsidRPr="00537112">
              <w:rPr>
                <w:rFonts w:cs="Verdana"/>
                <w:spacing w:val="-1"/>
                <w:position w:val="-1"/>
                <w:sz w:val="20"/>
                <w:szCs w:val="20"/>
              </w:rPr>
              <w:t>e</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689C047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B5095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262</w:t>
            </w:r>
          </w:p>
        </w:tc>
        <w:tc>
          <w:tcPr>
            <w:tcW w:w="3705" w:type="dxa"/>
            <w:tcBorders>
              <w:top w:val="single" w:sz="8" w:space="0" w:color="000000"/>
              <w:left w:val="single" w:sz="8" w:space="0" w:color="000000"/>
              <w:bottom w:val="single" w:sz="8" w:space="0" w:color="000000"/>
              <w:right w:val="single" w:sz="8" w:space="0" w:color="000000"/>
            </w:tcBorders>
          </w:tcPr>
          <w:p w14:paraId="0D841A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FFF59B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317</w:t>
            </w:r>
          </w:p>
        </w:tc>
        <w:tc>
          <w:tcPr>
            <w:tcW w:w="3991" w:type="dxa"/>
            <w:tcBorders>
              <w:top w:val="single" w:sz="8" w:space="0" w:color="000000"/>
              <w:left w:val="single" w:sz="8" w:space="0" w:color="000000"/>
              <w:bottom w:val="single" w:sz="8" w:space="0" w:color="000000"/>
              <w:right w:val="single" w:sz="8" w:space="0" w:color="000000"/>
            </w:tcBorders>
          </w:tcPr>
          <w:p w14:paraId="22210A7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p>
        </w:tc>
      </w:tr>
      <w:tr w:rsidR="00537112" w:rsidRPr="00537112" w14:paraId="7D38E8A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4637B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263</w:t>
            </w:r>
          </w:p>
        </w:tc>
        <w:tc>
          <w:tcPr>
            <w:tcW w:w="3705" w:type="dxa"/>
            <w:tcBorders>
              <w:top w:val="single" w:sz="8" w:space="0" w:color="000000"/>
              <w:left w:val="single" w:sz="8" w:space="0" w:color="000000"/>
              <w:bottom w:val="single" w:sz="8" w:space="0" w:color="000000"/>
              <w:right w:val="single" w:sz="8" w:space="0" w:color="000000"/>
            </w:tcBorders>
          </w:tcPr>
          <w:p w14:paraId="3789BC4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r w:rsidRPr="00537112">
              <w:rPr>
                <w:rFonts w:cs="Verdana"/>
                <w:spacing w:val="-12"/>
                <w:position w:val="-1"/>
                <w:sz w:val="20"/>
                <w:szCs w:val="20"/>
              </w:rPr>
              <w:t xml:space="preserve"> </w:t>
            </w:r>
            <w:r w:rsidRPr="00537112">
              <w:rPr>
                <w:rFonts w:cs="Verdana"/>
                <w:position w:val="-1"/>
                <w:sz w:val="20"/>
                <w:szCs w:val="20"/>
              </w:rPr>
              <w:t>Ca</w:t>
            </w:r>
            <w:r w:rsidRPr="00537112">
              <w:rPr>
                <w:rFonts w:cs="Verdana"/>
                <w:spacing w:val="3"/>
                <w:position w:val="-1"/>
                <w:sz w:val="20"/>
                <w:szCs w:val="20"/>
              </w:rPr>
              <w:t>l</w:t>
            </w:r>
            <w:r w:rsidRPr="00537112">
              <w:rPr>
                <w:rFonts w:cs="Verdana"/>
                <w:position w:val="-1"/>
                <w:sz w:val="20"/>
                <w:szCs w:val="20"/>
              </w:rPr>
              <w:t>at</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A07E6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318</w:t>
            </w:r>
          </w:p>
        </w:tc>
        <w:tc>
          <w:tcPr>
            <w:tcW w:w="3991" w:type="dxa"/>
            <w:tcBorders>
              <w:top w:val="single" w:sz="8" w:space="0" w:color="000000"/>
              <w:left w:val="single" w:sz="8" w:space="0" w:color="000000"/>
              <w:bottom w:val="single" w:sz="8" w:space="0" w:color="000000"/>
              <w:right w:val="single" w:sz="8" w:space="0" w:color="000000"/>
            </w:tcBorders>
          </w:tcPr>
          <w:p w14:paraId="5C1DC5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r>
      <w:tr w:rsidR="00537112" w:rsidRPr="00537112" w14:paraId="4C764A3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B4384C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264</w:t>
            </w:r>
          </w:p>
        </w:tc>
        <w:tc>
          <w:tcPr>
            <w:tcW w:w="3705" w:type="dxa"/>
            <w:tcBorders>
              <w:top w:val="single" w:sz="8" w:space="0" w:color="000000"/>
              <w:left w:val="single" w:sz="8" w:space="0" w:color="000000"/>
              <w:bottom w:val="single" w:sz="8" w:space="0" w:color="000000"/>
              <w:right w:val="single" w:sz="8" w:space="0" w:color="000000"/>
            </w:tcBorders>
          </w:tcPr>
          <w:p w14:paraId="38497BD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b</w:t>
            </w:r>
            <w:r w:rsidRPr="00537112">
              <w:rPr>
                <w:rFonts w:cs="Verdana"/>
                <w:spacing w:val="-1"/>
                <w:position w:val="-1"/>
                <w:sz w:val="20"/>
                <w:szCs w:val="20"/>
              </w:rPr>
              <w:t>er</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621C8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319</w:t>
            </w:r>
          </w:p>
        </w:tc>
        <w:tc>
          <w:tcPr>
            <w:tcW w:w="3991" w:type="dxa"/>
            <w:tcBorders>
              <w:top w:val="single" w:sz="8" w:space="0" w:color="000000"/>
              <w:left w:val="single" w:sz="8" w:space="0" w:color="000000"/>
              <w:bottom w:val="single" w:sz="8" w:space="0" w:color="000000"/>
              <w:right w:val="single" w:sz="8" w:space="0" w:color="000000"/>
            </w:tcBorders>
          </w:tcPr>
          <w:p w14:paraId="091A2E7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b</w:t>
            </w:r>
            <w:r w:rsidRPr="00537112">
              <w:rPr>
                <w:rFonts w:cs="Verdana"/>
                <w:spacing w:val="3"/>
                <w:position w:val="-1"/>
                <w:sz w:val="20"/>
                <w:szCs w:val="20"/>
              </w:rPr>
              <w:t>l</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6451607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10969B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265</w:t>
            </w:r>
          </w:p>
        </w:tc>
        <w:tc>
          <w:tcPr>
            <w:tcW w:w="3705" w:type="dxa"/>
            <w:tcBorders>
              <w:top w:val="single" w:sz="8" w:space="0" w:color="000000"/>
              <w:left w:val="single" w:sz="8" w:space="0" w:color="000000"/>
              <w:bottom w:val="single" w:sz="8" w:space="0" w:color="000000"/>
              <w:right w:val="single" w:sz="8" w:space="0" w:color="000000"/>
            </w:tcBorders>
          </w:tcPr>
          <w:p w14:paraId="112A17A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u</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av</w:t>
            </w:r>
            <w:r w:rsidRPr="00537112">
              <w:rPr>
                <w:rFonts w:cs="Verdana"/>
                <w:spacing w:val="-1"/>
                <w:position w:val="-1"/>
                <w:sz w:val="20"/>
                <w:szCs w:val="20"/>
              </w:rPr>
              <w:t>e</w:t>
            </w:r>
            <w:r w:rsidRPr="00537112">
              <w:rPr>
                <w:rFonts w:cs="Verdana"/>
                <w:spacing w:val="1"/>
                <w:position w:val="-1"/>
                <w:sz w:val="20"/>
                <w:szCs w:val="20"/>
              </w:rPr>
              <w:t>ntu</w:t>
            </w:r>
            <w:r w:rsidRPr="00537112">
              <w:rPr>
                <w:rFonts w:cs="Verdana"/>
                <w:spacing w:val="-1"/>
                <w:position w:val="-1"/>
                <w:sz w:val="20"/>
                <w:szCs w:val="20"/>
              </w:rPr>
              <w:t>r</w:t>
            </w:r>
            <w:r w:rsidRPr="00537112">
              <w:rPr>
                <w:rFonts w:cs="Verdana"/>
                <w:position w:val="-1"/>
                <w:sz w:val="20"/>
                <w:szCs w:val="20"/>
              </w:rPr>
              <w:t>a</w:t>
            </w:r>
            <w:r w:rsidRPr="00537112">
              <w:rPr>
                <w:rFonts w:cs="Verdana"/>
                <w:spacing w:val="-1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16DA51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320</w:t>
            </w:r>
          </w:p>
        </w:tc>
        <w:tc>
          <w:tcPr>
            <w:tcW w:w="3991" w:type="dxa"/>
            <w:tcBorders>
              <w:top w:val="single" w:sz="8" w:space="0" w:color="000000"/>
              <w:left w:val="single" w:sz="8" w:space="0" w:color="000000"/>
              <w:bottom w:val="single" w:sz="8" w:space="0" w:color="000000"/>
              <w:right w:val="single" w:sz="8" w:space="0" w:color="000000"/>
            </w:tcBorders>
          </w:tcPr>
          <w:p w14:paraId="506596A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16DC76A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0EE2F8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266</w:t>
            </w:r>
          </w:p>
        </w:tc>
        <w:tc>
          <w:tcPr>
            <w:tcW w:w="3705" w:type="dxa"/>
            <w:tcBorders>
              <w:top w:val="single" w:sz="8" w:space="0" w:color="000000"/>
              <w:left w:val="single" w:sz="8" w:space="0" w:color="000000"/>
              <w:bottom w:val="single" w:sz="8" w:space="0" w:color="000000"/>
              <w:right w:val="single" w:sz="8" w:space="0" w:color="000000"/>
            </w:tcBorders>
          </w:tcPr>
          <w:p w14:paraId="6CA27C1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07FC9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321</w:t>
            </w:r>
          </w:p>
        </w:tc>
        <w:tc>
          <w:tcPr>
            <w:tcW w:w="3991" w:type="dxa"/>
            <w:tcBorders>
              <w:top w:val="single" w:sz="8" w:space="0" w:color="000000"/>
              <w:left w:val="single" w:sz="8" w:space="0" w:color="000000"/>
              <w:bottom w:val="single" w:sz="8" w:space="0" w:color="000000"/>
              <w:right w:val="single" w:sz="8" w:space="0" w:color="000000"/>
            </w:tcBorders>
          </w:tcPr>
          <w:p w14:paraId="315EA4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3B48FEA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2C13AB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267</w:t>
            </w:r>
          </w:p>
        </w:tc>
        <w:tc>
          <w:tcPr>
            <w:tcW w:w="3705" w:type="dxa"/>
            <w:tcBorders>
              <w:top w:val="single" w:sz="8" w:space="0" w:color="000000"/>
              <w:left w:val="single" w:sz="8" w:space="0" w:color="000000"/>
              <w:bottom w:val="single" w:sz="8" w:space="0" w:color="000000"/>
              <w:right w:val="single" w:sz="8" w:space="0" w:color="000000"/>
            </w:tcBorders>
          </w:tcPr>
          <w:p w14:paraId="69F73C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Ba</w:t>
            </w:r>
            <w:r w:rsidRPr="00537112">
              <w:rPr>
                <w:rFonts w:cs="Verdana"/>
                <w:spacing w:val="1"/>
                <w:position w:val="-1"/>
                <w:sz w:val="20"/>
                <w:szCs w:val="20"/>
              </w:rPr>
              <w:t>ut</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CD7E9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322</w:t>
            </w:r>
          </w:p>
        </w:tc>
        <w:tc>
          <w:tcPr>
            <w:tcW w:w="3991" w:type="dxa"/>
            <w:tcBorders>
              <w:top w:val="single" w:sz="8" w:space="0" w:color="000000"/>
              <w:left w:val="single" w:sz="8" w:space="0" w:color="000000"/>
              <w:bottom w:val="single" w:sz="8" w:space="0" w:color="000000"/>
              <w:right w:val="single" w:sz="8" w:space="0" w:color="000000"/>
            </w:tcBorders>
          </w:tcPr>
          <w:p w14:paraId="122BF45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463F404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A5D1E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268</w:t>
            </w:r>
          </w:p>
        </w:tc>
        <w:tc>
          <w:tcPr>
            <w:tcW w:w="3705" w:type="dxa"/>
            <w:tcBorders>
              <w:top w:val="single" w:sz="8" w:space="0" w:color="000000"/>
              <w:left w:val="single" w:sz="8" w:space="0" w:color="000000"/>
              <w:bottom w:val="single" w:sz="8" w:space="0" w:color="000000"/>
              <w:right w:val="single" w:sz="8" w:space="0" w:color="000000"/>
            </w:tcBorders>
          </w:tcPr>
          <w:p w14:paraId="615DC3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50FDEA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323</w:t>
            </w:r>
          </w:p>
        </w:tc>
        <w:tc>
          <w:tcPr>
            <w:tcW w:w="3991" w:type="dxa"/>
            <w:tcBorders>
              <w:top w:val="single" w:sz="8" w:space="0" w:color="000000"/>
              <w:left w:val="single" w:sz="8" w:space="0" w:color="000000"/>
              <w:bottom w:val="single" w:sz="8" w:space="0" w:color="000000"/>
              <w:right w:val="single" w:sz="8" w:space="0" w:color="000000"/>
            </w:tcBorders>
          </w:tcPr>
          <w:p w14:paraId="2CDD70D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11DBDE4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39198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269</w:t>
            </w:r>
          </w:p>
        </w:tc>
        <w:tc>
          <w:tcPr>
            <w:tcW w:w="3705" w:type="dxa"/>
            <w:tcBorders>
              <w:top w:val="single" w:sz="8" w:space="0" w:color="000000"/>
              <w:left w:val="single" w:sz="8" w:space="0" w:color="000000"/>
              <w:bottom w:val="single" w:sz="8" w:space="0" w:color="000000"/>
              <w:right w:val="single" w:sz="8" w:space="0" w:color="000000"/>
            </w:tcBorders>
          </w:tcPr>
          <w:p w14:paraId="0395E1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m</w:t>
            </w:r>
            <w:r w:rsidRPr="00537112">
              <w:rPr>
                <w:rFonts w:cs="Verdana"/>
                <w:spacing w:val="3"/>
                <w:position w:val="-1"/>
                <w:sz w:val="20"/>
                <w:szCs w:val="20"/>
              </w:rPr>
              <w:t>il</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re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7FA4B3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324</w:t>
            </w:r>
          </w:p>
        </w:tc>
        <w:tc>
          <w:tcPr>
            <w:tcW w:w="3991" w:type="dxa"/>
            <w:tcBorders>
              <w:top w:val="single" w:sz="8" w:space="0" w:color="000000"/>
              <w:left w:val="single" w:sz="8" w:space="0" w:color="000000"/>
              <w:bottom w:val="single" w:sz="8" w:space="0" w:color="000000"/>
              <w:right w:val="single" w:sz="8" w:space="0" w:color="000000"/>
            </w:tcBorders>
          </w:tcPr>
          <w:p w14:paraId="48236B6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1055BD7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AEC1D4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270</w:t>
            </w:r>
          </w:p>
        </w:tc>
        <w:tc>
          <w:tcPr>
            <w:tcW w:w="3705" w:type="dxa"/>
            <w:tcBorders>
              <w:top w:val="single" w:sz="8" w:space="0" w:color="000000"/>
              <w:left w:val="single" w:sz="8" w:space="0" w:color="000000"/>
              <w:bottom w:val="single" w:sz="8" w:space="0" w:color="000000"/>
              <w:right w:val="single" w:sz="8" w:space="0" w:color="000000"/>
            </w:tcBorders>
          </w:tcPr>
          <w:p w14:paraId="0F2CA09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E1A5CC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325</w:t>
            </w:r>
          </w:p>
        </w:tc>
        <w:tc>
          <w:tcPr>
            <w:tcW w:w="3991" w:type="dxa"/>
            <w:tcBorders>
              <w:top w:val="single" w:sz="8" w:space="0" w:color="000000"/>
              <w:left w:val="single" w:sz="8" w:space="0" w:color="000000"/>
              <w:bottom w:val="single" w:sz="8" w:space="0" w:color="000000"/>
              <w:right w:val="single" w:sz="8" w:space="0" w:color="000000"/>
            </w:tcBorders>
          </w:tcPr>
          <w:p w14:paraId="146561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1C5E4AE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451BE3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271</w:t>
            </w:r>
          </w:p>
        </w:tc>
        <w:tc>
          <w:tcPr>
            <w:tcW w:w="3705" w:type="dxa"/>
            <w:tcBorders>
              <w:top w:val="single" w:sz="8" w:space="0" w:color="000000"/>
              <w:left w:val="single" w:sz="8" w:space="0" w:color="000000"/>
              <w:bottom w:val="single" w:sz="8" w:space="0" w:color="000000"/>
              <w:right w:val="single" w:sz="8" w:space="0" w:color="000000"/>
            </w:tcBorders>
          </w:tcPr>
          <w:p w14:paraId="0EFC25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b</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De</w:t>
            </w:r>
            <w:r w:rsidRPr="00537112">
              <w:rPr>
                <w:rFonts w:cs="Verdana"/>
                <w:spacing w:val="-5"/>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A3FCB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326</w:t>
            </w:r>
          </w:p>
        </w:tc>
        <w:tc>
          <w:tcPr>
            <w:tcW w:w="3991" w:type="dxa"/>
            <w:tcBorders>
              <w:top w:val="single" w:sz="8" w:space="0" w:color="000000"/>
              <w:left w:val="single" w:sz="8" w:space="0" w:color="000000"/>
              <w:bottom w:val="single" w:sz="8" w:space="0" w:color="000000"/>
              <w:right w:val="single" w:sz="8" w:space="0" w:color="000000"/>
            </w:tcBorders>
          </w:tcPr>
          <w:p w14:paraId="7C6DD3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gd</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043C53BA"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86D06B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272</w:t>
            </w:r>
          </w:p>
        </w:tc>
        <w:tc>
          <w:tcPr>
            <w:tcW w:w="3705" w:type="dxa"/>
            <w:tcBorders>
              <w:top w:val="single" w:sz="8" w:space="0" w:color="000000"/>
              <w:left w:val="single" w:sz="8" w:space="0" w:color="000000"/>
              <w:bottom w:val="single" w:sz="8" w:space="0" w:color="000000"/>
              <w:right w:val="single" w:sz="8" w:space="0" w:color="000000"/>
            </w:tcBorders>
          </w:tcPr>
          <w:p w14:paraId="39A68EA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5BBEB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327</w:t>
            </w:r>
          </w:p>
        </w:tc>
        <w:tc>
          <w:tcPr>
            <w:tcW w:w="3991" w:type="dxa"/>
            <w:tcBorders>
              <w:top w:val="single" w:sz="8" w:space="0" w:color="000000"/>
              <w:left w:val="single" w:sz="8" w:space="0" w:color="000000"/>
              <w:bottom w:val="single" w:sz="8" w:space="0" w:color="000000"/>
              <w:right w:val="single" w:sz="8" w:space="0" w:color="000000"/>
            </w:tcBorders>
          </w:tcPr>
          <w:p w14:paraId="5553A06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d</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28C6D1A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964B9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273</w:t>
            </w:r>
          </w:p>
        </w:tc>
        <w:tc>
          <w:tcPr>
            <w:tcW w:w="3705" w:type="dxa"/>
            <w:tcBorders>
              <w:top w:val="single" w:sz="8" w:space="0" w:color="000000"/>
              <w:left w:val="single" w:sz="8" w:space="0" w:color="000000"/>
              <w:bottom w:val="single" w:sz="8" w:space="0" w:color="000000"/>
              <w:right w:val="single" w:sz="8" w:space="0" w:color="000000"/>
            </w:tcBorders>
          </w:tcPr>
          <w:p w14:paraId="4833D0A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Augu</w:t>
            </w:r>
            <w:r w:rsidRPr="00537112">
              <w:rPr>
                <w:rFonts w:cs="Verdana"/>
                <w:spacing w:val="-1"/>
                <w:position w:val="-1"/>
                <w:sz w:val="20"/>
                <w:szCs w:val="20"/>
              </w:rPr>
              <w:t>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U</w:t>
            </w:r>
            <w:r w:rsidRPr="00537112">
              <w:rPr>
                <w:rFonts w:cs="Verdana"/>
                <w:spacing w:val="-1"/>
                <w:position w:val="-1"/>
                <w:sz w:val="20"/>
                <w:szCs w:val="20"/>
              </w:rPr>
              <w:t>sc</w:t>
            </w:r>
            <w:r w:rsidRPr="00537112">
              <w:rPr>
                <w:rFonts w:cs="Verdana"/>
                <w:position w:val="-1"/>
                <w:sz w:val="20"/>
                <w:szCs w:val="20"/>
              </w:rPr>
              <w:t>ap</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06D96A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328</w:t>
            </w:r>
          </w:p>
        </w:tc>
        <w:tc>
          <w:tcPr>
            <w:tcW w:w="3991" w:type="dxa"/>
            <w:tcBorders>
              <w:top w:val="single" w:sz="8" w:space="0" w:color="000000"/>
              <w:left w:val="single" w:sz="8" w:space="0" w:color="000000"/>
              <w:bottom w:val="single" w:sz="8" w:space="0" w:color="000000"/>
              <w:right w:val="single" w:sz="8" w:space="0" w:color="000000"/>
            </w:tcBorders>
          </w:tcPr>
          <w:p w14:paraId="5DE4ACD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position w:val="-1"/>
                <w:sz w:val="20"/>
                <w:szCs w:val="20"/>
              </w:rPr>
              <w:t>P</w:t>
            </w:r>
            <w:r w:rsidRPr="00537112">
              <w:rPr>
                <w:rFonts w:cs="Verdana"/>
                <w:spacing w:val="-1"/>
                <w:position w:val="-1"/>
                <w:sz w:val="20"/>
                <w:szCs w:val="20"/>
              </w:rPr>
              <w:t>ere</w:t>
            </w:r>
            <w:r w:rsidRPr="00537112">
              <w:rPr>
                <w:rFonts w:cs="Verdana"/>
                <w:position w:val="-1"/>
                <w:sz w:val="20"/>
                <w:szCs w:val="20"/>
              </w:rPr>
              <w:t>z</w:t>
            </w:r>
          </w:p>
        </w:tc>
      </w:tr>
      <w:tr w:rsidR="00537112" w:rsidRPr="00537112" w14:paraId="62FD4E4E"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E65B3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274</w:t>
            </w:r>
          </w:p>
        </w:tc>
        <w:tc>
          <w:tcPr>
            <w:tcW w:w="3705" w:type="dxa"/>
            <w:tcBorders>
              <w:top w:val="single" w:sz="8" w:space="0" w:color="000000"/>
              <w:left w:val="single" w:sz="8" w:space="0" w:color="000000"/>
              <w:bottom w:val="single" w:sz="8" w:space="0" w:color="000000"/>
              <w:right w:val="single" w:sz="8" w:space="0" w:color="000000"/>
            </w:tcBorders>
          </w:tcPr>
          <w:p w14:paraId="4EA732A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c</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F4EC3C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329</w:t>
            </w:r>
          </w:p>
        </w:tc>
        <w:tc>
          <w:tcPr>
            <w:tcW w:w="3991" w:type="dxa"/>
            <w:tcBorders>
              <w:top w:val="single" w:sz="8" w:space="0" w:color="000000"/>
              <w:left w:val="single" w:sz="8" w:space="0" w:color="000000"/>
              <w:bottom w:val="single" w:sz="8" w:space="0" w:color="000000"/>
              <w:right w:val="single" w:sz="8" w:space="0" w:color="000000"/>
            </w:tcBorders>
          </w:tcPr>
          <w:p w14:paraId="0BB968F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eo</w:t>
            </w:r>
            <w:r w:rsidRPr="00537112">
              <w:rPr>
                <w:rFonts w:cs="Verdana"/>
                <w:spacing w:val="1"/>
                <w:position w:val="-1"/>
                <w:sz w:val="20"/>
                <w:szCs w:val="20"/>
              </w:rPr>
              <w:t>d</w:t>
            </w:r>
            <w:r w:rsidRPr="00537112">
              <w:rPr>
                <w:rFonts w:cs="Verdana"/>
                <w:spacing w:val="-1"/>
                <w:position w:val="-1"/>
                <w:sz w:val="20"/>
                <w:szCs w:val="20"/>
              </w:rPr>
              <w:t>or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j</w:t>
            </w:r>
            <w:r w:rsidRPr="00537112">
              <w:rPr>
                <w:rFonts w:cs="Verdana"/>
                <w:spacing w:val="-1"/>
                <w:position w:val="-1"/>
                <w:sz w:val="20"/>
                <w:szCs w:val="20"/>
              </w:rPr>
              <w:t>ó</w:t>
            </w:r>
            <w:r w:rsidRPr="00537112">
              <w:rPr>
                <w:rFonts w:cs="Verdana"/>
                <w:position w:val="-1"/>
                <w:sz w:val="20"/>
                <w:szCs w:val="20"/>
              </w:rPr>
              <w:t>m</w:t>
            </w:r>
          </w:p>
        </w:tc>
      </w:tr>
      <w:tr w:rsidR="00537112" w:rsidRPr="00537112" w14:paraId="09A9068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AB2007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275</w:t>
            </w:r>
          </w:p>
        </w:tc>
        <w:tc>
          <w:tcPr>
            <w:tcW w:w="3705" w:type="dxa"/>
            <w:tcBorders>
              <w:top w:val="single" w:sz="8" w:space="0" w:color="000000"/>
              <w:left w:val="single" w:sz="8" w:space="0" w:color="000000"/>
              <w:bottom w:val="single" w:sz="8" w:space="0" w:color="000000"/>
              <w:right w:val="single" w:sz="8" w:space="0" w:color="000000"/>
            </w:tcBorders>
          </w:tcPr>
          <w:p w14:paraId="09C8D84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91E10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330</w:t>
            </w:r>
          </w:p>
        </w:tc>
        <w:tc>
          <w:tcPr>
            <w:tcW w:w="3991" w:type="dxa"/>
            <w:tcBorders>
              <w:top w:val="single" w:sz="8" w:space="0" w:color="000000"/>
              <w:left w:val="single" w:sz="8" w:space="0" w:color="000000"/>
              <w:bottom w:val="single" w:sz="8" w:space="0" w:color="000000"/>
              <w:right w:val="single" w:sz="8" w:space="0" w:color="000000"/>
            </w:tcBorders>
          </w:tcPr>
          <w:p w14:paraId="115BCB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r w:rsidRPr="00537112">
              <w:rPr>
                <w:rFonts w:cs="Verdana"/>
                <w:spacing w:val="-6"/>
                <w:position w:val="-1"/>
                <w:sz w:val="20"/>
                <w:szCs w:val="20"/>
              </w:rPr>
              <w:t xml:space="preserve"> </w:t>
            </w:r>
            <w:r w:rsidRPr="00537112">
              <w:rPr>
                <w:rFonts w:cs="Verdana"/>
                <w:spacing w:val="1"/>
                <w:position w:val="-1"/>
                <w:sz w:val="20"/>
                <w:szCs w:val="20"/>
              </w:rPr>
              <w:t>J</w:t>
            </w:r>
            <w:r w:rsidRPr="00537112">
              <w:rPr>
                <w:rFonts w:cs="Verdana"/>
                <w:spacing w:val="-1"/>
                <w:position w:val="-1"/>
                <w:sz w:val="20"/>
                <w:szCs w:val="20"/>
              </w:rPr>
              <w:t>ero</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p>
        </w:tc>
      </w:tr>
      <w:tr w:rsidR="00537112" w:rsidRPr="00537112" w14:paraId="14360689"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46D0F36"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276</w:t>
            </w:r>
          </w:p>
        </w:tc>
        <w:tc>
          <w:tcPr>
            <w:tcW w:w="3705" w:type="dxa"/>
            <w:tcBorders>
              <w:top w:val="single" w:sz="8" w:space="0" w:color="000000"/>
              <w:left w:val="single" w:sz="8" w:space="0" w:color="000000"/>
              <w:bottom w:val="single" w:sz="8" w:space="0" w:color="000000"/>
              <w:right w:val="single" w:sz="8" w:space="0" w:color="000000"/>
            </w:tcBorders>
          </w:tcPr>
          <w:p w14:paraId="56ED691A"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6CE5E628"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331</w:t>
            </w:r>
          </w:p>
        </w:tc>
        <w:tc>
          <w:tcPr>
            <w:tcW w:w="3991" w:type="dxa"/>
            <w:tcBorders>
              <w:top w:val="single" w:sz="8" w:space="0" w:color="000000"/>
              <w:left w:val="single" w:sz="8" w:space="0" w:color="000000"/>
              <w:bottom w:val="single" w:sz="8" w:space="0" w:color="000000"/>
              <w:right w:val="single" w:sz="8" w:space="0" w:color="000000"/>
            </w:tcBorders>
          </w:tcPr>
          <w:p w14:paraId="4ABB72F5"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t</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r w:rsidRPr="00537112">
              <w:rPr>
                <w:rFonts w:cs="Verdana"/>
                <w:spacing w:val="-3"/>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p>
        </w:tc>
      </w:tr>
      <w:tr w:rsidR="00537112" w:rsidRPr="00537112" w14:paraId="1AF2FE45"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7A56D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277</w:t>
            </w:r>
          </w:p>
        </w:tc>
        <w:tc>
          <w:tcPr>
            <w:tcW w:w="3705" w:type="dxa"/>
            <w:tcBorders>
              <w:top w:val="single" w:sz="8" w:space="0" w:color="000000"/>
              <w:left w:val="single" w:sz="8" w:space="0" w:color="000000"/>
              <w:bottom w:val="single" w:sz="8" w:space="0" w:color="000000"/>
              <w:right w:val="single" w:sz="8" w:space="0" w:color="000000"/>
            </w:tcBorders>
          </w:tcPr>
          <w:p w14:paraId="20787F6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Er</w:t>
            </w:r>
            <w:r w:rsidRPr="00537112">
              <w:rPr>
                <w:rFonts w:cs="Verdana"/>
                <w:spacing w:val="1"/>
                <w:position w:val="-1"/>
                <w:sz w:val="20"/>
                <w:szCs w:val="20"/>
              </w:rPr>
              <w:t>n</w:t>
            </w:r>
            <w:r w:rsidRPr="00537112">
              <w:rPr>
                <w:rFonts w:cs="Verdana"/>
                <w:spacing w:val="-1"/>
                <w:position w:val="-1"/>
                <w:sz w:val="20"/>
                <w:szCs w:val="20"/>
              </w:rPr>
              <w:t>es</w:t>
            </w:r>
            <w:r w:rsidRPr="00537112">
              <w:rPr>
                <w:rFonts w:cs="Verdana"/>
                <w:spacing w:val="1"/>
                <w:position w:val="-1"/>
                <w:sz w:val="20"/>
                <w:szCs w:val="20"/>
              </w:rPr>
              <w:t>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49BCC1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332</w:t>
            </w:r>
          </w:p>
        </w:tc>
        <w:tc>
          <w:tcPr>
            <w:tcW w:w="3991" w:type="dxa"/>
            <w:tcBorders>
              <w:top w:val="single" w:sz="8" w:space="0" w:color="000000"/>
              <w:left w:val="single" w:sz="8" w:space="0" w:color="000000"/>
              <w:bottom w:val="single" w:sz="8" w:space="0" w:color="000000"/>
              <w:right w:val="single" w:sz="8" w:space="0" w:color="000000"/>
            </w:tcBorders>
          </w:tcPr>
          <w:p w14:paraId="69591E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58C56912"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7116F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278</w:t>
            </w:r>
          </w:p>
        </w:tc>
        <w:tc>
          <w:tcPr>
            <w:tcW w:w="3705" w:type="dxa"/>
            <w:tcBorders>
              <w:top w:val="single" w:sz="8" w:space="0" w:color="000000"/>
              <w:left w:val="single" w:sz="8" w:space="0" w:color="000000"/>
              <w:bottom w:val="single" w:sz="8" w:space="0" w:color="000000"/>
              <w:right w:val="single" w:sz="8" w:space="0" w:color="000000"/>
            </w:tcBorders>
          </w:tcPr>
          <w:p w14:paraId="72F4A0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1"/>
                <w:position w:val="-1"/>
                <w:sz w:val="20"/>
                <w:szCs w:val="20"/>
              </w:rPr>
              <w:t>o</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Ge</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DBE11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333</w:t>
            </w:r>
          </w:p>
        </w:tc>
        <w:tc>
          <w:tcPr>
            <w:tcW w:w="3991" w:type="dxa"/>
            <w:tcBorders>
              <w:top w:val="single" w:sz="8" w:space="0" w:color="000000"/>
              <w:left w:val="single" w:sz="8" w:space="0" w:color="000000"/>
              <w:bottom w:val="single" w:sz="8" w:space="0" w:color="000000"/>
              <w:right w:val="single" w:sz="8" w:space="0" w:color="000000"/>
            </w:tcBorders>
          </w:tcPr>
          <w:p w14:paraId="6FBA4A6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Ba</w:t>
            </w:r>
            <w:r w:rsidRPr="00537112">
              <w:rPr>
                <w:rFonts w:cs="Verdana"/>
                <w:spacing w:val="3"/>
                <w:position w:val="-1"/>
                <w:sz w:val="20"/>
                <w:szCs w:val="20"/>
              </w:rPr>
              <w:t>l</w:t>
            </w:r>
            <w:r w:rsidRPr="00537112">
              <w:rPr>
                <w:rFonts w:cs="Verdana"/>
                <w:position w:val="-1"/>
                <w:sz w:val="20"/>
                <w:szCs w:val="20"/>
              </w:rPr>
              <w:t>v</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521316EB"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85CC9F5"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279</w:t>
            </w:r>
          </w:p>
        </w:tc>
        <w:tc>
          <w:tcPr>
            <w:tcW w:w="3705" w:type="dxa"/>
            <w:tcBorders>
              <w:top w:val="single" w:sz="8" w:space="0" w:color="000000"/>
              <w:left w:val="single" w:sz="8" w:space="0" w:color="000000"/>
              <w:bottom w:val="single" w:sz="8" w:space="0" w:color="000000"/>
              <w:right w:val="single" w:sz="8" w:space="0" w:color="000000"/>
            </w:tcBorders>
          </w:tcPr>
          <w:p w14:paraId="0ABC7D7F"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7C271B2B"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334</w:t>
            </w:r>
          </w:p>
        </w:tc>
        <w:tc>
          <w:tcPr>
            <w:tcW w:w="3991" w:type="dxa"/>
            <w:tcBorders>
              <w:top w:val="single" w:sz="8" w:space="0" w:color="000000"/>
              <w:left w:val="single" w:sz="8" w:space="0" w:color="000000"/>
              <w:bottom w:val="single" w:sz="8" w:space="0" w:color="000000"/>
              <w:right w:val="single" w:sz="8" w:space="0" w:color="000000"/>
            </w:tcBorders>
          </w:tcPr>
          <w:p w14:paraId="034A3D02"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13BFB33A"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163211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280</w:t>
            </w:r>
          </w:p>
        </w:tc>
        <w:tc>
          <w:tcPr>
            <w:tcW w:w="3705" w:type="dxa"/>
            <w:tcBorders>
              <w:top w:val="single" w:sz="8" w:space="0" w:color="000000"/>
              <w:left w:val="single" w:sz="8" w:space="0" w:color="000000"/>
              <w:bottom w:val="single" w:sz="8" w:space="0" w:color="000000"/>
              <w:right w:val="single" w:sz="8" w:space="0" w:color="000000"/>
            </w:tcBorders>
          </w:tcPr>
          <w:p w14:paraId="12FA746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Osc</w:t>
            </w:r>
            <w:r w:rsidRPr="00537112">
              <w:rPr>
                <w:rFonts w:cs="Verdana"/>
                <w:position w:val="-1"/>
                <w:sz w:val="20"/>
                <w:szCs w:val="20"/>
              </w:rPr>
              <w:t>ar</w:t>
            </w:r>
            <w:r w:rsidRPr="00537112">
              <w:rPr>
                <w:rFonts w:cs="Verdana"/>
                <w:spacing w:val="-8"/>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z</w:t>
            </w:r>
            <w:r w:rsidRPr="00537112">
              <w:rPr>
                <w:rFonts w:cs="Verdana"/>
                <w:spacing w:val="-1"/>
                <w:position w:val="-1"/>
                <w:sz w:val="20"/>
                <w:szCs w:val="20"/>
              </w:rPr>
              <w:t>e</w:t>
            </w:r>
            <w:r w:rsidRPr="00537112">
              <w:rPr>
                <w:rFonts w:cs="Verdana"/>
                <w:spacing w:val="1"/>
                <w:position w:val="-1"/>
                <w:sz w:val="20"/>
                <w:szCs w:val="20"/>
              </w:rPr>
              <w:t>qu</w:t>
            </w:r>
            <w:r w:rsidRPr="00537112">
              <w:rPr>
                <w:rFonts w:cs="Verdana"/>
                <w:spacing w:val="3"/>
                <w:position w:val="-1"/>
                <w:sz w:val="20"/>
                <w:szCs w:val="20"/>
              </w:rPr>
              <w:t>i</w:t>
            </w:r>
            <w:r w:rsidRPr="00537112">
              <w:rPr>
                <w:rFonts w:cs="Verdana"/>
                <w:spacing w:val="-1"/>
                <w:position w:val="-1"/>
                <w:sz w:val="20"/>
                <w:szCs w:val="20"/>
              </w:rPr>
              <w:t>e</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2D4FB07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335</w:t>
            </w:r>
          </w:p>
        </w:tc>
        <w:tc>
          <w:tcPr>
            <w:tcW w:w="3991" w:type="dxa"/>
            <w:tcBorders>
              <w:top w:val="single" w:sz="8" w:space="0" w:color="000000"/>
              <w:left w:val="single" w:sz="8" w:space="0" w:color="000000"/>
              <w:bottom w:val="single" w:sz="8" w:space="0" w:color="000000"/>
              <w:right w:val="single" w:sz="8" w:space="0" w:color="000000"/>
            </w:tcBorders>
          </w:tcPr>
          <w:p w14:paraId="6530948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a</w:t>
            </w:r>
            <w:r w:rsidRPr="00537112">
              <w:rPr>
                <w:rFonts w:cs="Verdana"/>
                <w:spacing w:val="1"/>
                <w:position w:val="-1"/>
                <w:sz w:val="20"/>
                <w:szCs w:val="20"/>
              </w:rPr>
              <w:t>p</w:t>
            </w:r>
            <w:r w:rsidRPr="00537112">
              <w:rPr>
                <w:rFonts w:cs="Verdana"/>
                <w:spacing w:val="-1"/>
                <w:position w:val="-1"/>
                <w:sz w:val="20"/>
                <w:szCs w:val="20"/>
              </w:rPr>
              <w:t>o</w:t>
            </w:r>
            <w:r w:rsidRPr="00537112">
              <w:rPr>
                <w:rFonts w:cs="Verdana"/>
                <w:position w:val="-1"/>
                <w:sz w:val="20"/>
                <w:szCs w:val="20"/>
              </w:rPr>
              <w:t>t</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w:t>
            </w:r>
            <w:r w:rsidRPr="00537112">
              <w:rPr>
                <w:rFonts w:cs="Verdana"/>
                <w:position w:val="-1"/>
                <w:sz w:val="20"/>
                <w:szCs w:val="20"/>
              </w:rPr>
              <w:t>án</w:t>
            </w:r>
          </w:p>
        </w:tc>
      </w:tr>
      <w:tr w:rsidR="00537112" w:rsidRPr="00537112" w14:paraId="33F24B9A"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3C4B6EE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281</w:t>
            </w:r>
          </w:p>
        </w:tc>
        <w:tc>
          <w:tcPr>
            <w:tcW w:w="3705" w:type="dxa"/>
            <w:tcBorders>
              <w:top w:val="single" w:sz="8" w:space="0" w:color="000000"/>
              <w:left w:val="single" w:sz="8" w:space="0" w:color="000000"/>
              <w:bottom w:val="single" w:sz="8" w:space="0" w:color="000000"/>
              <w:right w:val="single" w:sz="8" w:space="0" w:color="000000"/>
            </w:tcBorders>
          </w:tcPr>
          <w:p w14:paraId="34EB05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er</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spacing w:val="1"/>
                <w:position w:val="-1"/>
                <w:sz w:val="20"/>
                <w:szCs w:val="20"/>
              </w:rPr>
              <w:t>b</w:t>
            </w:r>
            <w:r w:rsidRPr="00537112">
              <w:rPr>
                <w:rFonts w:cs="Verdana"/>
                <w:spacing w:val="-1"/>
                <w:position w:val="-1"/>
                <w:sz w:val="20"/>
                <w:szCs w:val="20"/>
              </w:rPr>
              <w:t>oy</w:t>
            </w:r>
          </w:p>
        </w:tc>
        <w:tc>
          <w:tcPr>
            <w:tcW w:w="584" w:type="dxa"/>
            <w:tcBorders>
              <w:top w:val="single" w:sz="8" w:space="0" w:color="000000"/>
              <w:left w:val="single" w:sz="8" w:space="0" w:color="000000"/>
              <w:bottom w:val="single" w:sz="8" w:space="0" w:color="000000"/>
              <w:right w:val="single" w:sz="8" w:space="0" w:color="000000"/>
            </w:tcBorders>
            <w:shd w:val="clear" w:color="auto" w:fill="C0C0C0"/>
          </w:tcPr>
          <w:p w14:paraId="3746F6E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336</w:t>
            </w:r>
          </w:p>
        </w:tc>
        <w:tc>
          <w:tcPr>
            <w:tcW w:w="3991" w:type="dxa"/>
            <w:tcBorders>
              <w:top w:val="single" w:sz="8" w:space="0" w:color="000000"/>
              <w:left w:val="single" w:sz="8" w:space="0" w:color="000000"/>
              <w:bottom w:val="single" w:sz="8" w:space="0" w:color="000000"/>
              <w:right w:val="single" w:sz="8" w:space="0" w:color="000000"/>
            </w:tcBorders>
          </w:tcPr>
          <w:p w14:paraId="3879CE76" w14:textId="77777777" w:rsidR="00537112" w:rsidRPr="00537112" w:rsidRDefault="00537112" w:rsidP="00537112">
            <w:pPr>
              <w:autoSpaceDE w:val="0"/>
              <w:autoSpaceDN w:val="0"/>
              <w:spacing w:line="226" w:lineRule="exact"/>
              <w:ind w:right="-20"/>
              <w:jc w:val="left"/>
              <w:textAlignment w:val="auto"/>
              <w:rPr>
                <w:rFonts w:ascii="Times New Roman" w:hAnsi="Times New Roman"/>
                <w:lang w:val="pt-BR"/>
              </w:rPr>
            </w:pPr>
            <w:r w:rsidRPr="00537112">
              <w:rPr>
                <w:rFonts w:cs="Verdana"/>
                <w:position w:val="-1"/>
                <w:sz w:val="20"/>
                <w:szCs w:val="20"/>
                <w:lang w:val="pt-BR"/>
              </w:rPr>
              <w:t>T</w:t>
            </w:r>
            <w:r w:rsidRPr="00537112">
              <w:rPr>
                <w:rFonts w:cs="Verdana"/>
                <w:spacing w:val="-1"/>
                <w:position w:val="-1"/>
                <w:sz w:val="20"/>
                <w:szCs w:val="20"/>
                <w:lang w:val="pt-BR"/>
              </w:rPr>
              <w:t>r</w:t>
            </w:r>
            <w:r w:rsidRPr="00537112">
              <w:rPr>
                <w:rFonts w:cs="Verdana"/>
                <w:position w:val="-1"/>
                <w:sz w:val="20"/>
                <w:szCs w:val="20"/>
                <w:lang w:val="pt-BR"/>
              </w:rPr>
              <w:t>á</w:t>
            </w:r>
            <w:r w:rsidRPr="00537112">
              <w:rPr>
                <w:rFonts w:cs="Verdana"/>
                <w:spacing w:val="1"/>
                <w:position w:val="-1"/>
                <w:sz w:val="20"/>
                <w:szCs w:val="20"/>
                <w:lang w:val="pt-BR"/>
              </w:rPr>
              <w:t>n</w:t>
            </w:r>
            <w:r w:rsidRPr="00537112">
              <w:rPr>
                <w:rFonts w:cs="Verdana"/>
                <w:spacing w:val="-1"/>
                <w:position w:val="-1"/>
                <w:sz w:val="20"/>
                <w:szCs w:val="20"/>
                <w:lang w:val="pt-BR"/>
              </w:rPr>
              <w:t>s</w:t>
            </w:r>
            <w:r w:rsidRPr="00537112">
              <w:rPr>
                <w:rFonts w:cs="Verdana"/>
                <w:spacing w:val="3"/>
                <w:position w:val="-1"/>
                <w:sz w:val="20"/>
                <w:szCs w:val="20"/>
                <w:lang w:val="pt-BR"/>
              </w:rPr>
              <w:t>i</w:t>
            </w:r>
            <w:r w:rsidRPr="00537112">
              <w:rPr>
                <w:rFonts w:cs="Verdana"/>
                <w:spacing w:val="1"/>
                <w:position w:val="-1"/>
                <w:sz w:val="20"/>
                <w:szCs w:val="20"/>
                <w:lang w:val="pt-BR"/>
              </w:rPr>
              <w:t>t</w:t>
            </w:r>
            <w:r w:rsidRPr="00537112">
              <w:rPr>
                <w:rFonts w:cs="Verdana"/>
                <w:position w:val="-1"/>
                <w:sz w:val="20"/>
                <w:szCs w:val="20"/>
                <w:lang w:val="pt-BR"/>
              </w:rPr>
              <w:t>o</w:t>
            </w:r>
            <w:r w:rsidRPr="00537112">
              <w:rPr>
                <w:rFonts w:cs="Verdana"/>
                <w:spacing w:val="-10"/>
                <w:position w:val="-1"/>
                <w:sz w:val="20"/>
                <w:szCs w:val="20"/>
                <w:lang w:val="pt-BR"/>
              </w:rPr>
              <w:t xml:space="preserve"> </w:t>
            </w:r>
            <w:r w:rsidRPr="00537112">
              <w:rPr>
                <w:rFonts w:cs="Verdana"/>
                <w:spacing w:val="1"/>
                <w:position w:val="-1"/>
                <w:sz w:val="20"/>
                <w:szCs w:val="20"/>
                <w:lang w:val="pt-BR"/>
              </w:rPr>
              <w:t>Ju</w:t>
            </w:r>
            <w:r w:rsidRPr="00537112">
              <w:rPr>
                <w:rFonts w:cs="Verdana"/>
                <w:position w:val="-1"/>
                <w:sz w:val="20"/>
                <w:szCs w:val="20"/>
                <w:lang w:val="pt-BR"/>
              </w:rPr>
              <w:t>a</w:t>
            </w:r>
            <w:r w:rsidRPr="00537112">
              <w:rPr>
                <w:rFonts w:cs="Verdana"/>
                <w:spacing w:val="-1"/>
                <w:position w:val="-1"/>
                <w:sz w:val="20"/>
                <w:szCs w:val="20"/>
                <w:lang w:val="pt-BR"/>
              </w:rPr>
              <w:t>re</w:t>
            </w:r>
            <w:r w:rsidRPr="00537112">
              <w:rPr>
                <w:rFonts w:cs="Verdana"/>
                <w:position w:val="-1"/>
                <w:sz w:val="20"/>
                <w:szCs w:val="20"/>
                <w:lang w:val="pt-BR"/>
              </w:rPr>
              <w:t>z</w:t>
            </w:r>
            <w:r w:rsidRPr="00537112">
              <w:rPr>
                <w:rFonts w:cs="Verdana"/>
                <w:spacing w:val="-6"/>
                <w:position w:val="-1"/>
                <w:sz w:val="20"/>
                <w:szCs w:val="20"/>
                <w:lang w:val="pt-BR"/>
              </w:rPr>
              <w:t xml:space="preserve"> </w:t>
            </w:r>
            <w:r w:rsidRPr="00537112">
              <w:rPr>
                <w:rFonts w:cs="Verdana"/>
                <w:spacing w:val="1"/>
                <w:position w:val="-1"/>
                <w:sz w:val="20"/>
                <w:szCs w:val="20"/>
                <w:lang w:val="pt-BR"/>
              </w:rPr>
              <w:t>U</w:t>
            </w:r>
            <w:r w:rsidRPr="00537112">
              <w:rPr>
                <w:rFonts w:cs="Verdana"/>
                <w:position w:val="-1"/>
                <w:sz w:val="20"/>
                <w:szCs w:val="20"/>
                <w:lang w:val="pt-BR"/>
              </w:rPr>
              <w:t>z (o Us)</w:t>
            </w:r>
          </w:p>
        </w:tc>
      </w:tr>
    </w:tbl>
    <w:p w14:paraId="714B1867" w14:textId="77777777" w:rsidR="00537112" w:rsidRPr="00537112" w:rsidRDefault="00537112" w:rsidP="00537112">
      <w:pPr>
        <w:autoSpaceDE w:val="0"/>
        <w:autoSpaceDN w:val="0"/>
        <w:spacing w:line="240" w:lineRule="auto"/>
        <w:jc w:val="left"/>
        <w:textAlignment w:val="auto"/>
        <w:rPr>
          <w:rFonts w:ascii="Times New Roman" w:hAnsi="Times New Roman"/>
          <w:lang w:val="pt-BR"/>
        </w:rPr>
        <w:sectPr w:rsidR="00537112" w:rsidRPr="00537112">
          <w:headerReference w:type="default" r:id="rId19"/>
          <w:pgSz w:w="12260" w:h="15840"/>
          <w:pgMar w:top="620" w:right="1720" w:bottom="280" w:left="1340" w:header="0" w:footer="0" w:gutter="0"/>
          <w:cols w:space="720"/>
          <w:noEndnote/>
        </w:sectPr>
      </w:pPr>
    </w:p>
    <w:p w14:paraId="68F40FDE" w14:textId="77777777" w:rsidR="00537112" w:rsidRPr="00537112" w:rsidRDefault="00537112" w:rsidP="00537112">
      <w:pPr>
        <w:autoSpaceDE w:val="0"/>
        <w:autoSpaceDN w:val="0"/>
        <w:spacing w:before="9" w:line="80" w:lineRule="exact"/>
        <w:jc w:val="left"/>
        <w:textAlignment w:val="auto"/>
        <w:rPr>
          <w:rFonts w:ascii="Times New Roman" w:hAnsi="Times New Roman"/>
          <w:sz w:val="8"/>
          <w:szCs w:val="8"/>
          <w:lang w:val="pt-BR"/>
        </w:rPr>
      </w:pPr>
    </w:p>
    <w:tbl>
      <w:tblPr>
        <w:tblW w:w="0" w:type="auto"/>
        <w:tblInd w:w="113" w:type="dxa"/>
        <w:tblLayout w:type="fixed"/>
        <w:tblCellMar>
          <w:left w:w="0" w:type="dxa"/>
          <w:right w:w="0" w:type="dxa"/>
        </w:tblCellMar>
        <w:tblLook w:val="0000" w:firstRow="0" w:lastRow="0" w:firstColumn="0" w:lastColumn="0" w:noHBand="0" w:noVBand="0"/>
      </w:tblPr>
      <w:tblGrid>
        <w:gridCol w:w="569"/>
        <w:gridCol w:w="3705"/>
      </w:tblGrid>
      <w:tr w:rsidR="00537112" w:rsidRPr="00537112" w14:paraId="0500BD5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611999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337</w:t>
            </w:r>
          </w:p>
        </w:tc>
        <w:tc>
          <w:tcPr>
            <w:tcW w:w="3705" w:type="dxa"/>
            <w:tcBorders>
              <w:top w:val="single" w:sz="8" w:space="0" w:color="000000"/>
              <w:left w:val="single" w:sz="8" w:space="0" w:color="000000"/>
              <w:bottom w:val="single" w:sz="8" w:space="0" w:color="000000"/>
              <w:right w:val="single" w:sz="8" w:space="0" w:color="000000"/>
            </w:tcBorders>
          </w:tcPr>
          <w:p w14:paraId="1C3DAC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Or</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442A4C0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86D50A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338</w:t>
            </w:r>
          </w:p>
        </w:tc>
        <w:tc>
          <w:tcPr>
            <w:tcW w:w="3705" w:type="dxa"/>
            <w:tcBorders>
              <w:top w:val="single" w:sz="8" w:space="0" w:color="000000"/>
              <w:left w:val="single" w:sz="8" w:space="0" w:color="000000"/>
              <w:bottom w:val="single" w:sz="8" w:space="0" w:color="000000"/>
              <w:right w:val="single" w:sz="8" w:space="0" w:color="000000"/>
            </w:tcBorders>
          </w:tcPr>
          <w:p w14:paraId="64BD106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w:t>
            </w:r>
            <w:r w:rsidRPr="00537112">
              <w:rPr>
                <w:rFonts w:cs="Verdana"/>
                <w:spacing w:val="-1"/>
                <w:position w:val="-1"/>
                <w:sz w:val="20"/>
                <w:szCs w:val="20"/>
              </w:rPr>
              <w:t>r</w:t>
            </w:r>
            <w:r w:rsidRPr="00537112">
              <w:rPr>
                <w:rFonts w:cs="Verdana"/>
                <w:spacing w:val="1"/>
                <w:position w:val="-1"/>
                <w:sz w:val="20"/>
                <w:szCs w:val="20"/>
              </w:rPr>
              <w:t>m</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d</w:t>
            </w:r>
            <w:r w:rsidRPr="00537112">
              <w:rPr>
                <w:rFonts w:cs="Verdana"/>
                <w:position w:val="-1"/>
                <w:sz w:val="20"/>
                <w:szCs w:val="20"/>
              </w:rPr>
              <w:t>e</w:t>
            </w:r>
            <w:r w:rsidRPr="00537112">
              <w:rPr>
                <w:rFonts w:cs="Verdana"/>
                <w:spacing w:val="-4"/>
                <w:position w:val="-1"/>
                <w:sz w:val="20"/>
                <w:szCs w:val="20"/>
              </w:rPr>
              <w:t xml:space="preserve"> </w:t>
            </w:r>
            <w:r w:rsidRPr="00537112">
              <w:rPr>
                <w:rFonts w:cs="Verdana"/>
                <w:spacing w:val="1"/>
                <w:position w:val="-1"/>
                <w:sz w:val="20"/>
                <w:szCs w:val="20"/>
              </w:rPr>
              <w:t>p</w:t>
            </w:r>
            <w:r w:rsidRPr="00537112">
              <w:rPr>
                <w:rFonts w:cs="Verdana"/>
                <w:position w:val="-1"/>
                <w:sz w:val="20"/>
                <w:szCs w:val="20"/>
              </w:rPr>
              <w:t>az</w:t>
            </w:r>
          </w:p>
        </w:tc>
      </w:tr>
      <w:tr w:rsidR="00537112" w:rsidRPr="00537112" w14:paraId="76A82E82" w14:textId="77777777" w:rsidTr="00630EEC">
        <w:trPr>
          <w:trHeight w:hRule="exact" w:val="262"/>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5B38CE0"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b/>
                <w:bCs/>
                <w:position w:val="-1"/>
                <w:sz w:val="20"/>
                <w:szCs w:val="20"/>
              </w:rPr>
              <w:t>339</w:t>
            </w:r>
          </w:p>
        </w:tc>
        <w:tc>
          <w:tcPr>
            <w:tcW w:w="3705" w:type="dxa"/>
            <w:tcBorders>
              <w:top w:val="single" w:sz="8" w:space="0" w:color="000000"/>
              <w:left w:val="single" w:sz="8" w:space="0" w:color="000000"/>
              <w:bottom w:val="single" w:sz="8" w:space="0" w:color="000000"/>
              <w:right w:val="single" w:sz="8" w:space="0" w:color="000000"/>
            </w:tcBorders>
          </w:tcPr>
          <w:p w14:paraId="7430292A" w14:textId="77777777" w:rsidR="00537112" w:rsidRPr="00537112" w:rsidRDefault="00537112" w:rsidP="00537112">
            <w:pPr>
              <w:autoSpaceDE w:val="0"/>
              <w:autoSpaceDN w:val="0"/>
              <w:spacing w:line="240"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1"/>
                <w:position w:val="-1"/>
                <w:sz w:val="20"/>
                <w:szCs w:val="20"/>
              </w:rPr>
              <w:t>erce</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s</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w:t>
            </w:r>
            <w:r w:rsidRPr="00537112">
              <w:rPr>
                <w:rFonts w:cs="Verdana"/>
                <w:position w:val="-1"/>
                <w:sz w:val="20"/>
                <w:szCs w:val="20"/>
              </w:rPr>
              <w:t>án</w:t>
            </w:r>
            <w:r w:rsidRPr="00537112">
              <w:rPr>
                <w:rFonts w:cs="Verdana"/>
                <w:spacing w:val="-8"/>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p>
        </w:tc>
      </w:tr>
      <w:tr w:rsidR="00537112" w:rsidRPr="00537112" w14:paraId="1F1D826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D0D33F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340</w:t>
            </w:r>
          </w:p>
        </w:tc>
        <w:tc>
          <w:tcPr>
            <w:tcW w:w="3705" w:type="dxa"/>
            <w:tcBorders>
              <w:top w:val="single" w:sz="8" w:space="0" w:color="000000"/>
              <w:left w:val="single" w:sz="8" w:space="0" w:color="000000"/>
              <w:bottom w:val="single" w:sz="8" w:space="0" w:color="000000"/>
              <w:right w:val="single" w:sz="8" w:space="0" w:color="000000"/>
            </w:tcBorders>
          </w:tcPr>
          <w:p w14:paraId="6E8FD6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position w:val="-1"/>
                <w:sz w:val="20"/>
                <w:szCs w:val="20"/>
              </w:rPr>
              <w:t>z</w:t>
            </w:r>
            <w:r w:rsidRPr="00537112">
              <w:rPr>
                <w:rFonts w:cs="Verdana"/>
                <w:spacing w:val="-3"/>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position w:val="-1"/>
                <w:sz w:val="20"/>
                <w:szCs w:val="20"/>
              </w:rPr>
              <w:t>a</w:t>
            </w:r>
            <w:r w:rsidRPr="00537112">
              <w:rPr>
                <w:rFonts w:cs="Verdana"/>
                <w:spacing w:val="1"/>
                <w:position w:val="-1"/>
                <w:sz w:val="20"/>
                <w:szCs w:val="20"/>
              </w:rPr>
              <w:t>p</w:t>
            </w:r>
            <w:r w:rsidRPr="00537112">
              <w:rPr>
                <w:rFonts w:cs="Verdana"/>
                <w:spacing w:val="-1"/>
                <w:position w:val="-1"/>
                <w:sz w:val="20"/>
                <w:szCs w:val="20"/>
              </w:rPr>
              <w:t>o</w:t>
            </w:r>
            <w:r w:rsidRPr="00537112">
              <w:rPr>
                <w:rFonts w:cs="Verdana"/>
                <w:position w:val="-1"/>
                <w:sz w:val="20"/>
                <w:szCs w:val="20"/>
              </w:rPr>
              <w:t>t</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spacing w:val="1"/>
                <w:position w:val="-1"/>
                <w:sz w:val="20"/>
                <w:szCs w:val="20"/>
              </w:rPr>
              <w:t>uzm</w:t>
            </w:r>
            <w:r w:rsidRPr="00537112">
              <w:rPr>
                <w:rFonts w:cs="Verdana"/>
                <w:position w:val="-1"/>
                <w:sz w:val="20"/>
                <w:szCs w:val="20"/>
              </w:rPr>
              <w:t>án</w:t>
            </w:r>
          </w:p>
        </w:tc>
      </w:tr>
      <w:tr w:rsidR="00537112" w:rsidRPr="00537112" w14:paraId="6DD93A0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A2033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341</w:t>
            </w:r>
          </w:p>
        </w:tc>
        <w:tc>
          <w:tcPr>
            <w:tcW w:w="3705" w:type="dxa"/>
            <w:tcBorders>
              <w:top w:val="single" w:sz="8" w:space="0" w:color="000000"/>
              <w:left w:val="single" w:sz="8" w:space="0" w:color="000000"/>
              <w:bottom w:val="single" w:sz="8" w:space="0" w:color="000000"/>
              <w:right w:val="single" w:sz="8" w:space="0" w:color="000000"/>
            </w:tcBorders>
          </w:tcPr>
          <w:p w14:paraId="5065D6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w:t>
            </w:r>
            <w:r w:rsidRPr="00537112">
              <w:rPr>
                <w:rFonts w:cs="Verdana"/>
                <w:spacing w:val="-1"/>
                <w:position w:val="-1"/>
                <w:sz w:val="20"/>
                <w:szCs w:val="20"/>
              </w:rPr>
              <w:t>c</w:t>
            </w:r>
            <w:r w:rsidRPr="00537112">
              <w:rPr>
                <w:rFonts w:cs="Verdana"/>
                <w:spacing w:val="1"/>
                <w:position w:val="-1"/>
                <w:sz w:val="20"/>
                <w:szCs w:val="20"/>
              </w:rPr>
              <w:t>u</w:t>
            </w:r>
            <w:r w:rsidRPr="00537112">
              <w:rPr>
                <w:rFonts w:cs="Verdana"/>
                <w:spacing w:val="-1"/>
                <w:position w:val="-1"/>
                <w:sz w:val="20"/>
                <w:szCs w:val="20"/>
              </w:rPr>
              <w:t>e</w:t>
            </w:r>
            <w:r w:rsidRPr="00537112">
              <w:rPr>
                <w:rFonts w:cs="Verdana"/>
                <w:position w:val="-1"/>
                <w:sz w:val="20"/>
                <w:szCs w:val="20"/>
              </w:rPr>
              <w:t>c</w:t>
            </w:r>
          </w:p>
        </w:tc>
      </w:tr>
      <w:tr w:rsidR="00537112" w:rsidRPr="00537112" w14:paraId="6DAFDCA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194042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342</w:t>
            </w:r>
          </w:p>
        </w:tc>
        <w:tc>
          <w:tcPr>
            <w:tcW w:w="3705" w:type="dxa"/>
            <w:tcBorders>
              <w:top w:val="single" w:sz="8" w:space="0" w:color="000000"/>
              <w:left w:val="single" w:sz="8" w:space="0" w:color="000000"/>
              <w:bottom w:val="single" w:sz="8" w:space="0" w:color="000000"/>
              <w:right w:val="single" w:sz="8" w:space="0" w:color="000000"/>
            </w:tcBorders>
          </w:tcPr>
          <w:p w14:paraId="666FE4F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Le</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r</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5916C7E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EB0D5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343</w:t>
            </w:r>
          </w:p>
        </w:tc>
        <w:tc>
          <w:tcPr>
            <w:tcW w:w="3705" w:type="dxa"/>
            <w:tcBorders>
              <w:top w:val="single" w:sz="8" w:space="0" w:color="000000"/>
              <w:left w:val="single" w:sz="8" w:space="0" w:color="000000"/>
              <w:bottom w:val="single" w:sz="8" w:space="0" w:color="000000"/>
              <w:right w:val="single" w:sz="8" w:space="0" w:color="000000"/>
            </w:tcBorders>
          </w:tcPr>
          <w:p w14:paraId="30F599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35586FB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A002BF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344</w:t>
            </w:r>
          </w:p>
        </w:tc>
        <w:tc>
          <w:tcPr>
            <w:tcW w:w="3705" w:type="dxa"/>
            <w:tcBorders>
              <w:top w:val="single" w:sz="8" w:space="0" w:color="000000"/>
              <w:left w:val="single" w:sz="8" w:space="0" w:color="000000"/>
              <w:bottom w:val="single" w:sz="8" w:space="0" w:color="000000"/>
              <w:right w:val="single" w:sz="8" w:space="0" w:color="000000"/>
            </w:tcBorders>
          </w:tcPr>
          <w:p w14:paraId="53A3289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1"/>
                <w:position w:val="-1"/>
                <w:sz w:val="20"/>
                <w:szCs w:val="20"/>
              </w:rPr>
              <w:t>e</w:t>
            </w:r>
            <w:r w:rsidRPr="00537112">
              <w:rPr>
                <w:rFonts w:cs="Verdana"/>
                <w:spacing w:val="1"/>
                <w:position w:val="-1"/>
                <w:sz w:val="20"/>
                <w:szCs w:val="20"/>
              </w:rPr>
              <w:t>b</w:t>
            </w:r>
            <w:r w:rsidRPr="00537112">
              <w:rPr>
                <w:rFonts w:cs="Verdana"/>
                <w:position w:val="-1"/>
                <w:sz w:val="20"/>
                <w:szCs w:val="20"/>
              </w:rPr>
              <w:t>a</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1"/>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34DCAB4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CC1761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345</w:t>
            </w:r>
          </w:p>
        </w:tc>
        <w:tc>
          <w:tcPr>
            <w:tcW w:w="3705" w:type="dxa"/>
            <w:tcBorders>
              <w:top w:val="single" w:sz="8" w:space="0" w:color="000000"/>
              <w:left w:val="single" w:sz="8" w:space="0" w:color="000000"/>
              <w:bottom w:val="single" w:sz="8" w:space="0" w:color="000000"/>
              <w:right w:val="single" w:sz="8" w:space="0" w:color="000000"/>
            </w:tcBorders>
          </w:tcPr>
          <w:p w14:paraId="44DB872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25263C96"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0A2860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346</w:t>
            </w:r>
          </w:p>
        </w:tc>
        <w:tc>
          <w:tcPr>
            <w:tcW w:w="3705" w:type="dxa"/>
            <w:tcBorders>
              <w:top w:val="single" w:sz="8" w:space="0" w:color="000000"/>
              <w:left w:val="single" w:sz="8" w:space="0" w:color="000000"/>
              <w:bottom w:val="single" w:sz="8" w:space="0" w:color="000000"/>
              <w:right w:val="single" w:sz="8" w:space="0" w:color="000000"/>
            </w:tcBorders>
          </w:tcPr>
          <w:p w14:paraId="45FD655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ecoc</w:t>
            </w:r>
          </w:p>
        </w:tc>
      </w:tr>
      <w:tr w:rsidR="00537112" w:rsidRPr="00537112" w14:paraId="06C738D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6EF08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347</w:t>
            </w:r>
          </w:p>
        </w:tc>
        <w:tc>
          <w:tcPr>
            <w:tcW w:w="3705" w:type="dxa"/>
            <w:tcBorders>
              <w:top w:val="single" w:sz="8" w:space="0" w:color="000000"/>
              <w:left w:val="single" w:sz="8" w:space="0" w:color="000000"/>
              <w:bottom w:val="single" w:sz="8" w:space="0" w:color="000000"/>
              <w:right w:val="single" w:sz="8" w:space="0" w:color="000000"/>
            </w:tcBorders>
          </w:tcPr>
          <w:p w14:paraId="5B3477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eró</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r w:rsidRPr="00537112">
              <w:rPr>
                <w:rFonts w:cs="Verdana"/>
                <w:spacing w:val="-5"/>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2E3981FB"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3DC35C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348</w:t>
            </w:r>
          </w:p>
        </w:tc>
        <w:tc>
          <w:tcPr>
            <w:tcW w:w="3705" w:type="dxa"/>
            <w:tcBorders>
              <w:top w:val="single" w:sz="8" w:space="0" w:color="000000"/>
              <w:left w:val="single" w:sz="8" w:space="0" w:color="000000"/>
              <w:bottom w:val="single" w:sz="8" w:space="0" w:color="000000"/>
              <w:right w:val="single" w:sz="8" w:space="0" w:color="000000"/>
            </w:tcBorders>
          </w:tcPr>
          <w:p w14:paraId="5208949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Wa</w:t>
            </w:r>
            <w:r w:rsidRPr="00537112">
              <w:rPr>
                <w:rFonts w:cs="Verdana"/>
                <w:spacing w:val="3"/>
                <w:position w:val="-1"/>
                <w:sz w:val="20"/>
                <w:szCs w:val="20"/>
              </w:rPr>
              <w:t>l</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1"/>
                <w:position w:val="-1"/>
                <w:sz w:val="20"/>
                <w:szCs w:val="20"/>
              </w:rPr>
              <w:t>m</w:t>
            </w:r>
            <w:r w:rsidRPr="00537112">
              <w:rPr>
                <w:rFonts w:cs="Verdana"/>
                <w:position w:val="-1"/>
                <w:sz w:val="20"/>
                <w:szCs w:val="20"/>
              </w:rPr>
              <w:t>ar</w:t>
            </w:r>
            <w:r w:rsidRPr="00537112">
              <w:rPr>
                <w:rFonts w:cs="Verdana"/>
                <w:spacing w:val="-12"/>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0CADDB3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F3C503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349</w:t>
            </w:r>
          </w:p>
        </w:tc>
        <w:tc>
          <w:tcPr>
            <w:tcW w:w="3705" w:type="dxa"/>
            <w:tcBorders>
              <w:top w:val="single" w:sz="8" w:space="0" w:color="000000"/>
              <w:left w:val="single" w:sz="8" w:space="0" w:color="000000"/>
              <w:bottom w:val="single" w:sz="8" w:space="0" w:color="000000"/>
              <w:right w:val="single" w:sz="8" w:space="0" w:color="000000"/>
            </w:tcBorders>
          </w:tcPr>
          <w:p w14:paraId="77DDA2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4D318C6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4C0755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350</w:t>
            </w:r>
          </w:p>
        </w:tc>
        <w:tc>
          <w:tcPr>
            <w:tcW w:w="3705" w:type="dxa"/>
            <w:tcBorders>
              <w:top w:val="single" w:sz="8" w:space="0" w:color="000000"/>
              <w:left w:val="single" w:sz="8" w:space="0" w:color="000000"/>
              <w:bottom w:val="single" w:sz="8" w:space="0" w:color="000000"/>
              <w:right w:val="single" w:sz="8" w:space="0" w:color="000000"/>
            </w:tcBorders>
          </w:tcPr>
          <w:p w14:paraId="6661B38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r w:rsidRPr="00537112">
              <w:rPr>
                <w:rFonts w:cs="Verdana"/>
                <w:spacing w:val="-5"/>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22EFE79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0E4FC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351</w:t>
            </w:r>
          </w:p>
        </w:tc>
        <w:tc>
          <w:tcPr>
            <w:tcW w:w="3705" w:type="dxa"/>
            <w:tcBorders>
              <w:top w:val="single" w:sz="8" w:space="0" w:color="000000"/>
              <w:left w:val="single" w:sz="8" w:space="0" w:color="000000"/>
              <w:bottom w:val="single" w:sz="8" w:space="0" w:color="000000"/>
              <w:right w:val="single" w:sz="8" w:space="0" w:color="000000"/>
            </w:tcBorders>
          </w:tcPr>
          <w:p w14:paraId="6BB8931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2ACB7C79"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6893A7F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352</w:t>
            </w:r>
          </w:p>
        </w:tc>
        <w:tc>
          <w:tcPr>
            <w:tcW w:w="3705" w:type="dxa"/>
            <w:tcBorders>
              <w:top w:val="single" w:sz="8" w:space="0" w:color="000000"/>
              <w:left w:val="single" w:sz="8" w:space="0" w:color="000000"/>
              <w:bottom w:val="single" w:sz="8" w:space="0" w:color="000000"/>
              <w:right w:val="single" w:sz="8" w:space="0" w:color="000000"/>
            </w:tcBorders>
          </w:tcPr>
          <w:p w14:paraId="039FF6C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í</w:t>
            </w:r>
            <w:r w:rsidRPr="00537112">
              <w:rPr>
                <w:rFonts w:cs="Verdana"/>
                <w:position w:val="-1"/>
                <w:sz w:val="20"/>
                <w:szCs w:val="20"/>
              </w:rPr>
              <w:t>n</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66FB13AF"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5B7306A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353</w:t>
            </w:r>
          </w:p>
        </w:tc>
        <w:tc>
          <w:tcPr>
            <w:tcW w:w="3705" w:type="dxa"/>
            <w:tcBorders>
              <w:top w:val="single" w:sz="8" w:space="0" w:color="000000"/>
              <w:left w:val="single" w:sz="8" w:space="0" w:color="000000"/>
              <w:bottom w:val="single" w:sz="8" w:space="0" w:color="000000"/>
              <w:right w:val="single" w:sz="8" w:space="0" w:color="000000"/>
            </w:tcBorders>
          </w:tcPr>
          <w:p w14:paraId="66D3D0B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5B3E1144"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92F0F8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354</w:t>
            </w:r>
          </w:p>
        </w:tc>
        <w:tc>
          <w:tcPr>
            <w:tcW w:w="3705" w:type="dxa"/>
            <w:tcBorders>
              <w:top w:val="single" w:sz="8" w:space="0" w:color="000000"/>
              <w:left w:val="single" w:sz="8" w:space="0" w:color="000000"/>
              <w:bottom w:val="single" w:sz="8" w:space="0" w:color="000000"/>
              <w:right w:val="single" w:sz="8" w:space="0" w:color="000000"/>
            </w:tcBorders>
          </w:tcPr>
          <w:p w14:paraId="2D7421B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r w:rsidRPr="00537112">
              <w:rPr>
                <w:rFonts w:cs="Verdana"/>
                <w:spacing w:val="6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7C7154D3"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72948D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355</w:t>
            </w:r>
          </w:p>
        </w:tc>
        <w:tc>
          <w:tcPr>
            <w:tcW w:w="3705" w:type="dxa"/>
            <w:tcBorders>
              <w:top w:val="single" w:sz="8" w:space="0" w:color="000000"/>
              <w:left w:val="single" w:sz="8" w:space="0" w:color="000000"/>
              <w:bottom w:val="single" w:sz="8" w:space="0" w:color="000000"/>
              <w:right w:val="single" w:sz="8" w:space="0" w:color="000000"/>
            </w:tcBorders>
          </w:tcPr>
          <w:p w14:paraId="05DCA34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as</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565B2447"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2D0280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356</w:t>
            </w:r>
          </w:p>
        </w:tc>
        <w:tc>
          <w:tcPr>
            <w:tcW w:w="3705" w:type="dxa"/>
            <w:tcBorders>
              <w:top w:val="single" w:sz="8" w:space="0" w:color="000000"/>
              <w:left w:val="single" w:sz="8" w:space="0" w:color="000000"/>
              <w:bottom w:val="single" w:sz="8" w:space="0" w:color="000000"/>
              <w:right w:val="single" w:sz="8" w:space="0" w:color="000000"/>
            </w:tcBorders>
          </w:tcPr>
          <w:p w14:paraId="269C544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410F164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018B9FD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357</w:t>
            </w:r>
          </w:p>
        </w:tc>
        <w:tc>
          <w:tcPr>
            <w:tcW w:w="3705" w:type="dxa"/>
            <w:tcBorders>
              <w:top w:val="single" w:sz="8" w:space="0" w:color="000000"/>
              <w:left w:val="single" w:sz="8" w:space="0" w:color="000000"/>
              <w:bottom w:val="single" w:sz="8" w:space="0" w:color="000000"/>
              <w:right w:val="single" w:sz="8" w:space="0" w:color="000000"/>
            </w:tcBorders>
          </w:tcPr>
          <w:p w14:paraId="6480ECF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r>
      <w:tr w:rsidR="00537112" w:rsidRPr="00537112" w14:paraId="0C9BB1A1"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7AD735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358</w:t>
            </w:r>
          </w:p>
        </w:tc>
        <w:tc>
          <w:tcPr>
            <w:tcW w:w="3705" w:type="dxa"/>
            <w:tcBorders>
              <w:top w:val="single" w:sz="8" w:space="0" w:color="000000"/>
              <w:left w:val="single" w:sz="8" w:space="0" w:color="000000"/>
              <w:bottom w:val="single" w:sz="8" w:space="0" w:color="000000"/>
              <w:right w:val="single" w:sz="8" w:space="0" w:color="000000"/>
            </w:tcBorders>
          </w:tcPr>
          <w:p w14:paraId="2D36064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Lo</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49AD35FC"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4BFA2D2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359</w:t>
            </w:r>
          </w:p>
        </w:tc>
        <w:tc>
          <w:tcPr>
            <w:tcW w:w="3705" w:type="dxa"/>
            <w:tcBorders>
              <w:top w:val="single" w:sz="8" w:space="0" w:color="000000"/>
              <w:left w:val="single" w:sz="8" w:space="0" w:color="000000"/>
              <w:bottom w:val="single" w:sz="8" w:space="0" w:color="000000"/>
              <w:right w:val="single" w:sz="8" w:space="0" w:color="000000"/>
            </w:tcBorders>
          </w:tcPr>
          <w:p w14:paraId="57A4005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1C20776D"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14FCE97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b/>
                <w:bCs/>
                <w:position w:val="-1"/>
                <w:sz w:val="20"/>
                <w:szCs w:val="20"/>
              </w:rPr>
              <w:t>360</w:t>
            </w:r>
          </w:p>
        </w:tc>
        <w:tc>
          <w:tcPr>
            <w:tcW w:w="3705" w:type="dxa"/>
            <w:tcBorders>
              <w:top w:val="single" w:sz="8" w:space="0" w:color="000000"/>
              <w:left w:val="single" w:sz="8" w:space="0" w:color="000000"/>
              <w:bottom w:val="single" w:sz="8" w:space="0" w:color="000000"/>
              <w:right w:val="single" w:sz="8" w:space="0" w:color="000000"/>
            </w:tcBorders>
          </w:tcPr>
          <w:p w14:paraId="4595BA7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az</w:t>
            </w:r>
          </w:p>
        </w:tc>
      </w:tr>
      <w:tr w:rsidR="00537112" w:rsidRPr="00537112" w14:paraId="242F38D0" w14:textId="77777777" w:rsidTr="00630EEC">
        <w:trPr>
          <w:trHeight w:hRule="exact" w:val="247"/>
        </w:trPr>
        <w:tc>
          <w:tcPr>
            <w:tcW w:w="569" w:type="dxa"/>
            <w:tcBorders>
              <w:top w:val="single" w:sz="8" w:space="0" w:color="000000"/>
              <w:left w:val="single" w:sz="8" w:space="0" w:color="000000"/>
              <w:bottom w:val="single" w:sz="8" w:space="0" w:color="000000"/>
              <w:right w:val="single" w:sz="8" w:space="0" w:color="000000"/>
            </w:tcBorders>
            <w:shd w:val="clear" w:color="auto" w:fill="C0C0C0"/>
          </w:tcPr>
          <w:p w14:paraId="2492498C" w14:textId="77777777" w:rsidR="00537112" w:rsidRPr="00537112" w:rsidRDefault="00537112" w:rsidP="00537112">
            <w:pPr>
              <w:autoSpaceDE w:val="0"/>
              <w:autoSpaceDN w:val="0"/>
              <w:spacing w:line="226" w:lineRule="exact"/>
              <w:ind w:right="-20"/>
              <w:jc w:val="left"/>
              <w:textAlignment w:val="auto"/>
              <w:rPr>
                <w:rFonts w:cs="Verdana"/>
                <w:b/>
                <w:bCs/>
                <w:position w:val="-1"/>
                <w:sz w:val="20"/>
                <w:szCs w:val="20"/>
              </w:rPr>
            </w:pPr>
            <w:r w:rsidRPr="00537112">
              <w:rPr>
                <w:rFonts w:cs="Verdana"/>
                <w:b/>
                <w:bCs/>
                <w:position w:val="-1"/>
                <w:sz w:val="20"/>
                <w:szCs w:val="20"/>
              </w:rPr>
              <w:t>361</w:t>
            </w:r>
          </w:p>
        </w:tc>
        <w:tc>
          <w:tcPr>
            <w:tcW w:w="3705" w:type="dxa"/>
            <w:tcBorders>
              <w:top w:val="single" w:sz="8" w:space="0" w:color="000000"/>
              <w:left w:val="single" w:sz="8" w:space="0" w:color="000000"/>
              <w:bottom w:val="single" w:sz="8" w:space="0" w:color="000000"/>
              <w:right w:val="single" w:sz="8" w:space="0" w:color="000000"/>
            </w:tcBorders>
          </w:tcPr>
          <w:p w14:paraId="1B1C3523" w14:textId="77777777" w:rsidR="00537112" w:rsidRPr="00537112" w:rsidRDefault="00537112" w:rsidP="00537112">
            <w:pPr>
              <w:autoSpaceDE w:val="0"/>
              <w:autoSpaceDN w:val="0"/>
              <w:spacing w:line="226" w:lineRule="exact"/>
              <w:ind w:right="-20"/>
              <w:jc w:val="left"/>
              <w:textAlignment w:val="auto"/>
              <w:rPr>
                <w:rFonts w:cs="Verdana"/>
                <w:spacing w:val="1"/>
                <w:position w:val="-1"/>
                <w:sz w:val="20"/>
                <w:szCs w:val="20"/>
              </w:rPr>
            </w:pPr>
            <w:r w:rsidRPr="00537112">
              <w:rPr>
                <w:rFonts w:cs="Verdana"/>
                <w:spacing w:val="1"/>
                <w:position w:val="-1"/>
                <w:sz w:val="20"/>
                <w:szCs w:val="20"/>
              </w:rPr>
              <w:t>Napoleón García De Paz</w:t>
            </w:r>
          </w:p>
        </w:tc>
      </w:tr>
    </w:tbl>
    <w:p w14:paraId="42A346C6"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headerReference w:type="default" r:id="rId20"/>
          <w:pgSz w:w="12260" w:h="15840"/>
          <w:pgMar w:top="620" w:right="1720" w:bottom="280" w:left="1340" w:header="0" w:footer="0" w:gutter="0"/>
          <w:cols w:space="720"/>
          <w:noEndnote/>
        </w:sectPr>
      </w:pPr>
    </w:p>
    <w:p w14:paraId="0CDEF126"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FD602C3" w14:textId="77777777" w:rsidR="00537112" w:rsidRPr="00537112" w:rsidRDefault="00537112" w:rsidP="00537112">
      <w:pPr>
        <w:autoSpaceDE w:val="0"/>
        <w:autoSpaceDN w:val="0"/>
        <w:spacing w:before="9" w:line="90" w:lineRule="exact"/>
        <w:jc w:val="left"/>
        <w:textAlignment w:val="auto"/>
        <w:rPr>
          <w:rFonts w:ascii="Times New Roman" w:hAnsi="Times New Roman"/>
          <w:sz w:val="9"/>
          <w:szCs w:val="9"/>
        </w:rPr>
      </w:pPr>
    </w:p>
    <w:tbl>
      <w:tblPr>
        <w:tblW w:w="0" w:type="auto"/>
        <w:tblInd w:w="108" w:type="dxa"/>
        <w:tblLayout w:type="fixed"/>
        <w:tblCellMar>
          <w:left w:w="0" w:type="dxa"/>
          <w:right w:w="0" w:type="dxa"/>
        </w:tblCellMar>
        <w:tblLook w:val="0000" w:firstRow="0" w:lastRow="0" w:firstColumn="0" w:lastColumn="0" w:noHBand="0" w:noVBand="0"/>
      </w:tblPr>
      <w:tblGrid>
        <w:gridCol w:w="1011"/>
        <w:gridCol w:w="5961"/>
      </w:tblGrid>
      <w:tr w:rsidR="00537112" w:rsidRPr="00537112" w14:paraId="4190239D" w14:textId="77777777" w:rsidTr="00630EEC">
        <w:trPr>
          <w:trHeight w:hRule="exact" w:val="785"/>
        </w:trPr>
        <w:tc>
          <w:tcPr>
            <w:tcW w:w="6972" w:type="dxa"/>
            <w:gridSpan w:val="2"/>
            <w:tcBorders>
              <w:top w:val="single" w:sz="4" w:space="0" w:color="auto"/>
              <w:left w:val="single" w:sz="8" w:space="0" w:color="000000"/>
              <w:bottom w:val="single" w:sz="8" w:space="0" w:color="000000"/>
              <w:right w:val="single" w:sz="8" w:space="0" w:color="000000"/>
            </w:tcBorders>
            <w:shd w:val="clear" w:color="auto" w:fill="C0C0C0"/>
          </w:tcPr>
          <w:p w14:paraId="3034E961" w14:textId="77777777" w:rsidR="00537112" w:rsidRPr="00537112" w:rsidRDefault="00537112" w:rsidP="00537112">
            <w:pPr>
              <w:autoSpaceDE w:val="0"/>
              <w:autoSpaceDN w:val="0"/>
              <w:spacing w:before="7" w:line="260" w:lineRule="exact"/>
              <w:jc w:val="left"/>
              <w:textAlignment w:val="auto"/>
              <w:rPr>
                <w:rFonts w:ascii="Times New Roman" w:hAnsi="Times New Roman"/>
                <w:sz w:val="26"/>
                <w:szCs w:val="26"/>
              </w:rPr>
            </w:pPr>
          </w:p>
          <w:p w14:paraId="78E9EF59" w14:textId="77777777" w:rsidR="00537112" w:rsidRPr="00537112" w:rsidRDefault="00537112" w:rsidP="00537112">
            <w:pPr>
              <w:autoSpaceDE w:val="0"/>
              <w:autoSpaceDN w:val="0"/>
              <w:spacing w:line="255" w:lineRule="auto"/>
              <w:ind w:right="79"/>
              <w:jc w:val="left"/>
              <w:textAlignment w:val="auto"/>
              <w:rPr>
                <w:rFonts w:ascii="Times New Roman" w:hAnsi="Times New Roman"/>
              </w:rPr>
            </w:pPr>
            <w:r w:rsidRPr="00537112">
              <w:rPr>
                <w:rFonts w:cs="Verdana"/>
                <w:b/>
                <w:bCs/>
                <w:spacing w:val="-1"/>
                <w:sz w:val="20"/>
                <w:szCs w:val="20"/>
              </w:rPr>
              <w:t>AN</w:t>
            </w:r>
            <w:r w:rsidRPr="00537112">
              <w:rPr>
                <w:rFonts w:cs="Verdana"/>
                <w:b/>
                <w:bCs/>
                <w:spacing w:val="1"/>
                <w:sz w:val="20"/>
                <w:szCs w:val="20"/>
              </w:rPr>
              <w:t>E</w:t>
            </w:r>
            <w:r w:rsidRPr="00537112">
              <w:rPr>
                <w:rFonts w:cs="Verdana"/>
                <w:b/>
                <w:bCs/>
                <w:spacing w:val="-1"/>
                <w:sz w:val="20"/>
                <w:szCs w:val="20"/>
              </w:rPr>
              <w:t>X</w:t>
            </w:r>
            <w:r w:rsidRPr="00537112">
              <w:rPr>
                <w:rFonts w:cs="Verdana"/>
                <w:b/>
                <w:bCs/>
                <w:sz w:val="20"/>
                <w:szCs w:val="20"/>
              </w:rPr>
              <w:t>O</w:t>
            </w:r>
            <w:r w:rsidRPr="00537112">
              <w:rPr>
                <w:rFonts w:cs="Verdana"/>
                <w:b/>
                <w:bCs/>
                <w:spacing w:val="-8"/>
                <w:sz w:val="20"/>
                <w:szCs w:val="20"/>
              </w:rPr>
              <w:t xml:space="preserve"> </w:t>
            </w:r>
            <w:r w:rsidRPr="00537112">
              <w:rPr>
                <w:rFonts w:cs="Verdana"/>
                <w:b/>
                <w:bCs/>
                <w:spacing w:val="-1"/>
                <w:sz w:val="20"/>
                <w:szCs w:val="20"/>
              </w:rPr>
              <w:t>III</w:t>
            </w:r>
            <w:r w:rsidRPr="00537112">
              <w:rPr>
                <w:rFonts w:cs="Verdana"/>
                <w:b/>
                <w:bCs/>
                <w:sz w:val="20"/>
                <w:szCs w:val="20"/>
              </w:rPr>
              <w:t>.</w:t>
            </w:r>
            <w:r w:rsidRPr="00537112">
              <w:rPr>
                <w:rFonts w:cs="Verdana"/>
                <w:b/>
                <w:bCs/>
                <w:spacing w:val="-5"/>
                <w:sz w:val="20"/>
                <w:szCs w:val="20"/>
              </w:rPr>
              <w:t xml:space="preserve"> </w:t>
            </w:r>
            <w:r w:rsidRPr="00537112">
              <w:rPr>
                <w:rFonts w:cs="Verdana"/>
                <w:b/>
                <w:bCs/>
                <w:sz w:val="20"/>
                <w:szCs w:val="20"/>
              </w:rPr>
              <w:t>P</w:t>
            </w:r>
            <w:r w:rsidRPr="00537112">
              <w:rPr>
                <w:rFonts w:cs="Verdana"/>
                <w:b/>
                <w:bCs/>
                <w:spacing w:val="1"/>
                <w:sz w:val="20"/>
                <w:szCs w:val="20"/>
              </w:rPr>
              <w:t>E</w:t>
            </w:r>
            <w:r w:rsidRPr="00537112">
              <w:rPr>
                <w:rFonts w:cs="Verdana"/>
                <w:b/>
                <w:bCs/>
                <w:sz w:val="20"/>
                <w:szCs w:val="20"/>
              </w:rPr>
              <w:t>RS</w:t>
            </w:r>
            <w:r w:rsidRPr="00537112">
              <w:rPr>
                <w:rFonts w:cs="Verdana"/>
                <w:b/>
                <w:bCs/>
                <w:spacing w:val="1"/>
                <w:sz w:val="20"/>
                <w:szCs w:val="20"/>
              </w:rPr>
              <w:t>O</w:t>
            </w:r>
            <w:r w:rsidRPr="00537112">
              <w:rPr>
                <w:rFonts w:cs="Verdana"/>
                <w:b/>
                <w:bCs/>
                <w:spacing w:val="-1"/>
                <w:sz w:val="20"/>
                <w:szCs w:val="20"/>
              </w:rPr>
              <w:t>NA</w:t>
            </w:r>
            <w:r w:rsidRPr="00537112">
              <w:rPr>
                <w:rFonts w:cs="Verdana"/>
                <w:b/>
                <w:bCs/>
                <w:sz w:val="20"/>
                <w:szCs w:val="20"/>
              </w:rPr>
              <w:t>S</w:t>
            </w:r>
            <w:r w:rsidRPr="00537112">
              <w:rPr>
                <w:rFonts w:cs="Verdana"/>
                <w:b/>
                <w:bCs/>
                <w:spacing w:val="-13"/>
                <w:sz w:val="20"/>
                <w:szCs w:val="20"/>
              </w:rPr>
              <w:t xml:space="preserve"> </w:t>
            </w:r>
            <w:r w:rsidRPr="00537112">
              <w:rPr>
                <w:rFonts w:cs="Verdana"/>
                <w:b/>
                <w:bCs/>
                <w:spacing w:val="-1"/>
                <w:sz w:val="20"/>
                <w:szCs w:val="20"/>
              </w:rPr>
              <w:t>N</w:t>
            </w:r>
            <w:r w:rsidRPr="00537112">
              <w:rPr>
                <w:rFonts w:cs="Verdana"/>
                <w:b/>
                <w:bCs/>
                <w:sz w:val="20"/>
                <w:szCs w:val="20"/>
              </w:rPr>
              <w:t>O</w:t>
            </w:r>
            <w:r w:rsidRPr="00537112">
              <w:rPr>
                <w:rFonts w:cs="Verdana"/>
                <w:b/>
                <w:bCs/>
                <w:spacing w:val="-3"/>
                <w:sz w:val="20"/>
                <w:szCs w:val="20"/>
              </w:rPr>
              <w:t xml:space="preserve"> </w:t>
            </w:r>
            <w:r w:rsidRPr="00537112">
              <w:rPr>
                <w:rFonts w:cs="Verdana"/>
                <w:b/>
                <w:bCs/>
                <w:spacing w:val="-1"/>
                <w:sz w:val="20"/>
                <w:szCs w:val="20"/>
              </w:rPr>
              <w:t>I</w:t>
            </w:r>
            <w:r w:rsidRPr="00537112">
              <w:rPr>
                <w:rFonts w:cs="Verdana"/>
                <w:b/>
                <w:bCs/>
                <w:sz w:val="20"/>
                <w:szCs w:val="20"/>
              </w:rPr>
              <w:t>D</w:t>
            </w:r>
            <w:r w:rsidRPr="00537112">
              <w:rPr>
                <w:rFonts w:cs="Verdana"/>
                <w:b/>
                <w:bCs/>
                <w:spacing w:val="1"/>
                <w:sz w:val="20"/>
                <w:szCs w:val="20"/>
              </w:rPr>
              <w:t>E</w:t>
            </w:r>
            <w:r w:rsidRPr="00537112">
              <w:rPr>
                <w:rFonts w:cs="Verdana"/>
                <w:b/>
                <w:bCs/>
                <w:spacing w:val="-1"/>
                <w:sz w:val="20"/>
                <w:szCs w:val="20"/>
              </w:rPr>
              <w:t>N</w:t>
            </w:r>
            <w:r w:rsidRPr="00537112">
              <w:rPr>
                <w:rFonts w:cs="Verdana"/>
                <w:b/>
                <w:bCs/>
                <w:spacing w:val="1"/>
                <w:sz w:val="20"/>
                <w:szCs w:val="20"/>
              </w:rPr>
              <w:t>T</w:t>
            </w:r>
            <w:r w:rsidRPr="00537112">
              <w:rPr>
                <w:rFonts w:cs="Verdana"/>
                <w:b/>
                <w:bCs/>
                <w:spacing w:val="-1"/>
                <w:sz w:val="20"/>
                <w:szCs w:val="20"/>
              </w:rPr>
              <w:t>I</w:t>
            </w:r>
            <w:r w:rsidRPr="00537112">
              <w:rPr>
                <w:rFonts w:cs="Verdana"/>
                <w:b/>
                <w:bCs/>
                <w:sz w:val="20"/>
                <w:szCs w:val="20"/>
              </w:rPr>
              <w:t>F</w:t>
            </w:r>
            <w:r w:rsidRPr="00537112">
              <w:rPr>
                <w:rFonts w:cs="Verdana"/>
                <w:b/>
                <w:bCs/>
                <w:spacing w:val="-1"/>
                <w:sz w:val="20"/>
                <w:szCs w:val="20"/>
              </w:rPr>
              <w:t>I</w:t>
            </w:r>
            <w:r w:rsidRPr="00537112">
              <w:rPr>
                <w:rFonts w:cs="Verdana"/>
                <w:b/>
                <w:bCs/>
                <w:sz w:val="20"/>
                <w:szCs w:val="20"/>
              </w:rPr>
              <w:t>C</w:t>
            </w:r>
            <w:r w:rsidRPr="00537112">
              <w:rPr>
                <w:rFonts w:cs="Verdana"/>
                <w:b/>
                <w:bCs/>
                <w:spacing w:val="-1"/>
                <w:sz w:val="20"/>
                <w:szCs w:val="20"/>
              </w:rPr>
              <w:t>A</w:t>
            </w:r>
            <w:r w:rsidRPr="00537112">
              <w:rPr>
                <w:rFonts w:cs="Verdana"/>
                <w:b/>
                <w:bCs/>
                <w:sz w:val="20"/>
                <w:szCs w:val="20"/>
              </w:rPr>
              <w:t>D</w:t>
            </w:r>
            <w:r w:rsidRPr="00537112">
              <w:rPr>
                <w:rFonts w:cs="Verdana"/>
                <w:b/>
                <w:bCs/>
                <w:spacing w:val="-1"/>
                <w:sz w:val="20"/>
                <w:szCs w:val="20"/>
              </w:rPr>
              <w:t>A</w:t>
            </w:r>
            <w:r w:rsidRPr="00537112">
              <w:rPr>
                <w:rFonts w:cs="Verdana"/>
                <w:b/>
                <w:bCs/>
                <w:sz w:val="20"/>
                <w:szCs w:val="20"/>
              </w:rPr>
              <w:t>S</w:t>
            </w:r>
            <w:r w:rsidRPr="00537112">
              <w:rPr>
                <w:rFonts w:cs="Verdana"/>
                <w:b/>
                <w:bCs/>
                <w:spacing w:val="-19"/>
                <w:sz w:val="20"/>
                <w:szCs w:val="20"/>
              </w:rPr>
              <w:t xml:space="preserve"> </w:t>
            </w:r>
            <w:r w:rsidRPr="00537112">
              <w:rPr>
                <w:rFonts w:cs="Verdana"/>
                <w:b/>
                <w:bCs/>
                <w:spacing w:val="1"/>
                <w:sz w:val="20"/>
                <w:szCs w:val="20"/>
              </w:rPr>
              <w:t>E</w:t>
            </w:r>
            <w:r w:rsidRPr="00537112">
              <w:rPr>
                <w:rFonts w:cs="Verdana"/>
                <w:b/>
                <w:bCs/>
                <w:sz w:val="20"/>
                <w:szCs w:val="20"/>
              </w:rPr>
              <w:t>N</w:t>
            </w:r>
            <w:r w:rsidRPr="00537112">
              <w:rPr>
                <w:rFonts w:cs="Verdana"/>
                <w:b/>
                <w:bCs/>
                <w:spacing w:val="-5"/>
                <w:sz w:val="20"/>
                <w:szCs w:val="20"/>
              </w:rPr>
              <w:t xml:space="preserve"> </w:t>
            </w:r>
            <w:r w:rsidRPr="00537112">
              <w:rPr>
                <w:rFonts w:cs="Verdana"/>
                <w:b/>
                <w:bCs/>
                <w:spacing w:val="1"/>
                <w:sz w:val="20"/>
                <w:szCs w:val="20"/>
              </w:rPr>
              <w:t>E</w:t>
            </w:r>
            <w:r w:rsidRPr="00537112">
              <w:rPr>
                <w:rFonts w:cs="Verdana"/>
                <w:b/>
                <w:bCs/>
                <w:spacing w:val="-1"/>
                <w:sz w:val="20"/>
                <w:szCs w:val="20"/>
              </w:rPr>
              <w:t>X</w:t>
            </w:r>
            <w:r w:rsidRPr="00537112">
              <w:rPr>
                <w:rFonts w:cs="Verdana"/>
                <w:b/>
                <w:bCs/>
                <w:sz w:val="20"/>
                <w:szCs w:val="20"/>
              </w:rPr>
              <w:t>P</w:t>
            </w:r>
            <w:r w:rsidRPr="00537112">
              <w:rPr>
                <w:rFonts w:cs="Verdana"/>
                <w:b/>
                <w:bCs/>
                <w:spacing w:val="1"/>
                <w:sz w:val="20"/>
                <w:szCs w:val="20"/>
              </w:rPr>
              <w:t>E</w:t>
            </w:r>
            <w:r w:rsidRPr="00537112">
              <w:rPr>
                <w:rFonts w:cs="Verdana"/>
                <w:b/>
                <w:bCs/>
                <w:sz w:val="20"/>
                <w:szCs w:val="20"/>
              </w:rPr>
              <w:t>D</w:t>
            </w:r>
            <w:r w:rsidRPr="00537112">
              <w:rPr>
                <w:rFonts w:cs="Verdana"/>
                <w:b/>
                <w:bCs/>
                <w:spacing w:val="-1"/>
                <w:sz w:val="20"/>
                <w:szCs w:val="20"/>
              </w:rPr>
              <w:t>I</w:t>
            </w:r>
            <w:r w:rsidRPr="00537112">
              <w:rPr>
                <w:rFonts w:cs="Verdana"/>
                <w:b/>
                <w:bCs/>
                <w:spacing w:val="1"/>
                <w:sz w:val="20"/>
                <w:szCs w:val="20"/>
              </w:rPr>
              <w:t>E</w:t>
            </w:r>
            <w:r w:rsidRPr="00537112">
              <w:rPr>
                <w:rFonts w:cs="Verdana"/>
                <w:b/>
                <w:bCs/>
                <w:spacing w:val="-1"/>
                <w:sz w:val="20"/>
                <w:szCs w:val="20"/>
              </w:rPr>
              <w:t>N</w:t>
            </w:r>
            <w:r w:rsidRPr="00537112">
              <w:rPr>
                <w:rFonts w:cs="Verdana"/>
                <w:b/>
                <w:bCs/>
                <w:spacing w:val="1"/>
                <w:sz w:val="20"/>
                <w:szCs w:val="20"/>
              </w:rPr>
              <w:t>T</w:t>
            </w:r>
            <w:r w:rsidRPr="00537112">
              <w:rPr>
                <w:rFonts w:cs="Verdana"/>
                <w:b/>
                <w:bCs/>
                <w:sz w:val="20"/>
                <w:szCs w:val="20"/>
              </w:rPr>
              <w:t>E (P</w:t>
            </w:r>
            <w:r w:rsidRPr="00537112">
              <w:rPr>
                <w:rFonts w:cs="Verdana"/>
                <w:b/>
                <w:bCs/>
                <w:spacing w:val="1"/>
                <w:sz w:val="20"/>
                <w:szCs w:val="20"/>
              </w:rPr>
              <w:t>O</w:t>
            </w:r>
            <w:r w:rsidRPr="00537112">
              <w:rPr>
                <w:rFonts w:cs="Verdana"/>
                <w:b/>
                <w:bCs/>
                <w:sz w:val="20"/>
                <w:szCs w:val="20"/>
              </w:rPr>
              <w:t>S</w:t>
            </w:r>
            <w:r w:rsidRPr="00537112">
              <w:rPr>
                <w:rFonts w:cs="Verdana"/>
                <w:b/>
                <w:bCs/>
                <w:spacing w:val="-1"/>
                <w:sz w:val="20"/>
                <w:szCs w:val="20"/>
              </w:rPr>
              <w:t>IB</w:t>
            </w:r>
            <w:r w:rsidRPr="00537112">
              <w:rPr>
                <w:rFonts w:cs="Verdana"/>
                <w:b/>
                <w:bCs/>
                <w:sz w:val="20"/>
                <w:szCs w:val="20"/>
              </w:rPr>
              <w:t>L</w:t>
            </w:r>
            <w:r w:rsidRPr="00537112">
              <w:rPr>
                <w:rFonts w:cs="Verdana"/>
                <w:b/>
                <w:bCs/>
                <w:spacing w:val="1"/>
                <w:sz w:val="20"/>
                <w:szCs w:val="20"/>
              </w:rPr>
              <w:t>E</w:t>
            </w:r>
            <w:r w:rsidRPr="00537112">
              <w:rPr>
                <w:rFonts w:cs="Verdana"/>
                <w:b/>
                <w:bCs/>
                <w:sz w:val="20"/>
                <w:szCs w:val="20"/>
              </w:rPr>
              <w:t>S</w:t>
            </w:r>
            <w:r w:rsidRPr="00537112">
              <w:rPr>
                <w:rFonts w:cs="Verdana"/>
                <w:b/>
                <w:bCs/>
                <w:spacing w:val="54"/>
                <w:sz w:val="20"/>
                <w:szCs w:val="20"/>
              </w:rPr>
              <w:t xml:space="preserve"> </w:t>
            </w:r>
            <w:r w:rsidRPr="00537112">
              <w:rPr>
                <w:rFonts w:cs="Verdana"/>
                <w:b/>
                <w:bCs/>
                <w:spacing w:val="-1"/>
                <w:sz w:val="20"/>
                <w:szCs w:val="20"/>
              </w:rPr>
              <w:t>VÍ</w:t>
            </w:r>
            <w:r w:rsidRPr="00537112">
              <w:rPr>
                <w:rFonts w:cs="Verdana"/>
                <w:b/>
                <w:bCs/>
                <w:sz w:val="20"/>
                <w:szCs w:val="20"/>
              </w:rPr>
              <w:t>C</w:t>
            </w:r>
            <w:r w:rsidRPr="00537112">
              <w:rPr>
                <w:rFonts w:cs="Verdana"/>
                <w:b/>
                <w:bCs/>
                <w:spacing w:val="1"/>
                <w:sz w:val="20"/>
                <w:szCs w:val="20"/>
              </w:rPr>
              <w:t>T</w:t>
            </w:r>
            <w:r w:rsidRPr="00537112">
              <w:rPr>
                <w:rFonts w:cs="Verdana"/>
                <w:b/>
                <w:bCs/>
                <w:spacing w:val="-1"/>
                <w:sz w:val="20"/>
                <w:szCs w:val="20"/>
              </w:rPr>
              <w:t>I</w:t>
            </w:r>
            <w:r w:rsidRPr="00537112">
              <w:rPr>
                <w:rFonts w:cs="Verdana"/>
                <w:b/>
                <w:bCs/>
                <w:spacing w:val="1"/>
                <w:sz w:val="20"/>
                <w:szCs w:val="20"/>
              </w:rPr>
              <w:t>M</w:t>
            </w:r>
            <w:r w:rsidRPr="00537112">
              <w:rPr>
                <w:rFonts w:cs="Verdana"/>
                <w:b/>
                <w:bCs/>
                <w:spacing w:val="-1"/>
                <w:sz w:val="20"/>
                <w:szCs w:val="20"/>
              </w:rPr>
              <w:t>A</w:t>
            </w:r>
            <w:r w:rsidRPr="00537112">
              <w:rPr>
                <w:rFonts w:cs="Verdana"/>
                <w:b/>
                <w:bCs/>
                <w:sz w:val="20"/>
                <w:szCs w:val="20"/>
              </w:rPr>
              <w:t>S)</w:t>
            </w:r>
          </w:p>
        </w:tc>
      </w:tr>
      <w:tr w:rsidR="00537112" w:rsidRPr="00537112" w14:paraId="61CF534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1B328A8"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1</w:t>
            </w:r>
          </w:p>
        </w:tc>
        <w:tc>
          <w:tcPr>
            <w:tcW w:w="5961" w:type="dxa"/>
            <w:tcBorders>
              <w:top w:val="single" w:sz="8" w:space="0" w:color="000000"/>
              <w:left w:val="single" w:sz="8" w:space="0" w:color="000000"/>
              <w:bottom w:val="single" w:sz="8" w:space="0" w:color="000000"/>
              <w:right w:val="single" w:sz="8" w:space="0" w:color="000000"/>
            </w:tcBorders>
          </w:tcPr>
          <w:p w14:paraId="612BA113"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V</w:t>
            </w:r>
            <w:r w:rsidRPr="00537112">
              <w:rPr>
                <w:rFonts w:cs="Verdana"/>
                <w:spacing w:val="-1"/>
                <w:sz w:val="20"/>
                <w:szCs w:val="20"/>
              </w:rPr>
              <w:t>eró</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c</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a</w:t>
            </w:r>
            <w:r w:rsidRPr="00537112">
              <w:rPr>
                <w:rFonts w:cs="Verdana"/>
                <w:spacing w:val="-1"/>
                <w:sz w:val="20"/>
                <w:szCs w:val="20"/>
              </w:rPr>
              <w:t>rcó</w:t>
            </w:r>
            <w:r w:rsidRPr="00537112">
              <w:rPr>
                <w:rFonts w:cs="Verdana"/>
                <w:sz w:val="20"/>
                <w:szCs w:val="20"/>
              </w:rPr>
              <w:t>n</w:t>
            </w:r>
            <w:r w:rsidRPr="00537112">
              <w:rPr>
                <w:rFonts w:cs="Verdana"/>
                <w:spacing w:val="-7"/>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p>
        </w:tc>
      </w:tr>
      <w:tr w:rsidR="00537112" w:rsidRPr="00537112" w14:paraId="796C1A6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9B9E065"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2</w:t>
            </w:r>
          </w:p>
        </w:tc>
        <w:tc>
          <w:tcPr>
            <w:tcW w:w="5961" w:type="dxa"/>
            <w:tcBorders>
              <w:top w:val="single" w:sz="8" w:space="0" w:color="000000"/>
              <w:left w:val="single" w:sz="8" w:space="0" w:color="000000"/>
              <w:bottom w:val="single" w:sz="8" w:space="0" w:color="000000"/>
              <w:right w:val="single" w:sz="8" w:space="0" w:color="000000"/>
            </w:tcBorders>
          </w:tcPr>
          <w:p w14:paraId="1AE25F3B"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u</w:t>
            </w:r>
            <w:r w:rsidRPr="00537112">
              <w:rPr>
                <w:rFonts w:cs="Verdana"/>
                <w:sz w:val="20"/>
                <w:szCs w:val="20"/>
              </w:rPr>
              <w:t>l</w:t>
            </w:r>
            <w:r w:rsidRPr="00537112">
              <w:rPr>
                <w:rFonts w:cs="Verdana"/>
                <w:spacing w:val="-2"/>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a</w:t>
            </w:r>
            <w:r w:rsidRPr="00537112">
              <w:rPr>
                <w:rFonts w:cs="Verdana"/>
                <w:spacing w:val="-1"/>
                <w:sz w:val="20"/>
                <w:szCs w:val="20"/>
              </w:rPr>
              <w:t>rcó</w:t>
            </w:r>
            <w:r w:rsidRPr="00537112">
              <w:rPr>
                <w:rFonts w:cs="Verdana"/>
                <w:sz w:val="20"/>
                <w:szCs w:val="20"/>
              </w:rPr>
              <w:t>n</w:t>
            </w:r>
            <w:r w:rsidRPr="00537112">
              <w:rPr>
                <w:rFonts w:cs="Verdana"/>
                <w:spacing w:val="-7"/>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p>
        </w:tc>
      </w:tr>
      <w:tr w:rsidR="00537112" w:rsidRPr="00537112" w14:paraId="29FDBAE3"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33E7FB8"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3</w:t>
            </w:r>
          </w:p>
        </w:tc>
        <w:tc>
          <w:tcPr>
            <w:tcW w:w="5961" w:type="dxa"/>
            <w:tcBorders>
              <w:top w:val="single" w:sz="8" w:space="0" w:color="000000"/>
              <w:left w:val="single" w:sz="8" w:space="0" w:color="000000"/>
              <w:bottom w:val="single" w:sz="8" w:space="0" w:color="000000"/>
              <w:right w:val="single" w:sz="8" w:space="0" w:color="000000"/>
            </w:tcBorders>
          </w:tcPr>
          <w:p w14:paraId="4FB691A1"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er</w:t>
            </w:r>
            <w:r w:rsidRPr="00537112">
              <w:rPr>
                <w:rFonts w:cs="Verdana"/>
                <w:spacing w:val="1"/>
                <w:sz w:val="20"/>
                <w:szCs w:val="20"/>
              </w:rPr>
              <w:t>m</w:t>
            </w:r>
            <w:r w:rsidRPr="00537112">
              <w:rPr>
                <w:rFonts w:cs="Verdana"/>
                <w:spacing w:val="3"/>
                <w:sz w:val="20"/>
                <w:szCs w:val="20"/>
              </w:rPr>
              <w:t>i</w:t>
            </w:r>
            <w:r w:rsidRPr="00537112">
              <w:rPr>
                <w:rFonts w:cs="Verdana"/>
                <w:spacing w:val="1"/>
                <w:sz w:val="20"/>
                <w:szCs w:val="20"/>
              </w:rPr>
              <w:t>n</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Her</w:t>
            </w:r>
            <w:r w:rsidRPr="00537112">
              <w:rPr>
                <w:rFonts w:cs="Verdana"/>
                <w:spacing w:val="1"/>
                <w:sz w:val="20"/>
                <w:szCs w:val="20"/>
              </w:rPr>
              <w:t>n</w:t>
            </w:r>
            <w:r w:rsidRPr="00537112">
              <w:rPr>
                <w:rFonts w:cs="Verdana"/>
                <w:sz w:val="20"/>
                <w:szCs w:val="20"/>
              </w:rPr>
              <w:t>á</w:t>
            </w:r>
            <w:r w:rsidRPr="00537112">
              <w:rPr>
                <w:rFonts w:cs="Verdana"/>
                <w:spacing w:val="1"/>
                <w:sz w:val="20"/>
                <w:szCs w:val="20"/>
              </w:rPr>
              <w:t>nd</w:t>
            </w:r>
            <w:r w:rsidRPr="00537112">
              <w:rPr>
                <w:rFonts w:cs="Verdana"/>
                <w:spacing w:val="-1"/>
                <w:sz w:val="20"/>
                <w:szCs w:val="20"/>
              </w:rPr>
              <w:t>e</w:t>
            </w:r>
            <w:r w:rsidRPr="00537112">
              <w:rPr>
                <w:rFonts w:cs="Verdana"/>
                <w:sz w:val="20"/>
                <w:szCs w:val="20"/>
              </w:rPr>
              <w:t>z</w:t>
            </w:r>
            <w:r w:rsidRPr="00537112">
              <w:rPr>
                <w:rFonts w:cs="Verdana"/>
                <w:spacing w:val="-11"/>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r>
      <w:tr w:rsidR="00537112" w:rsidRPr="00537112" w14:paraId="09E4E52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5F75170"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4</w:t>
            </w:r>
          </w:p>
        </w:tc>
        <w:tc>
          <w:tcPr>
            <w:tcW w:w="5961" w:type="dxa"/>
            <w:tcBorders>
              <w:top w:val="single" w:sz="8" w:space="0" w:color="000000"/>
              <w:left w:val="single" w:sz="8" w:space="0" w:color="000000"/>
              <w:bottom w:val="single" w:sz="8" w:space="0" w:color="000000"/>
              <w:right w:val="single" w:sz="8" w:space="0" w:color="000000"/>
            </w:tcBorders>
          </w:tcPr>
          <w:p w14:paraId="7BFBE74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Her</w:t>
            </w:r>
            <w:r w:rsidRPr="00537112">
              <w:rPr>
                <w:rFonts w:cs="Verdana"/>
                <w:spacing w:val="1"/>
                <w:sz w:val="20"/>
                <w:szCs w:val="20"/>
              </w:rPr>
              <w:t>m</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nd</w:t>
            </w:r>
            <w:r w:rsidRPr="00537112">
              <w:rPr>
                <w:rFonts w:cs="Verdana"/>
                <w:sz w:val="20"/>
                <w:szCs w:val="20"/>
              </w:rPr>
              <w:t>a</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Her</w:t>
            </w:r>
            <w:r w:rsidRPr="00537112">
              <w:rPr>
                <w:rFonts w:cs="Verdana"/>
                <w:spacing w:val="1"/>
                <w:sz w:val="20"/>
                <w:szCs w:val="20"/>
              </w:rPr>
              <w:t>n</w:t>
            </w:r>
            <w:r w:rsidRPr="00537112">
              <w:rPr>
                <w:rFonts w:cs="Verdana"/>
                <w:sz w:val="20"/>
                <w:szCs w:val="20"/>
              </w:rPr>
              <w:t>á</w:t>
            </w:r>
            <w:r w:rsidRPr="00537112">
              <w:rPr>
                <w:rFonts w:cs="Verdana"/>
                <w:spacing w:val="1"/>
                <w:sz w:val="20"/>
                <w:szCs w:val="20"/>
              </w:rPr>
              <w:t>nd</w:t>
            </w:r>
            <w:r w:rsidRPr="00537112">
              <w:rPr>
                <w:rFonts w:cs="Verdana"/>
                <w:spacing w:val="-1"/>
                <w:sz w:val="20"/>
                <w:szCs w:val="20"/>
              </w:rPr>
              <w:t>e</w:t>
            </w:r>
            <w:r w:rsidRPr="00537112">
              <w:rPr>
                <w:rFonts w:cs="Verdana"/>
                <w:sz w:val="20"/>
                <w:szCs w:val="20"/>
              </w:rPr>
              <w:t>z</w:t>
            </w:r>
          </w:p>
        </w:tc>
      </w:tr>
      <w:tr w:rsidR="00537112" w:rsidRPr="00537112" w14:paraId="269EF1A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D3849A9"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5</w:t>
            </w:r>
          </w:p>
        </w:tc>
        <w:tc>
          <w:tcPr>
            <w:tcW w:w="5961" w:type="dxa"/>
            <w:tcBorders>
              <w:top w:val="single" w:sz="8" w:space="0" w:color="000000"/>
              <w:left w:val="single" w:sz="8" w:space="0" w:color="000000"/>
              <w:bottom w:val="single" w:sz="8" w:space="0" w:color="000000"/>
              <w:right w:val="single" w:sz="8" w:space="0" w:color="000000"/>
            </w:tcBorders>
          </w:tcPr>
          <w:p w14:paraId="636EA43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Leo</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056CA3AF"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AA9706E"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6</w:t>
            </w:r>
          </w:p>
        </w:tc>
        <w:tc>
          <w:tcPr>
            <w:tcW w:w="5961" w:type="dxa"/>
            <w:tcBorders>
              <w:top w:val="single" w:sz="8" w:space="0" w:color="000000"/>
              <w:left w:val="single" w:sz="8" w:space="0" w:color="000000"/>
              <w:bottom w:val="single" w:sz="8" w:space="0" w:color="000000"/>
              <w:right w:val="single" w:sz="8" w:space="0" w:color="000000"/>
            </w:tcBorders>
          </w:tcPr>
          <w:p w14:paraId="114B00DC"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rco</w:t>
            </w:r>
            <w:r w:rsidRPr="00537112">
              <w:rPr>
                <w:rFonts w:cs="Verdana"/>
                <w:sz w:val="20"/>
                <w:szCs w:val="20"/>
              </w:rPr>
              <w:t>s</w:t>
            </w:r>
            <w:r w:rsidRPr="00537112">
              <w:rPr>
                <w:rFonts w:cs="Verdana"/>
                <w:spacing w:val="-8"/>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1091FFB6"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3D0270C"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7</w:t>
            </w:r>
          </w:p>
        </w:tc>
        <w:tc>
          <w:tcPr>
            <w:tcW w:w="5961" w:type="dxa"/>
            <w:tcBorders>
              <w:top w:val="single" w:sz="8" w:space="0" w:color="000000"/>
              <w:left w:val="single" w:sz="8" w:space="0" w:color="000000"/>
              <w:bottom w:val="single" w:sz="8" w:space="0" w:color="000000"/>
              <w:right w:val="single" w:sz="8" w:space="0" w:color="000000"/>
            </w:tcBorders>
          </w:tcPr>
          <w:p w14:paraId="5376D33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u</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4D57554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C0B9FF7"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8</w:t>
            </w:r>
          </w:p>
        </w:tc>
        <w:tc>
          <w:tcPr>
            <w:tcW w:w="5961" w:type="dxa"/>
            <w:tcBorders>
              <w:top w:val="single" w:sz="8" w:space="0" w:color="000000"/>
              <w:left w:val="single" w:sz="8" w:space="0" w:color="000000"/>
              <w:bottom w:val="single" w:sz="8" w:space="0" w:color="000000"/>
              <w:right w:val="single" w:sz="8" w:space="0" w:color="000000"/>
            </w:tcBorders>
          </w:tcPr>
          <w:p w14:paraId="75049F11"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z w:val="20"/>
                <w:szCs w:val="20"/>
              </w:rPr>
              <w:t>Ca</w:t>
            </w:r>
            <w:r w:rsidRPr="00537112">
              <w:rPr>
                <w:rFonts w:cs="Verdana"/>
                <w:spacing w:val="1"/>
                <w:sz w:val="20"/>
                <w:szCs w:val="20"/>
              </w:rPr>
              <w:t>p</w:t>
            </w:r>
            <w:r w:rsidRPr="00537112">
              <w:rPr>
                <w:rFonts w:cs="Verdana"/>
                <w:spacing w:val="3"/>
                <w:sz w:val="20"/>
                <w:szCs w:val="20"/>
              </w:rPr>
              <w:t>i</w:t>
            </w:r>
            <w:r w:rsidRPr="00537112">
              <w:rPr>
                <w:rFonts w:cs="Verdana"/>
                <w:spacing w:val="-1"/>
                <w:sz w:val="20"/>
                <w:szCs w:val="20"/>
              </w:rPr>
              <w:t>s</w:t>
            </w:r>
            <w:r w:rsidRPr="00537112">
              <w:rPr>
                <w:rFonts w:cs="Verdana"/>
                <w:spacing w:val="1"/>
                <w:sz w:val="20"/>
                <w:szCs w:val="20"/>
              </w:rPr>
              <w:t>t</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3"/>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B</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t</w:t>
            </w:r>
            <w:r w:rsidRPr="00537112">
              <w:rPr>
                <w:rFonts w:cs="Verdana"/>
                <w:spacing w:val="-1"/>
                <w:sz w:val="20"/>
                <w:szCs w:val="20"/>
              </w:rPr>
              <w:t>r</w:t>
            </w:r>
            <w:r w:rsidRPr="00537112">
              <w:rPr>
                <w:rFonts w:cs="Verdana"/>
                <w:sz w:val="20"/>
                <w:szCs w:val="20"/>
              </w:rPr>
              <w:t>án</w:t>
            </w:r>
          </w:p>
        </w:tc>
      </w:tr>
      <w:tr w:rsidR="00537112" w:rsidRPr="00537112" w14:paraId="68F2244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A7023D8"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9</w:t>
            </w:r>
          </w:p>
        </w:tc>
        <w:tc>
          <w:tcPr>
            <w:tcW w:w="5961" w:type="dxa"/>
            <w:tcBorders>
              <w:top w:val="single" w:sz="8" w:space="0" w:color="000000"/>
              <w:left w:val="single" w:sz="8" w:space="0" w:color="000000"/>
              <w:bottom w:val="single" w:sz="8" w:space="0" w:color="000000"/>
              <w:right w:val="single" w:sz="8" w:space="0" w:color="000000"/>
            </w:tcBorders>
          </w:tcPr>
          <w:p w14:paraId="2B1BEA24"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m</w:t>
            </w:r>
            <w:r w:rsidRPr="00537112">
              <w:rPr>
                <w:rFonts w:cs="Verdana"/>
                <w:spacing w:val="3"/>
                <w:sz w:val="20"/>
                <w:szCs w:val="20"/>
              </w:rPr>
              <w:t>il</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B</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t</w:t>
            </w:r>
            <w:r w:rsidRPr="00537112">
              <w:rPr>
                <w:rFonts w:cs="Verdana"/>
                <w:spacing w:val="-1"/>
                <w:sz w:val="20"/>
                <w:szCs w:val="20"/>
              </w:rPr>
              <w:t>r</w:t>
            </w:r>
            <w:r w:rsidRPr="00537112">
              <w:rPr>
                <w:rFonts w:cs="Verdana"/>
                <w:sz w:val="20"/>
                <w:szCs w:val="20"/>
              </w:rPr>
              <w:t>án</w:t>
            </w:r>
          </w:p>
        </w:tc>
      </w:tr>
      <w:tr w:rsidR="00537112" w:rsidRPr="00537112" w14:paraId="3F716AB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C673A72"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10</w:t>
            </w:r>
          </w:p>
        </w:tc>
        <w:tc>
          <w:tcPr>
            <w:tcW w:w="5961" w:type="dxa"/>
            <w:tcBorders>
              <w:top w:val="single" w:sz="8" w:space="0" w:color="000000"/>
              <w:left w:val="single" w:sz="8" w:space="0" w:color="000000"/>
              <w:bottom w:val="single" w:sz="8" w:space="0" w:color="000000"/>
              <w:right w:val="single" w:sz="8" w:space="0" w:color="000000"/>
            </w:tcBorders>
          </w:tcPr>
          <w:p w14:paraId="0F3A022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2"/>
                <w:sz w:val="20"/>
                <w:szCs w:val="20"/>
              </w:rPr>
              <w:t>I</w:t>
            </w:r>
            <w:r w:rsidRPr="00537112">
              <w:rPr>
                <w:rFonts w:cs="Verdana"/>
                <w:spacing w:val="-1"/>
                <w:sz w:val="20"/>
                <w:szCs w:val="20"/>
              </w:rPr>
              <w:t>s</w:t>
            </w:r>
            <w:r w:rsidRPr="00537112">
              <w:rPr>
                <w:rFonts w:cs="Verdana"/>
                <w:sz w:val="20"/>
                <w:szCs w:val="20"/>
              </w:rPr>
              <w:t>a</w:t>
            </w:r>
            <w:r w:rsidRPr="00537112">
              <w:rPr>
                <w:rFonts w:cs="Verdana"/>
                <w:spacing w:val="3"/>
                <w:sz w:val="20"/>
                <w:szCs w:val="20"/>
              </w:rPr>
              <w:t>í</w:t>
            </w:r>
            <w:r w:rsidRPr="00537112">
              <w:rPr>
                <w:rFonts w:cs="Verdana"/>
                <w:sz w:val="20"/>
                <w:szCs w:val="20"/>
              </w:rPr>
              <w:t>as</w:t>
            </w:r>
            <w:r w:rsidRPr="00537112">
              <w:rPr>
                <w:rFonts w:cs="Verdana"/>
                <w:spacing w:val="-7"/>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z w:val="20"/>
                <w:szCs w:val="20"/>
              </w:rPr>
              <w:t>B</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t</w:t>
            </w:r>
            <w:r w:rsidRPr="00537112">
              <w:rPr>
                <w:rFonts w:cs="Verdana"/>
                <w:spacing w:val="-1"/>
                <w:sz w:val="20"/>
                <w:szCs w:val="20"/>
              </w:rPr>
              <w:t>r</w:t>
            </w:r>
            <w:r w:rsidRPr="00537112">
              <w:rPr>
                <w:rFonts w:cs="Verdana"/>
                <w:sz w:val="20"/>
                <w:szCs w:val="20"/>
              </w:rPr>
              <w:t>án</w:t>
            </w:r>
          </w:p>
        </w:tc>
      </w:tr>
      <w:tr w:rsidR="00537112" w:rsidRPr="00537112" w14:paraId="155A9432"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7D187C9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11</w:t>
            </w:r>
          </w:p>
        </w:tc>
        <w:tc>
          <w:tcPr>
            <w:tcW w:w="5961" w:type="dxa"/>
            <w:tcBorders>
              <w:top w:val="single" w:sz="8" w:space="0" w:color="000000"/>
              <w:left w:val="single" w:sz="8" w:space="0" w:color="000000"/>
              <w:bottom w:val="single" w:sz="8" w:space="0" w:color="000000"/>
              <w:right w:val="single" w:sz="8" w:space="0" w:color="000000"/>
            </w:tcBorders>
          </w:tcPr>
          <w:p w14:paraId="2F70CC4E"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Ang</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p>
        </w:tc>
      </w:tr>
      <w:tr w:rsidR="00537112" w:rsidRPr="00537112" w14:paraId="0E5171D2"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EF3FD0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12</w:t>
            </w:r>
          </w:p>
        </w:tc>
        <w:tc>
          <w:tcPr>
            <w:tcW w:w="5961" w:type="dxa"/>
            <w:tcBorders>
              <w:top w:val="single" w:sz="8" w:space="0" w:color="000000"/>
              <w:left w:val="single" w:sz="8" w:space="0" w:color="000000"/>
              <w:bottom w:val="single" w:sz="8" w:space="0" w:color="000000"/>
              <w:right w:val="single" w:sz="8" w:space="0" w:color="000000"/>
            </w:tcBorders>
          </w:tcPr>
          <w:p w14:paraId="013FF973"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J</w:t>
            </w:r>
            <w:r w:rsidRPr="00537112">
              <w:rPr>
                <w:rFonts w:cs="Verdana"/>
                <w:sz w:val="20"/>
                <w:szCs w:val="20"/>
              </w:rPr>
              <w:t>a</w:t>
            </w:r>
            <w:r w:rsidRPr="00537112">
              <w:rPr>
                <w:rFonts w:cs="Verdana"/>
                <w:spacing w:val="3"/>
                <w:sz w:val="20"/>
                <w:szCs w:val="20"/>
              </w:rPr>
              <w:t>i</w:t>
            </w:r>
            <w:r w:rsidRPr="00537112">
              <w:rPr>
                <w:rFonts w:cs="Verdana"/>
                <w:spacing w:val="1"/>
                <w:sz w:val="20"/>
                <w:szCs w:val="20"/>
              </w:rPr>
              <w:t>m</w:t>
            </w:r>
            <w:r w:rsidRPr="00537112">
              <w:rPr>
                <w:rFonts w:cs="Verdana"/>
                <w:sz w:val="20"/>
                <w:szCs w:val="20"/>
              </w:rPr>
              <w:t>e</w:t>
            </w:r>
            <w:r w:rsidRPr="00537112">
              <w:rPr>
                <w:rFonts w:cs="Verdana"/>
                <w:spacing w:val="-8"/>
                <w:sz w:val="20"/>
                <w:szCs w:val="20"/>
              </w:rPr>
              <w:t xml:space="preserve"> </w:t>
            </w:r>
            <w:r w:rsidRPr="00537112">
              <w:rPr>
                <w:rFonts w:cs="Verdana"/>
                <w:spacing w:val="1"/>
                <w:sz w:val="20"/>
                <w:szCs w:val="20"/>
              </w:rPr>
              <w:t>J</w:t>
            </w:r>
            <w:r w:rsidRPr="00537112">
              <w:rPr>
                <w:rFonts w:cs="Verdana"/>
                <w:spacing w:val="-1"/>
                <w:sz w:val="20"/>
                <w:szCs w:val="20"/>
              </w:rPr>
              <w:t>es</w:t>
            </w:r>
            <w:r w:rsidRPr="00537112">
              <w:rPr>
                <w:rFonts w:cs="Verdana"/>
                <w:spacing w:val="1"/>
                <w:sz w:val="20"/>
                <w:szCs w:val="20"/>
              </w:rPr>
              <w:t>ú</w:t>
            </w:r>
            <w:r w:rsidRPr="00537112">
              <w:rPr>
                <w:rFonts w:cs="Verdana"/>
                <w:sz w:val="20"/>
                <w:szCs w:val="20"/>
              </w:rPr>
              <w:t>s</w:t>
            </w:r>
            <w:r w:rsidRPr="00537112">
              <w:rPr>
                <w:rFonts w:cs="Verdana"/>
                <w:spacing w:val="-6"/>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3857E9AF"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5882BE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13</w:t>
            </w:r>
          </w:p>
        </w:tc>
        <w:tc>
          <w:tcPr>
            <w:tcW w:w="5961" w:type="dxa"/>
            <w:tcBorders>
              <w:top w:val="single" w:sz="8" w:space="0" w:color="000000"/>
              <w:left w:val="single" w:sz="8" w:space="0" w:color="000000"/>
              <w:bottom w:val="single" w:sz="8" w:space="0" w:color="000000"/>
              <w:right w:val="single" w:sz="8" w:space="0" w:color="000000"/>
            </w:tcBorders>
          </w:tcPr>
          <w:p w14:paraId="34082A9F"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7"/>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52767997"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1FACA2D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14</w:t>
            </w:r>
          </w:p>
        </w:tc>
        <w:tc>
          <w:tcPr>
            <w:tcW w:w="5961" w:type="dxa"/>
            <w:tcBorders>
              <w:top w:val="single" w:sz="8" w:space="0" w:color="000000"/>
              <w:left w:val="single" w:sz="8" w:space="0" w:color="000000"/>
              <w:bottom w:val="single" w:sz="8" w:space="0" w:color="000000"/>
              <w:right w:val="single" w:sz="8" w:space="0" w:color="000000"/>
            </w:tcBorders>
          </w:tcPr>
          <w:p w14:paraId="3CEFB16D"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Leo</w:t>
            </w:r>
            <w:r w:rsidRPr="00537112">
              <w:rPr>
                <w:rFonts w:cs="Verdana"/>
                <w:spacing w:val="1"/>
                <w:sz w:val="20"/>
                <w:szCs w:val="20"/>
              </w:rPr>
              <w:t>n</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56B14215"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6236B47"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15</w:t>
            </w:r>
          </w:p>
        </w:tc>
        <w:tc>
          <w:tcPr>
            <w:tcW w:w="5961" w:type="dxa"/>
            <w:tcBorders>
              <w:top w:val="single" w:sz="8" w:space="0" w:color="000000"/>
              <w:left w:val="single" w:sz="8" w:space="0" w:color="000000"/>
              <w:bottom w:val="single" w:sz="8" w:space="0" w:color="000000"/>
              <w:right w:val="single" w:sz="8" w:space="0" w:color="000000"/>
            </w:tcBorders>
          </w:tcPr>
          <w:p w14:paraId="37D738F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E</w:t>
            </w:r>
            <w:r w:rsidRPr="00537112">
              <w:rPr>
                <w:rFonts w:cs="Verdana"/>
                <w:sz w:val="20"/>
                <w:szCs w:val="20"/>
              </w:rPr>
              <w:t>va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s</w:t>
            </w:r>
            <w:r w:rsidRPr="00537112">
              <w:rPr>
                <w:rFonts w:cs="Verdana"/>
                <w:spacing w:val="1"/>
                <w:sz w:val="20"/>
                <w:szCs w:val="20"/>
              </w:rPr>
              <w:t>t</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1F9BA95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940FE1C"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16</w:t>
            </w:r>
          </w:p>
        </w:tc>
        <w:tc>
          <w:tcPr>
            <w:tcW w:w="5961" w:type="dxa"/>
            <w:tcBorders>
              <w:top w:val="single" w:sz="8" w:space="0" w:color="000000"/>
              <w:left w:val="single" w:sz="8" w:space="0" w:color="000000"/>
              <w:bottom w:val="single" w:sz="8" w:space="0" w:color="000000"/>
              <w:right w:val="single" w:sz="8" w:space="0" w:color="000000"/>
            </w:tcBorders>
          </w:tcPr>
          <w:p w14:paraId="7D617A3E"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Es</w:t>
            </w:r>
            <w:r w:rsidRPr="00537112">
              <w:rPr>
                <w:rFonts w:cs="Verdana"/>
                <w:spacing w:val="1"/>
                <w:sz w:val="20"/>
                <w:szCs w:val="20"/>
              </w:rPr>
              <w:t>t</w:t>
            </w:r>
            <w:r w:rsidRPr="00537112">
              <w:rPr>
                <w:rFonts w:cs="Verdana"/>
                <w:spacing w:val="-1"/>
                <w:sz w:val="20"/>
                <w:szCs w:val="20"/>
              </w:rPr>
              <w:t>e</w:t>
            </w:r>
            <w:r w:rsidRPr="00537112">
              <w:rPr>
                <w:rFonts w:cs="Verdana"/>
                <w:spacing w:val="3"/>
                <w:sz w:val="20"/>
                <w:szCs w:val="20"/>
              </w:rPr>
              <w:t>l</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0451A73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1BB4797"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17</w:t>
            </w:r>
          </w:p>
        </w:tc>
        <w:tc>
          <w:tcPr>
            <w:tcW w:w="5961" w:type="dxa"/>
            <w:tcBorders>
              <w:top w:val="single" w:sz="8" w:space="0" w:color="000000"/>
              <w:left w:val="single" w:sz="8" w:space="0" w:color="000000"/>
              <w:bottom w:val="single" w:sz="8" w:space="0" w:color="000000"/>
              <w:right w:val="single" w:sz="8" w:space="0" w:color="000000"/>
            </w:tcBorders>
          </w:tcPr>
          <w:p w14:paraId="78B64A6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z w:val="20"/>
                <w:szCs w:val="20"/>
              </w:rPr>
              <w:t>B</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f</w:t>
            </w:r>
            <w:r w:rsidRPr="00537112">
              <w:rPr>
                <w:rFonts w:cs="Verdana"/>
                <w:sz w:val="20"/>
                <w:szCs w:val="20"/>
              </w:rPr>
              <w:t>a</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52493D2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B87BED1"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18</w:t>
            </w:r>
          </w:p>
        </w:tc>
        <w:tc>
          <w:tcPr>
            <w:tcW w:w="5961" w:type="dxa"/>
            <w:tcBorders>
              <w:top w:val="single" w:sz="8" w:space="0" w:color="000000"/>
              <w:left w:val="single" w:sz="8" w:space="0" w:color="000000"/>
              <w:bottom w:val="single" w:sz="8" w:space="0" w:color="000000"/>
              <w:right w:val="single" w:sz="8" w:space="0" w:color="000000"/>
            </w:tcBorders>
          </w:tcPr>
          <w:p w14:paraId="31B044B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C</w:t>
            </w:r>
            <w:r w:rsidRPr="00537112">
              <w:rPr>
                <w:rFonts w:cs="Verdana"/>
                <w:spacing w:val="-1"/>
                <w:sz w:val="20"/>
                <w:szCs w:val="20"/>
              </w:rPr>
              <w:t>ec</w:t>
            </w:r>
            <w:r w:rsidRPr="00537112">
              <w:rPr>
                <w:rFonts w:cs="Verdana"/>
                <w:spacing w:val="3"/>
                <w:sz w:val="20"/>
                <w:szCs w:val="20"/>
              </w:rPr>
              <w:t>ili</w:t>
            </w:r>
            <w:r w:rsidRPr="00537112">
              <w:rPr>
                <w:rFonts w:cs="Verdana"/>
                <w:sz w:val="20"/>
                <w:szCs w:val="20"/>
              </w:rPr>
              <w:t>o</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ía</w:t>
            </w:r>
          </w:p>
        </w:tc>
      </w:tr>
      <w:tr w:rsidR="00537112" w:rsidRPr="00537112" w14:paraId="1CA7A412"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EBBFA1A"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19</w:t>
            </w:r>
          </w:p>
        </w:tc>
        <w:tc>
          <w:tcPr>
            <w:tcW w:w="5961" w:type="dxa"/>
            <w:tcBorders>
              <w:top w:val="single" w:sz="8" w:space="0" w:color="000000"/>
              <w:left w:val="single" w:sz="8" w:space="0" w:color="000000"/>
              <w:bottom w:val="single" w:sz="8" w:space="0" w:color="000000"/>
              <w:right w:val="single" w:sz="8" w:space="0" w:color="000000"/>
            </w:tcBorders>
          </w:tcPr>
          <w:p w14:paraId="6C7697BA"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í</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r>
      <w:tr w:rsidR="00537112" w:rsidRPr="00537112" w14:paraId="413DA40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64E16C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20</w:t>
            </w:r>
          </w:p>
        </w:tc>
        <w:tc>
          <w:tcPr>
            <w:tcW w:w="5961" w:type="dxa"/>
            <w:tcBorders>
              <w:top w:val="single" w:sz="8" w:space="0" w:color="000000"/>
              <w:left w:val="single" w:sz="8" w:space="0" w:color="000000"/>
              <w:bottom w:val="single" w:sz="8" w:space="0" w:color="000000"/>
              <w:right w:val="single" w:sz="8" w:space="0" w:color="000000"/>
            </w:tcBorders>
          </w:tcPr>
          <w:p w14:paraId="5CCD0B76"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Ge</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r>
      <w:tr w:rsidR="00537112" w:rsidRPr="00537112" w14:paraId="6343B6D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74CA8B8A"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21</w:t>
            </w:r>
          </w:p>
        </w:tc>
        <w:tc>
          <w:tcPr>
            <w:tcW w:w="5961" w:type="dxa"/>
            <w:tcBorders>
              <w:top w:val="single" w:sz="8" w:space="0" w:color="000000"/>
              <w:left w:val="single" w:sz="8" w:space="0" w:color="000000"/>
              <w:bottom w:val="single" w:sz="8" w:space="0" w:color="000000"/>
              <w:right w:val="single" w:sz="8" w:space="0" w:color="000000"/>
            </w:tcBorders>
          </w:tcPr>
          <w:p w14:paraId="195815A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M</w:t>
            </w:r>
            <w:r w:rsidRPr="00537112">
              <w:rPr>
                <w:rFonts w:cs="Verdana"/>
                <w:spacing w:val="-1"/>
                <w:sz w:val="20"/>
                <w:szCs w:val="20"/>
              </w:rPr>
              <w:t>o</w:t>
            </w:r>
            <w:r w:rsidRPr="00537112">
              <w:rPr>
                <w:rFonts w:cs="Verdana"/>
                <w:spacing w:val="1"/>
                <w:sz w:val="20"/>
                <w:szCs w:val="20"/>
              </w:rPr>
              <w:t>d</w:t>
            </w:r>
            <w:r w:rsidRPr="00537112">
              <w:rPr>
                <w:rFonts w:cs="Verdana"/>
                <w:spacing w:val="-1"/>
                <w:sz w:val="20"/>
                <w:szCs w:val="20"/>
              </w:rPr>
              <w:t>es</w:t>
            </w:r>
            <w:r w:rsidRPr="00537112">
              <w:rPr>
                <w:rFonts w:cs="Verdana"/>
                <w:spacing w:val="1"/>
                <w:sz w:val="20"/>
                <w:szCs w:val="20"/>
              </w:rPr>
              <w:t>t</w:t>
            </w:r>
            <w:r w:rsidRPr="00537112">
              <w:rPr>
                <w:rFonts w:cs="Verdana"/>
                <w:sz w:val="20"/>
                <w:szCs w:val="20"/>
              </w:rPr>
              <w:t>a</w:t>
            </w:r>
            <w:r w:rsidRPr="00537112">
              <w:rPr>
                <w:rFonts w:cs="Verdana"/>
                <w:spacing w:val="-8"/>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r>
      <w:tr w:rsidR="00537112" w:rsidRPr="00537112" w14:paraId="06116383"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7CACDD2"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22</w:t>
            </w:r>
          </w:p>
        </w:tc>
        <w:tc>
          <w:tcPr>
            <w:tcW w:w="5961" w:type="dxa"/>
            <w:tcBorders>
              <w:top w:val="single" w:sz="8" w:space="0" w:color="000000"/>
              <w:left w:val="single" w:sz="8" w:space="0" w:color="000000"/>
              <w:bottom w:val="single" w:sz="8" w:space="0" w:color="000000"/>
              <w:right w:val="single" w:sz="8" w:space="0" w:color="000000"/>
            </w:tcBorders>
          </w:tcPr>
          <w:p w14:paraId="7A46B81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H</w:t>
            </w:r>
            <w:r w:rsidRPr="00537112">
              <w:rPr>
                <w:rFonts w:cs="Verdana"/>
                <w:spacing w:val="3"/>
                <w:sz w:val="20"/>
                <w:szCs w:val="20"/>
              </w:rPr>
              <w:t>il</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8"/>
                <w:sz w:val="20"/>
                <w:szCs w:val="20"/>
              </w:rPr>
              <w:t xml:space="preserve"> </w:t>
            </w:r>
            <w:r w:rsidRPr="00537112">
              <w:rPr>
                <w:rFonts w:cs="Verdana"/>
                <w:sz w:val="20"/>
                <w:szCs w:val="20"/>
              </w:rPr>
              <w:t>Ca</w:t>
            </w:r>
            <w:r w:rsidRPr="00537112">
              <w:rPr>
                <w:rFonts w:cs="Verdana"/>
                <w:spacing w:val="3"/>
                <w:sz w:val="20"/>
                <w:szCs w:val="20"/>
              </w:rPr>
              <w:t>l</w:t>
            </w:r>
            <w:r w:rsidRPr="00537112">
              <w:rPr>
                <w:rFonts w:cs="Verdana"/>
                <w:sz w:val="20"/>
                <w:szCs w:val="20"/>
              </w:rPr>
              <w:t>a</w:t>
            </w:r>
            <w:r w:rsidRPr="00537112">
              <w:rPr>
                <w:rFonts w:cs="Verdana"/>
                <w:spacing w:val="1"/>
                <w:sz w:val="20"/>
                <w:szCs w:val="20"/>
              </w:rPr>
              <w:t>t</w:t>
            </w:r>
            <w:r w:rsidRPr="00537112">
              <w:rPr>
                <w:rFonts w:cs="Verdana"/>
                <w:sz w:val="20"/>
                <w:szCs w:val="20"/>
              </w:rPr>
              <w:t>e</w:t>
            </w:r>
          </w:p>
        </w:tc>
      </w:tr>
      <w:tr w:rsidR="00537112" w:rsidRPr="00537112" w14:paraId="68E4BBEA"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423568E"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23</w:t>
            </w:r>
          </w:p>
        </w:tc>
        <w:tc>
          <w:tcPr>
            <w:tcW w:w="5961" w:type="dxa"/>
            <w:tcBorders>
              <w:top w:val="single" w:sz="8" w:space="0" w:color="000000"/>
              <w:left w:val="single" w:sz="8" w:space="0" w:color="000000"/>
              <w:bottom w:val="single" w:sz="8" w:space="0" w:color="000000"/>
              <w:right w:val="single" w:sz="8" w:space="0" w:color="000000"/>
            </w:tcBorders>
          </w:tcPr>
          <w:p w14:paraId="3ABC67BE"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Ju</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z w:val="20"/>
                <w:szCs w:val="20"/>
              </w:rPr>
              <w:t>Ca</w:t>
            </w:r>
            <w:r w:rsidRPr="00537112">
              <w:rPr>
                <w:rFonts w:cs="Verdana"/>
                <w:spacing w:val="3"/>
                <w:sz w:val="20"/>
                <w:szCs w:val="20"/>
              </w:rPr>
              <w:t>l</w:t>
            </w:r>
            <w:r w:rsidRPr="00537112">
              <w:rPr>
                <w:rFonts w:cs="Verdana"/>
                <w:sz w:val="20"/>
                <w:szCs w:val="20"/>
              </w:rPr>
              <w:t>at</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r>
      <w:tr w:rsidR="00537112" w:rsidRPr="00537112" w14:paraId="1A6073A6"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A09DC52"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24</w:t>
            </w:r>
          </w:p>
        </w:tc>
        <w:tc>
          <w:tcPr>
            <w:tcW w:w="5961" w:type="dxa"/>
            <w:tcBorders>
              <w:top w:val="single" w:sz="8" w:space="0" w:color="000000"/>
              <w:left w:val="single" w:sz="8" w:space="0" w:color="000000"/>
              <w:bottom w:val="single" w:sz="8" w:space="0" w:color="000000"/>
              <w:right w:val="single" w:sz="8" w:space="0" w:color="000000"/>
            </w:tcBorders>
          </w:tcPr>
          <w:p w14:paraId="5756073C"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il</w:t>
            </w:r>
            <w:r w:rsidRPr="00537112">
              <w:rPr>
                <w:rFonts w:cs="Verdana"/>
                <w:sz w:val="20"/>
                <w:szCs w:val="20"/>
              </w:rPr>
              <w:t>v</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Paz</w:t>
            </w:r>
          </w:p>
        </w:tc>
      </w:tr>
      <w:tr w:rsidR="00537112" w:rsidRPr="00537112" w14:paraId="04229ED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1415B8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25</w:t>
            </w:r>
          </w:p>
        </w:tc>
        <w:tc>
          <w:tcPr>
            <w:tcW w:w="5961" w:type="dxa"/>
            <w:tcBorders>
              <w:top w:val="single" w:sz="8" w:space="0" w:color="000000"/>
              <w:left w:val="single" w:sz="8" w:space="0" w:color="000000"/>
              <w:bottom w:val="single" w:sz="8" w:space="0" w:color="000000"/>
              <w:right w:val="single" w:sz="8" w:space="0" w:color="000000"/>
            </w:tcBorders>
          </w:tcPr>
          <w:p w14:paraId="43613B0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r</w:t>
            </w:r>
            <w:r w:rsidRPr="00537112">
              <w:rPr>
                <w:rFonts w:cs="Verdana"/>
                <w:spacing w:val="1"/>
                <w:sz w:val="20"/>
                <w:szCs w:val="20"/>
              </w:rPr>
              <w:t>un</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na</w:t>
            </w:r>
          </w:p>
        </w:tc>
      </w:tr>
      <w:tr w:rsidR="00537112" w:rsidRPr="00537112" w14:paraId="3D8BC67F"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F336F0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26</w:t>
            </w:r>
          </w:p>
        </w:tc>
        <w:tc>
          <w:tcPr>
            <w:tcW w:w="5961" w:type="dxa"/>
            <w:tcBorders>
              <w:top w:val="single" w:sz="8" w:space="0" w:color="000000"/>
              <w:left w:val="single" w:sz="8" w:space="0" w:color="000000"/>
              <w:bottom w:val="single" w:sz="8" w:space="0" w:color="000000"/>
              <w:right w:val="single" w:sz="8" w:space="0" w:color="000000"/>
            </w:tcBorders>
          </w:tcPr>
          <w:p w14:paraId="333619E2"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u</w:t>
            </w:r>
            <w:r w:rsidRPr="00537112">
              <w:rPr>
                <w:rFonts w:cs="Verdana"/>
                <w:spacing w:val="3"/>
                <w:sz w:val="20"/>
                <w:szCs w:val="20"/>
              </w:rPr>
              <w:t>l</w:t>
            </w:r>
            <w:r w:rsidRPr="00537112">
              <w:rPr>
                <w:rFonts w:cs="Verdana"/>
                <w:sz w:val="20"/>
                <w:szCs w:val="20"/>
              </w:rPr>
              <w:t>a</w:t>
            </w:r>
            <w:r w:rsidRPr="00537112">
              <w:rPr>
                <w:rFonts w:cs="Verdana"/>
                <w:spacing w:val="3"/>
                <w:sz w:val="20"/>
                <w:szCs w:val="20"/>
              </w:rPr>
              <w:t>li</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r w:rsidRPr="00537112">
              <w:rPr>
                <w:rFonts w:cs="Verdana"/>
                <w:spacing w:val="-6"/>
                <w:sz w:val="20"/>
                <w:szCs w:val="20"/>
              </w:rPr>
              <w:t xml:space="preserve"> </w:t>
            </w:r>
            <w:r w:rsidRPr="00537112">
              <w:rPr>
                <w:rFonts w:cs="Verdana"/>
                <w:sz w:val="20"/>
                <w:szCs w:val="20"/>
              </w:rPr>
              <w:t>M</w:t>
            </w:r>
            <w:r w:rsidRPr="00537112">
              <w:rPr>
                <w:rFonts w:cs="Verdana"/>
                <w:spacing w:val="-1"/>
                <w:sz w:val="20"/>
                <w:szCs w:val="20"/>
              </w:rPr>
              <w:t>e</w:t>
            </w:r>
            <w:r w:rsidRPr="00537112">
              <w:rPr>
                <w:rFonts w:cs="Verdana"/>
                <w:spacing w:val="1"/>
                <w:sz w:val="20"/>
                <w:szCs w:val="20"/>
              </w:rPr>
              <w:t>nd</w:t>
            </w:r>
            <w:r w:rsidRPr="00537112">
              <w:rPr>
                <w:rFonts w:cs="Verdana"/>
                <w:spacing w:val="-1"/>
                <w:sz w:val="20"/>
                <w:szCs w:val="20"/>
              </w:rPr>
              <w:t>o</w:t>
            </w:r>
            <w:r w:rsidRPr="00537112">
              <w:rPr>
                <w:rFonts w:cs="Verdana"/>
                <w:spacing w:val="1"/>
                <w:sz w:val="20"/>
                <w:szCs w:val="20"/>
              </w:rPr>
              <w:t>z</w:t>
            </w:r>
            <w:r w:rsidRPr="00537112">
              <w:rPr>
                <w:rFonts w:cs="Verdana"/>
                <w:sz w:val="20"/>
                <w:szCs w:val="20"/>
              </w:rPr>
              <w:t>a</w:t>
            </w:r>
          </w:p>
        </w:tc>
      </w:tr>
      <w:tr w:rsidR="00537112" w:rsidRPr="00537112" w14:paraId="5D0492DE"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64AD65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27</w:t>
            </w:r>
          </w:p>
        </w:tc>
        <w:tc>
          <w:tcPr>
            <w:tcW w:w="5961" w:type="dxa"/>
            <w:tcBorders>
              <w:top w:val="single" w:sz="8" w:space="0" w:color="000000"/>
              <w:left w:val="single" w:sz="8" w:space="0" w:color="000000"/>
              <w:bottom w:val="single" w:sz="8" w:space="0" w:color="000000"/>
              <w:right w:val="single" w:sz="8" w:space="0" w:color="000000"/>
            </w:tcBorders>
          </w:tcPr>
          <w:p w14:paraId="700DD07F"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b</w:t>
            </w:r>
            <w:r w:rsidRPr="00537112">
              <w:rPr>
                <w:rFonts w:cs="Verdana"/>
                <w:spacing w:val="3"/>
                <w:sz w:val="20"/>
                <w:szCs w:val="20"/>
              </w:rPr>
              <w:t>l</w:t>
            </w:r>
            <w:r w:rsidRPr="00537112">
              <w:rPr>
                <w:rFonts w:cs="Verdana"/>
                <w:sz w:val="20"/>
                <w:szCs w:val="20"/>
              </w:rPr>
              <w:t>o</w:t>
            </w:r>
            <w:r w:rsidRPr="00537112">
              <w:rPr>
                <w:rFonts w:cs="Verdana"/>
                <w:spacing w:val="-7"/>
                <w:sz w:val="20"/>
                <w:szCs w:val="20"/>
              </w:rPr>
              <w:t xml:space="preserve"> </w:t>
            </w:r>
            <w:r w:rsidRPr="00537112">
              <w:rPr>
                <w:rFonts w:cs="Verdana"/>
                <w:sz w:val="20"/>
                <w:szCs w:val="20"/>
              </w:rPr>
              <w:t>Ca</w:t>
            </w:r>
            <w:r w:rsidRPr="00537112">
              <w:rPr>
                <w:rFonts w:cs="Verdana"/>
                <w:spacing w:val="1"/>
                <w:sz w:val="20"/>
                <w:szCs w:val="20"/>
              </w:rPr>
              <w:t>n</w:t>
            </w:r>
            <w:r w:rsidRPr="00537112">
              <w:rPr>
                <w:rFonts w:cs="Verdana"/>
                <w:sz w:val="20"/>
                <w:szCs w:val="20"/>
              </w:rPr>
              <w:t>a</w:t>
            </w:r>
            <w:r w:rsidRPr="00537112">
              <w:rPr>
                <w:rFonts w:cs="Verdana"/>
                <w:spacing w:val="1"/>
                <w:sz w:val="20"/>
                <w:szCs w:val="20"/>
              </w:rPr>
              <w:t>hu</w:t>
            </w:r>
            <w:r w:rsidRPr="00537112">
              <w:rPr>
                <w:rFonts w:cs="Verdana"/>
                <w:sz w:val="20"/>
                <w:szCs w:val="20"/>
              </w:rPr>
              <w:t>í</w:t>
            </w:r>
          </w:p>
        </w:tc>
      </w:tr>
      <w:tr w:rsidR="00537112" w:rsidRPr="00537112" w14:paraId="4DC72247"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13833CD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28</w:t>
            </w:r>
          </w:p>
        </w:tc>
        <w:tc>
          <w:tcPr>
            <w:tcW w:w="5961" w:type="dxa"/>
            <w:tcBorders>
              <w:top w:val="single" w:sz="8" w:space="0" w:color="000000"/>
              <w:left w:val="single" w:sz="8" w:space="0" w:color="000000"/>
              <w:bottom w:val="single" w:sz="8" w:space="0" w:color="000000"/>
              <w:right w:val="single" w:sz="8" w:space="0" w:color="000000"/>
            </w:tcBorders>
          </w:tcPr>
          <w:p w14:paraId="2CC2F1E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3"/>
                <w:sz w:val="20"/>
                <w:szCs w:val="20"/>
              </w:rPr>
              <w:t>l</w:t>
            </w:r>
            <w:r w:rsidRPr="00537112">
              <w:rPr>
                <w:rFonts w:cs="Verdana"/>
                <w:spacing w:val="-1"/>
                <w:sz w:val="20"/>
                <w:szCs w:val="20"/>
              </w:rPr>
              <w:t>ore</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r>
      <w:tr w:rsidR="00537112" w:rsidRPr="00537112" w14:paraId="6E21535A"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B7AE531"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29</w:t>
            </w:r>
          </w:p>
        </w:tc>
        <w:tc>
          <w:tcPr>
            <w:tcW w:w="5961" w:type="dxa"/>
            <w:tcBorders>
              <w:top w:val="single" w:sz="8" w:space="0" w:color="000000"/>
              <w:left w:val="single" w:sz="8" w:space="0" w:color="000000"/>
              <w:bottom w:val="single" w:sz="8" w:space="0" w:color="000000"/>
              <w:right w:val="single" w:sz="8" w:space="0" w:color="000000"/>
            </w:tcBorders>
          </w:tcPr>
          <w:p w14:paraId="64B77C1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spacing w:val="-1"/>
                <w:position w:val="-1"/>
                <w:sz w:val="20"/>
                <w:szCs w:val="20"/>
              </w:rPr>
              <w:t>c</w:t>
            </w:r>
            <w:r w:rsidRPr="00537112">
              <w:rPr>
                <w:rFonts w:cs="Verdana"/>
                <w:position w:val="-1"/>
                <w:sz w:val="20"/>
                <w:szCs w:val="20"/>
              </w:rPr>
              <w:t>al</w:t>
            </w:r>
          </w:p>
        </w:tc>
      </w:tr>
      <w:tr w:rsidR="00537112" w:rsidRPr="00537112" w14:paraId="7A2BEBFD"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F879657"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30</w:t>
            </w:r>
          </w:p>
        </w:tc>
        <w:tc>
          <w:tcPr>
            <w:tcW w:w="5961" w:type="dxa"/>
            <w:tcBorders>
              <w:top w:val="single" w:sz="8" w:space="0" w:color="000000"/>
              <w:left w:val="single" w:sz="8" w:space="0" w:color="000000"/>
              <w:bottom w:val="single" w:sz="8" w:space="0" w:color="000000"/>
              <w:right w:val="single" w:sz="8" w:space="0" w:color="000000"/>
            </w:tcBorders>
          </w:tcPr>
          <w:p w14:paraId="5F9F37C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position w:val="-1"/>
                <w:sz w:val="20"/>
                <w:szCs w:val="20"/>
              </w:rPr>
              <w:t>C</w:t>
            </w:r>
            <w:r w:rsidRPr="00537112">
              <w:rPr>
                <w:rFonts w:cs="Verdana"/>
                <w:spacing w:val="-1"/>
                <w:position w:val="-1"/>
                <w:sz w:val="20"/>
                <w:szCs w:val="20"/>
              </w:rPr>
              <w:t>or</w:t>
            </w:r>
            <w:r w:rsidRPr="00537112">
              <w:rPr>
                <w:rFonts w:cs="Verdana"/>
                <w:position w:val="-1"/>
                <w:sz w:val="20"/>
                <w:szCs w:val="20"/>
              </w:rPr>
              <w:t>a</w:t>
            </w:r>
            <w:r w:rsidRPr="00537112">
              <w:rPr>
                <w:rFonts w:cs="Verdana"/>
                <w:spacing w:val="1"/>
                <w:position w:val="-1"/>
                <w:sz w:val="20"/>
                <w:szCs w:val="20"/>
              </w:rPr>
              <w:t>z</w:t>
            </w:r>
            <w:r w:rsidRPr="00537112">
              <w:rPr>
                <w:rFonts w:cs="Verdana"/>
                <w:spacing w:val="-1"/>
                <w:position w:val="-1"/>
                <w:sz w:val="20"/>
                <w:szCs w:val="20"/>
              </w:rPr>
              <w:t>ó</w:t>
            </w:r>
            <w:r w:rsidRPr="00537112">
              <w:rPr>
                <w:rFonts w:cs="Verdana"/>
                <w:position w:val="-1"/>
                <w:sz w:val="20"/>
                <w:szCs w:val="20"/>
              </w:rPr>
              <w:t>n</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position w:val="-1"/>
                <w:sz w:val="20"/>
                <w:szCs w:val="20"/>
              </w:rPr>
              <w:t>ax</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c</w:t>
            </w:r>
            <w:r w:rsidRPr="00537112">
              <w:rPr>
                <w:rFonts w:cs="Verdana"/>
                <w:position w:val="-1"/>
                <w:sz w:val="20"/>
                <w:szCs w:val="20"/>
              </w:rPr>
              <w:t>ó</w:t>
            </w:r>
          </w:p>
        </w:tc>
      </w:tr>
      <w:tr w:rsidR="00537112" w:rsidRPr="00537112" w14:paraId="0396D97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2093E2D"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31</w:t>
            </w:r>
          </w:p>
        </w:tc>
        <w:tc>
          <w:tcPr>
            <w:tcW w:w="5961" w:type="dxa"/>
            <w:tcBorders>
              <w:top w:val="single" w:sz="8" w:space="0" w:color="000000"/>
              <w:left w:val="single" w:sz="8" w:space="0" w:color="000000"/>
              <w:bottom w:val="single" w:sz="8" w:space="0" w:color="000000"/>
              <w:right w:val="single" w:sz="8" w:space="0" w:color="000000"/>
            </w:tcBorders>
          </w:tcPr>
          <w:p w14:paraId="37A3022A"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t</w:t>
            </w:r>
            <w:r w:rsidRPr="00537112">
              <w:rPr>
                <w:rFonts w:cs="Verdana"/>
                <w:spacing w:val="-1"/>
                <w:sz w:val="20"/>
                <w:szCs w:val="20"/>
              </w:rPr>
              <w:t>e</w:t>
            </w:r>
            <w:r w:rsidRPr="00537112">
              <w:rPr>
                <w:rFonts w:cs="Verdana"/>
                <w:sz w:val="20"/>
                <w:szCs w:val="20"/>
              </w:rPr>
              <w:t>o</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p>
        </w:tc>
      </w:tr>
      <w:tr w:rsidR="00537112" w:rsidRPr="00537112" w14:paraId="1B1B9C5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D221475"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32</w:t>
            </w:r>
          </w:p>
        </w:tc>
        <w:tc>
          <w:tcPr>
            <w:tcW w:w="5961" w:type="dxa"/>
            <w:tcBorders>
              <w:top w:val="single" w:sz="8" w:space="0" w:color="000000"/>
              <w:left w:val="single" w:sz="8" w:space="0" w:color="000000"/>
              <w:bottom w:val="single" w:sz="8" w:space="0" w:color="000000"/>
              <w:right w:val="single" w:sz="8" w:space="0" w:color="000000"/>
            </w:tcBorders>
          </w:tcPr>
          <w:p w14:paraId="2F779F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an</w:t>
            </w:r>
          </w:p>
        </w:tc>
      </w:tr>
      <w:tr w:rsidR="00537112" w:rsidRPr="00537112" w14:paraId="325E1262"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D4896B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33</w:t>
            </w:r>
          </w:p>
        </w:tc>
        <w:tc>
          <w:tcPr>
            <w:tcW w:w="5961" w:type="dxa"/>
            <w:tcBorders>
              <w:top w:val="single" w:sz="8" w:space="0" w:color="000000"/>
              <w:left w:val="single" w:sz="8" w:space="0" w:color="000000"/>
              <w:bottom w:val="single" w:sz="8" w:space="0" w:color="000000"/>
              <w:right w:val="single" w:sz="8" w:space="0" w:color="000000"/>
            </w:tcBorders>
          </w:tcPr>
          <w:p w14:paraId="34C9877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b</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2BF846CC" w14:textId="77777777" w:rsidTr="00630EEC">
        <w:trPr>
          <w:trHeight w:hRule="exact" w:val="494"/>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DF3F7A4" w14:textId="77777777" w:rsidR="00537112" w:rsidRPr="00537112" w:rsidRDefault="00537112" w:rsidP="00537112">
            <w:pPr>
              <w:autoSpaceDE w:val="0"/>
              <w:autoSpaceDN w:val="0"/>
              <w:spacing w:before="5" w:line="220" w:lineRule="exact"/>
              <w:jc w:val="left"/>
              <w:textAlignment w:val="auto"/>
              <w:rPr>
                <w:rFonts w:ascii="Times New Roman" w:hAnsi="Times New Roman"/>
                <w:sz w:val="22"/>
                <w:szCs w:val="22"/>
              </w:rPr>
            </w:pPr>
          </w:p>
          <w:p w14:paraId="737037B3" w14:textId="77777777" w:rsidR="00537112" w:rsidRPr="00537112" w:rsidRDefault="00537112" w:rsidP="00537112">
            <w:pPr>
              <w:autoSpaceDE w:val="0"/>
              <w:autoSpaceDN w:val="0"/>
              <w:spacing w:line="240" w:lineRule="auto"/>
              <w:ind w:right="290"/>
              <w:jc w:val="center"/>
              <w:textAlignment w:val="auto"/>
              <w:rPr>
                <w:rFonts w:ascii="Times New Roman" w:hAnsi="Times New Roman"/>
              </w:rPr>
            </w:pPr>
            <w:r w:rsidRPr="00537112">
              <w:rPr>
                <w:rFonts w:cs="Verdana"/>
                <w:b/>
                <w:bCs/>
                <w:w w:val="99"/>
                <w:sz w:val="20"/>
                <w:szCs w:val="20"/>
              </w:rPr>
              <w:t>34</w:t>
            </w:r>
          </w:p>
        </w:tc>
        <w:tc>
          <w:tcPr>
            <w:tcW w:w="5961" w:type="dxa"/>
            <w:tcBorders>
              <w:top w:val="single" w:sz="8" w:space="0" w:color="000000"/>
              <w:left w:val="single" w:sz="8" w:space="0" w:color="000000"/>
              <w:bottom w:val="single" w:sz="8" w:space="0" w:color="000000"/>
              <w:right w:val="single" w:sz="8" w:space="0" w:color="000000"/>
            </w:tcBorders>
          </w:tcPr>
          <w:p w14:paraId="3315C829" w14:textId="77777777" w:rsidR="00537112" w:rsidRPr="00537112" w:rsidRDefault="00537112" w:rsidP="00537112">
            <w:pPr>
              <w:autoSpaceDE w:val="0"/>
              <w:autoSpaceDN w:val="0"/>
              <w:spacing w:line="228" w:lineRule="exact"/>
              <w:ind w:right="-20"/>
              <w:jc w:val="left"/>
              <w:textAlignment w:val="auto"/>
              <w:rPr>
                <w:rFonts w:cs="Verdana"/>
                <w:sz w:val="20"/>
                <w:szCs w:val="20"/>
                <w:lang w:val="pt-BR"/>
              </w:rPr>
            </w:pPr>
            <w:r w:rsidRPr="00537112">
              <w:rPr>
                <w:rFonts w:cs="Verdana"/>
                <w:spacing w:val="1"/>
                <w:sz w:val="20"/>
                <w:szCs w:val="20"/>
                <w:lang w:val="pt-BR"/>
              </w:rPr>
              <w:t>R</w:t>
            </w:r>
            <w:r w:rsidRPr="00537112">
              <w:rPr>
                <w:rFonts w:cs="Verdana"/>
                <w:spacing w:val="-1"/>
                <w:sz w:val="20"/>
                <w:szCs w:val="20"/>
                <w:lang w:val="pt-BR"/>
              </w:rPr>
              <w:t>os</w:t>
            </w:r>
            <w:r w:rsidRPr="00537112">
              <w:rPr>
                <w:rFonts w:cs="Verdana"/>
                <w:sz w:val="20"/>
                <w:szCs w:val="20"/>
                <w:lang w:val="pt-BR"/>
              </w:rPr>
              <w:t>a</w:t>
            </w:r>
            <w:r w:rsidRPr="00537112">
              <w:rPr>
                <w:rFonts w:cs="Verdana"/>
                <w:spacing w:val="-5"/>
                <w:sz w:val="20"/>
                <w:szCs w:val="20"/>
                <w:lang w:val="pt-BR"/>
              </w:rPr>
              <w:t xml:space="preserve"> </w:t>
            </w:r>
            <w:r w:rsidRPr="00537112">
              <w:rPr>
                <w:rFonts w:cs="Verdana"/>
                <w:sz w:val="20"/>
                <w:szCs w:val="20"/>
                <w:lang w:val="pt-BR"/>
              </w:rPr>
              <w:t>Ta</w:t>
            </w:r>
            <w:r w:rsidRPr="00537112">
              <w:rPr>
                <w:rFonts w:cs="Verdana"/>
                <w:spacing w:val="1"/>
                <w:sz w:val="20"/>
                <w:szCs w:val="20"/>
                <w:lang w:val="pt-BR"/>
              </w:rPr>
              <w:t>hu</w:t>
            </w:r>
            <w:r w:rsidRPr="00537112">
              <w:rPr>
                <w:rFonts w:cs="Verdana"/>
                <w:spacing w:val="3"/>
                <w:sz w:val="20"/>
                <w:szCs w:val="20"/>
                <w:lang w:val="pt-BR"/>
              </w:rPr>
              <w:t>i</w:t>
            </w:r>
            <w:r w:rsidRPr="00537112">
              <w:rPr>
                <w:rFonts w:cs="Verdana"/>
                <w:spacing w:val="-1"/>
                <w:sz w:val="20"/>
                <w:szCs w:val="20"/>
                <w:lang w:val="pt-BR"/>
              </w:rPr>
              <w:t>c</w:t>
            </w:r>
            <w:r w:rsidRPr="00537112">
              <w:rPr>
                <w:rFonts w:cs="Verdana"/>
                <w:sz w:val="20"/>
                <w:szCs w:val="20"/>
                <w:lang w:val="pt-BR"/>
              </w:rPr>
              <w:t>o</w:t>
            </w:r>
            <w:r w:rsidRPr="00537112">
              <w:rPr>
                <w:rFonts w:cs="Verdana"/>
                <w:spacing w:val="-10"/>
                <w:sz w:val="20"/>
                <w:szCs w:val="20"/>
                <w:lang w:val="pt-BR"/>
              </w:rPr>
              <w:t xml:space="preserve"> </w:t>
            </w:r>
            <w:r w:rsidRPr="00537112">
              <w:rPr>
                <w:rFonts w:cs="Verdana"/>
                <w:sz w:val="20"/>
                <w:szCs w:val="20"/>
                <w:lang w:val="pt-BR"/>
              </w:rPr>
              <w:t>D</w:t>
            </w:r>
            <w:r w:rsidRPr="00537112">
              <w:rPr>
                <w:rFonts w:cs="Verdana"/>
                <w:spacing w:val="-1"/>
                <w:sz w:val="20"/>
                <w:szCs w:val="20"/>
                <w:lang w:val="pt-BR"/>
              </w:rPr>
              <w:t>e</w:t>
            </w:r>
            <w:r w:rsidRPr="00537112">
              <w:rPr>
                <w:rFonts w:cs="Verdana"/>
                <w:spacing w:val="1"/>
                <w:sz w:val="20"/>
                <w:szCs w:val="20"/>
                <w:lang w:val="pt-BR"/>
              </w:rPr>
              <w:t>p</w:t>
            </w:r>
            <w:r w:rsidRPr="00537112">
              <w:rPr>
                <w:rFonts w:cs="Verdana"/>
                <w:sz w:val="20"/>
                <w:szCs w:val="20"/>
                <w:lang w:val="pt-BR"/>
              </w:rPr>
              <w:t>az</w:t>
            </w:r>
            <w:r w:rsidRPr="00537112">
              <w:rPr>
                <w:rFonts w:cs="Verdana"/>
                <w:spacing w:val="-6"/>
                <w:sz w:val="20"/>
                <w:szCs w:val="20"/>
                <w:lang w:val="pt-BR"/>
              </w:rPr>
              <w:t xml:space="preserve"> </w:t>
            </w:r>
            <w:r w:rsidRPr="00537112">
              <w:rPr>
                <w:rFonts w:cs="Verdana"/>
                <w:spacing w:val="1"/>
                <w:sz w:val="20"/>
                <w:szCs w:val="20"/>
                <w:lang w:val="pt-BR"/>
              </w:rPr>
              <w:t>(p</w:t>
            </w:r>
            <w:r w:rsidRPr="00537112">
              <w:rPr>
                <w:rFonts w:cs="Verdana"/>
                <w:spacing w:val="-1"/>
                <w:sz w:val="20"/>
                <w:szCs w:val="20"/>
                <w:lang w:val="pt-BR"/>
              </w:rPr>
              <w:t>res</w:t>
            </w:r>
            <w:r w:rsidRPr="00537112">
              <w:rPr>
                <w:rFonts w:cs="Verdana"/>
                <w:spacing w:val="1"/>
                <w:sz w:val="20"/>
                <w:szCs w:val="20"/>
                <w:lang w:val="pt-BR"/>
              </w:rPr>
              <w:t>unt</w:t>
            </w:r>
            <w:r w:rsidRPr="00537112">
              <w:rPr>
                <w:rFonts w:cs="Verdana"/>
                <w:sz w:val="20"/>
                <w:szCs w:val="20"/>
                <w:lang w:val="pt-BR"/>
              </w:rPr>
              <w:t>a</w:t>
            </w:r>
            <w:r w:rsidRPr="00537112">
              <w:rPr>
                <w:rFonts w:cs="Verdana"/>
                <w:spacing w:val="-10"/>
                <w:sz w:val="20"/>
                <w:szCs w:val="20"/>
                <w:lang w:val="pt-BR"/>
              </w:rPr>
              <w:t xml:space="preserve"> </w:t>
            </w:r>
            <w:r w:rsidRPr="00537112">
              <w:rPr>
                <w:rFonts w:cs="Verdana"/>
                <w:spacing w:val="-1"/>
                <w:sz w:val="20"/>
                <w:szCs w:val="20"/>
                <w:lang w:val="pt-BR"/>
              </w:rPr>
              <w:t>es</w:t>
            </w:r>
            <w:r w:rsidRPr="00537112">
              <w:rPr>
                <w:rFonts w:cs="Verdana"/>
                <w:spacing w:val="1"/>
                <w:sz w:val="20"/>
                <w:szCs w:val="20"/>
                <w:lang w:val="pt-BR"/>
              </w:rPr>
              <w:t>p</w:t>
            </w:r>
            <w:r w:rsidRPr="00537112">
              <w:rPr>
                <w:rFonts w:cs="Verdana"/>
                <w:spacing w:val="-1"/>
                <w:sz w:val="20"/>
                <w:szCs w:val="20"/>
                <w:lang w:val="pt-BR"/>
              </w:rPr>
              <w:t>os</w:t>
            </w:r>
            <w:r w:rsidRPr="00537112">
              <w:rPr>
                <w:rFonts w:cs="Verdana"/>
                <w:sz w:val="20"/>
                <w:szCs w:val="20"/>
                <w:lang w:val="pt-BR"/>
              </w:rPr>
              <w:t>a</w:t>
            </w:r>
            <w:r w:rsidRPr="00537112">
              <w:rPr>
                <w:rFonts w:cs="Verdana"/>
                <w:spacing w:val="-7"/>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z w:val="20"/>
                <w:szCs w:val="20"/>
                <w:lang w:val="pt-BR"/>
              </w:rPr>
              <w:t>P</w:t>
            </w:r>
            <w:r w:rsidRPr="00537112">
              <w:rPr>
                <w:rFonts w:cs="Verdana"/>
                <w:spacing w:val="-1"/>
                <w:sz w:val="20"/>
                <w:szCs w:val="20"/>
                <w:lang w:val="pt-BR"/>
              </w:rPr>
              <w:t>e</w:t>
            </w:r>
            <w:r w:rsidRPr="00537112">
              <w:rPr>
                <w:rFonts w:cs="Verdana"/>
                <w:spacing w:val="1"/>
                <w:sz w:val="20"/>
                <w:szCs w:val="20"/>
                <w:lang w:val="pt-BR"/>
              </w:rPr>
              <w:t>d</w:t>
            </w:r>
            <w:r w:rsidRPr="00537112">
              <w:rPr>
                <w:rFonts w:cs="Verdana"/>
                <w:spacing w:val="-1"/>
                <w:sz w:val="20"/>
                <w:szCs w:val="20"/>
                <w:lang w:val="pt-BR"/>
              </w:rPr>
              <w:t>r</w:t>
            </w:r>
            <w:r w:rsidRPr="00537112">
              <w:rPr>
                <w:rFonts w:cs="Verdana"/>
                <w:sz w:val="20"/>
                <w:szCs w:val="20"/>
                <w:lang w:val="pt-BR"/>
              </w:rPr>
              <w:t>o</w:t>
            </w:r>
            <w:r w:rsidRPr="00537112">
              <w:rPr>
                <w:rFonts w:cs="Verdana"/>
                <w:spacing w:val="-8"/>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z w:val="20"/>
                <w:szCs w:val="20"/>
                <w:lang w:val="pt-BR"/>
              </w:rPr>
              <w:t>Paz</w:t>
            </w:r>
          </w:p>
          <w:p w14:paraId="65ACA9BB" w14:textId="77777777" w:rsidR="00537112" w:rsidRPr="00537112" w:rsidRDefault="00537112" w:rsidP="00537112">
            <w:pPr>
              <w:autoSpaceDE w:val="0"/>
              <w:autoSpaceDN w:val="0"/>
              <w:spacing w:before="16" w:line="229" w:lineRule="exact"/>
              <w:ind w:right="-20"/>
              <w:jc w:val="left"/>
              <w:textAlignment w:val="auto"/>
              <w:rPr>
                <w:rFonts w:ascii="Times New Roman" w:hAnsi="Times New Roman"/>
              </w:rPr>
            </w:pPr>
            <w:r w:rsidRPr="00537112">
              <w:rPr>
                <w:rFonts w:cs="Verdana"/>
                <w:position w:val="-2"/>
                <w:sz w:val="20"/>
                <w:szCs w:val="20"/>
              </w:rPr>
              <w:t>C</w:t>
            </w:r>
            <w:r w:rsidRPr="00537112">
              <w:rPr>
                <w:rFonts w:cs="Verdana"/>
                <w:spacing w:val="3"/>
                <w:position w:val="-2"/>
                <w:sz w:val="20"/>
                <w:szCs w:val="20"/>
              </w:rPr>
              <w:t>i</w:t>
            </w:r>
            <w:r w:rsidRPr="00537112">
              <w:rPr>
                <w:rFonts w:cs="Verdana"/>
                <w:spacing w:val="1"/>
                <w:position w:val="-2"/>
                <w:sz w:val="20"/>
                <w:szCs w:val="20"/>
              </w:rPr>
              <w:t>p</w:t>
            </w:r>
            <w:r w:rsidRPr="00537112">
              <w:rPr>
                <w:rFonts w:cs="Verdana"/>
                <w:spacing w:val="-1"/>
                <w:position w:val="-2"/>
                <w:sz w:val="20"/>
                <w:szCs w:val="20"/>
              </w:rPr>
              <w:t>r</w:t>
            </w:r>
            <w:r w:rsidRPr="00537112">
              <w:rPr>
                <w:rFonts w:cs="Verdana"/>
                <w:spacing w:val="3"/>
                <w:position w:val="-2"/>
                <w:sz w:val="20"/>
                <w:szCs w:val="20"/>
              </w:rPr>
              <w:t>i</w:t>
            </w:r>
            <w:r w:rsidRPr="00537112">
              <w:rPr>
                <w:rFonts w:cs="Verdana"/>
                <w:position w:val="-2"/>
                <w:sz w:val="20"/>
                <w:szCs w:val="20"/>
              </w:rPr>
              <w:t>a</w:t>
            </w:r>
            <w:r w:rsidRPr="00537112">
              <w:rPr>
                <w:rFonts w:cs="Verdana"/>
                <w:spacing w:val="1"/>
                <w:position w:val="-2"/>
                <w:sz w:val="20"/>
                <w:szCs w:val="20"/>
              </w:rPr>
              <w:t>n</w:t>
            </w:r>
            <w:r w:rsidRPr="00537112">
              <w:rPr>
                <w:rFonts w:cs="Verdana"/>
                <w:position w:val="-2"/>
                <w:sz w:val="20"/>
                <w:szCs w:val="20"/>
              </w:rPr>
              <w:t>)</w:t>
            </w:r>
          </w:p>
        </w:tc>
      </w:tr>
      <w:tr w:rsidR="00537112" w:rsidRPr="00537112" w14:paraId="0C14F6BB" w14:textId="77777777" w:rsidTr="00630EEC">
        <w:trPr>
          <w:trHeight w:hRule="exact" w:val="494"/>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EC0CE1B" w14:textId="77777777" w:rsidR="00537112" w:rsidRPr="00537112" w:rsidRDefault="00537112" w:rsidP="00537112">
            <w:pPr>
              <w:autoSpaceDE w:val="0"/>
              <w:autoSpaceDN w:val="0"/>
              <w:spacing w:before="5" w:line="220" w:lineRule="exact"/>
              <w:jc w:val="left"/>
              <w:textAlignment w:val="auto"/>
              <w:rPr>
                <w:rFonts w:ascii="Times New Roman" w:hAnsi="Times New Roman"/>
                <w:sz w:val="22"/>
                <w:szCs w:val="22"/>
              </w:rPr>
            </w:pPr>
          </w:p>
          <w:p w14:paraId="75AFE561" w14:textId="77777777" w:rsidR="00537112" w:rsidRPr="00537112" w:rsidRDefault="00537112" w:rsidP="00537112">
            <w:pPr>
              <w:autoSpaceDE w:val="0"/>
              <w:autoSpaceDN w:val="0"/>
              <w:spacing w:line="240" w:lineRule="auto"/>
              <w:ind w:right="290"/>
              <w:jc w:val="center"/>
              <w:textAlignment w:val="auto"/>
              <w:rPr>
                <w:rFonts w:ascii="Times New Roman" w:hAnsi="Times New Roman"/>
              </w:rPr>
            </w:pPr>
            <w:r w:rsidRPr="00537112">
              <w:rPr>
                <w:rFonts w:cs="Verdana"/>
                <w:b/>
                <w:bCs/>
                <w:w w:val="99"/>
                <w:sz w:val="20"/>
                <w:szCs w:val="20"/>
              </w:rPr>
              <w:t>35</w:t>
            </w:r>
          </w:p>
        </w:tc>
        <w:tc>
          <w:tcPr>
            <w:tcW w:w="5961" w:type="dxa"/>
            <w:tcBorders>
              <w:top w:val="single" w:sz="8" w:space="0" w:color="000000"/>
              <w:left w:val="single" w:sz="8" w:space="0" w:color="000000"/>
              <w:bottom w:val="single" w:sz="8" w:space="0" w:color="000000"/>
              <w:right w:val="single" w:sz="8" w:space="0" w:color="000000"/>
            </w:tcBorders>
          </w:tcPr>
          <w:p w14:paraId="77FFB8F0" w14:textId="77777777" w:rsidR="00537112" w:rsidRPr="00537112" w:rsidRDefault="00537112" w:rsidP="00537112">
            <w:pPr>
              <w:autoSpaceDE w:val="0"/>
              <w:autoSpaceDN w:val="0"/>
              <w:spacing w:line="228" w:lineRule="exact"/>
              <w:ind w:right="-20"/>
              <w:jc w:val="left"/>
              <w:textAlignment w:val="auto"/>
              <w:rPr>
                <w:rFonts w:cs="Verdana"/>
                <w:sz w:val="20"/>
                <w:szCs w:val="20"/>
                <w:lang w:val="pt-BR"/>
              </w:rPr>
            </w:pPr>
            <w:r w:rsidRPr="00537112">
              <w:rPr>
                <w:rFonts w:cs="Verdana"/>
                <w:spacing w:val="-1"/>
                <w:sz w:val="20"/>
                <w:szCs w:val="20"/>
                <w:lang w:val="pt-BR"/>
              </w:rPr>
              <w:t>E</w:t>
            </w:r>
            <w:r w:rsidRPr="00537112">
              <w:rPr>
                <w:rFonts w:cs="Verdana"/>
                <w:spacing w:val="3"/>
                <w:sz w:val="20"/>
                <w:szCs w:val="20"/>
                <w:lang w:val="pt-BR"/>
              </w:rPr>
              <w:t>l</w:t>
            </w:r>
            <w:r w:rsidRPr="00537112">
              <w:rPr>
                <w:rFonts w:cs="Verdana"/>
                <w:sz w:val="20"/>
                <w:szCs w:val="20"/>
                <w:lang w:val="pt-BR"/>
              </w:rPr>
              <w:t>v</w:t>
            </w:r>
            <w:r w:rsidRPr="00537112">
              <w:rPr>
                <w:rFonts w:cs="Verdana"/>
                <w:spacing w:val="3"/>
                <w:sz w:val="20"/>
                <w:szCs w:val="20"/>
                <w:lang w:val="pt-BR"/>
              </w:rPr>
              <w:t>i</w:t>
            </w:r>
            <w:r w:rsidRPr="00537112">
              <w:rPr>
                <w:rFonts w:cs="Verdana"/>
                <w:spacing w:val="-1"/>
                <w:sz w:val="20"/>
                <w:szCs w:val="20"/>
                <w:lang w:val="pt-BR"/>
              </w:rPr>
              <w:t>r</w:t>
            </w:r>
            <w:r w:rsidRPr="00537112">
              <w:rPr>
                <w:rFonts w:cs="Verdana"/>
                <w:sz w:val="20"/>
                <w:szCs w:val="20"/>
                <w:lang w:val="pt-BR"/>
              </w:rPr>
              <w:t>a</w:t>
            </w:r>
            <w:r w:rsidRPr="00537112">
              <w:rPr>
                <w:rFonts w:cs="Verdana"/>
                <w:spacing w:val="-6"/>
                <w:sz w:val="20"/>
                <w:szCs w:val="20"/>
                <w:lang w:val="pt-BR"/>
              </w:rPr>
              <w:t xml:space="preserve"> </w:t>
            </w:r>
            <w:r w:rsidRPr="00537112">
              <w:rPr>
                <w:rFonts w:cs="Verdana"/>
                <w:sz w:val="20"/>
                <w:szCs w:val="20"/>
                <w:lang w:val="pt-BR"/>
              </w:rPr>
              <w:t>D</w:t>
            </w:r>
            <w:r w:rsidRPr="00537112">
              <w:rPr>
                <w:rFonts w:cs="Verdana"/>
                <w:spacing w:val="-1"/>
                <w:sz w:val="20"/>
                <w:szCs w:val="20"/>
                <w:lang w:val="pt-BR"/>
              </w:rPr>
              <w:t>e</w:t>
            </w:r>
            <w:r w:rsidRPr="00537112">
              <w:rPr>
                <w:rFonts w:cs="Verdana"/>
                <w:spacing w:val="1"/>
                <w:sz w:val="20"/>
                <w:szCs w:val="20"/>
                <w:lang w:val="pt-BR"/>
              </w:rPr>
              <w:t>p</w:t>
            </w:r>
            <w:r w:rsidRPr="00537112">
              <w:rPr>
                <w:rFonts w:cs="Verdana"/>
                <w:sz w:val="20"/>
                <w:szCs w:val="20"/>
                <w:lang w:val="pt-BR"/>
              </w:rPr>
              <w:t>az</w:t>
            </w:r>
            <w:r w:rsidRPr="00537112">
              <w:rPr>
                <w:rFonts w:cs="Verdana"/>
                <w:spacing w:val="-6"/>
                <w:sz w:val="20"/>
                <w:szCs w:val="20"/>
                <w:lang w:val="pt-BR"/>
              </w:rPr>
              <w:t xml:space="preserve"> </w:t>
            </w:r>
            <w:r w:rsidRPr="00537112">
              <w:rPr>
                <w:rFonts w:cs="Verdana"/>
                <w:sz w:val="20"/>
                <w:szCs w:val="20"/>
                <w:lang w:val="pt-BR"/>
              </w:rPr>
              <w:t>Ta</w:t>
            </w:r>
            <w:r w:rsidRPr="00537112">
              <w:rPr>
                <w:rFonts w:cs="Verdana"/>
                <w:spacing w:val="1"/>
                <w:sz w:val="20"/>
                <w:szCs w:val="20"/>
                <w:lang w:val="pt-BR"/>
              </w:rPr>
              <w:t>hu</w:t>
            </w:r>
            <w:r w:rsidRPr="00537112">
              <w:rPr>
                <w:rFonts w:cs="Verdana"/>
                <w:spacing w:val="3"/>
                <w:sz w:val="20"/>
                <w:szCs w:val="20"/>
                <w:lang w:val="pt-BR"/>
              </w:rPr>
              <w:t>i</w:t>
            </w:r>
            <w:r w:rsidRPr="00537112">
              <w:rPr>
                <w:rFonts w:cs="Verdana"/>
                <w:spacing w:val="-1"/>
                <w:sz w:val="20"/>
                <w:szCs w:val="20"/>
                <w:lang w:val="pt-BR"/>
              </w:rPr>
              <w:t>c</w:t>
            </w:r>
            <w:r w:rsidRPr="00537112">
              <w:rPr>
                <w:rFonts w:cs="Verdana"/>
                <w:sz w:val="20"/>
                <w:szCs w:val="20"/>
                <w:lang w:val="pt-BR"/>
              </w:rPr>
              <w:t>o</w:t>
            </w:r>
            <w:r w:rsidRPr="00537112">
              <w:rPr>
                <w:rFonts w:cs="Verdana"/>
                <w:spacing w:val="-10"/>
                <w:sz w:val="20"/>
                <w:szCs w:val="20"/>
                <w:lang w:val="pt-BR"/>
              </w:rPr>
              <w:t xml:space="preserve"> </w:t>
            </w:r>
            <w:r w:rsidRPr="00537112">
              <w:rPr>
                <w:rFonts w:cs="Verdana"/>
                <w:spacing w:val="1"/>
                <w:sz w:val="20"/>
                <w:szCs w:val="20"/>
                <w:lang w:val="pt-BR"/>
              </w:rPr>
              <w:t>(p</w:t>
            </w:r>
            <w:r w:rsidRPr="00537112">
              <w:rPr>
                <w:rFonts w:cs="Verdana"/>
                <w:spacing w:val="-1"/>
                <w:sz w:val="20"/>
                <w:szCs w:val="20"/>
                <w:lang w:val="pt-BR"/>
              </w:rPr>
              <w:t>res</w:t>
            </w:r>
            <w:r w:rsidRPr="00537112">
              <w:rPr>
                <w:rFonts w:cs="Verdana"/>
                <w:spacing w:val="1"/>
                <w:sz w:val="20"/>
                <w:szCs w:val="20"/>
                <w:lang w:val="pt-BR"/>
              </w:rPr>
              <w:t>unt</w:t>
            </w:r>
            <w:r w:rsidRPr="00537112">
              <w:rPr>
                <w:rFonts w:cs="Verdana"/>
                <w:sz w:val="20"/>
                <w:szCs w:val="20"/>
                <w:lang w:val="pt-BR"/>
              </w:rPr>
              <w:t>a</w:t>
            </w:r>
            <w:r w:rsidRPr="00537112">
              <w:rPr>
                <w:rFonts w:cs="Verdana"/>
                <w:spacing w:val="-10"/>
                <w:sz w:val="20"/>
                <w:szCs w:val="20"/>
                <w:lang w:val="pt-BR"/>
              </w:rPr>
              <w:t xml:space="preserve"> </w:t>
            </w:r>
            <w:r w:rsidRPr="00537112">
              <w:rPr>
                <w:rFonts w:cs="Verdana"/>
                <w:spacing w:val="1"/>
                <w:sz w:val="20"/>
                <w:szCs w:val="20"/>
                <w:lang w:val="pt-BR"/>
              </w:rPr>
              <w:t>h</w:t>
            </w:r>
            <w:r w:rsidRPr="00537112">
              <w:rPr>
                <w:rFonts w:cs="Verdana"/>
                <w:spacing w:val="3"/>
                <w:sz w:val="20"/>
                <w:szCs w:val="20"/>
                <w:lang w:val="pt-BR"/>
              </w:rPr>
              <w:t>i</w:t>
            </w:r>
            <w:r w:rsidRPr="00537112">
              <w:rPr>
                <w:rFonts w:cs="Verdana"/>
                <w:spacing w:val="1"/>
                <w:sz w:val="20"/>
                <w:szCs w:val="20"/>
                <w:lang w:val="pt-BR"/>
              </w:rPr>
              <w:t>j</w:t>
            </w:r>
            <w:r w:rsidRPr="00537112">
              <w:rPr>
                <w:rFonts w:cs="Verdana"/>
                <w:sz w:val="20"/>
                <w:szCs w:val="20"/>
                <w:lang w:val="pt-BR"/>
              </w:rPr>
              <w:t>a</w:t>
            </w:r>
            <w:r w:rsidRPr="00537112">
              <w:rPr>
                <w:rFonts w:cs="Verdana"/>
                <w:spacing w:val="-4"/>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z w:val="20"/>
                <w:szCs w:val="20"/>
                <w:lang w:val="pt-BR"/>
              </w:rPr>
              <w:t>P</w:t>
            </w:r>
            <w:r w:rsidRPr="00537112">
              <w:rPr>
                <w:rFonts w:cs="Verdana"/>
                <w:spacing w:val="-1"/>
                <w:sz w:val="20"/>
                <w:szCs w:val="20"/>
                <w:lang w:val="pt-BR"/>
              </w:rPr>
              <w:t>e</w:t>
            </w:r>
            <w:r w:rsidRPr="00537112">
              <w:rPr>
                <w:rFonts w:cs="Verdana"/>
                <w:spacing w:val="1"/>
                <w:sz w:val="20"/>
                <w:szCs w:val="20"/>
                <w:lang w:val="pt-BR"/>
              </w:rPr>
              <w:t>d</w:t>
            </w:r>
            <w:r w:rsidRPr="00537112">
              <w:rPr>
                <w:rFonts w:cs="Verdana"/>
                <w:spacing w:val="-1"/>
                <w:sz w:val="20"/>
                <w:szCs w:val="20"/>
                <w:lang w:val="pt-BR"/>
              </w:rPr>
              <w:t>r</w:t>
            </w:r>
            <w:r w:rsidRPr="00537112">
              <w:rPr>
                <w:rFonts w:cs="Verdana"/>
                <w:sz w:val="20"/>
                <w:szCs w:val="20"/>
                <w:lang w:val="pt-BR"/>
              </w:rPr>
              <w:t>o</w:t>
            </w:r>
            <w:r w:rsidRPr="00537112">
              <w:rPr>
                <w:rFonts w:cs="Verdana"/>
                <w:spacing w:val="-8"/>
                <w:sz w:val="20"/>
                <w:szCs w:val="20"/>
                <w:lang w:val="pt-BR"/>
              </w:rPr>
              <w:t xml:space="preserve"> </w:t>
            </w:r>
            <w:r w:rsidRPr="00537112">
              <w:rPr>
                <w:rFonts w:cs="Verdana"/>
                <w:spacing w:val="1"/>
                <w:sz w:val="20"/>
                <w:szCs w:val="20"/>
                <w:lang w:val="pt-BR"/>
              </w:rPr>
              <w:t>d</w:t>
            </w:r>
            <w:r w:rsidRPr="00537112">
              <w:rPr>
                <w:rFonts w:cs="Verdana"/>
                <w:sz w:val="20"/>
                <w:szCs w:val="20"/>
                <w:lang w:val="pt-BR"/>
              </w:rPr>
              <w:t>e</w:t>
            </w:r>
            <w:r w:rsidRPr="00537112">
              <w:rPr>
                <w:rFonts w:cs="Verdana"/>
                <w:spacing w:val="-4"/>
                <w:sz w:val="20"/>
                <w:szCs w:val="20"/>
                <w:lang w:val="pt-BR"/>
              </w:rPr>
              <w:t xml:space="preserve"> </w:t>
            </w:r>
            <w:r w:rsidRPr="00537112">
              <w:rPr>
                <w:rFonts w:cs="Verdana"/>
                <w:sz w:val="20"/>
                <w:szCs w:val="20"/>
                <w:lang w:val="pt-BR"/>
              </w:rPr>
              <w:t>Paz</w:t>
            </w:r>
          </w:p>
          <w:p w14:paraId="2866D563" w14:textId="77777777" w:rsidR="00537112" w:rsidRPr="00537112" w:rsidRDefault="00537112" w:rsidP="00537112">
            <w:pPr>
              <w:autoSpaceDE w:val="0"/>
              <w:autoSpaceDN w:val="0"/>
              <w:spacing w:before="16" w:line="229" w:lineRule="exact"/>
              <w:ind w:right="-20"/>
              <w:jc w:val="left"/>
              <w:textAlignment w:val="auto"/>
              <w:rPr>
                <w:rFonts w:ascii="Times New Roman" w:hAnsi="Times New Roman"/>
                <w:lang w:val="pt-BR"/>
              </w:rPr>
            </w:pPr>
            <w:r w:rsidRPr="00537112">
              <w:rPr>
                <w:rFonts w:cs="Verdana"/>
                <w:position w:val="-2"/>
                <w:sz w:val="20"/>
                <w:szCs w:val="20"/>
                <w:lang w:val="pt-BR"/>
              </w:rPr>
              <w:t>C</w:t>
            </w:r>
            <w:r w:rsidRPr="00537112">
              <w:rPr>
                <w:rFonts w:cs="Verdana"/>
                <w:spacing w:val="3"/>
                <w:position w:val="-2"/>
                <w:sz w:val="20"/>
                <w:szCs w:val="20"/>
                <w:lang w:val="pt-BR"/>
              </w:rPr>
              <w:t>i</w:t>
            </w:r>
            <w:r w:rsidRPr="00537112">
              <w:rPr>
                <w:rFonts w:cs="Verdana"/>
                <w:spacing w:val="1"/>
                <w:position w:val="-2"/>
                <w:sz w:val="20"/>
                <w:szCs w:val="20"/>
                <w:lang w:val="pt-BR"/>
              </w:rPr>
              <w:t>p</w:t>
            </w:r>
            <w:r w:rsidRPr="00537112">
              <w:rPr>
                <w:rFonts w:cs="Verdana"/>
                <w:spacing w:val="-1"/>
                <w:position w:val="-2"/>
                <w:sz w:val="20"/>
                <w:szCs w:val="20"/>
                <w:lang w:val="pt-BR"/>
              </w:rPr>
              <w:t>r</w:t>
            </w:r>
            <w:r w:rsidRPr="00537112">
              <w:rPr>
                <w:rFonts w:cs="Verdana"/>
                <w:spacing w:val="3"/>
                <w:position w:val="-2"/>
                <w:sz w:val="20"/>
                <w:szCs w:val="20"/>
                <w:lang w:val="pt-BR"/>
              </w:rPr>
              <w:t>i</w:t>
            </w:r>
            <w:r w:rsidRPr="00537112">
              <w:rPr>
                <w:rFonts w:cs="Verdana"/>
                <w:position w:val="-2"/>
                <w:sz w:val="20"/>
                <w:szCs w:val="20"/>
                <w:lang w:val="pt-BR"/>
              </w:rPr>
              <w:t>a</w:t>
            </w:r>
            <w:r w:rsidRPr="00537112">
              <w:rPr>
                <w:rFonts w:cs="Verdana"/>
                <w:spacing w:val="1"/>
                <w:position w:val="-2"/>
                <w:sz w:val="20"/>
                <w:szCs w:val="20"/>
                <w:lang w:val="pt-BR"/>
              </w:rPr>
              <w:t>n</w:t>
            </w:r>
            <w:r w:rsidRPr="00537112">
              <w:rPr>
                <w:rFonts w:cs="Verdana"/>
                <w:position w:val="-2"/>
                <w:sz w:val="20"/>
                <w:szCs w:val="20"/>
                <w:lang w:val="pt-BR"/>
              </w:rPr>
              <w:t>)</w:t>
            </w:r>
          </w:p>
        </w:tc>
      </w:tr>
    </w:tbl>
    <w:p w14:paraId="1B4A2D84" w14:textId="77777777" w:rsidR="00537112" w:rsidRPr="00537112" w:rsidRDefault="00537112" w:rsidP="00537112">
      <w:pPr>
        <w:autoSpaceDE w:val="0"/>
        <w:autoSpaceDN w:val="0"/>
        <w:spacing w:line="240" w:lineRule="auto"/>
        <w:jc w:val="left"/>
        <w:textAlignment w:val="auto"/>
        <w:rPr>
          <w:rFonts w:ascii="Times New Roman" w:hAnsi="Times New Roman"/>
          <w:lang w:val="pt-BR"/>
        </w:rPr>
        <w:sectPr w:rsidR="00537112" w:rsidRPr="00537112">
          <w:headerReference w:type="default" r:id="rId21"/>
          <w:pgSz w:w="12260" w:h="15840"/>
          <w:pgMar w:top="1340" w:right="1720" w:bottom="280" w:left="980" w:header="0" w:footer="0" w:gutter="0"/>
          <w:cols w:space="720" w:equalWidth="0">
            <w:col w:w="9560"/>
          </w:cols>
          <w:noEndnote/>
        </w:sectPr>
      </w:pPr>
    </w:p>
    <w:tbl>
      <w:tblPr>
        <w:tblW w:w="0" w:type="auto"/>
        <w:tblInd w:w="109" w:type="dxa"/>
        <w:tblLayout w:type="fixed"/>
        <w:tblCellMar>
          <w:left w:w="0" w:type="dxa"/>
          <w:right w:w="0" w:type="dxa"/>
        </w:tblCellMar>
        <w:tblLook w:val="0000" w:firstRow="0" w:lastRow="0" w:firstColumn="0" w:lastColumn="0" w:noHBand="0" w:noVBand="0"/>
      </w:tblPr>
      <w:tblGrid>
        <w:gridCol w:w="1010"/>
        <w:gridCol w:w="5503"/>
      </w:tblGrid>
      <w:tr w:rsidR="00537112" w:rsidRPr="00537112" w14:paraId="0DC47910" w14:textId="77777777" w:rsidTr="00630EEC">
        <w:trPr>
          <w:trHeight w:hRule="exact" w:val="1279"/>
        </w:trPr>
        <w:tc>
          <w:tcPr>
            <w:tcW w:w="6513" w:type="dxa"/>
            <w:gridSpan w:val="2"/>
            <w:tcBorders>
              <w:top w:val="single" w:sz="16" w:space="0" w:color="000000"/>
              <w:left w:val="single" w:sz="16" w:space="0" w:color="000000"/>
              <w:bottom w:val="single" w:sz="16" w:space="0" w:color="000000"/>
              <w:right w:val="single" w:sz="16" w:space="0" w:color="000000"/>
            </w:tcBorders>
            <w:shd w:val="clear" w:color="auto" w:fill="C0C0C0"/>
          </w:tcPr>
          <w:p w14:paraId="07C0E2AB" w14:textId="77777777" w:rsidR="00537112" w:rsidRPr="00537112" w:rsidRDefault="00537112" w:rsidP="00537112">
            <w:pPr>
              <w:autoSpaceDE w:val="0"/>
              <w:autoSpaceDN w:val="0"/>
              <w:spacing w:before="34" w:line="262" w:lineRule="auto"/>
              <w:ind w:right="587"/>
              <w:jc w:val="center"/>
              <w:textAlignment w:val="auto"/>
              <w:rPr>
                <w:rFonts w:ascii="Times New Roman" w:hAnsi="Times New Roman"/>
              </w:rPr>
            </w:pPr>
            <w:r w:rsidRPr="00537112">
              <w:rPr>
                <w:rFonts w:cs="Verdana"/>
                <w:b/>
                <w:bCs/>
                <w:spacing w:val="-1"/>
                <w:sz w:val="22"/>
                <w:szCs w:val="22"/>
              </w:rPr>
              <w:lastRenderedPageBreak/>
              <w:t>A</w:t>
            </w:r>
            <w:r w:rsidRPr="00537112">
              <w:rPr>
                <w:rFonts w:cs="Verdana"/>
                <w:b/>
                <w:bCs/>
                <w:sz w:val="22"/>
                <w:szCs w:val="22"/>
              </w:rPr>
              <w:t>NE</w:t>
            </w:r>
            <w:r w:rsidRPr="00537112">
              <w:rPr>
                <w:rFonts w:cs="Verdana"/>
                <w:b/>
                <w:bCs/>
                <w:spacing w:val="-1"/>
                <w:sz w:val="22"/>
                <w:szCs w:val="22"/>
              </w:rPr>
              <w:t>X</w:t>
            </w:r>
            <w:r w:rsidRPr="00537112">
              <w:rPr>
                <w:rFonts w:cs="Verdana"/>
                <w:b/>
                <w:bCs/>
                <w:sz w:val="22"/>
                <w:szCs w:val="22"/>
              </w:rPr>
              <w:t>O</w:t>
            </w:r>
            <w:r w:rsidRPr="00537112">
              <w:rPr>
                <w:rFonts w:cs="Verdana"/>
                <w:b/>
                <w:bCs/>
                <w:spacing w:val="-1"/>
                <w:sz w:val="22"/>
                <w:szCs w:val="22"/>
              </w:rPr>
              <w:t xml:space="preserve"> IV</w:t>
            </w:r>
            <w:r w:rsidRPr="00537112">
              <w:rPr>
                <w:rFonts w:cs="Verdana"/>
                <w:b/>
                <w:bCs/>
                <w:sz w:val="22"/>
                <w:szCs w:val="22"/>
              </w:rPr>
              <w:t>.</w:t>
            </w:r>
            <w:r w:rsidRPr="00537112">
              <w:rPr>
                <w:rFonts w:cs="Verdana"/>
                <w:b/>
                <w:bCs/>
                <w:spacing w:val="-1"/>
                <w:sz w:val="22"/>
                <w:szCs w:val="22"/>
              </w:rPr>
              <w:t xml:space="preserve"> </w:t>
            </w:r>
            <w:r w:rsidRPr="00537112">
              <w:rPr>
                <w:rFonts w:cs="Verdana"/>
                <w:b/>
                <w:bCs/>
                <w:spacing w:val="1"/>
                <w:sz w:val="22"/>
                <w:szCs w:val="22"/>
              </w:rPr>
              <w:t>L</w:t>
            </w:r>
            <w:r w:rsidRPr="00537112">
              <w:rPr>
                <w:rFonts w:cs="Verdana"/>
                <w:b/>
                <w:bCs/>
                <w:sz w:val="22"/>
                <w:szCs w:val="22"/>
              </w:rPr>
              <w:t>OS</w:t>
            </w:r>
            <w:r w:rsidRPr="00537112">
              <w:rPr>
                <w:rFonts w:cs="Verdana"/>
                <w:b/>
                <w:bCs/>
                <w:spacing w:val="-1"/>
                <w:sz w:val="22"/>
                <w:szCs w:val="22"/>
              </w:rPr>
              <w:t xml:space="preserve"> </w:t>
            </w:r>
            <w:r w:rsidRPr="00537112">
              <w:rPr>
                <w:rFonts w:cs="Verdana"/>
                <w:b/>
                <w:bCs/>
                <w:sz w:val="22"/>
                <w:szCs w:val="22"/>
              </w:rPr>
              <w:t>RE</w:t>
            </w:r>
            <w:r w:rsidRPr="00537112">
              <w:rPr>
                <w:rFonts w:cs="Verdana"/>
                <w:b/>
                <w:bCs/>
                <w:spacing w:val="-1"/>
                <w:sz w:val="22"/>
                <w:szCs w:val="22"/>
              </w:rPr>
              <w:t>P</w:t>
            </w:r>
            <w:r w:rsidRPr="00537112">
              <w:rPr>
                <w:rFonts w:cs="Verdana"/>
                <w:b/>
                <w:bCs/>
                <w:sz w:val="22"/>
                <w:szCs w:val="22"/>
              </w:rPr>
              <w:t>RE</w:t>
            </w:r>
            <w:r w:rsidRPr="00537112">
              <w:rPr>
                <w:rFonts w:cs="Verdana"/>
                <w:b/>
                <w:bCs/>
                <w:spacing w:val="-1"/>
                <w:sz w:val="22"/>
                <w:szCs w:val="22"/>
              </w:rPr>
              <w:t>S</w:t>
            </w:r>
            <w:r w:rsidRPr="00537112">
              <w:rPr>
                <w:rFonts w:cs="Verdana"/>
                <w:b/>
                <w:bCs/>
                <w:sz w:val="22"/>
                <w:szCs w:val="22"/>
              </w:rPr>
              <w:t>EN</w:t>
            </w:r>
            <w:r w:rsidRPr="00537112">
              <w:rPr>
                <w:rFonts w:cs="Verdana"/>
                <w:b/>
                <w:bCs/>
                <w:spacing w:val="1"/>
                <w:sz w:val="22"/>
                <w:szCs w:val="22"/>
              </w:rPr>
              <w:t>T</w:t>
            </w:r>
            <w:r w:rsidRPr="00537112">
              <w:rPr>
                <w:rFonts w:cs="Verdana"/>
                <w:b/>
                <w:bCs/>
                <w:spacing w:val="-1"/>
                <w:sz w:val="22"/>
                <w:szCs w:val="22"/>
              </w:rPr>
              <w:t>A</w:t>
            </w:r>
            <w:r w:rsidRPr="00537112">
              <w:rPr>
                <w:rFonts w:cs="Verdana"/>
                <w:b/>
                <w:bCs/>
                <w:sz w:val="22"/>
                <w:szCs w:val="22"/>
              </w:rPr>
              <w:t>N</w:t>
            </w:r>
            <w:r w:rsidRPr="00537112">
              <w:rPr>
                <w:rFonts w:cs="Verdana"/>
                <w:b/>
                <w:bCs/>
                <w:spacing w:val="1"/>
                <w:sz w:val="22"/>
                <w:szCs w:val="22"/>
              </w:rPr>
              <w:t>T</w:t>
            </w:r>
            <w:r w:rsidRPr="00537112">
              <w:rPr>
                <w:rFonts w:cs="Verdana"/>
                <w:b/>
                <w:bCs/>
                <w:sz w:val="22"/>
                <w:szCs w:val="22"/>
              </w:rPr>
              <w:t>ES</w:t>
            </w:r>
            <w:r w:rsidRPr="00537112">
              <w:rPr>
                <w:rFonts w:cs="Verdana"/>
                <w:b/>
                <w:bCs/>
                <w:spacing w:val="-1"/>
                <w:sz w:val="22"/>
                <w:szCs w:val="22"/>
              </w:rPr>
              <w:t xml:space="preserve"> </w:t>
            </w:r>
            <w:r w:rsidRPr="00537112">
              <w:rPr>
                <w:rFonts w:cs="Verdana"/>
                <w:b/>
                <w:bCs/>
                <w:sz w:val="22"/>
                <w:szCs w:val="22"/>
              </w:rPr>
              <w:t>NO E</w:t>
            </w:r>
            <w:r w:rsidRPr="00537112">
              <w:rPr>
                <w:rFonts w:cs="Verdana"/>
                <w:b/>
                <w:bCs/>
                <w:spacing w:val="-1"/>
                <w:sz w:val="22"/>
                <w:szCs w:val="22"/>
              </w:rPr>
              <w:t>SP</w:t>
            </w:r>
            <w:r w:rsidRPr="00537112">
              <w:rPr>
                <w:rFonts w:cs="Verdana"/>
                <w:b/>
                <w:bCs/>
                <w:sz w:val="22"/>
                <w:szCs w:val="22"/>
              </w:rPr>
              <w:t>E</w:t>
            </w:r>
            <w:r w:rsidRPr="00537112">
              <w:rPr>
                <w:rFonts w:cs="Verdana"/>
                <w:b/>
                <w:bCs/>
                <w:spacing w:val="1"/>
                <w:sz w:val="22"/>
                <w:szCs w:val="22"/>
              </w:rPr>
              <w:t>C</w:t>
            </w:r>
            <w:r w:rsidRPr="00537112">
              <w:rPr>
                <w:rFonts w:cs="Verdana"/>
                <w:b/>
                <w:bCs/>
                <w:spacing w:val="-1"/>
                <w:sz w:val="22"/>
                <w:szCs w:val="22"/>
              </w:rPr>
              <w:t>I</w:t>
            </w:r>
            <w:r w:rsidRPr="00537112">
              <w:rPr>
                <w:rFonts w:cs="Verdana"/>
                <w:b/>
                <w:bCs/>
                <w:sz w:val="22"/>
                <w:szCs w:val="22"/>
              </w:rPr>
              <w:t>F</w:t>
            </w:r>
            <w:r w:rsidRPr="00537112">
              <w:rPr>
                <w:rFonts w:cs="Verdana"/>
                <w:b/>
                <w:bCs/>
                <w:spacing w:val="-1"/>
                <w:sz w:val="22"/>
                <w:szCs w:val="22"/>
              </w:rPr>
              <w:t>I</w:t>
            </w:r>
            <w:r w:rsidRPr="00537112">
              <w:rPr>
                <w:rFonts w:cs="Verdana"/>
                <w:b/>
                <w:bCs/>
                <w:spacing w:val="1"/>
                <w:sz w:val="22"/>
                <w:szCs w:val="22"/>
              </w:rPr>
              <w:t>C</w:t>
            </w:r>
            <w:r w:rsidRPr="00537112">
              <w:rPr>
                <w:rFonts w:cs="Verdana"/>
                <w:b/>
                <w:bCs/>
                <w:spacing w:val="-1"/>
                <w:sz w:val="22"/>
                <w:szCs w:val="22"/>
              </w:rPr>
              <w:t>A</w:t>
            </w:r>
            <w:r w:rsidRPr="00537112">
              <w:rPr>
                <w:rFonts w:cs="Verdana"/>
                <w:b/>
                <w:bCs/>
                <w:sz w:val="22"/>
                <w:szCs w:val="22"/>
              </w:rPr>
              <w:t xml:space="preserve">RON </w:t>
            </w:r>
            <w:r w:rsidRPr="00537112">
              <w:rPr>
                <w:rFonts w:cs="Verdana"/>
                <w:b/>
                <w:bCs/>
                <w:spacing w:val="-1"/>
                <w:sz w:val="22"/>
                <w:szCs w:val="22"/>
              </w:rPr>
              <w:t>S</w:t>
            </w:r>
            <w:r w:rsidRPr="00537112">
              <w:rPr>
                <w:rFonts w:cs="Verdana"/>
                <w:b/>
                <w:bCs/>
                <w:sz w:val="22"/>
                <w:szCs w:val="22"/>
              </w:rPr>
              <w:t>I</w:t>
            </w:r>
            <w:r w:rsidRPr="00537112">
              <w:rPr>
                <w:rFonts w:cs="Verdana"/>
                <w:b/>
                <w:bCs/>
                <w:spacing w:val="-1"/>
                <w:sz w:val="22"/>
                <w:szCs w:val="22"/>
              </w:rPr>
              <w:t xml:space="preserve"> </w:t>
            </w:r>
            <w:r w:rsidRPr="00537112">
              <w:rPr>
                <w:rFonts w:cs="Verdana"/>
                <w:b/>
                <w:bCs/>
                <w:sz w:val="22"/>
                <w:szCs w:val="22"/>
              </w:rPr>
              <w:t>E</w:t>
            </w:r>
            <w:r w:rsidRPr="00537112">
              <w:rPr>
                <w:rFonts w:cs="Verdana"/>
                <w:b/>
                <w:bCs/>
                <w:spacing w:val="-1"/>
                <w:sz w:val="22"/>
                <w:szCs w:val="22"/>
              </w:rPr>
              <w:t>S</w:t>
            </w:r>
            <w:r w:rsidRPr="00537112">
              <w:rPr>
                <w:rFonts w:cs="Verdana"/>
                <w:b/>
                <w:bCs/>
                <w:spacing w:val="1"/>
                <w:sz w:val="22"/>
                <w:szCs w:val="22"/>
              </w:rPr>
              <w:t>T</w:t>
            </w:r>
            <w:r w:rsidRPr="00537112">
              <w:rPr>
                <w:rFonts w:cs="Verdana"/>
                <w:b/>
                <w:bCs/>
                <w:spacing w:val="-1"/>
                <w:sz w:val="22"/>
                <w:szCs w:val="22"/>
              </w:rPr>
              <w:t>A</w:t>
            </w:r>
            <w:r w:rsidRPr="00537112">
              <w:rPr>
                <w:rFonts w:cs="Verdana"/>
                <w:b/>
                <w:bCs/>
                <w:sz w:val="22"/>
                <w:szCs w:val="22"/>
              </w:rPr>
              <w:t>S</w:t>
            </w:r>
            <w:r w:rsidRPr="00537112">
              <w:rPr>
                <w:rFonts w:cs="Verdana"/>
                <w:b/>
                <w:bCs/>
                <w:spacing w:val="-2"/>
                <w:sz w:val="22"/>
                <w:szCs w:val="22"/>
              </w:rPr>
              <w:t xml:space="preserve"> </w:t>
            </w:r>
            <w:r w:rsidRPr="00537112">
              <w:rPr>
                <w:rFonts w:cs="Verdana"/>
                <w:b/>
                <w:bCs/>
                <w:spacing w:val="-1"/>
                <w:sz w:val="22"/>
                <w:szCs w:val="22"/>
              </w:rPr>
              <w:t>P</w:t>
            </w:r>
            <w:r w:rsidRPr="00537112">
              <w:rPr>
                <w:rFonts w:cs="Verdana"/>
                <w:b/>
                <w:bCs/>
                <w:sz w:val="22"/>
                <w:szCs w:val="22"/>
              </w:rPr>
              <w:t>ER</w:t>
            </w:r>
            <w:r w:rsidRPr="00537112">
              <w:rPr>
                <w:rFonts w:cs="Verdana"/>
                <w:b/>
                <w:bCs/>
                <w:spacing w:val="-1"/>
                <w:sz w:val="22"/>
                <w:szCs w:val="22"/>
              </w:rPr>
              <w:t>S</w:t>
            </w:r>
            <w:r w:rsidRPr="00537112">
              <w:rPr>
                <w:rFonts w:cs="Verdana"/>
                <w:b/>
                <w:bCs/>
                <w:sz w:val="22"/>
                <w:szCs w:val="22"/>
              </w:rPr>
              <w:t>ON</w:t>
            </w:r>
            <w:r w:rsidRPr="00537112">
              <w:rPr>
                <w:rFonts w:cs="Verdana"/>
                <w:b/>
                <w:bCs/>
                <w:spacing w:val="-1"/>
                <w:sz w:val="22"/>
                <w:szCs w:val="22"/>
              </w:rPr>
              <w:t>AS P</w:t>
            </w:r>
            <w:r w:rsidRPr="00537112">
              <w:rPr>
                <w:rFonts w:cs="Verdana"/>
                <w:b/>
                <w:bCs/>
                <w:sz w:val="22"/>
                <w:szCs w:val="22"/>
              </w:rPr>
              <w:t>ERM</w:t>
            </w:r>
            <w:r w:rsidRPr="00537112">
              <w:rPr>
                <w:rFonts w:cs="Verdana"/>
                <w:b/>
                <w:bCs/>
                <w:spacing w:val="-1"/>
                <w:sz w:val="22"/>
                <w:szCs w:val="22"/>
              </w:rPr>
              <w:t>A</w:t>
            </w:r>
            <w:r w:rsidRPr="00537112">
              <w:rPr>
                <w:rFonts w:cs="Verdana"/>
                <w:b/>
                <w:bCs/>
                <w:sz w:val="22"/>
                <w:szCs w:val="22"/>
              </w:rPr>
              <w:t>NE</w:t>
            </w:r>
            <w:r w:rsidRPr="00537112">
              <w:rPr>
                <w:rFonts w:cs="Verdana"/>
                <w:b/>
                <w:bCs/>
                <w:spacing w:val="1"/>
                <w:sz w:val="22"/>
                <w:szCs w:val="22"/>
              </w:rPr>
              <w:t>C</w:t>
            </w:r>
            <w:r w:rsidRPr="00537112">
              <w:rPr>
                <w:rFonts w:cs="Verdana"/>
                <w:b/>
                <w:bCs/>
                <w:spacing w:val="-1"/>
                <w:sz w:val="22"/>
                <w:szCs w:val="22"/>
              </w:rPr>
              <w:t>I</w:t>
            </w:r>
            <w:r w:rsidRPr="00537112">
              <w:rPr>
                <w:rFonts w:cs="Verdana"/>
                <w:b/>
                <w:bCs/>
                <w:sz w:val="22"/>
                <w:szCs w:val="22"/>
              </w:rPr>
              <w:t xml:space="preserve">ERON </w:t>
            </w:r>
            <w:r w:rsidRPr="00537112">
              <w:rPr>
                <w:rFonts w:cs="Verdana"/>
                <w:b/>
                <w:bCs/>
                <w:spacing w:val="-1"/>
                <w:sz w:val="22"/>
                <w:szCs w:val="22"/>
              </w:rPr>
              <w:t>D</w:t>
            </w:r>
            <w:r w:rsidRPr="00537112">
              <w:rPr>
                <w:rFonts w:cs="Verdana"/>
                <w:b/>
                <w:bCs/>
                <w:sz w:val="22"/>
                <w:szCs w:val="22"/>
              </w:rPr>
              <w:t>E</w:t>
            </w:r>
            <w:r w:rsidRPr="00537112">
              <w:rPr>
                <w:rFonts w:cs="Verdana"/>
                <w:b/>
                <w:bCs/>
                <w:spacing w:val="-1"/>
                <w:sz w:val="22"/>
                <w:szCs w:val="22"/>
              </w:rPr>
              <w:t>SP</w:t>
            </w:r>
            <w:r w:rsidRPr="00537112">
              <w:rPr>
                <w:rFonts w:cs="Verdana"/>
                <w:b/>
                <w:bCs/>
                <w:spacing w:val="1"/>
                <w:sz w:val="22"/>
                <w:szCs w:val="22"/>
              </w:rPr>
              <w:t>L</w:t>
            </w:r>
            <w:r w:rsidRPr="00537112">
              <w:rPr>
                <w:rFonts w:cs="Verdana"/>
                <w:b/>
                <w:bCs/>
                <w:spacing w:val="-1"/>
                <w:sz w:val="22"/>
                <w:szCs w:val="22"/>
              </w:rPr>
              <w:t>A</w:t>
            </w:r>
            <w:r w:rsidRPr="00537112">
              <w:rPr>
                <w:rFonts w:cs="Verdana"/>
                <w:b/>
                <w:bCs/>
                <w:spacing w:val="1"/>
                <w:sz w:val="22"/>
                <w:szCs w:val="22"/>
              </w:rPr>
              <w:t>Z</w:t>
            </w:r>
            <w:r w:rsidRPr="00537112">
              <w:rPr>
                <w:rFonts w:cs="Verdana"/>
                <w:b/>
                <w:bCs/>
                <w:spacing w:val="-1"/>
                <w:sz w:val="22"/>
                <w:szCs w:val="22"/>
              </w:rPr>
              <w:t>ADA</w:t>
            </w:r>
            <w:r w:rsidRPr="00537112">
              <w:rPr>
                <w:rFonts w:cs="Verdana"/>
                <w:b/>
                <w:bCs/>
                <w:sz w:val="22"/>
                <w:szCs w:val="22"/>
              </w:rPr>
              <w:t>S</w:t>
            </w:r>
            <w:r w:rsidRPr="00537112">
              <w:rPr>
                <w:rFonts w:cs="Verdana"/>
                <w:b/>
                <w:bCs/>
                <w:spacing w:val="-2"/>
                <w:sz w:val="22"/>
                <w:szCs w:val="22"/>
              </w:rPr>
              <w:t xml:space="preserve"> </w:t>
            </w:r>
            <w:r w:rsidRPr="00537112">
              <w:rPr>
                <w:rFonts w:cs="Verdana"/>
                <w:b/>
                <w:bCs/>
                <w:spacing w:val="1"/>
                <w:sz w:val="22"/>
                <w:szCs w:val="22"/>
              </w:rPr>
              <w:t>C</w:t>
            </w:r>
            <w:r w:rsidRPr="00537112">
              <w:rPr>
                <w:rFonts w:cs="Verdana"/>
                <w:b/>
                <w:bCs/>
                <w:sz w:val="22"/>
                <w:szCs w:val="22"/>
              </w:rPr>
              <w:t xml:space="preserve">ON </w:t>
            </w:r>
            <w:r w:rsidRPr="00537112">
              <w:rPr>
                <w:rFonts w:cs="Verdana"/>
                <w:b/>
                <w:bCs/>
                <w:spacing w:val="-1"/>
                <w:sz w:val="22"/>
                <w:szCs w:val="22"/>
              </w:rPr>
              <w:t>P</w:t>
            </w:r>
            <w:r w:rsidRPr="00537112">
              <w:rPr>
                <w:rFonts w:cs="Verdana"/>
                <w:b/>
                <w:bCs/>
                <w:sz w:val="22"/>
                <w:szCs w:val="22"/>
              </w:rPr>
              <w:t>O</w:t>
            </w:r>
            <w:r w:rsidRPr="00537112">
              <w:rPr>
                <w:rFonts w:cs="Verdana"/>
                <w:b/>
                <w:bCs/>
                <w:spacing w:val="-1"/>
                <w:sz w:val="22"/>
                <w:szCs w:val="22"/>
              </w:rPr>
              <w:t>S</w:t>
            </w:r>
            <w:r w:rsidRPr="00537112">
              <w:rPr>
                <w:rFonts w:cs="Verdana"/>
                <w:b/>
                <w:bCs/>
                <w:spacing w:val="1"/>
                <w:sz w:val="22"/>
                <w:szCs w:val="22"/>
              </w:rPr>
              <w:t>T</w:t>
            </w:r>
            <w:r w:rsidRPr="00537112">
              <w:rPr>
                <w:rFonts w:cs="Verdana"/>
                <w:b/>
                <w:bCs/>
                <w:sz w:val="22"/>
                <w:szCs w:val="22"/>
              </w:rPr>
              <w:t>ER</w:t>
            </w:r>
            <w:r w:rsidRPr="00537112">
              <w:rPr>
                <w:rFonts w:cs="Verdana"/>
                <w:b/>
                <w:bCs/>
                <w:spacing w:val="-1"/>
                <w:sz w:val="22"/>
                <w:szCs w:val="22"/>
              </w:rPr>
              <w:t>I</w:t>
            </w:r>
            <w:r w:rsidRPr="00537112">
              <w:rPr>
                <w:rFonts w:cs="Verdana"/>
                <w:b/>
                <w:bCs/>
                <w:sz w:val="22"/>
                <w:szCs w:val="22"/>
              </w:rPr>
              <w:t>OR</w:t>
            </w:r>
            <w:r w:rsidRPr="00537112">
              <w:rPr>
                <w:rFonts w:cs="Verdana"/>
                <w:b/>
                <w:bCs/>
                <w:spacing w:val="-1"/>
                <w:sz w:val="22"/>
                <w:szCs w:val="22"/>
              </w:rPr>
              <w:t>IDA</w:t>
            </w:r>
            <w:r w:rsidRPr="00537112">
              <w:rPr>
                <w:rFonts w:cs="Verdana"/>
                <w:b/>
                <w:bCs/>
                <w:sz w:val="22"/>
                <w:szCs w:val="22"/>
              </w:rPr>
              <w:t>D</w:t>
            </w:r>
            <w:r w:rsidRPr="00537112">
              <w:rPr>
                <w:rFonts w:cs="Verdana"/>
                <w:b/>
                <w:bCs/>
                <w:spacing w:val="-2"/>
                <w:sz w:val="22"/>
                <w:szCs w:val="22"/>
              </w:rPr>
              <w:t xml:space="preserve"> </w:t>
            </w:r>
            <w:r w:rsidRPr="00537112">
              <w:rPr>
                <w:rFonts w:cs="Verdana"/>
                <w:b/>
                <w:bCs/>
                <w:spacing w:val="-1"/>
                <w:sz w:val="22"/>
                <w:szCs w:val="22"/>
              </w:rPr>
              <w:t>A</w:t>
            </w:r>
            <w:r w:rsidRPr="00537112">
              <w:rPr>
                <w:rFonts w:cs="Verdana"/>
                <w:b/>
                <w:bCs/>
                <w:sz w:val="22"/>
                <w:szCs w:val="22"/>
              </w:rPr>
              <w:t>L 8</w:t>
            </w:r>
            <w:r w:rsidRPr="00537112">
              <w:rPr>
                <w:rFonts w:cs="Verdana"/>
                <w:b/>
                <w:bCs/>
                <w:spacing w:val="-2"/>
                <w:sz w:val="22"/>
                <w:szCs w:val="22"/>
              </w:rPr>
              <w:t xml:space="preserve"> </w:t>
            </w:r>
            <w:r w:rsidRPr="00537112">
              <w:rPr>
                <w:rFonts w:cs="Verdana"/>
                <w:b/>
                <w:bCs/>
                <w:spacing w:val="-1"/>
                <w:sz w:val="22"/>
                <w:szCs w:val="22"/>
              </w:rPr>
              <w:t>D</w:t>
            </w:r>
            <w:r w:rsidRPr="00537112">
              <w:rPr>
                <w:rFonts w:cs="Verdana"/>
                <w:b/>
                <w:bCs/>
                <w:sz w:val="22"/>
                <w:szCs w:val="22"/>
              </w:rPr>
              <w:t>E M</w:t>
            </w:r>
            <w:r w:rsidRPr="00537112">
              <w:rPr>
                <w:rFonts w:cs="Verdana"/>
                <w:b/>
                <w:bCs/>
                <w:spacing w:val="-1"/>
                <w:sz w:val="22"/>
                <w:szCs w:val="22"/>
              </w:rPr>
              <w:t>A</w:t>
            </w:r>
            <w:r w:rsidRPr="00537112">
              <w:rPr>
                <w:rFonts w:cs="Verdana"/>
                <w:b/>
                <w:bCs/>
                <w:sz w:val="22"/>
                <w:szCs w:val="22"/>
              </w:rPr>
              <w:t>R</w:t>
            </w:r>
            <w:r w:rsidRPr="00537112">
              <w:rPr>
                <w:rFonts w:cs="Verdana"/>
                <w:b/>
                <w:bCs/>
                <w:spacing w:val="1"/>
                <w:sz w:val="22"/>
                <w:szCs w:val="22"/>
              </w:rPr>
              <w:t>Z</w:t>
            </w:r>
            <w:r w:rsidRPr="00537112">
              <w:rPr>
                <w:rFonts w:cs="Verdana"/>
                <w:b/>
                <w:bCs/>
                <w:sz w:val="22"/>
                <w:szCs w:val="22"/>
              </w:rPr>
              <w:t>O</w:t>
            </w:r>
            <w:r w:rsidRPr="00537112">
              <w:rPr>
                <w:rFonts w:cs="Verdana"/>
                <w:b/>
                <w:bCs/>
                <w:spacing w:val="-1"/>
                <w:sz w:val="22"/>
                <w:szCs w:val="22"/>
              </w:rPr>
              <w:t xml:space="preserve"> D</w:t>
            </w:r>
            <w:r w:rsidRPr="00537112">
              <w:rPr>
                <w:rFonts w:cs="Verdana"/>
                <w:b/>
                <w:bCs/>
                <w:sz w:val="22"/>
                <w:szCs w:val="22"/>
              </w:rPr>
              <w:t xml:space="preserve">E </w:t>
            </w:r>
            <w:r w:rsidRPr="00537112">
              <w:rPr>
                <w:rFonts w:cs="Verdana"/>
                <w:b/>
                <w:bCs/>
                <w:spacing w:val="-1"/>
                <w:sz w:val="22"/>
                <w:szCs w:val="22"/>
              </w:rPr>
              <w:t>198</w:t>
            </w:r>
            <w:r w:rsidRPr="00537112">
              <w:rPr>
                <w:rFonts w:cs="Verdana"/>
                <w:b/>
                <w:bCs/>
                <w:sz w:val="22"/>
                <w:szCs w:val="22"/>
              </w:rPr>
              <w:t>7</w:t>
            </w:r>
          </w:p>
        </w:tc>
      </w:tr>
      <w:tr w:rsidR="00537112" w:rsidRPr="00537112" w14:paraId="0A59D69E" w14:textId="77777777" w:rsidTr="00630EEC">
        <w:trPr>
          <w:trHeight w:hRule="exact" w:val="247"/>
        </w:trPr>
        <w:tc>
          <w:tcPr>
            <w:tcW w:w="1010" w:type="dxa"/>
            <w:tcBorders>
              <w:top w:val="single" w:sz="16" w:space="0" w:color="000000"/>
              <w:left w:val="single" w:sz="8" w:space="0" w:color="000000"/>
              <w:bottom w:val="single" w:sz="8" w:space="0" w:color="000000"/>
              <w:right w:val="single" w:sz="8" w:space="0" w:color="000000"/>
            </w:tcBorders>
            <w:shd w:val="clear" w:color="auto" w:fill="C0C0C0"/>
          </w:tcPr>
          <w:p w14:paraId="45652478" w14:textId="77777777" w:rsidR="00537112" w:rsidRPr="00537112" w:rsidRDefault="00537112" w:rsidP="00537112">
            <w:pPr>
              <w:autoSpaceDE w:val="0"/>
              <w:autoSpaceDN w:val="0"/>
              <w:spacing w:line="211" w:lineRule="exact"/>
              <w:ind w:right="359"/>
              <w:jc w:val="center"/>
              <w:textAlignment w:val="auto"/>
              <w:rPr>
                <w:rFonts w:ascii="Times New Roman" w:hAnsi="Times New Roman"/>
              </w:rPr>
            </w:pPr>
            <w:r w:rsidRPr="00537112">
              <w:rPr>
                <w:rFonts w:cs="Verdana"/>
                <w:b/>
                <w:bCs/>
                <w:w w:val="99"/>
                <w:sz w:val="20"/>
                <w:szCs w:val="20"/>
              </w:rPr>
              <w:t>1</w:t>
            </w:r>
          </w:p>
        </w:tc>
        <w:tc>
          <w:tcPr>
            <w:tcW w:w="5503" w:type="dxa"/>
            <w:tcBorders>
              <w:top w:val="single" w:sz="16" w:space="0" w:color="000000"/>
              <w:left w:val="single" w:sz="8" w:space="0" w:color="000000"/>
              <w:bottom w:val="single" w:sz="8" w:space="0" w:color="000000"/>
              <w:right w:val="single" w:sz="8" w:space="0" w:color="000000"/>
            </w:tcBorders>
          </w:tcPr>
          <w:p w14:paraId="5434D846" w14:textId="77777777" w:rsidR="00537112" w:rsidRPr="00537112" w:rsidRDefault="00537112" w:rsidP="00537112">
            <w:pPr>
              <w:autoSpaceDE w:val="0"/>
              <w:autoSpaceDN w:val="0"/>
              <w:spacing w:line="216" w:lineRule="exact"/>
              <w:ind w:right="-20"/>
              <w:jc w:val="left"/>
              <w:textAlignment w:val="auto"/>
              <w:rPr>
                <w:rFonts w:ascii="Times New Roman" w:hAnsi="Times New Roman"/>
              </w:rPr>
            </w:pPr>
            <w:r w:rsidRPr="00537112">
              <w:rPr>
                <w:rFonts w:cs="Verdana"/>
                <w:spacing w:val="1"/>
                <w:position w:val="-1"/>
                <w:sz w:val="20"/>
                <w:szCs w:val="20"/>
              </w:rPr>
              <w:t>Ant</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08F1E3D3"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38B0F11"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2</w:t>
            </w:r>
          </w:p>
        </w:tc>
        <w:tc>
          <w:tcPr>
            <w:tcW w:w="5503" w:type="dxa"/>
            <w:tcBorders>
              <w:top w:val="single" w:sz="8" w:space="0" w:color="000000"/>
              <w:left w:val="single" w:sz="8" w:space="0" w:color="000000"/>
              <w:bottom w:val="single" w:sz="8" w:space="0" w:color="000000"/>
              <w:right w:val="single" w:sz="8" w:space="0" w:color="000000"/>
            </w:tcBorders>
          </w:tcPr>
          <w:p w14:paraId="78CDC45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Ju</w:t>
            </w:r>
            <w:r w:rsidRPr="00537112">
              <w:rPr>
                <w:rFonts w:cs="Verdana"/>
                <w:position w:val="-1"/>
                <w:sz w:val="20"/>
                <w:szCs w:val="20"/>
              </w:rPr>
              <w:t>á</w:t>
            </w:r>
            <w:r w:rsidRPr="00537112">
              <w:rPr>
                <w:rFonts w:cs="Verdana"/>
                <w:spacing w:val="-1"/>
                <w:position w:val="-1"/>
                <w:sz w:val="20"/>
                <w:szCs w:val="20"/>
              </w:rPr>
              <w:t>re</w:t>
            </w:r>
            <w:r w:rsidRPr="00537112">
              <w:rPr>
                <w:rFonts w:cs="Verdana"/>
                <w:position w:val="-1"/>
                <w:sz w:val="20"/>
                <w:szCs w:val="20"/>
              </w:rPr>
              <w:t>z</w:t>
            </w:r>
            <w:r w:rsidRPr="00537112">
              <w:rPr>
                <w:rFonts w:cs="Verdana"/>
                <w:spacing w:val="-6"/>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4C57B8E7"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2BDBB57"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3</w:t>
            </w:r>
          </w:p>
        </w:tc>
        <w:tc>
          <w:tcPr>
            <w:tcW w:w="5503" w:type="dxa"/>
            <w:tcBorders>
              <w:top w:val="single" w:sz="8" w:space="0" w:color="000000"/>
              <w:left w:val="single" w:sz="8" w:space="0" w:color="000000"/>
              <w:bottom w:val="single" w:sz="8" w:space="0" w:color="000000"/>
              <w:right w:val="single" w:sz="8" w:space="0" w:color="000000"/>
            </w:tcBorders>
          </w:tcPr>
          <w:p w14:paraId="03C8E07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g</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12B14DC6"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5C5D4BEF"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4</w:t>
            </w:r>
          </w:p>
        </w:tc>
        <w:tc>
          <w:tcPr>
            <w:tcW w:w="5503" w:type="dxa"/>
            <w:tcBorders>
              <w:top w:val="single" w:sz="8" w:space="0" w:color="000000"/>
              <w:left w:val="single" w:sz="8" w:space="0" w:color="000000"/>
              <w:bottom w:val="single" w:sz="8" w:space="0" w:color="000000"/>
              <w:right w:val="single" w:sz="8" w:space="0" w:color="000000"/>
            </w:tcBorders>
          </w:tcPr>
          <w:p w14:paraId="0236FDC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3"/>
                <w:position w:val="-1"/>
                <w:sz w:val="20"/>
                <w:szCs w:val="20"/>
              </w:rPr>
              <w:t>i</w:t>
            </w:r>
            <w:r w:rsidRPr="00537112">
              <w:rPr>
                <w:rFonts w:cs="Verdana"/>
                <w:spacing w:val="1"/>
                <w:position w:val="-1"/>
                <w:sz w:val="20"/>
                <w:szCs w:val="20"/>
              </w:rPr>
              <w:t>nt</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w:t>
            </w:r>
            <w:r w:rsidRPr="00537112">
              <w:rPr>
                <w:rFonts w:cs="Verdana"/>
                <w:position w:val="-1"/>
                <w:sz w:val="20"/>
                <w:szCs w:val="20"/>
              </w:rPr>
              <w:t>z</w:t>
            </w:r>
          </w:p>
        </w:tc>
      </w:tr>
      <w:tr w:rsidR="00537112" w:rsidRPr="00537112" w14:paraId="754067AC"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701600D"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5</w:t>
            </w:r>
          </w:p>
        </w:tc>
        <w:tc>
          <w:tcPr>
            <w:tcW w:w="5503" w:type="dxa"/>
            <w:tcBorders>
              <w:top w:val="single" w:sz="8" w:space="0" w:color="000000"/>
              <w:left w:val="single" w:sz="8" w:space="0" w:color="000000"/>
              <w:bottom w:val="single" w:sz="8" w:space="0" w:color="000000"/>
              <w:right w:val="single" w:sz="8" w:space="0" w:color="000000"/>
            </w:tcBorders>
          </w:tcPr>
          <w:p w14:paraId="4ACEA9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úz</w:t>
            </w:r>
          </w:p>
        </w:tc>
      </w:tr>
      <w:tr w:rsidR="00537112" w:rsidRPr="00537112" w14:paraId="10DAFBE6"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2D626BF"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6</w:t>
            </w:r>
          </w:p>
        </w:tc>
        <w:tc>
          <w:tcPr>
            <w:tcW w:w="5503" w:type="dxa"/>
            <w:tcBorders>
              <w:top w:val="single" w:sz="8" w:space="0" w:color="000000"/>
              <w:left w:val="single" w:sz="8" w:space="0" w:color="000000"/>
              <w:bottom w:val="single" w:sz="8" w:space="0" w:color="000000"/>
              <w:right w:val="single" w:sz="8" w:space="0" w:color="000000"/>
            </w:tcBorders>
          </w:tcPr>
          <w:p w14:paraId="2C99519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crec</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3C13E3F9"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BFE6053"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7</w:t>
            </w:r>
          </w:p>
        </w:tc>
        <w:tc>
          <w:tcPr>
            <w:tcW w:w="5503" w:type="dxa"/>
            <w:tcBorders>
              <w:top w:val="single" w:sz="8" w:space="0" w:color="000000"/>
              <w:left w:val="single" w:sz="8" w:space="0" w:color="000000"/>
              <w:bottom w:val="single" w:sz="8" w:space="0" w:color="000000"/>
              <w:right w:val="single" w:sz="8" w:space="0" w:color="000000"/>
            </w:tcBorders>
          </w:tcPr>
          <w:p w14:paraId="28C22BB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p>
        </w:tc>
      </w:tr>
      <w:tr w:rsidR="00537112" w:rsidRPr="00537112" w14:paraId="2CF1228E"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21D8EC9"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8</w:t>
            </w:r>
          </w:p>
        </w:tc>
        <w:tc>
          <w:tcPr>
            <w:tcW w:w="5503" w:type="dxa"/>
            <w:tcBorders>
              <w:top w:val="single" w:sz="8" w:space="0" w:color="000000"/>
              <w:left w:val="single" w:sz="8" w:space="0" w:color="000000"/>
              <w:bottom w:val="single" w:sz="8" w:space="0" w:color="000000"/>
              <w:right w:val="single" w:sz="8" w:space="0" w:color="000000"/>
            </w:tcBorders>
          </w:tcPr>
          <w:p w14:paraId="22FBB2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And</w:t>
            </w:r>
            <w:r w:rsidRPr="00537112">
              <w:rPr>
                <w:rFonts w:cs="Verdana"/>
                <w:spacing w:val="-1"/>
                <w:position w:val="-1"/>
                <w:sz w:val="20"/>
                <w:szCs w:val="20"/>
              </w:rPr>
              <w:t>re</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o</w:t>
            </w:r>
          </w:p>
        </w:tc>
      </w:tr>
      <w:tr w:rsidR="00537112" w:rsidRPr="00537112" w14:paraId="083B8A7A"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9C76000" w14:textId="77777777" w:rsidR="00537112" w:rsidRPr="00537112" w:rsidRDefault="00537112" w:rsidP="00537112">
            <w:pPr>
              <w:autoSpaceDE w:val="0"/>
              <w:autoSpaceDN w:val="0"/>
              <w:spacing w:line="221" w:lineRule="exact"/>
              <w:ind w:right="359"/>
              <w:jc w:val="center"/>
              <w:textAlignment w:val="auto"/>
              <w:rPr>
                <w:rFonts w:ascii="Times New Roman" w:hAnsi="Times New Roman"/>
              </w:rPr>
            </w:pPr>
            <w:r w:rsidRPr="00537112">
              <w:rPr>
                <w:rFonts w:cs="Verdana"/>
                <w:b/>
                <w:bCs/>
                <w:w w:val="99"/>
                <w:sz w:val="20"/>
                <w:szCs w:val="20"/>
              </w:rPr>
              <w:t>9</w:t>
            </w:r>
          </w:p>
        </w:tc>
        <w:tc>
          <w:tcPr>
            <w:tcW w:w="5503" w:type="dxa"/>
            <w:tcBorders>
              <w:top w:val="single" w:sz="8" w:space="0" w:color="000000"/>
              <w:left w:val="single" w:sz="8" w:space="0" w:color="000000"/>
              <w:bottom w:val="single" w:sz="8" w:space="0" w:color="000000"/>
              <w:right w:val="single" w:sz="8" w:space="0" w:color="000000"/>
            </w:tcBorders>
          </w:tcPr>
          <w:p w14:paraId="30BAC59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T</w:t>
            </w:r>
            <w:r w:rsidRPr="00537112">
              <w:rPr>
                <w:rFonts w:cs="Verdana"/>
                <w:spacing w:val="-1"/>
                <w:position w:val="-1"/>
                <w:sz w:val="20"/>
                <w:szCs w:val="20"/>
              </w:rPr>
              <w:t>eres</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688F9D3B"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F3C228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10</w:t>
            </w:r>
          </w:p>
        </w:tc>
        <w:tc>
          <w:tcPr>
            <w:tcW w:w="5503" w:type="dxa"/>
            <w:tcBorders>
              <w:top w:val="single" w:sz="8" w:space="0" w:color="000000"/>
              <w:left w:val="single" w:sz="8" w:space="0" w:color="000000"/>
              <w:bottom w:val="single" w:sz="8" w:space="0" w:color="000000"/>
              <w:right w:val="single" w:sz="8" w:space="0" w:color="000000"/>
            </w:tcBorders>
          </w:tcPr>
          <w:p w14:paraId="710504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w:t>
            </w:r>
            <w:r w:rsidRPr="00537112">
              <w:rPr>
                <w:rFonts w:cs="Verdana"/>
                <w:spacing w:val="3"/>
                <w:position w:val="-1"/>
                <w:sz w:val="20"/>
                <w:szCs w:val="20"/>
              </w:rPr>
              <w:t>i</w:t>
            </w:r>
            <w:r w:rsidRPr="00537112">
              <w:rPr>
                <w:rFonts w:cs="Verdana"/>
                <w:spacing w:val="1"/>
                <w:position w:val="-1"/>
                <w:sz w:val="20"/>
                <w:szCs w:val="20"/>
              </w:rPr>
              <w:t>gu</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4D4A8C10"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88FCD4D"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11</w:t>
            </w:r>
          </w:p>
        </w:tc>
        <w:tc>
          <w:tcPr>
            <w:tcW w:w="5503" w:type="dxa"/>
            <w:tcBorders>
              <w:top w:val="single" w:sz="8" w:space="0" w:color="000000"/>
              <w:left w:val="single" w:sz="8" w:space="0" w:color="000000"/>
              <w:bottom w:val="single" w:sz="8" w:space="0" w:color="000000"/>
              <w:right w:val="single" w:sz="8" w:space="0" w:color="000000"/>
            </w:tcBorders>
          </w:tcPr>
          <w:p w14:paraId="6FC400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t</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5C879BEF"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FEC228C"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12</w:t>
            </w:r>
          </w:p>
        </w:tc>
        <w:tc>
          <w:tcPr>
            <w:tcW w:w="5503" w:type="dxa"/>
            <w:tcBorders>
              <w:top w:val="single" w:sz="8" w:space="0" w:color="000000"/>
              <w:left w:val="single" w:sz="8" w:space="0" w:color="000000"/>
              <w:bottom w:val="single" w:sz="8" w:space="0" w:color="000000"/>
              <w:right w:val="single" w:sz="8" w:space="0" w:color="000000"/>
            </w:tcBorders>
          </w:tcPr>
          <w:p w14:paraId="60F61B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26823E01"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5976108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13</w:t>
            </w:r>
          </w:p>
        </w:tc>
        <w:tc>
          <w:tcPr>
            <w:tcW w:w="5503" w:type="dxa"/>
            <w:tcBorders>
              <w:top w:val="single" w:sz="8" w:space="0" w:color="000000"/>
              <w:left w:val="single" w:sz="8" w:space="0" w:color="000000"/>
              <w:bottom w:val="single" w:sz="8" w:space="0" w:color="000000"/>
              <w:right w:val="single" w:sz="8" w:space="0" w:color="000000"/>
            </w:tcBorders>
          </w:tcPr>
          <w:p w14:paraId="216478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704EA5D9"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D9179C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14</w:t>
            </w:r>
          </w:p>
        </w:tc>
        <w:tc>
          <w:tcPr>
            <w:tcW w:w="5503" w:type="dxa"/>
            <w:tcBorders>
              <w:top w:val="single" w:sz="8" w:space="0" w:color="000000"/>
              <w:left w:val="single" w:sz="8" w:space="0" w:color="000000"/>
              <w:bottom w:val="single" w:sz="8" w:space="0" w:color="000000"/>
              <w:right w:val="single" w:sz="8" w:space="0" w:color="000000"/>
            </w:tcBorders>
          </w:tcPr>
          <w:p w14:paraId="00F920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ce</w:t>
            </w:r>
            <w:r w:rsidRPr="00537112">
              <w:rPr>
                <w:rFonts w:cs="Verdana"/>
                <w:spacing w:val="1"/>
                <w:position w:val="-1"/>
                <w:sz w:val="20"/>
                <w:szCs w:val="20"/>
              </w:rPr>
              <w:t>nt</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w:t>
            </w:r>
            <w:r w:rsidRPr="00537112">
              <w:rPr>
                <w:rFonts w:cs="Verdana"/>
                <w:position w:val="-1"/>
                <w:sz w:val="20"/>
                <w:szCs w:val="20"/>
              </w:rPr>
              <w:t>o</w:t>
            </w:r>
          </w:p>
        </w:tc>
      </w:tr>
      <w:tr w:rsidR="00537112" w:rsidRPr="00537112" w14:paraId="2666ACC3"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143D78F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15</w:t>
            </w:r>
          </w:p>
        </w:tc>
        <w:tc>
          <w:tcPr>
            <w:tcW w:w="5503" w:type="dxa"/>
            <w:tcBorders>
              <w:top w:val="single" w:sz="8" w:space="0" w:color="000000"/>
              <w:left w:val="single" w:sz="8" w:space="0" w:color="000000"/>
              <w:bottom w:val="single" w:sz="8" w:space="0" w:color="000000"/>
              <w:right w:val="single" w:sz="8" w:space="0" w:color="000000"/>
            </w:tcBorders>
          </w:tcPr>
          <w:p w14:paraId="15562F7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3"/>
                <w:position w:val="-1"/>
                <w:sz w:val="20"/>
                <w:szCs w:val="20"/>
              </w:rPr>
              <w:t>i</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Osor</w:t>
            </w:r>
            <w:r w:rsidRPr="00537112">
              <w:rPr>
                <w:rFonts w:cs="Verdana"/>
                <w:spacing w:val="3"/>
                <w:position w:val="-1"/>
                <w:sz w:val="20"/>
                <w:szCs w:val="20"/>
              </w:rPr>
              <w:t>io</w:t>
            </w:r>
          </w:p>
        </w:tc>
      </w:tr>
      <w:tr w:rsidR="00537112" w:rsidRPr="00537112" w14:paraId="44649783"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BFE7CD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16</w:t>
            </w:r>
          </w:p>
        </w:tc>
        <w:tc>
          <w:tcPr>
            <w:tcW w:w="5503" w:type="dxa"/>
            <w:tcBorders>
              <w:top w:val="single" w:sz="8" w:space="0" w:color="000000"/>
              <w:left w:val="single" w:sz="8" w:space="0" w:color="000000"/>
              <w:bottom w:val="single" w:sz="8" w:space="0" w:color="000000"/>
              <w:right w:val="single" w:sz="8" w:space="0" w:color="000000"/>
            </w:tcBorders>
          </w:tcPr>
          <w:p w14:paraId="7D0859A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70460A3F"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21564D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17</w:t>
            </w:r>
          </w:p>
        </w:tc>
        <w:tc>
          <w:tcPr>
            <w:tcW w:w="5503" w:type="dxa"/>
            <w:tcBorders>
              <w:top w:val="single" w:sz="8" w:space="0" w:color="000000"/>
              <w:left w:val="single" w:sz="8" w:space="0" w:color="000000"/>
              <w:bottom w:val="single" w:sz="8" w:space="0" w:color="000000"/>
              <w:right w:val="single" w:sz="8" w:space="0" w:color="000000"/>
            </w:tcBorders>
          </w:tcPr>
          <w:p w14:paraId="69C972C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500BEEE0"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A0402AE"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18</w:t>
            </w:r>
          </w:p>
        </w:tc>
        <w:tc>
          <w:tcPr>
            <w:tcW w:w="5503" w:type="dxa"/>
            <w:tcBorders>
              <w:top w:val="single" w:sz="8" w:space="0" w:color="000000"/>
              <w:left w:val="single" w:sz="8" w:space="0" w:color="000000"/>
              <w:bottom w:val="single" w:sz="8" w:space="0" w:color="000000"/>
              <w:right w:val="single" w:sz="8" w:space="0" w:color="000000"/>
            </w:tcBorders>
          </w:tcPr>
          <w:p w14:paraId="16E7A75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Ca</w:t>
            </w:r>
            <w:r w:rsidRPr="00537112">
              <w:rPr>
                <w:rFonts w:cs="Verdana"/>
                <w:spacing w:val="-1"/>
                <w:position w:val="-1"/>
                <w:sz w:val="20"/>
                <w:szCs w:val="20"/>
              </w:rPr>
              <w:t>r</w:t>
            </w:r>
            <w:r w:rsidRPr="00537112">
              <w:rPr>
                <w:rFonts w:cs="Verdana"/>
                <w:spacing w:val="1"/>
                <w:position w:val="-1"/>
                <w:sz w:val="20"/>
                <w:szCs w:val="20"/>
              </w:rPr>
              <w:t>m</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424D48CA"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74D7F6A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19</w:t>
            </w:r>
          </w:p>
        </w:tc>
        <w:tc>
          <w:tcPr>
            <w:tcW w:w="5503" w:type="dxa"/>
            <w:tcBorders>
              <w:top w:val="single" w:sz="8" w:space="0" w:color="000000"/>
              <w:left w:val="single" w:sz="8" w:space="0" w:color="000000"/>
              <w:bottom w:val="single" w:sz="8" w:space="0" w:color="000000"/>
              <w:right w:val="single" w:sz="8" w:space="0" w:color="000000"/>
            </w:tcBorders>
          </w:tcPr>
          <w:p w14:paraId="1C1DE7A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1"/>
                <w:position w:val="-1"/>
                <w:sz w:val="20"/>
                <w:szCs w:val="20"/>
              </w:rPr>
              <w:t>u</w:t>
            </w:r>
            <w:r w:rsidRPr="00537112">
              <w:rPr>
                <w:rFonts w:cs="Verdana"/>
                <w:spacing w:val="-1"/>
                <w:position w:val="-1"/>
                <w:sz w:val="20"/>
                <w:szCs w:val="20"/>
              </w:rPr>
              <w:t>c</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7F3C9829"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29EE33A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20</w:t>
            </w:r>
          </w:p>
        </w:tc>
        <w:tc>
          <w:tcPr>
            <w:tcW w:w="5503" w:type="dxa"/>
            <w:tcBorders>
              <w:top w:val="single" w:sz="8" w:space="0" w:color="000000"/>
              <w:left w:val="single" w:sz="8" w:space="0" w:color="000000"/>
              <w:bottom w:val="single" w:sz="8" w:space="0" w:color="000000"/>
              <w:right w:val="single" w:sz="8" w:space="0" w:color="000000"/>
            </w:tcBorders>
          </w:tcPr>
          <w:p w14:paraId="3240E92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w:t>
            </w:r>
            <w:r w:rsidRPr="00537112">
              <w:rPr>
                <w:rFonts w:cs="Verdana"/>
                <w:spacing w:val="3"/>
                <w:position w:val="-1"/>
                <w:sz w:val="20"/>
                <w:szCs w:val="20"/>
              </w:rPr>
              <w:t>i</w:t>
            </w:r>
            <w:r w:rsidRPr="00537112">
              <w:rPr>
                <w:rFonts w:cs="Verdana"/>
                <w:spacing w:val="1"/>
                <w:position w:val="-1"/>
                <w:sz w:val="20"/>
                <w:szCs w:val="20"/>
              </w:rPr>
              <w:t>nd</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3CC06A10"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52A662CA"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21</w:t>
            </w:r>
          </w:p>
        </w:tc>
        <w:tc>
          <w:tcPr>
            <w:tcW w:w="5503" w:type="dxa"/>
            <w:tcBorders>
              <w:top w:val="single" w:sz="8" w:space="0" w:color="000000"/>
              <w:left w:val="single" w:sz="8" w:space="0" w:color="000000"/>
              <w:bottom w:val="single" w:sz="8" w:space="0" w:color="000000"/>
              <w:right w:val="single" w:sz="8" w:space="0" w:color="000000"/>
            </w:tcBorders>
          </w:tcPr>
          <w:p w14:paraId="5428D00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2B93569"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CB1CE6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22</w:t>
            </w:r>
          </w:p>
        </w:tc>
        <w:tc>
          <w:tcPr>
            <w:tcW w:w="5503" w:type="dxa"/>
            <w:tcBorders>
              <w:top w:val="single" w:sz="8" w:space="0" w:color="000000"/>
              <w:left w:val="single" w:sz="8" w:space="0" w:color="000000"/>
              <w:bottom w:val="single" w:sz="8" w:space="0" w:color="000000"/>
              <w:right w:val="single" w:sz="8" w:space="0" w:color="000000"/>
            </w:tcBorders>
          </w:tcPr>
          <w:p w14:paraId="0C479F5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28D4EB5"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0642BE5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23</w:t>
            </w:r>
          </w:p>
        </w:tc>
        <w:tc>
          <w:tcPr>
            <w:tcW w:w="5503" w:type="dxa"/>
            <w:tcBorders>
              <w:top w:val="single" w:sz="8" w:space="0" w:color="000000"/>
              <w:left w:val="single" w:sz="8" w:space="0" w:color="000000"/>
              <w:bottom w:val="single" w:sz="8" w:space="0" w:color="000000"/>
              <w:right w:val="single" w:sz="8" w:space="0" w:color="000000"/>
            </w:tcBorders>
          </w:tcPr>
          <w:p w14:paraId="498C9DC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ic</w:t>
            </w:r>
          </w:p>
        </w:tc>
      </w:tr>
      <w:tr w:rsidR="00537112" w:rsidRPr="00537112" w14:paraId="4EFA103B"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72113BC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24</w:t>
            </w:r>
          </w:p>
        </w:tc>
        <w:tc>
          <w:tcPr>
            <w:tcW w:w="5503" w:type="dxa"/>
            <w:tcBorders>
              <w:top w:val="single" w:sz="8" w:space="0" w:color="000000"/>
              <w:left w:val="single" w:sz="8" w:space="0" w:color="000000"/>
              <w:bottom w:val="single" w:sz="8" w:space="0" w:color="000000"/>
              <w:right w:val="single" w:sz="8" w:space="0" w:color="000000"/>
            </w:tcBorders>
          </w:tcPr>
          <w:p w14:paraId="1A306E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osef</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3C49E5D4"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A4D93C7"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25</w:t>
            </w:r>
          </w:p>
        </w:tc>
        <w:tc>
          <w:tcPr>
            <w:tcW w:w="5503" w:type="dxa"/>
            <w:tcBorders>
              <w:top w:val="single" w:sz="8" w:space="0" w:color="000000"/>
              <w:left w:val="single" w:sz="8" w:space="0" w:color="000000"/>
              <w:bottom w:val="single" w:sz="8" w:space="0" w:color="000000"/>
              <w:right w:val="single" w:sz="8" w:space="0" w:color="000000"/>
            </w:tcBorders>
          </w:tcPr>
          <w:p w14:paraId="3D2B2C2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Max</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12"/>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w:t>
            </w:r>
            <w:r w:rsidRPr="00537112">
              <w:rPr>
                <w:rFonts w:cs="Verdana"/>
                <w:spacing w:val="1"/>
                <w:position w:val="-1"/>
                <w:sz w:val="20"/>
                <w:szCs w:val="20"/>
              </w:rPr>
              <w:t>j/</w:t>
            </w:r>
            <w:r w:rsidRPr="00537112">
              <w:rPr>
                <w:rFonts w:cs="Verdana"/>
                <w:position w:val="-1"/>
                <w:sz w:val="20"/>
                <w:szCs w:val="20"/>
              </w:rPr>
              <w:t>Ca</w:t>
            </w:r>
            <w:r w:rsidRPr="00537112">
              <w:rPr>
                <w:rFonts w:cs="Verdana"/>
                <w:spacing w:val="-1"/>
                <w:position w:val="-1"/>
                <w:sz w:val="20"/>
                <w:szCs w:val="20"/>
              </w:rPr>
              <w:t>c</w:t>
            </w:r>
            <w:r w:rsidRPr="00537112">
              <w:rPr>
                <w:rFonts w:cs="Verdana"/>
                <w:position w:val="-1"/>
                <w:sz w:val="20"/>
                <w:szCs w:val="20"/>
              </w:rPr>
              <w:t>aj</w:t>
            </w:r>
          </w:p>
        </w:tc>
      </w:tr>
      <w:tr w:rsidR="00537112" w:rsidRPr="00537112" w14:paraId="304A98DA"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7A02D40C"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26</w:t>
            </w:r>
          </w:p>
        </w:tc>
        <w:tc>
          <w:tcPr>
            <w:tcW w:w="5503" w:type="dxa"/>
            <w:tcBorders>
              <w:top w:val="single" w:sz="8" w:space="0" w:color="000000"/>
              <w:left w:val="single" w:sz="8" w:space="0" w:color="000000"/>
              <w:bottom w:val="single" w:sz="8" w:space="0" w:color="000000"/>
              <w:right w:val="single" w:sz="8" w:space="0" w:color="000000"/>
            </w:tcBorders>
          </w:tcPr>
          <w:p w14:paraId="598DCEF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m</w:t>
            </w:r>
            <w:r w:rsidRPr="00537112">
              <w:rPr>
                <w:rFonts w:cs="Verdana"/>
                <w:spacing w:val="-1"/>
                <w:position w:val="-1"/>
                <w:sz w:val="20"/>
                <w:szCs w:val="20"/>
              </w:rPr>
              <w:t>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w:t>
            </w:r>
            <w:r w:rsidRPr="00537112">
              <w:rPr>
                <w:rFonts w:cs="Verdana"/>
                <w:position w:val="-1"/>
                <w:sz w:val="20"/>
                <w:szCs w:val="20"/>
              </w:rPr>
              <w:t>j</w:t>
            </w:r>
          </w:p>
        </w:tc>
      </w:tr>
      <w:tr w:rsidR="00537112" w:rsidRPr="00537112" w14:paraId="216C79EB"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8D6ADF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27</w:t>
            </w:r>
          </w:p>
        </w:tc>
        <w:tc>
          <w:tcPr>
            <w:tcW w:w="5503" w:type="dxa"/>
            <w:tcBorders>
              <w:top w:val="single" w:sz="8" w:space="0" w:color="000000"/>
              <w:left w:val="single" w:sz="8" w:space="0" w:color="000000"/>
              <w:bottom w:val="single" w:sz="8" w:space="0" w:color="000000"/>
              <w:right w:val="single" w:sz="8" w:space="0" w:color="000000"/>
            </w:tcBorders>
          </w:tcPr>
          <w:p w14:paraId="1EDD0DF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u</w:t>
            </w:r>
            <w:r w:rsidRPr="00537112">
              <w:rPr>
                <w:rFonts w:cs="Verdana"/>
                <w:spacing w:val="-1"/>
                <w:position w:val="-1"/>
                <w:sz w:val="20"/>
                <w:szCs w:val="20"/>
              </w:rPr>
              <w:t>s</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w:t>
            </w:r>
            <w:r w:rsidRPr="00537112">
              <w:rPr>
                <w:rFonts w:cs="Verdana"/>
                <w:position w:val="-1"/>
                <w:sz w:val="20"/>
                <w:szCs w:val="20"/>
              </w:rPr>
              <w:t>j</w:t>
            </w:r>
          </w:p>
        </w:tc>
      </w:tr>
      <w:tr w:rsidR="00537112" w:rsidRPr="00537112" w14:paraId="1BCF0A25"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598DFC05"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28</w:t>
            </w:r>
          </w:p>
        </w:tc>
        <w:tc>
          <w:tcPr>
            <w:tcW w:w="5503" w:type="dxa"/>
            <w:tcBorders>
              <w:top w:val="single" w:sz="8" w:space="0" w:color="000000"/>
              <w:left w:val="single" w:sz="8" w:space="0" w:color="000000"/>
              <w:bottom w:val="single" w:sz="8" w:space="0" w:color="000000"/>
              <w:right w:val="single" w:sz="8" w:space="0" w:color="000000"/>
            </w:tcBorders>
          </w:tcPr>
          <w:p w14:paraId="370A28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w:t>
            </w:r>
            <w:r w:rsidRPr="00537112">
              <w:rPr>
                <w:rFonts w:cs="Verdana"/>
                <w:position w:val="-1"/>
                <w:sz w:val="20"/>
                <w:szCs w:val="20"/>
              </w:rPr>
              <w:t>j</w:t>
            </w:r>
          </w:p>
        </w:tc>
      </w:tr>
      <w:tr w:rsidR="00537112" w:rsidRPr="00537112" w14:paraId="0AC7D1CD"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70C4EF1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29</w:t>
            </w:r>
          </w:p>
        </w:tc>
        <w:tc>
          <w:tcPr>
            <w:tcW w:w="5503" w:type="dxa"/>
            <w:tcBorders>
              <w:top w:val="single" w:sz="8" w:space="0" w:color="000000"/>
              <w:left w:val="single" w:sz="8" w:space="0" w:color="000000"/>
              <w:bottom w:val="single" w:sz="8" w:space="0" w:color="000000"/>
              <w:right w:val="single" w:sz="8" w:space="0" w:color="000000"/>
            </w:tcBorders>
          </w:tcPr>
          <w:p w14:paraId="4E14B09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w:t>
            </w:r>
            <w:r w:rsidRPr="00537112">
              <w:rPr>
                <w:rFonts w:cs="Verdana"/>
                <w:position w:val="-1"/>
                <w:sz w:val="20"/>
                <w:szCs w:val="20"/>
              </w:rPr>
              <w:t>j</w:t>
            </w:r>
          </w:p>
        </w:tc>
      </w:tr>
      <w:tr w:rsidR="00537112" w:rsidRPr="00537112" w14:paraId="5A527815"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2EC84E6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30</w:t>
            </w:r>
          </w:p>
        </w:tc>
        <w:tc>
          <w:tcPr>
            <w:tcW w:w="5503" w:type="dxa"/>
            <w:tcBorders>
              <w:top w:val="single" w:sz="8" w:space="0" w:color="000000"/>
              <w:left w:val="single" w:sz="8" w:space="0" w:color="000000"/>
              <w:bottom w:val="single" w:sz="8" w:space="0" w:color="000000"/>
              <w:right w:val="single" w:sz="8" w:space="0" w:color="000000"/>
            </w:tcBorders>
          </w:tcPr>
          <w:p w14:paraId="5573E6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coj</w:t>
            </w:r>
          </w:p>
        </w:tc>
      </w:tr>
      <w:tr w:rsidR="00537112" w:rsidRPr="00537112" w14:paraId="15FFE82A"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28D5A3C2"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31</w:t>
            </w:r>
          </w:p>
        </w:tc>
        <w:tc>
          <w:tcPr>
            <w:tcW w:w="5503" w:type="dxa"/>
            <w:tcBorders>
              <w:top w:val="single" w:sz="8" w:space="0" w:color="000000"/>
              <w:left w:val="single" w:sz="8" w:space="0" w:color="000000"/>
              <w:bottom w:val="single" w:sz="8" w:space="0" w:color="000000"/>
              <w:right w:val="single" w:sz="8" w:space="0" w:color="000000"/>
            </w:tcBorders>
          </w:tcPr>
          <w:p w14:paraId="26F8130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L</w:t>
            </w:r>
            <w:r w:rsidRPr="00537112">
              <w:rPr>
                <w:rFonts w:cs="Verdana"/>
                <w:spacing w:val="3"/>
                <w:position w:val="-1"/>
                <w:sz w:val="20"/>
                <w:szCs w:val="20"/>
              </w:rPr>
              <w:t>i</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4"/>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Ca</w:t>
            </w:r>
            <w:r w:rsidRPr="00537112">
              <w:rPr>
                <w:rFonts w:cs="Verdana"/>
                <w:spacing w:val="-1"/>
                <w:position w:val="-1"/>
                <w:sz w:val="20"/>
                <w:szCs w:val="20"/>
              </w:rPr>
              <w:t>co</w:t>
            </w:r>
            <w:r w:rsidRPr="00537112">
              <w:rPr>
                <w:rFonts w:cs="Verdana"/>
                <w:position w:val="-1"/>
                <w:sz w:val="20"/>
                <w:szCs w:val="20"/>
              </w:rPr>
              <w:t>j</w:t>
            </w:r>
          </w:p>
        </w:tc>
      </w:tr>
      <w:tr w:rsidR="00537112" w:rsidRPr="00537112" w14:paraId="53682BC1"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157A523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32</w:t>
            </w:r>
          </w:p>
        </w:tc>
        <w:tc>
          <w:tcPr>
            <w:tcW w:w="5503" w:type="dxa"/>
            <w:tcBorders>
              <w:top w:val="single" w:sz="8" w:space="0" w:color="000000"/>
              <w:left w:val="single" w:sz="8" w:space="0" w:color="000000"/>
              <w:bottom w:val="single" w:sz="8" w:space="0" w:color="000000"/>
              <w:right w:val="single" w:sz="8" w:space="0" w:color="000000"/>
            </w:tcBorders>
          </w:tcPr>
          <w:p w14:paraId="10B0382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8"/>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Ca</w:t>
            </w:r>
            <w:r w:rsidRPr="00537112">
              <w:rPr>
                <w:rFonts w:cs="Verdana"/>
                <w:spacing w:val="1"/>
                <w:position w:val="-1"/>
                <w:sz w:val="20"/>
                <w:szCs w:val="20"/>
              </w:rPr>
              <w:t>jb</w:t>
            </w:r>
            <w:r w:rsidRPr="00537112">
              <w:rPr>
                <w:rFonts w:cs="Verdana"/>
                <w:spacing w:val="-1"/>
                <w:position w:val="-1"/>
                <w:sz w:val="20"/>
                <w:szCs w:val="20"/>
              </w:rPr>
              <w:t>ón</w:t>
            </w:r>
          </w:p>
        </w:tc>
      </w:tr>
      <w:tr w:rsidR="00537112" w:rsidRPr="00537112" w14:paraId="20677DBD"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5E636C4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33</w:t>
            </w:r>
          </w:p>
        </w:tc>
        <w:tc>
          <w:tcPr>
            <w:tcW w:w="5503" w:type="dxa"/>
            <w:tcBorders>
              <w:top w:val="single" w:sz="8" w:space="0" w:color="000000"/>
              <w:left w:val="single" w:sz="8" w:space="0" w:color="000000"/>
              <w:bottom w:val="single" w:sz="8" w:space="0" w:color="000000"/>
              <w:right w:val="single" w:sz="8" w:space="0" w:color="000000"/>
            </w:tcBorders>
          </w:tcPr>
          <w:p w14:paraId="273E69A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p>
        </w:tc>
      </w:tr>
      <w:tr w:rsidR="00537112" w:rsidRPr="00537112" w14:paraId="068137BB"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3D4F883D"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34</w:t>
            </w:r>
          </w:p>
        </w:tc>
        <w:tc>
          <w:tcPr>
            <w:tcW w:w="5503" w:type="dxa"/>
            <w:tcBorders>
              <w:top w:val="single" w:sz="8" w:space="0" w:color="000000"/>
              <w:left w:val="single" w:sz="8" w:space="0" w:color="000000"/>
              <w:bottom w:val="single" w:sz="8" w:space="0" w:color="000000"/>
              <w:right w:val="single" w:sz="8" w:space="0" w:color="000000"/>
            </w:tcBorders>
          </w:tcPr>
          <w:p w14:paraId="2F2A581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r</w:t>
            </w:r>
            <w:r w:rsidRPr="00537112">
              <w:rPr>
                <w:rFonts w:cs="Verdana"/>
                <w:spacing w:val="1"/>
                <w:position w:val="-1"/>
                <w:sz w:val="20"/>
                <w:szCs w:val="20"/>
              </w:rPr>
              <w:t>u</w:t>
            </w:r>
            <w:r w:rsidRPr="00537112">
              <w:rPr>
                <w:rFonts w:cs="Verdana"/>
                <w:position w:val="-1"/>
                <w:sz w:val="20"/>
                <w:szCs w:val="20"/>
              </w:rPr>
              <w:t>z</w:t>
            </w:r>
            <w:r w:rsidRPr="00537112">
              <w:rPr>
                <w:rFonts w:cs="Verdana"/>
                <w:spacing w:val="-5"/>
                <w:position w:val="-1"/>
                <w:sz w:val="20"/>
                <w:szCs w:val="20"/>
              </w:rPr>
              <w:t xml:space="preserve"> </w:t>
            </w:r>
            <w:r w:rsidRPr="00537112">
              <w:rPr>
                <w:rFonts w:cs="Verdana"/>
                <w:position w:val="-1"/>
                <w:sz w:val="20"/>
                <w:szCs w:val="20"/>
              </w:rPr>
              <w:t>P</w:t>
            </w:r>
            <w:r w:rsidRPr="00537112">
              <w:rPr>
                <w:rFonts w:cs="Verdana"/>
                <w:spacing w:val="-1"/>
                <w:position w:val="-1"/>
                <w:sz w:val="20"/>
                <w:szCs w:val="20"/>
              </w:rPr>
              <w:t>ére</w:t>
            </w:r>
            <w:r w:rsidRPr="00537112">
              <w:rPr>
                <w:rFonts w:cs="Verdana"/>
                <w:position w:val="-1"/>
                <w:sz w:val="20"/>
                <w:szCs w:val="20"/>
              </w:rPr>
              <w:t>z</w:t>
            </w:r>
            <w:r w:rsidRPr="00537112">
              <w:rPr>
                <w:rFonts w:cs="Verdana"/>
                <w:spacing w:val="-5"/>
                <w:position w:val="-1"/>
                <w:sz w:val="20"/>
                <w:szCs w:val="20"/>
              </w:rPr>
              <w:t xml:space="preserve"> </w:t>
            </w:r>
            <w:r w:rsidRPr="00537112">
              <w:rPr>
                <w:rFonts w:cs="Verdana"/>
                <w:spacing w:val="1"/>
                <w:position w:val="-1"/>
                <w:sz w:val="20"/>
                <w:szCs w:val="20"/>
              </w:rPr>
              <w:t>Amp</w:t>
            </w:r>
            <w:r w:rsidRPr="00537112">
              <w:rPr>
                <w:rFonts w:cs="Verdana"/>
                <w:spacing w:val="-1"/>
                <w:position w:val="-1"/>
                <w:sz w:val="20"/>
                <w:szCs w:val="20"/>
              </w:rPr>
              <w:t>ére</w:t>
            </w:r>
            <w:r w:rsidRPr="00537112">
              <w:rPr>
                <w:rFonts w:cs="Verdana"/>
                <w:position w:val="-1"/>
                <w:sz w:val="20"/>
                <w:szCs w:val="20"/>
              </w:rPr>
              <w:t>z</w:t>
            </w:r>
          </w:p>
        </w:tc>
      </w:tr>
      <w:tr w:rsidR="00537112" w:rsidRPr="00537112" w14:paraId="201F1A11"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2643B33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35</w:t>
            </w:r>
          </w:p>
        </w:tc>
        <w:tc>
          <w:tcPr>
            <w:tcW w:w="5503" w:type="dxa"/>
            <w:tcBorders>
              <w:top w:val="single" w:sz="8" w:space="0" w:color="000000"/>
              <w:left w:val="single" w:sz="8" w:space="0" w:color="000000"/>
              <w:bottom w:val="single" w:sz="8" w:space="0" w:color="000000"/>
              <w:right w:val="single" w:sz="8" w:space="0" w:color="000000"/>
            </w:tcBorders>
          </w:tcPr>
          <w:p w14:paraId="0E3EF3E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E</w:t>
            </w:r>
            <w:r w:rsidRPr="00537112">
              <w:rPr>
                <w:rFonts w:cs="Verdana"/>
                <w:spacing w:val="3"/>
                <w:position w:val="-1"/>
                <w:sz w:val="20"/>
                <w:szCs w:val="20"/>
              </w:rPr>
              <w:t>l</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4480E7B5"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437C66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36</w:t>
            </w:r>
          </w:p>
        </w:tc>
        <w:tc>
          <w:tcPr>
            <w:tcW w:w="5503" w:type="dxa"/>
            <w:tcBorders>
              <w:top w:val="single" w:sz="8" w:space="0" w:color="000000"/>
              <w:left w:val="single" w:sz="8" w:space="0" w:color="000000"/>
              <w:bottom w:val="single" w:sz="8" w:space="0" w:color="000000"/>
              <w:right w:val="single" w:sz="8" w:space="0" w:color="000000"/>
            </w:tcBorders>
          </w:tcPr>
          <w:p w14:paraId="4AC3618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3"/>
                <w:position w:val="-1"/>
                <w:sz w:val="20"/>
                <w:szCs w:val="20"/>
              </w:rPr>
              <w:t>i</w:t>
            </w:r>
            <w:r w:rsidRPr="00537112">
              <w:rPr>
                <w:rFonts w:cs="Verdana"/>
                <w:spacing w:val="-1"/>
                <w:position w:val="-1"/>
                <w:sz w:val="20"/>
                <w:szCs w:val="20"/>
              </w:rPr>
              <w:t>c</w:t>
            </w:r>
            <w:r w:rsidRPr="00537112">
              <w:rPr>
                <w:rFonts w:cs="Verdana"/>
                <w:spacing w:val="1"/>
                <w:position w:val="-1"/>
                <w:sz w:val="20"/>
                <w:szCs w:val="20"/>
              </w:rPr>
              <w:t>t</w:t>
            </w:r>
            <w:r w:rsidRPr="00537112">
              <w:rPr>
                <w:rFonts w:cs="Verdana"/>
                <w:spacing w:val="-1"/>
                <w:position w:val="-1"/>
                <w:sz w:val="20"/>
                <w:szCs w:val="20"/>
              </w:rPr>
              <w:t>or</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p>
        </w:tc>
      </w:tr>
      <w:tr w:rsidR="00537112" w:rsidRPr="00537112" w14:paraId="088A75B3"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2045F40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37</w:t>
            </w:r>
          </w:p>
        </w:tc>
        <w:tc>
          <w:tcPr>
            <w:tcW w:w="5503" w:type="dxa"/>
            <w:tcBorders>
              <w:top w:val="single" w:sz="8" w:space="0" w:color="000000"/>
              <w:left w:val="single" w:sz="8" w:space="0" w:color="000000"/>
              <w:bottom w:val="single" w:sz="8" w:space="0" w:color="000000"/>
              <w:right w:val="single" w:sz="8" w:space="0" w:color="000000"/>
            </w:tcBorders>
          </w:tcPr>
          <w:p w14:paraId="36AF92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p>
        </w:tc>
      </w:tr>
      <w:tr w:rsidR="00537112" w:rsidRPr="00537112" w14:paraId="4B8A0C73"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2D1FC57"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38</w:t>
            </w:r>
          </w:p>
        </w:tc>
        <w:tc>
          <w:tcPr>
            <w:tcW w:w="5503" w:type="dxa"/>
            <w:tcBorders>
              <w:top w:val="single" w:sz="8" w:space="0" w:color="000000"/>
              <w:left w:val="single" w:sz="8" w:space="0" w:color="000000"/>
              <w:bottom w:val="single" w:sz="8" w:space="0" w:color="000000"/>
              <w:right w:val="single" w:sz="8" w:space="0" w:color="000000"/>
            </w:tcBorders>
          </w:tcPr>
          <w:p w14:paraId="0CCA64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n</w:t>
            </w:r>
            <w:r w:rsidRPr="00537112">
              <w:rPr>
                <w:rFonts w:cs="Verdana"/>
                <w:spacing w:val="3"/>
                <w:position w:val="-1"/>
                <w:sz w:val="20"/>
                <w:szCs w:val="20"/>
              </w:rPr>
              <w:t>i</w:t>
            </w:r>
            <w:r w:rsidRPr="00537112">
              <w:rPr>
                <w:rFonts w:cs="Verdana"/>
                <w:spacing w:val="1"/>
                <w:position w:val="-1"/>
                <w:sz w:val="20"/>
                <w:szCs w:val="20"/>
              </w:rPr>
              <w:t>g</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tá</w:t>
            </w:r>
          </w:p>
        </w:tc>
      </w:tr>
      <w:tr w:rsidR="00537112" w:rsidRPr="00537112" w14:paraId="2E78B25F"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0A0C7AE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39</w:t>
            </w:r>
          </w:p>
        </w:tc>
        <w:tc>
          <w:tcPr>
            <w:tcW w:w="5503" w:type="dxa"/>
            <w:tcBorders>
              <w:top w:val="single" w:sz="8" w:space="0" w:color="000000"/>
              <w:left w:val="single" w:sz="8" w:space="0" w:color="000000"/>
              <w:bottom w:val="single" w:sz="8" w:space="0" w:color="000000"/>
              <w:right w:val="single" w:sz="8" w:space="0" w:color="000000"/>
            </w:tcBorders>
          </w:tcPr>
          <w:p w14:paraId="1BD3FC0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f</w:t>
            </w:r>
            <w:r w:rsidRPr="00537112">
              <w:rPr>
                <w:rFonts w:cs="Verdana"/>
                <w:position w:val="-1"/>
                <w:sz w:val="20"/>
                <w:szCs w:val="20"/>
              </w:rPr>
              <w:t>a</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position w:val="-1"/>
                <w:sz w:val="20"/>
                <w:szCs w:val="20"/>
              </w:rPr>
              <w:t>D</w:t>
            </w:r>
            <w:r w:rsidRPr="00537112">
              <w:rPr>
                <w:rFonts w:cs="Verdana"/>
                <w:spacing w:val="-1"/>
                <w:position w:val="-1"/>
                <w:sz w:val="20"/>
                <w:szCs w:val="20"/>
              </w:rPr>
              <w:t>e</w:t>
            </w:r>
            <w:r w:rsidRPr="00537112">
              <w:rPr>
                <w:rFonts w:cs="Verdana"/>
                <w:spacing w:val="1"/>
                <w:position w:val="-1"/>
                <w:sz w:val="20"/>
                <w:szCs w:val="20"/>
              </w:rPr>
              <w:t>p</w:t>
            </w:r>
            <w:r w:rsidRPr="00537112">
              <w:rPr>
                <w:rFonts w:cs="Verdana"/>
                <w:position w:val="-1"/>
                <w:sz w:val="20"/>
                <w:szCs w:val="20"/>
              </w:rPr>
              <w:t>áz</w:t>
            </w:r>
            <w:r w:rsidRPr="00537112">
              <w:rPr>
                <w:rFonts w:cs="Verdana"/>
                <w:spacing w:val="-6"/>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373D94AD"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675FBCD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40</w:t>
            </w:r>
          </w:p>
        </w:tc>
        <w:tc>
          <w:tcPr>
            <w:tcW w:w="5503" w:type="dxa"/>
            <w:tcBorders>
              <w:top w:val="single" w:sz="8" w:space="0" w:color="000000"/>
              <w:left w:val="single" w:sz="8" w:space="0" w:color="000000"/>
              <w:bottom w:val="single" w:sz="8" w:space="0" w:color="000000"/>
              <w:right w:val="single" w:sz="8" w:space="0" w:color="000000"/>
            </w:tcBorders>
          </w:tcPr>
          <w:p w14:paraId="5EDBF47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Es</w:t>
            </w:r>
            <w:r w:rsidRPr="00537112">
              <w:rPr>
                <w:rFonts w:cs="Verdana"/>
                <w:spacing w:val="1"/>
                <w:position w:val="-1"/>
                <w:sz w:val="20"/>
                <w:szCs w:val="20"/>
              </w:rPr>
              <w:t>t</w:t>
            </w:r>
            <w:r w:rsidRPr="00537112">
              <w:rPr>
                <w:rFonts w:cs="Verdana"/>
                <w:spacing w:val="-1"/>
                <w:position w:val="-1"/>
                <w:sz w:val="20"/>
                <w:szCs w:val="20"/>
              </w:rPr>
              <w:t>éf</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ecó</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2EA8D7B9"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507D93D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41</w:t>
            </w:r>
          </w:p>
        </w:tc>
        <w:tc>
          <w:tcPr>
            <w:tcW w:w="5503" w:type="dxa"/>
            <w:tcBorders>
              <w:top w:val="single" w:sz="8" w:space="0" w:color="000000"/>
              <w:left w:val="single" w:sz="8" w:space="0" w:color="000000"/>
              <w:bottom w:val="single" w:sz="8" w:space="0" w:color="000000"/>
              <w:right w:val="single" w:sz="8" w:space="0" w:color="000000"/>
            </w:tcBorders>
          </w:tcPr>
          <w:p w14:paraId="7C9D03D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j</w:t>
            </w:r>
            <w:r w:rsidRPr="00537112">
              <w:rPr>
                <w:rFonts w:cs="Verdana"/>
                <w:position w:val="-1"/>
                <w:sz w:val="20"/>
                <w:szCs w:val="20"/>
              </w:rPr>
              <w:t>as</w:t>
            </w:r>
          </w:p>
        </w:tc>
      </w:tr>
      <w:tr w:rsidR="00537112" w:rsidRPr="00537112" w14:paraId="7610E66A"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1E68A9DA"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42</w:t>
            </w:r>
          </w:p>
        </w:tc>
        <w:tc>
          <w:tcPr>
            <w:tcW w:w="5503" w:type="dxa"/>
            <w:tcBorders>
              <w:top w:val="single" w:sz="8" w:space="0" w:color="000000"/>
              <w:left w:val="single" w:sz="8" w:space="0" w:color="000000"/>
              <w:bottom w:val="single" w:sz="8" w:space="0" w:color="000000"/>
              <w:right w:val="single" w:sz="8" w:space="0" w:color="000000"/>
            </w:tcBorders>
          </w:tcPr>
          <w:p w14:paraId="3048DB4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T</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ás</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65DF435A"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0164767C"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43</w:t>
            </w:r>
          </w:p>
        </w:tc>
        <w:tc>
          <w:tcPr>
            <w:tcW w:w="5503" w:type="dxa"/>
            <w:tcBorders>
              <w:top w:val="single" w:sz="8" w:space="0" w:color="000000"/>
              <w:left w:val="single" w:sz="8" w:space="0" w:color="000000"/>
              <w:bottom w:val="single" w:sz="8" w:space="0" w:color="000000"/>
              <w:right w:val="single" w:sz="8" w:space="0" w:color="000000"/>
            </w:tcBorders>
          </w:tcPr>
          <w:p w14:paraId="06221DD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Máx</w:t>
            </w:r>
            <w:r w:rsidRPr="00537112">
              <w:rPr>
                <w:rFonts w:cs="Verdana"/>
                <w:spacing w:val="3"/>
                <w:position w:val="-1"/>
                <w:sz w:val="20"/>
                <w:szCs w:val="20"/>
              </w:rPr>
              <w:t>i</w:t>
            </w:r>
            <w:r w:rsidRPr="00537112">
              <w:rPr>
                <w:rFonts w:cs="Verdana"/>
                <w:spacing w:val="1"/>
                <w:position w:val="-1"/>
                <w:sz w:val="20"/>
                <w:szCs w:val="20"/>
              </w:rPr>
              <w:t>m</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E</w:t>
            </w:r>
            <w:r w:rsidRPr="00537112">
              <w:rPr>
                <w:rFonts w:cs="Verdana"/>
                <w:spacing w:val="1"/>
                <w:position w:val="-1"/>
                <w:sz w:val="20"/>
                <w:szCs w:val="20"/>
              </w:rPr>
              <w:t>m</w:t>
            </w:r>
            <w:r w:rsidRPr="00537112">
              <w:rPr>
                <w:rFonts w:cs="Verdana"/>
                <w:spacing w:val="3"/>
                <w:position w:val="-1"/>
                <w:sz w:val="20"/>
                <w:szCs w:val="20"/>
              </w:rPr>
              <w:t>ili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V</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y</w:t>
            </w:r>
          </w:p>
        </w:tc>
      </w:tr>
      <w:tr w:rsidR="00537112" w:rsidRPr="00537112" w14:paraId="1AE912DB"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127CA4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44</w:t>
            </w:r>
          </w:p>
        </w:tc>
        <w:tc>
          <w:tcPr>
            <w:tcW w:w="5503" w:type="dxa"/>
            <w:tcBorders>
              <w:top w:val="single" w:sz="8" w:space="0" w:color="000000"/>
              <w:left w:val="single" w:sz="8" w:space="0" w:color="000000"/>
              <w:bottom w:val="single" w:sz="8" w:space="0" w:color="000000"/>
              <w:right w:val="single" w:sz="8" w:space="0" w:color="000000"/>
            </w:tcBorders>
          </w:tcPr>
          <w:p w14:paraId="2E8762E1"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1"/>
                <w:position w:val="-1"/>
                <w:sz w:val="20"/>
                <w:szCs w:val="20"/>
              </w:rPr>
              <w:t>ce</w:t>
            </w:r>
            <w:r w:rsidRPr="00537112">
              <w:rPr>
                <w:rFonts w:cs="Verdana"/>
                <w:spacing w:val="1"/>
                <w:position w:val="-1"/>
                <w:sz w:val="20"/>
                <w:szCs w:val="20"/>
              </w:rPr>
              <w:t>p</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o</w:t>
            </w:r>
            <w:r w:rsidRPr="00537112">
              <w:rPr>
                <w:rFonts w:cs="Verdana"/>
                <w:position w:val="-1"/>
                <w:sz w:val="20"/>
                <w:szCs w:val="20"/>
              </w:rPr>
              <w:t>n</w:t>
            </w:r>
            <w:r w:rsidRPr="00537112">
              <w:rPr>
                <w:rFonts w:cs="Verdana"/>
                <w:spacing w:val="-11"/>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p>
        </w:tc>
      </w:tr>
      <w:tr w:rsidR="00537112" w:rsidRPr="00537112" w14:paraId="216352A8"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7A85091D"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45</w:t>
            </w:r>
          </w:p>
        </w:tc>
        <w:tc>
          <w:tcPr>
            <w:tcW w:w="5503" w:type="dxa"/>
            <w:tcBorders>
              <w:top w:val="single" w:sz="8" w:space="0" w:color="000000"/>
              <w:left w:val="single" w:sz="8" w:space="0" w:color="000000"/>
              <w:bottom w:val="single" w:sz="8" w:space="0" w:color="000000"/>
              <w:right w:val="single" w:sz="8" w:space="0" w:color="000000"/>
            </w:tcBorders>
          </w:tcPr>
          <w:p w14:paraId="5CBB882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2E712702"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7A66AEA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46</w:t>
            </w:r>
          </w:p>
        </w:tc>
        <w:tc>
          <w:tcPr>
            <w:tcW w:w="5503" w:type="dxa"/>
            <w:tcBorders>
              <w:top w:val="single" w:sz="8" w:space="0" w:color="000000"/>
              <w:left w:val="single" w:sz="8" w:space="0" w:color="000000"/>
              <w:bottom w:val="single" w:sz="8" w:space="0" w:color="000000"/>
              <w:right w:val="single" w:sz="8" w:space="0" w:color="000000"/>
            </w:tcBorders>
          </w:tcPr>
          <w:p w14:paraId="504627C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0B3FF76B" w14:textId="77777777" w:rsidTr="00630EEC">
        <w:trPr>
          <w:trHeight w:hRule="exact" w:val="247"/>
        </w:trPr>
        <w:tc>
          <w:tcPr>
            <w:tcW w:w="1010" w:type="dxa"/>
            <w:tcBorders>
              <w:top w:val="single" w:sz="8" w:space="0" w:color="000000"/>
              <w:left w:val="single" w:sz="8" w:space="0" w:color="000000"/>
              <w:bottom w:val="single" w:sz="8" w:space="0" w:color="000000"/>
              <w:right w:val="single" w:sz="8" w:space="0" w:color="000000"/>
            </w:tcBorders>
            <w:shd w:val="clear" w:color="auto" w:fill="C0C0C0"/>
          </w:tcPr>
          <w:p w14:paraId="45F23B2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47</w:t>
            </w:r>
          </w:p>
        </w:tc>
        <w:tc>
          <w:tcPr>
            <w:tcW w:w="5503" w:type="dxa"/>
            <w:tcBorders>
              <w:top w:val="single" w:sz="8" w:space="0" w:color="000000"/>
              <w:left w:val="single" w:sz="8" w:space="0" w:color="000000"/>
              <w:bottom w:val="single" w:sz="8" w:space="0" w:color="000000"/>
              <w:right w:val="single" w:sz="8" w:space="0" w:color="000000"/>
            </w:tcBorders>
          </w:tcPr>
          <w:p w14:paraId="78D4800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t</w:t>
            </w:r>
            <w:r w:rsidRPr="00537112">
              <w:rPr>
                <w:rFonts w:cs="Verdana"/>
                <w:spacing w:val="-1"/>
                <w:position w:val="-1"/>
                <w:sz w:val="20"/>
                <w:szCs w:val="20"/>
              </w:rPr>
              <w:t>ro</w:t>
            </w:r>
            <w:r w:rsidRPr="00537112">
              <w:rPr>
                <w:rFonts w:cs="Verdana"/>
                <w:spacing w:val="1"/>
                <w:position w:val="-1"/>
                <w:sz w:val="20"/>
                <w:szCs w:val="20"/>
              </w:rPr>
              <w:t>n</w:t>
            </w:r>
            <w:r w:rsidRPr="00537112">
              <w:rPr>
                <w:rFonts w:cs="Verdana"/>
                <w:spacing w:val="3"/>
                <w:position w:val="-1"/>
                <w:sz w:val="20"/>
                <w:szCs w:val="20"/>
              </w:rPr>
              <w:t>il</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bl>
    <w:p w14:paraId="30036EF5"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headerReference w:type="default" r:id="rId22"/>
          <w:pgSz w:w="12260" w:h="15840"/>
          <w:pgMar w:top="1320" w:right="1720" w:bottom="280" w:left="980" w:header="0" w:footer="0" w:gutter="0"/>
          <w:cols w:space="720" w:equalWidth="0">
            <w:col w:w="9560"/>
          </w:cols>
          <w:noEndnote/>
        </w:sectPr>
      </w:pPr>
    </w:p>
    <w:p w14:paraId="0EC4717E" w14:textId="77777777" w:rsidR="00537112" w:rsidRPr="00537112" w:rsidRDefault="00537112" w:rsidP="00537112">
      <w:pPr>
        <w:autoSpaceDE w:val="0"/>
        <w:autoSpaceDN w:val="0"/>
        <w:spacing w:before="9" w:line="80" w:lineRule="exact"/>
        <w:jc w:val="left"/>
        <w:textAlignment w:val="auto"/>
        <w:rPr>
          <w:rFonts w:ascii="Times New Roman" w:hAnsi="Times New Roman"/>
          <w:sz w:val="8"/>
          <w:szCs w:val="8"/>
        </w:rPr>
      </w:pPr>
    </w:p>
    <w:tbl>
      <w:tblPr>
        <w:tblW w:w="0" w:type="auto"/>
        <w:tblInd w:w="108" w:type="dxa"/>
        <w:tblLayout w:type="fixed"/>
        <w:tblCellMar>
          <w:left w:w="0" w:type="dxa"/>
          <w:right w:w="0" w:type="dxa"/>
        </w:tblCellMar>
        <w:tblLook w:val="0000" w:firstRow="0" w:lastRow="0" w:firstColumn="0" w:lastColumn="0" w:noHBand="0" w:noVBand="0"/>
      </w:tblPr>
      <w:tblGrid>
        <w:gridCol w:w="1011"/>
        <w:gridCol w:w="5503"/>
      </w:tblGrid>
      <w:tr w:rsidR="00537112" w:rsidRPr="00537112" w14:paraId="416F5408" w14:textId="77777777" w:rsidTr="00630EEC">
        <w:trPr>
          <w:trHeight w:hRule="exact" w:val="247"/>
        </w:trPr>
        <w:tc>
          <w:tcPr>
            <w:tcW w:w="1011" w:type="dxa"/>
            <w:tcBorders>
              <w:top w:val="single" w:sz="4" w:space="0" w:color="auto"/>
              <w:left w:val="single" w:sz="8" w:space="0" w:color="000000"/>
              <w:bottom w:val="single" w:sz="8" w:space="0" w:color="000000"/>
              <w:right w:val="single" w:sz="8" w:space="0" w:color="000000"/>
            </w:tcBorders>
            <w:shd w:val="clear" w:color="auto" w:fill="C0C0C0"/>
          </w:tcPr>
          <w:p w14:paraId="2142A300" w14:textId="77777777" w:rsidR="00537112" w:rsidRPr="00537112" w:rsidRDefault="00537112" w:rsidP="00537112">
            <w:pPr>
              <w:autoSpaceDE w:val="0"/>
              <w:autoSpaceDN w:val="0"/>
              <w:spacing w:line="232" w:lineRule="exact"/>
              <w:ind w:right="290"/>
              <w:jc w:val="center"/>
              <w:textAlignment w:val="auto"/>
              <w:rPr>
                <w:rFonts w:ascii="Times New Roman" w:hAnsi="Times New Roman"/>
              </w:rPr>
            </w:pPr>
            <w:r w:rsidRPr="00537112">
              <w:rPr>
                <w:rFonts w:cs="Verdana"/>
                <w:b/>
                <w:bCs/>
                <w:w w:val="99"/>
                <w:sz w:val="20"/>
                <w:szCs w:val="20"/>
              </w:rPr>
              <w:t>48</w:t>
            </w:r>
          </w:p>
        </w:tc>
        <w:tc>
          <w:tcPr>
            <w:tcW w:w="5503" w:type="dxa"/>
            <w:tcBorders>
              <w:top w:val="single" w:sz="8" w:space="0" w:color="000000"/>
              <w:left w:val="single" w:sz="8" w:space="0" w:color="000000"/>
              <w:bottom w:val="single" w:sz="8" w:space="0" w:color="000000"/>
              <w:right w:val="single" w:sz="8" w:space="0" w:color="000000"/>
            </w:tcBorders>
          </w:tcPr>
          <w:p w14:paraId="147401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72B1C75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6F788E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49</w:t>
            </w:r>
          </w:p>
        </w:tc>
        <w:tc>
          <w:tcPr>
            <w:tcW w:w="5503" w:type="dxa"/>
            <w:tcBorders>
              <w:top w:val="single" w:sz="8" w:space="0" w:color="000000"/>
              <w:left w:val="single" w:sz="8" w:space="0" w:color="000000"/>
              <w:bottom w:val="single" w:sz="8" w:space="0" w:color="000000"/>
              <w:right w:val="single" w:sz="8" w:space="0" w:color="000000"/>
            </w:tcBorders>
          </w:tcPr>
          <w:p w14:paraId="414AEE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rce</w:t>
            </w:r>
            <w:r w:rsidRPr="00537112">
              <w:rPr>
                <w:rFonts w:cs="Verdana"/>
                <w:spacing w:val="3"/>
                <w:position w:val="-1"/>
                <w:sz w:val="20"/>
                <w:szCs w:val="20"/>
              </w:rPr>
              <w:t>l</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é</w:t>
            </w:r>
            <w:r w:rsidRPr="00537112">
              <w:rPr>
                <w:rFonts w:cs="Verdana"/>
                <w:position w:val="-1"/>
                <w:sz w:val="20"/>
                <w:szCs w:val="20"/>
              </w:rPr>
              <w:t>n</w:t>
            </w:r>
          </w:p>
        </w:tc>
      </w:tr>
      <w:tr w:rsidR="00537112" w:rsidRPr="00537112" w14:paraId="2DBCA886"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938620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50</w:t>
            </w:r>
          </w:p>
        </w:tc>
        <w:tc>
          <w:tcPr>
            <w:tcW w:w="5503" w:type="dxa"/>
            <w:tcBorders>
              <w:top w:val="single" w:sz="8" w:space="0" w:color="000000"/>
              <w:left w:val="single" w:sz="8" w:space="0" w:color="000000"/>
              <w:bottom w:val="single" w:sz="8" w:space="0" w:color="000000"/>
              <w:right w:val="single" w:sz="8" w:space="0" w:color="000000"/>
            </w:tcBorders>
          </w:tcPr>
          <w:p w14:paraId="7315FDF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1"/>
                <w:position w:val="-1"/>
                <w:sz w:val="20"/>
                <w:szCs w:val="20"/>
              </w:rPr>
              <w:t>e</w:t>
            </w:r>
            <w:r w:rsidRPr="00537112">
              <w:rPr>
                <w:rFonts w:cs="Verdana"/>
                <w:spacing w:val="1"/>
                <w:position w:val="-1"/>
                <w:sz w:val="20"/>
                <w:szCs w:val="20"/>
              </w:rPr>
              <w:t>d</w:t>
            </w:r>
            <w:r w:rsidRPr="00537112">
              <w:rPr>
                <w:rFonts w:cs="Verdana"/>
                <w:spacing w:val="-1"/>
                <w:position w:val="-1"/>
                <w:sz w:val="20"/>
                <w:szCs w:val="20"/>
              </w:rPr>
              <w:t>r</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í</w:t>
            </w:r>
            <w:r w:rsidRPr="00537112">
              <w:rPr>
                <w:rFonts w:cs="Verdana"/>
                <w:position w:val="-1"/>
                <w:sz w:val="20"/>
                <w:szCs w:val="20"/>
              </w:rPr>
              <w:t>c</w:t>
            </w:r>
            <w:r w:rsidRPr="00537112">
              <w:rPr>
                <w:rFonts w:cs="Verdana"/>
                <w:spacing w:val="-4"/>
                <w:position w:val="-1"/>
                <w:sz w:val="20"/>
                <w:szCs w:val="20"/>
              </w:rPr>
              <w:t xml:space="preserve"> </w:t>
            </w:r>
            <w:r w:rsidRPr="00537112">
              <w:rPr>
                <w:rFonts w:cs="Verdana"/>
                <w:spacing w:val="-1"/>
                <w:position w:val="-1"/>
                <w:sz w:val="20"/>
                <w:szCs w:val="20"/>
              </w:rPr>
              <w:t>Her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nd</w:t>
            </w:r>
            <w:r w:rsidRPr="00537112">
              <w:rPr>
                <w:rFonts w:cs="Verdana"/>
                <w:spacing w:val="-1"/>
                <w:position w:val="-1"/>
                <w:sz w:val="20"/>
                <w:szCs w:val="20"/>
              </w:rPr>
              <w:t>e</w:t>
            </w:r>
            <w:r w:rsidRPr="00537112">
              <w:rPr>
                <w:rFonts w:cs="Verdana"/>
                <w:position w:val="-1"/>
                <w:sz w:val="20"/>
                <w:szCs w:val="20"/>
              </w:rPr>
              <w:t>z</w:t>
            </w:r>
          </w:p>
        </w:tc>
      </w:tr>
      <w:tr w:rsidR="00537112" w:rsidRPr="00537112" w14:paraId="6A585EE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999F4B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51</w:t>
            </w:r>
          </w:p>
        </w:tc>
        <w:tc>
          <w:tcPr>
            <w:tcW w:w="5503" w:type="dxa"/>
            <w:tcBorders>
              <w:top w:val="single" w:sz="8" w:space="0" w:color="000000"/>
              <w:left w:val="single" w:sz="8" w:space="0" w:color="000000"/>
              <w:bottom w:val="single" w:sz="8" w:space="0" w:color="000000"/>
              <w:right w:val="single" w:sz="8" w:space="0" w:color="000000"/>
            </w:tcBorders>
          </w:tcPr>
          <w:p w14:paraId="624E2117"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D</w:t>
            </w:r>
            <w:r w:rsidRPr="00537112">
              <w:rPr>
                <w:rFonts w:cs="Verdana"/>
                <w:spacing w:val="-1"/>
                <w:position w:val="-1"/>
                <w:sz w:val="20"/>
                <w:szCs w:val="20"/>
              </w:rPr>
              <w:t>o</w:t>
            </w:r>
            <w:r w:rsidRPr="00537112">
              <w:rPr>
                <w:rFonts w:cs="Verdana"/>
                <w:spacing w:val="1"/>
                <w:position w:val="-1"/>
                <w:sz w:val="20"/>
                <w:szCs w:val="20"/>
              </w:rPr>
              <w:t>m</w:t>
            </w:r>
            <w:r w:rsidRPr="00537112">
              <w:rPr>
                <w:rFonts w:cs="Verdana"/>
                <w:spacing w:val="3"/>
                <w:position w:val="-1"/>
                <w:sz w:val="20"/>
                <w:szCs w:val="20"/>
              </w:rPr>
              <w:t>i</w:t>
            </w:r>
            <w:r w:rsidRPr="00537112">
              <w:rPr>
                <w:rFonts w:cs="Verdana"/>
                <w:spacing w:val="1"/>
                <w:position w:val="-1"/>
                <w:sz w:val="20"/>
                <w:szCs w:val="20"/>
              </w:rPr>
              <w:t>ng</w:t>
            </w:r>
            <w:r w:rsidRPr="00537112">
              <w:rPr>
                <w:rFonts w:cs="Verdana"/>
                <w:position w:val="-1"/>
                <w:sz w:val="20"/>
                <w:szCs w:val="20"/>
              </w:rPr>
              <w:t>a</w:t>
            </w:r>
            <w:r w:rsidRPr="00537112">
              <w:rPr>
                <w:rFonts w:cs="Verdana"/>
                <w:spacing w:val="-9"/>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r w:rsidRPr="00537112">
              <w:rPr>
                <w:rFonts w:cs="Verdana"/>
                <w:spacing w:val="-6"/>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4BBE946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B3E6F5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52</w:t>
            </w:r>
          </w:p>
        </w:tc>
        <w:tc>
          <w:tcPr>
            <w:tcW w:w="5503" w:type="dxa"/>
            <w:tcBorders>
              <w:top w:val="single" w:sz="8" w:space="0" w:color="000000"/>
              <w:left w:val="single" w:sz="8" w:space="0" w:color="000000"/>
              <w:bottom w:val="single" w:sz="8" w:space="0" w:color="000000"/>
              <w:right w:val="single" w:sz="8" w:space="0" w:color="000000"/>
            </w:tcBorders>
          </w:tcPr>
          <w:p w14:paraId="0541E36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1"/>
                <w:position w:val="-1"/>
                <w:sz w:val="20"/>
                <w:szCs w:val="20"/>
              </w:rPr>
              <w:t>efer</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ú</w:t>
            </w:r>
            <w:r w:rsidRPr="00537112">
              <w:rPr>
                <w:rFonts w:cs="Verdana"/>
                <w:position w:val="-1"/>
                <w:sz w:val="20"/>
                <w:szCs w:val="20"/>
              </w:rPr>
              <w:t>p</w:t>
            </w:r>
          </w:p>
        </w:tc>
      </w:tr>
      <w:tr w:rsidR="00537112" w:rsidRPr="00537112" w14:paraId="16667AE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94F278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53</w:t>
            </w:r>
          </w:p>
        </w:tc>
        <w:tc>
          <w:tcPr>
            <w:tcW w:w="5503" w:type="dxa"/>
            <w:tcBorders>
              <w:top w:val="single" w:sz="8" w:space="0" w:color="000000"/>
              <w:left w:val="single" w:sz="8" w:space="0" w:color="000000"/>
              <w:bottom w:val="single" w:sz="8" w:space="0" w:color="000000"/>
              <w:right w:val="single" w:sz="8" w:space="0" w:color="000000"/>
            </w:tcBorders>
          </w:tcPr>
          <w:p w14:paraId="1CAC3B2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position w:val="-1"/>
                <w:sz w:val="20"/>
                <w:szCs w:val="20"/>
              </w:rPr>
              <w:t>l</w:t>
            </w:r>
            <w:r w:rsidRPr="00537112">
              <w:rPr>
                <w:rFonts w:cs="Verdana"/>
                <w:spacing w:val="-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Su</w:t>
            </w:r>
            <w:r w:rsidRPr="00537112">
              <w:rPr>
                <w:rFonts w:cs="Verdana"/>
                <w:spacing w:val="-1"/>
                <w:position w:val="-1"/>
                <w:sz w:val="20"/>
                <w:szCs w:val="20"/>
              </w:rPr>
              <w:t>c</w:t>
            </w:r>
            <w:r w:rsidRPr="00537112">
              <w:rPr>
                <w:rFonts w:cs="Verdana"/>
                <w:spacing w:val="1"/>
                <w:position w:val="-1"/>
                <w:sz w:val="20"/>
                <w:szCs w:val="20"/>
              </w:rPr>
              <w:t>u</w:t>
            </w:r>
            <w:r w:rsidRPr="00537112">
              <w:rPr>
                <w:rFonts w:cs="Verdana"/>
                <w:position w:val="-1"/>
                <w:sz w:val="20"/>
                <w:szCs w:val="20"/>
              </w:rPr>
              <w:t>p</w:t>
            </w:r>
          </w:p>
        </w:tc>
      </w:tr>
      <w:tr w:rsidR="00537112" w:rsidRPr="00537112" w14:paraId="5253640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7486803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54</w:t>
            </w:r>
          </w:p>
        </w:tc>
        <w:tc>
          <w:tcPr>
            <w:tcW w:w="5503" w:type="dxa"/>
            <w:tcBorders>
              <w:top w:val="single" w:sz="8" w:space="0" w:color="000000"/>
              <w:left w:val="single" w:sz="8" w:space="0" w:color="000000"/>
              <w:bottom w:val="single" w:sz="8" w:space="0" w:color="000000"/>
              <w:right w:val="single" w:sz="8" w:space="0" w:color="000000"/>
            </w:tcBorders>
          </w:tcPr>
          <w:p w14:paraId="66F14E3D"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r w:rsidRPr="00537112">
              <w:rPr>
                <w:rFonts w:cs="Verdana"/>
                <w:spacing w:val="-7"/>
                <w:position w:val="-1"/>
                <w:sz w:val="20"/>
                <w:szCs w:val="20"/>
              </w:rPr>
              <w:t xml:space="preserve"> </w:t>
            </w:r>
            <w:r w:rsidRPr="00537112">
              <w:rPr>
                <w:rFonts w:cs="Verdana"/>
                <w:position w:val="-1"/>
                <w:sz w:val="20"/>
                <w:szCs w:val="20"/>
              </w:rPr>
              <w:t>T</w:t>
            </w:r>
            <w:r w:rsidRPr="00537112">
              <w:rPr>
                <w:rFonts w:cs="Verdana"/>
                <w:spacing w:val="1"/>
                <w:position w:val="-1"/>
                <w:sz w:val="20"/>
                <w:szCs w:val="20"/>
              </w:rPr>
              <w:t>ú</w:t>
            </w:r>
            <w:r w:rsidRPr="00537112">
              <w:rPr>
                <w:rFonts w:cs="Verdana"/>
                <w:position w:val="-1"/>
                <w:sz w:val="20"/>
                <w:szCs w:val="20"/>
              </w:rPr>
              <w:t>m</w:t>
            </w:r>
          </w:p>
        </w:tc>
      </w:tr>
      <w:tr w:rsidR="00537112" w:rsidRPr="00537112" w14:paraId="0938EAFF"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43179F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55</w:t>
            </w:r>
          </w:p>
        </w:tc>
        <w:tc>
          <w:tcPr>
            <w:tcW w:w="5503" w:type="dxa"/>
            <w:tcBorders>
              <w:top w:val="single" w:sz="8" w:space="0" w:color="000000"/>
              <w:left w:val="single" w:sz="8" w:space="0" w:color="000000"/>
              <w:bottom w:val="single" w:sz="8" w:space="0" w:color="000000"/>
              <w:right w:val="single" w:sz="8" w:space="0" w:color="000000"/>
            </w:tcBorders>
          </w:tcPr>
          <w:p w14:paraId="5922057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And</w:t>
            </w:r>
            <w:r w:rsidRPr="00537112">
              <w:rPr>
                <w:rFonts w:cs="Verdana"/>
                <w:spacing w:val="-1"/>
                <w:position w:val="-1"/>
                <w:sz w:val="20"/>
                <w:szCs w:val="20"/>
              </w:rPr>
              <w:t>re</w:t>
            </w:r>
            <w:r w:rsidRPr="00537112">
              <w:rPr>
                <w:rFonts w:cs="Verdana"/>
                <w:position w:val="-1"/>
                <w:sz w:val="20"/>
                <w:szCs w:val="20"/>
              </w:rPr>
              <w:t>s</w:t>
            </w:r>
            <w:r w:rsidRPr="00537112">
              <w:rPr>
                <w:rFonts w:cs="Verdana"/>
                <w:spacing w:val="-8"/>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718EDD4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79BEBA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56</w:t>
            </w:r>
          </w:p>
        </w:tc>
        <w:tc>
          <w:tcPr>
            <w:tcW w:w="5503" w:type="dxa"/>
            <w:tcBorders>
              <w:top w:val="single" w:sz="8" w:space="0" w:color="000000"/>
              <w:left w:val="single" w:sz="8" w:space="0" w:color="000000"/>
              <w:bottom w:val="single" w:sz="8" w:space="0" w:color="000000"/>
              <w:right w:val="single" w:sz="8" w:space="0" w:color="000000"/>
            </w:tcBorders>
          </w:tcPr>
          <w:p w14:paraId="63ACA6F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nt</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g</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position w:val="-1"/>
                <w:sz w:val="20"/>
                <w:szCs w:val="20"/>
              </w:rPr>
              <w:t>y</w:t>
            </w:r>
            <w:r w:rsidRPr="00537112">
              <w:rPr>
                <w:rFonts w:cs="Verdana"/>
                <w:spacing w:val="-1"/>
                <w:position w:val="-1"/>
                <w:sz w:val="20"/>
                <w:szCs w:val="20"/>
              </w:rPr>
              <w:t>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1"/>
                <w:position w:val="-1"/>
                <w:sz w:val="20"/>
                <w:szCs w:val="20"/>
              </w:rPr>
              <w:t>m</w:t>
            </w:r>
            <w:r w:rsidRPr="00537112">
              <w:rPr>
                <w:rFonts w:cs="Verdana"/>
                <w:position w:val="-1"/>
                <w:sz w:val="20"/>
                <w:szCs w:val="20"/>
              </w:rPr>
              <w:t>án</w:t>
            </w:r>
          </w:p>
        </w:tc>
      </w:tr>
      <w:tr w:rsidR="00537112" w:rsidRPr="00537112" w14:paraId="70710627"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10CC9EF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57</w:t>
            </w:r>
          </w:p>
        </w:tc>
        <w:tc>
          <w:tcPr>
            <w:tcW w:w="5503" w:type="dxa"/>
            <w:tcBorders>
              <w:top w:val="single" w:sz="8" w:space="0" w:color="000000"/>
              <w:left w:val="single" w:sz="8" w:space="0" w:color="000000"/>
              <w:bottom w:val="single" w:sz="8" w:space="0" w:color="000000"/>
              <w:right w:val="single" w:sz="8" w:space="0" w:color="000000"/>
            </w:tcBorders>
          </w:tcPr>
          <w:p w14:paraId="14FAB15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F</w:t>
            </w:r>
            <w:r w:rsidRPr="00537112">
              <w:rPr>
                <w:rFonts w:cs="Verdana"/>
                <w:spacing w:val="3"/>
                <w:position w:val="-1"/>
                <w:sz w:val="20"/>
                <w:szCs w:val="20"/>
              </w:rPr>
              <w:t>i</w:t>
            </w:r>
            <w:r w:rsidRPr="00537112">
              <w:rPr>
                <w:rFonts w:cs="Verdana"/>
                <w:spacing w:val="1"/>
                <w:position w:val="-1"/>
                <w:sz w:val="20"/>
                <w:szCs w:val="20"/>
              </w:rPr>
              <w:t>d</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3A7EE67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B05F9E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58</w:t>
            </w:r>
          </w:p>
        </w:tc>
        <w:tc>
          <w:tcPr>
            <w:tcW w:w="5503" w:type="dxa"/>
            <w:tcBorders>
              <w:top w:val="single" w:sz="8" w:space="0" w:color="000000"/>
              <w:left w:val="single" w:sz="8" w:space="0" w:color="000000"/>
              <w:bottom w:val="single" w:sz="8" w:space="0" w:color="000000"/>
              <w:right w:val="single" w:sz="8" w:space="0" w:color="000000"/>
            </w:tcBorders>
          </w:tcPr>
          <w:p w14:paraId="6F5211B9"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Am</w:t>
            </w:r>
            <w:r w:rsidRPr="00537112">
              <w:rPr>
                <w:rFonts w:cs="Verdana"/>
                <w:spacing w:val="-1"/>
                <w:position w:val="-1"/>
                <w:sz w:val="20"/>
                <w:szCs w:val="20"/>
              </w:rPr>
              <w:t>e</w:t>
            </w:r>
            <w:r w:rsidRPr="00537112">
              <w:rPr>
                <w:rFonts w:cs="Verdana"/>
                <w:spacing w:val="3"/>
                <w:position w:val="-1"/>
                <w:sz w:val="20"/>
                <w:szCs w:val="20"/>
              </w:rPr>
              <w:t>li</w:t>
            </w:r>
            <w:r w:rsidRPr="00537112">
              <w:rPr>
                <w:rFonts w:cs="Verdana"/>
                <w:position w:val="-1"/>
                <w:sz w:val="20"/>
                <w:szCs w:val="20"/>
              </w:rPr>
              <w:t>a</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68113DA"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15CFBB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59</w:t>
            </w:r>
          </w:p>
        </w:tc>
        <w:tc>
          <w:tcPr>
            <w:tcW w:w="5503" w:type="dxa"/>
            <w:tcBorders>
              <w:top w:val="single" w:sz="8" w:space="0" w:color="000000"/>
              <w:left w:val="single" w:sz="8" w:space="0" w:color="000000"/>
              <w:bottom w:val="single" w:sz="8" w:space="0" w:color="000000"/>
              <w:right w:val="single" w:sz="8" w:space="0" w:color="000000"/>
            </w:tcBorders>
          </w:tcPr>
          <w:p w14:paraId="5730643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c</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7"/>
                <w:position w:val="-1"/>
                <w:sz w:val="20"/>
                <w:szCs w:val="20"/>
              </w:rPr>
              <w:t xml:space="preserve"> </w:t>
            </w:r>
            <w:r w:rsidRPr="00537112">
              <w:rPr>
                <w:rFonts w:cs="Verdana"/>
                <w:spacing w:val="1"/>
                <w:position w:val="-1"/>
                <w:sz w:val="20"/>
                <w:szCs w:val="20"/>
              </w:rPr>
              <w:t>V</w:t>
            </w:r>
            <w:r w:rsidRPr="00537112">
              <w:rPr>
                <w:rFonts w:cs="Verdana"/>
                <w:spacing w:val="3"/>
                <w:position w:val="-1"/>
                <w:sz w:val="20"/>
                <w:szCs w:val="20"/>
              </w:rPr>
              <w:t>il</w:t>
            </w:r>
            <w:r w:rsidRPr="00537112">
              <w:rPr>
                <w:rFonts w:cs="Verdana"/>
                <w:spacing w:val="1"/>
                <w:position w:val="-1"/>
                <w:sz w:val="20"/>
                <w:szCs w:val="20"/>
              </w:rPr>
              <w:t>m</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y</w:t>
            </w:r>
            <w:r w:rsidRPr="00537112">
              <w:rPr>
                <w:rFonts w:cs="Verdana"/>
                <w:spacing w:val="-2"/>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nz</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3"/>
                <w:position w:val="-1"/>
                <w:sz w:val="20"/>
                <w:szCs w:val="20"/>
              </w:rPr>
              <w:t>ili</w:t>
            </w:r>
            <w:r w:rsidRPr="00537112">
              <w:rPr>
                <w:rFonts w:cs="Verdana"/>
                <w:position w:val="-1"/>
                <w:sz w:val="20"/>
                <w:szCs w:val="20"/>
              </w:rPr>
              <w:t>án</w:t>
            </w:r>
          </w:p>
        </w:tc>
      </w:tr>
      <w:tr w:rsidR="00537112" w:rsidRPr="00537112" w14:paraId="590E98A7"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0E380CA"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60</w:t>
            </w:r>
          </w:p>
        </w:tc>
        <w:tc>
          <w:tcPr>
            <w:tcW w:w="5503" w:type="dxa"/>
            <w:tcBorders>
              <w:top w:val="single" w:sz="8" w:space="0" w:color="000000"/>
              <w:left w:val="single" w:sz="8" w:space="0" w:color="000000"/>
              <w:bottom w:val="single" w:sz="8" w:space="0" w:color="000000"/>
              <w:right w:val="single" w:sz="8" w:space="0" w:color="000000"/>
            </w:tcBorders>
          </w:tcPr>
          <w:p w14:paraId="42D0A31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V</w:t>
            </w:r>
            <w:r w:rsidRPr="00537112">
              <w:rPr>
                <w:rFonts w:cs="Verdana"/>
                <w:spacing w:val="-1"/>
                <w:position w:val="-1"/>
                <w:sz w:val="20"/>
                <w:szCs w:val="20"/>
              </w:rPr>
              <w:t>e</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T</w:t>
            </w:r>
            <w:r w:rsidRPr="00537112">
              <w:rPr>
                <w:rFonts w:cs="Verdana"/>
                <w:spacing w:val="-1"/>
                <w:position w:val="-1"/>
                <w:sz w:val="20"/>
                <w:szCs w:val="20"/>
              </w:rPr>
              <w:t>orre</w:t>
            </w:r>
            <w:r w:rsidRPr="00537112">
              <w:rPr>
                <w:rFonts w:cs="Verdana"/>
                <w:position w:val="-1"/>
                <w:sz w:val="20"/>
                <w:szCs w:val="20"/>
              </w:rPr>
              <w:t>s</w:t>
            </w:r>
            <w:r w:rsidRPr="00537112">
              <w:rPr>
                <w:rFonts w:cs="Verdana"/>
                <w:spacing w:val="-7"/>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5101FA6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00327F2"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61</w:t>
            </w:r>
          </w:p>
        </w:tc>
        <w:tc>
          <w:tcPr>
            <w:tcW w:w="5503" w:type="dxa"/>
            <w:tcBorders>
              <w:top w:val="single" w:sz="8" w:space="0" w:color="000000"/>
              <w:left w:val="single" w:sz="8" w:space="0" w:color="000000"/>
              <w:bottom w:val="single" w:sz="8" w:space="0" w:color="000000"/>
              <w:right w:val="single" w:sz="8" w:space="0" w:color="000000"/>
            </w:tcBorders>
          </w:tcPr>
          <w:p w14:paraId="34202A4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t</w:t>
            </w:r>
            <w:r w:rsidRPr="00537112">
              <w:rPr>
                <w:rFonts w:cs="Verdana"/>
                <w:spacing w:val="-1"/>
                <w:position w:val="-1"/>
                <w:sz w:val="20"/>
                <w:szCs w:val="20"/>
              </w:rPr>
              <w:t>e</w:t>
            </w:r>
            <w:r w:rsidRPr="00537112">
              <w:rPr>
                <w:rFonts w:cs="Verdana"/>
                <w:position w:val="-1"/>
                <w:sz w:val="20"/>
                <w:szCs w:val="20"/>
              </w:rPr>
              <w:t>o</w:t>
            </w:r>
            <w:r w:rsidRPr="00537112">
              <w:rPr>
                <w:rFonts w:cs="Verdana"/>
                <w:spacing w:val="-8"/>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p>
        </w:tc>
      </w:tr>
      <w:tr w:rsidR="00537112" w:rsidRPr="00537112" w14:paraId="32DEF416"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3F0CFE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62</w:t>
            </w:r>
          </w:p>
        </w:tc>
        <w:tc>
          <w:tcPr>
            <w:tcW w:w="5503" w:type="dxa"/>
            <w:tcBorders>
              <w:top w:val="single" w:sz="8" w:space="0" w:color="000000"/>
              <w:left w:val="single" w:sz="8" w:space="0" w:color="000000"/>
              <w:bottom w:val="single" w:sz="8" w:space="0" w:color="000000"/>
              <w:right w:val="single" w:sz="8" w:space="0" w:color="000000"/>
            </w:tcBorders>
          </w:tcPr>
          <w:p w14:paraId="5864ECD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u</w:t>
            </w:r>
            <w:r w:rsidRPr="00537112">
              <w:rPr>
                <w:rFonts w:cs="Verdana"/>
                <w:spacing w:val="-1"/>
                <w:position w:val="-1"/>
                <w:sz w:val="20"/>
                <w:szCs w:val="20"/>
              </w:rPr>
              <w:t>se</w:t>
            </w:r>
            <w:r w:rsidRPr="00537112">
              <w:rPr>
                <w:rFonts w:cs="Verdana"/>
                <w:spacing w:val="1"/>
                <w:position w:val="-1"/>
                <w:sz w:val="20"/>
                <w:szCs w:val="20"/>
              </w:rPr>
              <w:t>b</w:t>
            </w:r>
            <w:r w:rsidRPr="00537112">
              <w:rPr>
                <w:rFonts w:cs="Verdana"/>
                <w:spacing w:val="3"/>
                <w:position w:val="-1"/>
                <w:sz w:val="20"/>
                <w:szCs w:val="20"/>
              </w:rPr>
              <w:t>i</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A9DC88A"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E46ACC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63</w:t>
            </w:r>
          </w:p>
        </w:tc>
        <w:tc>
          <w:tcPr>
            <w:tcW w:w="5503" w:type="dxa"/>
            <w:tcBorders>
              <w:top w:val="single" w:sz="8" w:space="0" w:color="000000"/>
              <w:left w:val="single" w:sz="8" w:space="0" w:color="000000"/>
              <w:bottom w:val="single" w:sz="8" w:space="0" w:color="000000"/>
              <w:right w:val="single" w:sz="8" w:space="0" w:color="000000"/>
            </w:tcBorders>
          </w:tcPr>
          <w:p w14:paraId="685E743A"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w:t>
            </w:r>
            <w:r w:rsidRPr="00537112">
              <w:rPr>
                <w:rFonts w:cs="Verdana"/>
                <w:spacing w:val="-1"/>
                <w:position w:val="-1"/>
                <w:sz w:val="20"/>
                <w:szCs w:val="20"/>
              </w:rPr>
              <w:t>os</w:t>
            </w:r>
            <w:r w:rsidRPr="00537112">
              <w:rPr>
                <w:rFonts w:cs="Verdana"/>
                <w:position w:val="-1"/>
                <w:sz w:val="20"/>
                <w:szCs w:val="20"/>
              </w:rPr>
              <w:t>é</w:t>
            </w:r>
            <w:r w:rsidRPr="00537112">
              <w:rPr>
                <w:rFonts w:cs="Verdana"/>
                <w:spacing w:val="-6"/>
                <w:position w:val="-1"/>
                <w:sz w:val="20"/>
                <w:szCs w:val="20"/>
              </w:rPr>
              <w:t xml:space="preserve"> </w:t>
            </w:r>
            <w:r w:rsidRPr="00537112">
              <w:rPr>
                <w:rFonts w:cs="Verdana"/>
                <w:spacing w:val="-1"/>
                <w:position w:val="-1"/>
                <w:sz w:val="20"/>
                <w:szCs w:val="20"/>
              </w:rPr>
              <w:t>Leó</w:t>
            </w:r>
            <w:r w:rsidRPr="00537112">
              <w:rPr>
                <w:rFonts w:cs="Verdana"/>
                <w:position w:val="-1"/>
                <w:sz w:val="20"/>
                <w:szCs w:val="20"/>
              </w:rPr>
              <w:t>n</w:t>
            </w:r>
            <w:r w:rsidRPr="00537112">
              <w:rPr>
                <w:rFonts w:cs="Verdana"/>
                <w:spacing w:val="-5"/>
                <w:position w:val="-1"/>
                <w:sz w:val="20"/>
                <w:szCs w:val="20"/>
              </w:rPr>
              <w:t xml:space="preserve"> </w:t>
            </w:r>
            <w:r w:rsidRPr="00537112">
              <w:rPr>
                <w:rFonts w:cs="Verdana"/>
                <w:spacing w:val="-1"/>
                <w:position w:val="-1"/>
                <w:sz w:val="20"/>
                <w:szCs w:val="20"/>
              </w:rPr>
              <w:t>Gr</w:t>
            </w:r>
            <w:r w:rsidRPr="00537112">
              <w:rPr>
                <w:rFonts w:cs="Verdana"/>
                <w:position w:val="-1"/>
                <w:sz w:val="20"/>
                <w:szCs w:val="20"/>
              </w:rPr>
              <w:t>ave</w:t>
            </w:r>
            <w:r w:rsidRPr="00537112">
              <w:rPr>
                <w:rFonts w:cs="Verdana"/>
                <w:spacing w:val="-8"/>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39E5D37F"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223061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64</w:t>
            </w:r>
          </w:p>
        </w:tc>
        <w:tc>
          <w:tcPr>
            <w:tcW w:w="5503" w:type="dxa"/>
            <w:tcBorders>
              <w:top w:val="single" w:sz="8" w:space="0" w:color="000000"/>
              <w:left w:val="single" w:sz="8" w:space="0" w:color="000000"/>
              <w:bottom w:val="single" w:sz="8" w:space="0" w:color="000000"/>
              <w:right w:val="single" w:sz="8" w:space="0" w:color="000000"/>
            </w:tcBorders>
          </w:tcPr>
          <w:p w14:paraId="74AD5D6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r w:rsidRPr="00537112">
              <w:rPr>
                <w:rFonts w:cs="Verdana"/>
                <w:spacing w:val="-8"/>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á</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p>
        </w:tc>
      </w:tr>
      <w:tr w:rsidR="00537112" w:rsidRPr="00537112" w14:paraId="28A8F59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0EF924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65</w:t>
            </w:r>
          </w:p>
        </w:tc>
        <w:tc>
          <w:tcPr>
            <w:tcW w:w="5503" w:type="dxa"/>
            <w:tcBorders>
              <w:top w:val="single" w:sz="8" w:space="0" w:color="000000"/>
              <w:left w:val="single" w:sz="8" w:space="0" w:color="000000"/>
              <w:bottom w:val="single" w:sz="8" w:space="0" w:color="000000"/>
              <w:right w:val="single" w:sz="8" w:space="0" w:color="000000"/>
            </w:tcBorders>
          </w:tcPr>
          <w:p w14:paraId="41CB207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Pa</w:t>
            </w:r>
            <w:r w:rsidRPr="00537112">
              <w:rPr>
                <w:rFonts w:cs="Verdana"/>
                <w:spacing w:val="1"/>
                <w:position w:val="-1"/>
                <w:sz w:val="20"/>
                <w:szCs w:val="20"/>
              </w:rPr>
              <w:t>u</w:t>
            </w:r>
            <w:r w:rsidRPr="00537112">
              <w:rPr>
                <w:rFonts w:cs="Verdana"/>
                <w:spacing w:val="3"/>
                <w:position w:val="-1"/>
                <w:sz w:val="20"/>
                <w:szCs w:val="20"/>
              </w:rPr>
              <w:t>l</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S</w:t>
            </w:r>
            <w:r w:rsidRPr="00537112">
              <w:rPr>
                <w:rFonts w:cs="Verdana"/>
                <w:spacing w:val="3"/>
                <w:position w:val="-1"/>
                <w:sz w:val="20"/>
                <w:szCs w:val="20"/>
              </w:rPr>
              <w:t>i</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t</w:t>
            </w:r>
            <w:r w:rsidRPr="00537112">
              <w:rPr>
                <w:rFonts w:cs="Verdana"/>
                <w:spacing w:val="-1"/>
                <w:position w:val="-1"/>
                <w:sz w:val="20"/>
                <w:szCs w:val="20"/>
              </w:rPr>
              <w:t>eco</w:t>
            </w:r>
            <w:r w:rsidRPr="00537112">
              <w:rPr>
                <w:rFonts w:cs="Verdana"/>
                <w:position w:val="-1"/>
                <w:sz w:val="20"/>
                <w:szCs w:val="20"/>
              </w:rPr>
              <w:t>c</w:t>
            </w:r>
          </w:p>
        </w:tc>
      </w:tr>
      <w:tr w:rsidR="00537112" w:rsidRPr="00537112" w14:paraId="0929C4ED"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74E311A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66</w:t>
            </w:r>
          </w:p>
        </w:tc>
        <w:tc>
          <w:tcPr>
            <w:tcW w:w="5503" w:type="dxa"/>
            <w:tcBorders>
              <w:top w:val="single" w:sz="8" w:space="0" w:color="000000"/>
              <w:left w:val="single" w:sz="8" w:space="0" w:color="000000"/>
              <w:bottom w:val="single" w:sz="8" w:space="0" w:color="000000"/>
              <w:right w:val="single" w:sz="8" w:space="0" w:color="000000"/>
            </w:tcBorders>
          </w:tcPr>
          <w:p w14:paraId="46280A8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Ang</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157878CA"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2747BA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67</w:t>
            </w:r>
          </w:p>
        </w:tc>
        <w:tc>
          <w:tcPr>
            <w:tcW w:w="5503" w:type="dxa"/>
            <w:tcBorders>
              <w:top w:val="single" w:sz="8" w:space="0" w:color="000000"/>
              <w:left w:val="single" w:sz="8" w:space="0" w:color="000000"/>
              <w:bottom w:val="single" w:sz="8" w:space="0" w:color="000000"/>
              <w:right w:val="single" w:sz="8" w:space="0" w:color="000000"/>
            </w:tcBorders>
          </w:tcPr>
          <w:p w14:paraId="69B9BC4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0EFB0F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9BE8911"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68</w:t>
            </w:r>
          </w:p>
        </w:tc>
        <w:tc>
          <w:tcPr>
            <w:tcW w:w="5503" w:type="dxa"/>
            <w:tcBorders>
              <w:top w:val="single" w:sz="8" w:space="0" w:color="000000"/>
              <w:left w:val="single" w:sz="8" w:space="0" w:color="000000"/>
              <w:bottom w:val="single" w:sz="8" w:space="0" w:color="000000"/>
              <w:right w:val="single" w:sz="8" w:space="0" w:color="000000"/>
            </w:tcBorders>
          </w:tcPr>
          <w:p w14:paraId="2D9D270C"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Gr</w:t>
            </w:r>
            <w:r w:rsidRPr="00537112">
              <w:rPr>
                <w:rFonts w:cs="Verdana"/>
                <w:position w:val="-1"/>
                <w:sz w:val="20"/>
                <w:szCs w:val="20"/>
              </w:rPr>
              <w:t>a</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r>
      <w:tr w:rsidR="00537112" w:rsidRPr="00537112" w14:paraId="7D267DE6"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6655AD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69</w:t>
            </w:r>
          </w:p>
        </w:tc>
        <w:tc>
          <w:tcPr>
            <w:tcW w:w="5503" w:type="dxa"/>
            <w:tcBorders>
              <w:top w:val="single" w:sz="8" w:space="0" w:color="000000"/>
              <w:left w:val="single" w:sz="8" w:space="0" w:color="000000"/>
              <w:bottom w:val="single" w:sz="8" w:space="0" w:color="000000"/>
              <w:right w:val="single" w:sz="8" w:space="0" w:color="000000"/>
            </w:tcBorders>
          </w:tcPr>
          <w:p w14:paraId="795997EE"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C</w:t>
            </w:r>
            <w:r w:rsidRPr="00537112">
              <w:rPr>
                <w:rFonts w:cs="Verdana"/>
                <w:spacing w:val="3"/>
                <w:position w:val="-1"/>
                <w:sz w:val="20"/>
                <w:szCs w:val="20"/>
              </w:rPr>
              <w:t>l</w:t>
            </w:r>
            <w:r w:rsidRPr="00537112">
              <w:rPr>
                <w:rFonts w:cs="Verdana"/>
                <w:spacing w:val="-1"/>
                <w:position w:val="-1"/>
                <w:sz w:val="20"/>
                <w:szCs w:val="20"/>
              </w:rPr>
              <w:t>o</w:t>
            </w:r>
            <w:r w:rsidRPr="00537112">
              <w:rPr>
                <w:rFonts w:cs="Verdana"/>
                <w:spacing w:val="1"/>
                <w:position w:val="-1"/>
                <w:sz w:val="20"/>
                <w:szCs w:val="20"/>
              </w:rPr>
              <w:t>t</w:t>
            </w:r>
            <w:r w:rsidRPr="00537112">
              <w:rPr>
                <w:rFonts w:cs="Verdana"/>
                <w:spacing w:val="3"/>
                <w:position w:val="-1"/>
                <w:sz w:val="20"/>
                <w:szCs w:val="20"/>
              </w:rPr>
              <w:t>il</w:t>
            </w:r>
            <w:r w:rsidRPr="00537112">
              <w:rPr>
                <w:rFonts w:cs="Verdana"/>
                <w:spacing w:val="1"/>
                <w:position w:val="-1"/>
                <w:sz w:val="20"/>
                <w:szCs w:val="20"/>
              </w:rPr>
              <w:t>d</w:t>
            </w:r>
            <w:r w:rsidRPr="00537112">
              <w:rPr>
                <w:rFonts w:cs="Verdana"/>
                <w:position w:val="-1"/>
                <w:sz w:val="20"/>
                <w:szCs w:val="20"/>
              </w:rPr>
              <w:t>e</w:t>
            </w:r>
            <w:r w:rsidRPr="00537112">
              <w:rPr>
                <w:rFonts w:cs="Verdana"/>
                <w:spacing w:val="-9"/>
                <w:position w:val="-1"/>
                <w:sz w:val="20"/>
                <w:szCs w:val="20"/>
              </w:rPr>
              <w:t xml:space="preserve"> </w:t>
            </w:r>
            <w:r w:rsidRPr="00537112">
              <w:rPr>
                <w:rFonts w:cs="Verdana"/>
                <w:spacing w:val="1"/>
                <w:position w:val="-1"/>
                <w:sz w:val="20"/>
                <w:szCs w:val="20"/>
              </w:rPr>
              <w:t>F</w:t>
            </w:r>
            <w:r w:rsidRPr="00537112">
              <w:rPr>
                <w:rFonts w:cs="Verdana"/>
                <w:spacing w:val="-1"/>
                <w:position w:val="-1"/>
                <w:sz w:val="20"/>
                <w:szCs w:val="20"/>
              </w:rPr>
              <w:t>e</w:t>
            </w:r>
            <w:r w:rsidRPr="00537112">
              <w:rPr>
                <w:rFonts w:cs="Verdana"/>
                <w:spacing w:val="3"/>
                <w:position w:val="-1"/>
                <w:sz w:val="20"/>
                <w:szCs w:val="20"/>
              </w:rPr>
              <w:t>li</w:t>
            </w:r>
            <w:r w:rsidRPr="00537112">
              <w:rPr>
                <w:rFonts w:cs="Verdana"/>
                <w:spacing w:val="1"/>
                <w:position w:val="-1"/>
                <w:sz w:val="20"/>
                <w:szCs w:val="20"/>
              </w:rPr>
              <w:t>p</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position w:val="-1"/>
                <w:sz w:val="20"/>
                <w:szCs w:val="20"/>
              </w:rPr>
              <w:t>e</w:t>
            </w:r>
          </w:p>
        </w:tc>
      </w:tr>
      <w:tr w:rsidR="00537112" w:rsidRPr="00537112" w14:paraId="286256E2"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8B8EBD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70</w:t>
            </w:r>
          </w:p>
        </w:tc>
        <w:tc>
          <w:tcPr>
            <w:tcW w:w="5503" w:type="dxa"/>
            <w:tcBorders>
              <w:top w:val="single" w:sz="8" w:space="0" w:color="000000"/>
              <w:left w:val="single" w:sz="8" w:space="0" w:color="000000"/>
              <w:bottom w:val="single" w:sz="8" w:space="0" w:color="000000"/>
              <w:right w:val="single" w:sz="8" w:space="0" w:color="000000"/>
            </w:tcBorders>
          </w:tcPr>
          <w:p w14:paraId="793CB114"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E</w:t>
            </w:r>
            <w:r w:rsidRPr="00537112">
              <w:rPr>
                <w:rFonts w:cs="Verdana"/>
                <w:spacing w:val="1"/>
                <w:position w:val="-1"/>
                <w:sz w:val="20"/>
                <w:szCs w:val="20"/>
              </w:rPr>
              <w:t>n</w:t>
            </w:r>
            <w:r w:rsidRPr="00537112">
              <w:rPr>
                <w:rFonts w:cs="Verdana"/>
                <w:spacing w:val="-1"/>
                <w:position w:val="-1"/>
                <w:sz w:val="20"/>
                <w:szCs w:val="20"/>
              </w:rPr>
              <w:t>r</w:t>
            </w:r>
            <w:r w:rsidRPr="00537112">
              <w:rPr>
                <w:rFonts w:cs="Verdana"/>
                <w:spacing w:val="3"/>
                <w:position w:val="-1"/>
                <w:sz w:val="20"/>
                <w:szCs w:val="20"/>
              </w:rPr>
              <w:t>i</w:t>
            </w:r>
            <w:r w:rsidRPr="00537112">
              <w:rPr>
                <w:rFonts w:cs="Verdana"/>
                <w:spacing w:val="1"/>
                <w:position w:val="-1"/>
                <w:sz w:val="20"/>
                <w:szCs w:val="20"/>
              </w:rPr>
              <w:t>qu</w:t>
            </w:r>
            <w:r w:rsidRPr="00537112">
              <w:rPr>
                <w:rFonts w:cs="Verdana"/>
                <w:spacing w:val="-1"/>
                <w:position w:val="-1"/>
                <w:sz w:val="20"/>
                <w:szCs w:val="20"/>
              </w:rPr>
              <w:t>e</w:t>
            </w:r>
            <w:r w:rsidRPr="00537112">
              <w:rPr>
                <w:rFonts w:cs="Verdana"/>
                <w:spacing w:val="1"/>
                <w:position w:val="-1"/>
                <w:sz w:val="20"/>
                <w:szCs w:val="20"/>
              </w:rPr>
              <w:t>t</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3"/>
                <w:position w:val="-1"/>
                <w:sz w:val="20"/>
                <w:szCs w:val="20"/>
              </w:rPr>
              <w:t>i</w:t>
            </w:r>
            <w:r w:rsidRPr="00537112">
              <w:rPr>
                <w:rFonts w:cs="Verdana"/>
                <w:spacing w:val="1"/>
                <w:position w:val="-1"/>
                <w:sz w:val="20"/>
                <w:szCs w:val="20"/>
              </w:rPr>
              <w:t>qu</w:t>
            </w:r>
            <w:r w:rsidRPr="00537112">
              <w:rPr>
                <w:rFonts w:cs="Verdana"/>
                <w:spacing w:val="3"/>
                <w:position w:val="-1"/>
                <w:sz w:val="20"/>
                <w:szCs w:val="20"/>
              </w:rPr>
              <w:t>i</w:t>
            </w:r>
            <w:r w:rsidRPr="00537112">
              <w:rPr>
                <w:rFonts w:cs="Verdana"/>
                <w:spacing w:val="1"/>
                <w:position w:val="-1"/>
                <w:sz w:val="20"/>
                <w:szCs w:val="20"/>
              </w:rPr>
              <w:t>t</w:t>
            </w:r>
            <w:r w:rsidRPr="00537112">
              <w:rPr>
                <w:rFonts w:cs="Verdana"/>
                <w:position w:val="-1"/>
                <w:sz w:val="20"/>
                <w:szCs w:val="20"/>
              </w:rPr>
              <w:t>o</w:t>
            </w:r>
          </w:p>
        </w:tc>
      </w:tr>
      <w:tr w:rsidR="00537112" w:rsidRPr="00537112" w14:paraId="39BAD9E9"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FABF77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71</w:t>
            </w:r>
          </w:p>
        </w:tc>
        <w:tc>
          <w:tcPr>
            <w:tcW w:w="5503" w:type="dxa"/>
            <w:tcBorders>
              <w:top w:val="single" w:sz="8" w:space="0" w:color="000000"/>
              <w:left w:val="single" w:sz="8" w:space="0" w:color="000000"/>
              <w:bottom w:val="single" w:sz="8" w:space="0" w:color="000000"/>
              <w:right w:val="single" w:sz="8" w:space="0" w:color="000000"/>
            </w:tcBorders>
          </w:tcPr>
          <w:p w14:paraId="63406DA2"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R</w:t>
            </w:r>
            <w:r w:rsidRPr="00537112">
              <w:rPr>
                <w:rFonts w:cs="Verdana"/>
                <w:spacing w:val="-1"/>
                <w:position w:val="-1"/>
                <w:sz w:val="20"/>
                <w:szCs w:val="20"/>
              </w:rPr>
              <w:t>os</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Go</w:t>
            </w:r>
            <w:r w:rsidRPr="00537112">
              <w:rPr>
                <w:rFonts w:cs="Verdana"/>
                <w:spacing w:val="1"/>
                <w:position w:val="-1"/>
                <w:sz w:val="20"/>
                <w:szCs w:val="20"/>
              </w:rPr>
              <w:t>nz</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z</w:t>
            </w:r>
            <w:r w:rsidRPr="00537112">
              <w:rPr>
                <w:rFonts w:cs="Verdana"/>
                <w:spacing w:val="-9"/>
                <w:position w:val="-1"/>
                <w:sz w:val="20"/>
                <w:szCs w:val="20"/>
              </w:rPr>
              <w:t xml:space="preserve"> </w:t>
            </w:r>
            <w:r w:rsidRPr="00537112">
              <w:rPr>
                <w:rFonts w:cs="Verdana"/>
                <w:position w:val="-1"/>
                <w:sz w:val="20"/>
                <w:szCs w:val="20"/>
              </w:rPr>
              <w:t>T</w:t>
            </w:r>
            <w:r w:rsidRPr="00537112">
              <w:rPr>
                <w:rFonts w:cs="Verdana"/>
                <w:spacing w:val="-1"/>
                <w:position w:val="-1"/>
                <w:sz w:val="20"/>
                <w:szCs w:val="20"/>
              </w:rPr>
              <w:t>ec</w:t>
            </w:r>
            <w:r w:rsidRPr="00537112">
              <w:rPr>
                <w:rFonts w:cs="Verdana"/>
                <w:position w:val="-1"/>
                <w:sz w:val="20"/>
                <w:szCs w:val="20"/>
              </w:rPr>
              <w:t>ú</w:t>
            </w:r>
          </w:p>
        </w:tc>
      </w:tr>
      <w:tr w:rsidR="00537112" w:rsidRPr="00537112" w14:paraId="3AF6DB3F"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046955D"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72</w:t>
            </w:r>
          </w:p>
        </w:tc>
        <w:tc>
          <w:tcPr>
            <w:tcW w:w="5503" w:type="dxa"/>
            <w:tcBorders>
              <w:top w:val="single" w:sz="8" w:space="0" w:color="000000"/>
              <w:left w:val="single" w:sz="8" w:space="0" w:color="000000"/>
              <w:bottom w:val="single" w:sz="8" w:space="0" w:color="000000"/>
              <w:right w:val="single" w:sz="8" w:space="0" w:color="000000"/>
            </w:tcBorders>
          </w:tcPr>
          <w:p w14:paraId="3EDCE2D5"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Ju</w:t>
            </w:r>
            <w:r w:rsidRPr="00537112">
              <w:rPr>
                <w:rFonts w:cs="Verdana"/>
                <w:position w:val="-1"/>
                <w:sz w:val="20"/>
                <w:szCs w:val="20"/>
              </w:rPr>
              <w:t>a</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spacing w:val="-1"/>
                <w:position w:val="-1"/>
                <w:sz w:val="20"/>
                <w:szCs w:val="20"/>
              </w:rPr>
              <w:t>Ló</w:t>
            </w:r>
            <w:r w:rsidRPr="00537112">
              <w:rPr>
                <w:rFonts w:cs="Verdana"/>
                <w:spacing w:val="1"/>
                <w:position w:val="-1"/>
                <w:sz w:val="20"/>
                <w:szCs w:val="20"/>
              </w:rPr>
              <w:t>p</w:t>
            </w:r>
            <w:r w:rsidRPr="00537112">
              <w:rPr>
                <w:rFonts w:cs="Verdana"/>
                <w:spacing w:val="-1"/>
                <w:position w:val="-1"/>
                <w:sz w:val="20"/>
                <w:szCs w:val="20"/>
              </w:rPr>
              <w:t>e</w:t>
            </w:r>
            <w:r w:rsidRPr="00537112">
              <w:rPr>
                <w:rFonts w:cs="Verdana"/>
                <w:position w:val="-1"/>
                <w:sz w:val="20"/>
                <w:szCs w:val="20"/>
              </w:rPr>
              <w:t>z</w:t>
            </w:r>
          </w:p>
        </w:tc>
      </w:tr>
      <w:tr w:rsidR="00537112" w:rsidRPr="00537112" w14:paraId="47BEBCF2"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B45DFD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73</w:t>
            </w:r>
          </w:p>
        </w:tc>
        <w:tc>
          <w:tcPr>
            <w:tcW w:w="5503" w:type="dxa"/>
            <w:tcBorders>
              <w:top w:val="single" w:sz="8" w:space="0" w:color="000000"/>
              <w:left w:val="single" w:sz="8" w:space="0" w:color="000000"/>
              <w:bottom w:val="single" w:sz="8" w:space="0" w:color="000000"/>
              <w:right w:val="single" w:sz="8" w:space="0" w:color="000000"/>
            </w:tcBorders>
          </w:tcPr>
          <w:p w14:paraId="32AA3BA3"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2"/>
                <w:position w:val="-1"/>
                <w:sz w:val="20"/>
                <w:szCs w:val="20"/>
              </w:rPr>
              <w:t>I</w:t>
            </w:r>
            <w:r w:rsidRPr="00537112">
              <w:rPr>
                <w:rFonts w:cs="Verdana"/>
                <w:spacing w:val="-1"/>
                <w:position w:val="-1"/>
                <w:sz w:val="20"/>
                <w:szCs w:val="20"/>
              </w:rPr>
              <w:t>s</w:t>
            </w:r>
            <w:r w:rsidRPr="00537112">
              <w:rPr>
                <w:rFonts w:cs="Verdana"/>
                <w:position w:val="-1"/>
                <w:sz w:val="20"/>
                <w:szCs w:val="20"/>
              </w:rPr>
              <w:t>a</w:t>
            </w:r>
            <w:r w:rsidRPr="00537112">
              <w:rPr>
                <w:rFonts w:cs="Verdana"/>
                <w:spacing w:val="1"/>
                <w:position w:val="-1"/>
                <w:sz w:val="20"/>
                <w:szCs w:val="20"/>
              </w:rPr>
              <w:t>b</w:t>
            </w:r>
            <w:r w:rsidRPr="00537112">
              <w:rPr>
                <w:rFonts w:cs="Verdana"/>
                <w:spacing w:val="-1"/>
                <w:position w:val="-1"/>
                <w:sz w:val="20"/>
                <w:szCs w:val="20"/>
              </w:rPr>
              <w:t>e</w:t>
            </w:r>
            <w:r w:rsidRPr="00537112">
              <w:rPr>
                <w:rFonts w:cs="Verdana"/>
                <w:position w:val="-1"/>
                <w:sz w:val="20"/>
                <w:szCs w:val="20"/>
              </w:rPr>
              <w:t>l</w:t>
            </w:r>
            <w:r w:rsidRPr="00537112">
              <w:rPr>
                <w:rFonts w:cs="Verdana"/>
                <w:spacing w:val="-4"/>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e</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w:t>
            </w:r>
          </w:p>
        </w:tc>
      </w:tr>
      <w:tr w:rsidR="00537112" w:rsidRPr="00537112" w14:paraId="20188C9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7B637CD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74</w:t>
            </w:r>
          </w:p>
        </w:tc>
        <w:tc>
          <w:tcPr>
            <w:tcW w:w="5503" w:type="dxa"/>
            <w:tcBorders>
              <w:top w:val="single" w:sz="8" w:space="0" w:color="000000"/>
              <w:left w:val="single" w:sz="8" w:space="0" w:color="000000"/>
              <w:bottom w:val="single" w:sz="8" w:space="0" w:color="000000"/>
              <w:right w:val="single" w:sz="8" w:space="0" w:color="000000"/>
            </w:tcBorders>
          </w:tcPr>
          <w:p w14:paraId="32B9E1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S</w:t>
            </w:r>
            <w:r w:rsidRPr="00537112">
              <w:rPr>
                <w:rFonts w:cs="Verdana"/>
                <w:spacing w:val="3"/>
                <w:position w:val="-1"/>
                <w:sz w:val="20"/>
                <w:szCs w:val="20"/>
              </w:rPr>
              <w:t>i</w:t>
            </w:r>
            <w:r w:rsidRPr="00537112">
              <w:rPr>
                <w:rFonts w:cs="Verdana"/>
                <w:spacing w:val="1"/>
                <w:position w:val="-1"/>
                <w:sz w:val="20"/>
                <w:szCs w:val="20"/>
              </w:rPr>
              <w:t>m</w:t>
            </w:r>
            <w:r w:rsidRPr="00537112">
              <w:rPr>
                <w:rFonts w:cs="Verdana"/>
                <w:spacing w:val="-1"/>
                <w:position w:val="-1"/>
                <w:sz w:val="20"/>
                <w:szCs w:val="20"/>
              </w:rPr>
              <w:t>o</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position w:val="-1"/>
                <w:sz w:val="20"/>
                <w:szCs w:val="20"/>
              </w:rPr>
              <w:t>Ca</w:t>
            </w:r>
            <w:r w:rsidRPr="00537112">
              <w:rPr>
                <w:rFonts w:cs="Verdana"/>
                <w:spacing w:val="1"/>
                <w:position w:val="-1"/>
                <w:sz w:val="20"/>
                <w:szCs w:val="20"/>
              </w:rPr>
              <w:t>hu</w:t>
            </w:r>
            <w:r w:rsidRPr="00537112">
              <w:rPr>
                <w:rFonts w:cs="Verdana"/>
                <w:spacing w:val="-1"/>
                <w:position w:val="-1"/>
                <w:sz w:val="20"/>
                <w:szCs w:val="20"/>
              </w:rPr>
              <w:t>e</w:t>
            </w:r>
            <w:r w:rsidRPr="00537112">
              <w:rPr>
                <w:rFonts w:cs="Verdana"/>
                <w:position w:val="-1"/>
                <w:sz w:val="20"/>
                <w:szCs w:val="20"/>
              </w:rPr>
              <w:t>c</w:t>
            </w:r>
          </w:p>
        </w:tc>
      </w:tr>
      <w:tr w:rsidR="00537112" w:rsidRPr="00537112" w14:paraId="1D658E07"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8D6D7F2"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75</w:t>
            </w:r>
          </w:p>
        </w:tc>
        <w:tc>
          <w:tcPr>
            <w:tcW w:w="5503" w:type="dxa"/>
            <w:tcBorders>
              <w:top w:val="single" w:sz="8" w:space="0" w:color="000000"/>
              <w:left w:val="single" w:sz="8" w:space="0" w:color="000000"/>
              <w:bottom w:val="single" w:sz="8" w:space="0" w:color="000000"/>
              <w:right w:val="single" w:sz="8" w:space="0" w:color="000000"/>
            </w:tcBorders>
          </w:tcPr>
          <w:p w14:paraId="15273D40"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í</w:t>
            </w:r>
            <w:r w:rsidRPr="00537112">
              <w:rPr>
                <w:rFonts w:cs="Verdana"/>
                <w:position w:val="-1"/>
                <w:sz w:val="20"/>
                <w:szCs w:val="20"/>
              </w:rPr>
              <w:t>a</w:t>
            </w:r>
            <w:r w:rsidRPr="00537112">
              <w:rPr>
                <w:rFonts w:cs="Verdana"/>
                <w:spacing w:val="-5"/>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r w:rsidRPr="00537112">
              <w:rPr>
                <w:rFonts w:cs="Verdana"/>
                <w:spacing w:val="-6"/>
                <w:position w:val="-1"/>
                <w:sz w:val="20"/>
                <w:szCs w:val="20"/>
              </w:rPr>
              <w:t xml:space="preserve"> </w:t>
            </w:r>
            <w:r w:rsidRPr="00537112">
              <w:rPr>
                <w:rFonts w:cs="Verdana"/>
                <w:position w:val="-1"/>
                <w:sz w:val="20"/>
                <w:szCs w:val="20"/>
              </w:rPr>
              <w:t>Ma</w:t>
            </w:r>
            <w:r w:rsidRPr="00537112">
              <w:rPr>
                <w:rFonts w:cs="Verdana"/>
                <w:spacing w:val="1"/>
                <w:position w:val="-1"/>
                <w:sz w:val="20"/>
                <w:szCs w:val="20"/>
              </w:rPr>
              <w:t>nu</w:t>
            </w:r>
            <w:r w:rsidRPr="00537112">
              <w:rPr>
                <w:rFonts w:cs="Verdana"/>
                <w:spacing w:val="-1"/>
                <w:position w:val="-1"/>
                <w:sz w:val="20"/>
                <w:szCs w:val="20"/>
              </w:rPr>
              <w:t>e</w:t>
            </w:r>
            <w:r w:rsidRPr="00537112">
              <w:rPr>
                <w:rFonts w:cs="Verdana"/>
                <w:position w:val="-1"/>
                <w:sz w:val="20"/>
                <w:szCs w:val="20"/>
              </w:rPr>
              <w:t>l</w:t>
            </w:r>
          </w:p>
        </w:tc>
      </w:tr>
      <w:tr w:rsidR="00537112" w:rsidRPr="00537112" w14:paraId="4B81C567"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C066AD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76</w:t>
            </w:r>
          </w:p>
        </w:tc>
        <w:tc>
          <w:tcPr>
            <w:tcW w:w="5503" w:type="dxa"/>
            <w:tcBorders>
              <w:top w:val="single" w:sz="8" w:space="0" w:color="000000"/>
              <w:left w:val="single" w:sz="8" w:space="0" w:color="000000"/>
              <w:bottom w:val="single" w:sz="8" w:space="0" w:color="000000"/>
              <w:right w:val="single" w:sz="8" w:space="0" w:color="000000"/>
            </w:tcBorders>
          </w:tcPr>
          <w:p w14:paraId="7D3DEB88"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Ad</w:t>
            </w:r>
            <w:r w:rsidRPr="00537112">
              <w:rPr>
                <w:rFonts w:cs="Verdana"/>
                <w:spacing w:val="-1"/>
                <w:position w:val="-1"/>
                <w:sz w:val="20"/>
                <w:szCs w:val="20"/>
              </w:rPr>
              <w:t>e</w:t>
            </w:r>
            <w:r w:rsidRPr="00537112">
              <w:rPr>
                <w:rFonts w:cs="Verdana"/>
                <w:spacing w:val="3"/>
                <w:position w:val="-1"/>
                <w:sz w:val="20"/>
                <w:szCs w:val="20"/>
              </w:rPr>
              <w:t>l</w:t>
            </w:r>
            <w:r w:rsidRPr="00537112">
              <w:rPr>
                <w:rFonts w:cs="Verdana"/>
                <w:position w:val="-1"/>
                <w:sz w:val="20"/>
                <w:szCs w:val="20"/>
              </w:rPr>
              <w:t>a</w:t>
            </w:r>
            <w:r w:rsidRPr="00537112">
              <w:rPr>
                <w:rFonts w:cs="Verdana"/>
                <w:spacing w:val="-6"/>
                <w:position w:val="-1"/>
                <w:sz w:val="20"/>
                <w:szCs w:val="20"/>
              </w:rPr>
              <w:t xml:space="preserve"> </w:t>
            </w:r>
            <w:r w:rsidRPr="00537112">
              <w:rPr>
                <w:rFonts w:cs="Verdana"/>
                <w:spacing w:val="1"/>
                <w:position w:val="-1"/>
                <w:sz w:val="20"/>
                <w:szCs w:val="20"/>
              </w:rPr>
              <w:t>F</w:t>
            </w:r>
            <w:r w:rsidRPr="00537112">
              <w:rPr>
                <w:rFonts w:cs="Verdana"/>
                <w:spacing w:val="3"/>
                <w:position w:val="-1"/>
                <w:sz w:val="20"/>
                <w:szCs w:val="20"/>
              </w:rPr>
              <w:t>l</w:t>
            </w:r>
            <w:r w:rsidRPr="00537112">
              <w:rPr>
                <w:rFonts w:cs="Verdana"/>
                <w:spacing w:val="-1"/>
                <w:position w:val="-1"/>
                <w:sz w:val="20"/>
                <w:szCs w:val="20"/>
              </w:rPr>
              <w:t>ore</w:t>
            </w:r>
            <w:r w:rsidRPr="00537112">
              <w:rPr>
                <w:rFonts w:cs="Verdana"/>
                <w:spacing w:val="1"/>
                <w:position w:val="-1"/>
                <w:sz w:val="20"/>
                <w:szCs w:val="20"/>
              </w:rPr>
              <w:t>nt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í</w:t>
            </w:r>
            <w:r w:rsidRPr="00537112">
              <w:rPr>
                <w:rFonts w:cs="Verdana"/>
                <w:position w:val="-1"/>
                <w:sz w:val="20"/>
                <w:szCs w:val="20"/>
              </w:rPr>
              <w:t>a</w:t>
            </w:r>
          </w:p>
        </w:tc>
      </w:tr>
      <w:tr w:rsidR="00537112" w:rsidRPr="00537112" w14:paraId="001E5585"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C7EEA2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77</w:t>
            </w:r>
          </w:p>
        </w:tc>
        <w:tc>
          <w:tcPr>
            <w:tcW w:w="5503" w:type="dxa"/>
            <w:tcBorders>
              <w:top w:val="single" w:sz="8" w:space="0" w:color="000000"/>
              <w:left w:val="single" w:sz="8" w:space="0" w:color="000000"/>
              <w:bottom w:val="single" w:sz="8" w:space="0" w:color="000000"/>
              <w:right w:val="single" w:sz="8" w:space="0" w:color="000000"/>
            </w:tcBorders>
          </w:tcPr>
          <w:p w14:paraId="3BE94C3B"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spacing w:val="-1"/>
                <w:position w:val="-1"/>
                <w:sz w:val="20"/>
                <w:szCs w:val="20"/>
              </w:rPr>
              <w:t>Hec</w:t>
            </w:r>
            <w:r w:rsidRPr="00537112">
              <w:rPr>
                <w:rFonts w:cs="Verdana"/>
                <w:spacing w:val="1"/>
                <w:position w:val="-1"/>
                <w:sz w:val="20"/>
                <w:szCs w:val="20"/>
              </w:rPr>
              <w:t>t</w:t>
            </w:r>
            <w:r w:rsidRPr="00537112">
              <w:rPr>
                <w:rFonts w:cs="Verdana"/>
                <w:spacing w:val="-1"/>
                <w:position w:val="-1"/>
                <w:sz w:val="20"/>
                <w:szCs w:val="20"/>
              </w:rPr>
              <w:t>o</w:t>
            </w:r>
            <w:r w:rsidRPr="00537112">
              <w:rPr>
                <w:rFonts w:cs="Verdana"/>
                <w:position w:val="-1"/>
                <w:sz w:val="20"/>
                <w:szCs w:val="20"/>
              </w:rPr>
              <w:t>r</w:t>
            </w:r>
            <w:r w:rsidRPr="00537112">
              <w:rPr>
                <w:rFonts w:cs="Verdana"/>
                <w:spacing w:val="-9"/>
                <w:position w:val="-1"/>
                <w:sz w:val="20"/>
                <w:szCs w:val="20"/>
              </w:rPr>
              <w:t xml:space="preserve"> </w:t>
            </w:r>
            <w:r w:rsidRPr="00537112">
              <w:rPr>
                <w:rFonts w:cs="Verdana"/>
                <w:spacing w:val="1"/>
                <w:position w:val="-1"/>
                <w:sz w:val="20"/>
                <w:szCs w:val="20"/>
              </w:rPr>
              <w:t>R</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nd</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1"/>
                <w:position w:val="-1"/>
                <w:sz w:val="20"/>
                <w:szCs w:val="20"/>
              </w:rPr>
              <w:t>rc</w:t>
            </w:r>
            <w:r w:rsidRPr="00537112">
              <w:rPr>
                <w:rFonts w:cs="Verdana"/>
                <w:spacing w:val="3"/>
                <w:position w:val="-1"/>
                <w:sz w:val="20"/>
                <w:szCs w:val="20"/>
              </w:rPr>
              <w:t>i</w:t>
            </w:r>
            <w:r w:rsidRPr="00537112">
              <w:rPr>
                <w:rFonts w:cs="Verdana"/>
                <w:position w:val="-1"/>
                <w:sz w:val="20"/>
                <w:szCs w:val="20"/>
              </w:rPr>
              <w:t>a</w:t>
            </w:r>
          </w:p>
        </w:tc>
      </w:tr>
      <w:tr w:rsidR="00537112" w:rsidRPr="00537112" w14:paraId="669FF2A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6C379E1"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78</w:t>
            </w:r>
          </w:p>
        </w:tc>
        <w:tc>
          <w:tcPr>
            <w:tcW w:w="5503" w:type="dxa"/>
            <w:tcBorders>
              <w:top w:val="single" w:sz="8" w:space="0" w:color="000000"/>
              <w:left w:val="single" w:sz="8" w:space="0" w:color="000000"/>
              <w:bottom w:val="single" w:sz="8" w:space="0" w:color="000000"/>
              <w:right w:val="single" w:sz="8" w:space="0" w:color="000000"/>
            </w:tcBorders>
          </w:tcPr>
          <w:p w14:paraId="342766C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a</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o</w:t>
            </w:r>
            <w:r w:rsidRPr="00537112">
              <w:rPr>
                <w:rFonts w:cs="Verdana"/>
                <w:spacing w:val="1"/>
                <w:position w:val="-1"/>
                <w:sz w:val="20"/>
                <w:szCs w:val="20"/>
              </w:rPr>
              <w:t>n</w:t>
            </w:r>
            <w:r w:rsidRPr="00537112">
              <w:rPr>
                <w:rFonts w:cs="Verdana"/>
                <w:spacing w:val="-1"/>
                <w:position w:val="-1"/>
                <w:sz w:val="20"/>
                <w:szCs w:val="20"/>
              </w:rPr>
              <w:t>ce</w:t>
            </w:r>
            <w:r w:rsidRPr="00537112">
              <w:rPr>
                <w:rFonts w:cs="Verdana"/>
                <w:spacing w:val="1"/>
                <w:position w:val="-1"/>
                <w:sz w:val="20"/>
                <w:szCs w:val="20"/>
              </w:rPr>
              <w:t>p</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ó</w:t>
            </w:r>
            <w:r w:rsidRPr="00537112">
              <w:rPr>
                <w:rFonts w:cs="Verdana"/>
                <w:position w:val="-1"/>
                <w:sz w:val="20"/>
                <w:szCs w:val="20"/>
              </w:rPr>
              <w:t>n</w:t>
            </w:r>
            <w:r w:rsidRPr="00537112">
              <w:rPr>
                <w:rFonts w:cs="Verdana"/>
                <w:spacing w:val="-11"/>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17162C0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12D009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79</w:t>
            </w:r>
          </w:p>
        </w:tc>
        <w:tc>
          <w:tcPr>
            <w:tcW w:w="5503" w:type="dxa"/>
            <w:tcBorders>
              <w:top w:val="single" w:sz="8" w:space="0" w:color="000000"/>
              <w:left w:val="single" w:sz="8" w:space="0" w:color="000000"/>
              <w:bottom w:val="single" w:sz="8" w:space="0" w:color="000000"/>
              <w:right w:val="single" w:sz="8" w:space="0" w:color="000000"/>
            </w:tcBorders>
          </w:tcPr>
          <w:p w14:paraId="567D1186"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7"/>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tumul</w:t>
            </w:r>
          </w:p>
        </w:tc>
      </w:tr>
      <w:tr w:rsidR="00537112" w:rsidRPr="00537112" w14:paraId="4F4F99CE"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8A2F28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80</w:t>
            </w:r>
          </w:p>
        </w:tc>
        <w:tc>
          <w:tcPr>
            <w:tcW w:w="5503" w:type="dxa"/>
            <w:tcBorders>
              <w:top w:val="single" w:sz="8" w:space="0" w:color="000000"/>
              <w:left w:val="single" w:sz="8" w:space="0" w:color="000000"/>
              <w:bottom w:val="single" w:sz="8" w:space="0" w:color="000000"/>
              <w:right w:val="single" w:sz="8" w:space="0" w:color="000000"/>
            </w:tcBorders>
          </w:tcPr>
          <w:p w14:paraId="2E3F593F" w14:textId="77777777" w:rsidR="00537112" w:rsidRPr="00537112" w:rsidRDefault="00537112" w:rsidP="00537112">
            <w:pPr>
              <w:autoSpaceDE w:val="0"/>
              <w:autoSpaceDN w:val="0"/>
              <w:spacing w:line="226" w:lineRule="exact"/>
              <w:ind w:right="-20"/>
              <w:jc w:val="left"/>
              <w:textAlignment w:val="auto"/>
              <w:rPr>
                <w:rFonts w:ascii="Times New Roman" w:hAnsi="Times New Roman"/>
              </w:rPr>
            </w:pPr>
            <w:r w:rsidRPr="00537112">
              <w:rPr>
                <w:rFonts w:cs="Verdana"/>
                <w:position w:val="-1"/>
                <w:sz w:val="20"/>
                <w:szCs w:val="20"/>
              </w:rPr>
              <w:t>P</w:t>
            </w:r>
            <w:r w:rsidRPr="00537112">
              <w:rPr>
                <w:rFonts w:cs="Verdana"/>
                <w:spacing w:val="3"/>
                <w:position w:val="-1"/>
                <w:sz w:val="20"/>
                <w:szCs w:val="20"/>
              </w:rPr>
              <w:t>l</w:t>
            </w:r>
            <w:r w:rsidRPr="00537112">
              <w:rPr>
                <w:rFonts w:cs="Verdana"/>
                <w:position w:val="-1"/>
                <w:sz w:val="20"/>
                <w:szCs w:val="20"/>
              </w:rPr>
              <w:t>á</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d</w:t>
            </w:r>
            <w:r w:rsidRPr="00537112">
              <w:rPr>
                <w:rFonts w:cs="Verdana"/>
                <w:position w:val="-1"/>
                <w:sz w:val="20"/>
                <w:szCs w:val="20"/>
              </w:rPr>
              <w:t>o</w:t>
            </w:r>
            <w:r w:rsidRPr="00537112">
              <w:rPr>
                <w:rFonts w:cs="Verdana"/>
                <w:spacing w:val="-9"/>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a</w:t>
            </w:r>
            <w:r w:rsidRPr="00537112">
              <w:rPr>
                <w:rFonts w:cs="Verdana"/>
                <w:spacing w:val="-1"/>
                <w:position w:val="-1"/>
                <w:sz w:val="20"/>
                <w:szCs w:val="20"/>
              </w:rPr>
              <w:t>rcó</w:t>
            </w:r>
            <w:r w:rsidRPr="00537112">
              <w:rPr>
                <w:rFonts w:cs="Verdana"/>
                <w:position w:val="-1"/>
                <w:sz w:val="20"/>
                <w:szCs w:val="20"/>
              </w:rPr>
              <w:t>n</w:t>
            </w:r>
            <w:r w:rsidRPr="00537112">
              <w:rPr>
                <w:rFonts w:cs="Verdana"/>
                <w:spacing w:val="-7"/>
                <w:position w:val="-1"/>
                <w:sz w:val="20"/>
                <w:szCs w:val="20"/>
              </w:rPr>
              <w:t xml:space="preserve"> </w:t>
            </w:r>
            <w:r w:rsidRPr="00537112">
              <w:rPr>
                <w:rFonts w:cs="Verdana"/>
                <w:position w:val="-1"/>
                <w:sz w:val="20"/>
                <w:szCs w:val="20"/>
              </w:rPr>
              <w:t>M</w:t>
            </w:r>
            <w:r w:rsidRPr="00537112">
              <w:rPr>
                <w:rFonts w:cs="Verdana"/>
                <w:spacing w:val="-1"/>
                <w:position w:val="-1"/>
                <w:sz w:val="20"/>
                <w:szCs w:val="20"/>
              </w:rPr>
              <w:t>or</w:t>
            </w:r>
            <w:r w:rsidRPr="00537112">
              <w:rPr>
                <w:rFonts w:cs="Verdana"/>
                <w:position w:val="-1"/>
                <w:sz w:val="20"/>
                <w:szCs w:val="20"/>
              </w:rPr>
              <w:t>a</w:t>
            </w:r>
            <w:r w:rsidRPr="00537112">
              <w:rPr>
                <w:rFonts w:cs="Verdana"/>
                <w:spacing w:val="3"/>
                <w:position w:val="-1"/>
                <w:sz w:val="20"/>
                <w:szCs w:val="20"/>
              </w:rPr>
              <w:t>l</w:t>
            </w:r>
            <w:r w:rsidRPr="00537112">
              <w:rPr>
                <w:rFonts w:cs="Verdana"/>
                <w:spacing w:val="-1"/>
                <w:position w:val="-1"/>
                <w:sz w:val="20"/>
                <w:szCs w:val="20"/>
              </w:rPr>
              <w:t>e</w:t>
            </w:r>
            <w:r w:rsidRPr="00537112">
              <w:rPr>
                <w:rFonts w:cs="Verdana"/>
                <w:position w:val="-1"/>
                <w:sz w:val="20"/>
                <w:szCs w:val="20"/>
              </w:rPr>
              <w:t>s</w:t>
            </w:r>
          </w:p>
        </w:tc>
      </w:tr>
      <w:tr w:rsidR="00537112" w:rsidRPr="00537112" w14:paraId="7145EA36"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BCC5E76"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81</w:t>
            </w:r>
          </w:p>
        </w:tc>
        <w:tc>
          <w:tcPr>
            <w:tcW w:w="5503" w:type="dxa"/>
            <w:tcBorders>
              <w:top w:val="single" w:sz="8" w:space="0" w:color="000000"/>
              <w:left w:val="single" w:sz="8" w:space="0" w:color="000000"/>
              <w:bottom w:val="single" w:sz="8" w:space="0" w:color="000000"/>
              <w:right w:val="single" w:sz="8" w:space="0" w:color="000000"/>
            </w:tcBorders>
          </w:tcPr>
          <w:p w14:paraId="2A509A8D"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u</w:t>
            </w:r>
            <w:r w:rsidRPr="00537112">
              <w:rPr>
                <w:rFonts w:cs="Verdana"/>
                <w:spacing w:val="-1"/>
                <w:sz w:val="20"/>
                <w:szCs w:val="20"/>
              </w:rPr>
              <w:t>e</w:t>
            </w:r>
            <w:r w:rsidRPr="00537112">
              <w:rPr>
                <w:rFonts w:cs="Verdana"/>
                <w:spacing w:val="1"/>
                <w:sz w:val="20"/>
                <w:szCs w:val="20"/>
              </w:rPr>
              <w:t>n</w:t>
            </w:r>
            <w:r w:rsidRPr="00537112">
              <w:rPr>
                <w:rFonts w:cs="Verdana"/>
                <w:sz w:val="20"/>
                <w:szCs w:val="20"/>
              </w:rPr>
              <w:t>av</w:t>
            </w:r>
            <w:r w:rsidRPr="00537112">
              <w:rPr>
                <w:rFonts w:cs="Verdana"/>
                <w:spacing w:val="-1"/>
                <w:sz w:val="20"/>
                <w:szCs w:val="20"/>
              </w:rPr>
              <w:t>e</w:t>
            </w:r>
            <w:r w:rsidRPr="00537112">
              <w:rPr>
                <w:rFonts w:cs="Verdana"/>
                <w:spacing w:val="1"/>
                <w:sz w:val="20"/>
                <w:szCs w:val="20"/>
              </w:rPr>
              <w:t>ntu</w:t>
            </w:r>
            <w:r w:rsidRPr="00537112">
              <w:rPr>
                <w:rFonts w:cs="Verdana"/>
                <w:spacing w:val="-1"/>
                <w:sz w:val="20"/>
                <w:szCs w:val="20"/>
              </w:rPr>
              <w:t>r</w:t>
            </w:r>
            <w:r w:rsidRPr="00537112">
              <w:rPr>
                <w:rFonts w:cs="Verdana"/>
                <w:sz w:val="20"/>
                <w:szCs w:val="20"/>
              </w:rPr>
              <w:t>a</w:t>
            </w:r>
            <w:r w:rsidRPr="00537112">
              <w:rPr>
                <w:rFonts w:cs="Verdana"/>
                <w:spacing w:val="-14"/>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z w:val="20"/>
                <w:szCs w:val="20"/>
              </w:rPr>
              <w:t>Ba</w:t>
            </w:r>
            <w:r w:rsidRPr="00537112">
              <w:rPr>
                <w:rFonts w:cs="Verdana"/>
                <w:spacing w:val="-1"/>
                <w:sz w:val="20"/>
                <w:szCs w:val="20"/>
              </w:rPr>
              <w:t>c</w:t>
            </w:r>
            <w:r w:rsidRPr="00537112">
              <w:rPr>
                <w:rFonts w:cs="Verdana"/>
                <w:spacing w:val="1"/>
                <w:sz w:val="20"/>
                <w:szCs w:val="20"/>
              </w:rPr>
              <w:t>h</w:t>
            </w:r>
            <w:r w:rsidRPr="00537112">
              <w:rPr>
                <w:rFonts w:cs="Verdana"/>
                <w:sz w:val="20"/>
                <w:szCs w:val="20"/>
              </w:rPr>
              <w:t>án</w:t>
            </w:r>
          </w:p>
        </w:tc>
      </w:tr>
      <w:tr w:rsidR="00537112" w:rsidRPr="00537112" w14:paraId="549B7535"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2371567"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82</w:t>
            </w:r>
          </w:p>
        </w:tc>
        <w:tc>
          <w:tcPr>
            <w:tcW w:w="5503" w:type="dxa"/>
            <w:tcBorders>
              <w:top w:val="single" w:sz="8" w:space="0" w:color="000000"/>
              <w:left w:val="single" w:sz="8" w:space="0" w:color="000000"/>
              <w:bottom w:val="single" w:sz="8" w:space="0" w:color="000000"/>
              <w:right w:val="single" w:sz="8" w:space="0" w:color="000000"/>
            </w:tcBorders>
          </w:tcPr>
          <w:p w14:paraId="363CC69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Agu</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í</w:t>
            </w:r>
            <w:r w:rsidRPr="00537112">
              <w:rPr>
                <w:rFonts w:cs="Verdana"/>
                <w:sz w:val="20"/>
                <w:szCs w:val="20"/>
              </w:rPr>
              <w:t>n</w:t>
            </w:r>
            <w:r w:rsidRPr="00537112">
              <w:rPr>
                <w:rFonts w:cs="Verdana"/>
                <w:spacing w:val="-8"/>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z w:val="20"/>
                <w:szCs w:val="20"/>
              </w:rPr>
              <w:t>Ba</w:t>
            </w:r>
            <w:r w:rsidRPr="00537112">
              <w:rPr>
                <w:rFonts w:cs="Verdana"/>
                <w:spacing w:val="-1"/>
                <w:sz w:val="20"/>
                <w:szCs w:val="20"/>
              </w:rPr>
              <w:t>c</w:t>
            </w:r>
            <w:r w:rsidRPr="00537112">
              <w:rPr>
                <w:rFonts w:cs="Verdana"/>
                <w:spacing w:val="1"/>
                <w:sz w:val="20"/>
                <w:szCs w:val="20"/>
              </w:rPr>
              <w:t>h</w:t>
            </w:r>
            <w:r w:rsidRPr="00537112">
              <w:rPr>
                <w:rFonts w:cs="Verdana"/>
                <w:sz w:val="20"/>
                <w:szCs w:val="20"/>
              </w:rPr>
              <w:t>án</w:t>
            </w:r>
          </w:p>
        </w:tc>
      </w:tr>
      <w:tr w:rsidR="00537112" w:rsidRPr="00537112" w14:paraId="307FA8F1"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AEC50BC"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83</w:t>
            </w:r>
          </w:p>
        </w:tc>
        <w:tc>
          <w:tcPr>
            <w:tcW w:w="5503" w:type="dxa"/>
            <w:tcBorders>
              <w:top w:val="single" w:sz="8" w:space="0" w:color="000000"/>
              <w:left w:val="single" w:sz="8" w:space="0" w:color="000000"/>
              <w:bottom w:val="single" w:sz="8" w:space="0" w:color="000000"/>
              <w:right w:val="single" w:sz="8" w:space="0" w:color="000000"/>
            </w:tcBorders>
          </w:tcPr>
          <w:p w14:paraId="06E23E60"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J</w:t>
            </w:r>
            <w:r w:rsidRPr="00537112">
              <w:rPr>
                <w:rFonts w:cs="Verdana"/>
                <w:spacing w:val="-1"/>
                <w:sz w:val="20"/>
                <w:szCs w:val="20"/>
              </w:rPr>
              <w:t>os</w:t>
            </w:r>
            <w:r w:rsidRPr="00537112">
              <w:rPr>
                <w:rFonts w:cs="Verdana"/>
                <w:sz w:val="20"/>
                <w:szCs w:val="20"/>
              </w:rPr>
              <w:t>é</w:t>
            </w:r>
            <w:r w:rsidRPr="00537112">
              <w:rPr>
                <w:rFonts w:cs="Verdana"/>
                <w:spacing w:val="-6"/>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Ma</w:t>
            </w:r>
            <w:r w:rsidRPr="00537112">
              <w:rPr>
                <w:rFonts w:cs="Verdana"/>
                <w:spacing w:val="1"/>
                <w:sz w:val="20"/>
                <w:szCs w:val="20"/>
              </w:rPr>
              <w:t>t</w:t>
            </w:r>
            <w:r w:rsidRPr="00537112">
              <w:rPr>
                <w:rFonts w:cs="Verdana"/>
                <w:spacing w:val="3"/>
                <w:sz w:val="20"/>
                <w:szCs w:val="20"/>
              </w:rPr>
              <w:t>í</w:t>
            </w:r>
            <w:r w:rsidRPr="00537112">
              <w:rPr>
                <w:rFonts w:cs="Verdana"/>
                <w:sz w:val="20"/>
                <w:szCs w:val="20"/>
              </w:rPr>
              <w:t>as</w:t>
            </w:r>
          </w:p>
        </w:tc>
      </w:tr>
      <w:tr w:rsidR="00537112" w:rsidRPr="00537112" w14:paraId="3B143B6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C80E4A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84</w:t>
            </w:r>
          </w:p>
        </w:tc>
        <w:tc>
          <w:tcPr>
            <w:tcW w:w="5503" w:type="dxa"/>
            <w:tcBorders>
              <w:top w:val="single" w:sz="8" w:space="0" w:color="000000"/>
              <w:left w:val="single" w:sz="8" w:space="0" w:color="000000"/>
              <w:bottom w:val="single" w:sz="8" w:space="0" w:color="000000"/>
              <w:right w:val="single" w:sz="8" w:space="0" w:color="000000"/>
            </w:tcBorders>
          </w:tcPr>
          <w:p w14:paraId="67D03F2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e</w:t>
            </w:r>
            <w:r w:rsidRPr="00537112">
              <w:rPr>
                <w:rFonts w:cs="Verdana"/>
                <w:spacing w:val="1"/>
                <w:sz w:val="20"/>
                <w:szCs w:val="20"/>
              </w:rPr>
              <w:t>n</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z w:val="20"/>
                <w:szCs w:val="20"/>
              </w:rPr>
              <w:t>Ma</w:t>
            </w:r>
            <w:r w:rsidRPr="00537112">
              <w:rPr>
                <w:rFonts w:cs="Verdana"/>
                <w:spacing w:val="1"/>
                <w:sz w:val="20"/>
                <w:szCs w:val="20"/>
              </w:rPr>
              <w:t>t</w:t>
            </w:r>
            <w:r w:rsidRPr="00537112">
              <w:rPr>
                <w:rFonts w:cs="Verdana"/>
                <w:spacing w:val="3"/>
                <w:sz w:val="20"/>
                <w:szCs w:val="20"/>
              </w:rPr>
              <w:t>í</w:t>
            </w:r>
            <w:r w:rsidRPr="00537112">
              <w:rPr>
                <w:rFonts w:cs="Verdana"/>
                <w:sz w:val="20"/>
                <w:szCs w:val="20"/>
              </w:rPr>
              <w:t>as</w:t>
            </w:r>
          </w:p>
        </w:tc>
      </w:tr>
      <w:tr w:rsidR="00537112" w:rsidRPr="00537112" w14:paraId="4FB286F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1238802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85</w:t>
            </w:r>
          </w:p>
        </w:tc>
        <w:tc>
          <w:tcPr>
            <w:tcW w:w="5503" w:type="dxa"/>
            <w:tcBorders>
              <w:top w:val="single" w:sz="8" w:space="0" w:color="000000"/>
              <w:left w:val="single" w:sz="8" w:space="0" w:color="000000"/>
              <w:bottom w:val="single" w:sz="8" w:space="0" w:color="000000"/>
              <w:right w:val="single" w:sz="8" w:space="0" w:color="000000"/>
            </w:tcBorders>
          </w:tcPr>
          <w:p w14:paraId="1C99B49C"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u</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Osor</w:t>
            </w:r>
            <w:r w:rsidRPr="00537112">
              <w:rPr>
                <w:rFonts w:cs="Verdana"/>
                <w:spacing w:val="3"/>
                <w:sz w:val="20"/>
                <w:szCs w:val="20"/>
              </w:rPr>
              <w:t>io</w:t>
            </w:r>
          </w:p>
        </w:tc>
      </w:tr>
      <w:tr w:rsidR="00537112" w:rsidRPr="00537112" w14:paraId="2EDF4C7E"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EF141E0"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86</w:t>
            </w:r>
          </w:p>
        </w:tc>
        <w:tc>
          <w:tcPr>
            <w:tcW w:w="5503" w:type="dxa"/>
            <w:tcBorders>
              <w:top w:val="single" w:sz="8" w:space="0" w:color="000000"/>
              <w:left w:val="single" w:sz="8" w:space="0" w:color="000000"/>
              <w:bottom w:val="single" w:sz="8" w:space="0" w:color="000000"/>
              <w:right w:val="single" w:sz="8" w:space="0" w:color="000000"/>
            </w:tcBorders>
          </w:tcPr>
          <w:p w14:paraId="5878D70F"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t</w:t>
            </w:r>
            <w:r w:rsidRPr="00537112">
              <w:rPr>
                <w:rFonts w:cs="Verdana"/>
                <w:sz w:val="20"/>
                <w:szCs w:val="20"/>
              </w:rPr>
              <w:t>a</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8"/>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r>
      <w:tr w:rsidR="00537112" w:rsidRPr="00537112" w14:paraId="5BAA428A"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78642C8"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87</w:t>
            </w:r>
          </w:p>
        </w:tc>
        <w:tc>
          <w:tcPr>
            <w:tcW w:w="5503" w:type="dxa"/>
            <w:tcBorders>
              <w:top w:val="single" w:sz="8" w:space="0" w:color="000000"/>
              <w:left w:val="single" w:sz="8" w:space="0" w:color="000000"/>
              <w:bottom w:val="single" w:sz="8" w:space="0" w:color="000000"/>
              <w:right w:val="single" w:sz="8" w:space="0" w:color="000000"/>
            </w:tcBorders>
          </w:tcPr>
          <w:p w14:paraId="04BCD7AA"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J</w:t>
            </w:r>
            <w:r w:rsidRPr="00537112">
              <w:rPr>
                <w:rFonts w:cs="Verdana"/>
                <w:spacing w:val="-1"/>
                <w:sz w:val="20"/>
                <w:szCs w:val="20"/>
              </w:rPr>
              <w:t>es</w:t>
            </w:r>
            <w:r w:rsidRPr="00537112">
              <w:rPr>
                <w:rFonts w:cs="Verdana"/>
                <w:spacing w:val="1"/>
                <w:sz w:val="20"/>
                <w:szCs w:val="20"/>
              </w:rPr>
              <w:t>u</w:t>
            </w:r>
            <w:r w:rsidRPr="00537112">
              <w:rPr>
                <w:rFonts w:cs="Verdana"/>
                <w:sz w:val="20"/>
                <w:szCs w:val="20"/>
              </w:rPr>
              <w:t>s</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t</w:t>
            </w:r>
            <w:r w:rsidRPr="00537112">
              <w:rPr>
                <w:rFonts w:cs="Verdana"/>
                <w:spacing w:val="3"/>
                <w:sz w:val="20"/>
                <w:szCs w:val="20"/>
              </w:rPr>
              <w:t>i</w:t>
            </w:r>
            <w:r w:rsidRPr="00537112">
              <w:rPr>
                <w:rFonts w:cs="Verdana"/>
                <w:sz w:val="20"/>
                <w:szCs w:val="20"/>
              </w:rPr>
              <w:t>as</w:t>
            </w:r>
            <w:r w:rsidRPr="00537112">
              <w:rPr>
                <w:rFonts w:cs="Verdana"/>
                <w:spacing w:val="-7"/>
                <w:sz w:val="20"/>
                <w:szCs w:val="20"/>
              </w:rPr>
              <w:t xml:space="preserve"> </w:t>
            </w:r>
            <w:r w:rsidRPr="00537112">
              <w:rPr>
                <w:rFonts w:cs="Verdana"/>
                <w:spacing w:val="-1"/>
                <w:sz w:val="20"/>
                <w:szCs w:val="20"/>
              </w:rPr>
              <w:t>O</w:t>
            </w:r>
            <w:r w:rsidRPr="00537112">
              <w:rPr>
                <w:rFonts w:cs="Verdana"/>
                <w:spacing w:val="1"/>
                <w:sz w:val="20"/>
                <w:szCs w:val="20"/>
              </w:rPr>
              <w:t>j</w:t>
            </w:r>
            <w:r w:rsidRPr="00537112">
              <w:rPr>
                <w:rFonts w:cs="Verdana"/>
                <w:spacing w:val="-1"/>
                <w:sz w:val="20"/>
                <w:szCs w:val="20"/>
              </w:rPr>
              <w:t>ó</w:t>
            </w:r>
            <w:r w:rsidRPr="00537112">
              <w:rPr>
                <w:rFonts w:cs="Verdana"/>
                <w:sz w:val="20"/>
                <w:szCs w:val="20"/>
              </w:rPr>
              <w:t>m</w:t>
            </w:r>
          </w:p>
        </w:tc>
      </w:tr>
      <w:tr w:rsidR="00537112" w:rsidRPr="00537112" w14:paraId="07BBB55E"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DC7814D"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88</w:t>
            </w:r>
          </w:p>
        </w:tc>
        <w:tc>
          <w:tcPr>
            <w:tcW w:w="5503" w:type="dxa"/>
            <w:tcBorders>
              <w:top w:val="single" w:sz="8" w:space="0" w:color="000000"/>
              <w:left w:val="single" w:sz="8" w:space="0" w:color="000000"/>
              <w:bottom w:val="single" w:sz="8" w:space="0" w:color="000000"/>
              <w:right w:val="single" w:sz="8" w:space="0" w:color="000000"/>
            </w:tcBorders>
          </w:tcPr>
          <w:p w14:paraId="59B8204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pacing w:val="1"/>
                <w:sz w:val="20"/>
                <w:szCs w:val="20"/>
              </w:rPr>
              <w:t>nt</w:t>
            </w:r>
            <w:r w:rsidRPr="00537112">
              <w:rPr>
                <w:rFonts w:cs="Verdana"/>
                <w:spacing w:val="3"/>
                <w:sz w:val="20"/>
                <w:szCs w:val="20"/>
              </w:rPr>
              <w:t>i</w:t>
            </w:r>
            <w:r w:rsidRPr="00537112">
              <w:rPr>
                <w:rFonts w:cs="Verdana"/>
                <w:spacing w:val="1"/>
                <w:sz w:val="20"/>
                <w:szCs w:val="20"/>
              </w:rPr>
              <w:t>n</w:t>
            </w:r>
            <w:r w:rsidRPr="00537112">
              <w:rPr>
                <w:rFonts w:cs="Verdana"/>
                <w:sz w:val="20"/>
                <w:szCs w:val="20"/>
              </w:rPr>
              <w:t>a</w:t>
            </w:r>
            <w:r w:rsidRPr="00537112">
              <w:rPr>
                <w:rFonts w:cs="Verdana"/>
                <w:spacing w:val="-9"/>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pacing w:val="1"/>
                <w:sz w:val="20"/>
                <w:szCs w:val="20"/>
              </w:rPr>
              <w:t>S</w:t>
            </w:r>
            <w:r w:rsidRPr="00537112">
              <w:rPr>
                <w:rFonts w:cs="Verdana"/>
                <w:sz w:val="20"/>
                <w:szCs w:val="20"/>
              </w:rPr>
              <w:t>a</w:t>
            </w:r>
            <w:r w:rsidRPr="00537112">
              <w:rPr>
                <w:rFonts w:cs="Verdana"/>
                <w:spacing w:val="-1"/>
                <w:sz w:val="20"/>
                <w:szCs w:val="20"/>
              </w:rPr>
              <w:t>r</w:t>
            </w:r>
            <w:r w:rsidRPr="00537112">
              <w:rPr>
                <w:rFonts w:cs="Verdana"/>
                <w:spacing w:val="1"/>
                <w:sz w:val="20"/>
                <w:szCs w:val="20"/>
              </w:rPr>
              <w:t>p</w:t>
            </w:r>
            <w:r w:rsidRPr="00537112">
              <w:rPr>
                <w:rFonts w:cs="Verdana"/>
                <w:spacing w:val="-1"/>
                <w:sz w:val="20"/>
                <w:szCs w:val="20"/>
              </w:rPr>
              <w:t>e</w:t>
            </w:r>
            <w:r w:rsidRPr="00537112">
              <w:rPr>
                <w:rFonts w:cs="Verdana"/>
                <w:sz w:val="20"/>
                <w:szCs w:val="20"/>
              </w:rPr>
              <w:t>c</w:t>
            </w:r>
          </w:p>
        </w:tc>
      </w:tr>
      <w:tr w:rsidR="00537112" w:rsidRPr="00537112" w14:paraId="4727CA5E"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7297BA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89</w:t>
            </w:r>
          </w:p>
        </w:tc>
        <w:tc>
          <w:tcPr>
            <w:tcW w:w="5503" w:type="dxa"/>
            <w:tcBorders>
              <w:top w:val="single" w:sz="8" w:space="0" w:color="000000"/>
              <w:left w:val="single" w:sz="8" w:space="0" w:color="000000"/>
              <w:bottom w:val="single" w:sz="8" w:space="0" w:color="000000"/>
              <w:right w:val="single" w:sz="8" w:space="0" w:color="000000"/>
            </w:tcBorders>
          </w:tcPr>
          <w:p w14:paraId="1D7907AA"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Cay</w:t>
            </w:r>
            <w:r w:rsidRPr="00537112">
              <w:rPr>
                <w:rFonts w:cs="Verdana"/>
                <w:spacing w:val="-1"/>
                <w:sz w:val="20"/>
                <w:szCs w:val="20"/>
              </w:rPr>
              <w:t>e</w:t>
            </w:r>
            <w:r w:rsidRPr="00537112">
              <w:rPr>
                <w:rFonts w:cs="Verdana"/>
                <w:spacing w:val="1"/>
                <w:sz w:val="20"/>
                <w:szCs w:val="20"/>
              </w:rPr>
              <w:t>t</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p>
        </w:tc>
      </w:tr>
      <w:tr w:rsidR="00537112" w:rsidRPr="00537112" w14:paraId="097A85D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5C8B482C"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90</w:t>
            </w:r>
          </w:p>
        </w:tc>
        <w:tc>
          <w:tcPr>
            <w:tcW w:w="5503" w:type="dxa"/>
            <w:tcBorders>
              <w:top w:val="single" w:sz="8" w:space="0" w:color="000000"/>
              <w:left w:val="single" w:sz="8" w:space="0" w:color="000000"/>
              <w:bottom w:val="single" w:sz="8" w:space="0" w:color="000000"/>
              <w:right w:val="single" w:sz="8" w:space="0" w:color="000000"/>
            </w:tcBorders>
          </w:tcPr>
          <w:p w14:paraId="665C998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Z</w:t>
            </w:r>
            <w:r w:rsidRPr="00537112">
              <w:rPr>
                <w:rFonts w:cs="Verdana"/>
                <w:spacing w:val="-1"/>
                <w:sz w:val="20"/>
                <w:szCs w:val="20"/>
              </w:rPr>
              <w:t>e</w:t>
            </w:r>
            <w:r w:rsidRPr="00537112">
              <w:rPr>
                <w:rFonts w:cs="Verdana"/>
                <w:spacing w:val="1"/>
                <w:sz w:val="20"/>
                <w:szCs w:val="20"/>
              </w:rPr>
              <w:t>n</w:t>
            </w:r>
            <w:r w:rsidRPr="00537112">
              <w:rPr>
                <w:rFonts w:cs="Verdana"/>
                <w:spacing w:val="-1"/>
                <w:sz w:val="20"/>
                <w:szCs w:val="20"/>
              </w:rPr>
              <w:t>ó</w:t>
            </w:r>
            <w:r w:rsidRPr="00537112">
              <w:rPr>
                <w:rFonts w:cs="Verdana"/>
                <w:sz w:val="20"/>
                <w:szCs w:val="20"/>
              </w:rPr>
              <w:t>n</w:t>
            </w:r>
            <w:r w:rsidRPr="00537112">
              <w:rPr>
                <w:rFonts w:cs="Verdana"/>
                <w:spacing w:val="-6"/>
                <w:sz w:val="20"/>
                <w:szCs w:val="20"/>
              </w:rPr>
              <w:t xml:space="preserve"> </w:t>
            </w:r>
            <w:r w:rsidRPr="00537112">
              <w:rPr>
                <w:rFonts w:cs="Verdana"/>
                <w:spacing w:val="1"/>
                <w:sz w:val="20"/>
                <w:szCs w:val="20"/>
              </w:rPr>
              <w:t>U</w:t>
            </w:r>
            <w:r w:rsidRPr="00537112">
              <w:rPr>
                <w:rFonts w:cs="Verdana"/>
                <w:sz w:val="20"/>
                <w:szCs w:val="20"/>
              </w:rPr>
              <w:t>s</w:t>
            </w:r>
          </w:p>
        </w:tc>
      </w:tr>
      <w:tr w:rsidR="00537112" w:rsidRPr="00537112" w14:paraId="452E6B7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3C6D72FB"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91</w:t>
            </w:r>
          </w:p>
        </w:tc>
        <w:tc>
          <w:tcPr>
            <w:tcW w:w="5503" w:type="dxa"/>
            <w:tcBorders>
              <w:top w:val="single" w:sz="8" w:space="0" w:color="000000"/>
              <w:left w:val="single" w:sz="8" w:space="0" w:color="000000"/>
              <w:bottom w:val="single" w:sz="8" w:space="0" w:color="000000"/>
              <w:right w:val="single" w:sz="8" w:space="0" w:color="000000"/>
            </w:tcBorders>
          </w:tcPr>
          <w:p w14:paraId="4DE0D3E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g</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3"/>
                <w:sz w:val="20"/>
                <w:szCs w:val="20"/>
              </w:rPr>
              <w:t>l</w:t>
            </w:r>
            <w:r w:rsidRPr="00537112">
              <w:rPr>
                <w:rFonts w:cs="Verdana"/>
                <w:spacing w:val="-1"/>
                <w:sz w:val="20"/>
                <w:szCs w:val="20"/>
              </w:rPr>
              <w:t>oc</w:t>
            </w:r>
            <w:r w:rsidRPr="00537112">
              <w:rPr>
                <w:rFonts w:cs="Verdana"/>
                <w:sz w:val="20"/>
                <w:szCs w:val="20"/>
              </w:rPr>
              <w:t>h</w:t>
            </w:r>
            <w:r w:rsidRPr="00537112">
              <w:rPr>
                <w:rFonts w:cs="Verdana"/>
                <w:spacing w:val="-7"/>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p>
        </w:tc>
      </w:tr>
      <w:tr w:rsidR="00537112" w:rsidRPr="00537112" w14:paraId="5B423505"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20DE45B9"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92</w:t>
            </w:r>
          </w:p>
        </w:tc>
        <w:tc>
          <w:tcPr>
            <w:tcW w:w="5503" w:type="dxa"/>
            <w:tcBorders>
              <w:top w:val="single" w:sz="8" w:space="0" w:color="000000"/>
              <w:left w:val="single" w:sz="8" w:space="0" w:color="000000"/>
              <w:bottom w:val="single" w:sz="8" w:space="0" w:color="000000"/>
              <w:right w:val="single" w:sz="8" w:space="0" w:color="000000"/>
            </w:tcBorders>
          </w:tcPr>
          <w:p w14:paraId="0A257D3D"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w:t>
            </w:r>
            <w:r w:rsidRPr="00537112">
              <w:rPr>
                <w:rFonts w:cs="Verdana"/>
                <w:sz w:val="20"/>
                <w:szCs w:val="20"/>
              </w:rPr>
              <w:t>a</w:t>
            </w:r>
            <w:r w:rsidRPr="00537112">
              <w:rPr>
                <w:rFonts w:cs="Verdana"/>
                <w:spacing w:val="3"/>
                <w:sz w:val="20"/>
                <w:szCs w:val="20"/>
              </w:rPr>
              <w:t>li</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r w:rsidRPr="00537112">
              <w:rPr>
                <w:rFonts w:cs="Verdana"/>
                <w:spacing w:val="-7"/>
                <w:sz w:val="20"/>
                <w:szCs w:val="20"/>
              </w:rPr>
              <w:t xml:space="preserve"> </w:t>
            </w:r>
            <w:r w:rsidRPr="00537112">
              <w:rPr>
                <w:rFonts w:cs="Verdana"/>
                <w:sz w:val="20"/>
                <w:szCs w:val="20"/>
              </w:rPr>
              <w:t>Ba</w:t>
            </w:r>
            <w:r w:rsidRPr="00537112">
              <w:rPr>
                <w:rFonts w:cs="Verdana"/>
                <w:spacing w:val="-1"/>
                <w:sz w:val="20"/>
                <w:szCs w:val="20"/>
              </w:rPr>
              <w:t>c</w:t>
            </w:r>
            <w:r w:rsidRPr="00537112">
              <w:rPr>
                <w:rFonts w:cs="Verdana"/>
                <w:spacing w:val="1"/>
                <w:sz w:val="20"/>
                <w:szCs w:val="20"/>
              </w:rPr>
              <w:t>h</w:t>
            </w:r>
            <w:r w:rsidRPr="00537112">
              <w:rPr>
                <w:rFonts w:cs="Verdana"/>
                <w:sz w:val="20"/>
                <w:szCs w:val="20"/>
              </w:rPr>
              <w:t>an</w:t>
            </w:r>
          </w:p>
        </w:tc>
      </w:tr>
      <w:tr w:rsidR="00537112" w:rsidRPr="00537112" w14:paraId="4C1C475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15F8F2E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93</w:t>
            </w:r>
          </w:p>
        </w:tc>
        <w:tc>
          <w:tcPr>
            <w:tcW w:w="5503" w:type="dxa"/>
            <w:tcBorders>
              <w:top w:val="single" w:sz="8" w:space="0" w:color="000000"/>
              <w:left w:val="single" w:sz="8" w:space="0" w:color="000000"/>
              <w:bottom w:val="single" w:sz="8" w:space="0" w:color="000000"/>
              <w:right w:val="single" w:sz="8" w:space="0" w:color="000000"/>
            </w:tcBorders>
          </w:tcPr>
          <w:p w14:paraId="0A8C86C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f</w:t>
            </w:r>
            <w:r w:rsidRPr="00537112">
              <w:rPr>
                <w:rFonts w:cs="Verdana"/>
                <w:sz w:val="20"/>
                <w:szCs w:val="20"/>
              </w:rPr>
              <w:t>a</w:t>
            </w:r>
            <w:r w:rsidRPr="00537112">
              <w:rPr>
                <w:rFonts w:cs="Verdana"/>
                <w:spacing w:val="-1"/>
                <w:sz w:val="20"/>
                <w:szCs w:val="20"/>
              </w:rPr>
              <w:t>e</w:t>
            </w:r>
            <w:r w:rsidRPr="00537112">
              <w:rPr>
                <w:rFonts w:cs="Verdana"/>
                <w:spacing w:val="3"/>
                <w:sz w:val="20"/>
                <w:szCs w:val="20"/>
              </w:rPr>
              <w:t>l</w:t>
            </w:r>
            <w:r w:rsidRPr="00537112">
              <w:rPr>
                <w:rFonts w:cs="Verdana"/>
                <w:sz w:val="20"/>
                <w:szCs w:val="20"/>
              </w:rPr>
              <w:t>a</w:t>
            </w:r>
            <w:r w:rsidRPr="00537112">
              <w:rPr>
                <w:rFonts w:cs="Verdana"/>
                <w:spacing w:val="-7"/>
                <w:sz w:val="20"/>
                <w:szCs w:val="20"/>
              </w:rPr>
              <w:t xml:space="preserve"> </w:t>
            </w:r>
            <w:r w:rsidRPr="00537112">
              <w:rPr>
                <w:rFonts w:cs="Verdana"/>
                <w:sz w:val="20"/>
                <w:szCs w:val="20"/>
              </w:rPr>
              <w:t>C</w:t>
            </w:r>
            <w:r w:rsidRPr="00537112">
              <w:rPr>
                <w:rFonts w:cs="Verdana"/>
                <w:spacing w:val="3"/>
                <w:sz w:val="20"/>
                <w:szCs w:val="20"/>
              </w:rPr>
              <w:t>i</w:t>
            </w:r>
            <w:r w:rsidRPr="00537112">
              <w:rPr>
                <w:rFonts w:cs="Verdana"/>
                <w:spacing w:val="1"/>
                <w:sz w:val="20"/>
                <w:szCs w:val="20"/>
              </w:rPr>
              <w:t>p</w:t>
            </w:r>
            <w:r w:rsidRPr="00537112">
              <w:rPr>
                <w:rFonts w:cs="Verdana"/>
                <w:spacing w:val="-1"/>
                <w:sz w:val="20"/>
                <w:szCs w:val="20"/>
              </w:rPr>
              <w:t>r</w:t>
            </w:r>
            <w:r w:rsidRPr="00537112">
              <w:rPr>
                <w:rFonts w:cs="Verdana"/>
                <w:spacing w:val="3"/>
                <w:sz w:val="20"/>
                <w:szCs w:val="20"/>
              </w:rPr>
              <w:t>i</w:t>
            </w:r>
            <w:r w:rsidRPr="00537112">
              <w:rPr>
                <w:rFonts w:cs="Verdana"/>
                <w:sz w:val="20"/>
                <w:szCs w:val="20"/>
              </w:rPr>
              <w:t>an</w:t>
            </w:r>
            <w:r w:rsidRPr="00537112">
              <w:rPr>
                <w:rFonts w:cs="Verdana"/>
                <w:spacing w:val="-7"/>
                <w:sz w:val="20"/>
                <w:szCs w:val="20"/>
              </w:rPr>
              <w:t xml:space="preserve"> </w:t>
            </w:r>
            <w:r w:rsidRPr="00537112">
              <w:rPr>
                <w:rFonts w:cs="Verdana"/>
                <w:sz w:val="20"/>
                <w:szCs w:val="20"/>
              </w:rPr>
              <w:t>C</w:t>
            </w:r>
            <w:r w:rsidRPr="00537112">
              <w:rPr>
                <w:rFonts w:cs="Verdana"/>
                <w:spacing w:val="-1"/>
                <w:sz w:val="20"/>
                <w:szCs w:val="20"/>
              </w:rPr>
              <w:t>o</w:t>
            </w:r>
            <w:r w:rsidRPr="00537112">
              <w:rPr>
                <w:rFonts w:cs="Verdana"/>
                <w:spacing w:val="3"/>
                <w:sz w:val="20"/>
                <w:szCs w:val="20"/>
              </w:rPr>
              <w:t>l</w:t>
            </w:r>
            <w:r w:rsidRPr="00537112">
              <w:rPr>
                <w:rFonts w:cs="Verdana"/>
                <w:spacing w:val="-1"/>
                <w:sz w:val="20"/>
                <w:szCs w:val="20"/>
              </w:rPr>
              <w:t>oc</w:t>
            </w:r>
            <w:r w:rsidRPr="00537112">
              <w:rPr>
                <w:rFonts w:cs="Verdana"/>
                <w:sz w:val="20"/>
                <w:szCs w:val="20"/>
              </w:rPr>
              <w:t>h</w:t>
            </w:r>
          </w:p>
        </w:tc>
      </w:tr>
      <w:tr w:rsidR="00537112" w:rsidRPr="00537112" w14:paraId="5CEE704C"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73EA4293"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94</w:t>
            </w:r>
          </w:p>
        </w:tc>
        <w:tc>
          <w:tcPr>
            <w:tcW w:w="5503" w:type="dxa"/>
            <w:tcBorders>
              <w:top w:val="single" w:sz="8" w:space="0" w:color="000000"/>
              <w:left w:val="single" w:sz="8" w:space="0" w:color="000000"/>
              <w:bottom w:val="single" w:sz="8" w:space="0" w:color="000000"/>
              <w:right w:val="single" w:sz="8" w:space="0" w:color="000000"/>
            </w:tcBorders>
          </w:tcPr>
          <w:p w14:paraId="7D08FD6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Ant</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z w:val="20"/>
                <w:szCs w:val="20"/>
              </w:rPr>
              <w:t>C</w:t>
            </w:r>
            <w:r w:rsidRPr="00537112">
              <w:rPr>
                <w:rFonts w:cs="Verdana"/>
                <w:spacing w:val="3"/>
                <w:sz w:val="20"/>
                <w:szCs w:val="20"/>
              </w:rPr>
              <w:t>i</w:t>
            </w:r>
            <w:r w:rsidRPr="00537112">
              <w:rPr>
                <w:rFonts w:cs="Verdana"/>
                <w:spacing w:val="1"/>
                <w:sz w:val="20"/>
                <w:szCs w:val="20"/>
              </w:rPr>
              <w:t>p</w:t>
            </w:r>
            <w:r w:rsidRPr="00537112">
              <w:rPr>
                <w:rFonts w:cs="Verdana"/>
                <w:spacing w:val="-1"/>
                <w:sz w:val="20"/>
                <w:szCs w:val="20"/>
              </w:rPr>
              <w:t>r</w:t>
            </w:r>
            <w:r w:rsidRPr="00537112">
              <w:rPr>
                <w:rFonts w:cs="Verdana"/>
                <w:spacing w:val="3"/>
                <w:sz w:val="20"/>
                <w:szCs w:val="20"/>
              </w:rPr>
              <w:t>i</w:t>
            </w:r>
            <w:r w:rsidRPr="00537112">
              <w:rPr>
                <w:rFonts w:cs="Verdana"/>
                <w:sz w:val="20"/>
                <w:szCs w:val="20"/>
              </w:rPr>
              <w:t>an</w:t>
            </w:r>
          </w:p>
        </w:tc>
      </w:tr>
      <w:tr w:rsidR="00537112" w:rsidRPr="00537112" w14:paraId="5B9798AB"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4256F4A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95</w:t>
            </w:r>
          </w:p>
        </w:tc>
        <w:tc>
          <w:tcPr>
            <w:tcW w:w="5503" w:type="dxa"/>
            <w:tcBorders>
              <w:top w:val="single" w:sz="8" w:space="0" w:color="000000"/>
              <w:left w:val="single" w:sz="8" w:space="0" w:color="000000"/>
              <w:bottom w:val="single" w:sz="8" w:space="0" w:color="000000"/>
              <w:right w:val="single" w:sz="8" w:space="0" w:color="000000"/>
            </w:tcBorders>
          </w:tcPr>
          <w:p w14:paraId="1CF41A0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o</w:t>
            </w:r>
            <w:r w:rsidRPr="00537112">
              <w:rPr>
                <w:rFonts w:cs="Verdana"/>
                <w:spacing w:val="-7"/>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z w:val="20"/>
                <w:szCs w:val="20"/>
              </w:rPr>
              <w:t>C</w:t>
            </w:r>
            <w:r w:rsidRPr="00537112">
              <w:rPr>
                <w:rFonts w:cs="Verdana"/>
                <w:spacing w:val="3"/>
                <w:sz w:val="20"/>
                <w:szCs w:val="20"/>
              </w:rPr>
              <w:t>i</w:t>
            </w:r>
            <w:r w:rsidRPr="00537112">
              <w:rPr>
                <w:rFonts w:cs="Verdana"/>
                <w:spacing w:val="1"/>
                <w:sz w:val="20"/>
                <w:szCs w:val="20"/>
              </w:rPr>
              <w:t>p</w:t>
            </w:r>
            <w:r w:rsidRPr="00537112">
              <w:rPr>
                <w:rFonts w:cs="Verdana"/>
                <w:spacing w:val="-1"/>
                <w:sz w:val="20"/>
                <w:szCs w:val="20"/>
              </w:rPr>
              <w:t>r</w:t>
            </w:r>
            <w:r w:rsidRPr="00537112">
              <w:rPr>
                <w:rFonts w:cs="Verdana"/>
                <w:spacing w:val="3"/>
                <w:sz w:val="20"/>
                <w:szCs w:val="20"/>
              </w:rPr>
              <w:t>i</w:t>
            </w:r>
            <w:r w:rsidRPr="00537112">
              <w:rPr>
                <w:rFonts w:cs="Verdana"/>
                <w:sz w:val="20"/>
                <w:szCs w:val="20"/>
              </w:rPr>
              <w:t>an</w:t>
            </w:r>
          </w:p>
        </w:tc>
      </w:tr>
      <w:tr w:rsidR="00537112" w:rsidRPr="00537112" w14:paraId="5BB9537D"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1C8CA4F"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96</w:t>
            </w:r>
          </w:p>
        </w:tc>
        <w:tc>
          <w:tcPr>
            <w:tcW w:w="5503" w:type="dxa"/>
            <w:tcBorders>
              <w:top w:val="single" w:sz="8" w:space="0" w:color="000000"/>
              <w:left w:val="single" w:sz="8" w:space="0" w:color="000000"/>
              <w:bottom w:val="single" w:sz="8" w:space="0" w:color="000000"/>
              <w:right w:val="single" w:sz="8" w:space="0" w:color="000000"/>
            </w:tcBorders>
          </w:tcPr>
          <w:p w14:paraId="6F06320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G</w:t>
            </w:r>
            <w:r w:rsidRPr="00537112">
              <w:rPr>
                <w:rFonts w:cs="Verdana"/>
                <w:spacing w:val="1"/>
                <w:sz w:val="20"/>
                <w:szCs w:val="20"/>
              </w:rPr>
              <w:t>u</w:t>
            </w:r>
            <w:r w:rsidRPr="00537112">
              <w:rPr>
                <w:rFonts w:cs="Verdana"/>
                <w:spacing w:val="3"/>
                <w:sz w:val="20"/>
                <w:szCs w:val="20"/>
              </w:rPr>
              <w:t>ill</w:t>
            </w:r>
            <w:r w:rsidRPr="00537112">
              <w:rPr>
                <w:rFonts w:cs="Verdana"/>
                <w:spacing w:val="-1"/>
                <w:sz w:val="20"/>
                <w:szCs w:val="20"/>
              </w:rPr>
              <w:t>er</w:t>
            </w:r>
            <w:r w:rsidRPr="00537112">
              <w:rPr>
                <w:rFonts w:cs="Verdana"/>
                <w:spacing w:val="1"/>
                <w:sz w:val="20"/>
                <w:szCs w:val="20"/>
              </w:rPr>
              <w:t>m</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786D2245"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FC4B774"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97</w:t>
            </w:r>
          </w:p>
        </w:tc>
        <w:tc>
          <w:tcPr>
            <w:tcW w:w="5503" w:type="dxa"/>
            <w:tcBorders>
              <w:top w:val="single" w:sz="8" w:space="0" w:color="000000"/>
              <w:left w:val="single" w:sz="8" w:space="0" w:color="000000"/>
              <w:bottom w:val="single" w:sz="8" w:space="0" w:color="000000"/>
              <w:right w:val="single" w:sz="8" w:space="0" w:color="000000"/>
            </w:tcBorders>
          </w:tcPr>
          <w:p w14:paraId="68BEBD32"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May</w:t>
            </w:r>
            <w:r w:rsidRPr="00537112">
              <w:rPr>
                <w:rFonts w:cs="Verdana"/>
                <w:spacing w:val="-1"/>
                <w:sz w:val="20"/>
                <w:szCs w:val="20"/>
              </w:rPr>
              <w:t>r</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Jud</w:t>
            </w:r>
            <w:r w:rsidRPr="00537112">
              <w:rPr>
                <w:rFonts w:cs="Verdana"/>
                <w:spacing w:val="3"/>
                <w:sz w:val="20"/>
                <w:szCs w:val="20"/>
              </w:rPr>
              <w:t>i</w:t>
            </w:r>
            <w:r w:rsidRPr="00537112">
              <w:rPr>
                <w:rFonts w:cs="Verdana"/>
                <w:spacing w:val="1"/>
                <w:sz w:val="20"/>
                <w:szCs w:val="20"/>
              </w:rPr>
              <w:t>t</w:t>
            </w:r>
            <w:r w:rsidRPr="00537112">
              <w:rPr>
                <w:rFonts w:cs="Verdana"/>
                <w:sz w:val="20"/>
                <w:szCs w:val="20"/>
              </w:rPr>
              <w:t>h</w:t>
            </w:r>
            <w:r w:rsidRPr="00537112">
              <w:rPr>
                <w:rFonts w:cs="Verdana"/>
                <w:spacing w:val="-6"/>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p>
        </w:tc>
      </w:tr>
      <w:tr w:rsidR="00537112" w:rsidRPr="00537112" w14:paraId="714AE263"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0DC89B9E"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98</w:t>
            </w:r>
          </w:p>
        </w:tc>
        <w:tc>
          <w:tcPr>
            <w:tcW w:w="5503" w:type="dxa"/>
            <w:tcBorders>
              <w:top w:val="single" w:sz="8" w:space="0" w:color="000000"/>
              <w:left w:val="single" w:sz="8" w:space="0" w:color="000000"/>
              <w:bottom w:val="single" w:sz="8" w:space="0" w:color="000000"/>
              <w:right w:val="single" w:sz="8" w:space="0" w:color="000000"/>
            </w:tcBorders>
          </w:tcPr>
          <w:p w14:paraId="6406BB43"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r</w:t>
            </w:r>
            <w:r w:rsidRPr="00537112">
              <w:rPr>
                <w:rFonts w:cs="Verdana"/>
                <w:sz w:val="20"/>
                <w:szCs w:val="20"/>
              </w:rPr>
              <w:t>a</w:t>
            </w:r>
            <w:r w:rsidRPr="00537112">
              <w:rPr>
                <w:rFonts w:cs="Verdana"/>
                <w:spacing w:val="1"/>
                <w:sz w:val="20"/>
                <w:szCs w:val="20"/>
              </w:rPr>
              <w:t>n</w:t>
            </w:r>
            <w:r w:rsidRPr="00537112">
              <w:rPr>
                <w:rFonts w:cs="Verdana"/>
                <w:spacing w:val="-1"/>
                <w:sz w:val="20"/>
                <w:szCs w:val="20"/>
              </w:rPr>
              <w:t>c</w:t>
            </w:r>
            <w:r w:rsidRPr="00537112">
              <w:rPr>
                <w:rFonts w:cs="Verdana"/>
                <w:spacing w:val="3"/>
                <w:sz w:val="20"/>
                <w:szCs w:val="20"/>
              </w:rPr>
              <w:t>i</w:t>
            </w:r>
            <w:r w:rsidRPr="00537112">
              <w:rPr>
                <w:rFonts w:cs="Verdana"/>
                <w:spacing w:val="-1"/>
                <w:sz w:val="20"/>
                <w:szCs w:val="20"/>
              </w:rPr>
              <w:t>sc</w:t>
            </w:r>
            <w:r w:rsidRPr="00537112">
              <w:rPr>
                <w:rFonts w:cs="Verdana"/>
                <w:sz w:val="20"/>
                <w:szCs w:val="20"/>
              </w:rPr>
              <w:t>a</w:t>
            </w:r>
            <w:r w:rsidRPr="00537112">
              <w:rPr>
                <w:rFonts w:cs="Verdana"/>
                <w:spacing w:val="-9"/>
                <w:sz w:val="20"/>
                <w:szCs w:val="20"/>
              </w:rPr>
              <w:t xml:space="preserve"> </w:t>
            </w:r>
            <w:r w:rsidRPr="00537112">
              <w:rPr>
                <w:rFonts w:cs="Verdana"/>
                <w:spacing w:val="-2"/>
                <w:sz w:val="20"/>
                <w:szCs w:val="20"/>
              </w:rPr>
              <w:t>I</w:t>
            </w:r>
            <w:r w:rsidRPr="00537112">
              <w:rPr>
                <w:rFonts w:cs="Verdana"/>
                <w:spacing w:val="1"/>
                <w:sz w:val="20"/>
                <w:szCs w:val="20"/>
              </w:rPr>
              <w:t>b</w:t>
            </w:r>
            <w:r w:rsidRPr="00537112">
              <w:rPr>
                <w:rFonts w:cs="Verdana"/>
                <w:spacing w:val="-1"/>
                <w:sz w:val="20"/>
                <w:szCs w:val="20"/>
              </w:rPr>
              <w:t>o</w:t>
            </w:r>
            <w:r w:rsidRPr="00537112">
              <w:rPr>
                <w:rFonts w:cs="Verdana"/>
                <w:sz w:val="20"/>
                <w:szCs w:val="20"/>
              </w:rPr>
              <w:t>y</w:t>
            </w:r>
          </w:p>
        </w:tc>
      </w:tr>
      <w:tr w:rsidR="00537112" w:rsidRPr="00537112" w14:paraId="560FC488" w14:textId="77777777" w:rsidTr="00630EEC">
        <w:trPr>
          <w:trHeight w:hRule="exact" w:val="247"/>
        </w:trPr>
        <w:tc>
          <w:tcPr>
            <w:tcW w:w="1011" w:type="dxa"/>
            <w:tcBorders>
              <w:top w:val="single" w:sz="8" w:space="0" w:color="000000"/>
              <w:left w:val="single" w:sz="8" w:space="0" w:color="000000"/>
              <w:bottom w:val="single" w:sz="8" w:space="0" w:color="000000"/>
              <w:right w:val="single" w:sz="8" w:space="0" w:color="000000"/>
            </w:tcBorders>
            <w:shd w:val="clear" w:color="auto" w:fill="C0C0C0"/>
          </w:tcPr>
          <w:p w14:paraId="60DBE321" w14:textId="77777777" w:rsidR="00537112" w:rsidRPr="00537112" w:rsidRDefault="00537112" w:rsidP="00537112">
            <w:pPr>
              <w:autoSpaceDE w:val="0"/>
              <w:autoSpaceDN w:val="0"/>
              <w:spacing w:line="221" w:lineRule="exact"/>
              <w:ind w:right="290"/>
              <w:jc w:val="center"/>
              <w:textAlignment w:val="auto"/>
              <w:rPr>
                <w:rFonts w:ascii="Times New Roman" w:hAnsi="Times New Roman"/>
              </w:rPr>
            </w:pPr>
            <w:r w:rsidRPr="00537112">
              <w:rPr>
                <w:rFonts w:cs="Verdana"/>
                <w:b/>
                <w:bCs/>
                <w:w w:val="99"/>
                <w:sz w:val="20"/>
                <w:szCs w:val="20"/>
              </w:rPr>
              <w:t>99</w:t>
            </w:r>
          </w:p>
        </w:tc>
        <w:tc>
          <w:tcPr>
            <w:tcW w:w="5503" w:type="dxa"/>
            <w:tcBorders>
              <w:top w:val="single" w:sz="8" w:space="0" w:color="000000"/>
              <w:left w:val="single" w:sz="8" w:space="0" w:color="000000"/>
              <w:bottom w:val="single" w:sz="8" w:space="0" w:color="000000"/>
              <w:right w:val="single" w:sz="8" w:space="0" w:color="000000"/>
            </w:tcBorders>
          </w:tcPr>
          <w:p w14:paraId="6EA549D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t</w:t>
            </w:r>
            <w:r w:rsidRPr="00537112">
              <w:rPr>
                <w:rFonts w:cs="Verdana"/>
                <w:sz w:val="20"/>
                <w:szCs w:val="20"/>
              </w:rPr>
              <w:t>a</w:t>
            </w:r>
            <w:r w:rsidRPr="00537112">
              <w:rPr>
                <w:rFonts w:cs="Verdana"/>
                <w:spacing w:val="-1"/>
                <w:sz w:val="20"/>
                <w:szCs w:val="20"/>
              </w:rPr>
              <w:t>r</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bl>
    <w:p w14:paraId="35F36B0D" w14:textId="77777777" w:rsidR="00537112" w:rsidRPr="00537112" w:rsidRDefault="00537112" w:rsidP="00537112">
      <w:pPr>
        <w:autoSpaceDE w:val="0"/>
        <w:autoSpaceDN w:val="0"/>
        <w:spacing w:line="240" w:lineRule="auto"/>
        <w:jc w:val="left"/>
        <w:textAlignment w:val="auto"/>
        <w:rPr>
          <w:rFonts w:ascii="Times New Roman" w:hAnsi="Times New Roman"/>
        </w:rPr>
        <w:sectPr w:rsidR="00537112" w:rsidRPr="00537112">
          <w:headerReference w:type="default" r:id="rId23"/>
          <w:pgSz w:w="12260" w:h="15840"/>
          <w:pgMar w:top="1340" w:right="1720" w:bottom="280" w:left="980" w:header="0" w:footer="0" w:gutter="0"/>
          <w:cols w:space="720"/>
          <w:noEndnote/>
        </w:sectPr>
      </w:pPr>
    </w:p>
    <w:p w14:paraId="565E9CCD" w14:textId="77777777" w:rsidR="00537112" w:rsidRPr="00537112" w:rsidRDefault="00537112" w:rsidP="00537112">
      <w:pPr>
        <w:autoSpaceDE w:val="0"/>
        <w:autoSpaceDN w:val="0"/>
        <w:spacing w:before="9" w:line="80" w:lineRule="exact"/>
        <w:jc w:val="left"/>
        <w:textAlignment w:val="auto"/>
        <w:rPr>
          <w:rFonts w:ascii="Times New Roman" w:hAnsi="Times New Roman"/>
          <w:sz w:val="8"/>
          <w:szCs w:val="8"/>
        </w:rPr>
      </w:pPr>
    </w:p>
    <w:tbl>
      <w:tblPr>
        <w:tblpPr w:leftFromText="141" w:rightFromText="141" w:vertAnchor="page" w:horzAnchor="page" w:tblpX="1052" w:tblpY="1240"/>
        <w:tblW w:w="0" w:type="auto"/>
        <w:tblLayout w:type="fixed"/>
        <w:tblCellMar>
          <w:left w:w="0" w:type="dxa"/>
          <w:right w:w="0" w:type="dxa"/>
        </w:tblCellMar>
        <w:tblLook w:val="0000" w:firstRow="0" w:lastRow="0" w:firstColumn="0" w:lastColumn="0" w:noHBand="0" w:noVBand="0"/>
      </w:tblPr>
      <w:tblGrid>
        <w:gridCol w:w="1019"/>
        <w:gridCol w:w="5545"/>
      </w:tblGrid>
      <w:tr w:rsidR="00537112" w:rsidRPr="00537112" w14:paraId="1A055D78" w14:textId="77777777" w:rsidTr="00630EEC">
        <w:trPr>
          <w:trHeight w:hRule="exact" w:val="274"/>
        </w:trPr>
        <w:tc>
          <w:tcPr>
            <w:tcW w:w="1019" w:type="dxa"/>
            <w:tcBorders>
              <w:top w:val="single" w:sz="4" w:space="0" w:color="auto"/>
              <w:left w:val="single" w:sz="8" w:space="0" w:color="000000"/>
              <w:bottom w:val="single" w:sz="8" w:space="0" w:color="000000"/>
              <w:right w:val="single" w:sz="8" w:space="0" w:color="000000"/>
            </w:tcBorders>
            <w:shd w:val="clear" w:color="auto" w:fill="C0C0C0"/>
          </w:tcPr>
          <w:p w14:paraId="06B23E77" w14:textId="77777777" w:rsidR="00537112" w:rsidRPr="00537112" w:rsidRDefault="00537112" w:rsidP="00537112">
            <w:pPr>
              <w:autoSpaceDE w:val="0"/>
              <w:autoSpaceDN w:val="0"/>
              <w:spacing w:line="232" w:lineRule="exact"/>
              <w:ind w:right="-20"/>
              <w:jc w:val="left"/>
              <w:textAlignment w:val="auto"/>
              <w:rPr>
                <w:rFonts w:ascii="Times New Roman" w:hAnsi="Times New Roman"/>
              </w:rPr>
            </w:pPr>
            <w:r w:rsidRPr="00537112">
              <w:rPr>
                <w:rFonts w:cs="Verdana"/>
                <w:b/>
                <w:bCs/>
                <w:sz w:val="20"/>
                <w:szCs w:val="20"/>
              </w:rPr>
              <w:t>100</w:t>
            </w:r>
          </w:p>
        </w:tc>
        <w:tc>
          <w:tcPr>
            <w:tcW w:w="5545" w:type="dxa"/>
            <w:tcBorders>
              <w:top w:val="single" w:sz="8" w:space="0" w:color="000000"/>
              <w:left w:val="single" w:sz="8" w:space="0" w:color="000000"/>
              <w:bottom w:val="single" w:sz="8" w:space="0" w:color="000000"/>
              <w:right w:val="single" w:sz="8" w:space="0" w:color="000000"/>
            </w:tcBorders>
          </w:tcPr>
          <w:p w14:paraId="7F131479"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D</w:t>
            </w:r>
            <w:r w:rsidRPr="00537112">
              <w:rPr>
                <w:rFonts w:cs="Verdana"/>
                <w:spacing w:val="3"/>
                <w:sz w:val="20"/>
                <w:szCs w:val="20"/>
              </w:rPr>
              <w:t>i</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2"/>
                <w:sz w:val="20"/>
                <w:szCs w:val="20"/>
              </w:rPr>
              <w:t>I</w:t>
            </w:r>
            <w:r w:rsidRPr="00537112">
              <w:rPr>
                <w:rFonts w:cs="Verdana"/>
                <w:spacing w:val="1"/>
                <w:sz w:val="20"/>
                <w:szCs w:val="20"/>
              </w:rPr>
              <w:t>b</w:t>
            </w:r>
            <w:r w:rsidRPr="00537112">
              <w:rPr>
                <w:rFonts w:cs="Verdana"/>
                <w:spacing w:val="-1"/>
                <w:sz w:val="20"/>
                <w:szCs w:val="20"/>
              </w:rPr>
              <w:t>oy</w:t>
            </w:r>
          </w:p>
        </w:tc>
      </w:tr>
      <w:tr w:rsidR="00537112" w:rsidRPr="00537112" w14:paraId="1F9554C6"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ADF93A4"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101</w:t>
            </w:r>
          </w:p>
        </w:tc>
        <w:tc>
          <w:tcPr>
            <w:tcW w:w="5545" w:type="dxa"/>
            <w:tcBorders>
              <w:top w:val="single" w:sz="8" w:space="0" w:color="000000"/>
              <w:left w:val="single" w:sz="8" w:space="0" w:color="000000"/>
              <w:bottom w:val="single" w:sz="8" w:space="0" w:color="000000"/>
              <w:right w:val="single" w:sz="8" w:space="0" w:color="000000"/>
            </w:tcBorders>
          </w:tcPr>
          <w:p w14:paraId="4E2FEC9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d</w:t>
            </w:r>
            <w:r w:rsidRPr="00537112">
              <w:rPr>
                <w:rFonts w:cs="Verdana"/>
                <w:sz w:val="20"/>
                <w:szCs w:val="20"/>
              </w:rPr>
              <w:t>al</w:t>
            </w:r>
            <w:r w:rsidRPr="00537112">
              <w:rPr>
                <w:rFonts w:cs="Verdana"/>
                <w:spacing w:val="-3"/>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2"/>
                <w:sz w:val="20"/>
                <w:szCs w:val="20"/>
              </w:rPr>
              <w:t>I</w:t>
            </w:r>
            <w:r w:rsidRPr="00537112">
              <w:rPr>
                <w:rFonts w:cs="Verdana"/>
                <w:spacing w:val="1"/>
                <w:sz w:val="20"/>
                <w:szCs w:val="20"/>
              </w:rPr>
              <w:t>b</w:t>
            </w:r>
            <w:r w:rsidRPr="00537112">
              <w:rPr>
                <w:rFonts w:cs="Verdana"/>
                <w:spacing w:val="-1"/>
                <w:sz w:val="20"/>
                <w:szCs w:val="20"/>
              </w:rPr>
              <w:t>oy</w:t>
            </w:r>
          </w:p>
        </w:tc>
      </w:tr>
      <w:tr w:rsidR="00537112" w:rsidRPr="00537112" w14:paraId="5BA7833D"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EE1EE92"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102</w:t>
            </w:r>
          </w:p>
        </w:tc>
        <w:tc>
          <w:tcPr>
            <w:tcW w:w="5545" w:type="dxa"/>
            <w:tcBorders>
              <w:top w:val="single" w:sz="8" w:space="0" w:color="000000"/>
              <w:left w:val="single" w:sz="8" w:space="0" w:color="000000"/>
              <w:bottom w:val="single" w:sz="8" w:space="0" w:color="000000"/>
              <w:right w:val="single" w:sz="8" w:space="0" w:color="000000"/>
            </w:tcBorders>
          </w:tcPr>
          <w:p w14:paraId="7C8A2B2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fo</w:t>
            </w:r>
            <w:r w:rsidRPr="00537112">
              <w:rPr>
                <w:rFonts w:cs="Verdana"/>
                <w:spacing w:val="1"/>
                <w:sz w:val="20"/>
                <w:szCs w:val="20"/>
              </w:rPr>
              <w:t>n</w:t>
            </w:r>
            <w:r w:rsidRPr="00537112">
              <w:rPr>
                <w:rFonts w:cs="Verdana"/>
                <w:spacing w:val="-1"/>
                <w:sz w:val="20"/>
                <w:szCs w:val="20"/>
              </w:rPr>
              <w:t>s</w:t>
            </w:r>
            <w:r w:rsidRPr="00537112">
              <w:rPr>
                <w:rFonts w:cs="Verdana"/>
                <w:sz w:val="20"/>
                <w:szCs w:val="20"/>
              </w:rPr>
              <w:t>o</w:t>
            </w:r>
            <w:r w:rsidRPr="00537112">
              <w:rPr>
                <w:rFonts w:cs="Verdana"/>
                <w:spacing w:val="-9"/>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4"/>
                <w:sz w:val="20"/>
                <w:szCs w:val="20"/>
              </w:rPr>
              <w:t xml:space="preserve"> </w:t>
            </w:r>
            <w:r w:rsidRPr="00537112">
              <w:rPr>
                <w:rFonts w:cs="Verdana"/>
                <w:spacing w:val="1"/>
                <w:sz w:val="20"/>
                <w:szCs w:val="20"/>
              </w:rPr>
              <w:t>(</w:t>
            </w:r>
            <w:r w:rsidRPr="00537112">
              <w:rPr>
                <w:rFonts w:cs="Verdana"/>
                <w:spacing w:val="-1"/>
                <w:sz w:val="20"/>
                <w:szCs w:val="20"/>
              </w:rPr>
              <w:t>f</w:t>
            </w:r>
            <w:r w:rsidRPr="00537112">
              <w:rPr>
                <w:rFonts w:cs="Verdana"/>
                <w:sz w:val="20"/>
                <w:szCs w:val="20"/>
              </w:rPr>
              <w:t>a</w:t>
            </w:r>
            <w:r w:rsidRPr="00537112">
              <w:rPr>
                <w:rFonts w:cs="Verdana"/>
                <w:spacing w:val="3"/>
                <w:sz w:val="20"/>
                <w:szCs w:val="20"/>
              </w:rPr>
              <w:t>ll</w:t>
            </w:r>
            <w:r w:rsidRPr="00537112">
              <w:rPr>
                <w:rFonts w:cs="Verdana"/>
                <w:spacing w:val="-1"/>
                <w:sz w:val="20"/>
                <w:szCs w:val="20"/>
              </w:rPr>
              <w:t>ec</w:t>
            </w:r>
            <w:r w:rsidRPr="00537112">
              <w:rPr>
                <w:rFonts w:cs="Verdana"/>
                <w:spacing w:val="3"/>
                <w:sz w:val="20"/>
                <w:szCs w:val="20"/>
              </w:rPr>
              <w:t>i</w:t>
            </w:r>
            <w:r w:rsidRPr="00537112">
              <w:rPr>
                <w:rFonts w:cs="Verdana"/>
                <w:spacing w:val="1"/>
                <w:sz w:val="20"/>
                <w:szCs w:val="20"/>
              </w:rPr>
              <w:t>d</w:t>
            </w:r>
            <w:r w:rsidRPr="00537112">
              <w:rPr>
                <w:rFonts w:cs="Verdana"/>
                <w:spacing w:val="-1"/>
                <w:sz w:val="20"/>
                <w:szCs w:val="20"/>
              </w:rPr>
              <w:t>o</w:t>
            </w:r>
            <w:r w:rsidRPr="00537112">
              <w:rPr>
                <w:rFonts w:cs="Verdana"/>
                <w:sz w:val="20"/>
                <w:szCs w:val="20"/>
              </w:rPr>
              <w:t>)</w:t>
            </w:r>
          </w:p>
        </w:tc>
      </w:tr>
      <w:tr w:rsidR="00537112" w:rsidRPr="00537112" w14:paraId="703DA120"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4629AFE"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103</w:t>
            </w:r>
          </w:p>
        </w:tc>
        <w:tc>
          <w:tcPr>
            <w:tcW w:w="5545" w:type="dxa"/>
            <w:tcBorders>
              <w:top w:val="single" w:sz="8" w:space="0" w:color="000000"/>
              <w:left w:val="single" w:sz="8" w:space="0" w:color="000000"/>
              <w:bottom w:val="single" w:sz="8" w:space="0" w:color="000000"/>
              <w:right w:val="single" w:sz="8" w:space="0" w:color="000000"/>
            </w:tcBorders>
          </w:tcPr>
          <w:p w14:paraId="15E0E85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Ant</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p>
        </w:tc>
      </w:tr>
      <w:tr w:rsidR="00537112" w:rsidRPr="00537112" w14:paraId="7800CE84"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75B34D3"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104</w:t>
            </w:r>
          </w:p>
        </w:tc>
        <w:tc>
          <w:tcPr>
            <w:tcW w:w="5545" w:type="dxa"/>
            <w:tcBorders>
              <w:top w:val="single" w:sz="8" w:space="0" w:color="000000"/>
              <w:left w:val="single" w:sz="8" w:space="0" w:color="000000"/>
              <w:bottom w:val="single" w:sz="8" w:space="0" w:color="000000"/>
              <w:right w:val="single" w:sz="8" w:space="0" w:color="000000"/>
            </w:tcBorders>
          </w:tcPr>
          <w:p w14:paraId="51064137"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F</w:t>
            </w:r>
            <w:r w:rsidRPr="00537112">
              <w:rPr>
                <w:rFonts w:cs="Verdana"/>
                <w:spacing w:val="-1"/>
                <w:sz w:val="20"/>
                <w:szCs w:val="20"/>
              </w:rPr>
              <w:t>er</w:t>
            </w:r>
            <w:r w:rsidRPr="00537112">
              <w:rPr>
                <w:rFonts w:cs="Verdana"/>
                <w:spacing w:val="1"/>
                <w:sz w:val="20"/>
                <w:szCs w:val="20"/>
              </w:rPr>
              <w:t>n</w:t>
            </w:r>
            <w:r w:rsidRPr="00537112">
              <w:rPr>
                <w:rFonts w:cs="Verdana"/>
                <w:sz w:val="20"/>
                <w:szCs w:val="20"/>
              </w:rPr>
              <w:t>a</w:t>
            </w:r>
            <w:r w:rsidRPr="00537112">
              <w:rPr>
                <w:rFonts w:cs="Verdana"/>
                <w:spacing w:val="1"/>
                <w:sz w:val="20"/>
                <w:szCs w:val="20"/>
              </w:rPr>
              <w:t>nd</w:t>
            </w:r>
            <w:r w:rsidRPr="00537112">
              <w:rPr>
                <w:rFonts w:cs="Verdana"/>
                <w:sz w:val="20"/>
                <w:szCs w:val="20"/>
              </w:rPr>
              <w:t>o</w:t>
            </w:r>
            <w:r w:rsidRPr="00537112">
              <w:rPr>
                <w:rFonts w:cs="Verdana"/>
                <w:spacing w:val="-11"/>
                <w:sz w:val="20"/>
                <w:szCs w:val="20"/>
              </w:rPr>
              <w:t xml:space="preserve"> </w:t>
            </w:r>
            <w:r w:rsidRPr="00537112">
              <w:rPr>
                <w:rFonts w:cs="Verdana"/>
                <w:sz w:val="20"/>
                <w:szCs w:val="20"/>
              </w:rPr>
              <w:t>C</w:t>
            </w:r>
            <w:r w:rsidRPr="00537112">
              <w:rPr>
                <w:rFonts w:cs="Verdana"/>
                <w:spacing w:val="-1"/>
                <w:sz w:val="20"/>
                <w:szCs w:val="20"/>
              </w:rPr>
              <w:t>r</w:t>
            </w:r>
            <w:r w:rsidRPr="00537112">
              <w:rPr>
                <w:rFonts w:cs="Verdana"/>
                <w:spacing w:val="1"/>
                <w:sz w:val="20"/>
                <w:szCs w:val="20"/>
              </w:rPr>
              <w:t>u</w:t>
            </w:r>
            <w:r w:rsidRPr="00537112">
              <w:rPr>
                <w:rFonts w:cs="Verdana"/>
                <w:sz w:val="20"/>
                <w:szCs w:val="20"/>
              </w:rPr>
              <w:t>z</w:t>
            </w:r>
            <w:r w:rsidRPr="00537112">
              <w:rPr>
                <w:rFonts w:cs="Verdana"/>
                <w:spacing w:val="-5"/>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s</w:t>
            </w:r>
          </w:p>
        </w:tc>
      </w:tr>
      <w:tr w:rsidR="00537112" w:rsidRPr="00537112" w14:paraId="07CD2920"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1FFA19A"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105</w:t>
            </w:r>
          </w:p>
        </w:tc>
        <w:tc>
          <w:tcPr>
            <w:tcW w:w="5545" w:type="dxa"/>
            <w:tcBorders>
              <w:top w:val="single" w:sz="8" w:space="0" w:color="000000"/>
              <w:left w:val="single" w:sz="8" w:space="0" w:color="000000"/>
              <w:bottom w:val="single" w:sz="8" w:space="0" w:color="000000"/>
              <w:right w:val="single" w:sz="8" w:space="0" w:color="000000"/>
            </w:tcBorders>
          </w:tcPr>
          <w:p w14:paraId="56E7705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m</w:t>
            </w:r>
            <w:r w:rsidRPr="00537112">
              <w:rPr>
                <w:rFonts w:cs="Verdana"/>
                <w:spacing w:val="-1"/>
                <w:sz w:val="20"/>
                <w:szCs w:val="20"/>
              </w:rPr>
              <w:t>eó</w:t>
            </w:r>
            <w:r w:rsidRPr="00537112">
              <w:rPr>
                <w:rFonts w:cs="Verdana"/>
                <w:sz w:val="20"/>
                <w:szCs w:val="20"/>
              </w:rPr>
              <w:t>n</w:t>
            </w:r>
            <w:r w:rsidRPr="00537112">
              <w:rPr>
                <w:rFonts w:cs="Verdana"/>
                <w:spacing w:val="-8"/>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r w:rsidRPr="00537112">
              <w:rPr>
                <w:rFonts w:cs="Verdana"/>
                <w:spacing w:val="-9"/>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2F579D1A"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4AF659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106</w:t>
            </w:r>
          </w:p>
        </w:tc>
        <w:tc>
          <w:tcPr>
            <w:tcW w:w="5545" w:type="dxa"/>
            <w:tcBorders>
              <w:top w:val="single" w:sz="8" w:space="0" w:color="000000"/>
              <w:left w:val="single" w:sz="8" w:space="0" w:color="000000"/>
              <w:bottom w:val="single" w:sz="8" w:space="0" w:color="000000"/>
              <w:right w:val="single" w:sz="8" w:space="0" w:color="000000"/>
            </w:tcBorders>
          </w:tcPr>
          <w:p w14:paraId="37D9888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B</w:t>
            </w:r>
            <w:r w:rsidRPr="00537112">
              <w:rPr>
                <w:rFonts w:cs="Verdana"/>
                <w:spacing w:val="-1"/>
                <w:sz w:val="20"/>
                <w:szCs w:val="20"/>
              </w:rPr>
              <w:t>er</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z w:val="20"/>
                <w:szCs w:val="20"/>
              </w:rPr>
              <w:t>a</w:t>
            </w:r>
            <w:r w:rsidRPr="00537112">
              <w:rPr>
                <w:rFonts w:cs="Verdana"/>
                <w:spacing w:val="-9"/>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2CE7F335"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F32C42A"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107</w:t>
            </w:r>
          </w:p>
        </w:tc>
        <w:tc>
          <w:tcPr>
            <w:tcW w:w="5545" w:type="dxa"/>
            <w:tcBorders>
              <w:top w:val="single" w:sz="8" w:space="0" w:color="000000"/>
              <w:left w:val="single" w:sz="8" w:space="0" w:color="000000"/>
              <w:bottom w:val="single" w:sz="8" w:space="0" w:color="000000"/>
              <w:right w:val="single" w:sz="8" w:space="0" w:color="000000"/>
            </w:tcBorders>
          </w:tcPr>
          <w:p w14:paraId="699C514D"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w:t>
            </w:r>
            <w:r w:rsidRPr="00537112">
              <w:rPr>
                <w:rFonts w:cs="Verdana"/>
                <w:sz w:val="20"/>
                <w:szCs w:val="20"/>
              </w:rPr>
              <w:t>a</w:t>
            </w:r>
            <w:r w:rsidRPr="00537112">
              <w:rPr>
                <w:rFonts w:cs="Verdana"/>
                <w:spacing w:val="3"/>
                <w:sz w:val="20"/>
                <w:szCs w:val="20"/>
              </w:rPr>
              <w:t>li</w:t>
            </w:r>
            <w:r w:rsidRPr="00537112">
              <w:rPr>
                <w:rFonts w:cs="Verdana"/>
                <w:spacing w:val="1"/>
                <w:sz w:val="20"/>
                <w:szCs w:val="20"/>
              </w:rPr>
              <w:t>n</w:t>
            </w:r>
            <w:r w:rsidRPr="00537112">
              <w:rPr>
                <w:rFonts w:cs="Verdana"/>
                <w:sz w:val="20"/>
                <w:szCs w:val="20"/>
              </w:rPr>
              <w:t>a</w:t>
            </w:r>
            <w:r w:rsidRPr="00537112">
              <w:rPr>
                <w:rFonts w:cs="Verdana"/>
                <w:spacing w:val="-8"/>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171A9CBC"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969F1DF"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108</w:t>
            </w:r>
          </w:p>
        </w:tc>
        <w:tc>
          <w:tcPr>
            <w:tcW w:w="5545" w:type="dxa"/>
            <w:tcBorders>
              <w:top w:val="single" w:sz="8" w:space="0" w:color="000000"/>
              <w:left w:val="single" w:sz="8" w:space="0" w:color="000000"/>
              <w:bottom w:val="single" w:sz="8" w:space="0" w:color="000000"/>
              <w:right w:val="single" w:sz="8" w:space="0" w:color="000000"/>
            </w:tcBorders>
          </w:tcPr>
          <w:p w14:paraId="5070EC00"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í</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E</w:t>
            </w:r>
            <w:r w:rsidRPr="00537112">
              <w:rPr>
                <w:rFonts w:cs="Verdana"/>
                <w:spacing w:val="3"/>
                <w:sz w:val="20"/>
                <w:szCs w:val="20"/>
              </w:rPr>
              <w:t>l</w:t>
            </w:r>
            <w:r w:rsidRPr="00537112">
              <w:rPr>
                <w:rFonts w:cs="Verdana"/>
                <w:spacing w:val="-1"/>
                <w:sz w:val="20"/>
                <w:szCs w:val="20"/>
              </w:rPr>
              <w:t>e</w:t>
            </w:r>
            <w:r w:rsidRPr="00537112">
              <w:rPr>
                <w:rFonts w:cs="Verdana"/>
                <w:spacing w:val="1"/>
                <w:sz w:val="20"/>
                <w:szCs w:val="20"/>
              </w:rPr>
              <w:t>n</w:t>
            </w:r>
            <w:r w:rsidRPr="00537112">
              <w:rPr>
                <w:rFonts w:cs="Verdana"/>
                <w:sz w:val="20"/>
                <w:szCs w:val="20"/>
              </w:rPr>
              <w:t>a</w:t>
            </w:r>
            <w:r w:rsidRPr="00537112">
              <w:rPr>
                <w:rFonts w:cs="Verdana"/>
                <w:spacing w:val="-5"/>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án</w:t>
            </w:r>
          </w:p>
        </w:tc>
      </w:tr>
      <w:tr w:rsidR="00537112" w:rsidRPr="00537112" w14:paraId="5263F387"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72FB9EE0"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109</w:t>
            </w:r>
          </w:p>
        </w:tc>
        <w:tc>
          <w:tcPr>
            <w:tcW w:w="5545" w:type="dxa"/>
            <w:tcBorders>
              <w:top w:val="single" w:sz="8" w:space="0" w:color="000000"/>
              <w:left w:val="single" w:sz="8" w:space="0" w:color="000000"/>
              <w:bottom w:val="single" w:sz="8" w:space="0" w:color="000000"/>
              <w:right w:val="single" w:sz="8" w:space="0" w:color="000000"/>
            </w:tcBorders>
          </w:tcPr>
          <w:p w14:paraId="3A0AFBA0"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ce</w:t>
            </w:r>
            <w:r w:rsidRPr="00537112">
              <w:rPr>
                <w:rFonts w:cs="Verdana"/>
                <w:spacing w:val="1"/>
                <w:sz w:val="20"/>
                <w:szCs w:val="20"/>
              </w:rPr>
              <w:t>nt</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6"/>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t</w:t>
            </w:r>
            <w:r w:rsidRPr="00537112">
              <w:rPr>
                <w:rFonts w:cs="Verdana"/>
                <w:spacing w:val="-1"/>
                <w:sz w:val="20"/>
                <w:szCs w:val="20"/>
              </w:rPr>
              <w:t>eco</w:t>
            </w:r>
            <w:r w:rsidRPr="00537112">
              <w:rPr>
                <w:rFonts w:cs="Verdana"/>
                <w:sz w:val="20"/>
                <w:szCs w:val="20"/>
              </w:rPr>
              <w:t>c</w:t>
            </w:r>
          </w:p>
        </w:tc>
      </w:tr>
      <w:tr w:rsidR="00537112" w:rsidRPr="00537112" w14:paraId="729EB8A7"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F826A0B"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110</w:t>
            </w:r>
          </w:p>
        </w:tc>
        <w:tc>
          <w:tcPr>
            <w:tcW w:w="5545" w:type="dxa"/>
            <w:tcBorders>
              <w:top w:val="single" w:sz="8" w:space="0" w:color="000000"/>
              <w:left w:val="single" w:sz="8" w:space="0" w:color="000000"/>
              <w:bottom w:val="single" w:sz="8" w:space="0" w:color="000000"/>
              <w:right w:val="single" w:sz="8" w:space="0" w:color="000000"/>
            </w:tcBorders>
          </w:tcPr>
          <w:p w14:paraId="292B065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w:t>
            </w:r>
            <w:r w:rsidRPr="00537112">
              <w:rPr>
                <w:rFonts w:cs="Verdana"/>
                <w:spacing w:val="-1"/>
                <w:sz w:val="20"/>
                <w:szCs w:val="20"/>
              </w:rPr>
              <w:t>erce</w:t>
            </w:r>
            <w:r w:rsidRPr="00537112">
              <w:rPr>
                <w:rFonts w:cs="Verdana"/>
                <w:spacing w:val="1"/>
                <w:sz w:val="20"/>
                <w:szCs w:val="20"/>
              </w:rPr>
              <w:t>d</w:t>
            </w:r>
            <w:r w:rsidRPr="00537112">
              <w:rPr>
                <w:rFonts w:cs="Verdana"/>
                <w:spacing w:val="-1"/>
                <w:sz w:val="20"/>
                <w:szCs w:val="20"/>
              </w:rPr>
              <w:t>e</w:t>
            </w:r>
            <w:r w:rsidRPr="00537112">
              <w:rPr>
                <w:rFonts w:cs="Verdana"/>
                <w:sz w:val="20"/>
                <w:szCs w:val="20"/>
              </w:rPr>
              <w:t>s</w:t>
            </w:r>
            <w:r w:rsidRPr="00537112">
              <w:rPr>
                <w:rFonts w:cs="Verdana"/>
                <w:spacing w:val="-10"/>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pacing w:val="1"/>
                <w:sz w:val="20"/>
                <w:szCs w:val="20"/>
              </w:rPr>
              <w:t>p</w:t>
            </w:r>
            <w:r w:rsidRPr="00537112">
              <w:rPr>
                <w:rFonts w:cs="Verdana"/>
                <w:sz w:val="20"/>
                <w:szCs w:val="20"/>
              </w:rPr>
              <w:t>az</w:t>
            </w:r>
          </w:p>
        </w:tc>
      </w:tr>
      <w:tr w:rsidR="00537112" w:rsidRPr="00537112" w14:paraId="4DA3426B"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E1ECD56"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111</w:t>
            </w:r>
          </w:p>
        </w:tc>
        <w:tc>
          <w:tcPr>
            <w:tcW w:w="5545" w:type="dxa"/>
            <w:tcBorders>
              <w:top w:val="single" w:sz="8" w:space="0" w:color="000000"/>
              <w:left w:val="single" w:sz="8" w:space="0" w:color="000000"/>
              <w:bottom w:val="single" w:sz="8" w:space="0" w:color="000000"/>
              <w:right w:val="single" w:sz="8" w:space="0" w:color="000000"/>
            </w:tcBorders>
          </w:tcPr>
          <w:p w14:paraId="0EB8410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r</w:t>
            </w:r>
            <w:r w:rsidRPr="00537112">
              <w:rPr>
                <w:rFonts w:cs="Verdana"/>
                <w:spacing w:val="3"/>
                <w:sz w:val="20"/>
                <w:szCs w:val="20"/>
              </w:rPr>
              <w:t>l</w:t>
            </w:r>
            <w:r w:rsidRPr="00537112">
              <w:rPr>
                <w:rFonts w:cs="Verdana"/>
                <w:spacing w:val="-1"/>
                <w:sz w:val="20"/>
                <w:szCs w:val="20"/>
              </w:rPr>
              <w:t>o</w:t>
            </w:r>
            <w:r w:rsidRPr="00537112">
              <w:rPr>
                <w:rFonts w:cs="Verdana"/>
                <w:sz w:val="20"/>
                <w:szCs w:val="20"/>
              </w:rPr>
              <w:t>s</w:t>
            </w:r>
            <w:r w:rsidRPr="00537112">
              <w:rPr>
                <w:rFonts w:cs="Verdana"/>
                <w:spacing w:val="-7"/>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z w:val="20"/>
                <w:szCs w:val="20"/>
              </w:rPr>
              <w:t>a</w:t>
            </w:r>
            <w:r w:rsidRPr="00537112">
              <w:rPr>
                <w:rFonts w:cs="Verdana"/>
                <w:spacing w:val="1"/>
                <w:sz w:val="20"/>
                <w:szCs w:val="20"/>
              </w:rPr>
              <w:t>p</w:t>
            </w:r>
            <w:r w:rsidRPr="00537112">
              <w:rPr>
                <w:rFonts w:cs="Verdana"/>
                <w:spacing w:val="-1"/>
                <w:sz w:val="20"/>
                <w:szCs w:val="20"/>
              </w:rPr>
              <w:t>o</w:t>
            </w:r>
            <w:r w:rsidRPr="00537112">
              <w:rPr>
                <w:rFonts w:cs="Verdana"/>
                <w:sz w:val="20"/>
                <w:szCs w:val="20"/>
              </w:rPr>
              <w:t>t</w:t>
            </w:r>
            <w:r w:rsidRPr="00537112">
              <w:rPr>
                <w:rFonts w:cs="Verdana"/>
                <w:spacing w:val="-7"/>
                <w:sz w:val="20"/>
                <w:szCs w:val="20"/>
              </w:rPr>
              <w:t xml:space="preserve"> </w:t>
            </w:r>
            <w:r w:rsidRPr="00537112">
              <w:rPr>
                <w:rFonts w:cs="Verdana"/>
                <w:spacing w:val="-1"/>
                <w:sz w:val="20"/>
                <w:szCs w:val="20"/>
              </w:rPr>
              <w:t>G</w:t>
            </w:r>
            <w:r w:rsidRPr="00537112">
              <w:rPr>
                <w:rFonts w:cs="Verdana"/>
                <w:spacing w:val="1"/>
                <w:sz w:val="20"/>
                <w:szCs w:val="20"/>
              </w:rPr>
              <w:t>uzm</w:t>
            </w:r>
            <w:r w:rsidRPr="00537112">
              <w:rPr>
                <w:rFonts w:cs="Verdana"/>
                <w:sz w:val="20"/>
                <w:szCs w:val="20"/>
              </w:rPr>
              <w:t>án</w:t>
            </w:r>
          </w:p>
        </w:tc>
      </w:tr>
      <w:tr w:rsidR="00537112" w:rsidRPr="00537112" w14:paraId="4F55BCB7"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B37E867"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112</w:t>
            </w:r>
          </w:p>
        </w:tc>
        <w:tc>
          <w:tcPr>
            <w:tcW w:w="5545" w:type="dxa"/>
            <w:tcBorders>
              <w:top w:val="single" w:sz="8" w:space="0" w:color="000000"/>
              <w:left w:val="single" w:sz="8" w:space="0" w:color="000000"/>
              <w:bottom w:val="single" w:sz="8" w:space="0" w:color="000000"/>
              <w:right w:val="single" w:sz="8" w:space="0" w:color="000000"/>
            </w:tcBorders>
          </w:tcPr>
          <w:p w14:paraId="7ADB6F9C"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S</w:t>
            </w:r>
            <w:r w:rsidRPr="00537112">
              <w:rPr>
                <w:rFonts w:cs="Verdana"/>
                <w:spacing w:val="3"/>
                <w:sz w:val="20"/>
                <w:szCs w:val="20"/>
              </w:rPr>
              <w:t>i</w:t>
            </w:r>
            <w:r w:rsidRPr="00537112">
              <w:rPr>
                <w:rFonts w:cs="Verdana"/>
                <w:spacing w:val="1"/>
                <w:sz w:val="20"/>
                <w:szCs w:val="20"/>
              </w:rPr>
              <w:t>m</w:t>
            </w:r>
            <w:r w:rsidRPr="00537112">
              <w:rPr>
                <w:rFonts w:cs="Verdana"/>
                <w:spacing w:val="-1"/>
                <w:sz w:val="20"/>
                <w:szCs w:val="20"/>
              </w:rPr>
              <w:t>eo</w:t>
            </w:r>
            <w:r w:rsidRPr="00537112">
              <w:rPr>
                <w:rFonts w:cs="Verdana"/>
                <w:sz w:val="20"/>
                <w:szCs w:val="20"/>
              </w:rPr>
              <w:t>n</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Us</w:t>
            </w:r>
          </w:p>
        </w:tc>
      </w:tr>
      <w:tr w:rsidR="00537112" w:rsidRPr="00537112" w14:paraId="0C7420CC"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27359ADD"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113</w:t>
            </w:r>
          </w:p>
        </w:tc>
        <w:tc>
          <w:tcPr>
            <w:tcW w:w="5545" w:type="dxa"/>
            <w:tcBorders>
              <w:top w:val="single" w:sz="8" w:space="0" w:color="000000"/>
              <w:left w:val="single" w:sz="8" w:space="0" w:color="000000"/>
              <w:bottom w:val="single" w:sz="8" w:space="0" w:color="000000"/>
              <w:right w:val="single" w:sz="8" w:space="0" w:color="000000"/>
            </w:tcBorders>
          </w:tcPr>
          <w:p w14:paraId="4E82D6B8"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w:t>
            </w:r>
            <w:r w:rsidRPr="00537112">
              <w:rPr>
                <w:rFonts w:cs="Verdana"/>
                <w:spacing w:val="-1"/>
                <w:sz w:val="20"/>
                <w:szCs w:val="20"/>
              </w:rPr>
              <w:t>efer</w:t>
            </w:r>
            <w:r w:rsidRPr="00537112">
              <w:rPr>
                <w:rFonts w:cs="Verdana"/>
                <w:spacing w:val="3"/>
                <w:sz w:val="20"/>
                <w:szCs w:val="20"/>
              </w:rPr>
              <w:t>i</w:t>
            </w:r>
            <w:r w:rsidRPr="00537112">
              <w:rPr>
                <w:rFonts w:cs="Verdana"/>
                <w:spacing w:val="1"/>
                <w:sz w:val="20"/>
                <w:szCs w:val="20"/>
              </w:rPr>
              <w:t>n</w:t>
            </w:r>
            <w:r w:rsidRPr="00537112">
              <w:rPr>
                <w:rFonts w:cs="Verdana"/>
                <w:sz w:val="20"/>
                <w:szCs w:val="20"/>
              </w:rPr>
              <w:t>a</w:t>
            </w:r>
            <w:r w:rsidRPr="00537112">
              <w:rPr>
                <w:rFonts w:cs="Verdana"/>
                <w:spacing w:val="-8"/>
                <w:sz w:val="20"/>
                <w:szCs w:val="20"/>
              </w:rPr>
              <w:t xml:space="preserve"> </w:t>
            </w:r>
            <w:r w:rsidRPr="00537112">
              <w:rPr>
                <w:rFonts w:cs="Verdana"/>
                <w:sz w:val="20"/>
                <w:szCs w:val="20"/>
              </w:rPr>
              <w:t>Ca</w:t>
            </w:r>
            <w:r w:rsidRPr="00537112">
              <w:rPr>
                <w:rFonts w:cs="Verdana"/>
                <w:spacing w:val="-1"/>
                <w:sz w:val="20"/>
                <w:szCs w:val="20"/>
              </w:rPr>
              <w:t>c</w:t>
            </w:r>
            <w:r w:rsidRPr="00537112">
              <w:rPr>
                <w:rFonts w:cs="Verdana"/>
                <w:spacing w:val="1"/>
                <w:sz w:val="20"/>
                <w:szCs w:val="20"/>
              </w:rPr>
              <w:t>hu</w:t>
            </w:r>
            <w:r w:rsidRPr="00537112">
              <w:rPr>
                <w:rFonts w:cs="Verdana"/>
                <w:spacing w:val="-1"/>
                <w:sz w:val="20"/>
                <w:szCs w:val="20"/>
              </w:rPr>
              <w:t>e</w:t>
            </w:r>
            <w:r w:rsidRPr="00537112">
              <w:rPr>
                <w:rFonts w:cs="Verdana"/>
                <w:sz w:val="20"/>
                <w:szCs w:val="20"/>
              </w:rPr>
              <w:t>c</w:t>
            </w:r>
            <w:r w:rsidRPr="00537112">
              <w:rPr>
                <w:rFonts w:cs="Verdana"/>
                <w:spacing w:val="-9"/>
                <w:sz w:val="20"/>
                <w:szCs w:val="20"/>
              </w:rPr>
              <w:t xml:space="preserve"> </w:t>
            </w:r>
            <w:r w:rsidRPr="00537112">
              <w:rPr>
                <w:rFonts w:cs="Verdana"/>
                <w:spacing w:val="1"/>
                <w:sz w:val="20"/>
                <w:szCs w:val="20"/>
              </w:rPr>
              <w:t>J</w:t>
            </w:r>
            <w:r w:rsidRPr="00537112">
              <w:rPr>
                <w:rFonts w:cs="Verdana"/>
                <w:spacing w:val="-1"/>
                <w:sz w:val="20"/>
                <w:szCs w:val="20"/>
              </w:rPr>
              <w:t>eró</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m</w:t>
            </w:r>
            <w:r w:rsidRPr="00537112">
              <w:rPr>
                <w:rFonts w:cs="Verdana"/>
                <w:sz w:val="20"/>
                <w:szCs w:val="20"/>
              </w:rPr>
              <w:t>o</w:t>
            </w:r>
          </w:p>
        </w:tc>
      </w:tr>
      <w:tr w:rsidR="00537112" w:rsidRPr="00537112" w14:paraId="04AE6E42"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E1ADE51"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114</w:t>
            </w:r>
          </w:p>
        </w:tc>
        <w:tc>
          <w:tcPr>
            <w:tcW w:w="5545" w:type="dxa"/>
            <w:tcBorders>
              <w:top w:val="single" w:sz="8" w:space="0" w:color="000000"/>
              <w:left w:val="single" w:sz="8" w:space="0" w:color="000000"/>
              <w:bottom w:val="single" w:sz="8" w:space="0" w:color="000000"/>
              <w:right w:val="single" w:sz="8" w:space="0" w:color="000000"/>
            </w:tcBorders>
          </w:tcPr>
          <w:p w14:paraId="47CFA9B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or</w:t>
            </w:r>
            <w:r w:rsidRPr="00537112">
              <w:rPr>
                <w:rFonts w:cs="Verdana"/>
                <w:spacing w:val="3"/>
                <w:sz w:val="20"/>
                <w:szCs w:val="20"/>
              </w:rPr>
              <w:t>i</w:t>
            </w:r>
            <w:r w:rsidRPr="00537112">
              <w:rPr>
                <w:rFonts w:cs="Verdana"/>
                <w:spacing w:val="1"/>
                <w:sz w:val="20"/>
                <w:szCs w:val="20"/>
              </w:rPr>
              <w:t>b</w:t>
            </w:r>
            <w:r w:rsidRPr="00537112">
              <w:rPr>
                <w:rFonts w:cs="Verdana"/>
                <w:spacing w:val="3"/>
                <w:sz w:val="20"/>
                <w:szCs w:val="20"/>
              </w:rPr>
              <w:t>i</w:t>
            </w:r>
            <w:r w:rsidRPr="00537112">
              <w:rPr>
                <w:rFonts w:cs="Verdana"/>
                <w:sz w:val="20"/>
                <w:szCs w:val="20"/>
              </w:rPr>
              <w:t>o</w:t>
            </w:r>
            <w:r w:rsidRPr="00537112">
              <w:rPr>
                <w:rFonts w:cs="Verdana"/>
                <w:spacing w:val="-9"/>
                <w:sz w:val="20"/>
                <w:szCs w:val="20"/>
              </w:rPr>
              <w:t xml:space="preserve"> </w:t>
            </w:r>
            <w:r w:rsidRPr="00537112">
              <w:rPr>
                <w:rFonts w:cs="Verdana"/>
                <w:sz w:val="20"/>
                <w:szCs w:val="20"/>
              </w:rPr>
              <w:t>C</w:t>
            </w:r>
            <w:r w:rsidRPr="00537112">
              <w:rPr>
                <w:rFonts w:cs="Verdana"/>
                <w:spacing w:val="1"/>
                <w:sz w:val="20"/>
                <w:szCs w:val="20"/>
              </w:rPr>
              <w:t>h</w:t>
            </w:r>
            <w:r w:rsidRPr="00537112">
              <w:rPr>
                <w:rFonts w:cs="Verdana"/>
                <w:spacing w:val="-1"/>
                <w:sz w:val="20"/>
                <w:szCs w:val="20"/>
              </w:rPr>
              <w:t>e</w:t>
            </w:r>
            <w:r w:rsidRPr="00537112">
              <w:rPr>
                <w:rFonts w:cs="Verdana"/>
                <w:sz w:val="20"/>
                <w:szCs w:val="20"/>
              </w:rPr>
              <w:t>n</w:t>
            </w:r>
            <w:r w:rsidRPr="00537112">
              <w:rPr>
                <w:rFonts w:cs="Verdana"/>
                <w:spacing w:val="-5"/>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70114EF2"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2C883DD"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115</w:t>
            </w:r>
          </w:p>
        </w:tc>
        <w:tc>
          <w:tcPr>
            <w:tcW w:w="5545" w:type="dxa"/>
            <w:tcBorders>
              <w:top w:val="single" w:sz="8" w:space="0" w:color="000000"/>
              <w:left w:val="single" w:sz="8" w:space="0" w:color="000000"/>
              <w:bottom w:val="single" w:sz="8" w:space="0" w:color="000000"/>
              <w:right w:val="single" w:sz="8" w:space="0" w:color="000000"/>
            </w:tcBorders>
          </w:tcPr>
          <w:p w14:paraId="51777D5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5"/>
                <w:sz w:val="20"/>
                <w:szCs w:val="20"/>
              </w:rPr>
              <w:t xml:space="preserve"> </w:t>
            </w:r>
            <w:r w:rsidRPr="00537112">
              <w:rPr>
                <w:rFonts w:cs="Verdana"/>
                <w:spacing w:val="1"/>
                <w:sz w:val="20"/>
                <w:szCs w:val="20"/>
              </w:rPr>
              <w:t>J</w:t>
            </w:r>
            <w:r w:rsidRPr="00537112">
              <w:rPr>
                <w:rFonts w:cs="Verdana"/>
                <w:spacing w:val="-1"/>
                <w:sz w:val="20"/>
                <w:szCs w:val="20"/>
              </w:rPr>
              <w:t>es</w:t>
            </w:r>
            <w:r w:rsidRPr="00537112">
              <w:rPr>
                <w:rFonts w:cs="Verdana"/>
                <w:spacing w:val="1"/>
                <w:sz w:val="20"/>
                <w:szCs w:val="20"/>
              </w:rPr>
              <w:t>u</w:t>
            </w:r>
            <w:r w:rsidRPr="00537112">
              <w:rPr>
                <w:rFonts w:cs="Verdana"/>
                <w:sz w:val="20"/>
                <w:szCs w:val="20"/>
              </w:rPr>
              <w:t>s</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t</w:t>
            </w:r>
            <w:r w:rsidRPr="00537112">
              <w:rPr>
                <w:rFonts w:cs="Verdana"/>
                <w:spacing w:val="3"/>
                <w:sz w:val="20"/>
                <w:szCs w:val="20"/>
              </w:rPr>
              <w:t>i</w:t>
            </w:r>
            <w:r w:rsidRPr="00537112">
              <w:rPr>
                <w:rFonts w:cs="Verdana"/>
                <w:sz w:val="20"/>
                <w:szCs w:val="20"/>
              </w:rPr>
              <w:t>as</w:t>
            </w:r>
            <w:r w:rsidRPr="00537112">
              <w:rPr>
                <w:rFonts w:cs="Verdana"/>
                <w:spacing w:val="-7"/>
                <w:sz w:val="20"/>
                <w:szCs w:val="20"/>
              </w:rPr>
              <w:t xml:space="preserve"> </w:t>
            </w:r>
            <w:r w:rsidRPr="00537112">
              <w:rPr>
                <w:rFonts w:cs="Verdana"/>
                <w:spacing w:val="-1"/>
                <w:sz w:val="20"/>
                <w:szCs w:val="20"/>
              </w:rPr>
              <w:t>O</w:t>
            </w:r>
            <w:r w:rsidRPr="00537112">
              <w:rPr>
                <w:rFonts w:cs="Verdana"/>
                <w:spacing w:val="1"/>
                <w:sz w:val="20"/>
                <w:szCs w:val="20"/>
              </w:rPr>
              <w:t>j</w:t>
            </w:r>
            <w:r w:rsidRPr="00537112">
              <w:rPr>
                <w:rFonts w:cs="Verdana"/>
                <w:spacing w:val="-1"/>
                <w:sz w:val="20"/>
                <w:szCs w:val="20"/>
              </w:rPr>
              <w:t>ó</w:t>
            </w:r>
            <w:r w:rsidRPr="00537112">
              <w:rPr>
                <w:rFonts w:cs="Verdana"/>
                <w:sz w:val="20"/>
                <w:szCs w:val="20"/>
              </w:rPr>
              <w:t>m</w:t>
            </w:r>
          </w:p>
        </w:tc>
      </w:tr>
      <w:tr w:rsidR="00537112" w:rsidRPr="00537112" w14:paraId="0E9EA560"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30E84E9"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116</w:t>
            </w:r>
          </w:p>
        </w:tc>
        <w:tc>
          <w:tcPr>
            <w:tcW w:w="5545" w:type="dxa"/>
            <w:tcBorders>
              <w:top w:val="single" w:sz="8" w:space="0" w:color="000000"/>
              <w:left w:val="single" w:sz="8" w:space="0" w:color="000000"/>
              <w:bottom w:val="single" w:sz="8" w:space="0" w:color="000000"/>
              <w:right w:val="single" w:sz="8" w:space="0" w:color="000000"/>
            </w:tcBorders>
          </w:tcPr>
          <w:p w14:paraId="3F0DC72B"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r w:rsidR="00537112" w:rsidRPr="00537112" w14:paraId="2066B442"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773B04CD"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117</w:t>
            </w:r>
          </w:p>
        </w:tc>
        <w:tc>
          <w:tcPr>
            <w:tcW w:w="5545" w:type="dxa"/>
            <w:tcBorders>
              <w:top w:val="single" w:sz="8" w:space="0" w:color="000000"/>
              <w:left w:val="single" w:sz="8" w:space="0" w:color="000000"/>
              <w:bottom w:val="single" w:sz="8" w:space="0" w:color="000000"/>
              <w:right w:val="single" w:sz="8" w:space="0" w:color="000000"/>
            </w:tcBorders>
          </w:tcPr>
          <w:p w14:paraId="2E341DC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Ma</w:t>
            </w:r>
            <w:r w:rsidRPr="00537112">
              <w:rPr>
                <w:rFonts w:cs="Verdana"/>
                <w:spacing w:val="-1"/>
                <w:sz w:val="20"/>
                <w:szCs w:val="20"/>
              </w:rPr>
              <w:t>rce</w:t>
            </w:r>
            <w:r w:rsidRPr="00537112">
              <w:rPr>
                <w:rFonts w:cs="Verdana"/>
                <w:spacing w:val="3"/>
                <w:sz w:val="20"/>
                <w:szCs w:val="20"/>
              </w:rPr>
              <w:t>l</w:t>
            </w:r>
            <w:r w:rsidRPr="00537112">
              <w:rPr>
                <w:rFonts w:cs="Verdana"/>
                <w:sz w:val="20"/>
                <w:szCs w:val="20"/>
              </w:rPr>
              <w:t>a</w:t>
            </w:r>
            <w:r w:rsidRPr="00537112">
              <w:rPr>
                <w:rFonts w:cs="Verdana"/>
                <w:spacing w:val="-8"/>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r w:rsidRPr="00537112">
              <w:rPr>
                <w:rFonts w:cs="Verdana"/>
                <w:spacing w:val="-6"/>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r>
      <w:tr w:rsidR="00537112" w:rsidRPr="00537112" w14:paraId="53FEF881"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F1E0977"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118</w:t>
            </w:r>
          </w:p>
        </w:tc>
        <w:tc>
          <w:tcPr>
            <w:tcW w:w="5545" w:type="dxa"/>
            <w:tcBorders>
              <w:top w:val="single" w:sz="8" w:space="0" w:color="000000"/>
              <w:left w:val="single" w:sz="8" w:space="0" w:color="000000"/>
              <w:bottom w:val="single" w:sz="8" w:space="0" w:color="000000"/>
              <w:right w:val="single" w:sz="8" w:space="0" w:color="000000"/>
            </w:tcBorders>
          </w:tcPr>
          <w:p w14:paraId="5E5DEAA1"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R</w:t>
            </w:r>
            <w:r w:rsidRPr="00537112">
              <w:rPr>
                <w:rFonts w:cs="Verdana"/>
                <w:spacing w:val="-1"/>
                <w:sz w:val="20"/>
                <w:szCs w:val="20"/>
              </w:rPr>
              <w:t>os</w:t>
            </w:r>
            <w:r w:rsidRPr="00537112">
              <w:rPr>
                <w:rFonts w:cs="Verdana"/>
                <w:sz w:val="20"/>
                <w:szCs w:val="20"/>
              </w:rPr>
              <w:t>a</w:t>
            </w:r>
            <w:r w:rsidRPr="00537112">
              <w:rPr>
                <w:rFonts w:cs="Verdana"/>
                <w:spacing w:val="3"/>
                <w:sz w:val="20"/>
                <w:szCs w:val="20"/>
              </w:rPr>
              <w:t>lí</w:t>
            </w:r>
            <w:r w:rsidRPr="00537112">
              <w:rPr>
                <w:rFonts w:cs="Verdana"/>
                <w:spacing w:val="1"/>
                <w:sz w:val="20"/>
                <w:szCs w:val="20"/>
              </w:rPr>
              <w:t>nd</w:t>
            </w:r>
            <w:r w:rsidRPr="00537112">
              <w:rPr>
                <w:rFonts w:cs="Verdana"/>
                <w:sz w:val="20"/>
                <w:szCs w:val="20"/>
              </w:rPr>
              <w:t>a</w:t>
            </w:r>
            <w:r w:rsidRPr="00537112">
              <w:rPr>
                <w:rFonts w:cs="Verdana"/>
                <w:spacing w:val="-10"/>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7051CF0C"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77905AC8"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119</w:t>
            </w:r>
          </w:p>
        </w:tc>
        <w:tc>
          <w:tcPr>
            <w:tcW w:w="5545" w:type="dxa"/>
            <w:tcBorders>
              <w:top w:val="single" w:sz="8" w:space="0" w:color="000000"/>
              <w:left w:val="single" w:sz="8" w:space="0" w:color="000000"/>
              <w:bottom w:val="single" w:sz="8" w:space="0" w:color="000000"/>
              <w:right w:val="single" w:sz="8" w:space="0" w:color="000000"/>
            </w:tcBorders>
          </w:tcPr>
          <w:p w14:paraId="77F79666"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ú</w:t>
            </w:r>
            <w:r w:rsidRPr="00537112">
              <w:rPr>
                <w:rFonts w:cs="Verdana"/>
                <w:sz w:val="20"/>
                <w:szCs w:val="20"/>
              </w:rPr>
              <w:t>l</w:t>
            </w:r>
            <w:r w:rsidRPr="00537112">
              <w:rPr>
                <w:rFonts w:cs="Verdana"/>
                <w:spacing w:val="-2"/>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04218EBE"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D80F347"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120</w:t>
            </w:r>
          </w:p>
        </w:tc>
        <w:tc>
          <w:tcPr>
            <w:tcW w:w="5545" w:type="dxa"/>
            <w:tcBorders>
              <w:top w:val="single" w:sz="8" w:space="0" w:color="000000"/>
              <w:left w:val="single" w:sz="8" w:space="0" w:color="000000"/>
              <w:bottom w:val="single" w:sz="8" w:space="0" w:color="000000"/>
              <w:right w:val="single" w:sz="8" w:space="0" w:color="000000"/>
            </w:tcBorders>
          </w:tcPr>
          <w:p w14:paraId="27019E4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Ca</w:t>
            </w:r>
            <w:r w:rsidRPr="00537112">
              <w:rPr>
                <w:rFonts w:cs="Verdana"/>
                <w:spacing w:val="-1"/>
                <w:sz w:val="20"/>
                <w:szCs w:val="20"/>
              </w:rPr>
              <w:t>r</w:t>
            </w:r>
            <w:r w:rsidRPr="00537112">
              <w:rPr>
                <w:rFonts w:cs="Verdana"/>
                <w:spacing w:val="3"/>
                <w:sz w:val="20"/>
                <w:szCs w:val="20"/>
              </w:rPr>
              <w:t>l</w:t>
            </w:r>
            <w:r w:rsidRPr="00537112">
              <w:rPr>
                <w:rFonts w:cs="Verdana"/>
                <w:spacing w:val="-1"/>
                <w:sz w:val="20"/>
                <w:szCs w:val="20"/>
              </w:rPr>
              <w:t>o</w:t>
            </w:r>
            <w:r w:rsidRPr="00537112">
              <w:rPr>
                <w:rFonts w:cs="Verdana"/>
                <w:sz w:val="20"/>
                <w:szCs w:val="20"/>
              </w:rPr>
              <w:t>s</w:t>
            </w:r>
            <w:r w:rsidRPr="00537112">
              <w:rPr>
                <w:rFonts w:cs="Verdana"/>
                <w:spacing w:val="-7"/>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02744809"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66DC20D"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121</w:t>
            </w:r>
          </w:p>
        </w:tc>
        <w:tc>
          <w:tcPr>
            <w:tcW w:w="5545" w:type="dxa"/>
            <w:tcBorders>
              <w:top w:val="single" w:sz="8" w:space="0" w:color="000000"/>
              <w:left w:val="single" w:sz="8" w:space="0" w:color="000000"/>
              <w:bottom w:val="single" w:sz="8" w:space="0" w:color="000000"/>
              <w:right w:val="single" w:sz="8" w:space="0" w:color="000000"/>
            </w:tcBorders>
          </w:tcPr>
          <w:p w14:paraId="0BBA3AF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C</w:t>
            </w:r>
            <w:r w:rsidRPr="00537112">
              <w:rPr>
                <w:rFonts w:cs="Verdana"/>
                <w:spacing w:val="3"/>
                <w:sz w:val="20"/>
                <w:szCs w:val="20"/>
              </w:rPr>
              <w:t>l</w:t>
            </w:r>
            <w:r w:rsidRPr="00537112">
              <w:rPr>
                <w:rFonts w:cs="Verdana"/>
                <w:sz w:val="20"/>
                <w:szCs w:val="20"/>
              </w:rPr>
              <w:t>a</w:t>
            </w:r>
            <w:r w:rsidRPr="00537112">
              <w:rPr>
                <w:rFonts w:cs="Verdana"/>
                <w:spacing w:val="-1"/>
                <w:sz w:val="20"/>
                <w:szCs w:val="20"/>
              </w:rPr>
              <w:t>r</w:t>
            </w:r>
            <w:r w:rsidRPr="00537112">
              <w:rPr>
                <w:rFonts w:cs="Verdana"/>
                <w:sz w:val="20"/>
                <w:szCs w:val="20"/>
              </w:rPr>
              <w:t>a</w:t>
            </w:r>
            <w:r w:rsidRPr="00537112">
              <w:rPr>
                <w:rFonts w:cs="Verdana"/>
                <w:spacing w:val="-5"/>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r w:rsidR="00537112" w:rsidRPr="00537112" w14:paraId="3C698B12"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1FC26E2"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122</w:t>
            </w:r>
          </w:p>
        </w:tc>
        <w:tc>
          <w:tcPr>
            <w:tcW w:w="5545" w:type="dxa"/>
            <w:tcBorders>
              <w:top w:val="single" w:sz="8" w:space="0" w:color="000000"/>
              <w:left w:val="single" w:sz="8" w:space="0" w:color="000000"/>
              <w:bottom w:val="single" w:sz="8" w:space="0" w:color="000000"/>
              <w:right w:val="single" w:sz="8" w:space="0" w:color="000000"/>
            </w:tcBorders>
          </w:tcPr>
          <w:p w14:paraId="016C8CFE"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E</w:t>
            </w:r>
            <w:r w:rsidRPr="00537112">
              <w:rPr>
                <w:rFonts w:cs="Verdana"/>
                <w:spacing w:val="1"/>
                <w:sz w:val="20"/>
                <w:szCs w:val="20"/>
              </w:rPr>
              <w:t>m</w:t>
            </w:r>
            <w:r w:rsidRPr="00537112">
              <w:rPr>
                <w:rFonts w:cs="Verdana"/>
                <w:spacing w:val="3"/>
                <w:sz w:val="20"/>
                <w:szCs w:val="20"/>
              </w:rPr>
              <w:t>ili</w:t>
            </w:r>
            <w:r w:rsidRPr="00537112">
              <w:rPr>
                <w:rFonts w:cs="Verdana"/>
                <w:sz w:val="20"/>
                <w:szCs w:val="20"/>
              </w:rPr>
              <w:t>a</w:t>
            </w:r>
            <w:r w:rsidRPr="00537112">
              <w:rPr>
                <w:rFonts w:cs="Verdana"/>
                <w:spacing w:val="1"/>
                <w:sz w:val="20"/>
                <w:szCs w:val="20"/>
              </w:rPr>
              <w:t>n</w:t>
            </w:r>
            <w:r w:rsidRPr="00537112">
              <w:rPr>
                <w:rFonts w:cs="Verdana"/>
                <w:sz w:val="20"/>
                <w:szCs w:val="20"/>
              </w:rPr>
              <w:t>a</w:t>
            </w:r>
            <w:r w:rsidRPr="00537112">
              <w:rPr>
                <w:rFonts w:cs="Verdana"/>
                <w:spacing w:val="-9"/>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p>
        </w:tc>
      </w:tr>
      <w:tr w:rsidR="00537112" w:rsidRPr="00537112" w14:paraId="27BCAE9A"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808FE1E"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123</w:t>
            </w:r>
          </w:p>
        </w:tc>
        <w:tc>
          <w:tcPr>
            <w:tcW w:w="5545" w:type="dxa"/>
            <w:tcBorders>
              <w:top w:val="single" w:sz="8" w:space="0" w:color="000000"/>
              <w:left w:val="single" w:sz="8" w:space="0" w:color="000000"/>
              <w:bottom w:val="single" w:sz="8" w:space="0" w:color="000000"/>
              <w:right w:val="single" w:sz="8" w:space="0" w:color="000000"/>
            </w:tcBorders>
          </w:tcPr>
          <w:p w14:paraId="4C099C44"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Pa</w:t>
            </w:r>
            <w:r w:rsidRPr="00537112">
              <w:rPr>
                <w:rFonts w:cs="Verdana"/>
                <w:spacing w:val="1"/>
                <w:sz w:val="20"/>
                <w:szCs w:val="20"/>
              </w:rPr>
              <w:t>t</w:t>
            </w:r>
            <w:r w:rsidRPr="00537112">
              <w:rPr>
                <w:rFonts w:cs="Verdana"/>
                <w:spacing w:val="-1"/>
                <w:sz w:val="20"/>
                <w:szCs w:val="20"/>
              </w:rPr>
              <w:t>roc</w:t>
            </w:r>
            <w:r w:rsidRPr="00537112">
              <w:rPr>
                <w:rFonts w:cs="Verdana"/>
                <w:spacing w:val="3"/>
                <w:sz w:val="20"/>
                <w:szCs w:val="20"/>
              </w:rPr>
              <w:t>i</w:t>
            </w:r>
            <w:r w:rsidRPr="00537112">
              <w:rPr>
                <w:rFonts w:cs="Verdana"/>
                <w:spacing w:val="1"/>
                <w:sz w:val="20"/>
                <w:szCs w:val="20"/>
              </w:rPr>
              <w:t>n</w:t>
            </w:r>
            <w:r w:rsidRPr="00537112">
              <w:rPr>
                <w:rFonts w:cs="Verdana"/>
                <w:spacing w:val="3"/>
                <w:sz w:val="20"/>
                <w:szCs w:val="20"/>
              </w:rPr>
              <w:t>i</w:t>
            </w:r>
            <w:r w:rsidRPr="00537112">
              <w:rPr>
                <w:rFonts w:cs="Verdana"/>
                <w:sz w:val="20"/>
                <w:szCs w:val="20"/>
              </w:rPr>
              <w:t>a</w:t>
            </w:r>
            <w:r w:rsidRPr="00537112">
              <w:rPr>
                <w:rFonts w:cs="Verdana"/>
                <w:spacing w:val="-10"/>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59"/>
                <w:sz w:val="20"/>
                <w:szCs w:val="20"/>
              </w:rPr>
              <w:t xml:space="preserve"> </w:t>
            </w:r>
            <w:r w:rsidRPr="00537112">
              <w:rPr>
                <w:rFonts w:cs="Verdana"/>
                <w:sz w:val="20"/>
                <w:szCs w:val="20"/>
              </w:rPr>
              <w:t>Ca</w:t>
            </w:r>
            <w:r w:rsidRPr="00537112">
              <w:rPr>
                <w:rFonts w:cs="Verdana"/>
                <w:spacing w:val="1"/>
                <w:sz w:val="20"/>
                <w:szCs w:val="20"/>
              </w:rPr>
              <w:t>m</w:t>
            </w:r>
            <w:r w:rsidRPr="00537112">
              <w:rPr>
                <w:rFonts w:cs="Verdana"/>
                <w:sz w:val="20"/>
                <w:szCs w:val="20"/>
              </w:rPr>
              <w:t>o</w:t>
            </w:r>
          </w:p>
        </w:tc>
      </w:tr>
      <w:tr w:rsidR="00537112" w:rsidRPr="00537112" w14:paraId="26712ED3"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C8311E1"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124</w:t>
            </w:r>
          </w:p>
        </w:tc>
        <w:tc>
          <w:tcPr>
            <w:tcW w:w="5545" w:type="dxa"/>
            <w:tcBorders>
              <w:top w:val="single" w:sz="8" w:space="0" w:color="000000"/>
              <w:left w:val="single" w:sz="8" w:space="0" w:color="000000"/>
              <w:bottom w:val="single" w:sz="8" w:space="0" w:color="000000"/>
              <w:right w:val="single" w:sz="8" w:space="0" w:color="000000"/>
            </w:tcBorders>
          </w:tcPr>
          <w:p w14:paraId="1B51A69A"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z w:val="20"/>
                <w:szCs w:val="20"/>
              </w:rPr>
              <w:t>T</w:t>
            </w:r>
            <w:r w:rsidRPr="00537112">
              <w:rPr>
                <w:rFonts w:cs="Verdana"/>
                <w:spacing w:val="-1"/>
                <w:sz w:val="20"/>
                <w:szCs w:val="20"/>
              </w:rPr>
              <w:t>or</w:t>
            </w:r>
            <w:r w:rsidRPr="00537112">
              <w:rPr>
                <w:rFonts w:cs="Verdana"/>
                <w:spacing w:val="3"/>
                <w:sz w:val="20"/>
                <w:szCs w:val="20"/>
              </w:rPr>
              <w:t>i</w:t>
            </w:r>
            <w:r w:rsidRPr="00537112">
              <w:rPr>
                <w:rFonts w:cs="Verdana"/>
                <w:spacing w:val="1"/>
                <w:sz w:val="20"/>
                <w:szCs w:val="20"/>
              </w:rPr>
              <w:t>b</w:t>
            </w:r>
            <w:r w:rsidRPr="00537112">
              <w:rPr>
                <w:rFonts w:cs="Verdana"/>
                <w:spacing w:val="3"/>
                <w:sz w:val="20"/>
                <w:szCs w:val="20"/>
              </w:rPr>
              <w:t>i</w:t>
            </w:r>
            <w:r w:rsidRPr="00537112">
              <w:rPr>
                <w:rFonts w:cs="Verdana"/>
                <w:sz w:val="20"/>
                <w:szCs w:val="20"/>
              </w:rPr>
              <w:t>a</w:t>
            </w:r>
            <w:r w:rsidRPr="00537112">
              <w:rPr>
                <w:rFonts w:cs="Verdana"/>
                <w:spacing w:val="-7"/>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p>
        </w:tc>
      </w:tr>
      <w:tr w:rsidR="00537112" w:rsidRPr="00537112" w14:paraId="05313B74"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F1E1610"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125</w:t>
            </w:r>
          </w:p>
        </w:tc>
        <w:tc>
          <w:tcPr>
            <w:tcW w:w="5545" w:type="dxa"/>
            <w:tcBorders>
              <w:top w:val="single" w:sz="8" w:space="0" w:color="000000"/>
              <w:left w:val="single" w:sz="8" w:space="0" w:color="000000"/>
              <w:bottom w:val="single" w:sz="8" w:space="0" w:color="000000"/>
              <w:right w:val="single" w:sz="8" w:space="0" w:color="000000"/>
            </w:tcBorders>
          </w:tcPr>
          <w:p w14:paraId="2041539C"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w:t>
            </w:r>
            <w:r w:rsidRPr="00537112">
              <w:rPr>
                <w:rFonts w:cs="Verdana"/>
                <w:spacing w:val="1"/>
                <w:sz w:val="20"/>
                <w:szCs w:val="20"/>
              </w:rPr>
              <w:t>t</w:t>
            </w:r>
            <w:r w:rsidRPr="00537112">
              <w:rPr>
                <w:rFonts w:cs="Verdana"/>
                <w:spacing w:val="-1"/>
                <w:sz w:val="20"/>
                <w:szCs w:val="20"/>
              </w:rPr>
              <w:t>o</w:t>
            </w:r>
            <w:r w:rsidRPr="00537112">
              <w:rPr>
                <w:rFonts w:cs="Verdana"/>
                <w:sz w:val="20"/>
                <w:szCs w:val="20"/>
              </w:rPr>
              <w:t>r</w:t>
            </w:r>
            <w:r w:rsidRPr="00537112">
              <w:rPr>
                <w:rFonts w:cs="Verdana"/>
                <w:spacing w:val="-8"/>
                <w:sz w:val="20"/>
                <w:szCs w:val="20"/>
              </w:rPr>
              <w:t xml:space="preserve"> </w:t>
            </w:r>
            <w:r w:rsidRPr="00537112">
              <w:rPr>
                <w:rFonts w:cs="Verdana"/>
                <w:sz w:val="20"/>
                <w:szCs w:val="20"/>
              </w:rPr>
              <w:t>C</w:t>
            </w:r>
            <w:r w:rsidRPr="00537112">
              <w:rPr>
                <w:rFonts w:cs="Verdana"/>
                <w:spacing w:val="1"/>
                <w:sz w:val="20"/>
                <w:szCs w:val="20"/>
              </w:rPr>
              <w:t>uqu</w:t>
            </w:r>
            <w:r w:rsidRPr="00537112">
              <w:rPr>
                <w:rFonts w:cs="Verdana"/>
                <w:spacing w:val="-1"/>
                <w:sz w:val="20"/>
                <w:szCs w:val="20"/>
              </w:rPr>
              <w:t>e</w:t>
            </w:r>
            <w:r w:rsidRPr="00537112">
              <w:rPr>
                <w:rFonts w:cs="Verdana"/>
                <w:sz w:val="20"/>
                <w:szCs w:val="20"/>
              </w:rPr>
              <w:t>j</w:t>
            </w:r>
            <w:r w:rsidRPr="00537112">
              <w:rPr>
                <w:rFonts w:cs="Verdana"/>
                <w:spacing w:val="-7"/>
                <w:sz w:val="20"/>
                <w:szCs w:val="20"/>
              </w:rPr>
              <w:t xml:space="preserve"> </w:t>
            </w:r>
            <w:r w:rsidRPr="00537112">
              <w:rPr>
                <w:rFonts w:cs="Verdana"/>
                <w:sz w:val="20"/>
                <w:szCs w:val="20"/>
              </w:rPr>
              <w:t>M</w:t>
            </w:r>
            <w:r w:rsidRPr="00537112">
              <w:rPr>
                <w:rFonts w:cs="Verdana"/>
                <w:spacing w:val="-1"/>
                <w:sz w:val="20"/>
                <w:szCs w:val="20"/>
              </w:rPr>
              <w:t>ore</w:t>
            </w:r>
            <w:r w:rsidRPr="00537112">
              <w:rPr>
                <w:rFonts w:cs="Verdana"/>
                <w:spacing w:val="1"/>
                <w:sz w:val="20"/>
                <w:szCs w:val="20"/>
              </w:rPr>
              <w:t>nt</w:t>
            </w:r>
            <w:r w:rsidRPr="00537112">
              <w:rPr>
                <w:rFonts w:cs="Verdana"/>
                <w:sz w:val="20"/>
                <w:szCs w:val="20"/>
              </w:rPr>
              <w:t>e</w:t>
            </w:r>
          </w:p>
        </w:tc>
      </w:tr>
      <w:tr w:rsidR="00537112" w:rsidRPr="00537112" w14:paraId="7BDC5426" w14:textId="77777777" w:rsidTr="00630EEC">
        <w:trPr>
          <w:trHeight w:hRule="exact" w:val="274"/>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CC271F5" w14:textId="77777777" w:rsidR="00537112" w:rsidRPr="00537112" w:rsidRDefault="00537112" w:rsidP="00537112">
            <w:pPr>
              <w:autoSpaceDE w:val="0"/>
              <w:autoSpaceDN w:val="0"/>
              <w:spacing w:line="221" w:lineRule="exact"/>
              <w:ind w:right="-20"/>
              <w:jc w:val="left"/>
              <w:textAlignment w:val="auto"/>
              <w:rPr>
                <w:rFonts w:ascii="Times New Roman" w:hAnsi="Times New Roman"/>
              </w:rPr>
            </w:pPr>
            <w:r w:rsidRPr="00537112">
              <w:rPr>
                <w:rFonts w:cs="Verdana"/>
                <w:b/>
                <w:bCs/>
                <w:sz w:val="20"/>
                <w:szCs w:val="20"/>
              </w:rPr>
              <w:t>126</w:t>
            </w:r>
          </w:p>
        </w:tc>
        <w:tc>
          <w:tcPr>
            <w:tcW w:w="5545" w:type="dxa"/>
            <w:tcBorders>
              <w:top w:val="single" w:sz="8" w:space="0" w:color="000000"/>
              <w:left w:val="single" w:sz="8" w:space="0" w:color="000000"/>
              <w:bottom w:val="single" w:sz="8" w:space="0" w:color="000000"/>
              <w:right w:val="single" w:sz="8" w:space="0" w:color="000000"/>
            </w:tcBorders>
          </w:tcPr>
          <w:p w14:paraId="5A9AB345" w14:textId="77777777" w:rsidR="00537112" w:rsidRPr="00537112" w:rsidRDefault="00537112" w:rsidP="00537112">
            <w:pPr>
              <w:autoSpaceDE w:val="0"/>
              <w:autoSpaceDN w:val="0"/>
              <w:spacing w:line="214" w:lineRule="exact"/>
              <w:ind w:right="-20"/>
              <w:jc w:val="left"/>
              <w:textAlignment w:val="auto"/>
              <w:rPr>
                <w:rFonts w:ascii="Times New Roman" w:hAnsi="Times New Roman"/>
              </w:rPr>
            </w:pPr>
            <w:r w:rsidRPr="00537112">
              <w:rPr>
                <w:rFonts w:cs="Verdana"/>
                <w:spacing w:val="-1"/>
                <w:sz w:val="20"/>
                <w:szCs w:val="20"/>
              </w:rPr>
              <w:t>Gre</w:t>
            </w:r>
            <w:r w:rsidRPr="00537112">
              <w:rPr>
                <w:rFonts w:cs="Verdana"/>
                <w:spacing w:val="1"/>
                <w:sz w:val="20"/>
                <w:szCs w:val="20"/>
              </w:rPr>
              <w:t>g</w:t>
            </w:r>
            <w:r w:rsidRPr="00537112">
              <w:rPr>
                <w:rFonts w:cs="Verdana"/>
                <w:spacing w:val="-1"/>
                <w:sz w:val="20"/>
                <w:szCs w:val="20"/>
              </w:rPr>
              <w:t>or</w:t>
            </w:r>
            <w:r w:rsidRPr="00537112">
              <w:rPr>
                <w:rFonts w:cs="Verdana"/>
                <w:spacing w:val="3"/>
                <w:sz w:val="20"/>
                <w:szCs w:val="20"/>
              </w:rPr>
              <w:t>i</w:t>
            </w:r>
            <w:r w:rsidRPr="00537112">
              <w:rPr>
                <w:rFonts w:cs="Verdana"/>
                <w:sz w:val="20"/>
                <w:szCs w:val="20"/>
              </w:rPr>
              <w:t>a</w:t>
            </w:r>
            <w:r w:rsidRPr="00537112">
              <w:rPr>
                <w:rFonts w:cs="Verdana"/>
                <w:spacing w:val="-9"/>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r w:rsidR="00537112" w:rsidRPr="00537112" w14:paraId="1CC48F73"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E954032"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127</w:t>
            </w:r>
          </w:p>
        </w:tc>
        <w:tc>
          <w:tcPr>
            <w:tcW w:w="5545" w:type="dxa"/>
            <w:tcBorders>
              <w:top w:val="single" w:sz="8" w:space="0" w:color="000000"/>
              <w:left w:val="single" w:sz="8" w:space="0" w:color="000000"/>
              <w:bottom w:val="single" w:sz="8" w:space="0" w:color="000000"/>
              <w:right w:val="single" w:sz="8" w:space="0" w:color="000000"/>
            </w:tcBorders>
          </w:tcPr>
          <w:p w14:paraId="4ECCAAE2"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position w:val="-1"/>
                <w:sz w:val="20"/>
                <w:szCs w:val="20"/>
              </w:rPr>
              <w:t>Ma</w:t>
            </w:r>
            <w:r w:rsidRPr="00537112">
              <w:rPr>
                <w:rFonts w:cs="Verdana"/>
                <w:spacing w:val="-1"/>
                <w:position w:val="-1"/>
                <w:sz w:val="20"/>
                <w:szCs w:val="20"/>
              </w:rPr>
              <w:t>c</w:t>
            </w:r>
            <w:r w:rsidRPr="00537112">
              <w:rPr>
                <w:rFonts w:cs="Verdana"/>
                <w:position w:val="-1"/>
                <w:sz w:val="20"/>
                <w:szCs w:val="20"/>
              </w:rPr>
              <w:t>a</w:t>
            </w:r>
            <w:r w:rsidRPr="00537112">
              <w:rPr>
                <w:rFonts w:cs="Verdana"/>
                <w:spacing w:val="-1"/>
                <w:position w:val="-1"/>
                <w:sz w:val="20"/>
                <w:szCs w:val="20"/>
              </w:rPr>
              <w:t>r</w:t>
            </w:r>
            <w:r w:rsidRPr="00537112">
              <w:rPr>
                <w:rFonts w:cs="Verdana"/>
                <w:spacing w:val="3"/>
                <w:position w:val="-1"/>
                <w:sz w:val="20"/>
                <w:szCs w:val="20"/>
              </w:rPr>
              <w:t>i</w:t>
            </w:r>
            <w:r w:rsidRPr="00537112">
              <w:rPr>
                <w:rFonts w:cs="Verdana"/>
                <w:position w:val="-1"/>
                <w:sz w:val="20"/>
                <w:szCs w:val="20"/>
              </w:rPr>
              <w:t>o</w:t>
            </w:r>
            <w:r w:rsidRPr="00537112">
              <w:rPr>
                <w:rFonts w:cs="Verdana"/>
                <w:spacing w:val="-10"/>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6578CF80"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BBFDF1B"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128</w:t>
            </w:r>
          </w:p>
        </w:tc>
        <w:tc>
          <w:tcPr>
            <w:tcW w:w="5545" w:type="dxa"/>
            <w:tcBorders>
              <w:top w:val="single" w:sz="8" w:space="0" w:color="000000"/>
              <w:left w:val="single" w:sz="8" w:space="0" w:color="000000"/>
              <w:bottom w:val="single" w:sz="8" w:space="0" w:color="000000"/>
              <w:right w:val="single" w:sz="8" w:space="0" w:color="000000"/>
            </w:tcBorders>
          </w:tcPr>
          <w:p w14:paraId="4ADEEEB7" w14:textId="77777777" w:rsidR="00537112" w:rsidRPr="00537112" w:rsidRDefault="00537112" w:rsidP="00537112">
            <w:pPr>
              <w:autoSpaceDE w:val="0"/>
              <w:autoSpaceDN w:val="0"/>
              <w:spacing w:line="214" w:lineRule="exact"/>
              <w:ind w:right="-20"/>
              <w:jc w:val="left"/>
              <w:textAlignment w:val="auto"/>
              <w:rPr>
                <w:rFonts w:cs="Verdana"/>
                <w:b/>
                <w:position w:val="-1"/>
                <w:sz w:val="20"/>
                <w:szCs w:val="20"/>
              </w:rPr>
            </w:pPr>
            <w:r w:rsidRPr="00537112">
              <w:rPr>
                <w:rFonts w:cs="Verdana"/>
                <w:spacing w:val="1"/>
                <w:sz w:val="20"/>
                <w:szCs w:val="20"/>
              </w:rPr>
              <w:t>J</w:t>
            </w:r>
            <w:r w:rsidRPr="00537112">
              <w:rPr>
                <w:rFonts w:cs="Verdana"/>
                <w:spacing w:val="-1"/>
                <w:sz w:val="20"/>
                <w:szCs w:val="20"/>
              </w:rPr>
              <w:t>eró</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m</w:t>
            </w:r>
            <w:r w:rsidRPr="00537112">
              <w:rPr>
                <w:rFonts w:cs="Verdana"/>
                <w:sz w:val="20"/>
                <w:szCs w:val="20"/>
              </w:rPr>
              <w:t>o</w:t>
            </w:r>
            <w:r w:rsidRPr="00537112">
              <w:rPr>
                <w:rFonts w:cs="Verdana"/>
                <w:spacing w:val="-11"/>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p</w:t>
            </w:r>
            <w:r w:rsidRPr="00537112">
              <w:rPr>
                <w:rFonts w:cs="Verdana"/>
                <w:sz w:val="20"/>
                <w:szCs w:val="20"/>
              </w:rPr>
              <w:t>a</w:t>
            </w:r>
            <w:r w:rsidRPr="00537112">
              <w:rPr>
                <w:rFonts w:cs="Verdana"/>
                <w:spacing w:val="1"/>
                <w:sz w:val="20"/>
                <w:szCs w:val="20"/>
              </w:rPr>
              <w:t>t</w:t>
            </w:r>
            <w:r w:rsidRPr="00537112">
              <w:rPr>
                <w:rFonts w:cs="Verdana"/>
                <w:sz w:val="20"/>
                <w:szCs w:val="20"/>
              </w:rPr>
              <w:t>á</w:t>
            </w:r>
            <w:r w:rsidRPr="00537112">
              <w:rPr>
                <w:rFonts w:cs="Verdana"/>
                <w:spacing w:val="-6"/>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r w:rsidR="00537112" w:rsidRPr="00537112" w14:paraId="008F2D1D"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6BD465A"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129</w:t>
            </w:r>
          </w:p>
        </w:tc>
        <w:tc>
          <w:tcPr>
            <w:tcW w:w="5545" w:type="dxa"/>
            <w:tcBorders>
              <w:top w:val="single" w:sz="8" w:space="0" w:color="000000"/>
              <w:left w:val="single" w:sz="8" w:space="0" w:color="000000"/>
              <w:bottom w:val="single" w:sz="8" w:space="0" w:color="000000"/>
              <w:right w:val="single" w:sz="8" w:space="0" w:color="000000"/>
            </w:tcBorders>
          </w:tcPr>
          <w:p w14:paraId="0640D745"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F</w:t>
            </w:r>
            <w:r w:rsidRPr="00537112">
              <w:rPr>
                <w:rFonts w:cs="Verdana"/>
                <w:spacing w:val="3"/>
                <w:sz w:val="20"/>
                <w:szCs w:val="20"/>
              </w:rPr>
              <w:t>i</w:t>
            </w:r>
            <w:r w:rsidRPr="00537112">
              <w:rPr>
                <w:rFonts w:cs="Verdana"/>
                <w:spacing w:val="1"/>
                <w:sz w:val="20"/>
                <w:szCs w:val="20"/>
              </w:rPr>
              <w:t>d</w:t>
            </w:r>
            <w:r w:rsidRPr="00537112">
              <w:rPr>
                <w:rFonts w:cs="Verdana"/>
                <w:spacing w:val="-1"/>
                <w:sz w:val="20"/>
                <w:szCs w:val="20"/>
              </w:rPr>
              <w:t>e</w:t>
            </w:r>
            <w:r w:rsidRPr="00537112">
              <w:rPr>
                <w:rFonts w:cs="Verdana"/>
                <w:sz w:val="20"/>
                <w:szCs w:val="20"/>
              </w:rPr>
              <w:t>l</w:t>
            </w:r>
            <w:r w:rsidRPr="00537112">
              <w:rPr>
                <w:rFonts w:cs="Verdana"/>
                <w:spacing w:val="-3"/>
                <w:sz w:val="20"/>
                <w:szCs w:val="20"/>
              </w:rPr>
              <w:t xml:space="preserve"> </w:t>
            </w:r>
            <w:r w:rsidRPr="00537112">
              <w:rPr>
                <w:rFonts w:cs="Verdana"/>
                <w:sz w:val="20"/>
                <w:szCs w:val="20"/>
              </w:rPr>
              <w:t>Ma</w:t>
            </w:r>
            <w:r w:rsidRPr="00537112">
              <w:rPr>
                <w:rFonts w:cs="Verdana"/>
                <w:spacing w:val="1"/>
                <w:sz w:val="20"/>
                <w:szCs w:val="20"/>
              </w:rPr>
              <w:t>nu</w:t>
            </w:r>
            <w:r w:rsidRPr="00537112">
              <w:rPr>
                <w:rFonts w:cs="Verdana"/>
                <w:spacing w:val="-1"/>
                <w:sz w:val="20"/>
                <w:szCs w:val="20"/>
              </w:rPr>
              <w:t>e</w:t>
            </w:r>
            <w:r w:rsidRPr="00537112">
              <w:rPr>
                <w:rFonts w:cs="Verdana"/>
                <w:sz w:val="20"/>
                <w:szCs w:val="20"/>
              </w:rPr>
              <w:t>l</w:t>
            </w:r>
            <w:r w:rsidRPr="00537112">
              <w:rPr>
                <w:rFonts w:cs="Verdana"/>
                <w:spacing w:val="-5"/>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r w:rsidR="00537112" w:rsidRPr="00537112" w14:paraId="70FA3F4B"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FC26A1C"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130</w:t>
            </w:r>
          </w:p>
        </w:tc>
        <w:tc>
          <w:tcPr>
            <w:tcW w:w="5545" w:type="dxa"/>
            <w:tcBorders>
              <w:top w:val="single" w:sz="8" w:space="0" w:color="000000"/>
              <w:left w:val="single" w:sz="8" w:space="0" w:color="000000"/>
              <w:bottom w:val="single" w:sz="8" w:space="0" w:color="000000"/>
              <w:right w:val="single" w:sz="8" w:space="0" w:color="000000"/>
            </w:tcBorders>
          </w:tcPr>
          <w:p w14:paraId="306D6CF8"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z w:val="20"/>
                <w:szCs w:val="20"/>
              </w:rPr>
              <w:t>Ma</w:t>
            </w:r>
            <w:r w:rsidRPr="00537112">
              <w:rPr>
                <w:rFonts w:cs="Verdana"/>
                <w:spacing w:val="-1"/>
                <w:sz w:val="20"/>
                <w:szCs w:val="20"/>
              </w:rPr>
              <w:t>rce</w:t>
            </w:r>
            <w:r w:rsidRPr="00537112">
              <w:rPr>
                <w:rFonts w:cs="Verdana"/>
                <w:spacing w:val="3"/>
                <w:sz w:val="20"/>
                <w:szCs w:val="20"/>
              </w:rPr>
              <w:t>li</w:t>
            </w:r>
            <w:r w:rsidRPr="00537112">
              <w:rPr>
                <w:rFonts w:cs="Verdana"/>
                <w:spacing w:val="1"/>
                <w:sz w:val="20"/>
                <w:szCs w:val="20"/>
              </w:rPr>
              <w:t>n</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E</w:t>
            </w:r>
            <w:r w:rsidRPr="00537112">
              <w:rPr>
                <w:rFonts w:cs="Verdana"/>
                <w:spacing w:val="1"/>
                <w:sz w:val="20"/>
                <w:szCs w:val="20"/>
              </w:rPr>
              <w:t>ug</w:t>
            </w:r>
            <w:r w:rsidRPr="00537112">
              <w:rPr>
                <w:rFonts w:cs="Verdana"/>
                <w:spacing w:val="-1"/>
                <w:sz w:val="20"/>
                <w:szCs w:val="20"/>
              </w:rPr>
              <w:t>e</w:t>
            </w:r>
            <w:r w:rsidRPr="00537112">
              <w:rPr>
                <w:rFonts w:cs="Verdana"/>
                <w:spacing w:val="1"/>
                <w:sz w:val="20"/>
                <w:szCs w:val="20"/>
              </w:rPr>
              <w:t>n</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M</w:t>
            </w:r>
            <w:r w:rsidRPr="00537112">
              <w:rPr>
                <w:rFonts w:cs="Verdana"/>
                <w:spacing w:val="-1"/>
                <w:sz w:val="20"/>
                <w:szCs w:val="20"/>
              </w:rPr>
              <w:t>or</w:t>
            </w:r>
            <w:r w:rsidRPr="00537112">
              <w:rPr>
                <w:rFonts w:cs="Verdana"/>
                <w:sz w:val="20"/>
                <w:szCs w:val="20"/>
              </w:rPr>
              <w:t>a</w:t>
            </w:r>
            <w:r w:rsidRPr="00537112">
              <w:rPr>
                <w:rFonts w:cs="Verdana"/>
                <w:spacing w:val="3"/>
                <w:sz w:val="20"/>
                <w:szCs w:val="20"/>
              </w:rPr>
              <w:t>l</w:t>
            </w:r>
            <w:r w:rsidRPr="00537112">
              <w:rPr>
                <w:rFonts w:cs="Verdana"/>
                <w:spacing w:val="-1"/>
                <w:sz w:val="20"/>
                <w:szCs w:val="20"/>
              </w:rPr>
              <w:t>es</w:t>
            </w:r>
          </w:p>
        </w:tc>
      </w:tr>
      <w:tr w:rsidR="00537112" w:rsidRPr="00537112" w14:paraId="16F8F97C"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B5B1698"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131</w:t>
            </w:r>
          </w:p>
        </w:tc>
        <w:tc>
          <w:tcPr>
            <w:tcW w:w="5545" w:type="dxa"/>
            <w:tcBorders>
              <w:top w:val="single" w:sz="8" w:space="0" w:color="000000"/>
              <w:left w:val="single" w:sz="8" w:space="0" w:color="000000"/>
              <w:bottom w:val="single" w:sz="8" w:space="0" w:color="000000"/>
              <w:right w:val="single" w:sz="8" w:space="0" w:color="000000"/>
            </w:tcBorders>
          </w:tcPr>
          <w:p w14:paraId="007EAE7F"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pacing w:val="1"/>
                <w:sz w:val="20"/>
                <w:szCs w:val="20"/>
              </w:rPr>
              <w:t>Ju</w:t>
            </w:r>
            <w:r w:rsidRPr="00537112">
              <w:rPr>
                <w:rFonts w:cs="Verdana"/>
                <w:sz w:val="20"/>
                <w:szCs w:val="20"/>
              </w:rPr>
              <w:t>an</w:t>
            </w:r>
            <w:r w:rsidRPr="00537112">
              <w:rPr>
                <w:rFonts w:cs="Verdana"/>
                <w:spacing w:val="-5"/>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Páz</w:t>
            </w:r>
          </w:p>
        </w:tc>
      </w:tr>
      <w:tr w:rsidR="00537112" w:rsidRPr="00537112" w14:paraId="2239BD12"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887B820"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132</w:t>
            </w:r>
          </w:p>
        </w:tc>
        <w:tc>
          <w:tcPr>
            <w:tcW w:w="5545" w:type="dxa"/>
            <w:tcBorders>
              <w:top w:val="single" w:sz="8" w:space="0" w:color="000000"/>
              <w:left w:val="single" w:sz="8" w:space="0" w:color="000000"/>
              <w:bottom w:val="single" w:sz="8" w:space="0" w:color="000000"/>
              <w:right w:val="single" w:sz="8" w:space="0" w:color="000000"/>
            </w:tcBorders>
          </w:tcPr>
          <w:p w14:paraId="39AFA42A"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S</w:t>
            </w:r>
            <w:r w:rsidRPr="00537112">
              <w:rPr>
                <w:rFonts w:cs="Verdana"/>
                <w:spacing w:val="-1"/>
                <w:sz w:val="20"/>
                <w:szCs w:val="20"/>
              </w:rPr>
              <w:t>er</w:t>
            </w:r>
            <w:r w:rsidRPr="00537112">
              <w:rPr>
                <w:rFonts w:cs="Verdana"/>
                <w:sz w:val="20"/>
                <w:szCs w:val="20"/>
              </w:rPr>
              <w:t>a</w:t>
            </w:r>
            <w:r w:rsidRPr="00537112">
              <w:rPr>
                <w:rFonts w:cs="Verdana"/>
                <w:spacing w:val="1"/>
                <w:sz w:val="20"/>
                <w:szCs w:val="20"/>
              </w:rPr>
              <w:t>p</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r>
      <w:tr w:rsidR="00537112" w:rsidRPr="00537112" w14:paraId="0450FBD7"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C171EE7"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133</w:t>
            </w:r>
          </w:p>
        </w:tc>
        <w:tc>
          <w:tcPr>
            <w:tcW w:w="5545" w:type="dxa"/>
            <w:tcBorders>
              <w:top w:val="single" w:sz="8" w:space="0" w:color="000000"/>
              <w:left w:val="single" w:sz="8" w:space="0" w:color="000000"/>
              <w:bottom w:val="single" w:sz="8" w:space="0" w:color="000000"/>
              <w:right w:val="single" w:sz="8" w:space="0" w:color="000000"/>
            </w:tcBorders>
          </w:tcPr>
          <w:p w14:paraId="3E0942B5"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Celestino Ixtecoc</w:t>
            </w:r>
          </w:p>
        </w:tc>
      </w:tr>
      <w:tr w:rsidR="00537112" w:rsidRPr="00537112" w14:paraId="7B2333DF"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1DA11AA"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134</w:t>
            </w:r>
          </w:p>
        </w:tc>
        <w:tc>
          <w:tcPr>
            <w:tcW w:w="5545" w:type="dxa"/>
            <w:tcBorders>
              <w:top w:val="single" w:sz="8" w:space="0" w:color="000000"/>
              <w:left w:val="single" w:sz="8" w:space="0" w:color="000000"/>
              <w:bottom w:val="single" w:sz="8" w:space="0" w:color="000000"/>
              <w:right w:val="single" w:sz="8" w:space="0" w:color="000000"/>
            </w:tcBorders>
          </w:tcPr>
          <w:p w14:paraId="15E48732"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R</w:t>
            </w:r>
            <w:r w:rsidRPr="00537112">
              <w:rPr>
                <w:rFonts w:cs="Verdana"/>
                <w:sz w:val="20"/>
                <w:szCs w:val="20"/>
              </w:rPr>
              <w:t>a</w:t>
            </w:r>
            <w:r w:rsidRPr="00537112">
              <w:rPr>
                <w:rFonts w:cs="Verdana"/>
                <w:spacing w:val="1"/>
                <w:sz w:val="20"/>
                <w:szCs w:val="20"/>
              </w:rPr>
              <w:t>m</w:t>
            </w:r>
            <w:r w:rsidRPr="00537112">
              <w:rPr>
                <w:rFonts w:cs="Verdana"/>
                <w:spacing w:val="-1"/>
                <w:sz w:val="20"/>
                <w:szCs w:val="20"/>
              </w:rPr>
              <w:t>o</w:t>
            </w:r>
            <w:r w:rsidRPr="00537112">
              <w:rPr>
                <w:rFonts w:cs="Verdana"/>
                <w:sz w:val="20"/>
                <w:szCs w:val="20"/>
              </w:rPr>
              <w:t>n</w:t>
            </w:r>
            <w:r w:rsidRPr="00537112">
              <w:rPr>
                <w:rFonts w:cs="Verdana"/>
                <w:spacing w:val="-7"/>
                <w:sz w:val="20"/>
                <w:szCs w:val="20"/>
              </w:rPr>
              <w:t xml:space="preserve"> </w:t>
            </w:r>
            <w:r w:rsidRPr="00537112">
              <w:rPr>
                <w:rFonts w:cs="Verdana"/>
                <w:sz w:val="20"/>
                <w:szCs w:val="20"/>
              </w:rPr>
              <w:t>Ca</w:t>
            </w:r>
            <w:r w:rsidRPr="00537112">
              <w:rPr>
                <w:rFonts w:cs="Verdana"/>
                <w:spacing w:val="3"/>
                <w:sz w:val="20"/>
                <w:szCs w:val="20"/>
              </w:rPr>
              <w:t>l</w:t>
            </w:r>
            <w:r w:rsidRPr="00537112">
              <w:rPr>
                <w:rFonts w:cs="Verdana"/>
                <w:sz w:val="20"/>
                <w:szCs w:val="20"/>
              </w:rPr>
              <w:t>at</w:t>
            </w:r>
            <w:r w:rsidRPr="00537112">
              <w:rPr>
                <w:rFonts w:cs="Verdana"/>
                <w:spacing w:val="-5"/>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p>
        </w:tc>
      </w:tr>
      <w:tr w:rsidR="00537112" w:rsidRPr="00537112" w14:paraId="6E8BC2F3"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089E062"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135</w:t>
            </w:r>
          </w:p>
        </w:tc>
        <w:tc>
          <w:tcPr>
            <w:tcW w:w="5545" w:type="dxa"/>
            <w:tcBorders>
              <w:top w:val="single" w:sz="8" w:space="0" w:color="000000"/>
              <w:left w:val="single" w:sz="8" w:space="0" w:color="000000"/>
              <w:bottom w:val="single" w:sz="8" w:space="0" w:color="000000"/>
              <w:right w:val="single" w:sz="8" w:space="0" w:color="000000"/>
            </w:tcBorders>
          </w:tcPr>
          <w:p w14:paraId="1471D883"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Francisco Sic Cuxum</w:t>
            </w:r>
          </w:p>
        </w:tc>
      </w:tr>
      <w:tr w:rsidR="00537112" w:rsidRPr="00537112" w14:paraId="4AE5196E"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2C2C850"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136</w:t>
            </w:r>
          </w:p>
        </w:tc>
        <w:tc>
          <w:tcPr>
            <w:tcW w:w="5545" w:type="dxa"/>
            <w:tcBorders>
              <w:top w:val="single" w:sz="8" w:space="0" w:color="000000"/>
              <w:left w:val="single" w:sz="8" w:space="0" w:color="000000"/>
              <w:bottom w:val="single" w:sz="8" w:space="0" w:color="000000"/>
              <w:right w:val="single" w:sz="8" w:space="0" w:color="000000"/>
            </w:tcBorders>
          </w:tcPr>
          <w:p w14:paraId="058B4510"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A</w:t>
            </w:r>
            <w:r w:rsidRPr="00537112">
              <w:rPr>
                <w:rFonts w:cs="Verdana"/>
                <w:spacing w:val="3"/>
                <w:sz w:val="20"/>
                <w:szCs w:val="20"/>
              </w:rPr>
              <w:t>l</w:t>
            </w:r>
            <w:r w:rsidRPr="00537112">
              <w:rPr>
                <w:rFonts w:cs="Verdana"/>
                <w:spacing w:val="1"/>
                <w:sz w:val="20"/>
                <w:szCs w:val="20"/>
              </w:rPr>
              <w:t>b</w:t>
            </w:r>
            <w:r w:rsidRPr="00537112">
              <w:rPr>
                <w:rFonts w:cs="Verdana"/>
                <w:spacing w:val="-1"/>
                <w:sz w:val="20"/>
                <w:szCs w:val="20"/>
              </w:rPr>
              <w:t>er</w:t>
            </w:r>
            <w:r w:rsidRPr="00537112">
              <w:rPr>
                <w:rFonts w:cs="Verdana"/>
                <w:spacing w:val="1"/>
                <w:sz w:val="20"/>
                <w:szCs w:val="20"/>
              </w:rPr>
              <w:t>t</w:t>
            </w:r>
            <w:r w:rsidRPr="00537112">
              <w:rPr>
                <w:rFonts w:cs="Verdana"/>
                <w:sz w:val="20"/>
                <w:szCs w:val="20"/>
              </w:rPr>
              <w:t>o</w:t>
            </w:r>
            <w:r w:rsidRPr="00537112">
              <w:rPr>
                <w:rFonts w:cs="Verdana"/>
                <w:spacing w:val="-9"/>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73437CAA"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20D7EA5"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137</w:t>
            </w:r>
          </w:p>
        </w:tc>
        <w:tc>
          <w:tcPr>
            <w:tcW w:w="5545" w:type="dxa"/>
            <w:tcBorders>
              <w:top w:val="single" w:sz="8" w:space="0" w:color="000000"/>
              <w:left w:val="single" w:sz="8" w:space="0" w:color="000000"/>
              <w:bottom w:val="single" w:sz="8" w:space="0" w:color="000000"/>
              <w:right w:val="single" w:sz="8" w:space="0" w:color="000000"/>
            </w:tcBorders>
          </w:tcPr>
          <w:p w14:paraId="6AC06DDC"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S</w:t>
            </w:r>
            <w:r w:rsidRPr="00537112">
              <w:rPr>
                <w:rFonts w:cs="Verdana"/>
                <w:spacing w:val="-1"/>
                <w:sz w:val="20"/>
                <w:szCs w:val="20"/>
              </w:rPr>
              <w:t>ec</w:t>
            </w:r>
            <w:r w:rsidRPr="00537112">
              <w:rPr>
                <w:rFonts w:cs="Verdana"/>
                <w:spacing w:val="1"/>
                <w:sz w:val="20"/>
                <w:szCs w:val="20"/>
              </w:rPr>
              <w:t>und</w:t>
            </w:r>
            <w:r w:rsidRPr="00537112">
              <w:rPr>
                <w:rFonts w:cs="Verdana"/>
                <w:spacing w:val="3"/>
                <w:sz w:val="20"/>
                <w:szCs w:val="20"/>
              </w:rPr>
              <w:t>i</w:t>
            </w:r>
            <w:r w:rsidRPr="00537112">
              <w:rPr>
                <w:rFonts w:cs="Verdana"/>
                <w:spacing w:val="1"/>
                <w:sz w:val="20"/>
                <w:szCs w:val="20"/>
              </w:rPr>
              <w:t>n</w:t>
            </w:r>
            <w:r w:rsidRPr="00537112">
              <w:rPr>
                <w:rFonts w:cs="Verdana"/>
                <w:sz w:val="20"/>
                <w:szCs w:val="20"/>
              </w:rPr>
              <w:t>o</w:t>
            </w:r>
            <w:r w:rsidRPr="00537112">
              <w:rPr>
                <w:rFonts w:cs="Verdana"/>
                <w:spacing w:val="-12"/>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78E169D0"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7F128D99"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138</w:t>
            </w:r>
          </w:p>
        </w:tc>
        <w:tc>
          <w:tcPr>
            <w:tcW w:w="5545" w:type="dxa"/>
            <w:tcBorders>
              <w:top w:val="single" w:sz="8" w:space="0" w:color="000000"/>
              <w:left w:val="single" w:sz="8" w:space="0" w:color="000000"/>
              <w:bottom w:val="single" w:sz="8" w:space="0" w:color="000000"/>
              <w:right w:val="single" w:sz="8" w:space="0" w:color="000000"/>
            </w:tcBorders>
          </w:tcPr>
          <w:p w14:paraId="05CF32ED"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V</w:t>
            </w:r>
            <w:r w:rsidRPr="00537112">
              <w:rPr>
                <w:rFonts w:cs="Verdana"/>
                <w:spacing w:val="3"/>
                <w:sz w:val="20"/>
                <w:szCs w:val="20"/>
              </w:rPr>
              <w:t>i</w:t>
            </w:r>
            <w:r w:rsidRPr="00537112">
              <w:rPr>
                <w:rFonts w:cs="Verdana"/>
                <w:spacing w:val="-1"/>
                <w:sz w:val="20"/>
                <w:szCs w:val="20"/>
              </w:rPr>
              <w:t>ce</w:t>
            </w:r>
            <w:r w:rsidRPr="00537112">
              <w:rPr>
                <w:rFonts w:cs="Verdana"/>
                <w:spacing w:val="1"/>
                <w:sz w:val="20"/>
                <w:szCs w:val="20"/>
              </w:rPr>
              <w:t>nt</w:t>
            </w:r>
            <w:r w:rsidRPr="00537112">
              <w:rPr>
                <w:rFonts w:cs="Verdana"/>
                <w:sz w:val="20"/>
                <w:szCs w:val="20"/>
              </w:rPr>
              <w:t>e</w:t>
            </w:r>
            <w:r w:rsidRPr="00537112">
              <w:rPr>
                <w:rFonts w:cs="Verdana"/>
                <w:spacing w:val="-9"/>
                <w:sz w:val="20"/>
                <w:szCs w:val="20"/>
              </w:rPr>
              <w:t xml:space="preserve"> </w:t>
            </w:r>
            <w:r w:rsidRPr="00537112">
              <w:rPr>
                <w:rFonts w:cs="Verdana"/>
                <w:spacing w:val="1"/>
                <w:sz w:val="20"/>
                <w:szCs w:val="20"/>
              </w:rPr>
              <w:t>d</w:t>
            </w:r>
            <w:r w:rsidRPr="00537112">
              <w:rPr>
                <w:rFonts w:cs="Verdana"/>
                <w:sz w:val="20"/>
                <w:szCs w:val="20"/>
              </w:rPr>
              <w:t>e</w:t>
            </w:r>
            <w:r w:rsidRPr="00537112">
              <w:rPr>
                <w:rFonts w:cs="Verdana"/>
                <w:spacing w:val="-4"/>
                <w:sz w:val="20"/>
                <w:szCs w:val="20"/>
              </w:rPr>
              <w:t xml:space="preserve"> </w:t>
            </w:r>
            <w:r w:rsidRPr="00537112">
              <w:rPr>
                <w:rFonts w:cs="Verdana"/>
                <w:sz w:val="20"/>
                <w:szCs w:val="20"/>
              </w:rPr>
              <w:t>Paz</w:t>
            </w:r>
            <w:r w:rsidRPr="00537112">
              <w:rPr>
                <w:rFonts w:cs="Verdana"/>
                <w:spacing w:val="-3"/>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r>
      <w:tr w:rsidR="00537112" w:rsidRPr="00537112" w14:paraId="01C271DB"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7AA547D8"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139</w:t>
            </w:r>
          </w:p>
        </w:tc>
        <w:tc>
          <w:tcPr>
            <w:tcW w:w="5545" w:type="dxa"/>
            <w:tcBorders>
              <w:top w:val="single" w:sz="8" w:space="0" w:color="000000"/>
              <w:left w:val="single" w:sz="8" w:space="0" w:color="000000"/>
              <w:bottom w:val="single" w:sz="8" w:space="0" w:color="000000"/>
              <w:right w:val="single" w:sz="8" w:space="0" w:color="000000"/>
            </w:tcBorders>
          </w:tcPr>
          <w:p w14:paraId="31C23044"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z w:val="20"/>
                <w:szCs w:val="20"/>
              </w:rPr>
              <w:t>Ma</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0"/>
                <w:sz w:val="20"/>
                <w:szCs w:val="20"/>
              </w:rPr>
              <w:t xml:space="preserve"> </w:t>
            </w:r>
            <w:r w:rsidRPr="00537112">
              <w:rPr>
                <w:rFonts w:cs="Verdana"/>
                <w:sz w:val="20"/>
                <w:szCs w:val="20"/>
              </w:rPr>
              <w:t>D</w:t>
            </w:r>
            <w:r w:rsidRPr="00537112">
              <w:rPr>
                <w:rFonts w:cs="Verdana"/>
                <w:spacing w:val="3"/>
                <w:sz w:val="20"/>
                <w:szCs w:val="20"/>
              </w:rPr>
              <w:t>í</w:t>
            </w:r>
            <w:r w:rsidRPr="00537112">
              <w:rPr>
                <w:rFonts w:cs="Verdana"/>
                <w:sz w:val="20"/>
                <w:szCs w:val="20"/>
              </w:rPr>
              <w:t>az</w:t>
            </w:r>
            <w:r w:rsidRPr="00537112">
              <w:rPr>
                <w:rFonts w:cs="Verdana"/>
                <w:spacing w:val="-4"/>
                <w:sz w:val="20"/>
                <w:szCs w:val="20"/>
              </w:rPr>
              <w:t xml:space="preserve"> </w:t>
            </w:r>
            <w:r w:rsidRPr="00537112">
              <w:rPr>
                <w:rFonts w:cs="Verdana"/>
                <w:sz w:val="20"/>
                <w:szCs w:val="20"/>
              </w:rPr>
              <w:t>T</w:t>
            </w:r>
            <w:r w:rsidRPr="00537112">
              <w:rPr>
                <w:rFonts w:cs="Verdana"/>
                <w:spacing w:val="-1"/>
                <w:sz w:val="20"/>
                <w:szCs w:val="20"/>
              </w:rPr>
              <w:t>o</w:t>
            </w:r>
            <w:r w:rsidRPr="00537112">
              <w:rPr>
                <w:rFonts w:cs="Verdana"/>
                <w:spacing w:val="3"/>
                <w:sz w:val="20"/>
                <w:szCs w:val="20"/>
              </w:rPr>
              <w:t>l</w:t>
            </w:r>
            <w:r w:rsidRPr="00537112">
              <w:rPr>
                <w:rFonts w:cs="Verdana"/>
                <w:spacing w:val="-1"/>
                <w:sz w:val="20"/>
                <w:szCs w:val="20"/>
              </w:rPr>
              <w:t>o</w:t>
            </w:r>
            <w:r w:rsidRPr="00537112">
              <w:rPr>
                <w:rFonts w:cs="Verdana"/>
                <w:sz w:val="20"/>
                <w:szCs w:val="20"/>
              </w:rPr>
              <w:t>m</w:t>
            </w:r>
          </w:p>
        </w:tc>
      </w:tr>
      <w:tr w:rsidR="00537112" w:rsidRPr="00537112" w14:paraId="54B2F7CC"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B96872C"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140</w:t>
            </w:r>
          </w:p>
        </w:tc>
        <w:tc>
          <w:tcPr>
            <w:tcW w:w="5545" w:type="dxa"/>
            <w:tcBorders>
              <w:top w:val="single" w:sz="8" w:space="0" w:color="000000"/>
              <w:left w:val="single" w:sz="8" w:space="0" w:color="000000"/>
              <w:bottom w:val="single" w:sz="8" w:space="0" w:color="000000"/>
              <w:right w:val="single" w:sz="8" w:space="0" w:color="000000"/>
            </w:tcBorders>
          </w:tcPr>
          <w:p w14:paraId="78CC67B1"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pacing w:val="1"/>
                <w:sz w:val="20"/>
                <w:szCs w:val="20"/>
              </w:rPr>
              <w:t>And</w:t>
            </w:r>
            <w:r w:rsidRPr="00537112">
              <w:rPr>
                <w:rFonts w:cs="Verdana"/>
                <w:spacing w:val="-1"/>
                <w:sz w:val="20"/>
                <w:szCs w:val="20"/>
              </w:rPr>
              <w:t>ré</w:t>
            </w:r>
            <w:r w:rsidRPr="00537112">
              <w:rPr>
                <w:rFonts w:cs="Verdana"/>
                <w:sz w:val="20"/>
                <w:szCs w:val="20"/>
              </w:rPr>
              <w:t>s</w:t>
            </w:r>
            <w:r w:rsidRPr="00537112">
              <w:rPr>
                <w:rFonts w:cs="Verdana"/>
                <w:spacing w:val="-8"/>
                <w:sz w:val="20"/>
                <w:szCs w:val="20"/>
              </w:rPr>
              <w:t xml:space="preserve"> </w:t>
            </w:r>
            <w:r w:rsidRPr="00537112">
              <w:rPr>
                <w:rFonts w:cs="Verdana"/>
                <w:spacing w:val="-2"/>
                <w:sz w:val="20"/>
                <w:szCs w:val="20"/>
              </w:rPr>
              <w:t>I</w:t>
            </w:r>
            <w:r w:rsidRPr="00537112">
              <w:rPr>
                <w:rFonts w:cs="Verdana"/>
                <w:sz w:val="20"/>
                <w:szCs w:val="20"/>
              </w:rPr>
              <w:t>x</w:t>
            </w:r>
            <w:r w:rsidRPr="00537112">
              <w:rPr>
                <w:rFonts w:cs="Verdana"/>
                <w:spacing w:val="1"/>
                <w:sz w:val="20"/>
                <w:szCs w:val="20"/>
              </w:rPr>
              <w:t>t</w:t>
            </w:r>
            <w:r w:rsidRPr="00537112">
              <w:rPr>
                <w:rFonts w:cs="Verdana"/>
                <w:spacing w:val="-1"/>
                <w:sz w:val="20"/>
                <w:szCs w:val="20"/>
              </w:rPr>
              <w:t>eco</w:t>
            </w:r>
            <w:r w:rsidRPr="00537112">
              <w:rPr>
                <w:rFonts w:cs="Verdana"/>
                <w:sz w:val="20"/>
                <w:szCs w:val="20"/>
              </w:rPr>
              <w:t>c</w:t>
            </w:r>
            <w:r w:rsidRPr="00537112">
              <w:rPr>
                <w:rFonts w:cs="Verdana"/>
                <w:spacing w:val="-8"/>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w:t>
            </w:r>
            <w:r w:rsidRPr="00537112">
              <w:rPr>
                <w:rFonts w:cs="Verdana"/>
                <w:sz w:val="20"/>
                <w:szCs w:val="20"/>
              </w:rPr>
              <w:t>l</w:t>
            </w:r>
          </w:p>
        </w:tc>
      </w:tr>
      <w:tr w:rsidR="00537112" w:rsidRPr="00537112" w14:paraId="66FC7631"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70D928BE"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141</w:t>
            </w:r>
          </w:p>
        </w:tc>
        <w:tc>
          <w:tcPr>
            <w:tcW w:w="5545" w:type="dxa"/>
            <w:tcBorders>
              <w:top w:val="single" w:sz="8" w:space="0" w:color="000000"/>
              <w:left w:val="single" w:sz="8" w:space="0" w:color="000000"/>
              <w:bottom w:val="single" w:sz="4" w:space="0" w:color="auto"/>
              <w:right w:val="single" w:sz="8" w:space="0" w:color="000000"/>
            </w:tcBorders>
          </w:tcPr>
          <w:p w14:paraId="55FD06D8"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z w:val="20"/>
                <w:szCs w:val="20"/>
              </w:rPr>
              <w:t>B</w:t>
            </w:r>
            <w:r w:rsidRPr="00537112">
              <w:rPr>
                <w:rFonts w:cs="Verdana"/>
                <w:spacing w:val="-1"/>
                <w:sz w:val="20"/>
                <w:szCs w:val="20"/>
              </w:rPr>
              <w:t>er</w:t>
            </w:r>
            <w:r w:rsidRPr="00537112">
              <w:rPr>
                <w:rFonts w:cs="Verdana"/>
                <w:spacing w:val="1"/>
                <w:sz w:val="20"/>
                <w:szCs w:val="20"/>
              </w:rPr>
              <w:t>n</w:t>
            </w:r>
            <w:r w:rsidRPr="00537112">
              <w:rPr>
                <w:rFonts w:cs="Verdana"/>
                <w:sz w:val="20"/>
                <w:szCs w:val="20"/>
              </w:rPr>
              <w:t>a</w:t>
            </w:r>
            <w:r w:rsidRPr="00537112">
              <w:rPr>
                <w:rFonts w:cs="Verdana"/>
                <w:spacing w:val="-1"/>
                <w:sz w:val="20"/>
                <w:szCs w:val="20"/>
              </w:rPr>
              <w:t>r</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m</w:t>
            </w:r>
            <w:r w:rsidRPr="00537112">
              <w:rPr>
                <w:rFonts w:cs="Verdana"/>
                <w:sz w:val="20"/>
                <w:szCs w:val="20"/>
              </w:rPr>
              <w:t>an</w:t>
            </w:r>
            <w:r w:rsidRPr="00537112">
              <w:rPr>
                <w:rFonts w:cs="Verdana"/>
                <w:spacing w:val="-7"/>
                <w:sz w:val="20"/>
                <w:szCs w:val="20"/>
              </w:rPr>
              <w:t xml:space="preserve"> </w:t>
            </w:r>
            <w:r w:rsidRPr="00537112">
              <w:rPr>
                <w:rFonts w:cs="Verdana"/>
                <w:spacing w:val="-2"/>
                <w:sz w:val="20"/>
                <w:szCs w:val="20"/>
              </w:rPr>
              <w:t>I</w:t>
            </w:r>
            <w:r w:rsidRPr="00537112">
              <w:rPr>
                <w:rFonts w:cs="Verdana"/>
                <w:sz w:val="20"/>
                <w:szCs w:val="20"/>
              </w:rPr>
              <w:t>v</w:t>
            </w:r>
            <w:r w:rsidRPr="00537112">
              <w:rPr>
                <w:rFonts w:cs="Verdana"/>
                <w:spacing w:val="-1"/>
                <w:sz w:val="20"/>
                <w:szCs w:val="20"/>
              </w:rPr>
              <w:t>oy</w:t>
            </w:r>
          </w:p>
        </w:tc>
      </w:tr>
    </w:tbl>
    <w:p w14:paraId="7E4F1AF3" w14:textId="77777777" w:rsidR="00537112" w:rsidRPr="00537112" w:rsidRDefault="00537112" w:rsidP="00537112">
      <w:pPr>
        <w:widowControl/>
        <w:adjustRightInd/>
        <w:spacing w:after="200" w:line="276" w:lineRule="auto"/>
        <w:jc w:val="left"/>
        <w:textAlignment w:val="auto"/>
        <w:rPr>
          <w:rFonts w:ascii="Calibri" w:hAnsi="Calibri"/>
          <w:sz w:val="22"/>
          <w:szCs w:val="22"/>
        </w:rPr>
      </w:pPr>
      <w:r w:rsidRPr="00537112">
        <w:rPr>
          <w:rFonts w:ascii="Calibri" w:hAnsi="Calibri"/>
          <w:sz w:val="22"/>
          <w:szCs w:val="22"/>
        </w:rPr>
        <w:br w:type="page"/>
      </w:r>
    </w:p>
    <w:tbl>
      <w:tblPr>
        <w:tblpPr w:leftFromText="141" w:rightFromText="141" w:vertAnchor="page" w:horzAnchor="page" w:tblpX="1052" w:tblpY="1240"/>
        <w:tblW w:w="0" w:type="auto"/>
        <w:tblLayout w:type="fixed"/>
        <w:tblCellMar>
          <w:left w:w="0" w:type="dxa"/>
          <w:right w:w="0" w:type="dxa"/>
        </w:tblCellMar>
        <w:tblLook w:val="0000" w:firstRow="0" w:lastRow="0" w:firstColumn="0" w:lastColumn="0" w:noHBand="0" w:noVBand="0"/>
      </w:tblPr>
      <w:tblGrid>
        <w:gridCol w:w="1019"/>
        <w:gridCol w:w="5545"/>
      </w:tblGrid>
      <w:tr w:rsidR="00537112" w:rsidRPr="00537112" w14:paraId="1822D84B"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BC9E4B9"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lastRenderedPageBreak/>
              <w:t>142</w:t>
            </w:r>
          </w:p>
        </w:tc>
        <w:tc>
          <w:tcPr>
            <w:tcW w:w="5545" w:type="dxa"/>
            <w:tcBorders>
              <w:top w:val="single" w:sz="8" w:space="0" w:color="000000"/>
              <w:left w:val="single" w:sz="8" w:space="0" w:color="000000"/>
              <w:bottom w:val="single" w:sz="8" w:space="0" w:color="000000"/>
              <w:right w:val="single" w:sz="8" w:space="0" w:color="000000"/>
            </w:tcBorders>
          </w:tcPr>
          <w:p w14:paraId="4B585E34"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z w:val="20"/>
                <w:szCs w:val="20"/>
              </w:rPr>
              <w:t>T</w:t>
            </w:r>
            <w:r w:rsidRPr="00537112">
              <w:rPr>
                <w:rFonts w:cs="Verdana"/>
                <w:spacing w:val="-1"/>
                <w:sz w:val="20"/>
                <w:szCs w:val="20"/>
              </w:rPr>
              <w:t>o</w:t>
            </w:r>
            <w:r w:rsidRPr="00537112">
              <w:rPr>
                <w:rFonts w:cs="Verdana"/>
                <w:spacing w:val="1"/>
                <w:sz w:val="20"/>
                <w:szCs w:val="20"/>
              </w:rPr>
              <w:t>m</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1"/>
                <w:sz w:val="20"/>
                <w:szCs w:val="20"/>
              </w:rPr>
              <w:t>rc</w:t>
            </w:r>
            <w:r w:rsidRPr="00537112">
              <w:rPr>
                <w:rFonts w:cs="Verdana"/>
                <w:spacing w:val="3"/>
                <w:sz w:val="20"/>
                <w:szCs w:val="20"/>
              </w:rPr>
              <w:t>í</w:t>
            </w:r>
            <w:r w:rsidRPr="00537112">
              <w:rPr>
                <w:rFonts w:cs="Verdana"/>
                <w:sz w:val="20"/>
                <w:szCs w:val="20"/>
              </w:rPr>
              <w:t>a</w:t>
            </w:r>
            <w:r w:rsidRPr="00537112">
              <w:rPr>
                <w:rFonts w:cs="Verdana"/>
                <w:spacing w:val="-6"/>
                <w:sz w:val="20"/>
                <w:szCs w:val="20"/>
              </w:rPr>
              <w:t xml:space="preserve"> </w:t>
            </w:r>
            <w:r w:rsidRPr="00537112">
              <w:rPr>
                <w:rFonts w:cs="Verdana"/>
                <w:spacing w:val="1"/>
                <w:sz w:val="20"/>
                <w:szCs w:val="20"/>
              </w:rPr>
              <w:t>R</w:t>
            </w:r>
            <w:r w:rsidRPr="00537112">
              <w:rPr>
                <w:rFonts w:cs="Verdana"/>
                <w:spacing w:val="-1"/>
                <w:sz w:val="20"/>
                <w:szCs w:val="20"/>
              </w:rPr>
              <w:t>e</w:t>
            </w:r>
            <w:r w:rsidRPr="00537112">
              <w:rPr>
                <w:rFonts w:cs="Verdana"/>
                <w:sz w:val="20"/>
                <w:szCs w:val="20"/>
              </w:rPr>
              <w:t>y</w:t>
            </w:r>
            <w:r w:rsidRPr="00537112">
              <w:rPr>
                <w:rFonts w:cs="Verdana"/>
                <w:spacing w:val="-1"/>
                <w:sz w:val="20"/>
                <w:szCs w:val="20"/>
              </w:rPr>
              <w:t>e</w:t>
            </w:r>
            <w:r w:rsidRPr="00537112">
              <w:rPr>
                <w:rFonts w:cs="Verdana"/>
                <w:sz w:val="20"/>
                <w:szCs w:val="20"/>
              </w:rPr>
              <w:t>s</w:t>
            </w:r>
          </w:p>
        </w:tc>
      </w:tr>
      <w:tr w:rsidR="00537112" w:rsidRPr="00537112" w14:paraId="2E52FDF4"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0BD08233"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143</w:t>
            </w:r>
          </w:p>
        </w:tc>
        <w:tc>
          <w:tcPr>
            <w:tcW w:w="5545" w:type="dxa"/>
            <w:tcBorders>
              <w:top w:val="single" w:sz="8" w:space="0" w:color="000000"/>
              <w:left w:val="single" w:sz="8" w:space="0" w:color="000000"/>
              <w:bottom w:val="single" w:sz="4" w:space="0" w:color="auto"/>
              <w:right w:val="single" w:sz="8" w:space="0" w:color="000000"/>
            </w:tcBorders>
          </w:tcPr>
          <w:p w14:paraId="591FA6E8"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position w:val="-1"/>
                <w:sz w:val="20"/>
                <w:szCs w:val="20"/>
              </w:rPr>
              <w:t>B</w:t>
            </w:r>
            <w:r w:rsidRPr="00537112">
              <w:rPr>
                <w:rFonts w:cs="Verdana"/>
                <w:spacing w:val="-1"/>
                <w:position w:val="-1"/>
                <w:sz w:val="20"/>
                <w:szCs w:val="20"/>
              </w:rPr>
              <w:t>er</w:t>
            </w:r>
            <w:r w:rsidRPr="00537112">
              <w:rPr>
                <w:rFonts w:cs="Verdana"/>
                <w:spacing w:val="1"/>
                <w:position w:val="-1"/>
                <w:sz w:val="20"/>
                <w:szCs w:val="20"/>
              </w:rPr>
              <w:t>n</w:t>
            </w:r>
            <w:r w:rsidRPr="00537112">
              <w:rPr>
                <w:rFonts w:cs="Verdana"/>
                <w:position w:val="-1"/>
                <w:sz w:val="20"/>
                <w:szCs w:val="20"/>
              </w:rPr>
              <w:t>a</w:t>
            </w:r>
            <w:r w:rsidRPr="00537112">
              <w:rPr>
                <w:rFonts w:cs="Verdana"/>
                <w:spacing w:val="-1"/>
                <w:position w:val="-1"/>
                <w:sz w:val="20"/>
                <w:szCs w:val="20"/>
              </w:rPr>
              <w:t>r</w:t>
            </w:r>
            <w:r w:rsidRPr="00537112">
              <w:rPr>
                <w:rFonts w:cs="Verdana"/>
                <w:spacing w:val="1"/>
                <w:position w:val="-1"/>
                <w:sz w:val="20"/>
                <w:szCs w:val="20"/>
              </w:rPr>
              <w:t>d</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o</w:t>
            </w:r>
            <w:r w:rsidRPr="00537112">
              <w:rPr>
                <w:rFonts w:cs="Verdana"/>
                <w:spacing w:val="-13"/>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spacing w:val="1"/>
                <w:position w:val="-1"/>
                <w:sz w:val="20"/>
                <w:szCs w:val="20"/>
              </w:rPr>
              <w:t>A</w:t>
            </w:r>
            <w:r w:rsidRPr="00537112">
              <w:rPr>
                <w:rFonts w:cs="Verdana"/>
                <w:spacing w:val="3"/>
                <w:position w:val="-1"/>
                <w:sz w:val="20"/>
                <w:szCs w:val="20"/>
              </w:rPr>
              <w:t>l</w:t>
            </w:r>
            <w:r w:rsidRPr="00537112">
              <w:rPr>
                <w:rFonts w:cs="Verdana"/>
                <w:position w:val="-1"/>
                <w:sz w:val="20"/>
                <w:szCs w:val="20"/>
              </w:rPr>
              <w:t>va</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d</w:t>
            </w:r>
            <w:r w:rsidRPr="00537112">
              <w:rPr>
                <w:rFonts w:cs="Verdana"/>
                <w:position w:val="-1"/>
                <w:sz w:val="20"/>
                <w:szCs w:val="20"/>
              </w:rPr>
              <w:t>o</w:t>
            </w:r>
          </w:p>
        </w:tc>
      </w:tr>
      <w:tr w:rsidR="00537112" w:rsidRPr="00537112" w14:paraId="28C3A077"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40E55427"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144</w:t>
            </w:r>
          </w:p>
        </w:tc>
        <w:tc>
          <w:tcPr>
            <w:tcW w:w="5545" w:type="dxa"/>
            <w:tcBorders>
              <w:top w:val="single" w:sz="8" w:space="0" w:color="000000"/>
              <w:left w:val="single" w:sz="8" w:space="0" w:color="000000"/>
              <w:bottom w:val="single" w:sz="4" w:space="0" w:color="auto"/>
              <w:right w:val="single" w:sz="8" w:space="0" w:color="000000"/>
            </w:tcBorders>
          </w:tcPr>
          <w:p w14:paraId="38DA4631"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Juan Chen Galiego</w:t>
            </w:r>
          </w:p>
        </w:tc>
      </w:tr>
      <w:tr w:rsidR="00537112" w:rsidRPr="00537112" w14:paraId="5F2AEC08"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73EFC6D3"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145</w:t>
            </w:r>
          </w:p>
        </w:tc>
        <w:tc>
          <w:tcPr>
            <w:tcW w:w="5545" w:type="dxa"/>
            <w:tcBorders>
              <w:top w:val="single" w:sz="8" w:space="0" w:color="000000"/>
              <w:left w:val="single" w:sz="8" w:space="0" w:color="000000"/>
              <w:bottom w:val="single" w:sz="4" w:space="0" w:color="auto"/>
              <w:right w:val="single" w:sz="8" w:space="0" w:color="000000"/>
            </w:tcBorders>
          </w:tcPr>
          <w:p w14:paraId="50AB8570"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z w:val="20"/>
                <w:szCs w:val="20"/>
              </w:rPr>
              <w:t>N</w:t>
            </w:r>
            <w:r w:rsidRPr="00537112">
              <w:rPr>
                <w:rFonts w:cs="Verdana"/>
                <w:spacing w:val="3"/>
                <w:sz w:val="20"/>
                <w:szCs w:val="20"/>
              </w:rPr>
              <w:t>i</w:t>
            </w:r>
            <w:r w:rsidRPr="00537112">
              <w:rPr>
                <w:rFonts w:cs="Verdana"/>
                <w:spacing w:val="-1"/>
                <w:sz w:val="20"/>
                <w:szCs w:val="20"/>
              </w:rPr>
              <w:t>co</w:t>
            </w:r>
            <w:r w:rsidRPr="00537112">
              <w:rPr>
                <w:rFonts w:cs="Verdana"/>
                <w:spacing w:val="3"/>
                <w:sz w:val="20"/>
                <w:szCs w:val="20"/>
              </w:rPr>
              <w:t>l</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Ju</w:t>
            </w:r>
            <w:r w:rsidRPr="00537112">
              <w:rPr>
                <w:rFonts w:cs="Verdana"/>
                <w:sz w:val="20"/>
                <w:szCs w:val="20"/>
              </w:rPr>
              <w:t>a</w:t>
            </w:r>
            <w:r w:rsidRPr="00537112">
              <w:rPr>
                <w:rFonts w:cs="Verdana"/>
                <w:spacing w:val="-1"/>
                <w:sz w:val="20"/>
                <w:szCs w:val="20"/>
              </w:rPr>
              <w:t>re</w:t>
            </w:r>
            <w:r w:rsidRPr="00537112">
              <w:rPr>
                <w:rFonts w:cs="Verdana"/>
                <w:sz w:val="20"/>
                <w:szCs w:val="20"/>
              </w:rPr>
              <w:t>z</w:t>
            </w:r>
          </w:p>
        </w:tc>
      </w:tr>
      <w:tr w:rsidR="00537112" w:rsidRPr="00537112" w14:paraId="02BB20F7"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0CADE0A7"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146</w:t>
            </w:r>
          </w:p>
        </w:tc>
        <w:tc>
          <w:tcPr>
            <w:tcW w:w="5545" w:type="dxa"/>
            <w:tcBorders>
              <w:top w:val="single" w:sz="8" w:space="0" w:color="000000"/>
              <w:left w:val="single" w:sz="8" w:space="0" w:color="000000"/>
              <w:bottom w:val="single" w:sz="4" w:space="0" w:color="auto"/>
              <w:right w:val="single" w:sz="8" w:space="0" w:color="000000"/>
            </w:tcBorders>
          </w:tcPr>
          <w:p w14:paraId="05900FCF"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pacing w:val="-1"/>
                <w:sz w:val="20"/>
                <w:szCs w:val="20"/>
              </w:rPr>
              <w:t>Le</w:t>
            </w:r>
            <w:r w:rsidRPr="00537112">
              <w:rPr>
                <w:rFonts w:cs="Verdana"/>
                <w:sz w:val="20"/>
                <w:szCs w:val="20"/>
              </w:rPr>
              <w:t>a</w:t>
            </w:r>
            <w:r w:rsidRPr="00537112">
              <w:rPr>
                <w:rFonts w:cs="Verdana"/>
                <w:spacing w:val="1"/>
                <w:sz w:val="20"/>
                <w:szCs w:val="20"/>
              </w:rPr>
              <w:t>nd</w:t>
            </w:r>
            <w:r w:rsidRPr="00537112">
              <w:rPr>
                <w:rFonts w:cs="Verdana"/>
                <w:spacing w:val="-1"/>
                <w:sz w:val="20"/>
                <w:szCs w:val="20"/>
              </w:rPr>
              <w:t>r</w:t>
            </w:r>
            <w:r w:rsidRPr="00537112">
              <w:rPr>
                <w:rFonts w:cs="Verdana"/>
                <w:sz w:val="20"/>
                <w:szCs w:val="20"/>
              </w:rPr>
              <w:t>o</w:t>
            </w:r>
            <w:r w:rsidRPr="00537112">
              <w:rPr>
                <w:rFonts w:cs="Verdana"/>
                <w:spacing w:val="-10"/>
                <w:sz w:val="20"/>
                <w:szCs w:val="20"/>
              </w:rPr>
              <w:t xml:space="preserve"> </w:t>
            </w:r>
            <w:r w:rsidRPr="00537112">
              <w:rPr>
                <w:rFonts w:cs="Verdana"/>
                <w:sz w:val="20"/>
                <w:szCs w:val="20"/>
              </w:rPr>
              <w:t>X</w:t>
            </w:r>
            <w:r w:rsidRPr="00537112">
              <w:rPr>
                <w:rFonts w:cs="Verdana"/>
                <w:spacing w:val="3"/>
                <w:sz w:val="20"/>
                <w:szCs w:val="20"/>
              </w:rPr>
              <w:t>i</w:t>
            </w:r>
            <w:r w:rsidRPr="00537112">
              <w:rPr>
                <w:rFonts w:cs="Verdana"/>
                <w:spacing w:val="1"/>
                <w:sz w:val="20"/>
                <w:szCs w:val="20"/>
              </w:rPr>
              <w:t>tumul</w:t>
            </w:r>
          </w:p>
        </w:tc>
      </w:tr>
      <w:tr w:rsidR="00537112" w:rsidRPr="00537112" w14:paraId="61EA87FC"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5FEC5003"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147</w:t>
            </w:r>
          </w:p>
        </w:tc>
        <w:tc>
          <w:tcPr>
            <w:tcW w:w="5545" w:type="dxa"/>
            <w:tcBorders>
              <w:top w:val="single" w:sz="8" w:space="0" w:color="000000"/>
              <w:left w:val="single" w:sz="8" w:space="0" w:color="000000"/>
              <w:bottom w:val="single" w:sz="4" w:space="0" w:color="auto"/>
              <w:right w:val="single" w:sz="8" w:space="0" w:color="000000"/>
            </w:tcBorders>
          </w:tcPr>
          <w:p w14:paraId="07C66A59"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S</w:t>
            </w:r>
            <w:r w:rsidRPr="00537112">
              <w:rPr>
                <w:rFonts w:cs="Verdana"/>
                <w:sz w:val="20"/>
                <w:szCs w:val="20"/>
              </w:rPr>
              <w:t>a</w:t>
            </w:r>
            <w:r w:rsidRPr="00537112">
              <w:rPr>
                <w:rFonts w:cs="Verdana"/>
                <w:spacing w:val="1"/>
                <w:sz w:val="20"/>
                <w:szCs w:val="20"/>
              </w:rPr>
              <w:t>nt</w:t>
            </w:r>
            <w:r w:rsidRPr="00537112">
              <w:rPr>
                <w:rFonts w:cs="Verdana"/>
                <w:spacing w:val="3"/>
                <w:sz w:val="20"/>
                <w:szCs w:val="20"/>
              </w:rPr>
              <w:t>i</w:t>
            </w:r>
            <w:r w:rsidRPr="00537112">
              <w:rPr>
                <w:rFonts w:cs="Verdana"/>
                <w:sz w:val="20"/>
                <w:szCs w:val="20"/>
              </w:rPr>
              <w:t>a</w:t>
            </w:r>
            <w:r w:rsidRPr="00537112">
              <w:rPr>
                <w:rFonts w:cs="Verdana"/>
                <w:spacing w:val="1"/>
                <w:sz w:val="20"/>
                <w:szCs w:val="20"/>
              </w:rPr>
              <w:t>g</w:t>
            </w:r>
            <w:r w:rsidRPr="00537112">
              <w:rPr>
                <w:rFonts w:cs="Verdana"/>
                <w:sz w:val="20"/>
                <w:szCs w:val="20"/>
              </w:rPr>
              <w:t>o</w:t>
            </w:r>
            <w:r w:rsidRPr="00537112">
              <w:rPr>
                <w:rFonts w:cs="Verdana"/>
                <w:spacing w:val="-11"/>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r>
      <w:tr w:rsidR="00537112" w:rsidRPr="00537112" w14:paraId="4464B474" w14:textId="77777777" w:rsidTr="00630EEC">
        <w:trPr>
          <w:trHeight w:hRule="exact" w:val="319"/>
        </w:trPr>
        <w:tc>
          <w:tcPr>
            <w:tcW w:w="1019" w:type="dxa"/>
            <w:tcBorders>
              <w:top w:val="single" w:sz="8" w:space="0" w:color="000000"/>
              <w:left w:val="single" w:sz="8" w:space="0" w:color="000000"/>
              <w:bottom w:val="single" w:sz="4" w:space="0" w:color="auto"/>
              <w:right w:val="single" w:sz="8" w:space="0" w:color="000000"/>
            </w:tcBorders>
            <w:shd w:val="clear" w:color="auto" w:fill="C0C0C0"/>
          </w:tcPr>
          <w:p w14:paraId="7D6FBC77"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148</w:t>
            </w:r>
          </w:p>
        </w:tc>
        <w:tc>
          <w:tcPr>
            <w:tcW w:w="5545" w:type="dxa"/>
            <w:tcBorders>
              <w:top w:val="single" w:sz="8" w:space="0" w:color="000000"/>
              <w:left w:val="single" w:sz="8" w:space="0" w:color="000000"/>
              <w:bottom w:val="single" w:sz="4" w:space="0" w:color="auto"/>
              <w:right w:val="single" w:sz="8" w:space="0" w:color="000000"/>
            </w:tcBorders>
          </w:tcPr>
          <w:p w14:paraId="429E0CFA"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2"/>
                <w:sz w:val="20"/>
                <w:szCs w:val="20"/>
              </w:rPr>
              <w:t>I</w:t>
            </w:r>
            <w:r w:rsidRPr="00537112">
              <w:rPr>
                <w:rFonts w:cs="Verdana"/>
                <w:spacing w:val="-1"/>
                <w:sz w:val="20"/>
                <w:szCs w:val="20"/>
              </w:rPr>
              <w:t>s</w:t>
            </w:r>
            <w:r w:rsidRPr="00537112">
              <w:rPr>
                <w:rFonts w:cs="Verdana"/>
                <w:sz w:val="20"/>
                <w:szCs w:val="20"/>
              </w:rPr>
              <w:t>a</w:t>
            </w:r>
            <w:r w:rsidRPr="00537112">
              <w:rPr>
                <w:rFonts w:cs="Verdana"/>
                <w:spacing w:val="1"/>
                <w:sz w:val="20"/>
                <w:szCs w:val="20"/>
              </w:rPr>
              <w:t>b</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A</w:t>
            </w:r>
            <w:r w:rsidRPr="00537112">
              <w:rPr>
                <w:rFonts w:cs="Verdana"/>
                <w:spacing w:val="3"/>
                <w:sz w:val="20"/>
                <w:szCs w:val="20"/>
              </w:rPr>
              <w:t>l</w:t>
            </w:r>
            <w:r w:rsidRPr="00537112">
              <w:rPr>
                <w:rFonts w:cs="Verdana"/>
                <w:sz w:val="20"/>
                <w:szCs w:val="20"/>
              </w:rPr>
              <w:t>va</w:t>
            </w:r>
            <w:r w:rsidRPr="00537112">
              <w:rPr>
                <w:rFonts w:cs="Verdana"/>
                <w:spacing w:val="-1"/>
                <w:sz w:val="20"/>
                <w:szCs w:val="20"/>
              </w:rPr>
              <w:t>r</w:t>
            </w:r>
            <w:r w:rsidRPr="00537112">
              <w:rPr>
                <w:rFonts w:cs="Verdana"/>
                <w:sz w:val="20"/>
                <w:szCs w:val="20"/>
              </w:rPr>
              <w:t>a</w:t>
            </w:r>
            <w:r w:rsidRPr="00537112">
              <w:rPr>
                <w:rFonts w:cs="Verdana"/>
                <w:spacing w:val="1"/>
                <w:sz w:val="20"/>
                <w:szCs w:val="20"/>
              </w:rPr>
              <w:t>d</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R</w:t>
            </w:r>
            <w:r w:rsidRPr="00537112">
              <w:rPr>
                <w:rFonts w:cs="Verdana"/>
                <w:spacing w:val="-1"/>
                <w:sz w:val="20"/>
                <w:szCs w:val="20"/>
              </w:rPr>
              <w:t>o</w:t>
            </w:r>
            <w:r w:rsidRPr="00537112">
              <w:rPr>
                <w:rFonts w:cs="Verdana"/>
                <w:spacing w:val="1"/>
                <w:sz w:val="20"/>
                <w:szCs w:val="20"/>
              </w:rPr>
              <w:t>j</w:t>
            </w:r>
            <w:r w:rsidRPr="00537112">
              <w:rPr>
                <w:rFonts w:cs="Verdana"/>
                <w:sz w:val="20"/>
                <w:szCs w:val="20"/>
              </w:rPr>
              <w:t>as</w:t>
            </w:r>
          </w:p>
        </w:tc>
      </w:tr>
      <w:tr w:rsidR="00537112" w:rsidRPr="00537112" w14:paraId="655437FD"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66B939D"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149</w:t>
            </w:r>
          </w:p>
        </w:tc>
        <w:tc>
          <w:tcPr>
            <w:tcW w:w="5545" w:type="dxa"/>
            <w:tcBorders>
              <w:top w:val="single" w:sz="8" w:space="0" w:color="000000"/>
              <w:left w:val="single" w:sz="8" w:space="0" w:color="000000"/>
              <w:bottom w:val="single" w:sz="8" w:space="0" w:color="000000"/>
              <w:right w:val="single" w:sz="8" w:space="0" w:color="000000"/>
            </w:tcBorders>
          </w:tcPr>
          <w:p w14:paraId="480AE732" w14:textId="77777777" w:rsidR="00537112" w:rsidRPr="00537112" w:rsidRDefault="00537112" w:rsidP="00537112">
            <w:pPr>
              <w:autoSpaceDE w:val="0"/>
              <w:autoSpaceDN w:val="0"/>
              <w:spacing w:line="214" w:lineRule="exact"/>
              <w:ind w:right="-20"/>
              <w:jc w:val="left"/>
              <w:textAlignment w:val="auto"/>
              <w:rPr>
                <w:rFonts w:cs="Verdana"/>
                <w:spacing w:val="-2"/>
                <w:sz w:val="20"/>
                <w:szCs w:val="20"/>
              </w:rPr>
            </w:pPr>
            <w:r w:rsidRPr="00537112">
              <w:rPr>
                <w:rFonts w:cs="Verdana"/>
                <w:spacing w:val="1"/>
                <w:position w:val="-1"/>
                <w:sz w:val="20"/>
                <w:szCs w:val="20"/>
              </w:rPr>
              <w:t>Ju</w:t>
            </w:r>
            <w:r w:rsidRPr="00537112">
              <w:rPr>
                <w:rFonts w:cs="Verdana"/>
                <w:spacing w:val="3"/>
                <w:position w:val="-1"/>
                <w:sz w:val="20"/>
                <w:szCs w:val="20"/>
              </w:rPr>
              <w:t>li</w:t>
            </w:r>
            <w:r w:rsidRPr="00537112">
              <w:rPr>
                <w:rFonts w:cs="Verdana"/>
                <w:position w:val="-1"/>
                <w:sz w:val="20"/>
                <w:szCs w:val="20"/>
              </w:rPr>
              <w:t>án</w:t>
            </w:r>
            <w:r w:rsidRPr="00537112">
              <w:rPr>
                <w:rFonts w:cs="Verdana"/>
                <w:spacing w:val="-6"/>
                <w:position w:val="-1"/>
                <w:sz w:val="20"/>
                <w:szCs w:val="20"/>
              </w:rPr>
              <w:t xml:space="preserve"> </w:t>
            </w:r>
            <w:r w:rsidRPr="00537112">
              <w:rPr>
                <w:rFonts w:cs="Verdana"/>
                <w:spacing w:val="-1"/>
                <w:position w:val="-1"/>
                <w:sz w:val="20"/>
                <w:szCs w:val="20"/>
              </w:rPr>
              <w:t>G</w:t>
            </w:r>
            <w:r w:rsidRPr="00537112">
              <w:rPr>
                <w:rFonts w:cs="Verdana"/>
                <w:position w:val="-1"/>
                <w:sz w:val="20"/>
                <w:szCs w:val="20"/>
              </w:rPr>
              <w:t>a</w:t>
            </w:r>
            <w:r w:rsidRPr="00537112">
              <w:rPr>
                <w:rFonts w:cs="Verdana"/>
                <w:spacing w:val="3"/>
                <w:position w:val="-1"/>
                <w:sz w:val="20"/>
                <w:szCs w:val="20"/>
              </w:rPr>
              <w:t>li</w:t>
            </w:r>
            <w:r w:rsidRPr="00537112">
              <w:rPr>
                <w:rFonts w:cs="Verdana"/>
                <w:spacing w:val="-1"/>
                <w:position w:val="-1"/>
                <w:sz w:val="20"/>
                <w:szCs w:val="20"/>
              </w:rPr>
              <w:t>e</w:t>
            </w:r>
            <w:r w:rsidRPr="00537112">
              <w:rPr>
                <w:rFonts w:cs="Verdana"/>
                <w:spacing w:val="1"/>
                <w:position w:val="-1"/>
                <w:sz w:val="20"/>
                <w:szCs w:val="20"/>
              </w:rPr>
              <w:t>g</w:t>
            </w:r>
            <w:r w:rsidRPr="00537112">
              <w:rPr>
                <w:rFonts w:cs="Verdana"/>
                <w:position w:val="-1"/>
                <w:sz w:val="20"/>
                <w:szCs w:val="20"/>
              </w:rPr>
              <w:t>o</w:t>
            </w:r>
            <w:r w:rsidRPr="00537112">
              <w:rPr>
                <w:rFonts w:cs="Verdana"/>
                <w:spacing w:val="-9"/>
                <w:position w:val="-1"/>
                <w:sz w:val="20"/>
                <w:szCs w:val="20"/>
              </w:rPr>
              <w:t xml:space="preserve"> </w:t>
            </w:r>
            <w:r w:rsidRPr="00537112">
              <w:rPr>
                <w:rFonts w:cs="Verdana"/>
                <w:position w:val="-1"/>
                <w:sz w:val="20"/>
                <w:szCs w:val="20"/>
              </w:rPr>
              <w:t>M</w:t>
            </w:r>
            <w:r w:rsidRPr="00537112">
              <w:rPr>
                <w:rFonts w:cs="Verdana"/>
                <w:spacing w:val="-1"/>
                <w:position w:val="-1"/>
                <w:sz w:val="20"/>
                <w:szCs w:val="20"/>
              </w:rPr>
              <w:t>e</w:t>
            </w:r>
            <w:r w:rsidRPr="00537112">
              <w:rPr>
                <w:rFonts w:cs="Verdana"/>
                <w:spacing w:val="1"/>
                <w:position w:val="-1"/>
                <w:sz w:val="20"/>
                <w:szCs w:val="20"/>
              </w:rPr>
              <w:t>nd</w:t>
            </w:r>
            <w:r w:rsidRPr="00537112">
              <w:rPr>
                <w:rFonts w:cs="Verdana"/>
                <w:spacing w:val="-1"/>
                <w:position w:val="-1"/>
                <w:sz w:val="20"/>
                <w:szCs w:val="20"/>
              </w:rPr>
              <w:t>o</w:t>
            </w:r>
            <w:r w:rsidRPr="00537112">
              <w:rPr>
                <w:rFonts w:cs="Verdana"/>
                <w:spacing w:val="1"/>
                <w:position w:val="-1"/>
                <w:sz w:val="20"/>
                <w:szCs w:val="20"/>
              </w:rPr>
              <w:t>z</w:t>
            </w:r>
            <w:r w:rsidRPr="00537112">
              <w:rPr>
                <w:rFonts w:cs="Verdana"/>
                <w:position w:val="-1"/>
                <w:sz w:val="20"/>
                <w:szCs w:val="20"/>
              </w:rPr>
              <w:t>a</w:t>
            </w:r>
          </w:p>
        </w:tc>
      </w:tr>
      <w:tr w:rsidR="00537112" w:rsidRPr="00537112" w14:paraId="062C44F7"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AF4C20B"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150</w:t>
            </w:r>
          </w:p>
        </w:tc>
        <w:tc>
          <w:tcPr>
            <w:tcW w:w="5545" w:type="dxa"/>
            <w:tcBorders>
              <w:top w:val="single" w:sz="8" w:space="0" w:color="000000"/>
              <w:left w:val="single" w:sz="8" w:space="0" w:color="000000"/>
              <w:bottom w:val="single" w:sz="8" w:space="0" w:color="000000"/>
              <w:right w:val="single" w:sz="8" w:space="0" w:color="000000"/>
            </w:tcBorders>
          </w:tcPr>
          <w:p w14:paraId="4AC517BB" w14:textId="77777777" w:rsidR="00537112" w:rsidRPr="00537112" w:rsidRDefault="00537112" w:rsidP="00537112">
            <w:pPr>
              <w:autoSpaceDE w:val="0"/>
              <w:autoSpaceDN w:val="0"/>
              <w:spacing w:line="214" w:lineRule="exact"/>
              <w:ind w:right="-20"/>
              <w:jc w:val="left"/>
              <w:textAlignment w:val="auto"/>
              <w:rPr>
                <w:rFonts w:cs="Verdana"/>
                <w:spacing w:val="1"/>
                <w:position w:val="-1"/>
                <w:sz w:val="20"/>
                <w:szCs w:val="20"/>
              </w:rPr>
            </w:pPr>
            <w:r w:rsidRPr="00537112">
              <w:rPr>
                <w:rFonts w:cs="Verdana"/>
                <w:spacing w:val="1"/>
                <w:sz w:val="20"/>
                <w:szCs w:val="20"/>
              </w:rPr>
              <w:t>F</w:t>
            </w:r>
            <w:r w:rsidRPr="00537112">
              <w:rPr>
                <w:rFonts w:cs="Verdana"/>
                <w:spacing w:val="-1"/>
                <w:sz w:val="20"/>
                <w:szCs w:val="20"/>
              </w:rPr>
              <w:t>e</w:t>
            </w:r>
            <w:r w:rsidRPr="00537112">
              <w:rPr>
                <w:rFonts w:cs="Verdana"/>
                <w:spacing w:val="3"/>
                <w:sz w:val="20"/>
                <w:szCs w:val="20"/>
              </w:rPr>
              <w:t>li</w:t>
            </w:r>
            <w:r w:rsidRPr="00537112">
              <w:rPr>
                <w:rFonts w:cs="Verdana"/>
                <w:spacing w:val="-1"/>
                <w:sz w:val="20"/>
                <w:szCs w:val="20"/>
              </w:rPr>
              <w:t>c</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r w:rsidRPr="00537112">
              <w:rPr>
                <w:rFonts w:cs="Verdana"/>
                <w:spacing w:val="-11"/>
                <w:sz w:val="20"/>
                <w:szCs w:val="20"/>
              </w:rPr>
              <w:t xml:space="preserve"> </w:t>
            </w:r>
            <w:r w:rsidRPr="00537112">
              <w:rPr>
                <w:rFonts w:cs="Verdana"/>
                <w:spacing w:val="1"/>
                <w:sz w:val="20"/>
                <w:szCs w:val="20"/>
              </w:rPr>
              <w:t>Su</w:t>
            </w:r>
            <w:r w:rsidRPr="00537112">
              <w:rPr>
                <w:rFonts w:cs="Verdana"/>
                <w:spacing w:val="-1"/>
                <w:sz w:val="20"/>
                <w:szCs w:val="20"/>
              </w:rPr>
              <w:t>c</w:t>
            </w:r>
            <w:r w:rsidRPr="00537112">
              <w:rPr>
                <w:rFonts w:cs="Verdana"/>
                <w:spacing w:val="1"/>
                <w:sz w:val="20"/>
                <w:szCs w:val="20"/>
              </w:rPr>
              <w:t>u</w:t>
            </w:r>
            <w:r w:rsidRPr="00537112">
              <w:rPr>
                <w:rFonts w:cs="Verdana"/>
                <w:sz w:val="20"/>
                <w:szCs w:val="20"/>
              </w:rPr>
              <w:t>p</w:t>
            </w:r>
            <w:r w:rsidRPr="00537112">
              <w:rPr>
                <w:rFonts w:cs="Verdana"/>
                <w:spacing w:val="-6"/>
                <w:sz w:val="20"/>
                <w:szCs w:val="20"/>
              </w:rPr>
              <w:t xml:space="preserve"> C</w:t>
            </w:r>
            <w:r w:rsidRPr="00537112">
              <w:rPr>
                <w:rFonts w:cs="Verdana"/>
                <w:spacing w:val="-1"/>
                <w:sz w:val="20"/>
                <w:szCs w:val="20"/>
              </w:rPr>
              <w:t>r</w:t>
            </w:r>
            <w:r w:rsidRPr="00537112">
              <w:rPr>
                <w:rFonts w:cs="Verdana"/>
                <w:spacing w:val="1"/>
                <w:sz w:val="20"/>
                <w:szCs w:val="20"/>
              </w:rPr>
              <w:t>uz</w:t>
            </w:r>
          </w:p>
        </w:tc>
      </w:tr>
      <w:tr w:rsidR="00537112" w:rsidRPr="00537112" w14:paraId="7CB1AD1D"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6B5E7E03"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151</w:t>
            </w:r>
          </w:p>
        </w:tc>
        <w:tc>
          <w:tcPr>
            <w:tcW w:w="5545" w:type="dxa"/>
            <w:tcBorders>
              <w:top w:val="single" w:sz="8" w:space="0" w:color="000000"/>
              <w:left w:val="single" w:sz="8" w:space="0" w:color="000000"/>
              <w:bottom w:val="single" w:sz="8" w:space="0" w:color="000000"/>
              <w:right w:val="single" w:sz="8" w:space="0" w:color="000000"/>
            </w:tcBorders>
          </w:tcPr>
          <w:p w14:paraId="23152178"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position w:val="-1"/>
                <w:sz w:val="20"/>
                <w:szCs w:val="20"/>
              </w:rPr>
              <w:t>Ma</w:t>
            </w:r>
            <w:r w:rsidRPr="00537112">
              <w:rPr>
                <w:rFonts w:cs="Verdana"/>
                <w:spacing w:val="-1"/>
                <w:position w:val="-1"/>
                <w:sz w:val="20"/>
                <w:szCs w:val="20"/>
              </w:rPr>
              <w:t>r</w:t>
            </w:r>
            <w:r w:rsidRPr="00537112">
              <w:rPr>
                <w:rFonts w:cs="Verdana"/>
                <w:spacing w:val="1"/>
                <w:position w:val="-1"/>
                <w:sz w:val="20"/>
                <w:szCs w:val="20"/>
              </w:rPr>
              <w:t>t</w:t>
            </w:r>
            <w:r w:rsidRPr="00537112">
              <w:rPr>
                <w:rFonts w:cs="Verdana"/>
                <w:spacing w:val="3"/>
                <w:position w:val="-1"/>
                <w:sz w:val="20"/>
                <w:szCs w:val="20"/>
              </w:rPr>
              <w:t>i</w:t>
            </w:r>
            <w:r w:rsidRPr="00537112">
              <w:rPr>
                <w:rFonts w:cs="Verdana"/>
                <w:spacing w:val="1"/>
                <w:position w:val="-1"/>
                <w:sz w:val="20"/>
                <w:szCs w:val="20"/>
              </w:rPr>
              <w:t>n</w:t>
            </w:r>
            <w:r w:rsidRPr="00537112">
              <w:rPr>
                <w:rFonts w:cs="Verdana"/>
                <w:position w:val="-1"/>
                <w:sz w:val="20"/>
                <w:szCs w:val="20"/>
              </w:rPr>
              <w:t>a</w:t>
            </w:r>
            <w:r w:rsidRPr="00537112">
              <w:rPr>
                <w:rFonts w:cs="Verdana"/>
                <w:spacing w:val="-8"/>
                <w:position w:val="-1"/>
                <w:sz w:val="20"/>
                <w:szCs w:val="20"/>
              </w:rPr>
              <w:t xml:space="preserve"> </w:t>
            </w:r>
            <w:r w:rsidRPr="00537112">
              <w:rPr>
                <w:rFonts w:cs="Verdana"/>
                <w:spacing w:val="-2"/>
                <w:position w:val="-1"/>
                <w:sz w:val="20"/>
                <w:szCs w:val="20"/>
              </w:rPr>
              <w:t>I</w:t>
            </w:r>
            <w:r w:rsidRPr="00537112">
              <w:rPr>
                <w:rFonts w:cs="Verdana"/>
                <w:position w:val="-1"/>
                <w:sz w:val="20"/>
                <w:szCs w:val="20"/>
              </w:rPr>
              <w:t>x</w:t>
            </w:r>
            <w:r w:rsidRPr="00537112">
              <w:rPr>
                <w:rFonts w:cs="Verdana"/>
                <w:spacing w:val="1"/>
                <w:position w:val="-1"/>
                <w:sz w:val="20"/>
                <w:szCs w:val="20"/>
              </w:rPr>
              <w:t>p</w:t>
            </w:r>
            <w:r w:rsidRPr="00537112">
              <w:rPr>
                <w:rFonts w:cs="Verdana"/>
                <w:position w:val="-1"/>
                <w:sz w:val="20"/>
                <w:szCs w:val="20"/>
              </w:rPr>
              <w:t>a</w:t>
            </w:r>
            <w:r w:rsidRPr="00537112">
              <w:rPr>
                <w:rFonts w:cs="Verdana"/>
                <w:spacing w:val="1"/>
                <w:position w:val="-1"/>
                <w:sz w:val="20"/>
                <w:szCs w:val="20"/>
              </w:rPr>
              <w:t>t</w:t>
            </w:r>
            <w:r w:rsidRPr="00537112">
              <w:rPr>
                <w:rFonts w:cs="Verdana"/>
                <w:position w:val="-1"/>
                <w:sz w:val="20"/>
                <w:szCs w:val="20"/>
              </w:rPr>
              <w:t>á</w:t>
            </w:r>
            <w:r w:rsidRPr="00537112">
              <w:rPr>
                <w:rFonts w:cs="Verdana"/>
                <w:spacing w:val="-6"/>
                <w:position w:val="-1"/>
                <w:sz w:val="20"/>
                <w:szCs w:val="20"/>
              </w:rPr>
              <w:t xml:space="preserve"> </w:t>
            </w:r>
            <w:r w:rsidRPr="00537112">
              <w:rPr>
                <w:rFonts w:cs="Verdana"/>
                <w:position w:val="-1"/>
                <w:sz w:val="20"/>
                <w:szCs w:val="20"/>
              </w:rPr>
              <w:t>X</w:t>
            </w:r>
            <w:r w:rsidRPr="00537112">
              <w:rPr>
                <w:rFonts w:cs="Verdana"/>
                <w:spacing w:val="3"/>
                <w:position w:val="-1"/>
                <w:sz w:val="20"/>
                <w:szCs w:val="20"/>
              </w:rPr>
              <w:t>i</w:t>
            </w:r>
            <w:r w:rsidRPr="00537112">
              <w:rPr>
                <w:rFonts w:cs="Verdana"/>
                <w:spacing w:val="1"/>
                <w:position w:val="-1"/>
                <w:sz w:val="20"/>
                <w:szCs w:val="20"/>
              </w:rPr>
              <w:t>tumu</w:t>
            </w:r>
            <w:r w:rsidRPr="00537112">
              <w:rPr>
                <w:rFonts w:cs="Verdana"/>
                <w:position w:val="-1"/>
                <w:sz w:val="20"/>
                <w:szCs w:val="20"/>
              </w:rPr>
              <w:t>l</w:t>
            </w:r>
          </w:p>
        </w:tc>
      </w:tr>
      <w:tr w:rsidR="00537112" w:rsidRPr="00537112" w14:paraId="6D160ACA"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74B3E66"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152</w:t>
            </w:r>
          </w:p>
        </w:tc>
        <w:tc>
          <w:tcPr>
            <w:tcW w:w="5545" w:type="dxa"/>
            <w:tcBorders>
              <w:top w:val="single" w:sz="8" w:space="0" w:color="000000"/>
              <w:left w:val="single" w:sz="8" w:space="0" w:color="000000"/>
              <w:bottom w:val="single" w:sz="8" w:space="0" w:color="000000"/>
              <w:right w:val="single" w:sz="8" w:space="0" w:color="000000"/>
            </w:tcBorders>
          </w:tcPr>
          <w:p w14:paraId="2CA5BB7A" w14:textId="77777777" w:rsidR="00537112" w:rsidRPr="00537112" w:rsidRDefault="00537112" w:rsidP="00537112">
            <w:pPr>
              <w:autoSpaceDE w:val="0"/>
              <w:autoSpaceDN w:val="0"/>
              <w:spacing w:line="214" w:lineRule="exact"/>
              <w:ind w:right="-20"/>
              <w:jc w:val="left"/>
              <w:textAlignment w:val="auto"/>
              <w:rPr>
                <w:rFonts w:cs="Verdana"/>
                <w:position w:val="-1"/>
                <w:sz w:val="20"/>
                <w:szCs w:val="20"/>
              </w:rPr>
            </w:pPr>
            <w:r w:rsidRPr="00537112">
              <w:rPr>
                <w:rFonts w:cs="Verdana"/>
                <w:spacing w:val="1"/>
                <w:sz w:val="20"/>
                <w:szCs w:val="20"/>
              </w:rPr>
              <w:t>F</w:t>
            </w:r>
            <w:r w:rsidRPr="00537112">
              <w:rPr>
                <w:rFonts w:cs="Verdana"/>
                <w:spacing w:val="3"/>
                <w:sz w:val="20"/>
                <w:szCs w:val="20"/>
              </w:rPr>
              <w:t>l</w:t>
            </w:r>
            <w:r w:rsidRPr="00537112">
              <w:rPr>
                <w:rFonts w:cs="Verdana"/>
                <w:spacing w:val="-1"/>
                <w:sz w:val="20"/>
                <w:szCs w:val="20"/>
              </w:rPr>
              <w:t>ore</w:t>
            </w:r>
            <w:r w:rsidRPr="00537112">
              <w:rPr>
                <w:rFonts w:cs="Verdana"/>
                <w:spacing w:val="1"/>
                <w:sz w:val="20"/>
                <w:szCs w:val="20"/>
              </w:rPr>
              <w:t>nt</w:t>
            </w:r>
            <w:r w:rsidRPr="00537112">
              <w:rPr>
                <w:rFonts w:cs="Verdana"/>
                <w:spacing w:val="3"/>
                <w:sz w:val="20"/>
                <w:szCs w:val="20"/>
              </w:rPr>
              <w:t>i</w:t>
            </w:r>
            <w:r w:rsidRPr="00537112">
              <w:rPr>
                <w:rFonts w:cs="Verdana"/>
                <w:sz w:val="20"/>
                <w:szCs w:val="20"/>
              </w:rPr>
              <w:t>n</w:t>
            </w:r>
            <w:r w:rsidRPr="00537112">
              <w:rPr>
                <w:rFonts w:cs="Verdana"/>
                <w:spacing w:val="-9"/>
                <w:sz w:val="20"/>
                <w:szCs w:val="20"/>
              </w:rPr>
              <w:t xml:space="preserve"> </w:t>
            </w:r>
            <w:r w:rsidRPr="00537112">
              <w:rPr>
                <w:rFonts w:cs="Verdana"/>
                <w:sz w:val="20"/>
                <w:szCs w:val="20"/>
              </w:rPr>
              <w:t>T</w:t>
            </w:r>
            <w:r w:rsidRPr="00537112">
              <w:rPr>
                <w:rFonts w:cs="Verdana"/>
                <w:spacing w:val="-1"/>
                <w:sz w:val="20"/>
                <w:szCs w:val="20"/>
              </w:rPr>
              <w:t>oj</w:t>
            </w:r>
          </w:p>
        </w:tc>
      </w:tr>
      <w:tr w:rsidR="00537112" w:rsidRPr="00537112" w14:paraId="2D7AD80A"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1A8CE90"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153</w:t>
            </w:r>
          </w:p>
        </w:tc>
        <w:tc>
          <w:tcPr>
            <w:tcW w:w="5545" w:type="dxa"/>
            <w:tcBorders>
              <w:top w:val="single" w:sz="8" w:space="0" w:color="000000"/>
              <w:left w:val="single" w:sz="8" w:space="0" w:color="000000"/>
              <w:bottom w:val="single" w:sz="8" w:space="0" w:color="000000"/>
              <w:right w:val="single" w:sz="8" w:space="0" w:color="000000"/>
            </w:tcBorders>
          </w:tcPr>
          <w:p w14:paraId="4409226F"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sz w:val="20"/>
                <w:szCs w:val="20"/>
              </w:rPr>
              <w:t>Agu</w:t>
            </w:r>
            <w:r w:rsidRPr="00537112">
              <w:rPr>
                <w:rFonts w:cs="Verdana"/>
                <w:spacing w:val="-1"/>
                <w:sz w:val="20"/>
                <w:szCs w:val="20"/>
              </w:rPr>
              <w:t>s</w:t>
            </w:r>
            <w:r w:rsidRPr="00537112">
              <w:rPr>
                <w:rFonts w:cs="Verdana"/>
                <w:spacing w:val="1"/>
                <w:sz w:val="20"/>
                <w:szCs w:val="20"/>
              </w:rPr>
              <w:t>t</w:t>
            </w:r>
            <w:r w:rsidRPr="00537112">
              <w:rPr>
                <w:rFonts w:cs="Verdana"/>
                <w:spacing w:val="3"/>
                <w:sz w:val="20"/>
                <w:szCs w:val="20"/>
              </w:rPr>
              <w:t>i</w:t>
            </w:r>
            <w:r w:rsidRPr="00537112">
              <w:rPr>
                <w:rFonts w:cs="Verdana"/>
                <w:sz w:val="20"/>
                <w:szCs w:val="20"/>
              </w:rPr>
              <w:t>n</w:t>
            </w:r>
            <w:r w:rsidRPr="00537112">
              <w:rPr>
                <w:rFonts w:cs="Verdana"/>
                <w:spacing w:val="-8"/>
                <w:sz w:val="20"/>
                <w:szCs w:val="20"/>
              </w:rPr>
              <w:t xml:space="preserve"> Valey</w:t>
            </w:r>
          </w:p>
        </w:tc>
      </w:tr>
      <w:tr w:rsidR="00537112" w:rsidRPr="00537112" w14:paraId="680B58C2"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CBEC329"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154</w:t>
            </w:r>
          </w:p>
        </w:tc>
        <w:tc>
          <w:tcPr>
            <w:tcW w:w="5545" w:type="dxa"/>
            <w:tcBorders>
              <w:top w:val="single" w:sz="8" w:space="0" w:color="000000"/>
              <w:left w:val="single" w:sz="8" w:space="0" w:color="000000"/>
              <w:bottom w:val="single" w:sz="8" w:space="0" w:color="000000"/>
              <w:right w:val="single" w:sz="8" w:space="0" w:color="000000"/>
            </w:tcBorders>
          </w:tcPr>
          <w:p w14:paraId="1D51D955"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z w:val="20"/>
                <w:szCs w:val="20"/>
              </w:rPr>
              <w:t>T</w:t>
            </w:r>
            <w:r w:rsidRPr="00537112">
              <w:rPr>
                <w:rFonts w:cs="Verdana"/>
                <w:spacing w:val="-1"/>
                <w:sz w:val="20"/>
                <w:szCs w:val="20"/>
              </w:rPr>
              <w:t>o</w:t>
            </w:r>
            <w:r w:rsidRPr="00537112">
              <w:rPr>
                <w:rFonts w:cs="Verdana"/>
                <w:spacing w:val="1"/>
                <w:sz w:val="20"/>
                <w:szCs w:val="20"/>
              </w:rPr>
              <w:t>m</w:t>
            </w:r>
            <w:r w:rsidRPr="00537112">
              <w:rPr>
                <w:rFonts w:cs="Verdana"/>
                <w:sz w:val="20"/>
                <w:szCs w:val="20"/>
              </w:rPr>
              <w:t>ás</w:t>
            </w:r>
            <w:r w:rsidRPr="00537112">
              <w:rPr>
                <w:rFonts w:cs="Verdana"/>
                <w:spacing w:val="-8"/>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r w:rsidRPr="00537112">
              <w:rPr>
                <w:rFonts w:cs="Verdana"/>
                <w:spacing w:val="-6"/>
                <w:sz w:val="20"/>
                <w:szCs w:val="20"/>
              </w:rPr>
              <w:t xml:space="preserve"> </w:t>
            </w:r>
            <w:r w:rsidRPr="00537112">
              <w:rPr>
                <w:rFonts w:cs="Verdana"/>
                <w:sz w:val="20"/>
                <w:szCs w:val="20"/>
              </w:rPr>
              <w:t>P</w:t>
            </w:r>
            <w:r w:rsidRPr="00537112">
              <w:rPr>
                <w:rFonts w:cs="Verdana"/>
                <w:spacing w:val="-1"/>
                <w:sz w:val="20"/>
                <w:szCs w:val="20"/>
              </w:rPr>
              <w:t>ére</w:t>
            </w:r>
            <w:r w:rsidRPr="00537112">
              <w:rPr>
                <w:rFonts w:cs="Verdana"/>
                <w:sz w:val="20"/>
                <w:szCs w:val="20"/>
              </w:rPr>
              <w:t>z</w:t>
            </w:r>
          </w:p>
        </w:tc>
      </w:tr>
      <w:tr w:rsidR="00537112" w:rsidRPr="00537112" w14:paraId="70CAD2E4"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659043D"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155</w:t>
            </w:r>
          </w:p>
        </w:tc>
        <w:tc>
          <w:tcPr>
            <w:tcW w:w="5545" w:type="dxa"/>
            <w:tcBorders>
              <w:top w:val="single" w:sz="8" w:space="0" w:color="000000"/>
              <w:left w:val="single" w:sz="8" w:space="0" w:color="000000"/>
              <w:bottom w:val="single" w:sz="8" w:space="0" w:color="000000"/>
              <w:right w:val="single" w:sz="8" w:space="0" w:color="000000"/>
            </w:tcBorders>
          </w:tcPr>
          <w:p w14:paraId="70045201"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z w:val="20"/>
                <w:szCs w:val="20"/>
              </w:rPr>
              <w:t>P</w:t>
            </w:r>
            <w:r w:rsidRPr="00537112">
              <w:rPr>
                <w:rFonts w:cs="Verdana"/>
                <w:spacing w:val="-1"/>
                <w:sz w:val="20"/>
                <w:szCs w:val="20"/>
              </w:rPr>
              <w:t>e</w:t>
            </w:r>
            <w:r w:rsidRPr="00537112">
              <w:rPr>
                <w:rFonts w:cs="Verdana"/>
                <w:spacing w:val="1"/>
                <w:sz w:val="20"/>
                <w:szCs w:val="20"/>
              </w:rPr>
              <w:t>d</w:t>
            </w:r>
            <w:r w:rsidRPr="00537112">
              <w:rPr>
                <w:rFonts w:cs="Verdana"/>
                <w:spacing w:val="-1"/>
                <w:sz w:val="20"/>
                <w:szCs w:val="20"/>
              </w:rPr>
              <w:t>r</w:t>
            </w:r>
            <w:r w:rsidRPr="00537112">
              <w:rPr>
                <w:rFonts w:cs="Verdana"/>
                <w:sz w:val="20"/>
                <w:szCs w:val="20"/>
              </w:rPr>
              <w:t>o</w:t>
            </w:r>
            <w:r w:rsidRPr="00537112">
              <w:rPr>
                <w:rFonts w:cs="Verdana"/>
                <w:spacing w:val="-8"/>
                <w:sz w:val="20"/>
                <w:szCs w:val="20"/>
              </w:rPr>
              <w:t xml:space="preserve"> </w:t>
            </w:r>
            <w:r w:rsidRPr="00537112">
              <w:rPr>
                <w:rFonts w:cs="Verdana"/>
                <w:spacing w:val="1"/>
                <w:sz w:val="20"/>
                <w:szCs w:val="20"/>
              </w:rPr>
              <w:t>S</w:t>
            </w:r>
            <w:r w:rsidRPr="00537112">
              <w:rPr>
                <w:rFonts w:cs="Verdana"/>
                <w:spacing w:val="3"/>
                <w:sz w:val="20"/>
                <w:szCs w:val="20"/>
              </w:rPr>
              <w:t>i</w:t>
            </w:r>
            <w:r w:rsidRPr="00537112">
              <w:rPr>
                <w:rFonts w:cs="Verdana"/>
                <w:sz w:val="20"/>
                <w:szCs w:val="20"/>
              </w:rPr>
              <w:t>c</w:t>
            </w:r>
            <w:r w:rsidRPr="00537112">
              <w:rPr>
                <w:rFonts w:cs="Verdana"/>
                <w:spacing w:val="-4"/>
                <w:sz w:val="20"/>
                <w:szCs w:val="20"/>
              </w:rPr>
              <w:t xml:space="preserve"> </w:t>
            </w:r>
            <w:r w:rsidRPr="00537112">
              <w:rPr>
                <w:rFonts w:cs="Verdana"/>
                <w:spacing w:val="-1"/>
                <w:sz w:val="20"/>
                <w:szCs w:val="20"/>
              </w:rPr>
              <w:t>Go</w:t>
            </w:r>
            <w:r w:rsidRPr="00537112">
              <w:rPr>
                <w:rFonts w:cs="Verdana"/>
                <w:spacing w:val="1"/>
                <w:sz w:val="20"/>
                <w:szCs w:val="20"/>
              </w:rPr>
              <w:t>nz</w:t>
            </w:r>
            <w:r w:rsidRPr="00537112">
              <w:rPr>
                <w:rFonts w:cs="Verdana"/>
                <w:sz w:val="20"/>
                <w:szCs w:val="20"/>
              </w:rPr>
              <w:t>á</w:t>
            </w:r>
            <w:r w:rsidRPr="00537112">
              <w:rPr>
                <w:rFonts w:cs="Verdana"/>
                <w:spacing w:val="3"/>
                <w:sz w:val="20"/>
                <w:szCs w:val="20"/>
              </w:rPr>
              <w:t>l</w:t>
            </w:r>
            <w:r w:rsidRPr="00537112">
              <w:rPr>
                <w:rFonts w:cs="Verdana"/>
                <w:spacing w:val="-1"/>
                <w:sz w:val="20"/>
                <w:szCs w:val="20"/>
              </w:rPr>
              <w:t>e</w:t>
            </w:r>
            <w:r w:rsidRPr="00537112">
              <w:rPr>
                <w:rFonts w:cs="Verdana"/>
                <w:sz w:val="20"/>
                <w:szCs w:val="20"/>
              </w:rPr>
              <w:t>z</w:t>
            </w:r>
          </w:p>
        </w:tc>
      </w:tr>
      <w:tr w:rsidR="00537112" w:rsidRPr="00537112" w14:paraId="7DD56FE5"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30096FA3"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156</w:t>
            </w:r>
          </w:p>
        </w:tc>
        <w:tc>
          <w:tcPr>
            <w:tcW w:w="5545" w:type="dxa"/>
            <w:tcBorders>
              <w:top w:val="single" w:sz="8" w:space="0" w:color="000000"/>
              <w:left w:val="single" w:sz="8" w:space="0" w:color="000000"/>
              <w:bottom w:val="single" w:sz="8" w:space="0" w:color="000000"/>
              <w:right w:val="single" w:sz="8" w:space="0" w:color="000000"/>
            </w:tcBorders>
          </w:tcPr>
          <w:p w14:paraId="750C8EF6"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z w:val="20"/>
                <w:szCs w:val="20"/>
              </w:rPr>
              <w:t>M</w:t>
            </w:r>
            <w:r w:rsidRPr="00537112">
              <w:rPr>
                <w:rFonts w:cs="Verdana"/>
                <w:spacing w:val="3"/>
                <w:sz w:val="20"/>
                <w:szCs w:val="20"/>
              </w:rPr>
              <w:t>i</w:t>
            </w:r>
            <w:r w:rsidRPr="00537112">
              <w:rPr>
                <w:rFonts w:cs="Verdana"/>
                <w:spacing w:val="1"/>
                <w:sz w:val="20"/>
                <w:szCs w:val="20"/>
              </w:rPr>
              <w:t>gu</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z w:val="20"/>
                <w:szCs w:val="20"/>
              </w:rPr>
              <w:t>Xa</w:t>
            </w:r>
            <w:r w:rsidRPr="00537112">
              <w:rPr>
                <w:rFonts w:cs="Verdana"/>
                <w:spacing w:val="1"/>
                <w:sz w:val="20"/>
                <w:szCs w:val="20"/>
              </w:rPr>
              <w:t>p</w:t>
            </w:r>
            <w:r w:rsidRPr="00537112">
              <w:rPr>
                <w:rFonts w:cs="Verdana"/>
                <w:spacing w:val="-1"/>
                <w:sz w:val="20"/>
                <w:szCs w:val="20"/>
              </w:rPr>
              <w:t>o</w:t>
            </w:r>
            <w:r w:rsidRPr="00537112">
              <w:rPr>
                <w:rFonts w:cs="Verdana"/>
                <w:sz w:val="20"/>
                <w:szCs w:val="20"/>
              </w:rPr>
              <w:t>t</w:t>
            </w:r>
            <w:r w:rsidRPr="00537112">
              <w:rPr>
                <w:rFonts w:cs="Verdana"/>
                <w:spacing w:val="-6"/>
                <w:sz w:val="20"/>
                <w:szCs w:val="20"/>
              </w:rPr>
              <w:t xml:space="preserve"> </w:t>
            </w:r>
            <w:r w:rsidRPr="00537112">
              <w:rPr>
                <w:rFonts w:cs="Verdana"/>
                <w:sz w:val="20"/>
                <w:szCs w:val="20"/>
              </w:rPr>
              <w:t>Ma</w:t>
            </w:r>
            <w:r w:rsidRPr="00537112">
              <w:rPr>
                <w:rFonts w:cs="Verdana"/>
                <w:spacing w:val="-1"/>
                <w:sz w:val="20"/>
                <w:szCs w:val="20"/>
              </w:rPr>
              <w:t>r</w:t>
            </w:r>
            <w:r w:rsidRPr="00537112">
              <w:rPr>
                <w:rFonts w:cs="Verdana"/>
                <w:spacing w:val="1"/>
                <w:sz w:val="20"/>
                <w:szCs w:val="20"/>
              </w:rPr>
              <w:t>t</w:t>
            </w:r>
            <w:r w:rsidRPr="00537112">
              <w:rPr>
                <w:rFonts w:cs="Verdana"/>
                <w:spacing w:val="3"/>
                <w:sz w:val="20"/>
                <w:szCs w:val="20"/>
              </w:rPr>
              <w:t>i</w:t>
            </w:r>
            <w:r w:rsidRPr="00537112">
              <w:rPr>
                <w:rFonts w:cs="Verdana"/>
                <w:spacing w:val="1"/>
                <w:sz w:val="20"/>
                <w:szCs w:val="20"/>
              </w:rPr>
              <w:t>n</w:t>
            </w:r>
            <w:r w:rsidRPr="00537112">
              <w:rPr>
                <w:rFonts w:cs="Verdana"/>
                <w:spacing w:val="-1"/>
                <w:sz w:val="20"/>
                <w:szCs w:val="20"/>
              </w:rPr>
              <w:t>e</w:t>
            </w:r>
            <w:r w:rsidRPr="00537112">
              <w:rPr>
                <w:rFonts w:cs="Verdana"/>
                <w:sz w:val="20"/>
                <w:szCs w:val="20"/>
              </w:rPr>
              <w:t>z</w:t>
            </w:r>
          </w:p>
        </w:tc>
      </w:tr>
      <w:tr w:rsidR="00537112" w:rsidRPr="00537112" w14:paraId="61ECE72B"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032A034"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157</w:t>
            </w:r>
          </w:p>
        </w:tc>
        <w:tc>
          <w:tcPr>
            <w:tcW w:w="5545" w:type="dxa"/>
            <w:tcBorders>
              <w:top w:val="single" w:sz="8" w:space="0" w:color="000000"/>
              <w:left w:val="single" w:sz="8" w:space="0" w:color="000000"/>
              <w:bottom w:val="single" w:sz="8" w:space="0" w:color="000000"/>
              <w:right w:val="single" w:sz="8" w:space="0" w:color="000000"/>
            </w:tcBorders>
          </w:tcPr>
          <w:p w14:paraId="31388FAF"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pacing w:val="1"/>
                <w:position w:val="-1"/>
                <w:sz w:val="20"/>
                <w:szCs w:val="20"/>
              </w:rPr>
              <w:t>Ju</w:t>
            </w:r>
            <w:r w:rsidRPr="00537112">
              <w:rPr>
                <w:rFonts w:cs="Verdana"/>
                <w:position w:val="-1"/>
                <w:sz w:val="20"/>
                <w:szCs w:val="20"/>
              </w:rPr>
              <w:t>an</w:t>
            </w:r>
            <w:r w:rsidRPr="00537112">
              <w:rPr>
                <w:rFonts w:cs="Verdana"/>
                <w:spacing w:val="-5"/>
                <w:position w:val="-1"/>
                <w:sz w:val="20"/>
                <w:szCs w:val="20"/>
              </w:rPr>
              <w:t xml:space="preserve"> </w:t>
            </w:r>
            <w:r w:rsidRPr="00537112">
              <w:rPr>
                <w:rFonts w:cs="Verdana"/>
                <w:position w:val="-1"/>
                <w:sz w:val="20"/>
                <w:szCs w:val="20"/>
              </w:rPr>
              <w:t>C</w:t>
            </w:r>
            <w:r w:rsidRPr="00537112">
              <w:rPr>
                <w:rFonts w:cs="Verdana"/>
                <w:spacing w:val="1"/>
                <w:position w:val="-1"/>
                <w:sz w:val="20"/>
                <w:szCs w:val="20"/>
              </w:rPr>
              <w:t>h</w:t>
            </w:r>
            <w:r w:rsidRPr="00537112">
              <w:rPr>
                <w:rFonts w:cs="Verdana"/>
                <w:spacing w:val="-1"/>
                <w:position w:val="-1"/>
                <w:sz w:val="20"/>
                <w:szCs w:val="20"/>
              </w:rPr>
              <w:t>e</w:t>
            </w:r>
            <w:r w:rsidRPr="00537112">
              <w:rPr>
                <w:rFonts w:cs="Verdana"/>
                <w:position w:val="-1"/>
                <w:sz w:val="20"/>
                <w:szCs w:val="20"/>
              </w:rPr>
              <w:t>n</w:t>
            </w:r>
          </w:p>
        </w:tc>
      </w:tr>
      <w:tr w:rsidR="00537112" w:rsidRPr="00537112" w14:paraId="03AFF221"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586D467E"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158</w:t>
            </w:r>
          </w:p>
        </w:tc>
        <w:tc>
          <w:tcPr>
            <w:tcW w:w="5545" w:type="dxa"/>
            <w:tcBorders>
              <w:top w:val="single" w:sz="8" w:space="0" w:color="000000"/>
              <w:left w:val="single" w:sz="8" w:space="0" w:color="000000"/>
              <w:bottom w:val="single" w:sz="8" w:space="0" w:color="000000"/>
              <w:right w:val="single" w:sz="8" w:space="0" w:color="000000"/>
            </w:tcBorders>
          </w:tcPr>
          <w:p w14:paraId="733642DC" w14:textId="77777777" w:rsidR="00537112" w:rsidRPr="00537112" w:rsidRDefault="00537112" w:rsidP="00537112">
            <w:pPr>
              <w:autoSpaceDE w:val="0"/>
              <w:autoSpaceDN w:val="0"/>
              <w:spacing w:line="214" w:lineRule="exact"/>
              <w:ind w:right="-20"/>
              <w:jc w:val="left"/>
              <w:textAlignment w:val="auto"/>
              <w:rPr>
                <w:rFonts w:cs="Verdana"/>
                <w:spacing w:val="1"/>
                <w:position w:val="-1"/>
                <w:sz w:val="20"/>
                <w:szCs w:val="20"/>
              </w:rPr>
            </w:pPr>
            <w:r w:rsidRPr="00537112">
              <w:rPr>
                <w:rFonts w:cs="Verdana"/>
                <w:sz w:val="20"/>
                <w:szCs w:val="20"/>
              </w:rPr>
              <w:t>Da</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e</w:t>
            </w:r>
            <w:r w:rsidRPr="00537112">
              <w:rPr>
                <w:rFonts w:cs="Verdana"/>
                <w:sz w:val="20"/>
                <w:szCs w:val="20"/>
              </w:rPr>
              <w:t>l</w:t>
            </w:r>
            <w:r w:rsidRPr="00537112">
              <w:rPr>
                <w:rFonts w:cs="Verdana"/>
                <w:spacing w:val="-4"/>
                <w:sz w:val="20"/>
                <w:szCs w:val="20"/>
              </w:rPr>
              <w:t xml:space="preserve"> </w:t>
            </w:r>
            <w:r w:rsidRPr="00537112">
              <w:rPr>
                <w:rFonts w:cs="Verdana"/>
                <w:spacing w:val="-1"/>
                <w:sz w:val="20"/>
                <w:szCs w:val="20"/>
              </w:rPr>
              <w:t>G</w:t>
            </w:r>
            <w:r w:rsidRPr="00537112">
              <w:rPr>
                <w:rFonts w:cs="Verdana"/>
                <w:sz w:val="20"/>
                <w:szCs w:val="20"/>
              </w:rPr>
              <w:t>a</w:t>
            </w:r>
            <w:r w:rsidRPr="00537112">
              <w:rPr>
                <w:rFonts w:cs="Verdana"/>
                <w:spacing w:val="3"/>
                <w:sz w:val="20"/>
                <w:szCs w:val="20"/>
              </w:rPr>
              <w:t>li</w:t>
            </w:r>
            <w:r w:rsidRPr="00537112">
              <w:rPr>
                <w:rFonts w:cs="Verdana"/>
                <w:spacing w:val="-1"/>
                <w:sz w:val="20"/>
                <w:szCs w:val="20"/>
              </w:rPr>
              <w:t>e</w:t>
            </w:r>
            <w:r w:rsidRPr="00537112">
              <w:rPr>
                <w:rFonts w:cs="Verdana"/>
                <w:spacing w:val="1"/>
                <w:sz w:val="20"/>
                <w:szCs w:val="20"/>
              </w:rPr>
              <w:t>g</w:t>
            </w:r>
            <w:r w:rsidRPr="00537112">
              <w:rPr>
                <w:rFonts w:cs="Verdana"/>
                <w:sz w:val="20"/>
                <w:szCs w:val="20"/>
              </w:rPr>
              <w:t>o</w:t>
            </w:r>
            <w:r w:rsidRPr="00537112">
              <w:rPr>
                <w:rFonts w:cs="Verdana"/>
                <w:spacing w:val="-9"/>
                <w:sz w:val="20"/>
                <w:szCs w:val="20"/>
              </w:rPr>
              <w:t xml:space="preserve"> </w:t>
            </w:r>
            <w:r w:rsidRPr="00537112">
              <w:rPr>
                <w:rFonts w:cs="Verdana"/>
                <w:spacing w:val="-1"/>
                <w:sz w:val="20"/>
                <w:szCs w:val="20"/>
              </w:rPr>
              <w:t>Ló</w:t>
            </w:r>
            <w:r w:rsidRPr="00537112">
              <w:rPr>
                <w:rFonts w:cs="Verdana"/>
                <w:spacing w:val="1"/>
                <w:sz w:val="20"/>
                <w:szCs w:val="20"/>
              </w:rPr>
              <w:t>p</w:t>
            </w:r>
            <w:r w:rsidRPr="00537112">
              <w:rPr>
                <w:rFonts w:cs="Verdana"/>
                <w:spacing w:val="-1"/>
                <w:sz w:val="20"/>
                <w:szCs w:val="20"/>
              </w:rPr>
              <w:t>e</w:t>
            </w:r>
            <w:r w:rsidRPr="00537112">
              <w:rPr>
                <w:rFonts w:cs="Verdana"/>
                <w:sz w:val="20"/>
                <w:szCs w:val="20"/>
              </w:rPr>
              <w:t>z</w:t>
            </w:r>
          </w:p>
        </w:tc>
      </w:tr>
      <w:tr w:rsidR="00537112" w:rsidRPr="00537112" w14:paraId="5C6C601D"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0FE88760"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159</w:t>
            </w:r>
          </w:p>
        </w:tc>
        <w:tc>
          <w:tcPr>
            <w:tcW w:w="5545" w:type="dxa"/>
            <w:tcBorders>
              <w:top w:val="single" w:sz="8" w:space="0" w:color="000000"/>
              <w:left w:val="single" w:sz="8" w:space="0" w:color="000000"/>
              <w:bottom w:val="single" w:sz="8" w:space="0" w:color="000000"/>
              <w:right w:val="single" w:sz="8" w:space="0" w:color="000000"/>
            </w:tcBorders>
          </w:tcPr>
          <w:p w14:paraId="669E27DE"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z w:val="20"/>
                <w:szCs w:val="20"/>
              </w:rPr>
              <w:t>D</w:t>
            </w:r>
            <w:r w:rsidRPr="00537112">
              <w:rPr>
                <w:rFonts w:cs="Verdana"/>
                <w:spacing w:val="3"/>
                <w:sz w:val="20"/>
                <w:szCs w:val="20"/>
              </w:rPr>
              <w:t>i</w:t>
            </w:r>
            <w:r w:rsidRPr="00537112">
              <w:rPr>
                <w:rFonts w:cs="Verdana"/>
                <w:spacing w:val="-1"/>
                <w:sz w:val="20"/>
                <w:szCs w:val="20"/>
              </w:rPr>
              <w:t>o</w:t>
            </w:r>
            <w:r w:rsidRPr="00537112">
              <w:rPr>
                <w:rFonts w:cs="Verdana"/>
                <w:spacing w:val="1"/>
                <w:sz w:val="20"/>
                <w:szCs w:val="20"/>
              </w:rPr>
              <w:t>n</w:t>
            </w:r>
            <w:r w:rsidRPr="00537112">
              <w:rPr>
                <w:rFonts w:cs="Verdana"/>
                <w:spacing w:val="3"/>
                <w:sz w:val="20"/>
                <w:szCs w:val="20"/>
              </w:rPr>
              <w:t>i</w:t>
            </w:r>
            <w:r w:rsidRPr="00537112">
              <w:rPr>
                <w:rFonts w:cs="Verdana"/>
                <w:spacing w:val="-1"/>
                <w:sz w:val="20"/>
                <w:szCs w:val="20"/>
              </w:rPr>
              <w:t>c</w:t>
            </w:r>
            <w:r w:rsidRPr="00537112">
              <w:rPr>
                <w:rFonts w:cs="Verdana"/>
                <w:spacing w:val="3"/>
                <w:sz w:val="20"/>
                <w:szCs w:val="20"/>
              </w:rPr>
              <w:t>i</w:t>
            </w:r>
            <w:r w:rsidRPr="00537112">
              <w:rPr>
                <w:rFonts w:cs="Verdana"/>
                <w:sz w:val="20"/>
                <w:szCs w:val="20"/>
              </w:rPr>
              <w:t>o</w:t>
            </w:r>
            <w:r w:rsidRPr="00537112">
              <w:rPr>
                <w:rFonts w:cs="Verdana"/>
                <w:spacing w:val="-10"/>
                <w:sz w:val="20"/>
                <w:szCs w:val="20"/>
              </w:rPr>
              <w:t xml:space="preserve"> </w:t>
            </w:r>
            <w:r w:rsidRPr="00537112">
              <w:rPr>
                <w:rFonts w:cs="Verdana"/>
                <w:spacing w:val="1"/>
                <w:sz w:val="20"/>
                <w:szCs w:val="20"/>
              </w:rPr>
              <w:t>Ju</w:t>
            </w:r>
            <w:r w:rsidRPr="00537112">
              <w:rPr>
                <w:rFonts w:cs="Verdana"/>
                <w:sz w:val="20"/>
                <w:szCs w:val="20"/>
              </w:rPr>
              <w:t>á</w:t>
            </w:r>
            <w:r w:rsidRPr="00537112">
              <w:rPr>
                <w:rFonts w:cs="Verdana"/>
                <w:spacing w:val="-1"/>
                <w:sz w:val="20"/>
                <w:szCs w:val="20"/>
              </w:rPr>
              <w:t>re</w:t>
            </w:r>
            <w:r w:rsidRPr="00537112">
              <w:rPr>
                <w:rFonts w:cs="Verdana"/>
                <w:sz w:val="20"/>
                <w:szCs w:val="20"/>
              </w:rPr>
              <w:t>z</w:t>
            </w:r>
            <w:r w:rsidRPr="00537112">
              <w:rPr>
                <w:rFonts w:cs="Verdana"/>
                <w:spacing w:val="-6"/>
                <w:sz w:val="20"/>
                <w:szCs w:val="20"/>
              </w:rPr>
              <w:t xml:space="preserve"> </w:t>
            </w:r>
            <w:r w:rsidRPr="00537112">
              <w:rPr>
                <w:rFonts w:cs="Verdana"/>
                <w:spacing w:val="1"/>
                <w:sz w:val="20"/>
                <w:szCs w:val="20"/>
              </w:rPr>
              <w:t>V</w:t>
            </w:r>
            <w:r w:rsidRPr="00537112">
              <w:rPr>
                <w:rFonts w:cs="Verdana"/>
                <w:sz w:val="20"/>
                <w:szCs w:val="20"/>
              </w:rPr>
              <w:t>a</w:t>
            </w:r>
            <w:r w:rsidRPr="00537112">
              <w:rPr>
                <w:rFonts w:cs="Verdana"/>
                <w:spacing w:val="3"/>
                <w:sz w:val="20"/>
                <w:szCs w:val="20"/>
              </w:rPr>
              <w:t>l</w:t>
            </w:r>
            <w:r w:rsidRPr="00537112">
              <w:rPr>
                <w:rFonts w:cs="Verdana"/>
                <w:spacing w:val="-1"/>
                <w:sz w:val="20"/>
                <w:szCs w:val="20"/>
              </w:rPr>
              <w:t>e</w:t>
            </w:r>
            <w:r w:rsidRPr="00537112">
              <w:rPr>
                <w:rFonts w:cs="Verdana"/>
                <w:sz w:val="20"/>
                <w:szCs w:val="20"/>
              </w:rPr>
              <w:t>y</w:t>
            </w:r>
          </w:p>
        </w:tc>
      </w:tr>
      <w:tr w:rsidR="00537112" w:rsidRPr="00537112" w14:paraId="0FC1F048" w14:textId="77777777" w:rsidTr="00630EEC">
        <w:trPr>
          <w:trHeight w:hRule="exact" w:val="319"/>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44B02B07"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160</w:t>
            </w:r>
          </w:p>
        </w:tc>
        <w:tc>
          <w:tcPr>
            <w:tcW w:w="5545" w:type="dxa"/>
            <w:tcBorders>
              <w:top w:val="single" w:sz="8" w:space="0" w:color="000000"/>
              <w:left w:val="single" w:sz="8" w:space="0" w:color="000000"/>
              <w:bottom w:val="single" w:sz="8" w:space="0" w:color="000000"/>
              <w:right w:val="single" w:sz="8" w:space="0" w:color="000000"/>
            </w:tcBorders>
          </w:tcPr>
          <w:p w14:paraId="356F7400" w14:textId="77777777" w:rsidR="00537112" w:rsidRPr="00537112" w:rsidRDefault="00537112" w:rsidP="00537112">
            <w:pPr>
              <w:autoSpaceDE w:val="0"/>
              <w:autoSpaceDN w:val="0"/>
              <w:spacing w:line="214" w:lineRule="exact"/>
              <w:ind w:right="-20"/>
              <w:jc w:val="left"/>
              <w:textAlignment w:val="auto"/>
              <w:rPr>
                <w:rFonts w:cs="Verdana"/>
                <w:sz w:val="20"/>
                <w:szCs w:val="20"/>
              </w:rPr>
            </w:pPr>
            <w:r w:rsidRPr="00537112">
              <w:rPr>
                <w:rFonts w:cs="Verdana"/>
                <w:spacing w:val="-1"/>
                <w:sz w:val="20"/>
                <w:szCs w:val="20"/>
              </w:rPr>
              <w:t>L</w:t>
            </w:r>
            <w:r w:rsidRPr="00537112">
              <w:rPr>
                <w:rFonts w:cs="Verdana"/>
                <w:spacing w:val="1"/>
                <w:sz w:val="20"/>
                <w:szCs w:val="20"/>
              </w:rPr>
              <w:t>u</w:t>
            </w:r>
            <w:r w:rsidRPr="00537112">
              <w:rPr>
                <w:rFonts w:cs="Verdana"/>
                <w:spacing w:val="3"/>
                <w:sz w:val="20"/>
                <w:szCs w:val="20"/>
              </w:rPr>
              <w:t>i</w:t>
            </w:r>
            <w:r w:rsidRPr="00537112">
              <w:rPr>
                <w:rFonts w:cs="Verdana"/>
                <w:sz w:val="20"/>
                <w:szCs w:val="20"/>
              </w:rPr>
              <w:t>s</w:t>
            </w:r>
            <w:r w:rsidRPr="00537112">
              <w:rPr>
                <w:rFonts w:cs="Verdana"/>
                <w:spacing w:val="-5"/>
                <w:sz w:val="20"/>
                <w:szCs w:val="20"/>
              </w:rPr>
              <w:t xml:space="preserve"> </w:t>
            </w:r>
            <w:r w:rsidRPr="00537112">
              <w:rPr>
                <w:rFonts w:cs="Verdana"/>
                <w:sz w:val="20"/>
                <w:szCs w:val="20"/>
              </w:rPr>
              <w:t>D</w:t>
            </w:r>
            <w:r w:rsidRPr="00537112">
              <w:rPr>
                <w:rFonts w:cs="Verdana"/>
                <w:spacing w:val="-1"/>
                <w:sz w:val="20"/>
                <w:szCs w:val="20"/>
              </w:rPr>
              <w:t>e</w:t>
            </w:r>
            <w:r w:rsidRPr="00537112">
              <w:rPr>
                <w:rFonts w:cs="Verdana"/>
                <w:spacing w:val="1"/>
                <w:sz w:val="20"/>
                <w:szCs w:val="20"/>
              </w:rPr>
              <w:t>p</w:t>
            </w:r>
            <w:r w:rsidRPr="00537112">
              <w:rPr>
                <w:rFonts w:cs="Verdana"/>
                <w:sz w:val="20"/>
                <w:szCs w:val="20"/>
              </w:rPr>
              <w:t>az</w:t>
            </w:r>
            <w:r w:rsidRPr="00537112">
              <w:rPr>
                <w:rFonts w:cs="Verdana"/>
                <w:spacing w:val="-6"/>
                <w:sz w:val="20"/>
                <w:szCs w:val="20"/>
              </w:rPr>
              <w:t xml:space="preserve"> </w:t>
            </w:r>
            <w:r w:rsidRPr="00537112">
              <w:rPr>
                <w:rFonts w:cs="Verdana"/>
                <w:sz w:val="20"/>
                <w:szCs w:val="20"/>
              </w:rPr>
              <w:t>C</w:t>
            </w:r>
            <w:r w:rsidRPr="00537112">
              <w:rPr>
                <w:rFonts w:cs="Verdana"/>
                <w:spacing w:val="3"/>
                <w:sz w:val="20"/>
                <w:szCs w:val="20"/>
              </w:rPr>
              <w:t>i</w:t>
            </w:r>
            <w:r w:rsidRPr="00537112">
              <w:rPr>
                <w:rFonts w:cs="Verdana"/>
                <w:spacing w:val="1"/>
                <w:sz w:val="20"/>
                <w:szCs w:val="20"/>
              </w:rPr>
              <w:t>p</w:t>
            </w:r>
            <w:r w:rsidRPr="00537112">
              <w:rPr>
                <w:rFonts w:cs="Verdana"/>
                <w:spacing w:val="-1"/>
                <w:sz w:val="20"/>
                <w:szCs w:val="20"/>
              </w:rPr>
              <w:t>r</w:t>
            </w:r>
            <w:r w:rsidRPr="00537112">
              <w:rPr>
                <w:rFonts w:cs="Verdana"/>
                <w:spacing w:val="3"/>
                <w:sz w:val="20"/>
                <w:szCs w:val="20"/>
              </w:rPr>
              <w:t>i</w:t>
            </w:r>
            <w:r w:rsidRPr="00537112">
              <w:rPr>
                <w:rFonts w:cs="Verdana"/>
                <w:sz w:val="20"/>
                <w:szCs w:val="20"/>
              </w:rPr>
              <w:t>a</w:t>
            </w:r>
            <w:r w:rsidRPr="00537112">
              <w:rPr>
                <w:rFonts w:cs="Verdana"/>
                <w:spacing w:val="1"/>
                <w:sz w:val="20"/>
                <w:szCs w:val="20"/>
              </w:rPr>
              <w:t>n</w:t>
            </w:r>
            <w:r w:rsidRPr="00537112">
              <w:rPr>
                <w:rFonts w:cs="Verdana"/>
                <w:sz w:val="20"/>
                <w:szCs w:val="20"/>
              </w:rPr>
              <w:t>o</w:t>
            </w:r>
          </w:p>
        </w:tc>
      </w:tr>
      <w:tr w:rsidR="00537112" w:rsidRPr="00537112" w14:paraId="2A87741A" w14:textId="77777777" w:rsidTr="00630EEC">
        <w:trPr>
          <w:trHeight w:hRule="exact" w:val="436"/>
        </w:trPr>
        <w:tc>
          <w:tcPr>
            <w:tcW w:w="1019" w:type="dxa"/>
            <w:tcBorders>
              <w:top w:val="single" w:sz="8" w:space="0" w:color="000000"/>
              <w:left w:val="single" w:sz="8" w:space="0" w:color="000000"/>
              <w:bottom w:val="single" w:sz="8" w:space="0" w:color="000000"/>
              <w:right w:val="single" w:sz="8" w:space="0" w:color="000000"/>
            </w:tcBorders>
            <w:shd w:val="clear" w:color="auto" w:fill="C0C0C0"/>
          </w:tcPr>
          <w:p w14:paraId="1E2BAA30" w14:textId="77777777" w:rsidR="00537112" w:rsidRPr="00537112" w:rsidRDefault="00537112" w:rsidP="00537112">
            <w:pPr>
              <w:autoSpaceDE w:val="0"/>
              <w:autoSpaceDN w:val="0"/>
              <w:spacing w:line="221" w:lineRule="exact"/>
              <w:ind w:right="-20"/>
              <w:jc w:val="left"/>
              <w:textAlignment w:val="auto"/>
              <w:rPr>
                <w:rFonts w:cs="Verdana"/>
                <w:b/>
                <w:bCs/>
                <w:sz w:val="20"/>
                <w:szCs w:val="20"/>
              </w:rPr>
            </w:pPr>
            <w:r w:rsidRPr="00537112">
              <w:rPr>
                <w:rFonts w:cs="Verdana"/>
                <w:b/>
                <w:bCs/>
                <w:sz w:val="20"/>
                <w:szCs w:val="20"/>
              </w:rPr>
              <w:t>161</w:t>
            </w:r>
          </w:p>
        </w:tc>
        <w:tc>
          <w:tcPr>
            <w:tcW w:w="5545" w:type="dxa"/>
            <w:tcBorders>
              <w:top w:val="single" w:sz="8" w:space="0" w:color="000000"/>
              <w:left w:val="single" w:sz="8" w:space="0" w:color="000000"/>
              <w:bottom w:val="single" w:sz="8" w:space="0" w:color="000000"/>
              <w:right w:val="single" w:sz="8" w:space="0" w:color="000000"/>
            </w:tcBorders>
          </w:tcPr>
          <w:p w14:paraId="0C2CB77A" w14:textId="77777777" w:rsidR="00537112" w:rsidRPr="00537112" w:rsidRDefault="00537112" w:rsidP="00537112">
            <w:pPr>
              <w:autoSpaceDE w:val="0"/>
              <w:autoSpaceDN w:val="0"/>
              <w:spacing w:line="214" w:lineRule="exact"/>
              <w:ind w:right="-20"/>
              <w:jc w:val="left"/>
              <w:textAlignment w:val="auto"/>
              <w:rPr>
                <w:rFonts w:cs="Verdana"/>
                <w:spacing w:val="-1"/>
                <w:sz w:val="20"/>
                <w:szCs w:val="20"/>
              </w:rPr>
            </w:pPr>
            <w:r w:rsidRPr="00537112">
              <w:rPr>
                <w:rFonts w:cs="Verdana"/>
                <w:spacing w:val="1"/>
                <w:position w:val="-1"/>
                <w:sz w:val="20"/>
                <w:szCs w:val="20"/>
              </w:rPr>
              <w:t>F</w:t>
            </w:r>
            <w:r w:rsidRPr="00537112">
              <w:rPr>
                <w:rFonts w:cs="Verdana"/>
                <w:spacing w:val="-1"/>
                <w:position w:val="-1"/>
                <w:sz w:val="20"/>
                <w:szCs w:val="20"/>
              </w:rPr>
              <w:t>r</w:t>
            </w:r>
            <w:r w:rsidRPr="00537112">
              <w:rPr>
                <w:rFonts w:cs="Verdana"/>
                <w:position w:val="-1"/>
                <w:sz w:val="20"/>
                <w:szCs w:val="20"/>
              </w:rPr>
              <w:t>a</w:t>
            </w:r>
            <w:r w:rsidRPr="00537112">
              <w:rPr>
                <w:rFonts w:cs="Verdana"/>
                <w:spacing w:val="1"/>
                <w:position w:val="-1"/>
                <w:sz w:val="20"/>
                <w:szCs w:val="20"/>
              </w:rPr>
              <w:t>n</w:t>
            </w:r>
            <w:r w:rsidRPr="00537112">
              <w:rPr>
                <w:rFonts w:cs="Verdana"/>
                <w:spacing w:val="-1"/>
                <w:position w:val="-1"/>
                <w:sz w:val="20"/>
                <w:szCs w:val="20"/>
              </w:rPr>
              <w:t>c</w:t>
            </w:r>
            <w:r w:rsidRPr="00537112">
              <w:rPr>
                <w:rFonts w:cs="Verdana"/>
                <w:spacing w:val="3"/>
                <w:position w:val="-1"/>
                <w:sz w:val="20"/>
                <w:szCs w:val="20"/>
              </w:rPr>
              <w:t>i</w:t>
            </w:r>
            <w:r w:rsidRPr="00537112">
              <w:rPr>
                <w:rFonts w:cs="Verdana"/>
                <w:spacing w:val="-1"/>
                <w:position w:val="-1"/>
                <w:sz w:val="20"/>
                <w:szCs w:val="20"/>
              </w:rPr>
              <w:t>sc</w:t>
            </w:r>
            <w:r w:rsidRPr="00537112">
              <w:rPr>
                <w:rFonts w:cs="Verdana"/>
                <w:position w:val="-1"/>
                <w:sz w:val="20"/>
                <w:szCs w:val="20"/>
              </w:rPr>
              <w:t>o</w:t>
            </w:r>
            <w:r w:rsidRPr="00537112">
              <w:rPr>
                <w:rFonts w:cs="Verdana"/>
                <w:spacing w:val="-11"/>
                <w:position w:val="-1"/>
                <w:sz w:val="20"/>
                <w:szCs w:val="20"/>
              </w:rPr>
              <w:t xml:space="preserve"> </w:t>
            </w:r>
            <w:r w:rsidRPr="00537112">
              <w:rPr>
                <w:rFonts w:cs="Verdana"/>
                <w:position w:val="-1"/>
                <w:sz w:val="20"/>
                <w:szCs w:val="20"/>
              </w:rPr>
              <w:t>B</w:t>
            </w:r>
            <w:r w:rsidRPr="00537112">
              <w:rPr>
                <w:rFonts w:cs="Verdana"/>
                <w:spacing w:val="-1"/>
                <w:position w:val="-1"/>
                <w:sz w:val="20"/>
                <w:szCs w:val="20"/>
              </w:rPr>
              <w:t>o</w:t>
            </w:r>
            <w:r w:rsidRPr="00537112">
              <w:rPr>
                <w:rFonts w:cs="Verdana"/>
                <w:spacing w:val="3"/>
                <w:position w:val="-1"/>
                <w:sz w:val="20"/>
                <w:szCs w:val="20"/>
              </w:rPr>
              <w:t>l</w:t>
            </w:r>
            <w:r w:rsidRPr="00537112">
              <w:rPr>
                <w:rFonts w:cs="Verdana"/>
                <w:position w:val="-1"/>
                <w:sz w:val="20"/>
                <w:szCs w:val="20"/>
              </w:rPr>
              <w:t>aj López</w:t>
            </w:r>
          </w:p>
        </w:tc>
      </w:tr>
    </w:tbl>
    <w:p w14:paraId="297DC670" w14:textId="77777777" w:rsidR="00537112" w:rsidRPr="00537112" w:rsidRDefault="00537112" w:rsidP="00537112">
      <w:pPr>
        <w:autoSpaceDE w:val="0"/>
        <w:autoSpaceDN w:val="0"/>
        <w:spacing w:line="200" w:lineRule="exact"/>
        <w:jc w:val="left"/>
        <w:textAlignment w:val="auto"/>
        <w:rPr>
          <w:rFonts w:ascii="Times New Roman" w:hAnsi="Times New Roman"/>
          <w:sz w:val="20"/>
          <w:szCs w:val="20"/>
        </w:rPr>
      </w:pPr>
    </w:p>
    <w:p w14:paraId="59328AFB" w14:textId="77777777" w:rsidR="00537112" w:rsidRPr="00537112" w:rsidRDefault="00537112" w:rsidP="00537112">
      <w:pPr>
        <w:widowControl/>
        <w:tabs>
          <w:tab w:val="left" w:pos="2630"/>
        </w:tabs>
        <w:adjustRightInd/>
        <w:spacing w:after="200" w:line="276" w:lineRule="auto"/>
        <w:jc w:val="center"/>
        <w:textAlignment w:val="auto"/>
        <w:rPr>
          <w:rFonts w:ascii="Arial" w:hAnsi="Arial" w:cs="Arial"/>
          <w:b/>
          <w:sz w:val="20"/>
          <w:szCs w:val="20"/>
        </w:rPr>
      </w:pPr>
    </w:p>
    <w:p w14:paraId="030AA64A" w14:textId="77777777" w:rsidR="00D057A2" w:rsidRPr="00D13792" w:rsidRDefault="00D057A2" w:rsidP="00AD1689">
      <w:pPr>
        <w:tabs>
          <w:tab w:val="left" w:pos="567"/>
        </w:tabs>
        <w:spacing w:line="240" w:lineRule="auto"/>
        <w:ind w:right="4"/>
        <w:rPr>
          <w:sz w:val="16"/>
        </w:rPr>
      </w:pPr>
    </w:p>
    <w:sectPr w:rsidR="00D057A2" w:rsidRPr="00D13792">
      <w:headerReference w:type="default" r:id="rId24"/>
      <w:pgSz w:w="12260" w:h="15840"/>
      <w:pgMar w:top="0" w:right="0" w:bottom="0" w:left="0" w:header="0" w:footer="0" w:gutter="0"/>
      <w:cols w:space="720" w:equalWidth="0">
        <w:col w:w="12260"/>
      </w:cols>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C52FB0" w14:textId="77777777" w:rsidR="002558EC" w:rsidRDefault="002558EC" w:rsidP="0098153C">
      <w:pPr>
        <w:spacing w:line="240" w:lineRule="auto"/>
      </w:pPr>
      <w:r>
        <w:separator/>
      </w:r>
    </w:p>
  </w:endnote>
  <w:endnote w:type="continuationSeparator" w:id="0">
    <w:p w14:paraId="6F19A9C6" w14:textId="77777777" w:rsidR="002558EC" w:rsidRDefault="002558EC" w:rsidP="0098153C">
      <w:pPr>
        <w:spacing w:line="240" w:lineRule="auto"/>
      </w:pPr>
      <w:r>
        <w:continuationSeparator/>
      </w:r>
    </w:p>
  </w:endnote>
  <w:endnote w:type="continuationNotice" w:id="1">
    <w:p w14:paraId="12E57873" w14:textId="77777777" w:rsidR="002558EC" w:rsidRDefault="002558EC">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
    <w:panose1 w:val="00000000000000000000"/>
    <w:charset w:val="80"/>
    <w:family w:val="auto"/>
    <w:notTrueType/>
    <w:pitch w:val="variable"/>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Helvetica">
    <w:panose1 w:val="020B0504020202020204"/>
    <w:charset w:val="00"/>
    <w:family w:val="swiss"/>
    <w:notTrueType/>
    <w:pitch w:val="variable"/>
    <w:sig w:usb0="00000003" w:usb1="00000000" w:usb2="00000000" w:usb3="00000000" w:csb0="00000001" w:csb1="00000000"/>
  </w:font>
  <w:font w:name="ヒラギノ角ゴ Pro W3">
    <w:charset w:val="80"/>
    <w:family w:val="auto"/>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Palatino-Italic">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BookAntiqua">
    <w:panose1 w:val="00000000000000000000"/>
    <w:charset w:val="00"/>
    <w:family w:val="roman"/>
    <w:notTrueType/>
    <w:pitch w:val="default"/>
    <w:sig w:usb0="00000003" w:usb1="00000000" w:usb2="00000000" w:usb3="00000000" w:csb0="00000001" w:csb1="00000000"/>
  </w:font>
  <w:font w:name="TimesNRMT-Italic">
    <w:panose1 w:val="00000000000000000000"/>
    <w:charset w:val="00"/>
    <w:family w:val="roman"/>
    <w:notTrueType/>
    <w:pitch w:val="default"/>
    <w:sig w:usb0="00000003" w:usb1="00000000" w:usb2="00000000" w:usb3="00000000" w:csb0="00000001" w:csb1="00000000"/>
  </w:font>
  <w:font w:name="TimesNRMT">
    <w:panose1 w:val="00000000000000000000"/>
    <w:charset w:val="00"/>
    <w:family w:val="roman"/>
    <w:notTrueType/>
    <w:pitch w:val="default"/>
    <w:sig w:usb0="00000003" w:usb1="00000000" w:usb2="00000000" w:usb3="00000000" w:csb0="00000001" w:csb1="00000000"/>
  </w:font>
  <w:font w:name="Microsoft Sans Serif">
    <w:panose1 w:val="020B0604020202020204"/>
    <w:charset w:val="00"/>
    <w:family w:val="swiss"/>
    <w:pitch w:val="variable"/>
    <w:sig w:usb0="E1002AFF" w:usb1="C0000002" w:usb2="00000008" w:usb3="00000000" w:csb0="000101FF" w:csb1="00000000"/>
  </w:font>
  <w:font w:name="TimesNewRomanPSMT">
    <w:panose1 w:val="00000000000000000000"/>
    <w:charset w:val="00"/>
    <w:family w:val="auto"/>
    <w:notTrueType/>
    <w:pitch w:val="default"/>
    <w:sig w:usb0="00000003" w:usb1="00000000" w:usb2="00000000" w:usb3="00000000" w:csb0="00000001" w:csb1="00000000"/>
  </w:font>
  <w:font w:name="Times-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10022FF" w:usb1="C000E47F" w:usb2="00000029" w:usb3="00000000" w:csb0="000001DF" w:csb1="00000000"/>
  </w:font>
  <w:font w:name="HiddenHorzOCR">
    <w:altName w:val="MS Mincho"/>
    <w:panose1 w:val="00000000000000000000"/>
    <w:charset w:val="80"/>
    <w:family w:val="auto"/>
    <w:notTrueType/>
    <w:pitch w:val="default"/>
    <w:sig w:usb0="00000000" w:usb1="08070000" w:usb2="00000010" w:usb3="00000000" w:csb0="00020000" w:csb1="00000000"/>
  </w:font>
  <w:font w:name="Calibri,Bold">
    <w:panose1 w:val="00000000000000000000"/>
    <w:charset w:val="00"/>
    <w:family w:val="swiss"/>
    <w:notTrueType/>
    <w:pitch w:val="default"/>
    <w:sig w:usb0="00000003" w:usb1="00000000" w:usb2="00000000" w:usb3="00000000" w:csb0="00000001" w:csb1="00000000"/>
  </w:font>
  <w:font w:name="TimesNewRoman">
    <w:altName w:val="Times New Roman"/>
    <w:panose1 w:val="00000000000000000000"/>
    <w:charset w:val="4D"/>
    <w:family w:val="roman"/>
    <w:notTrueType/>
    <w:pitch w:val="default"/>
    <w:sig w:usb0="03000003" w:usb1="00000000" w:usb2="00000000" w:usb3="00000000" w:csb0="00000001" w:csb1="00000000"/>
  </w:font>
  <w:font w:name="TimesNewRoman,Bold">
    <w:panose1 w:val="00000000000000000000"/>
    <w:charset w:val="00"/>
    <w:family w:val="roman"/>
    <w:notTrueType/>
    <w:pitch w:val="default"/>
    <w:sig w:usb0="00000003" w:usb1="00000000" w:usb2="00000000" w:usb3="00000000" w:csb0="00000001"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E112DE" w14:textId="77777777" w:rsidR="00630EEC" w:rsidRDefault="00630EEC" w:rsidP="00C55C17">
    <w:pPr>
      <w:pStyle w:val="Footer"/>
      <w:framePr w:wrap="around" w:vAnchor="text" w:hAnchor="margin" w:xAlign="center" w:y="1"/>
      <w:rPr>
        <w:rStyle w:val="PageNumber"/>
        <w:sz w:val="24"/>
        <w:szCs w:val="24"/>
      </w:rPr>
    </w:pPr>
    <w:r>
      <w:rPr>
        <w:rStyle w:val="PageNumber"/>
      </w:rPr>
      <w:fldChar w:fldCharType="begin"/>
    </w:r>
    <w:r>
      <w:rPr>
        <w:rStyle w:val="PageNumber"/>
      </w:rPr>
      <w:instrText xml:space="preserve">PAGE  </w:instrText>
    </w:r>
    <w:r>
      <w:rPr>
        <w:rStyle w:val="PageNumber"/>
      </w:rPr>
      <w:fldChar w:fldCharType="end"/>
    </w:r>
  </w:p>
  <w:p w14:paraId="4F9DA50A" w14:textId="77777777" w:rsidR="00630EEC" w:rsidRDefault="00630EEC" w:rsidP="00C55C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9E190D" w14:textId="77777777" w:rsidR="00630EEC" w:rsidRPr="005C3E76" w:rsidRDefault="00630EEC" w:rsidP="00C55C17">
    <w:pPr>
      <w:pStyle w:val="Footer"/>
      <w:ind w:right="360"/>
      <w:jc w:val="center"/>
    </w:pPr>
  </w:p>
  <w:p w14:paraId="3333C4CA" w14:textId="77777777" w:rsidR="00630EEC" w:rsidRPr="005C3E76" w:rsidRDefault="00630E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49573D" w14:textId="77777777" w:rsidR="002558EC" w:rsidRDefault="002558EC" w:rsidP="0098153C">
      <w:pPr>
        <w:spacing w:line="240" w:lineRule="auto"/>
      </w:pPr>
      <w:r>
        <w:separator/>
      </w:r>
    </w:p>
  </w:footnote>
  <w:footnote w:type="continuationSeparator" w:id="0">
    <w:p w14:paraId="2BF40735" w14:textId="77777777" w:rsidR="002558EC" w:rsidRDefault="002558EC" w:rsidP="0098153C">
      <w:pPr>
        <w:spacing w:line="240" w:lineRule="auto"/>
      </w:pPr>
      <w:r>
        <w:continuationSeparator/>
      </w:r>
    </w:p>
  </w:footnote>
  <w:footnote w:type="continuationNotice" w:id="1">
    <w:p w14:paraId="6A2BE36B" w14:textId="77777777" w:rsidR="002558EC" w:rsidRDefault="002558EC">
      <w:pPr>
        <w:spacing w:line="240" w:lineRule="auto"/>
      </w:pPr>
    </w:p>
  </w:footnote>
  <w:footnote w:id="2">
    <w:p w14:paraId="4E046514"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pacing w:val="-4"/>
          <w:sz w:val="16"/>
          <w:szCs w:val="16"/>
        </w:rPr>
        <w:tab/>
      </w:r>
      <w:r w:rsidRPr="00EF190F">
        <w:rPr>
          <w:i/>
          <w:spacing w:val="-4"/>
          <w:sz w:val="16"/>
          <w:szCs w:val="16"/>
        </w:rPr>
        <w:t>Cfr.</w:t>
      </w:r>
      <w:r w:rsidRPr="00EF190F">
        <w:rPr>
          <w:spacing w:val="-4"/>
          <w:sz w:val="16"/>
          <w:szCs w:val="16"/>
        </w:rPr>
        <w:t xml:space="preserve"> Informe de Admisibilidad No. 144/10, Caso Vecinos de la Aldea de Chichupac y Caserío Xeabaj del Municipio de Rabinal Vs. Guatemala, de 1 de noviembre de 2010 (expediente de prueba, folios 3087 a 3105).</w:t>
      </w:r>
    </w:p>
  </w:footnote>
  <w:footnote w:id="3">
    <w:p w14:paraId="19A6980B"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i/>
          <w:sz w:val="16"/>
          <w:szCs w:val="16"/>
        </w:rPr>
        <w:tab/>
        <w:t xml:space="preserve">Cfr. </w:t>
      </w:r>
      <w:r w:rsidRPr="00EF190F">
        <w:rPr>
          <w:sz w:val="16"/>
          <w:szCs w:val="16"/>
        </w:rPr>
        <w:t>Informe de Fondo No. 6/14, Caso Miembros de la Aldea de Chichupac y Comunidades Vecinas del Municipio de Rabinal Vs. Guatemala, de 2 de abril de 2014 (expediente de fondo, folios 6 a 88).</w:t>
      </w:r>
    </w:p>
  </w:footnote>
  <w:footnote w:id="4">
    <w:p w14:paraId="2723A76D"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Paulo Abrão es el actual Secretario Ejecutivo de la Comisión Interamericana de Derechos Humanos (CIDH), cargo que asumió el 16 de agosto de 2016. </w:t>
      </w:r>
    </w:p>
  </w:footnote>
  <w:footnote w:id="5">
    <w:p w14:paraId="1DDADABD" w14:textId="77777777" w:rsidR="006A0E1C" w:rsidRPr="00EF190F" w:rsidRDefault="006A0E1C" w:rsidP="006A0E1C">
      <w:pPr>
        <w:pStyle w:val="FootnoteText"/>
        <w:tabs>
          <w:tab w:val="left" w:pos="360"/>
        </w:tabs>
        <w:contextualSpacing/>
        <w:rPr>
          <w:sz w:val="16"/>
          <w:szCs w:val="16"/>
          <w:lang w:val="es-CO"/>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pacing w:val="-4"/>
          <w:sz w:val="16"/>
          <w:szCs w:val="16"/>
        </w:rPr>
        <w:t>La Asociación Bufete Jurídico Popular representó a las presuntas víctimas durante el trámite de este caso ante la Corte, inicialmente a través de su entonces representante legal Conrado Aj Piox y la abogada María Dolores Itzep Manuel. Mediante escrito de 20 de abril de 2016, la Asociación informó que el señor Aj Piox ya no ejercía el cargo de representante legal, y que este fue asumido por la señora Paulina Ixpatá Alvarado de Osorio.</w:t>
      </w:r>
    </w:p>
  </w:footnote>
  <w:footnote w:id="6">
    <w:p w14:paraId="70064BD7" w14:textId="77777777" w:rsidR="006A0E1C" w:rsidRPr="00EF190F" w:rsidRDefault="006A0E1C" w:rsidP="006A0E1C">
      <w:pPr>
        <w:tabs>
          <w:tab w:val="left" w:pos="360"/>
        </w:tabs>
        <w:spacing w:line="240" w:lineRule="auto"/>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Disponible en: http://www.corteidh.or.cr/docs/asuntos/chichupac_28_03_16.pdf.</w:t>
      </w:r>
    </w:p>
  </w:footnote>
  <w:footnote w:id="7">
    <w:p w14:paraId="3C986660"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A esta audiencia comparecieron: por parte de la Comisión Interamericana de Derechos Humanos, el señor Enrique Gil Botero, Comisionado, y la señora y señores Silvia Serrano Guzmán, Erick Acuña Pereda y Jorge Meza Flores, abogados de la Secretaría Ejecutiva de la Comisión; por los representantes de las presuntas víctimas, las señoras y señores María Dolores Itzep Manuel, abogada, Carlos Enrique De Paz Alvarado, Abelina Osorio Sis, abogada, y Paulina Ixpatá Alvarado de Osorio, Presidenta de la Junta Directiva y Representante Legal de la Asociación Bufete Jurídico Popular; y en representación del Estado de Guatemala, el señor Víctor Hugo Godoy, Presidente de la Comisión Presidencial Coordinadora de la Política del Ejecutivo en materia de Derechos Humanos (COPREDEH).</w:t>
      </w:r>
    </w:p>
  </w:footnote>
  <w:footnote w:id="8">
    <w:p w14:paraId="3D9C40AD" w14:textId="77777777" w:rsidR="006A0E1C" w:rsidRPr="00EF190F" w:rsidRDefault="006A0E1C" w:rsidP="006A0E1C">
      <w:pPr>
        <w:widowControl/>
        <w:tabs>
          <w:tab w:val="left" w:pos="360"/>
        </w:tabs>
        <w:adjustRightInd/>
        <w:spacing w:line="240" w:lineRule="auto"/>
        <w:ind w:right="18"/>
        <w:textAlignment w:val="auto"/>
        <w:rPr>
          <w:sz w:val="16"/>
          <w:szCs w:val="16"/>
          <w:lang w:val="es-ES_tradnl" w:eastAsia="en-US"/>
        </w:rPr>
      </w:pPr>
      <w:r w:rsidRPr="00EF190F">
        <w:rPr>
          <w:rStyle w:val="FootnoteReference"/>
          <w:sz w:val="16"/>
          <w:szCs w:val="16"/>
        </w:rPr>
        <w:footnoteRef/>
      </w:r>
      <w:r w:rsidRPr="00EF190F">
        <w:rPr>
          <w:sz w:val="16"/>
          <w:szCs w:val="16"/>
        </w:rPr>
        <w:t xml:space="preserve"> </w:t>
      </w:r>
      <w:r w:rsidRPr="00EF190F">
        <w:rPr>
          <w:sz w:val="16"/>
          <w:szCs w:val="16"/>
        </w:rPr>
        <w:tab/>
        <w:t>E</w:t>
      </w:r>
      <w:r w:rsidRPr="00EF190F">
        <w:rPr>
          <w:sz w:val="16"/>
          <w:szCs w:val="16"/>
          <w:lang w:val="es-ES_tradnl"/>
        </w:rPr>
        <w:t>l 9 de marzo de 1987 el Estado presentó ante la Secretaría General de la Organización de Estados Americanos (OEA) el Acuerdo Gubernativo No. 123-87 de 20 de febrero de 1987, por el cual reconoció la competencia de la Corte con la siguiente limitante: “</w:t>
      </w:r>
      <w:r w:rsidRPr="00EF190F">
        <w:rPr>
          <w:sz w:val="16"/>
          <w:szCs w:val="16"/>
          <w:lang w:val="es-ES_tradnl" w:eastAsia="en-US"/>
        </w:rPr>
        <w:t xml:space="preserve">(Artículo 2) La aceptación de la competencia de la Corte Interamericana de Derechos Humanos se hace por plazo indefinido, con carácter general, bajo condiciones de reciprocidad y con la reserva de que los casos en que se reconoce la competencia son exclusivamente los acaecidos con posterioridad a la fecha en que esta declaración sea presentada al Secretario General de la [OEA]”. </w:t>
      </w:r>
      <w:r w:rsidRPr="00EF190F">
        <w:rPr>
          <w:spacing w:val="-4"/>
          <w:sz w:val="16"/>
          <w:szCs w:val="16"/>
        </w:rPr>
        <w:t xml:space="preserve">Convención Americana sobre Derechos Humanos (Declaraciones, Reservas, Denuncias y Retiros). Disponible en: http://www.oas.org/dil/esp/tratados_B-32_Convencion_Americana_sobre_Derechos_Humanos.htm. </w:t>
      </w:r>
      <w:r w:rsidRPr="00EF190F">
        <w:rPr>
          <w:sz w:val="16"/>
          <w:szCs w:val="16"/>
          <w:lang w:val="es-ES_tradnl" w:eastAsia="en-US"/>
        </w:rPr>
        <w:t xml:space="preserve">Este punto será analizado </w:t>
      </w:r>
      <w:r w:rsidRPr="00EF190F">
        <w:rPr>
          <w:i/>
          <w:sz w:val="16"/>
          <w:szCs w:val="16"/>
          <w:lang w:val="es-ES_tradnl" w:eastAsia="en-US"/>
        </w:rPr>
        <w:t xml:space="preserve">infra, </w:t>
      </w:r>
      <w:r w:rsidRPr="00EF190F">
        <w:rPr>
          <w:sz w:val="16"/>
          <w:szCs w:val="16"/>
          <w:lang w:val="es-ES_tradnl" w:eastAsia="en-US"/>
        </w:rPr>
        <w:t xml:space="preserve">en el Capítulo IV sobre las Excepciones Preliminares. </w:t>
      </w:r>
    </w:p>
  </w:footnote>
  <w:footnote w:id="9">
    <w:p w14:paraId="2E69F17C" w14:textId="77777777" w:rsidR="006A0E1C" w:rsidRPr="00EF190F" w:rsidRDefault="006A0E1C" w:rsidP="006A0E1C">
      <w:pPr>
        <w:spacing w:line="240" w:lineRule="auto"/>
        <w:contextualSpacing/>
        <w:rPr>
          <w:sz w:val="16"/>
          <w:szCs w:val="16"/>
          <w:lang w:val="es-ES"/>
        </w:rPr>
      </w:pPr>
      <w:r w:rsidRPr="00EF190F">
        <w:rPr>
          <w:rStyle w:val="FootnoteReference"/>
          <w:sz w:val="16"/>
          <w:szCs w:val="16"/>
        </w:rPr>
        <w:footnoteRef/>
      </w:r>
      <w:r w:rsidRPr="00EF190F">
        <w:rPr>
          <w:sz w:val="16"/>
          <w:szCs w:val="16"/>
        </w:rPr>
        <w:t xml:space="preserve"> </w:t>
      </w:r>
      <w:r w:rsidRPr="00EF190F">
        <w:rPr>
          <w:sz w:val="16"/>
          <w:szCs w:val="16"/>
          <w:lang w:val="es-PR"/>
        </w:rPr>
        <w:tab/>
      </w:r>
      <w:r w:rsidRPr="00EF190F">
        <w:rPr>
          <w:rFonts w:cs="Verdana"/>
          <w:sz w:val="16"/>
          <w:szCs w:val="16"/>
        </w:rPr>
        <w:t>Aun cuando el Estado está obligado a respetar y garantizar los derechos protegidos en la Convención Americana desde la fecha en que la ratificó, la competencia de la Corte para declarar una violación a sus normas se rige por el referido reconocimiento por parte del Estado.</w:t>
      </w:r>
    </w:p>
  </w:footnote>
  <w:footnote w:id="10">
    <w:p w14:paraId="3161E436"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Caso Blake Vs. Guatemala. Excepciones Preliminares. </w:t>
      </w:r>
      <w:r w:rsidRPr="00EF190F">
        <w:rPr>
          <w:sz w:val="16"/>
          <w:szCs w:val="16"/>
          <w:lang w:val="es-PR"/>
        </w:rPr>
        <w:t>Sentencia de 22 de julio de 1996. Serie C No. 27, párrs. 39 y 40, y</w:t>
      </w:r>
      <w:r w:rsidRPr="00EF190F">
        <w:rPr>
          <w:i/>
          <w:sz w:val="16"/>
          <w:szCs w:val="16"/>
          <w:lang w:val="es-PR"/>
        </w:rPr>
        <w:t xml:space="preserve"> </w:t>
      </w:r>
      <w:r w:rsidRPr="00EF190F">
        <w:rPr>
          <w:i/>
          <w:sz w:val="16"/>
          <w:szCs w:val="16"/>
        </w:rPr>
        <w:t xml:space="preserve">Caso Argüelles y otros Vs. Argentina. Excepciones Preliminares, Fondo, Reparaciones y Costas. </w:t>
      </w:r>
      <w:r w:rsidRPr="00EF190F">
        <w:rPr>
          <w:sz w:val="16"/>
          <w:szCs w:val="16"/>
        </w:rPr>
        <w:t>Sentencia de 20 de noviembre de 2014. Serie C No. 288, párr. 25.</w:t>
      </w:r>
    </w:p>
  </w:footnote>
  <w:footnote w:id="11">
    <w:p w14:paraId="137CAE02" w14:textId="77777777" w:rsidR="006A0E1C" w:rsidRPr="00EF190F" w:rsidRDefault="006A0E1C" w:rsidP="006A0E1C">
      <w:pPr>
        <w:pStyle w:val="FootnoteText"/>
        <w:contextualSpacing/>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lang w:val="es-PR"/>
        </w:rPr>
        <w:tab/>
      </w:r>
      <w:r w:rsidRPr="00EF190F">
        <w:rPr>
          <w:sz w:val="16"/>
          <w:szCs w:val="16"/>
        </w:rPr>
        <w:t>Escritos presentados el 11 de diciembre y 17 de julio de 2013 (expediente de prueba, folios 3368 y 3454).</w:t>
      </w:r>
    </w:p>
  </w:footnote>
  <w:footnote w:id="12">
    <w:p w14:paraId="312C33A8" w14:textId="77777777" w:rsidR="006A0E1C" w:rsidRPr="00EF190F" w:rsidRDefault="006A0E1C" w:rsidP="006A0E1C">
      <w:pPr>
        <w:pStyle w:val="FootnoteText"/>
        <w:rPr>
          <w:sz w:val="16"/>
          <w:szCs w:val="16"/>
          <w:lang w:val="en-US"/>
        </w:rPr>
      </w:pPr>
      <w:r w:rsidRPr="00EF190F">
        <w:rPr>
          <w:rStyle w:val="FootnoteReference"/>
          <w:sz w:val="16"/>
          <w:szCs w:val="16"/>
        </w:rPr>
        <w:footnoteRef/>
      </w:r>
      <w:r w:rsidRPr="00707471">
        <w:rPr>
          <w:sz w:val="16"/>
          <w:szCs w:val="16"/>
          <w:lang w:val="en-US"/>
        </w:rPr>
        <w:t xml:space="preserve"> </w:t>
      </w:r>
      <w:r w:rsidRPr="00707471">
        <w:rPr>
          <w:sz w:val="16"/>
          <w:szCs w:val="16"/>
          <w:lang w:val="en-US"/>
        </w:rPr>
        <w:tab/>
        <w:t xml:space="preserve">Véase, en este sentido, </w:t>
      </w:r>
      <w:r w:rsidRPr="00707471">
        <w:rPr>
          <w:rFonts w:cs="TimesNRMT-Italic"/>
          <w:i/>
          <w:iCs/>
          <w:sz w:val="16"/>
          <w:szCs w:val="16"/>
          <w:lang w:val="en-US"/>
        </w:rPr>
        <w:t xml:space="preserve">Certain Questions of Mutual Assistance in Criminal Matters (Djibouti </w:t>
      </w:r>
      <w:r w:rsidRPr="00707471">
        <w:rPr>
          <w:rFonts w:cs="TimesNRMT"/>
          <w:sz w:val="16"/>
          <w:szCs w:val="16"/>
          <w:lang w:val="en-US"/>
        </w:rPr>
        <w:t xml:space="preserve">v. </w:t>
      </w:r>
      <w:r w:rsidRPr="00707471">
        <w:rPr>
          <w:rFonts w:cs="TimesNRMT-Italic"/>
          <w:i/>
          <w:iCs/>
          <w:sz w:val="16"/>
          <w:szCs w:val="16"/>
          <w:lang w:val="en-US"/>
        </w:rPr>
        <w:t>France), Judgment, I.C.J. Reports 2008</w:t>
      </w:r>
      <w:r w:rsidRPr="00707471">
        <w:rPr>
          <w:rFonts w:cs="TimesNRMT"/>
          <w:sz w:val="16"/>
          <w:szCs w:val="16"/>
          <w:lang w:val="en-US"/>
        </w:rPr>
        <w:t xml:space="preserve">, p. 177. </w:t>
      </w:r>
      <w:r w:rsidRPr="00EF190F">
        <w:rPr>
          <w:rFonts w:cs="TimesNRMT"/>
          <w:sz w:val="16"/>
          <w:szCs w:val="16"/>
          <w:lang w:val="en-US"/>
        </w:rPr>
        <w:t>Disponible en: http://www.icj-cij.org/docket/files/136/14550.pdf</w:t>
      </w:r>
      <w:r w:rsidRPr="00EF190F">
        <w:rPr>
          <w:rStyle w:val="Hyperlink"/>
          <w:rFonts w:cs="TimesNRMT"/>
          <w:color w:val="auto"/>
          <w:sz w:val="16"/>
          <w:szCs w:val="16"/>
          <w:lang w:val="en-US"/>
        </w:rPr>
        <w:t>. “</w:t>
      </w:r>
      <w:r w:rsidRPr="00EF190F">
        <w:rPr>
          <w:rFonts w:cs="TimesNRMT"/>
          <w:sz w:val="16"/>
          <w:szCs w:val="16"/>
          <w:lang w:val="en-US"/>
        </w:rPr>
        <w:t xml:space="preserve">The consent allowing for the Court to assume jurisdiction must be certain. […] As the Court has recently explained, whatever the basis of consent, the attitude of the respondent State must “be capable of being regarded as ‘an unequivocal indication’ of the desire of that State to accept the Court’s jurisdiction in a ‘voluntary and indisputable’ manner” […][.] For the Court to exercise jurisdiction on the basis of </w:t>
      </w:r>
      <w:r w:rsidRPr="00EF190F">
        <w:rPr>
          <w:rFonts w:cs="TimesNRMT-Italic"/>
          <w:i/>
          <w:iCs/>
          <w:sz w:val="16"/>
          <w:szCs w:val="16"/>
          <w:lang w:val="en-US"/>
        </w:rPr>
        <w:t>forum prorogatum</w:t>
      </w:r>
      <w:r w:rsidRPr="00EF190F">
        <w:rPr>
          <w:rFonts w:cs="TimesNRMT"/>
          <w:sz w:val="16"/>
          <w:szCs w:val="16"/>
          <w:lang w:val="en-US"/>
        </w:rPr>
        <w:t xml:space="preserve">, the element of consent must be either explicit or clearly to be deduced from the relevant conduct of a State.” Asimismo, </w:t>
      </w:r>
      <w:r w:rsidRPr="00EF190F">
        <w:rPr>
          <w:rFonts w:eastAsiaTheme="minorHAnsi"/>
          <w:i/>
          <w:iCs/>
          <w:sz w:val="16"/>
          <w:szCs w:val="16"/>
          <w:lang w:val="en-US" w:eastAsia="en-US"/>
        </w:rPr>
        <w:t>Anglo-Iranian Oil Co. (United Kingdom v. Iran)</w:t>
      </w:r>
      <w:r w:rsidRPr="00EF190F">
        <w:rPr>
          <w:rFonts w:eastAsiaTheme="minorHAnsi"/>
          <w:sz w:val="16"/>
          <w:szCs w:val="16"/>
          <w:lang w:val="en-US" w:eastAsia="en-US"/>
        </w:rPr>
        <w:t xml:space="preserve">, Judgement (Preliminary Objections), 22 July 1952, I.C.J. Reports 1952, p. 114. Disponible en: http://www.icj-cij.org/docket/files/16/1997.pdf. </w:t>
      </w:r>
      <w:r w:rsidRPr="00EF190F">
        <w:rPr>
          <w:rFonts w:eastAsiaTheme="minorHAnsi"/>
          <w:color w:val="0000FF" w:themeColor="hyperlink"/>
          <w:sz w:val="16"/>
          <w:szCs w:val="16"/>
          <w:u w:val="single"/>
          <w:lang w:val="en-US" w:eastAsia="en-US"/>
        </w:rPr>
        <w:t>“</w:t>
      </w:r>
      <w:r w:rsidRPr="00EF190F">
        <w:rPr>
          <w:sz w:val="16"/>
          <w:szCs w:val="16"/>
          <w:lang w:val="en-US"/>
        </w:rPr>
        <w:t xml:space="preserve">The principle of </w:t>
      </w:r>
      <w:r w:rsidRPr="00EF190F">
        <w:rPr>
          <w:i/>
          <w:iCs/>
          <w:sz w:val="16"/>
          <w:szCs w:val="16"/>
          <w:lang w:val="en-US"/>
        </w:rPr>
        <w:t>forum prorogatum</w:t>
      </w:r>
      <w:r w:rsidRPr="00EF190F">
        <w:rPr>
          <w:iCs/>
          <w:sz w:val="16"/>
          <w:szCs w:val="16"/>
          <w:lang w:val="en-US"/>
        </w:rPr>
        <w:t xml:space="preserve">, </w:t>
      </w:r>
      <w:r w:rsidRPr="00EF190F">
        <w:rPr>
          <w:sz w:val="16"/>
          <w:szCs w:val="16"/>
          <w:lang w:val="en-US"/>
        </w:rPr>
        <w:t>if it could be applied to the present case, would have to be based on some conduct or statement of the Government of Iran which involves an element of consent regarding the jurisdiction of the Court. But that Government has consistently denied the jurisdiction of the Court. Having filed a Preliminary Objection for the purpose of disputing the jurisdiction, it has throughout the proceedings maintained that Objection. It is true that it has submitted other Objections which have no direct bearing on the question of jurisdiction. But they are clearly designed as measures of defence which it would be necessary to examine only if Iran's Objection to the jurisdiction were rejected. No element of consent can be deduced from such conduct on the part of the Government of Iran. […] Accordingly, the Court has arrived at the conclusion that it has no jurisdiction to deal with the case submitted to it […].”</w:t>
      </w:r>
    </w:p>
  </w:footnote>
  <w:footnote w:id="13">
    <w:p w14:paraId="07C67EF7"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Cfr</w:t>
      </w:r>
      <w:r w:rsidRPr="00EF190F">
        <w:rPr>
          <w:sz w:val="16"/>
          <w:szCs w:val="16"/>
          <w:lang w:val="es-CR"/>
        </w:rPr>
        <w:t>.</w:t>
      </w:r>
      <w:r w:rsidRPr="00EF190F">
        <w:rPr>
          <w:i/>
          <w:iCs/>
          <w:sz w:val="16"/>
          <w:szCs w:val="16"/>
          <w:lang w:val="es-CR"/>
        </w:rPr>
        <w:t xml:space="preserve"> </w:t>
      </w:r>
      <w:r w:rsidRPr="00EF190F">
        <w:rPr>
          <w:i/>
          <w:iCs/>
          <w:sz w:val="16"/>
          <w:szCs w:val="16"/>
        </w:rPr>
        <w:t>Caso Ticona Estrada y otros Vs. Bolivia</w:t>
      </w:r>
      <w:r w:rsidRPr="00EF190F">
        <w:rPr>
          <w:sz w:val="16"/>
          <w:szCs w:val="16"/>
        </w:rPr>
        <w:t xml:space="preserve">. </w:t>
      </w:r>
      <w:r w:rsidRPr="00EF190F">
        <w:rPr>
          <w:i/>
          <w:sz w:val="16"/>
          <w:szCs w:val="16"/>
        </w:rPr>
        <w:t>Excepciones Preliminares, Fondo, Reparaciones y Costas.</w:t>
      </w:r>
      <w:r w:rsidRPr="00EF190F">
        <w:rPr>
          <w:sz w:val="16"/>
          <w:szCs w:val="16"/>
        </w:rPr>
        <w:t xml:space="preserve"> </w:t>
      </w:r>
      <w:r w:rsidRPr="00EF190F">
        <w:rPr>
          <w:sz w:val="16"/>
          <w:szCs w:val="16"/>
          <w:lang w:val="es-PR"/>
        </w:rPr>
        <w:t>Sentencia de 27 de noviembre de 2008. Serie C No. 191,</w:t>
      </w:r>
      <w:r w:rsidRPr="00EF190F">
        <w:rPr>
          <w:sz w:val="16"/>
          <w:szCs w:val="16"/>
        </w:rPr>
        <w:t xml:space="preserve"> </w:t>
      </w:r>
      <w:r w:rsidRPr="00EF190F">
        <w:rPr>
          <w:sz w:val="16"/>
          <w:szCs w:val="16"/>
          <w:lang w:val="es-CR"/>
        </w:rPr>
        <w:t xml:space="preserve">párr. 30; </w:t>
      </w:r>
      <w:r w:rsidRPr="00EF190F">
        <w:rPr>
          <w:bCs/>
          <w:i/>
          <w:sz w:val="16"/>
          <w:szCs w:val="16"/>
          <w:lang w:val="es-CR"/>
        </w:rPr>
        <w:t xml:space="preserve">Caso Ibsen Cárdenas e Ibsen Peña Vs. Bolivia. Fondo, Reparaciones y Costas. </w:t>
      </w:r>
      <w:r w:rsidRPr="00EF190F">
        <w:rPr>
          <w:bCs/>
          <w:sz w:val="16"/>
          <w:szCs w:val="16"/>
          <w:lang w:val="es-CR"/>
        </w:rPr>
        <w:t xml:space="preserve">Sentencia de 1 de septiembre de 2010. Serie C No. 217, párr. 22; </w:t>
      </w:r>
      <w:r w:rsidRPr="00EF190F">
        <w:rPr>
          <w:bCs/>
          <w:i/>
          <w:sz w:val="16"/>
          <w:szCs w:val="16"/>
          <w:lang w:val="es-CR"/>
        </w:rPr>
        <w:t>C</w:t>
      </w:r>
      <w:r w:rsidRPr="00EF190F">
        <w:rPr>
          <w:rStyle w:val="Strong"/>
          <w:rFonts w:eastAsia="MS Gothic"/>
          <w:b w:val="0"/>
          <w:i/>
          <w:color w:val="000000"/>
          <w:sz w:val="16"/>
          <w:szCs w:val="16"/>
          <w:shd w:val="clear" w:color="auto" w:fill="FFFFFF"/>
        </w:rPr>
        <w:t>aso Gudiel Álvarez y otros ("Diario Militar") Vs. Guatemala. Fondo Reparaciones y Costas.</w:t>
      </w:r>
      <w:r w:rsidRPr="00EF190F">
        <w:rPr>
          <w:rStyle w:val="Strong"/>
          <w:rFonts w:eastAsia="MS Gothic"/>
          <w:b w:val="0"/>
          <w:color w:val="000000"/>
          <w:sz w:val="16"/>
          <w:szCs w:val="16"/>
          <w:shd w:val="clear" w:color="auto" w:fill="FFFFFF"/>
        </w:rPr>
        <w:t xml:space="preserve"> Sentencia de 20 noviembre de 2012. Serie C No. 253, párr. 32 y</w:t>
      </w:r>
      <w:r w:rsidRPr="00EF190F">
        <w:rPr>
          <w:b/>
          <w:bCs/>
          <w:sz w:val="16"/>
          <w:szCs w:val="16"/>
        </w:rPr>
        <w:t xml:space="preserve"> </w:t>
      </w:r>
      <w:r w:rsidRPr="00EF190F">
        <w:rPr>
          <w:i/>
          <w:sz w:val="16"/>
          <w:szCs w:val="16"/>
          <w:lang w:val="es-CR"/>
        </w:rPr>
        <w:t>Caso García y Familiares Vs. Guatemala.</w:t>
      </w:r>
      <w:r w:rsidRPr="00EF190F">
        <w:rPr>
          <w:rStyle w:val="Strong"/>
          <w:rFonts w:eastAsia="MS Gothic"/>
          <w:b w:val="0"/>
          <w:sz w:val="16"/>
          <w:szCs w:val="16"/>
        </w:rPr>
        <w:t xml:space="preserve"> </w:t>
      </w:r>
      <w:r w:rsidRPr="00EF190F">
        <w:rPr>
          <w:rStyle w:val="Strong"/>
          <w:rFonts w:eastAsia="MS Gothic"/>
          <w:b w:val="0"/>
          <w:i/>
          <w:sz w:val="16"/>
          <w:szCs w:val="16"/>
        </w:rPr>
        <w:t>Excepciones Preliminares, Fondo, Reparaciones y Costas</w:t>
      </w:r>
      <w:r w:rsidRPr="00EF190F">
        <w:rPr>
          <w:rStyle w:val="Strong"/>
          <w:rFonts w:eastAsia="MS Gothic"/>
          <w:b w:val="0"/>
          <w:sz w:val="16"/>
          <w:szCs w:val="16"/>
        </w:rPr>
        <w:t>. Sentencia de 29 de noviembre de 2012. Serie C No. 258, párr. 27.</w:t>
      </w:r>
      <w:r w:rsidRPr="00EF190F">
        <w:rPr>
          <w:b/>
          <w:sz w:val="16"/>
          <w:szCs w:val="16"/>
        </w:rPr>
        <w:t xml:space="preserve"> </w:t>
      </w:r>
      <w:r w:rsidRPr="00EF190F">
        <w:rPr>
          <w:sz w:val="16"/>
          <w:szCs w:val="16"/>
        </w:rPr>
        <w:t xml:space="preserve">Véase además, </w:t>
      </w:r>
      <w:r w:rsidRPr="00EF190F">
        <w:rPr>
          <w:i/>
          <w:sz w:val="16"/>
          <w:szCs w:val="16"/>
        </w:rPr>
        <w:t xml:space="preserve">Caso Masacres de El Mozote </w:t>
      </w:r>
      <w:r w:rsidRPr="00EF190F">
        <w:rPr>
          <w:bCs/>
          <w:i/>
          <w:sz w:val="16"/>
          <w:szCs w:val="16"/>
        </w:rPr>
        <w:t>y lugares aledaños Vs. El Salvador. Fondo, Reparaciones y Costas.</w:t>
      </w:r>
      <w:r w:rsidRPr="00EF190F">
        <w:rPr>
          <w:bCs/>
          <w:sz w:val="16"/>
          <w:szCs w:val="16"/>
        </w:rPr>
        <w:t xml:space="preserve"> Sentencia de 25 de octubre de 2012. Serie C No. 252</w:t>
      </w:r>
      <w:r w:rsidRPr="00EF190F">
        <w:rPr>
          <w:sz w:val="16"/>
          <w:szCs w:val="16"/>
        </w:rPr>
        <w:t xml:space="preserve">, párr. 30, y </w:t>
      </w:r>
      <w:r w:rsidRPr="00EF190F">
        <w:rPr>
          <w:rFonts w:eastAsia="Calibri" w:cs="Verdana"/>
          <w:i/>
          <w:iCs/>
          <w:sz w:val="16"/>
          <w:szCs w:val="16"/>
          <w:lang w:eastAsia="en-US"/>
        </w:rPr>
        <w:t xml:space="preserve">Caso González Medina y familiares </w:t>
      </w:r>
      <w:r w:rsidRPr="00EF190F">
        <w:rPr>
          <w:rFonts w:eastAsia="Calibri" w:cs="Verdana"/>
          <w:bCs/>
          <w:i/>
          <w:iCs/>
          <w:sz w:val="16"/>
          <w:szCs w:val="16"/>
          <w:lang w:eastAsia="en-US"/>
        </w:rPr>
        <w:t xml:space="preserve">Vs. República Dominicana. Excepciones Preliminares, Fondo, Reparaciones y Costas. </w:t>
      </w:r>
      <w:r w:rsidRPr="00EF190F">
        <w:rPr>
          <w:rFonts w:eastAsia="Calibri" w:cs="Verdana"/>
          <w:bCs/>
          <w:iCs/>
          <w:sz w:val="16"/>
          <w:szCs w:val="16"/>
          <w:lang w:eastAsia="en-US"/>
        </w:rPr>
        <w:t>Sentencia de 27 de febrero de 2012. Serie C No. 240</w:t>
      </w:r>
      <w:r w:rsidRPr="00EF190F">
        <w:rPr>
          <w:rFonts w:eastAsia="Calibri" w:cs="Verdana"/>
          <w:sz w:val="16"/>
          <w:szCs w:val="16"/>
          <w:lang w:eastAsia="en-US"/>
        </w:rPr>
        <w:t xml:space="preserve">, párr. </w:t>
      </w:r>
      <w:r w:rsidRPr="00EF190F">
        <w:rPr>
          <w:rFonts w:eastAsia="Calibri" w:cs="Verdana"/>
          <w:sz w:val="16"/>
          <w:szCs w:val="16"/>
          <w:lang w:val="es-PR" w:eastAsia="en-US"/>
        </w:rPr>
        <w:t>192.</w:t>
      </w:r>
    </w:p>
  </w:footnote>
  <w:footnote w:id="14">
    <w:p w14:paraId="65016F6B"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CR"/>
        </w:rPr>
        <w:t xml:space="preserve">Cfr. </w:t>
      </w:r>
      <w:r w:rsidRPr="00EF190F">
        <w:rPr>
          <w:i/>
          <w:sz w:val="16"/>
          <w:szCs w:val="16"/>
        </w:rPr>
        <w:t xml:space="preserve">Caso Velásquez Rodríguez Vs. Honduras. Fondo. </w:t>
      </w:r>
      <w:r w:rsidRPr="00EF190F">
        <w:rPr>
          <w:sz w:val="16"/>
          <w:szCs w:val="16"/>
        </w:rPr>
        <w:t xml:space="preserve">Sentencia de 29 de julio de 1988. Serie C No. 4, párr. 134, y </w:t>
      </w:r>
      <w:r w:rsidRPr="00EF190F">
        <w:rPr>
          <w:i/>
          <w:sz w:val="16"/>
          <w:szCs w:val="16"/>
        </w:rPr>
        <w:t>Caso Garrido y Baigorria Vs. Argentina. Reparaciones y Costas.</w:t>
      </w:r>
      <w:r w:rsidRPr="00EF190F">
        <w:rPr>
          <w:sz w:val="16"/>
          <w:szCs w:val="16"/>
        </w:rPr>
        <w:t xml:space="preserve"> Sentencia de 27 de agosto de 1998. Serie C No. 39, párr. 44.</w:t>
      </w:r>
    </w:p>
  </w:footnote>
  <w:footnote w:id="15">
    <w:p w14:paraId="031C43BA"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Instrumento de ratificación de la Convención Americana por parte de Guatemala. Disponible en: http://www.oas.org/juridico/spanish/firmas/a-60.html </w:t>
      </w:r>
    </w:p>
  </w:footnote>
  <w:footnote w:id="16">
    <w:p w14:paraId="6E5EE09A" w14:textId="77777777" w:rsidR="006A0E1C" w:rsidRPr="00EF190F" w:rsidRDefault="006A0E1C" w:rsidP="006A0E1C">
      <w:pPr>
        <w:spacing w:line="240" w:lineRule="auto"/>
        <w:rPr>
          <w:spacing w:val="-4"/>
          <w:sz w:val="16"/>
          <w:szCs w:val="16"/>
          <w:lang w:eastAsia="en-US"/>
        </w:rPr>
      </w:pPr>
      <w:r w:rsidRPr="00EF190F">
        <w:rPr>
          <w:rStyle w:val="FootnoteReference"/>
          <w:sz w:val="16"/>
          <w:szCs w:val="16"/>
        </w:rPr>
        <w:footnoteRef/>
      </w:r>
      <w:r w:rsidRPr="00EF190F">
        <w:rPr>
          <w:sz w:val="16"/>
          <w:szCs w:val="16"/>
        </w:rPr>
        <w:tab/>
      </w:r>
      <w:r w:rsidRPr="00EF190F">
        <w:rPr>
          <w:i/>
          <w:sz w:val="16"/>
          <w:szCs w:val="16"/>
        </w:rPr>
        <w:t xml:space="preserve">Cfr. Caso Gómez Palomino Vs. Perú. Fondo, Reparaciones y Costas. </w:t>
      </w:r>
      <w:r w:rsidRPr="00EF190F">
        <w:rPr>
          <w:sz w:val="16"/>
          <w:szCs w:val="16"/>
        </w:rPr>
        <w:t>Sentencia de 22 de noviembre de 2005. Serie C No. 136</w:t>
      </w:r>
      <w:r w:rsidRPr="00EF190F">
        <w:rPr>
          <w:iCs/>
          <w:sz w:val="16"/>
          <w:szCs w:val="16"/>
        </w:rPr>
        <w:t>,</w:t>
      </w:r>
      <w:r w:rsidRPr="00EF190F">
        <w:rPr>
          <w:sz w:val="16"/>
          <w:szCs w:val="16"/>
        </w:rPr>
        <w:t xml:space="preserve"> párr. 110; </w:t>
      </w:r>
      <w:r w:rsidRPr="00EF190F">
        <w:rPr>
          <w:i/>
          <w:sz w:val="16"/>
          <w:szCs w:val="16"/>
        </w:rPr>
        <w:t xml:space="preserve">Caso Radilla Pacheco Vs. México. Excepciones Preliminares, Fondo, Reparaciones y Costas. </w:t>
      </w:r>
      <w:r w:rsidRPr="00EF190F">
        <w:rPr>
          <w:sz w:val="16"/>
          <w:szCs w:val="16"/>
        </w:rPr>
        <w:t xml:space="preserve">Sentencia de 23 de noviembre de 2009. Serie C No. 209, párr. </w:t>
      </w:r>
      <w:r w:rsidRPr="00EF190F">
        <w:rPr>
          <w:sz w:val="16"/>
          <w:szCs w:val="16"/>
          <w:lang w:val="es-ES"/>
        </w:rPr>
        <w:t>303; Cas</w:t>
      </w:r>
      <w:r w:rsidRPr="00EF190F">
        <w:rPr>
          <w:i/>
          <w:sz w:val="16"/>
          <w:szCs w:val="16"/>
          <w:lang w:val="es-ES"/>
        </w:rPr>
        <w:t xml:space="preserve">o Osorio Rivera y familiares Vs. Perú. Excepciones Preliminares, Fondo, Reparaciones y Costas. </w:t>
      </w:r>
      <w:r w:rsidRPr="00EF190F">
        <w:rPr>
          <w:sz w:val="16"/>
          <w:szCs w:val="16"/>
          <w:lang w:val="es-ES"/>
        </w:rPr>
        <w:t xml:space="preserve">Sentencia de 26 de noviembre de 2013. Serie C No. 274, párr. 29; </w:t>
      </w:r>
      <w:r w:rsidRPr="00EF190F">
        <w:rPr>
          <w:i/>
          <w:sz w:val="16"/>
          <w:szCs w:val="16"/>
          <w:lang w:val="es-ES"/>
        </w:rPr>
        <w:t xml:space="preserve">Caso Rodríguez Vera y otros (Desaparecidos del Palacio de Justicia) Vs. Colombia. Excepciones Preliminares, Fondo, Reparaciones y Costas. </w:t>
      </w:r>
      <w:r w:rsidRPr="00EF190F">
        <w:rPr>
          <w:sz w:val="16"/>
          <w:szCs w:val="16"/>
          <w:lang w:val="es-ES"/>
        </w:rPr>
        <w:t xml:space="preserve">Sentencia de 14 de noviembre de 2014. Serie C No. 287, párr. </w:t>
      </w:r>
      <w:r w:rsidRPr="00EF190F">
        <w:rPr>
          <w:sz w:val="16"/>
          <w:szCs w:val="16"/>
        </w:rPr>
        <w:t xml:space="preserve">43 y </w:t>
      </w:r>
      <w:r w:rsidRPr="00EF190F">
        <w:rPr>
          <w:i/>
          <w:sz w:val="16"/>
          <w:szCs w:val="16"/>
        </w:rPr>
        <w:t xml:space="preserve">Caso Tenorio Roca y otros Vs. Perú. Excepciones Preliminares, Fondo, Reparaciones y Costas. </w:t>
      </w:r>
      <w:r w:rsidRPr="00EF190F">
        <w:rPr>
          <w:sz w:val="16"/>
          <w:szCs w:val="16"/>
        </w:rPr>
        <w:t>Sentencia de 22 de junio de 2016. Serie C No. 314, párr. 30.</w:t>
      </w:r>
    </w:p>
  </w:footnote>
  <w:footnote w:id="17">
    <w:p w14:paraId="48DB7054" w14:textId="77777777" w:rsidR="006A0E1C" w:rsidRPr="00EF190F" w:rsidRDefault="006A0E1C" w:rsidP="006A0E1C">
      <w:pPr>
        <w:pStyle w:val="FootnoteText"/>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PR"/>
        </w:rPr>
        <w:tab/>
        <w:t>El artículo XIII establece: “Para los efectos de la presente Convención, el trámite de las peticiones o comunicaciones presentadas ante la Comisión Interamericana de Derechos Humanos en que se alegue la desaparición forzada de personas estará sujeto a los procedimientos establecidos en la Convención Americana sobre Derechos Humanos, y en los Estatutos y Reglamentos de la Comisión y de la Corte Interamericana de Derechos Humanos […]”.</w:t>
      </w:r>
    </w:p>
  </w:footnote>
  <w:footnote w:id="18">
    <w:p w14:paraId="25712527" w14:textId="77777777" w:rsidR="006A0E1C" w:rsidRPr="00EF190F" w:rsidRDefault="006A0E1C" w:rsidP="006A0E1C">
      <w:pPr>
        <w:pStyle w:val="FootnoteText"/>
        <w:contextualSpacing/>
        <w:rPr>
          <w:rFonts w:cs="Microsoft Sans Serif"/>
          <w:spacing w:val="-4"/>
          <w:sz w:val="16"/>
          <w:szCs w:val="16"/>
          <w:lang w:val="es-PR"/>
        </w:rPr>
      </w:pPr>
      <w:r w:rsidRPr="00EF190F">
        <w:rPr>
          <w:rStyle w:val="FootnoteReference"/>
          <w:rFonts w:cs="Microsoft Sans Serif"/>
          <w:spacing w:val="-4"/>
          <w:sz w:val="16"/>
          <w:szCs w:val="16"/>
        </w:rPr>
        <w:footnoteRef/>
      </w:r>
      <w:r w:rsidRPr="00EF190F">
        <w:rPr>
          <w:rFonts w:cs="Microsoft Sans Serif"/>
          <w:spacing w:val="-4"/>
          <w:sz w:val="16"/>
          <w:szCs w:val="16"/>
          <w:lang w:val="es-PR"/>
        </w:rPr>
        <w:t xml:space="preserve"> </w:t>
      </w:r>
      <w:r w:rsidRPr="00EF190F">
        <w:rPr>
          <w:rFonts w:cs="Microsoft Sans Serif"/>
          <w:spacing w:val="-4"/>
          <w:sz w:val="16"/>
          <w:szCs w:val="16"/>
          <w:lang w:val="es-PR"/>
        </w:rPr>
        <w:tab/>
      </w:r>
      <w:r w:rsidRPr="00EF190F">
        <w:rPr>
          <w:rFonts w:eastAsia="Calibri" w:cs="Arial"/>
          <w:sz w:val="16"/>
          <w:szCs w:val="16"/>
        </w:rPr>
        <w:t xml:space="preserve">El artículo 12 de ese tratado indica la posibilidad de la presentación de “peticiones” a la Comisión, referidas a “denuncias o quejas de violación de [su] artículo 7”, estableciendo que “la Comisión las considerará de acuerdo con las normas y los requisitos de procedimiento para la presentación y consideración de </w:t>
      </w:r>
      <w:r w:rsidRPr="00EF190F">
        <w:rPr>
          <w:sz w:val="16"/>
          <w:szCs w:val="16"/>
        </w:rPr>
        <w:t>peticiones</w:t>
      </w:r>
      <w:r w:rsidRPr="00EF190F">
        <w:rPr>
          <w:rFonts w:eastAsia="Calibri" w:cs="Arial"/>
          <w:sz w:val="16"/>
          <w:szCs w:val="16"/>
        </w:rPr>
        <w:t xml:space="preserve"> estipulados en la Convención Americana sobre Derechos Humanos y en el Estatuto y el Reglamento de la Comisión”. </w:t>
      </w:r>
      <w:r w:rsidRPr="00EF190F">
        <w:rPr>
          <w:rFonts w:cs="Microsoft Sans Serif"/>
          <w:spacing w:val="-4"/>
          <w:sz w:val="16"/>
          <w:szCs w:val="16"/>
          <w:lang w:val="es-PR"/>
        </w:rPr>
        <w:t>Al respecto, la Corte ha señalado que en la formulación del artículo 12 de la Convención de Belém de Pará “</w:t>
      </w:r>
      <w:r w:rsidRPr="00EF190F">
        <w:rPr>
          <w:rFonts w:cs="Microsoft Sans Serif"/>
          <w:spacing w:val="-4"/>
          <w:sz w:val="16"/>
          <w:szCs w:val="16"/>
          <w:lang w:val="es-EC" w:bidi="en-US"/>
        </w:rPr>
        <w:t xml:space="preserve">no se excluye ninguna disposición de la Convención Americana, por lo que habrá que concluir que la </w:t>
      </w:r>
      <w:r w:rsidRPr="00EF190F">
        <w:rPr>
          <w:rFonts w:cs="Microsoft Sans Serif"/>
          <w:spacing w:val="-4"/>
          <w:sz w:val="16"/>
          <w:szCs w:val="16"/>
          <w:lang w:val="es-EC"/>
        </w:rPr>
        <w:t xml:space="preserve">Comisión actuará en las peticiones sobre el artículo 7 de la Convención Belém do Pará ‘de conformidad con lo dispuesto en los artículos 44 al 51 de [la Convención Americana]’, como lo dispone el artículo 41 de la misma Convención. El artículo 51 de la Convención […] se refiere […] expresamente al sometimiento de casos ante la Corte”. </w:t>
      </w:r>
      <w:r w:rsidRPr="00EF190F">
        <w:rPr>
          <w:rFonts w:cs="Microsoft Sans Serif"/>
          <w:i/>
          <w:spacing w:val="-4"/>
          <w:sz w:val="16"/>
          <w:szCs w:val="16"/>
          <w:lang w:val="es-EC"/>
        </w:rPr>
        <w:t xml:space="preserve">Cfr. </w:t>
      </w:r>
      <w:r w:rsidRPr="00EF190F">
        <w:rPr>
          <w:rFonts w:cs="Microsoft Sans Serif"/>
          <w:i/>
          <w:spacing w:val="-4"/>
          <w:sz w:val="16"/>
          <w:szCs w:val="16"/>
          <w:lang w:val="es-PR"/>
        </w:rPr>
        <w:t>Caso González y otras (“Campo Algodonero”) Vs. México</w:t>
      </w:r>
      <w:r w:rsidRPr="00EF190F">
        <w:rPr>
          <w:rFonts w:cs="Microsoft Sans Serif"/>
          <w:spacing w:val="-4"/>
          <w:sz w:val="16"/>
          <w:szCs w:val="16"/>
          <w:lang w:val="es-PR"/>
        </w:rPr>
        <w:t xml:space="preserve">, </w:t>
      </w:r>
      <w:r w:rsidRPr="00EF190F">
        <w:rPr>
          <w:rFonts w:cs="Microsoft Sans Serif"/>
          <w:bCs/>
          <w:i/>
          <w:spacing w:val="-4"/>
          <w:sz w:val="16"/>
          <w:szCs w:val="16"/>
          <w:lang w:val="es-CR"/>
        </w:rPr>
        <w:t>Excepción Preliminar, Fondo, Reparaciones y Costas.</w:t>
      </w:r>
      <w:r w:rsidRPr="00EF190F">
        <w:rPr>
          <w:rFonts w:cs="Microsoft Sans Serif"/>
          <w:bCs/>
          <w:spacing w:val="-4"/>
          <w:sz w:val="16"/>
          <w:szCs w:val="16"/>
          <w:lang w:val="es-CR"/>
        </w:rPr>
        <w:t xml:space="preserve"> Sentencia de 16 de noviembre de 2009. Serie C No. 205,</w:t>
      </w:r>
      <w:r w:rsidRPr="00EF190F">
        <w:rPr>
          <w:rFonts w:cs="Microsoft Sans Serif"/>
          <w:spacing w:val="-4"/>
          <w:sz w:val="16"/>
          <w:szCs w:val="16"/>
          <w:lang w:val="es-PR"/>
        </w:rPr>
        <w:t xml:space="preserve"> párr. 41. </w:t>
      </w:r>
      <w:r w:rsidRPr="00EF190F">
        <w:rPr>
          <w:rFonts w:cs="Microsoft Sans Serif"/>
          <w:spacing w:val="-4"/>
          <w:sz w:val="16"/>
          <w:szCs w:val="16"/>
          <w:lang w:val="es-EC"/>
        </w:rPr>
        <w:t>En el mismo sentido, véase</w:t>
      </w:r>
      <w:r w:rsidRPr="00EF190F">
        <w:rPr>
          <w:rFonts w:cs="Microsoft Sans Serif"/>
          <w:i/>
          <w:spacing w:val="-4"/>
          <w:sz w:val="16"/>
          <w:szCs w:val="16"/>
          <w:lang w:val="es-EC"/>
        </w:rPr>
        <w:t xml:space="preserve"> Caso Veliz Franco y otros Vs. Guatemala. </w:t>
      </w:r>
      <w:r w:rsidRPr="00EF190F">
        <w:rPr>
          <w:rFonts w:cs="Microsoft Sans Serif"/>
          <w:bCs/>
          <w:i/>
          <w:spacing w:val="-4"/>
          <w:sz w:val="16"/>
          <w:szCs w:val="16"/>
          <w:lang w:val="es-CR"/>
        </w:rPr>
        <w:t xml:space="preserve">Excepciones Preliminares, Fondo, Reparaciones y Costas. </w:t>
      </w:r>
      <w:r w:rsidRPr="00EF190F">
        <w:rPr>
          <w:rFonts w:cs="Microsoft Sans Serif"/>
          <w:bCs/>
          <w:spacing w:val="-4"/>
          <w:sz w:val="16"/>
          <w:szCs w:val="16"/>
          <w:lang w:val="es-CR"/>
        </w:rPr>
        <w:t>Sentencia de 19 de mayo de 2014. Serie C No. 277</w:t>
      </w:r>
      <w:r w:rsidRPr="00EF190F">
        <w:rPr>
          <w:rFonts w:cs="Microsoft Sans Serif"/>
          <w:spacing w:val="-4"/>
          <w:sz w:val="16"/>
          <w:szCs w:val="16"/>
          <w:lang w:val="es-EC"/>
        </w:rPr>
        <w:t xml:space="preserve">, nota al pie 22; </w:t>
      </w:r>
      <w:r w:rsidRPr="00EF190F">
        <w:rPr>
          <w:rFonts w:cs="Microsoft Sans Serif"/>
          <w:i/>
          <w:spacing w:val="-4"/>
          <w:sz w:val="16"/>
          <w:szCs w:val="16"/>
          <w:lang w:val="es-EC"/>
        </w:rPr>
        <w:t xml:space="preserve">Caso Espinoza Gonzáles Vs. Perú. </w:t>
      </w:r>
      <w:r w:rsidRPr="00EF190F">
        <w:rPr>
          <w:rFonts w:cs="Microsoft Sans Serif"/>
          <w:bCs/>
          <w:i/>
          <w:spacing w:val="-4"/>
          <w:sz w:val="16"/>
          <w:szCs w:val="16"/>
          <w:lang w:val="es-CR"/>
        </w:rPr>
        <w:t xml:space="preserve">Excepciones Preliminares, Fondo, Reparaciones y Costas. </w:t>
      </w:r>
      <w:r w:rsidRPr="00EF190F">
        <w:rPr>
          <w:rFonts w:cs="Microsoft Sans Serif"/>
          <w:bCs/>
          <w:spacing w:val="-4"/>
          <w:sz w:val="16"/>
          <w:szCs w:val="16"/>
          <w:lang w:val="es-CR"/>
        </w:rPr>
        <w:t>Sentencia de 20 de noviembre de 2014. Serie C No. 289,</w:t>
      </w:r>
      <w:r w:rsidRPr="00EF190F">
        <w:rPr>
          <w:rFonts w:cs="Microsoft Sans Serif"/>
          <w:spacing w:val="-4"/>
          <w:sz w:val="16"/>
          <w:szCs w:val="16"/>
          <w:lang w:val="es-EC"/>
        </w:rPr>
        <w:t xml:space="preserve"> </w:t>
      </w:r>
      <w:r w:rsidRPr="00EF190F">
        <w:rPr>
          <w:sz w:val="16"/>
          <w:szCs w:val="16"/>
        </w:rPr>
        <w:t>nota al pie 5</w:t>
      </w:r>
      <w:r w:rsidRPr="00EF190F">
        <w:rPr>
          <w:rFonts w:cs="Microsoft Sans Serif"/>
          <w:spacing w:val="-4"/>
          <w:sz w:val="16"/>
          <w:szCs w:val="16"/>
          <w:lang w:val="es-EC"/>
        </w:rPr>
        <w:t xml:space="preserve"> y </w:t>
      </w:r>
      <w:r w:rsidRPr="00EF190F">
        <w:rPr>
          <w:rFonts w:cs="Microsoft Sans Serif"/>
          <w:i/>
          <w:spacing w:val="-4"/>
          <w:sz w:val="16"/>
          <w:szCs w:val="16"/>
          <w:lang w:val="es-EC"/>
        </w:rPr>
        <w:t xml:space="preserve">Velásquez Paiz y otros Vs. Guatemala. </w:t>
      </w:r>
      <w:r w:rsidRPr="00EF190F">
        <w:rPr>
          <w:rFonts w:cs="Microsoft Sans Serif"/>
          <w:bCs/>
          <w:i/>
          <w:spacing w:val="-4"/>
          <w:sz w:val="16"/>
          <w:szCs w:val="16"/>
          <w:lang w:val="es-CR"/>
        </w:rPr>
        <w:t>Excepciones Preliminares, Fondo, Reparaciones y Costas.</w:t>
      </w:r>
      <w:r w:rsidRPr="00EF190F">
        <w:rPr>
          <w:rFonts w:cs="Microsoft Sans Serif"/>
          <w:bCs/>
          <w:spacing w:val="-4"/>
          <w:sz w:val="16"/>
          <w:szCs w:val="16"/>
          <w:lang w:val="es-CR"/>
        </w:rPr>
        <w:t xml:space="preserve"> Sentencia de 19 de noviembre de 2015. Serie C No. 307</w:t>
      </w:r>
      <w:r w:rsidRPr="00EF190F">
        <w:rPr>
          <w:rFonts w:cs="Microsoft Sans Serif"/>
          <w:spacing w:val="-4"/>
          <w:sz w:val="16"/>
          <w:szCs w:val="16"/>
          <w:lang w:val="es-EC"/>
        </w:rPr>
        <w:t>, párr. 19.</w:t>
      </w:r>
    </w:p>
  </w:footnote>
  <w:footnote w:id="19">
    <w:p w14:paraId="00AB0C75" w14:textId="77777777" w:rsidR="006A0E1C" w:rsidRPr="00EF190F" w:rsidRDefault="006A0E1C" w:rsidP="006A0E1C">
      <w:pPr>
        <w:pStyle w:val="FootnoteText"/>
        <w:contextualSpacing/>
        <w:rPr>
          <w:rFonts w:cs="Microsoft Sans Serif"/>
          <w:b/>
          <w:spacing w:val="-4"/>
          <w:sz w:val="16"/>
          <w:szCs w:val="16"/>
          <w:lang w:val="es-MX"/>
        </w:rPr>
      </w:pPr>
      <w:r w:rsidRPr="00EF190F">
        <w:rPr>
          <w:rStyle w:val="FootnoteReference"/>
          <w:rFonts w:cs="Microsoft Sans Serif"/>
          <w:spacing w:val="-4"/>
          <w:sz w:val="16"/>
          <w:szCs w:val="16"/>
        </w:rPr>
        <w:footnoteRef/>
      </w:r>
      <w:r w:rsidRPr="00EF190F">
        <w:rPr>
          <w:rFonts w:cs="Microsoft Sans Serif"/>
          <w:spacing w:val="-4"/>
          <w:sz w:val="16"/>
          <w:szCs w:val="16"/>
          <w:lang w:val="es-PR"/>
        </w:rPr>
        <w:t xml:space="preserve"> </w:t>
      </w:r>
      <w:r w:rsidRPr="00EF190F">
        <w:rPr>
          <w:rFonts w:cs="Microsoft Sans Serif"/>
          <w:spacing w:val="-4"/>
          <w:sz w:val="16"/>
          <w:szCs w:val="16"/>
        </w:rPr>
        <w:tab/>
      </w:r>
      <w:r w:rsidRPr="00EF190F">
        <w:rPr>
          <w:i/>
          <w:sz w:val="16"/>
          <w:szCs w:val="16"/>
        </w:rPr>
        <w:t>Cfr.</w:t>
      </w:r>
      <w:r w:rsidRPr="00EF190F">
        <w:rPr>
          <w:sz w:val="16"/>
          <w:szCs w:val="16"/>
        </w:rPr>
        <w:t xml:space="preserve"> </w:t>
      </w:r>
      <w:r w:rsidRPr="00EF190F">
        <w:rPr>
          <w:i/>
          <w:sz w:val="16"/>
          <w:szCs w:val="16"/>
        </w:rPr>
        <w:t xml:space="preserve">Caso Masacres de Río Negro Vs. Guatemala. Excepción Preliminar, Fondo, Reparaciones y Costas. </w:t>
      </w:r>
      <w:r w:rsidRPr="00EF190F">
        <w:rPr>
          <w:sz w:val="16"/>
          <w:szCs w:val="16"/>
        </w:rPr>
        <w:t xml:space="preserve">Sentencia de 4 de septiembre de 2012. Serie C No. 250, párr. 17; </w:t>
      </w:r>
      <w:r w:rsidRPr="00EF190F">
        <w:rPr>
          <w:i/>
          <w:sz w:val="16"/>
          <w:szCs w:val="16"/>
        </w:rPr>
        <w:t>Caso Gudiel Álvarez y otros ("Diario Militar") Vs. Guatemala. Fondo Reparaciones y Costas.</w:t>
      </w:r>
      <w:r w:rsidRPr="00EF190F">
        <w:rPr>
          <w:sz w:val="16"/>
          <w:szCs w:val="16"/>
        </w:rPr>
        <w:t xml:space="preserve"> Sentencia de 20 noviembre de 2012. Serie C No. 253, párr. 17; </w:t>
      </w:r>
      <w:r w:rsidRPr="00EF190F">
        <w:rPr>
          <w:rFonts w:cs="Microsoft Sans Serif"/>
          <w:i/>
          <w:spacing w:val="-4"/>
          <w:sz w:val="16"/>
          <w:szCs w:val="16"/>
          <w:lang w:val="es-EC"/>
        </w:rPr>
        <w:t xml:space="preserve">Caso Veliz Franco y otros Vs. Guatemala, </w:t>
      </w:r>
      <w:r w:rsidRPr="00EF190F">
        <w:rPr>
          <w:rFonts w:cs="Microsoft Sans Serif"/>
          <w:spacing w:val="-4"/>
          <w:sz w:val="16"/>
          <w:szCs w:val="16"/>
          <w:lang w:val="es-EC"/>
        </w:rPr>
        <w:t xml:space="preserve">párr. 36, y </w:t>
      </w:r>
      <w:r w:rsidRPr="00EF190F">
        <w:rPr>
          <w:rFonts w:cs="Microsoft Sans Serif"/>
          <w:i/>
          <w:spacing w:val="-4"/>
          <w:sz w:val="16"/>
          <w:szCs w:val="16"/>
          <w:lang w:val="es-EC"/>
        </w:rPr>
        <w:t>Caso Velásquez Paiz y otros Vs. Guatemala</w:t>
      </w:r>
      <w:r w:rsidRPr="00EF190F">
        <w:rPr>
          <w:rFonts w:cs="Microsoft Sans Serif"/>
          <w:spacing w:val="-4"/>
          <w:sz w:val="16"/>
          <w:szCs w:val="16"/>
          <w:lang w:val="es-EC"/>
        </w:rPr>
        <w:t>, párr. 19.</w:t>
      </w:r>
    </w:p>
  </w:footnote>
  <w:footnote w:id="20">
    <w:p w14:paraId="3D099C53" w14:textId="77777777" w:rsidR="006A0E1C" w:rsidRPr="00EF190F" w:rsidRDefault="006A0E1C" w:rsidP="006A0E1C">
      <w:pPr>
        <w:pStyle w:val="FootnoteText"/>
        <w:contextualSpacing/>
        <w:rPr>
          <w:i/>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Véase, por ejemplo, </w:t>
      </w:r>
      <w:r w:rsidRPr="00EF190F">
        <w:rPr>
          <w:i/>
          <w:sz w:val="16"/>
          <w:szCs w:val="16"/>
        </w:rPr>
        <w:t xml:space="preserve">Caso de las comunidades afrodescendientes desplazadas de la Cuenca del Río Cacarica (Operación Génesis) Vs. Colombia. </w:t>
      </w:r>
      <w:r w:rsidRPr="00EF190F">
        <w:rPr>
          <w:bCs/>
          <w:i/>
          <w:sz w:val="16"/>
          <w:szCs w:val="16"/>
          <w:lang w:val="es-CR"/>
        </w:rPr>
        <w:t xml:space="preserve">Excepciones Preliminares, Fondo, Reparaciones y Costas. </w:t>
      </w:r>
      <w:r w:rsidRPr="00EF190F">
        <w:rPr>
          <w:bCs/>
          <w:sz w:val="16"/>
          <w:szCs w:val="16"/>
          <w:lang w:val="es-CR"/>
        </w:rPr>
        <w:t>Sentencia de 20 de noviembre de 2013. Serie C No. 270</w:t>
      </w:r>
      <w:r w:rsidRPr="00EF190F">
        <w:rPr>
          <w:sz w:val="16"/>
          <w:szCs w:val="16"/>
        </w:rPr>
        <w:t>,</w:t>
      </w:r>
      <w:r w:rsidRPr="00EF190F">
        <w:rPr>
          <w:spacing w:val="-4"/>
          <w:sz w:val="16"/>
          <w:szCs w:val="16"/>
        </w:rPr>
        <w:t xml:space="preserve"> párr. 221. y </w:t>
      </w:r>
      <w:r w:rsidRPr="00EF190F">
        <w:rPr>
          <w:i/>
          <w:spacing w:val="-4"/>
          <w:sz w:val="16"/>
          <w:szCs w:val="16"/>
        </w:rPr>
        <w:t>Masacre de Santo Domingo Vs. Colombia</w:t>
      </w:r>
      <w:r w:rsidRPr="00EF190F">
        <w:rPr>
          <w:spacing w:val="-4"/>
          <w:sz w:val="16"/>
          <w:szCs w:val="16"/>
        </w:rPr>
        <w:t xml:space="preserve">, </w:t>
      </w:r>
      <w:r w:rsidRPr="00EF190F">
        <w:rPr>
          <w:bCs/>
          <w:i/>
          <w:spacing w:val="-4"/>
          <w:sz w:val="16"/>
          <w:szCs w:val="16"/>
          <w:lang w:val="es-CR"/>
        </w:rPr>
        <w:t xml:space="preserve">Excepciones Preliminares, Fondo y Reparaciones. </w:t>
      </w:r>
      <w:r w:rsidRPr="00EF190F">
        <w:rPr>
          <w:bCs/>
          <w:spacing w:val="-4"/>
          <w:sz w:val="16"/>
          <w:szCs w:val="16"/>
          <w:lang w:val="es-CR"/>
        </w:rPr>
        <w:t>Sentencia de 30 de noviembre de 2012. Serie C No. 259.</w:t>
      </w:r>
      <w:r w:rsidRPr="00EF190F">
        <w:rPr>
          <w:spacing w:val="-4"/>
          <w:sz w:val="16"/>
          <w:szCs w:val="16"/>
        </w:rPr>
        <w:t xml:space="preserve"> párr. 187.</w:t>
      </w:r>
    </w:p>
  </w:footnote>
  <w:footnote w:id="21">
    <w:p w14:paraId="34BF025B"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Véase, </w:t>
      </w:r>
      <w:r w:rsidRPr="00EF190F">
        <w:rPr>
          <w:i/>
          <w:spacing w:val="-4"/>
          <w:sz w:val="16"/>
          <w:szCs w:val="16"/>
        </w:rPr>
        <w:t>Caso de la Masacre de Las Dos Erres Vs. Guatemala</w:t>
      </w:r>
      <w:r w:rsidRPr="00EF190F">
        <w:rPr>
          <w:sz w:val="16"/>
          <w:szCs w:val="16"/>
        </w:rPr>
        <w:t xml:space="preserve">. </w:t>
      </w:r>
      <w:r w:rsidRPr="00EF190F">
        <w:rPr>
          <w:bCs/>
          <w:i/>
          <w:sz w:val="16"/>
          <w:szCs w:val="16"/>
          <w:lang w:val="es-CR"/>
        </w:rPr>
        <w:t xml:space="preserve">Excepción Preliminar, Fondo, Reparaciones y Costas. </w:t>
      </w:r>
      <w:r w:rsidRPr="00EF190F">
        <w:rPr>
          <w:bCs/>
          <w:sz w:val="16"/>
          <w:szCs w:val="16"/>
          <w:lang w:val="es-CR"/>
        </w:rPr>
        <w:t>Sentencia de 24 de noviembre de 2009. Serie C No. 211,</w:t>
      </w:r>
      <w:r w:rsidRPr="00EF190F">
        <w:rPr>
          <w:spacing w:val="-4"/>
          <w:sz w:val="16"/>
          <w:szCs w:val="16"/>
        </w:rPr>
        <w:t xml:space="preserve"> párr. 140; </w:t>
      </w:r>
      <w:r w:rsidRPr="00EF190F">
        <w:rPr>
          <w:rStyle w:val="Strong"/>
          <w:rFonts w:eastAsia="MS Gothic"/>
          <w:b w:val="0"/>
          <w:i/>
          <w:color w:val="000000"/>
          <w:sz w:val="16"/>
          <w:szCs w:val="16"/>
          <w:shd w:val="clear" w:color="auto" w:fill="FFFFFF"/>
        </w:rPr>
        <w:t>Caso Almonacid Arellano y otros Vs. Chile. Excepciones Preliminares, Fondo, Reparaciones y Costas.</w:t>
      </w:r>
      <w:r w:rsidRPr="00EF190F">
        <w:rPr>
          <w:rStyle w:val="Strong"/>
          <w:rFonts w:eastAsia="MS Gothic"/>
          <w:b w:val="0"/>
          <w:color w:val="000000"/>
          <w:sz w:val="16"/>
          <w:szCs w:val="16"/>
          <w:shd w:val="clear" w:color="auto" w:fill="FFFFFF"/>
        </w:rPr>
        <w:t xml:space="preserve"> Sentencia de 26 de septiembre de 2006. Serie C No. 154, párr. 93 </w:t>
      </w:r>
      <w:r w:rsidRPr="00EF190F">
        <w:rPr>
          <w:rStyle w:val="Strong"/>
          <w:rFonts w:eastAsia="MS Gothic"/>
          <w:b w:val="0"/>
          <w:i/>
          <w:color w:val="000000"/>
          <w:sz w:val="16"/>
          <w:szCs w:val="16"/>
          <w:shd w:val="clear" w:color="auto" w:fill="FFFFFF"/>
        </w:rPr>
        <w:t>et seq</w:t>
      </w:r>
      <w:r w:rsidRPr="00EF190F">
        <w:rPr>
          <w:rStyle w:val="Strong"/>
          <w:rFonts w:eastAsia="MS Gothic"/>
          <w:b w:val="0"/>
          <w:color w:val="000000"/>
          <w:sz w:val="16"/>
          <w:szCs w:val="16"/>
          <w:shd w:val="clear" w:color="auto" w:fill="FFFFFF"/>
        </w:rPr>
        <w:t>.</w:t>
      </w:r>
      <w:r w:rsidRPr="00EF190F">
        <w:rPr>
          <w:rStyle w:val="Strong"/>
          <w:rFonts w:eastAsia="MS Gothic"/>
          <w:b w:val="0"/>
          <w:i/>
          <w:color w:val="000000"/>
          <w:sz w:val="16"/>
          <w:szCs w:val="16"/>
          <w:shd w:val="clear" w:color="auto" w:fill="FFFFFF"/>
        </w:rPr>
        <w:t>;</w:t>
      </w:r>
      <w:r w:rsidRPr="00EF190F">
        <w:rPr>
          <w:rStyle w:val="Strong"/>
          <w:rFonts w:eastAsia="MS Gothic"/>
          <w:color w:val="000000"/>
          <w:sz w:val="16"/>
          <w:szCs w:val="16"/>
          <w:shd w:val="clear" w:color="auto" w:fill="FFFFFF"/>
        </w:rPr>
        <w:t xml:space="preserve"> </w:t>
      </w:r>
      <w:r w:rsidRPr="00EF190F">
        <w:rPr>
          <w:rStyle w:val="Strong"/>
          <w:rFonts w:eastAsia="MS Gothic"/>
          <w:b w:val="0"/>
          <w:i/>
          <w:color w:val="000000"/>
          <w:sz w:val="16"/>
          <w:szCs w:val="16"/>
          <w:shd w:val="clear" w:color="auto" w:fill="FFFFFF"/>
        </w:rPr>
        <w:t xml:space="preserve">Caso Gelman Vs. Uruguay. Fondo y Reparaciones. </w:t>
      </w:r>
      <w:r w:rsidRPr="00EF190F">
        <w:rPr>
          <w:rStyle w:val="Strong"/>
          <w:rFonts w:eastAsia="MS Gothic"/>
          <w:b w:val="0"/>
          <w:color w:val="000000"/>
          <w:sz w:val="16"/>
          <w:szCs w:val="16"/>
          <w:shd w:val="clear" w:color="auto" w:fill="FFFFFF"/>
        </w:rPr>
        <w:t>Sentencia de 24 de febrero de 2011. Serie C No. 221, párr. 99, píe de página 113</w:t>
      </w:r>
      <w:r w:rsidRPr="00EF190F">
        <w:rPr>
          <w:spacing w:val="-4"/>
          <w:sz w:val="16"/>
          <w:szCs w:val="16"/>
        </w:rPr>
        <w:t>,</w:t>
      </w:r>
      <w:r w:rsidRPr="00EF190F">
        <w:rPr>
          <w:b/>
          <w:bCs/>
          <w:color w:val="000000"/>
          <w:sz w:val="16"/>
          <w:szCs w:val="16"/>
          <w:shd w:val="clear" w:color="auto" w:fill="FFFFFF"/>
          <w:lang w:val="es-CR"/>
        </w:rPr>
        <w:t xml:space="preserve"> </w:t>
      </w:r>
      <w:r w:rsidRPr="00EF190F">
        <w:rPr>
          <w:bCs/>
          <w:i/>
          <w:spacing w:val="-4"/>
          <w:sz w:val="16"/>
          <w:szCs w:val="16"/>
          <w:lang w:val="es-CR"/>
        </w:rPr>
        <w:t>Caso Contreras y otros Vs. El Salvador. Fondo, Reparaciones y Costas</w:t>
      </w:r>
      <w:r w:rsidRPr="00EF190F">
        <w:rPr>
          <w:bCs/>
          <w:spacing w:val="-4"/>
          <w:sz w:val="16"/>
          <w:szCs w:val="16"/>
          <w:lang w:val="es-CR"/>
        </w:rPr>
        <w:t>. Sentencia de 31 de agosto de 2011. Serie C No. 232, párr. 82, pie de página 102.</w:t>
      </w:r>
    </w:p>
  </w:footnote>
  <w:footnote w:id="22">
    <w:p w14:paraId="1ECA3913" w14:textId="77777777" w:rsidR="006A0E1C" w:rsidRPr="00EF190F" w:rsidRDefault="006A0E1C" w:rsidP="006A0E1C">
      <w:pPr>
        <w:pStyle w:val="FootnoteText"/>
        <w:rPr>
          <w:i/>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Véase, </w:t>
      </w:r>
      <w:r w:rsidRPr="00EF190F">
        <w:rPr>
          <w:sz w:val="16"/>
          <w:szCs w:val="16"/>
        </w:rPr>
        <w:t>el artículo 64 de la Convención Americana.</w:t>
      </w:r>
    </w:p>
  </w:footnote>
  <w:footnote w:id="23">
    <w:p w14:paraId="4EFC437A" w14:textId="77777777" w:rsidR="006A0E1C" w:rsidRPr="00EF190F" w:rsidRDefault="006A0E1C" w:rsidP="006A0E1C">
      <w:pPr>
        <w:pStyle w:val="FootnoteText"/>
        <w:contextualSpacing/>
        <w:rPr>
          <w:spacing w:val="-4"/>
          <w:sz w:val="16"/>
          <w:szCs w:val="16"/>
        </w:rPr>
      </w:pPr>
      <w:r w:rsidRPr="00EF190F">
        <w:rPr>
          <w:spacing w:val="-4"/>
          <w:sz w:val="16"/>
          <w:szCs w:val="16"/>
          <w:vertAlign w:val="superscript"/>
        </w:rPr>
        <w:footnoteRef/>
      </w:r>
      <w:r w:rsidRPr="00EF190F">
        <w:rPr>
          <w:spacing w:val="-4"/>
          <w:sz w:val="16"/>
          <w:szCs w:val="16"/>
          <w:vertAlign w:val="superscript"/>
        </w:rPr>
        <w:t xml:space="preserve"> </w:t>
      </w:r>
      <w:r w:rsidRPr="00EF190F">
        <w:rPr>
          <w:spacing w:val="-4"/>
          <w:sz w:val="16"/>
          <w:szCs w:val="16"/>
        </w:rPr>
        <w:t xml:space="preserve"> </w:t>
      </w:r>
      <w:r w:rsidRPr="00EF190F">
        <w:rPr>
          <w:spacing w:val="-4"/>
          <w:sz w:val="16"/>
          <w:szCs w:val="16"/>
        </w:rPr>
        <w:tab/>
        <w:t xml:space="preserve">Al respecto, citó el </w:t>
      </w:r>
      <w:r w:rsidRPr="00EF190F">
        <w:rPr>
          <w:i/>
          <w:spacing w:val="-4"/>
          <w:sz w:val="16"/>
          <w:szCs w:val="16"/>
        </w:rPr>
        <w:t>Caso Masacres de El Mozote y lugares aledaños Vs. El Salvador</w:t>
      </w:r>
      <w:r w:rsidRPr="00EF190F">
        <w:rPr>
          <w:spacing w:val="-4"/>
          <w:sz w:val="16"/>
          <w:szCs w:val="16"/>
        </w:rPr>
        <w:t xml:space="preserve"> y el Voto Concurrente del Juez Diego García Sayán en el mismo.</w:t>
      </w:r>
    </w:p>
  </w:footnote>
  <w:footnote w:id="24">
    <w:p w14:paraId="3EB5744A" w14:textId="77777777" w:rsidR="006A0E1C" w:rsidRPr="00EF190F" w:rsidRDefault="006A0E1C" w:rsidP="006A0E1C">
      <w:pPr>
        <w:pStyle w:val="FootnoteText"/>
        <w:contextualSpacing/>
        <w:rPr>
          <w:rFonts w:eastAsia="Batang"/>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rFonts w:eastAsia="Verdana" w:cs="Verdana"/>
          <w:i/>
          <w:sz w:val="16"/>
          <w:szCs w:val="16"/>
        </w:rPr>
        <w:t xml:space="preserve">Caso Velásquez Rodríguez Vs. Honduras. Excepciones Preliminares. </w:t>
      </w:r>
      <w:r w:rsidRPr="00EF190F">
        <w:rPr>
          <w:rFonts w:eastAsia="Verdana" w:cs="Verdana"/>
          <w:sz w:val="16"/>
          <w:szCs w:val="16"/>
        </w:rPr>
        <w:t>Sentencia de 26 de junio de 1987. Serie C No. 1</w:t>
      </w:r>
      <w:r w:rsidRPr="00EF190F">
        <w:rPr>
          <w:rFonts w:eastAsia="Verdana" w:cs="Verdana"/>
          <w:i/>
          <w:sz w:val="16"/>
          <w:szCs w:val="16"/>
        </w:rPr>
        <w:t>,</w:t>
      </w:r>
      <w:r w:rsidRPr="00EF190F">
        <w:rPr>
          <w:rFonts w:eastAsia="Verdana" w:cs="Verdana"/>
          <w:i/>
          <w:spacing w:val="15"/>
          <w:sz w:val="16"/>
          <w:szCs w:val="16"/>
        </w:rPr>
        <w:t xml:space="preserve"> </w:t>
      </w:r>
      <w:r w:rsidRPr="00EF190F">
        <w:rPr>
          <w:rFonts w:eastAsia="Verdana" w:cs="Verdana"/>
          <w:sz w:val="16"/>
          <w:szCs w:val="16"/>
        </w:rPr>
        <w:t>p</w:t>
      </w:r>
      <w:r w:rsidRPr="00EF190F">
        <w:rPr>
          <w:rFonts w:eastAsia="Verdana" w:cs="Verdana"/>
          <w:spacing w:val="-3"/>
          <w:sz w:val="16"/>
          <w:szCs w:val="16"/>
        </w:rPr>
        <w:t>á</w:t>
      </w:r>
      <w:r w:rsidRPr="00EF190F">
        <w:rPr>
          <w:rFonts w:eastAsia="Verdana" w:cs="Verdana"/>
          <w:spacing w:val="1"/>
          <w:sz w:val="16"/>
          <w:szCs w:val="16"/>
        </w:rPr>
        <w:t>rr</w:t>
      </w:r>
      <w:r w:rsidRPr="00EF190F">
        <w:rPr>
          <w:rFonts w:eastAsia="Verdana" w:cs="Verdana"/>
          <w:sz w:val="16"/>
          <w:szCs w:val="16"/>
        </w:rPr>
        <w:t>.</w:t>
      </w:r>
      <w:r w:rsidRPr="00EF190F">
        <w:rPr>
          <w:rFonts w:eastAsia="Verdana" w:cs="Verdana"/>
          <w:spacing w:val="15"/>
          <w:sz w:val="16"/>
          <w:szCs w:val="16"/>
        </w:rPr>
        <w:t xml:space="preserve"> </w:t>
      </w:r>
      <w:r w:rsidRPr="00EF190F">
        <w:rPr>
          <w:rFonts w:eastAsia="Verdana" w:cs="Verdana"/>
          <w:spacing w:val="-1"/>
          <w:sz w:val="16"/>
          <w:szCs w:val="16"/>
        </w:rPr>
        <w:t>8</w:t>
      </w:r>
      <w:r w:rsidRPr="00EF190F">
        <w:rPr>
          <w:rFonts w:eastAsia="Verdana" w:cs="Verdana"/>
          <w:spacing w:val="1"/>
          <w:sz w:val="16"/>
          <w:szCs w:val="16"/>
        </w:rPr>
        <w:t>8</w:t>
      </w:r>
      <w:r w:rsidRPr="00EF190F">
        <w:rPr>
          <w:sz w:val="16"/>
          <w:szCs w:val="16"/>
        </w:rPr>
        <w:t xml:space="preserve">, </w:t>
      </w:r>
      <w:r w:rsidRPr="00EF190F">
        <w:rPr>
          <w:i/>
          <w:sz w:val="16"/>
          <w:szCs w:val="16"/>
        </w:rPr>
        <w:t>Caso Herrera Espinoza y otros Vs. Ecuador. Excepciones Preliminares, Fondo, Reparaciones y Costas</w:t>
      </w:r>
      <w:r w:rsidRPr="00EF190F">
        <w:rPr>
          <w:sz w:val="16"/>
          <w:szCs w:val="16"/>
        </w:rPr>
        <w:t>. Sentencia de 1 de septiembre de 2016. Serie C No. 316, párr. 25.</w:t>
      </w:r>
    </w:p>
  </w:footnote>
  <w:footnote w:id="25">
    <w:p w14:paraId="523B13F9" w14:textId="77777777" w:rsidR="006A0E1C" w:rsidRPr="00EF190F" w:rsidRDefault="006A0E1C" w:rsidP="006A0E1C">
      <w:pPr>
        <w:pStyle w:val="FootnoteText"/>
        <w:contextualSpacing/>
        <w:rPr>
          <w:i/>
          <w:sz w:val="16"/>
          <w:szCs w:val="16"/>
        </w:rPr>
      </w:pPr>
      <w:r w:rsidRPr="00EF190F">
        <w:rPr>
          <w:rStyle w:val="FootnoteReference"/>
          <w:sz w:val="16"/>
          <w:szCs w:val="16"/>
        </w:rPr>
        <w:footnoteRef/>
      </w:r>
      <w:r w:rsidRPr="00EF190F">
        <w:rPr>
          <w:sz w:val="16"/>
          <w:szCs w:val="16"/>
        </w:rPr>
        <w:tab/>
      </w:r>
      <w:r w:rsidRPr="00EF190F">
        <w:rPr>
          <w:i/>
          <w:sz w:val="16"/>
          <w:szCs w:val="16"/>
        </w:rPr>
        <w:t xml:space="preserve">Cfr. Caso Reverón Trujillo Vs. Venezuela. Excepción Preliminar, Fondo, Reparaciones y Costas. </w:t>
      </w:r>
      <w:r w:rsidRPr="00EF190F">
        <w:rPr>
          <w:sz w:val="16"/>
          <w:szCs w:val="16"/>
        </w:rPr>
        <w:t xml:space="preserve">Sentencia de 30 de junio de 2009. Serie C No. 197, párr. 23, y </w:t>
      </w:r>
      <w:r w:rsidRPr="00EF190F">
        <w:rPr>
          <w:i/>
          <w:sz w:val="16"/>
          <w:szCs w:val="16"/>
        </w:rPr>
        <w:t>Caso Flor Freire Vs. Ecuador. Excepción Preliminar, Fondo, Reparaciones y Costas</w:t>
      </w:r>
      <w:r w:rsidRPr="00EF190F">
        <w:rPr>
          <w:sz w:val="16"/>
          <w:szCs w:val="16"/>
        </w:rPr>
        <w:t>. Sentencia de 31 de agosto de 2016. Serie C No. 315</w:t>
      </w:r>
      <w:r w:rsidRPr="00EF190F">
        <w:rPr>
          <w:i/>
          <w:sz w:val="16"/>
          <w:szCs w:val="16"/>
        </w:rPr>
        <w:t xml:space="preserve">, </w:t>
      </w:r>
      <w:r w:rsidRPr="00EF190F">
        <w:rPr>
          <w:sz w:val="16"/>
          <w:szCs w:val="16"/>
        </w:rPr>
        <w:t xml:space="preserve">párr. 24. </w:t>
      </w:r>
    </w:p>
  </w:footnote>
  <w:footnote w:id="26">
    <w:p w14:paraId="3F7A102C"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Escrito del Estado de 10 de septiembre de 2008 (expediente de prueba, folio 2954).</w:t>
      </w:r>
    </w:p>
  </w:footnote>
  <w:footnote w:id="27">
    <w:p w14:paraId="48CB4439"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Escrito del Estado de 10 de septiembre de 2008 (expediente de prueba, folio 2954).</w:t>
      </w:r>
    </w:p>
  </w:footnote>
  <w:footnote w:id="28">
    <w:p w14:paraId="39050930" w14:textId="77777777" w:rsidR="006A0E1C" w:rsidRPr="00EF190F" w:rsidRDefault="006A0E1C" w:rsidP="006A0E1C">
      <w:pPr>
        <w:pStyle w:val="FootnoteText"/>
        <w:contextualSpacing/>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Escrito de contestación del Estado. (expediente de fondo, folio 1042), y </w:t>
      </w:r>
      <w:r w:rsidRPr="00EF190F">
        <w:rPr>
          <w:sz w:val="16"/>
          <w:szCs w:val="16"/>
        </w:rPr>
        <w:t>Escrito del Estado de 28 de abril de 2010 (expediente de prueba, folio 3220 y 3221).</w:t>
      </w:r>
    </w:p>
  </w:footnote>
  <w:footnote w:id="29">
    <w:p w14:paraId="113E3F0C" w14:textId="77777777" w:rsidR="006A0E1C" w:rsidRPr="00EF190F" w:rsidRDefault="006A0E1C" w:rsidP="006A0E1C">
      <w:pPr>
        <w:pStyle w:val="FootnoteText"/>
        <w:contextualSpacing/>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Véase, </w:t>
      </w:r>
      <w:r w:rsidRPr="00EF190F">
        <w:rPr>
          <w:i/>
          <w:sz w:val="16"/>
          <w:szCs w:val="16"/>
          <w:lang w:val="es-PR"/>
        </w:rPr>
        <w:t>Caso Masacres de Río Negro Vs. Guatemala</w:t>
      </w:r>
      <w:r w:rsidRPr="00EF190F">
        <w:rPr>
          <w:sz w:val="16"/>
          <w:szCs w:val="16"/>
          <w:lang w:val="es-PR"/>
        </w:rPr>
        <w:t xml:space="preserve">, párr. 194, y </w:t>
      </w:r>
      <w:r w:rsidRPr="00EF190F">
        <w:rPr>
          <w:i/>
          <w:sz w:val="16"/>
          <w:szCs w:val="16"/>
          <w:lang w:val="es-PR"/>
        </w:rPr>
        <w:t>Caso Masacres de El Mozote y lugares aledaños Vs. El Salvador,</w:t>
      </w:r>
      <w:r w:rsidRPr="00EF190F">
        <w:rPr>
          <w:sz w:val="16"/>
          <w:szCs w:val="16"/>
          <w:lang w:val="es-PR"/>
        </w:rPr>
        <w:t xml:space="preserve"> párrs. 242 a 244.</w:t>
      </w:r>
    </w:p>
  </w:footnote>
  <w:footnote w:id="30">
    <w:p w14:paraId="1C056336" w14:textId="77777777" w:rsidR="006A0E1C" w:rsidRPr="00EF190F" w:rsidRDefault="006A0E1C" w:rsidP="006A0E1C">
      <w:pPr>
        <w:pStyle w:val="FootnoteText"/>
        <w:contextualSpacing/>
        <w:rPr>
          <w:sz w:val="16"/>
          <w:szCs w:val="16"/>
          <w:lang w:val="es-PR"/>
        </w:rPr>
      </w:pPr>
      <w:r w:rsidRPr="00EF190F">
        <w:rPr>
          <w:rStyle w:val="FootnoteReference"/>
          <w:sz w:val="16"/>
          <w:szCs w:val="16"/>
        </w:rPr>
        <w:footnoteRef/>
      </w:r>
      <w:r w:rsidRPr="00EF190F">
        <w:rPr>
          <w:i/>
          <w:sz w:val="16"/>
          <w:szCs w:val="16"/>
        </w:rPr>
        <w:t xml:space="preserve"> </w:t>
      </w:r>
      <w:r w:rsidRPr="00EF190F">
        <w:rPr>
          <w:i/>
          <w:sz w:val="16"/>
          <w:szCs w:val="16"/>
        </w:rPr>
        <w:tab/>
      </w:r>
      <w:r w:rsidRPr="00EF190F">
        <w:rPr>
          <w:sz w:val="16"/>
          <w:szCs w:val="16"/>
        </w:rPr>
        <w:t xml:space="preserve">Este Tribunal ha sostenido que la responsabilidad estatal bajo la Convención sólo puede ser exigida a nivel internacional después de que el Estado haya tenido la oportunidad de declarar la violación y reparar el daño ocasionado por sus propios medios. Esto se asienta en el principio de complementariedad, que informa transversalmente el sistema interamericano de derechos humanos, el cual es, tal como lo expresa el Preámbulo de la misma Convención, “coadyuvante o complementario de la [protección] que ofrece el derecho interno de los Estados americanos”. </w:t>
      </w:r>
      <w:r w:rsidRPr="00EF190F">
        <w:rPr>
          <w:i/>
          <w:sz w:val="16"/>
          <w:szCs w:val="16"/>
          <w:lang w:val="es-PR"/>
        </w:rPr>
        <w:t>Cfr</w:t>
      </w:r>
      <w:r w:rsidRPr="00EF190F">
        <w:rPr>
          <w:sz w:val="16"/>
          <w:szCs w:val="16"/>
          <w:lang w:val="es-PR"/>
        </w:rPr>
        <w:t xml:space="preserve">. </w:t>
      </w:r>
      <w:r w:rsidRPr="00EF190F">
        <w:rPr>
          <w:i/>
          <w:sz w:val="16"/>
          <w:szCs w:val="16"/>
          <w:lang w:val="es-PR"/>
        </w:rPr>
        <w:t>Caso Tarazona Arrieta,</w:t>
      </w:r>
      <w:r w:rsidRPr="00EF190F">
        <w:rPr>
          <w:bCs/>
          <w:color w:val="000000"/>
          <w:sz w:val="16"/>
          <w:szCs w:val="16"/>
          <w:shd w:val="clear" w:color="auto" w:fill="FFFFFF"/>
          <w:lang w:val="es-CR"/>
        </w:rPr>
        <w:t xml:space="preserve"> </w:t>
      </w:r>
      <w:r w:rsidRPr="00EF190F">
        <w:rPr>
          <w:bCs/>
          <w:i/>
          <w:sz w:val="16"/>
          <w:szCs w:val="16"/>
          <w:lang w:val="es-CR"/>
        </w:rPr>
        <w:t xml:space="preserve">Excepción Preliminar, Fondo, Reparaciones y Costas. </w:t>
      </w:r>
      <w:r w:rsidRPr="00EF190F">
        <w:rPr>
          <w:bCs/>
          <w:sz w:val="16"/>
          <w:szCs w:val="16"/>
          <w:lang w:val="es-CR"/>
        </w:rPr>
        <w:t>Sentencia de 15 de octubre de 2014. Serie C No. 286.</w:t>
      </w:r>
      <w:r w:rsidRPr="00EF190F">
        <w:rPr>
          <w:i/>
          <w:sz w:val="16"/>
          <w:szCs w:val="16"/>
          <w:lang w:val="es-PR"/>
        </w:rPr>
        <w:t xml:space="preserve"> </w:t>
      </w:r>
      <w:r w:rsidRPr="00EF190F">
        <w:rPr>
          <w:sz w:val="16"/>
          <w:szCs w:val="16"/>
          <w:lang w:val="es-PR"/>
        </w:rPr>
        <w:t>párr. 137.</w:t>
      </w:r>
    </w:p>
  </w:footnote>
  <w:footnote w:id="31">
    <w:p w14:paraId="15BBDCC5"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Masacres de Rio Negro Vs. </w:t>
      </w:r>
      <w:r w:rsidRPr="00EF190F">
        <w:rPr>
          <w:i/>
          <w:sz w:val="16"/>
          <w:szCs w:val="16"/>
        </w:rPr>
        <w:t>Guatemala</w:t>
      </w:r>
      <w:r w:rsidRPr="00EF190F">
        <w:rPr>
          <w:bCs/>
          <w:i/>
          <w:sz w:val="16"/>
          <w:szCs w:val="16"/>
          <w:lang w:val="es-CR"/>
        </w:rPr>
        <w:t xml:space="preserve">, </w:t>
      </w:r>
      <w:r w:rsidRPr="00EF190F">
        <w:rPr>
          <w:sz w:val="16"/>
          <w:szCs w:val="16"/>
        </w:rPr>
        <w:t>párr. 296</w:t>
      </w:r>
      <w:r w:rsidRPr="00EF190F">
        <w:rPr>
          <w:i/>
          <w:sz w:val="16"/>
          <w:szCs w:val="16"/>
        </w:rPr>
        <w:t>; Caso de las comunidades afrodescendientes desplazadas de la Cuenca del Río Cacarica (Operación Génesis) Vs. Colombia</w:t>
      </w:r>
      <w:r w:rsidRPr="00EF190F">
        <w:rPr>
          <w:sz w:val="16"/>
          <w:szCs w:val="16"/>
        </w:rPr>
        <w:t>, párrs. 469 a 476</w:t>
      </w:r>
      <w:r w:rsidRPr="00EF190F">
        <w:rPr>
          <w:i/>
          <w:sz w:val="16"/>
          <w:szCs w:val="16"/>
        </w:rPr>
        <w:t xml:space="preserve">, y Caso </w:t>
      </w:r>
      <w:r w:rsidRPr="00EF190F">
        <w:rPr>
          <w:bCs/>
          <w:i/>
          <w:sz w:val="16"/>
          <w:szCs w:val="16"/>
        </w:rPr>
        <w:t xml:space="preserve">Rodríguez Vera y otros (Desaparecidos del Palacio de Justicia) Vs. Colombia, </w:t>
      </w:r>
      <w:r w:rsidRPr="00EF190F">
        <w:rPr>
          <w:bCs/>
          <w:sz w:val="16"/>
          <w:szCs w:val="16"/>
        </w:rPr>
        <w:t>párr. 548.</w:t>
      </w:r>
    </w:p>
  </w:footnote>
  <w:footnote w:id="32">
    <w:p w14:paraId="63113659"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z w:val="16"/>
          <w:szCs w:val="16"/>
          <w:lang w:val="es-PR"/>
        </w:rPr>
        <w:t xml:space="preserve">Mediante escrito de 29 de julio de 2011, presentado en el trámite ante la Comisión, Guatemala manifestó que, “tomando en consideración que el Presidente de la República […] ha pedido perdón en el nombre del Estado a familiares de algunas víctimas por las angustias y el dolor causado durante el conflicto armado interno, […] en el presente caso acepta su responsabilidad internacional por las violaciones alegadas y fundamentadas por los peticionarios, a partir de la ejecución de los hechos hasta la presente fecha, respecto a las víctimas plenamente identificadas, cuya violación de derechos se comprueba mediante los expedientes abiertos ante las instituciones de justicia nacional, y respecto a las víctimas individualizadas que se encuentren documentadas en el Informe de la Comisión para el Esclarecimiento Histórico” </w:t>
      </w:r>
      <w:r w:rsidRPr="00EF190F">
        <w:rPr>
          <w:sz w:val="16"/>
          <w:szCs w:val="16"/>
        </w:rPr>
        <w:t>(expediente de prueba, folio 3159).</w:t>
      </w:r>
    </w:p>
  </w:footnote>
  <w:footnote w:id="33">
    <w:p w14:paraId="265EEACC"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Artículo 62. Reconocimiento. “Si el demandado comunicare a la Corte su aceptación de los hechos o su allanamiento total o parcial a las pretensiones que constan en el sometimiento del caso o en el escrito de las presuntas víctimas o sus representantes, la Corte, oído el parecer de los demás intervinientes en el proceso, resolverá, en el momento procesal oportuno, sobre su procedencia y sus efectos jurídicos”. </w:t>
      </w:r>
    </w:p>
  </w:footnote>
  <w:footnote w:id="34">
    <w:p w14:paraId="22624E42"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Artículo 64. Prosecución del examen del caso. “La Corte, teniendo en cuenta las responsabilidades que le incumben de proteger los derechos humanos, podrá decidir que prosiga el examen del caso, aun en presencia de los supuestos señalados en los artículos precedentes”. </w:t>
      </w:r>
    </w:p>
  </w:footnote>
  <w:footnote w:id="35">
    <w:p w14:paraId="3060EBA8"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Artículo 41.3: “La Corte podrá considerar aceptados aquellos hechos que no hayan sido expresamente negados y las pretensiones que no hayan sido expresamente controvertidas”.</w:t>
      </w:r>
    </w:p>
  </w:footnote>
  <w:footnote w:id="36">
    <w:p w14:paraId="113D4FEB"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Según la práctica internacional, cuando una parte en un litigio ha adoptado una actitud determinada que redunda en deterioro propio o en beneficio de la contraria, no puede luego, en virtud del principio del </w:t>
      </w:r>
      <w:r w:rsidRPr="00EF190F">
        <w:rPr>
          <w:i/>
          <w:sz w:val="16"/>
          <w:szCs w:val="16"/>
        </w:rPr>
        <w:t>estoppel</w:t>
      </w:r>
      <w:r w:rsidRPr="00EF190F">
        <w:rPr>
          <w:sz w:val="16"/>
          <w:szCs w:val="16"/>
        </w:rPr>
        <w:t xml:space="preserve">, asumir otra conducta que sea contradictoria con la primera. </w:t>
      </w:r>
      <w:r w:rsidRPr="00EF190F">
        <w:rPr>
          <w:i/>
          <w:sz w:val="16"/>
          <w:szCs w:val="16"/>
        </w:rPr>
        <w:t>Cfr. Caso Huilca Tecse Vs. Perú. Fondo, Reparaciones y Costas</w:t>
      </w:r>
      <w:r w:rsidRPr="00EF190F">
        <w:rPr>
          <w:sz w:val="16"/>
          <w:szCs w:val="16"/>
        </w:rPr>
        <w:t xml:space="preserve">. Sentencia de 3 de marzo de 2005. Serie C No. 121, párr. 56, y </w:t>
      </w:r>
      <w:r w:rsidRPr="00EF190F">
        <w:rPr>
          <w:i/>
          <w:sz w:val="16"/>
          <w:szCs w:val="16"/>
        </w:rPr>
        <w:t>Caso Comunidad Campesina de Santa Bárbara Vs. Perú. Excepciones Preliminares, Fondo, Reparaciones y Costas</w:t>
      </w:r>
      <w:r w:rsidRPr="00EF190F">
        <w:rPr>
          <w:sz w:val="16"/>
          <w:szCs w:val="16"/>
        </w:rPr>
        <w:t>. Sentencia de 1 de septiembre de 2015. Serie C No. 299, párr. 27.</w:t>
      </w:r>
    </w:p>
  </w:footnote>
  <w:footnote w:id="37">
    <w:p w14:paraId="782FB393" w14:textId="77777777" w:rsidR="006A0E1C" w:rsidRPr="00EF190F" w:rsidRDefault="006A0E1C" w:rsidP="006A0E1C">
      <w:pPr>
        <w:spacing w:line="240" w:lineRule="auto"/>
        <w:ind w:right="4"/>
        <w:rPr>
          <w:sz w:val="16"/>
          <w:szCs w:val="16"/>
          <w:lang w:val="es-ES"/>
        </w:rPr>
      </w:pPr>
      <w:r w:rsidRPr="00EF190F">
        <w:rPr>
          <w:rStyle w:val="FootnoteReference"/>
          <w:sz w:val="16"/>
          <w:szCs w:val="16"/>
        </w:rPr>
        <w:footnoteRef/>
      </w:r>
      <w:r w:rsidRPr="00EF190F">
        <w:rPr>
          <w:sz w:val="16"/>
          <w:szCs w:val="16"/>
        </w:rPr>
        <w:t xml:space="preserve"> </w:t>
      </w:r>
      <w:r w:rsidRPr="00EF190F">
        <w:rPr>
          <w:sz w:val="16"/>
          <w:szCs w:val="16"/>
        </w:rPr>
        <w:tab/>
        <w:t>Mediante escritos de 30 de julio y 14 de septiembre de 2015, el Estado reiteró su rechazo a la inclusión de nuevas presuntas víctimas.</w:t>
      </w:r>
      <w:r w:rsidRPr="00EF190F">
        <w:rPr>
          <w:b/>
          <w:sz w:val="16"/>
          <w:szCs w:val="16"/>
        </w:rPr>
        <w:t xml:space="preserve"> </w:t>
      </w:r>
      <w:r w:rsidRPr="00EF190F">
        <w:rPr>
          <w:sz w:val="16"/>
          <w:szCs w:val="16"/>
          <w:lang w:val="es-PR"/>
        </w:rPr>
        <w:t xml:space="preserve">La presentación por parte del Estado del escrito de 30 de </w:t>
      </w:r>
      <w:r w:rsidRPr="00EF190F">
        <w:rPr>
          <w:sz w:val="16"/>
          <w:szCs w:val="16"/>
        </w:rPr>
        <w:t>julio</w:t>
      </w:r>
      <w:r w:rsidRPr="00EF190F">
        <w:rPr>
          <w:sz w:val="16"/>
          <w:szCs w:val="16"/>
          <w:lang w:val="es-PR"/>
        </w:rPr>
        <w:t xml:space="preserve"> de 2015, titulado “Postura del Estado de Guatemala en relación con la inclusión de nuevas </w:t>
      </w:r>
      <w:r w:rsidRPr="00EF190F">
        <w:rPr>
          <w:sz w:val="16"/>
          <w:szCs w:val="16"/>
          <w:lang w:val="es-ES_tradnl"/>
        </w:rPr>
        <w:t>víctimas</w:t>
      </w:r>
      <w:r w:rsidRPr="00EF190F">
        <w:rPr>
          <w:sz w:val="16"/>
          <w:szCs w:val="16"/>
          <w:lang w:val="es-PR"/>
        </w:rPr>
        <w:t xml:space="preserve"> en el Caso […]”, no se encuentra prevista dentro del Reglamento de la Corte. Por tanto, los alegatos expuestos a través de dicho escrito son extemporáneos y no serán tomados en cuenta. Del mismo modo, a fin de garantizar la posibilidad de contradictorio, mediante nota de Secretaría de 4 de agosto de 2015 se solicitó a los representantes y a la Comisión presentar las observaciones que estimaran pertinentes al mencionado escrito del Estado. Sin embargo, debido a que dicho escrito no forma parte del proceso, el Tribunal tampoco tomará en cuenta las observaciones de los representantes y la Comisión en cuanto a este punto, remitidas mediante escritos de 30 y 31 de agosto de 2015, respectivamente. Por otra parte, a través de su escrito de observaciones a las listas definitivas de declarantes de la Comisión y los representantes, presentado el 14 de septiembre de 2015, el Estado nuevamente expuso alegatos relativos a la inclusión de otras presuntas víctimas. Dichos alegatos tampoco serán tomados en cuenta por el Tribunal, debido a que este no era el momento procesal oportuno para ello. </w:t>
      </w:r>
    </w:p>
  </w:footnote>
  <w:footnote w:id="38">
    <w:p w14:paraId="5908FA00" w14:textId="77777777" w:rsidR="006A0E1C" w:rsidRPr="00EF190F" w:rsidRDefault="006A0E1C" w:rsidP="006A0E1C">
      <w:pPr>
        <w:pStyle w:val="FootnoteText"/>
        <w:contextualSpacing/>
        <w:rPr>
          <w:sz w:val="16"/>
          <w:szCs w:val="16"/>
          <w:lang w:val="es-PR"/>
        </w:rPr>
      </w:pPr>
      <w:r w:rsidRPr="00EF190F">
        <w:rPr>
          <w:rStyle w:val="FootnoteReference"/>
          <w:sz w:val="16"/>
          <w:szCs w:val="16"/>
          <w:lang w:val="es-PR"/>
        </w:rPr>
        <w:footnoteRef/>
      </w:r>
      <w:r w:rsidRPr="00EF190F">
        <w:rPr>
          <w:sz w:val="16"/>
          <w:szCs w:val="16"/>
          <w:lang w:val="es-PR"/>
        </w:rPr>
        <w:t xml:space="preserve"> </w:t>
      </w:r>
      <w:r w:rsidRPr="00EF190F">
        <w:rPr>
          <w:sz w:val="16"/>
          <w:szCs w:val="16"/>
          <w:lang w:val="es-PR"/>
        </w:rPr>
        <w:tab/>
        <w:t xml:space="preserve">Cabe destacar que la Corte ha aplicado el artículo 35.2 de su Reglamento en los siguientes casos: </w:t>
      </w:r>
      <w:r w:rsidRPr="00EF190F">
        <w:rPr>
          <w:i/>
          <w:sz w:val="16"/>
          <w:szCs w:val="16"/>
          <w:lang w:val="es-PR"/>
        </w:rPr>
        <w:t>Caso Masacres de Río Negro Vs. Guatemala</w:t>
      </w:r>
      <w:r w:rsidRPr="00EF190F">
        <w:rPr>
          <w:sz w:val="16"/>
          <w:szCs w:val="16"/>
          <w:lang w:val="es-PR"/>
        </w:rPr>
        <w:t xml:space="preserve">, párrs. 48 a 51; </w:t>
      </w:r>
      <w:r w:rsidRPr="00EF190F">
        <w:rPr>
          <w:i/>
          <w:sz w:val="16"/>
          <w:szCs w:val="16"/>
          <w:lang w:val="es-PR"/>
        </w:rPr>
        <w:t xml:space="preserve">Caso Nadege Dorzema y otros Vs. República Dominicana. Fondo Reparaciones y Costas. </w:t>
      </w:r>
      <w:r w:rsidRPr="00EF190F">
        <w:rPr>
          <w:sz w:val="16"/>
          <w:szCs w:val="16"/>
          <w:lang w:val="es-PR"/>
        </w:rPr>
        <w:t xml:space="preserve">Sentencia de 24 de octubre de 2012. Serie C No. 251, párrs. 29 a 37; </w:t>
      </w:r>
      <w:r w:rsidRPr="00EF190F">
        <w:rPr>
          <w:i/>
          <w:sz w:val="16"/>
          <w:szCs w:val="16"/>
          <w:lang w:val="es-PR"/>
        </w:rPr>
        <w:t xml:space="preserve">Caso Masacres de El Mozote y lugares aledaños Vs. El Salvador, </w:t>
      </w:r>
      <w:r w:rsidRPr="00EF190F">
        <w:rPr>
          <w:sz w:val="16"/>
          <w:szCs w:val="16"/>
          <w:lang w:val="es-PR"/>
        </w:rPr>
        <w:t>párrs. 49 a 57</w:t>
      </w:r>
      <w:r w:rsidRPr="00EF190F">
        <w:rPr>
          <w:i/>
          <w:sz w:val="16"/>
          <w:szCs w:val="16"/>
          <w:lang w:val="es-PR"/>
        </w:rPr>
        <w:t>;</w:t>
      </w:r>
      <w:r w:rsidRPr="00EF190F">
        <w:rPr>
          <w:sz w:val="16"/>
          <w:szCs w:val="16"/>
          <w:lang w:val="es-PR"/>
        </w:rPr>
        <w:t xml:space="preserve"> </w:t>
      </w:r>
      <w:r w:rsidRPr="00EF190F">
        <w:rPr>
          <w:i/>
          <w:sz w:val="16"/>
          <w:szCs w:val="16"/>
          <w:lang w:val="es-PR"/>
        </w:rPr>
        <w:t>Caso de las comunidades afrodescendientes desplazadas de la Cuenca del Río Cacarica (Operación Génesis) Vs. Colombia</w:t>
      </w:r>
      <w:r w:rsidRPr="00EF190F">
        <w:rPr>
          <w:sz w:val="16"/>
          <w:szCs w:val="16"/>
          <w:lang w:val="es-PR"/>
        </w:rPr>
        <w:t>, párrs. 33 a 36</w:t>
      </w:r>
      <w:r w:rsidRPr="00EF190F">
        <w:rPr>
          <w:i/>
          <w:sz w:val="16"/>
          <w:szCs w:val="16"/>
          <w:lang w:val="es-PR"/>
        </w:rPr>
        <w:t xml:space="preserve">, y Caso Comunidad Campesina de Santa Bárbara Vs. Perú, </w:t>
      </w:r>
      <w:r w:rsidRPr="00EF190F">
        <w:rPr>
          <w:spacing w:val="-4"/>
          <w:sz w:val="16"/>
          <w:szCs w:val="16"/>
          <w:lang w:val="es-PR"/>
        </w:rPr>
        <w:t>párrs. 54 a 57.</w:t>
      </w:r>
      <w:r w:rsidRPr="00EF190F">
        <w:rPr>
          <w:sz w:val="16"/>
          <w:szCs w:val="16"/>
          <w:lang w:val="es-PR"/>
        </w:rPr>
        <w:t xml:space="preserve"> Asimismo, ha rechazado su aplicación en los siguientes casos: </w:t>
      </w:r>
      <w:r w:rsidRPr="00EF190F">
        <w:rPr>
          <w:i/>
          <w:sz w:val="16"/>
          <w:szCs w:val="16"/>
          <w:lang w:val="es-PR"/>
        </w:rPr>
        <w:t>Barbani Duarte y otros Vs. Uruguay. Fondo, Reparaciones y Costas</w:t>
      </w:r>
      <w:r w:rsidRPr="00EF190F">
        <w:rPr>
          <w:sz w:val="16"/>
          <w:szCs w:val="16"/>
          <w:lang w:val="es-PR"/>
        </w:rPr>
        <w:t xml:space="preserve">. Sentencia de 13 de octubre de 2011. Serie C No. 234, párr. 43; </w:t>
      </w:r>
      <w:r w:rsidRPr="00EF190F">
        <w:rPr>
          <w:i/>
          <w:sz w:val="16"/>
          <w:szCs w:val="16"/>
          <w:lang w:val="es-PR"/>
        </w:rPr>
        <w:t xml:space="preserve">Caso Defensor de Derechos Humanos y otros Vs. Guatemala. Excepciones Preliminares, Fondo, Reparaciones y Costas. </w:t>
      </w:r>
      <w:r w:rsidRPr="00EF190F">
        <w:rPr>
          <w:sz w:val="16"/>
          <w:szCs w:val="16"/>
          <w:lang w:val="es-PR"/>
        </w:rPr>
        <w:t xml:space="preserve">Sentencia de 28 de agosto de 2014. Serie C No. 283, párr. 47; </w:t>
      </w:r>
      <w:r w:rsidRPr="00EF190F">
        <w:rPr>
          <w:i/>
          <w:sz w:val="16"/>
          <w:szCs w:val="16"/>
          <w:lang w:val="es-PR"/>
        </w:rPr>
        <w:t xml:space="preserve">Caso García y familiares Vs. Guatemala. Fondo Reparaciones y Costas. </w:t>
      </w:r>
      <w:r w:rsidRPr="00EF190F">
        <w:rPr>
          <w:sz w:val="16"/>
          <w:szCs w:val="16"/>
          <w:lang w:val="es-PR"/>
        </w:rPr>
        <w:t xml:space="preserve">Sentencia de 29 noviembre de 2012. Serie C No. 258, párrs. 34 a 37; </w:t>
      </w:r>
      <w:r w:rsidRPr="00EF190F">
        <w:rPr>
          <w:i/>
          <w:sz w:val="16"/>
          <w:szCs w:val="16"/>
          <w:lang w:val="es-PR"/>
        </w:rPr>
        <w:t xml:space="preserve">Caso Suárez Peralta Vs. Ecuador. Excepciones Preliminares, Fondo, Reparaciones y Costas. </w:t>
      </w:r>
      <w:r w:rsidRPr="00EF190F">
        <w:rPr>
          <w:sz w:val="16"/>
          <w:szCs w:val="16"/>
          <w:lang w:val="es-PR"/>
        </w:rPr>
        <w:t xml:space="preserve">Sentencia de 21 de mayo de 2013. Serie C No. 261, párrs. 26 a 28; </w:t>
      </w:r>
      <w:r w:rsidRPr="00EF190F">
        <w:rPr>
          <w:i/>
          <w:sz w:val="16"/>
          <w:szCs w:val="16"/>
          <w:lang w:val="es-PR"/>
        </w:rPr>
        <w:t xml:space="preserve">Caso J. Vs. Perú. Excepción Preliminar, Fondo, Reparaciones y Costas. </w:t>
      </w:r>
      <w:r w:rsidRPr="00EF190F">
        <w:rPr>
          <w:sz w:val="16"/>
          <w:szCs w:val="16"/>
          <w:lang w:val="es-PR"/>
        </w:rPr>
        <w:t xml:space="preserve">Sentencia de 27 de noviembre de 2013. Serie C No. 275, párrs. 23 a 25; </w:t>
      </w:r>
      <w:r w:rsidRPr="00EF190F">
        <w:rPr>
          <w:i/>
          <w:sz w:val="16"/>
          <w:szCs w:val="16"/>
          <w:lang w:val="es-PR"/>
        </w:rPr>
        <w:t xml:space="preserve">Caso Rochac Hernández y otros Vs. El Salvador. Fondo, Reparaciones y Costas. </w:t>
      </w:r>
      <w:r w:rsidRPr="00EF190F">
        <w:rPr>
          <w:sz w:val="16"/>
          <w:szCs w:val="16"/>
          <w:lang w:val="es-PR"/>
        </w:rPr>
        <w:t xml:space="preserve">Sentencia de 14 de octubre de 2014. Serie C No. 285, párr. 34, y </w:t>
      </w:r>
      <w:r w:rsidRPr="00EF190F">
        <w:rPr>
          <w:i/>
          <w:sz w:val="16"/>
          <w:szCs w:val="16"/>
          <w:lang w:val="es-PR"/>
        </w:rPr>
        <w:t xml:space="preserve">Caso Argüelles y otros Vs. Argentina. Excepciones Preliminares, Fondo, Reparaciones y Costas. </w:t>
      </w:r>
      <w:r w:rsidRPr="00EF190F">
        <w:rPr>
          <w:sz w:val="16"/>
          <w:szCs w:val="16"/>
          <w:lang w:val="es-PR"/>
        </w:rPr>
        <w:t>Sentencia de 20 de noviembre de 2014. Serie C No. 288, párr. 236.</w:t>
      </w:r>
    </w:p>
  </w:footnote>
  <w:footnote w:id="39">
    <w:p w14:paraId="486BA58B"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pacing w:val="-4"/>
          <w:sz w:val="16"/>
          <w:szCs w:val="16"/>
          <w:lang w:val="es-ES"/>
        </w:rPr>
        <w:t>Declaración</w:t>
      </w:r>
      <w:r w:rsidRPr="00EF190F">
        <w:rPr>
          <w:sz w:val="16"/>
          <w:szCs w:val="16"/>
        </w:rPr>
        <w:t xml:space="preserve"> ante fedatario público de Alejandro Rodríguez Barillas (expediente de prueba, folios 11504 a 11591).</w:t>
      </w:r>
    </w:p>
  </w:footnote>
  <w:footnote w:id="40">
    <w:p w14:paraId="64BAB3A4"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Declaración ante fedatario público de Ramón Cadena Rámila (expediente de prueba, folios 11600 a 11654).</w:t>
      </w:r>
    </w:p>
  </w:footnote>
  <w:footnote w:id="41">
    <w:p w14:paraId="698A74DD"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Declaración ante fedatario público de Miguel Sic Osorio (expediente de prueba, folios 11592 a 11599).</w:t>
      </w:r>
    </w:p>
  </w:footnote>
  <w:footnote w:id="42">
    <w:p w14:paraId="7FB23DC3"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pacing w:val="-4"/>
          <w:sz w:val="16"/>
          <w:szCs w:val="16"/>
          <w:lang w:val="es-ES"/>
        </w:rPr>
        <w:t>Mediante escrito de 4 de abril de 2016 la Comisión desistió de presentar el peritaje de Antonio Delgado. Mediante comunicación recibida el 11 de abril de 2016, el Estado comunicó el desistimiento de la presentación, tanto por affidávit como durante la audiencia, de los tres peritos y dos testigos convocados mediante Resolución de 28 de marzo de 2016.</w:t>
      </w:r>
    </w:p>
  </w:footnote>
  <w:footnote w:id="43">
    <w:p w14:paraId="73F86F3A" w14:textId="77777777" w:rsidR="006A0E1C" w:rsidRPr="00EF190F" w:rsidRDefault="006A0E1C" w:rsidP="006A0E1C">
      <w:pPr>
        <w:pStyle w:val="FootnoteText"/>
        <w:tabs>
          <w:tab w:val="left" w:pos="360"/>
          <w:tab w:val="left" w:pos="720"/>
        </w:tabs>
        <w:contextualSpacing/>
        <w:rPr>
          <w:spacing w:val="-4"/>
          <w:sz w:val="16"/>
          <w:szCs w:val="16"/>
          <w:lang w:val="es-GT"/>
        </w:rPr>
      </w:pPr>
      <w:r w:rsidRPr="00EF190F">
        <w:rPr>
          <w:rStyle w:val="FootnoteReference"/>
          <w:rFonts w:eastAsia="Batang"/>
          <w:spacing w:val="-4"/>
          <w:sz w:val="16"/>
          <w:szCs w:val="16"/>
        </w:rPr>
        <w:footnoteRef/>
      </w:r>
      <w:r w:rsidRPr="00EF190F">
        <w:rPr>
          <w:spacing w:val="-4"/>
          <w:sz w:val="16"/>
          <w:szCs w:val="16"/>
        </w:rPr>
        <w:t xml:space="preserve"> </w:t>
      </w:r>
      <w:r w:rsidRPr="00EF190F">
        <w:rPr>
          <w:spacing w:val="-4"/>
          <w:sz w:val="16"/>
          <w:szCs w:val="16"/>
        </w:rPr>
        <w:tab/>
      </w:r>
      <w:r w:rsidRPr="00EF190F">
        <w:rPr>
          <w:i/>
          <w:spacing w:val="-4"/>
          <w:sz w:val="16"/>
          <w:szCs w:val="16"/>
          <w:lang w:val="es-ES"/>
        </w:rPr>
        <w:t>Cfr.</w:t>
      </w:r>
      <w:r w:rsidRPr="00EF190F">
        <w:rPr>
          <w:spacing w:val="-4"/>
          <w:sz w:val="16"/>
          <w:szCs w:val="16"/>
          <w:lang w:val="es-ES"/>
        </w:rPr>
        <w:t xml:space="preserve"> </w:t>
      </w:r>
      <w:r w:rsidRPr="00EF190F">
        <w:rPr>
          <w:i/>
          <w:spacing w:val="-4"/>
          <w:sz w:val="16"/>
          <w:szCs w:val="16"/>
          <w:lang w:val="es-ES"/>
        </w:rPr>
        <w:t xml:space="preserve">Caso Velásquez Rodríguez Vs. Honduras. Fondo, </w:t>
      </w:r>
      <w:r w:rsidRPr="00EF190F">
        <w:rPr>
          <w:spacing w:val="-4"/>
          <w:sz w:val="16"/>
          <w:szCs w:val="16"/>
        </w:rPr>
        <w:t>párr. 140,</w:t>
      </w:r>
      <w:r w:rsidRPr="00EF190F">
        <w:rPr>
          <w:spacing w:val="-4"/>
          <w:sz w:val="16"/>
          <w:szCs w:val="16"/>
          <w:lang w:val="es-ES"/>
        </w:rPr>
        <w:t xml:space="preserve"> </w:t>
      </w:r>
      <w:r w:rsidRPr="00EF190F">
        <w:rPr>
          <w:spacing w:val="-4"/>
          <w:sz w:val="16"/>
          <w:szCs w:val="16"/>
        </w:rPr>
        <w:t xml:space="preserve">y </w:t>
      </w:r>
      <w:r w:rsidRPr="00EF190F">
        <w:rPr>
          <w:i/>
          <w:spacing w:val="-4"/>
          <w:sz w:val="16"/>
          <w:szCs w:val="16"/>
        </w:rPr>
        <w:t>Caso Herrera Espinoza y otros Vs. Ecuador</w:t>
      </w:r>
      <w:r w:rsidRPr="00EF190F">
        <w:rPr>
          <w:spacing w:val="-4"/>
          <w:sz w:val="16"/>
          <w:szCs w:val="16"/>
        </w:rPr>
        <w:t>, párr. 44.</w:t>
      </w:r>
    </w:p>
  </w:footnote>
  <w:footnote w:id="44">
    <w:p w14:paraId="1CCFFAFC" w14:textId="77777777" w:rsidR="006A0E1C" w:rsidRPr="00EF190F" w:rsidRDefault="006A0E1C" w:rsidP="006A0E1C">
      <w:pPr>
        <w:tabs>
          <w:tab w:val="left" w:pos="360"/>
        </w:tabs>
        <w:autoSpaceDE w:val="0"/>
        <w:autoSpaceDN w:val="0"/>
        <w:spacing w:line="240" w:lineRule="auto"/>
        <w:contextualSpacing/>
        <w:rPr>
          <w:sz w:val="16"/>
          <w:szCs w:val="16"/>
        </w:rPr>
      </w:pPr>
      <w:r w:rsidRPr="00EF190F">
        <w:rPr>
          <w:rStyle w:val="FootnoteReference"/>
          <w:rFonts w:eastAsia="Batang"/>
          <w:sz w:val="16"/>
          <w:szCs w:val="16"/>
        </w:rPr>
        <w:footnoteRef/>
      </w:r>
      <w:r w:rsidRPr="00EF190F">
        <w:rPr>
          <w:sz w:val="16"/>
          <w:szCs w:val="16"/>
        </w:rPr>
        <w:t xml:space="preserve"> </w:t>
      </w:r>
      <w:r w:rsidRPr="00EF190F">
        <w:rPr>
          <w:sz w:val="16"/>
          <w:szCs w:val="16"/>
          <w:lang w:val="es-PR"/>
        </w:rPr>
        <w:tab/>
      </w:r>
      <w:r w:rsidRPr="00EF190F">
        <w:rPr>
          <w:spacing w:val="-4"/>
          <w:sz w:val="16"/>
          <w:szCs w:val="16"/>
          <w:lang w:val="es-ES"/>
        </w:rPr>
        <w:t xml:space="preserve">Los documentos procurados de oficio por el Tribunal como prueba para mejor resolver son los siguientes: </w:t>
      </w:r>
      <w:r w:rsidRPr="00EF190F">
        <w:rPr>
          <w:rFonts w:cs="Arial"/>
          <w:color w:val="1D1D1D"/>
          <w:sz w:val="16"/>
          <w:szCs w:val="16"/>
        </w:rPr>
        <w:t>Guía número 10346061 de El Correo, de 20 de marzo de 2015 (expediente de prueba, folio 11734); Oficio de 19 de marzo de 2015 suscrito por Jose Lu</w:t>
      </w:r>
      <w:r w:rsidRPr="00EF190F">
        <w:rPr>
          <w:rFonts w:cs="Arial"/>
          <w:color w:val="363636"/>
          <w:sz w:val="16"/>
          <w:szCs w:val="16"/>
        </w:rPr>
        <w:t>i</w:t>
      </w:r>
      <w:r w:rsidRPr="00EF190F">
        <w:rPr>
          <w:rFonts w:cs="Arial"/>
          <w:color w:val="1D1D1D"/>
          <w:sz w:val="16"/>
          <w:szCs w:val="16"/>
        </w:rPr>
        <w:t>s Linares Gutiérrez, Auxiliar Fiscal I Ministerio Público (expediente de prueba, folios 11735 a 11745); Descripción de Álbum fotográfico de la Unidad de Recolección de Evidencias, Dirección de Investigac</w:t>
      </w:r>
      <w:r w:rsidRPr="00EF190F">
        <w:rPr>
          <w:rFonts w:cs="Arial"/>
          <w:color w:val="363636"/>
          <w:sz w:val="16"/>
          <w:szCs w:val="16"/>
        </w:rPr>
        <w:t>i</w:t>
      </w:r>
      <w:r w:rsidRPr="00EF190F">
        <w:rPr>
          <w:rFonts w:cs="Arial"/>
          <w:color w:val="1D1D1D"/>
          <w:sz w:val="16"/>
          <w:szCs w:val="16"/>
        </w:rPr>
        <w:t xml:space="preserve">ones Criminalísticas Ministerio Público. Informe No. ECA248-999-2015-118 Referencia No. MP248-2006-441 (expediente de prueba, folio 11746); Fotografía No. 1 y No. 2, referencia MP 248-2006-441 (expediente de prueba, folio 11747); Fotografía No. 3 </w:t>
      </w:r>
      <w:r w:rsidRPr="00EF190F">
        <w:rPr>
          <w:color w:val="1D1D1D"/>
          <w:sz w:val="16"/>
          <w:szCs w:val="16"/>
        </w:rPr>
        <w:t>y</w:t>
      </w:r>
      <w:r w:rsidRPr="00EF190F">
        <w:rPr>
          <w:rFonts w:cs="Arial"/>
          <w:color w:val="1D1D1D"/>
          <w:sz w:val="16"/>
          <w:szCs w:val="16"/>
        </w:rPr>
        <w:t xml:space="preserve"> No</w:t>
      </w:r>
      <w:r w:rsidRPr="00EF190F">
        <w:rPr>
          <w:rFonts w:cs="Arial"/>
          <w:color w:val="363636"/>
          <w:sz w:val="16"/>
          <w:szCs w:val="16"/>
        </w:rPr>
        <w:t xml:space="preserve">. </w:t>
      </w:r>
      <w:r w:rsidRPr="00EF190F">
        <w:rPr>
          <w:rFonts w:cs="Arial"/>
          <w:color w:val="1D1D1D"/>
          <w:sz w:val="16"/>
          <w:szCs w:val="16"/>
        </w:rPr>
        <w:t>4, referencia MP248-2006-441 (expediente de prueba, folio 11748); Fotografía No</w:t>
      </w:r>
      <w:r w:rsidRPr="00EF190F">
        <w:rPr>
          <w:rFonts w:cs="Arial"/>
          <w:color w:val="363636"/>
          <w:sz w:val="16"/>
          <w:szCs w:val="16"/>
        </w:rPr>
        <w:t xml:space="preserve">. </w:t>
      </w:r>
      <w:r w:rsidRPr="00EF190F">
        <w:rPr>
          <w:rFonts w:cs="Arial"/>
          <w:color w:val="1D1D1D"/>
          <w:sz w:val="16"/>
          <w:szCs w:val="16"/>
        </w:rPr>
        <w:t>5 y No. 6, referencia MP248-2006-441 (expediente de prueba, folio 11749); Fotografía No. 7 y No. 8, referenc</w:t>
      </w:r>
      <w:r w:rsidRPr="00EF190F">
        <w:rPr>
          <w:rFonts w:cs="Arial"/>
          <w:color w:val="363636"/>
          <w:sz w:val="16"/>
          <w:szCs w:val="16"/>
        </w:rPr>
        <w:t>i</w:t>
      </w:r>
      <w:r w:rsidRPr="00EF190F">
        <w:rPr>
          <w:rFonts w:cs="Arial"/>
          <w:color w:val="1D1D1D"/>
          <w:sz w:val="16"/>
          <w:szCs w:val="16"/>
        </w:rPr>
        <w:t>a MP248-2006-441 (expediente de prueba, folio 11750); Fotografía No. 9 y No. 10</w:t>
      </w:r>
      <w:r w:rsidRPr="00EF190F">
        <w:rPr>
          <w:rFonts w:cs="Arial"/>
          <w:color w:val="363636"/>
          <w:sz w:val="16"/>
          <w:szCs w:val="16"/>
        </w:rPr>
        <w:t xml:space="preserve">, </w:t>
      </w:r>
      <w:r w:rsidRPr="00EF190F">
        <w:rPr>
          <w:rFonts w:cs="Arial"/>
          <w:color w:val="1D1D1D"/>
          <w:sz w:val="16"/>
          <w:szCs w:val="16"/>
        </w:rPr>
        <w:t>referencia MP248-2006-441</w:t>
      </w:r>
      <w:r w:rsidRPr="00EF190F">
        <w:rPr>
          <w:rFonts w:cs="Arial"/>
          <w:color w:val="1E1E1E"/>
          <w:sz w:val="16"/>
          <w:szCs w:val="16"/>
        </w:rPr>
        <w:t xml:space="preserve"> </w:t>
      </w:r>
      <w:r w:rsidRPr="00EF190F">
        <w:rPr>
          <w:rFonts w:cs="Arial"/>
          <w:color w:val="1D1D1D"/>
          <w:sz w:val="16"/>
          <w:szCs w:val="16"/>
        </w:rPr>
        <w:t xml:space="preserve">(expediente de prueba, folio 11751); </w:t>
      </w:r>
      <w:r w:rsidRPr="00EF190F">
        <w:rPr>
          <w:rFonts w:cs="Arial"/>
          <w:color w:val="1E1E1E"/>
          <w:sz w:val="16"/>
          <w:szCs w:val="16"/>
        </w:rPr>
        <w:t xml:space="preserve">Fotografía No. 11 y No. 12, referencia MP248-2006-441 </w:t>
      </w:r>
      <w:r w:rsidRPr="00EF190F">
        <w:rPr>
          <w:rFonts w:cs="Arial"/>
          <w:color w:val="1D1D1D"/>
          <w:sz w:val="16"/>
          <w:szCs w:val="16"/>
        </w:rPr>
        <w:t xml:space="preserve">(expediente de prueba, folio 11752); </w:t>
      </w:r>
      <w:r w:rsidRPr="00EF190F">
        <w:rPr>
          <w:rFonts w:cs="Arial"/>
          <w:color w:val="1E1E1E"/>
          <w:sz w:val="16"/>
          <w:szCs w:val="16"/>
        </w:rPr>
        <w:t xml:space="preserve">Información de la Subdirección de Control Migratorio, de 26 de marzo de 2015 </w:t>
      </w:r>
      <w:r w:rsidRPr="00EF190F">
        <w:rPr>
          <w:rFonts w:cs="Arial"/>
          <w:color w:val="1D1D1D"/>
          <w:sz w:val="16"/>
          <w:szCs w:val="16"/>
        </w:rPr>
        <w:t xml:space="preserve">(expediente de prueba, folios 11753 a 11756); </w:t>
      </w:r>
      <w:r w:rsidRPr="00EF190F">
        <w:rPr>
          <w:rFonts w:cs="Arial"/>
          <w:color w:val="1E1E1E"/>
          <w:sz w:val="16"/>
          <w:szCs w:val="16"/>
        </w:rPr>
        <w:t xml:space="preserve">Solicitud de urgencia de anticipo de prueba de declaración testimonial en el expediente MP248-2006-441, de 16 de julio de 2013 </w:t>
      </w:r>
      <w:r w:rsidRPr="00EF190F">
        <w:rPr>
          <w:rFonts w:cs="Arial"/>
          <w:color w:val="1D1D1D"/>
          <w:sz w:val="16"/>
          <w:szCs w:val="16"/>
        </w:rPr>
        <w:t xml:space="preserve">(expediente de prueba, folios 11757 a 11760); </w:t>
      </w:r>
      <w:r w:rsidRPr="00EF190F">
        <w:rPr>
          <w:rFonts w:cs="Arial"/>
          <w:color w:val="1E1E1E"/>
          <w:sz w:val="16"/>
          <w:szCs w:val="16"/>
        </w:rPr>
        <w:t>Peritaje MP248-441-2006, aldea Guachipilín, de 31 de enero de 2008, expediente No. MP248-2006-441</w:t>
      </w:r>
      <w:r w:rsidRPr="00EF190F">
        <w:rPr>
          <w:rFonts w:cs="Arial"/>
          <w:color w:val="1D1D1D"/>
          <w:sz w:val="16"/>
          <w:szCs w:val="16"/>
        </w:rPr>
        <w:t xml:space="preserve"> (expediente de prueba, folios 11761 a 11776 bis 14); Anexo MP247-2003-1142 Ejecución (expediente de prueba, folios 11777 a 11903), y Anexo respuesta a la comunicación de fecha 12 de mayo de 2016, y Anexo MP248/2010/263 Elías Milián González, </w:t>
      </w:r>
      <w:r w:rsidRPr="00EF190F">
        <w:rPr>
          <w:rFonts w:cs="Arial"/>
          <w:color w:val="1E1E1E"/>
          <w:sz w:val="16"/>
          <w:szCs w:val="16"/>
        </w:rPr>
        <w:t>Parte del expediente del Ministerio Publico número 248-2006-441</w:t>
      </w:r>
      <w:r w:rsidRPr="00EF190F">
        <w:rPr>
          <w:rFonts w:cs="Arial"/>
          <w:color w:val="1D1D1D"/>
          <w:sz w:val="16"/>
          <w:szCs w:val="16"/>
        </w:rPr>
        <w:t xml:space="preserve"> (expediente de prueba, folios 11904 a 11907).</w:t>
      </w:r>
    </w:p>
  </w:footnote>
  <w:footnote w:id="45">
    <w:p w14:paraId="71DC5336" w14:textId="77777777" w:rsidR="006A0E1C" w:rsidRPr="00EF190F" w:rsidRDefault="006A0E1C" w:rsidP="006A0E1C">
      <w:pPr>
        <w:tabs>
          <w:tab w:val="left" w:pos="360"/>
          <w:tab w:val="left" w:pos="720"/>
        </w:tabs>
        <w:spacing w:line="240" w:lineRule="auto"/>
        <w:contextualSpacing/>
        <w:rPr>
          <w:sz w:val="16"/>
          <w:szCs w:val="16"/>
        </w:rPr>
      </w:pPr>
      <w:r w:rsidRPr="00EF190F">
        <w:rPr>
          <w:rStyle w:val="FootnoteReference"/>
          <w:rFonts w:eastAsia="Batang"/>
          <w:spacing w:val="-4"/>
          <w:sz w:val="16"/>
          <w:szCs w:val="16"/>
        </w:rPr>
        <w:footnoteRef/>
      </w:r>
      <w:r w:rsidRPr="00EF190F">
        <w:rPr>
          <w:spacing w:val="-4"/>
          <w:sz w:val="16"/>
          <w:szCs w:val="16"/>
          <w:lang w:val="es-ES"/>
        </w:rPr>
        <w:tab/>
      </w:r>
      <w:r w:rsidRPr="00EF190F">
        <w:rPr>
          <w:i/>
          <w:spacing w:val="-4"/>
          <w:sz w:val="16"/>
          <w:szCs w:val="16"/>
          <w:lang w:val="es-ES"/>
        </w:rPr>
        <w:t>Cfr. Caso Escué Zapata Vs. Colombia</w:t>
      </w:r>
      <w:r w:rsidRPr="00EF190F">
        <w:rPr>
          <w:spacing w:val="-4"/>
          <w:sz w:val="16"/>
          <w:szCs w:val="16"/>
          <w:lang w:val="es-ES"/>
        </w:rPr>
        <w:t xml:space="preserve">. </w:t>
      </w:r>
      <w:r w:rsidRPr="00EF190F">
        <w:rPr>
          <w:i/>
          <w:spacing w:val="-4"/>
          <w:sz w:val="16"/>
          <w:szCs w:val="16"/>
          <w:lang w:val="es-ES"/>
        </w:rPr>
        <w:t>Fondo, Reparaciones y Costas</w:t>
      </w:r>
      <w:r w:rsidRPr="00EF190F">
        <w:rPr>
          <w:spacing w:val="-4"/>
          <w:sz w:val="16"/>
          <w:szCs w:val="16"/>
          <w:lang w:val="es-ES"/>
        </w:rPr>
        <w:t xml:space="preserve">. Sentencia de 4 de julio de 2007. Serie C No. 165, párr. 26, y </w:t>
      </w:r>
      <w:r w:rsidRPr="00EF190F">
        <w:rPr>
          <w:i/>
          <w:spacing w:val="-4"/>
          <w:sz w:val="16"/>
          <w:szCs w:val="16"/>
          <w:lang w:val="es-ES"/>
        </w:rPr>
        <w:t xml:space="preserve">Caso Herrera Espinoza y otros Vs. Ecuador, </w:t>
      </w:r>
      <w:r w:rsidRPr="00EF190F">
        <w:rPr>
          <w:spacing w:val="-4"/>
          <w:sz w:val="16"/>
          <w:szCs w:val="16"/>
          <w:lang w:val="es-ES"/>
        </w:rPr>
        <w:t>párr. 45.</w:t>
      </w:r>
    </w:p>
  </w:footnote>
  <w:footnote w:id="46">
    <w:p w14:paraId="2C712B44" w14:textId="77777777" w:rsidR="006A0E1C" w:rsidRPr="00EF190F" w:rsidRDefault="006A0E1C" w:rsidP="006A0E1C">
      <w:pPr>
        <w:pStyle w:val="FootnoteText"/>
        <w:tabs>
          <w:tab w:val="left" w:pos="360"/>
        </w:tabs>
        <w:contextualSpacing/>
        <w:rPr>
          <w:sz w:val="16"/>
          <w:szCs w:val="16"/>
          <w:lang w:val="es-ES"/>
        </w:rPr>
      </w:pPr>
      <w:r w:rsidRPr="00EF190F">
        <w:rPr>
          <w:rStyle w:val="FootnoteReference"/>
          <w:sz w:val="16"/>
          <w:szCs w:val="16"/>
        </w:rPr>
        <w:footnoteRef/>
      </w:r>
      <w:r w:rsidRPr="00EF190F">
        <w:rPr>
          <w:sz w:val="16"/>
          <w:szCs w:val="16"/>
        </w:rPr>
        <w:tab/>
        <w:t>En lo pertinente, el artículo 58.a del Reglamento establece: “En cualquier estado de la causa la Corte podrá: a. Procurar de oficio toda prueba que considere útil y necesaria […]”.</w:t>
      </w:r>
    </w:p>
  </w:footnote>
  <w:footnote w:id="47">
    <w:p w14:paraId="0C9591DE" w14:textId="77777777" w:rsidR="006A0E1C" w:rsidRPr="00EF190F" w:rsidRDefault="006A0E1C" w:rsidP="006A0E1C">
      <w:pPr>
        <w:pStyle w:val="FootnoteText"/>
        <w:tabs>
          <w:tab w:val="left" w:pos="360"/>
          <w:tab w:val="left" w:pos="567"/>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 Caso de la “Panel Blanca” (Paniagua Morales y otros) Vs. Guatemala. Fondo</w:t>
      </w:r>
      <w:r w:rsidRPr="00EF190F">
        <w:rPr>
          <w:sz w:val="16"/>
          <w:szCs w:val="16"/>
        </w:rPr>
        <w:t xml:space="preserve">. Sentencia de 8 de marzo de 1998. Serie C No. 37, párr. 69 al 76, y </w:t>
      </w:r>
      <w:r w:rsidRPr="00EF190F">
        <w:rPr>
          <w:bCs/>
          <w:i/>
          <w:sz w:val="16"/>
          <w:szCs w:val="16"/>
          <w:lang w:val="es-CR"/>
        </w:rPr>
        <w:t>Caso Flor Freire Vs. Ecuador</w:t>
      </w:r>
      <w:r w:rsidRPr="00EF190F">
        <w:rPr>
          <w:bCs/>
          <w:sz w:val="16"/>
          <w:szCs w:val="16"/>
          <w:lang w:val="es-CR"/>
        </w:rPr>
        <w:t>, párr. 52.</w:t>
      </w:r>
    </w:p>
  </w:footnote>
  <w:footnote w:id="48">
    <w:p w14:paraId="6109B409"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Por ejemplo, la Corte se ha referido a: el Informe Final de la Comisión de Esclarecimiento Histórico de Guatemala; el Informe Final de la Comisión de la Verdad y Reconciliación del Perú; el Informe de la Comisión de la Verdad para El Salvador; el Informe de la Comisión Nacional de Verdad y Reconciliación, el Informe sobre calificación de víctimas de violaciones de derechos humanos y de la violencia política de la Corporación Nacional de Reparación y Reconciliación, y el Informe de la Comisión Nacional sobre prisión política y tortura, todos ellos de Chile, y al Informe de la Comisión de la Verdad sobre los hechos del Palacio de Justicia, en Colombia.</w:t>
      </w:r>
    </w:p>
  </w:footnote>
  <w:footnote w:id="49">
    <w:p w14:paraId="4C4C9490" w14:textId="77777777" w:rsidR="006A0E1C" w:rsidRPr="00EF190F" w:rsidRDefault="006A0E1C" w:rsidP="006A0E1C">
      <w:pPr>
        <w:pStyle w:val="FootnoteText"/>
        <w:tabs>
          <w:tab w:val="left" w:pos="360"/>
        </w:tabs>
        <w:contextualSpacing/>
        <w:rPr>
          <w:rStyle w:val="FootnoteReference"/>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Caso Myrna Mack Chang Vs. Guatemala. Fondo, Reparaciones y Costas. </w:t>
      </w:r>
      <w:r w:rsidRPr="00EF190F">
        <w:rPr>
          <w:sz w:val="16"/>
          <w:szCs w:val="16"/>
          <w:lang w:val="es-CR"/>
        </w:rPr>
        <w:t xml:space="preserve">Sentencia de 25 de noviembre de 2003. Serie C No. 101, párrs. 131 y 134, y </w:t>
      </w:r>
      <w:r w:rsidRPr="00EF190F">
        <w:rPr>
          <w:i/>
          <w:sz w:val="16"/>
          <w:szCs w:val="16"/>
          <w:lang w:val="es-CR"/>
        </w:rPr>
        <w:t>Caso Rodríguez Vera y otros (Desaparecidos del Palacio de Justicia) Vs. Colombia</w:t>
      </w:r>
      <w:r w:rsidRPr="00EF190F">
        <w:rPr>
          <w:sz w:val="16"/>
          <w:szCs w:val="16"/>
          <w:lang w:val="es-CR"/>
        </w:rPr>
        <w:t>, párr. 88</w:t>
      </w:r>
      <w:r w:rsidRPr="00EF190F">
        <w:rPr>
          <w:sz w:val="16"/>
          <w:szCs w:val="16"/>
        </w:rPr>
        <w:t>.</w:t>
      </w:r>
    </w:p>
  </w:footnote>
  <w:footnote w:id="50">
    <w:p w14:paraId="30EC233E" w14:textId="77777777" w:rsidR="006A0E1C" w:rsidRPr="00EF190F" w:rsidRDefault="006A0E1C" w:rsidP="006A0E1C">
      <w:pPr>
        <w:pStyle w:val="FootnoteText"/>
        <w:tabs>
          <w:tab w:val="left" w:pos="360"/>
        </w:tabs>
        <w:contextualSpacing/>
        <w:rPr>
          <w:sz w:val="16"/>
          <w:szCs w:val="16"/>
          <w:lang w:val="es-GT"/>
        </w:rPr>
      </w:pPr>
      <w:r w:rsidRPr="00EF190F">
        <w:rPr>
          <w:rStyle w:val="FootnoteReference"/>
          <w:sz w:val="16"/>
          <w:szCs w:val="16"/>
        </w:rPr>
        <w:footnoteRef/>
      </w:r>
      <w:r w:rsidRPr="00EF190F">
        <w:rPr>
          <w:sz w:val="16"/>
          <w:szCs w:val="16"/>
          <w:lang w:val="es-GT"/>
        </w:rPr>
        <w:t xml:space="preserve"> </w:t>
      </w:r>
      <w:r w:rsidRPr="00EF190F">
        <w:rPr>
          <w:b/>
          <w:sz w:val="16"/>
          <w:szCs w:val="16"/>
          <w:lang w:val="es-GT"/>
        </w:rPr>
        <w:tab/>
      </w:r>
      <w:r w:rsidRPr="00EF190F">
        <w:rPr>
          <w:i/>
          <w:sz w:val="16"/>
          <w:szCs w:val="16"/>
          <w:lang w:val="es-GT"/>
        </w:rPr>
        <w:t xml:space="preserve">Cfr. </w:t>
      </w:r>
      <w:r w:rsidRPr="00EF190F">
        <w:rPr>
          <w:sz w:val="16"/>
          <w:szCs w:val="16"/>
          <w:lang w:val="es-GT"/>
        </w:rPr>
        <w:t xml:space="preserve">Casos </w:t>
      </w:r>
      <w:r w:rsidRPr="00EF190F">
        <w:rPr>
          <w:rStyle w:val="Strong"/>
          <w:b w:val="0"/>
          <w:i/>
          <w:sz w:val="16"/>
          <w:szCs w:val="16"/>
          <w:shd w:val="clear" w:color="auto" w:fill="FFFFFF"/>
          <w:lang w:val="es-CR"/>
        </w:rPr>
        <w:t>Bámaca Velásquez,</w:t>
      </w:r>
      <w:r w:rsidRPr="00EF190F">
        <w:rPr>
          <w:rStyle w:val="Strong"/>
          <w:b w:val="0"/>
          <w:i/>
          <w:sz w:val="16"/>
          <w:szCs w:val="16"/>
          <w:lang w:val="es-CR"/>
        </w:rPr>
        <w:t xml:space="preserve"> </w:t>
      </w:r>
      <w:r w:rsidRPr="00EF190F">
        <w:rPr>
          <w:rStyle w:val="Strong"/>
          <w:b w:val="0"/>
          <w:i/>
          <w:sz w:val="16"/>
          <w:szCs w:val="16"/>
          <w:shd w:val="clear" w:color="auto" w:fill="FFFFFF"/>
          <w:lang w:val="es-CR"/>
        </w:rPr>
        <w:t>Myrna Mack Chang</w:t>
      </w:r>
      <w:r w:rsidRPr="00EF190F">
        <w:rPr>
          <w:rStyle w:val="Strong"/>
          <w:b w:val="0"/>
          <w:i/>
          <w:sz w:val="16"/>
          <w:szCs w:val="16"/>
          <w:lang w:val="es-CR"/>
        </w:rPr>
        <w:t xml:space="preserve">, </w:t>
      </w:r>
      <w:r w:rsidRPr="00EF190F">
        <w:rPr>
          <w:rStyle w:val="Strong"/>
          <w:b w:val="0"/>
          <w:i/>
          <w:sz w:val="16"/>
          <w:szCs w:val="16"/>
          <w:shd w:val="clear" w:color="auto" w:fill="FFFFFF"/>
          <w:lang w:val="es-CR"/>
        </w:rPr>
        <w:t>Maritza Urrutia</w:t>
      </w:r>
      <w:r w:rsidRPr="00EF190F">
        <w:rPr>
          <w:rStyle w:val="Strong"/>
          <w:b w:val="0"/>
          <w:i/>
          <w:sz w:val="16"/>
          <w:szCs w:val="16"/>
          <w:lang w:val="es-CR"/>
        </w:rPr>
        <w:t xml:space="preserve">, </w:t>
      </w:r>
      <w:r w:rsidRPr="00EF190F">
        <w:rPr>
          <w:rStyle w:val="Strong"/>
          <w:b w:val="0"/>
          <w:i/>
          <w:sz w:val="16"/>
          <w:szCs w:val="16"/>
          <w:shd w:val="clear" w:color="auto" w:fill="FFFFFF"/>
          <w:lang w:val="es-CR"/>
        </w:rPr>
        <w:t>Masacre Plan de Sánchez</w:t>
      </w:r>
      <w:r w:rsidRPr="00EF190F">
        <w:rPr>
          <w:rStyle w:val="apple-converted-space"/>
          <w:bCs/>
          <w:i/>
          <w:sz w:val="16"/>
          <w:szCs w:val="16"/>
          <w:shd w:val="clear" w:color="auto" w:fill="FFFFFF"/>
          <w:lang w:val="es-CR"/>
        </w:rPr>
        <w:t xml:space="preserve">, </w:t>
      </w:r>
      <w:r w:rsidRPr="00EF190F">
        <w:rPr>
          <w:rStyle w:val="Strong"/>
          <w:b w:val="0"/>
          <w:i/>
          <w:sz w:val="16"/>
          <w:szCs w:val="16"/>
          <w:shd w:val="clear" w:color="auto" w:fill="FFFFFF"/>
          <w:lang w:val="es-CR"/>
        </w:rPr>
        <w:t>Tiu Tojín, Masacre De Las Dos Erres, Chitay Nech y otros, Masacres de Río Negro, Gudiel Álvarez y otros, García y Familiares, Veliz Franco y otros, Defensor de Derechos Humanos y otros, y Velásquez Paiz y otros.</w:t>
      </w:r>
    </w:p>
  </w:footnote>
  <w:footnote w:id="51">
    <w:p w14:paraId="6E10CD93" w14:textId="77777777" w:rsidR="006A0E1C" w:rsidRPr="00EF190F" w:rsidRDefault="006A0E1C" w:rsidP="006A0E1C">
      <w:pPr>
        <w:pStyle w:val="FootnoteText"/>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iCs/>
          <w:sz w:val="16"/>
          <w:szCs w:val="16"/>
          <w:lang w:val="es-CR"/>
        </w:rPr>
        <w:t xml:space="preserve">Cfr. </w:t>
      </w:r>
      <w:r w:rsidRPr="00EF190F">
        <w:rPr>
          <w:sz w:val="16"/>
          <w:szCs w:val="16"/>
          <w:lang w:val="es-CR"/>
        </w:rPr>
        <w:t>Informe de la CEH</w:t>
      </w:r>
      <w:r w:rsidRPr="00EF190F" w:rsidDel="00564330">
        <w:rPr>
          <w:sz w:val="16"/>
          <w:szCs w:val="16"/>
          <w:lang w:val="es-CR"/>
        </w:rPr>
        <w:t xml:space="preserve"> </w:t>
      </w:r>
      <w:r w:rsidRPr="00EF190F">
        <w:rPr>
          <w:iCs/>
          <w:sz w:val="16"/>
          <w:szCs w:val="16"/>
          <w:lang w:val="es-CR"/>
        </w:rPr>
        <w:t>“</w:t>
      </w:r>
      <w:r w:rsidRPr="00EF190F">
        <w:rPr>
          <w:i/>
          <w:iCs/>
          <w:sz w:val="16"/>
          <w:szCs w:val="16"/>
          <w:lang w:val="es-CR"/>
        </w:rPr>
        <w:t>Guatemala, Memoria del Silencio</w:t>
      </w:r>
      <w:r w:rsidRPr="00EF190F">
        <w:rPr>
          <w:iCs/>
          <w:sz w:val="16"/>
          <w:szCs w:val="16"/>
          <w:lang w:val="es-CR"/>
        </w:rPr>
        <w:t>”</w:t>
      </w:r>
      <w:r w:rsidRPr="00EF190F">
        <w:rPr>
          <w:sz w:val="16"/>
          <w:szCs w:val="16"/>
          <w:lang w:val="es-CR"/>
        </w:rPr>
        <w:t>,</w:t>
      </w:r>
      <w:r w:rsidRPr="00EF190F">
        <w:rPr>
          <w:sz w:val="16"/>
          <w:szCs w:val="16"/>
        </w:rPr>
        <w:t xml:space="preserve"> </w:t>
      </w:r>
      <w:r w:rsidRPr="00EF190F">
        <w:rPr>
          <w:sz w:val="16"/>
          <w:szCs w:val="16"/>
          <w:lang w:val="es-CR"/>
        </w:rPr>
        <w:t>junio de 1999, Mandato y procedimiento de trabajo</w:t>
      </w:r>
      <w:r w:rsidRPr="00EF190F">
        <w:rPr>
          <w:iCs/>
          <w:sz w:val="16"/>
          <w:szCs w:val="16"/>
          <w:lang w:val="es-CR"/>
        </w:rPr>
        <w:t xml:space="preserve">, </w:t>
      </w:r>
      <w:r w:rsidRPr="00EF190F">
        <w:rPr>
          <w:sz w:val="16"/>
          <w:szCs w:val="16"/>
          <w:lang w:val="es-CR"/>
        </w:rPr>
        <w:t xml:space="preserve">párr. 68. </w:t>
      </w:r>
    </w:p>
  </w:footnote>
  <w:footnote w:id="52">
    <w:p w14:paraId="15AB6842"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Se han utilizado como elementos probatorios en el presente Capítulo: a) el</w:t>
      </w:r>
      <w:r w:rsidRPr="00EF190F">
        <w:rPr>
          <w:i/>
          <w:iCs/>
          <w:sz w:val="16"/>
          <w:szCs w:val="16"/>
        </w:rPr>
        <w:t xml:space="preserve"> </w:t>
      </w:r>
      <w:r w:rsidRPr="00EF190F">
        <w:rPr>
          <w:sz w:val="16"/>
          <w:szCs w:val="16"/>
        </w:rPr>
        <w:t xml:space="preserve">Informe de la CEH </w:t>
      </w:r>
      <w:r w:rsidRPr="00EF190F">
        <w:rPr>
          <w:i/>
          <w:iCs/>
          <w:sz w:val="16"/>
          <w:szCs w:val="16"/>
        </w:rPr>
        <w:t>“Guatemala, Memoria del Silencio”</w:t>
      </w:r>
      <w:r w:rsidRPr="00EF190F">
        <w:rPr>
          <w:sz w:val="16"/>
          <w:szCs w:val="16"/>
        </w:rPr>
        <w:t>, elaborado en el año 1999, Oficina de Servicios para Proyectos de las Naciones Unidas</w:t>
      </w:r>
      <w:r w:rsidRPr="00EF190F">
        <w:rPr>
          <w:i/>
          <w:iCs/>
          <w:sz w:val="16"/>
          <w:szCs w:val="16"/>
        </w:rPr>
        <w:t>.</w:t>
      </w:r>
      <w:r w:rsidRPr="00EF190F">
        <w:rPr>
          <w:sz w:val="16"/>
          <w:szCs w:val="16"/>
        </w:rPr>
        <w:t xml:space="preserve">; b) el </w:t>
      </w:r>
      <w:r w:rsidRPr="00EF190F">
        <w:rPr>
          <w:sz w:val="16"/>
          <w:szCs w:val="16"/>
          <w:lang w:val="es-CR"/>
        </w:rPr>
        <w:t>Informe del Proyecto Interdiocesano de Recuperación de la Memoria Histórica –Informe REMHI-</w:t>
      </w:r>
      <w:r w:rsidRPr="00EF190F">
        <w:rPr>
          <w:sz w:val="16"/>
          <w:szCs w:val="16"/>
        </w:rPr>
        <w:t xml:space="preserve">, </w:t>
      </w:r>
      <w:r w:rsidRPr="00EF190F">
        <w:rPr>
          <w:sz w:val="16"/>
          <w:szCs w:val="16"/>
          <w:lang w:val="es-CR"/>
        </w:rPr>
        <w:t>“</w:t>
      </w:r>
      <w:r w:rsidRPr="00EF190F">
        <w:rPr>
          <w:i/>
          <w:iCs/>
          <w:sz w:val="16"/>
          <w:szCs w:val="16"/>
          <w:lang w:val="es-CR"/>
        </w:rPr>
        <w:t>Guatemala: Nunca Más”</w:t>
      </w:r>
      <w:r w:rsidRPr="00EF190F">
        <w:rPr>
          <w:sz w:val="16"/>
          <w:szCs w:val="16"/>
          <w:lang w:val="es-CR"/>
        </w:rPr>
        <w:t xml:space="preserve">, elaborado en el año 1998 por la Oficina de Derechos Humanos del Arzobispado de Guatemala (ODHAG). Disponible en: </w:t>
      </w:r>
      <w:hyperlink r:id="rId1">
        <w:r w:rsidRPr="00EF190F">
          <w:rPr>
            <w:sz w:val="16"/>
            <w:szCs w:val="16"/>
            <w:u w:val="single"/>
            <w:lang w:val="es-CR"/>
          </w:rPr>
          <w:t>http://www.fundacionpdh.org/lesahumanidad/informes/guatemala/informeREMHI-Tomo1.htm</w:t>
        </w:r>
      </w:hyperlink>
      <w:r w:rsidRPr="00EF190F">
        <w:rPr>
          <w:sz w:val="16"/>
          <w:szCs w:val="16"/>
          <w:u w:val="single"/>
        </w:rPr>
        <w:t>;</w:t>
      </w:r>
      <w:r w:rsidRPr="00EF190F">
        <w:rPr>
          <w:sz w:val="16"/>
          <w:szCs w:val="16"/>
        </w:rPr>
        <w:t xml:space="preserve"> c) el </w:t>
      </w:r>
      <w:r w:rsidRPr="00EF190F">
        <w:rPr>
          <w:sz w:val="16"/>
          <w:szCs w:val="16"/>
          <w:lang w:val="es-CR"/>
        </w:rPr>
        <w:t>Informe de la Procuraduría de Derechos Humanos de Guatemala de 2 de septiembre de 1996 (expediente de prueba, folio 1869)</w:t>
      </w:r>
      <w:r w:rsidRPr="00EF190F">
        <w:rPr>
          <w:sz w:val="16"/>
          <w:szCs w:val="16"/>
        </w:rPr>
        <w:t>; d) algunas partes de los expedientes penales abiertos a partir de las denuncias presentadas respecto a los hechos del caso, y e)</w:t>
      </w:r>
      <w:r w:rsidRPr="00EF190F">
        <w:rPr>
          <w:sz w:val="16"/>
          <w:szCs w:val="16"/>
          <w:lang w:val="es-ES"/>
        </w:rPr>
        <w:t xml:space="preserve"> los testimonios de algunas de las personas sobrevivientes del caso.</w:t>
      </w:r>
    </w:p>
  </w:footnote>
  <w:footnote w:id="53">
    <w:p w14:paraId="6BCB5629"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Caso </w:t>
      </w:r>
      <w:r w:rsidRPr="00EF190F">
        <w:rPr>
          <w:rStyle w:val="Strong"/>
          <w:b w:val="0"/>
          <w:i/>
          <w:sz w:val="16"/>
          <w:szCs w:val="16"/>
          <w:shd w:val="clear" w:color="auto" w:fill="FFFFFF"/>
        </w:rPr>
        <w:t xml:space="preserve">Masacre Plan de Sánchez Vs. Guatemala. Fondo. </w:t>
      </w:r>
      <w:r w:rsidRPr="00EF190F">
        <w:rPr>
          <w:rStyle w:val="Strong"/>
          <w:b w:val="0"/>
          <w:sz w:val="16"/>
          <w:szCs w:val="16"/>
          <w:shd w:val="clear" w:color="auto" w:fill="FFFFFF"/>
        </w:rPr>
        <w:t>Sentencia de 29 de abril de 2004. Serie C No. 105</w:t>
      </w:r>
      <w:r w:rsidRPr="00EF190F">
        <w:rPr>
          <w:iCs/>
          <w:sz w:val="16"/>
          <w:szCs w:val="16"/>
        </w:rPr>
        <w:t xml:space="preserve">, párr. 42.1, </w:t>
      </w:r>
      <w:r w:rsidRPr="00EF190F">
        <w:rPr>
          <w:i/>
          <w:iCs/>
          <w:sz w:val="16"/>
          <w:szCs w:val="16"/>
        </w:rPr>
        <w:t>y Caso</w:t>
      </w:r>
      <w:r w:rsidRPr="00EF190F">
        <w:rPr>
          <w:iCs/>
          <w:sz w:val="16"/>
          <w:szCs w:val="16"/>
        </w:rPr>
        <w:t xml:space="preserve"> </w:t>
      </w:r>
      <w:r w:rsidRPr="00EF190F">
        <w:rPr>
          <w:i/>
          <w:sz w:val="16"/>
          <w:szCs w:val="16"/>
        </w:rPr>
        <w:t>García y Familiares</w:t>
      </w:r>
      <w:r w:rsidRPr="00EF190F">
        <w:rPr>
          <w:i/>
          <w:iCs/>
          <w:sz w:val="16"/>
          <w:szCs w:val="16"/>
        </w:rPr>
        <w:t xml:space="preserve"> Vs. Guatemala. Fondo, Reparaciones y Costas. </w:t>
      </w:r>
      <w:r w:rsidRPr="00EF190F">
        <w:rPr>
          <w:iCs/>
          <w:sz w:val="16"/>
          <w:szCs w:val="16"/>
        </w:rPr>
        <w:t xml:space="preserve">Sentencia de 29 noviembre de 2012. Serie C No. 258, </w:t>
      </w:r>
      <w:r w:rsidRPr="00EF190F">
        <w:rPr>
          <w:sz w:val="16"/>
          <w:szCs w:val="16"/>
        </w:rPr>
        <w:t>párr. 51.</w:t>
      </w:r>
    </w:p>
  </w:footnote>
  <w:footnote w:id="54">
    <w:p w14:paraId="72B546D9"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rStyle w:val="Strong"/>
          <w:b w:val="0"/>
          <w:i/>
          <w:sz w:val="16"/>
          <w:szCs w:val="16"/>
          <w:shd w:val="clear" w:color="auto" w:fill="FFFFFF"/>
          <w:lang w:val="es-CR"/>
        </w:rPr>
        <w:t>Caso Myrna Mack Chang</w:t>
      </w:r>
      <w:r w:rsidRPr="00EF190F">
        <w:rPr>
          <w:sz w:val="16"/>
          <w:szCs w:val="16"/>
        </w:rPr>
        <w:t xml:space="preserve"> </w:t>
      </w:r>
      <w:r w:rsidRPr="00EF190F">
        <w:rPr>
          <w:rStyle w:val="Strong"/>
          <w:b w:val="0"/>
          <w:i/>
          <w:sz w:val="16"/>
          <w:szCs w:val="16"/>
          <w:shd w:val="clear" w:color="auto" w:fill="FFFFFF"/>
          <w:lang w:val="es-CR"/>
        </w:rPr>
        <w:t xml:space="preserve">Vs. Guatemala. Fondo, Reparaciones y Costas. </w:t>
      </w:r>
      <w:r w:rsidRPr="00EF190F">
        <w:rPr>
          <w:rStyle w:val="Strong"/>
          <w:b w:val="0"/>
          <w:sz w:val="16"/>
          <w:szCs w:val="16"/>
          <w:shd w:val="clear" w:color="auto" w:fill="FFFFFF"/>
          <w:lang w:val="es-CR"/>
        </w:rPr>
        <w:t>Sentencia de 25 de noviembre de 2003. Serie C No. 101, párr. 134.9, y</w:t>
      </w:r>
      <w:r w:rsidRPr="00EF190F">
        <w:rPr>
          <w:rStyle w:val="Strong"/>
          <w:b w:val="0"/>
          <w:i/>
          <w:sz w:val="16"/>
          <w:szCs w:val="16"/>
          <w:shd w:val="clear" w:color="auto" w:fill="FFFFFF"/>
          <w:lang w:val="es-CR"/>
        </w:rPr>
        <w:t xml:space="preserve"> Caso</w:t>
      </w:r>
      <w:r w:rsidRPr="00EF190F">
        <w:rPr>
          <w:rStyle w:val="Strong"/>
          <w:b w:val="0"/>
          <w:sz w:val="16"/>
          <w:szCs w:val="16"/>
          <w:shd w:val="clear" w:color="auto" w:fill="FFFFFF"/>
          <w:lang w:val="es-CR"/>
        </w:rPr>
        <w:t xml:space="preserve"> </w:t>
      </w:r>
      <w:r w:rsidRPr="00EF190F">
        <w:rPr>
          <w:rStyle w:val="Strong"/>
          <w:b w:val="0"/>
          <w:i/>
          <w:sz w:val="16"/>
          <w:szCs w:val="16"/>
          <w:shd w:val="clear" w:color="auto" w:fill="FFFFFF"/>
          <w:lang w:val="es-CR"/>
        </w:rPr>
        <w:t>García y Familiares</w:t>
      </w:r>
      <w:r w:rsidRPr="00EF190F">
        <w:rPr>
          <w:rStyle w:val="Strong"/>
          <w:b w:val="0"/>
          <w:sz w:val="16"/>
          <w:szCs w:val="16"/>
          <w:shd w:val="clear" w:color="auto" w:fill="FFFFFF"/>
          <w:lang w:val="es-CR"/>
        </w:rPr>
        <w:t xml:space="preserve"> </w:t>
      </w:r>
      <w:r w:rsidRPr="00EF190F">
        <w:rPr>
          <w:rStyle w:val="Strong"/>
          <w:b w:val="0"/>
          <w:i/>
          <w:sz w:val="16"/>
          <w:szCs w:val="16"/>
          <w:shd w:val="clear" w:color="auto" w:fill="FFFFFF"/>
          <w:lang w:val="es-CR"/>
        </w:rPr>
        <w:t>Vs</w:t>
      </w:r>
      <w:r w:rsidRPr="00EF190F">
        <w:rPr>
          <w:rStyle w:val="Strong"/>
          <w:b w:val="0"/>
          <w:sz w:val="16"/>
          <w:szCs w:val="16"/>
          <w:shd w:val="clear" w:color="auto" w:fill="FFFFFF"/>
          <w:lang w:val="es-CR"/>
        </w:rPr>
        <w:t xml:space="preserve">. </w:t>
      </w:r>
      <w:r w:rsidRPr="00EF190F">
        <w:rPr>
          <w:rStyle w:val="Strong"/>
          <w:b w:val="0"/>
          <w:i/>
          <w:sz w:val="16"/>
          <w:szCs w:val="16"/>
          <w:shd w:val="clear" w:color="auto" w:fill="FFFFFF"/>
          <w:lang w:val="es-CR"/>
        </w:rPr>
        <w:t>Guatemala,</w:t>
      </w:r>
      <w:r w:rsidRPr="00EF190F">
        <w:rPr>
          <w:rStyle w:val="Strong"/>
          <w:b w:val="0"/>
          <w:sz w:val="16"/>
          <w:szCs w:val="16"/>
          <w:shd w:val="clear" w:color="auto" w:fill="FFFFFF"/>
          <w:lang w:val="es-CR"/>
        </w:rPr>
        <w:t xml:space="preserve"> párr. 55.</w:t>
      </w:r>
    </w:p>
  </w:footnote>
  <w:footnote w:id="55">
    <w:p w14:paraId="2F6BD8A9" w14:textId="77777777" w:rsidR="006A0E1C" w:rsidRPr="00EF190F" w:rsidRDefault="006A0E1C" w:rsidP="006A0E1C">
      <w:pPr>
        <w:tabs>
          <w:tab w:val="left" w:pos="360"/>
        </w:tabs>
        <w:spacing w:line="240" w:lineRule="auto"/>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i/>
          <w:sz w:val="16"/>
          <w:szCs w:val="16"/>
        </w:rPr>
        <w:t>Cfr.</w:t>
      </w:r>
      <w:r w:rsidRPr="00EF190F">
        <w:rPr>
          <w:rFonts w:cs="Arial"/>
          <w:sz w:val="16"/>
          <w:szCs w:val="16"/>
        </w:rPr>
        <w:t xml:space="preserve"> </w:t>
      </w:r>
      <w:r w:rsidRPr="00EF190F">
        <w:rPr>
          <w:rStyle w:val="Strong"/>
          <w:b w:val="0"/>
          <w:i/>
          <w:sz w:val="16"/>
          <w:szCs w:val="16"/>
          <w:shd w:val="clear" w:color="auto" w:fill="FFFFFF"/>
        </w:rPr>
        <w:t>Caso Gudiel Álvarez y Otros Vs. Guatemala. Fondo, Reparaciones y Costas</w:t>
      </w:r>
      <w:r w:rsidRPr="00EF190F">
        <w:rPr>
          <w:rStyle w:val="Strong"/>
          <w:b w:val="0"/>
          <w:sz w:val="16"/>
          <w:szCs w:val="16"/>
          <w:shd w:val="clear" w:color="auto" w:fill="FFFFFF"/>
        </w:rPr>
        <w:t>. Sentencia de 20 de noviembre de 2012. Serie C No. 253, párr. 5</w:t>
      </w:r>
      <w:r w:rsidRPr="00EF190F">
        <w:rPr>
          <w:i/>
          <w:iCs/>
          <w:sz w:val="16"/>
          <w:szCs w:val="16"/>
        </w:rPr>
        <w:t>4</w:t>
      </w:r>
      <w:r w:rsidRPr="00EF190F">
        <w:rPr>
          <w:iCs/>
          <w:sz w:val="16"/>
          <w:szCs w:val="16"/>
        </w:rPr>
        <w:t>,</w:t>
      </w:r>
      <w:r w:rsidRPr="00EF190F">
        <w:rPr>
          <w:i/>
          <w:iCs/>
          <w:sz w:val="16"/>
          <w:szCs w:val="16"/>
        </w:rPr>
        <w:t xml:space="preserve"> </w:t>
      </w:r>
      <w:r w:rsidRPr="00EF190F">
        <w:rPr>
          <w:iCs/>
          <w:sz w:val="16"/>
          <w:szCs w:val="16"/>
        </w:rPr>
        <w:t>y</w:t>
      </w:r>
      <w:r w:rsidRPr="00EF190F">
        <w:rPr>
          <w:rStyle w:val="Strong"/>
          <w:b w:val="0"/>
          <w:sz w:val="16"/>
          <w:szCs w:val="16"/>
          <w:shd w:val="clear" w:color="auto" w:fill="FFFFFF"/>
        </w:rPr>
        <w:t xml:space="preserve"> </w:t>
      </w:r>
      <w:r w:rsidRPr="00EF190F">
        <w:rPr>
          <w:rStyle w:val="Strong"/>
          <w:b w:val="0"/>
          <w:i/>
          <w:sz w:val="16"/>
          <w:szCs w:val="16"/>
          <w:shd w:val="clear" w:color="auto" w:fill="FFFFFF"/>
        </w:rPr>
        <w:t>Caso García y Familiares Vs. Guatemala,</w:t>
      </w:r>
      <w:r w:rsidRPr="00EF190F">
        <w:rPr>
          <w:rStyle w:val="Strong"/>
          <w:b w:val="0"/>
          <w:sz w:val="16"/>
          <w:szCs w:val="16"/>
          <w:shd w:val="clear" w:color="auto" w:fill="FFFFFF"/>
        </w:rPr>
        <w:t xml:space="preserve"> párr. 51.</w:t>
      </w:r>
    </w:p>
  </w:footnote>
  <w:footnote w:id="56">
    <w:p w14:paraId="57639F8A"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vertAlign w:val="superscript"/>
        </w:rPr>
        <w:t xml:space="preserve"> </w:t>
      </w:r>
      <w:r w:rsidRPr="00EF190F">
        <w:rPr>
          <w:sz w:val="16"/>
          <w:szCs w:val="16"/>
        </w:rPr>
        <w:tab/>
      </w:r>
      <w:r w:rsidRPr="00EF190F">
        <w:rPr>
          <w:i/>
          <w:iCs/>
          <w:sz w:val="16"/>
          <w:szCs w:val="16"/>
        </w:rPr>
        <w:t>Cfr. Caso</w:t>
      </w:r>
      <w:r w:rsidRPr="00EF190F">
        <w:rPr>
          <w:sz w:val="16"/>
          <w:szCs w:val="16"/>
        </w:rPr>
        <w:t xml:space="preserve"> </w:t>
      </w:r>
      <w:r w:rsidRPr="00EF190F">
        <w:rPr>
          <w:i/>
          <w:iCs/>
          <w:sz w:val="16"/>
          <w:szCs w:val="16"/>
        </w:rPr>
        <w:t xml:space="preserve">Masacre Plan de Sánchez Vs. Guatemala. Fondo, </w:t>
      </w:r>
      <w:r w:rsidRPr="00EF190F">
        <w:rPr>
          <w:sz w:val="16"/>
          <w:szCs w:val="16"/>
        </w:rPr>
        <w:t>párrs. 42.3 y 42.4</w:t>
      </w:r>
      <w:r w:rsidRPr="00EF190F">
        <w:rPr>
          <w:iCs/>
          <w:sz w:val="16"/>
          <w:szCs w:val="16"/>
        </w:rPr>
        <w:t>, y</w:t>
      </w:r>
      <w:r w:rsidRPr="00EF190F">
        <w:rPr>
          <w:i/>
          <w:iCs/>
          <w:sz w:val="16"/>
          <w:szCs w:val="16"/>
        </w:rPr>
        <w:t xml:space="preserve"> Caso Masacres de Río Negro Vs. Guatemala. Excepción Preliminar, Fondo, Reparaciones y Costas. </w:t>
      </w:r>
      <w:r w:rsidRPr="00EF190F">
        <w:rPr>
          <w:iCs/>
          <w:sz w:val="16"/>
          <w:szCs w:val="16"/>
        </w:rPr>
        <w:t>Sentencia de 4 de septiembre de 2012. Serie C No. 250</w:t>
      </w:r>
      <w:r w:rsidRPr="00EF190F">
        <w:rPr>
          <w:sz w:val="16"/>
          <w:szCs w:val="16"/>
        </w:rPr>
        <w:t>, párr. 57.</w:t>
      </w:r>
    </w:p>
  </w:footnote>
  <w:footnote w:id="57">
    <w:p w14:paraId="23EC4A4D"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Caso Masacre Plan de Sánchez Vs. Guatemala. Fondo, </w:t>
      </w:r>
      <w:r w:rsidRPr="00EF190F">
        <w:rPr>
          <w:sz w:val="16"/>
          <w:szCs w:val="16"/>
        </w:rPr>
        <w:t xml:space="preserve">párr. 42.7, y </w:t>
      </w:r>
      <w:r w:rsidRPr="00EF190F">
        <w:rPr>
          <w:i/>
          <w:sz w:val="16"/>
          <w:szCs w:val="16"/>
        </w:rPr>
        <w:t>Caso</w:t>
      </w:r>
      <w:r w:rsidRPr="00EF190F">
        <w:rPr>
          <w:sz w:val="16"/>
          <w:szCs w:val="16"/>
        </w:rPr>
        <w:t xml:space="preserve"> </w:t>
      </w:r>
      <w:r w:rsidRPr="00EF190F">
        <w:rPr>
          <w:i/>
          <w:iCs/>
          <w:sz w:val="16"/>
          <w:szCs w:val="16"/>
        </w:rPr>
        <w:t>Masacres de Río Negro Vs. Guatemala</w:t>
      </w:r>
      <w:r w:rsidRPr="00EF190F">
        <w:rPr>
          <w:sz w:val="16"/>
          <w:szCs w:val="16"/>
        </w:rPr>
        <w:t>, párr. 58.</w:t>
      </w:r>
    </w:p>
  </w:footnote>
  <w:footnote w:id="58">
    <w:p w14:paraId="3AEB254B"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iCs/>
          <w:sz w:val="16"/>
          <w:szCs w:val="16"/>
          <w:lang w:val="es-PR"/>
        </w:rPr>
        <w:t>Cfr.</w:t>
      </w:r>
      <w:r w:rsidRPr="00EF190F">
        <w:rPr>
          <w:sz w:val="16"/>
          <w:szCs w:val="16"/>
          <w:lang w:val="es-PR"/>
        </w:rPr>
        <w:t xml:space="preserve"> </w:t>
      </w:r>
      <w:r w:rsidRPr="00EF190F">
        <w:rPr>
          <w:rStyle w:val="Strong"/>
          <w:b w:val="0"/>
          <w:i/>
          <w:sz w:val="16"/>
          <w:szCs w:val="16"/>
          <w:shd w:val="clear" w:color="auto" w:fill="FFFFFF"/>
          <w:lang w:val="es-PR"/>
        </w:rPr>
        <w:t xml:space="preserve">Caso Tiu Tojín Vs. Guatemala. Fondo, Reparaciones y Costas. </w:t>
      </w:r>
      <w:r w:rsidRPr="00EF190F">
        <w:rPr>
          <w:rStyle w:val="Strong"/>
          <w:b w:val="0"/>
          <w:sz w:val="16"/>
          <w:szCs w:val="16"/>
          <w:shd w:val="clear" w:color="auto" w:fill="FFFFFF"/>
          <w:lang w:val="es-PR"/>
        </w:rPr>
        <w:t>Sentencia de 26 de noviembre de 2008. Serie C No. 190</w:t>
      </w:r>
      <w:r w:rsidRPr="00EF190F">
        <w:rPr>
          <w:rStyle w:val="Strong"/>
          <w:b w:val="0"/>
          <w:i/>
          <w:sz w:val="16"/>
          <w:szCs w:val="16"/>
          <w:shd w:val="clear" w:color="auto" w:fill="FFFFFF"/>
          <w:lang w:val="es-PR"/>
        </w:rPr>
        <w:t xml:space="preserve">, </w:t>
      </w:r>
      <w:r w:rsidRPr="00EF190F">
        <w:rPr>
          <w:rStyle w:val="Strong"/>
          <w:b w:val="0"/>
          <w:sz w:val="16"/>
          <w:szCs w:val="16"/>
          <w:shd w:val="clear" w:color="auto" w:fill="FFFFFF"/>
          <w:lang w:val="es-PR"/>
        </w:rPr>
        <w:t xml:space="preserve">párr. </w:t>
      </w:r>
      <w:r w:rsidRPr="00EF190F">
        <w:rPr>
          <w:rStyle w:val="Strong"/>
          <w:b w:val="0"/>
          <w:sz w:val="16"/>
          <w:szCs w:val="16"/>
          <w:shd w:val="clear" w:color="auto" w:fill="FFFFFF"/>
          <w:lang w:val="es-CR"/>
        </w:rPr>
        <w:t xml:space="preserve">48, y </w:t>
      </w:r>
      <w:r w:rsidRPr="00EF190F">
        <w:rPr>
          <w:rStyle w:val="Strong"/>
          <w:b w:val="0"/>
          <w:i/>
          <w:sz w:val="16"/>
          <w:szCs w:val="16"/>
          <w:shd w:val="clear" w:color="auto" w:fill="FFFFFF"/>
          <w:lang w:val="es-CR"/>
        </w:rPr>
        <w:t>Caso Chitay Nech y Otros Vs. Guatemala</w:t>
      </w:r>
      <w:r w:rsidRPr="00EF190F">
        <w:rPr>
          <w:rStyle w:val="Strong"/>
          <w:b w:val="0"/>
          <w:sz w:val="16"/>
          <w:szCs w:val="16"/>
          <w:shd w:val="clear" w:color="auto" w:fill="FFFFFF"/>
          <w:lang w:val="es-CR"/>
        </w:rPr>
        <w:t xml:space="preserve">. </w:t>
      </w:r>
      <w:r w:rsidRPr="00EF190F">
        <w:rPr>
          <w:rStyle w:val="Strong"/>
          <w:b w:val="0"/>
          <w:i/>
          <w:sz w:val="16"/>
          <w:szCs w:val="16"/>
          <w:shd w:val="clear" w:color="auto" w:fill="FFFFFF"/>
          <w:lang w:val="es-CR"/>
        </w:rPr>
        <w:t>Excepciones Preliminares, Fondo, Reparaciones y Costas</w:t>
      </w:r>
      <w:r w:rsidRPr="00EF190F">
        <w:rPr>
          <w:rStyle w:val="Strong"/>
          <w:b w:val="0"/>
          <w:sz w:val="16"/>
          <w:szCs w:val="16"/>
          <w:shd w:val="clear" w:color="auto" w:fill="FFFFFF"/>
          <w:lang w:val="es-CR"/>
        </w:rPr>
        <w:t>. Sentencia de 25 de mayo de 2010. Serie C No. 212, párr. 66.</w:t>
      </w:r>
    </w:p>
  </w:footnote>
  <w:footnote w:id="59">
    <w:p w14:paraId="6A02865C"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 xml:space="preserve">Informe de la CEH </w:t>
      </w:r>
      <w:r w:rsidRPr="00EF190F">
        <w:rPr>
          <w:iCs/>
          <w:sz w:val="16"/>
          <w:szCs w:val="16"/>
          <w:lang w:val="es-CR"/>
        </w:rPr>
        <w:t>“</w:t>
      </w:r>
      <w:r w:rsidRPr="00EF190F">
        <w:rPr>
          <w:i/>
          <w:iCs/>
          <w:sz w:val="16"/>
          <w:szCs w:val="16"/>
          <w:lang w:val="es-CR"/>
        </w:rPr>
        <w:t>Guatemala, Memoria del Silencio</w:t>
      </w:r>
      <w:r w:rsidRPr="00EF190F">
        <w:rPr>
          <w:iCs/>
          <w:sz w:val="16"/>
          <w:szCs w:val="16"/>
          <w:lang w:val="es-CR"/>
        </w:rPr>
        <w:t>”</w:t>
      </w:r>
      <w:r w:rsidRPr="00EF190F">
        <w:rPr>
          <w:sz w:val="16"/>
          <w:szCs w:val="16"/>
          <w:lang w:val="es-CR"/>
        </w:rPr>
        <w:t xml:space="preserve">, </w:t>
      </w:r>
      <w:r w:rsidRPr="00EF190F">
        <w:rPr>
          <w:iCs/>
          <w:sz w:val="16"/>
          <w:szCs w:val="16"/>
          <w:lang w:val="es-CR"/>
        </w:rPr>
        <w:t xml:space="preserve">Capítulo Cuarto, </w:t>
      </w:r>
      <w:r w:rsidRPr="00EF190F">
        <w:rPr>
          <w:sz w:val="16"/>
          <w:szCs w:val="16"/>
          <w:lang w:val="es-CR"/>
        </w:rPr>
        <w:t>párrs. 31 y 33.</w:t>
      </w:r>
    </w:p>
  </w:footnote>
  <w:footnote w:id="60">
    <w:p w14:paraId="7DE968A3"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ES"/>
        </w:rPr>
        <w:t xml:space="preserve">Cfr. </w:t>
      </w:r>
      <w:r w:rsidRPr="00EF190F">
        <w:rPr>
          <w:i/>
          <w:sz w:val="16"/>
          <w:szCs w:val="16"/>
          <w:lang w:val="es-CR"/>
        </w:rPr>
        <w:t>Caso Chitay Nech y Otros Vs. Guatemala,</w:t>
      </w:r>
      <w:r w:rsidRPr="00EF190F">
        <w:rPr>
          <w:sz w:val="16"/>
          <w:szCs w:val="16"/>
          <w:lang w:val="es-CR"/>
        </w:rPr>
        <w:t xml:space="preserve"> párr. 65, y </w:t>
      </w:r>
      <w:r w:rsidRPr="00EF190F">
        <w:rPr>
          <w:i/>
          <w:sz w:val="16"/>
          <w:szCs w:val="16"/>
          <w:lang w:val="es-CR"/>
        </w:rPr>
        <w:t xml:space="preserve">Caso Masacre Plan de Sánchez. Fondo, </w:t>
      </w:r>
      <w:r w:rsidRPr="00EF190F">
        <w:rPr>
          <w:sz w:val="16"/>
          <w:szCs w:val="16"/>
          <w:lang w:val="es-CR"/>
        </w:rPr>
        <w:t>párrs. 42.3 a 42.4.</w:t>
      </w:r>
    </w:p>
  </w:footnote>
  <w:footnote w:id="61">
    <w:p w14:paraId="7E6020A9"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ES"/>
        </w:rPr>
        <w:t xml:space="preserve">Cfr. </w:t>
      </w:r>
      <w:r w:rsidRPr="00EF190F">
        <w:rPr>
          <w:i/>
          <w:sz w:val="16"/>
          <w:szCs w:val="16"/>
          <w:lang w:val="es-CR"/>
        </w:rPr>
        <w:t>Caso</w:t>
      </w:r>
      <w:r w:rsidRPr="00EF190F">
        <w:rPr>
          <w:sz w:val="16"/>
          <w:szCs w:val="16"/>
          <w:lang w:val="es-CR"/>
        </w:rPr>
        <w:t xml:space="preserve"> </w:t>
      </w:r>
      <w:r w:rsidRPr="00EF190F">
        <w:rPr>
          <w:i/>
          <w:sz w:val="16"/>
          <w:szCs w:val="16"/>
          <w:lang w:val="es-CR"/>
        </w:rPr>
        <w:t xml:space="preserve">Masacre Plan de Sánchez Vs. Guatemala. Fondo, </w:t>
      </w:r>
      <w:r w:rsidRPr="00EF190F">
        <w:rPr>
          <w:sz w:val="16"/>
          <w:szCs w:val="16"/>
          <w:lang w:val="es-CR"/>
        </w:rPr>
        <w:t>párr. 42.4.</w:t>
      </w:r>
    </w:p>
  </w:footnote>
  <w:footnote w:id="62">
    <w:p w14:paraId="48D1DF84"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 xml:space="preserve">Informe de la CEH </w:t>
      </w:r>
      <w:r w:rsidRPr="00EF190F">
        <w:rPr>
          <w:iCs/>
          <w:sz w:val="16"/>
          <w:szCs w:val="16"/>
          <w:lang w:val="es-CR"/>
        </w:rPr>
        <w:t>“</w:t>
      </w:r>
      <w:r w:rsidRPr="00EF190F">
        <w:rPr>
          <w:i/>
          <w:iCs/>
          <w:sz w:val="16"/>
          <w:szCs w:val="16"/>
          <w:lang w:val="es-CR"/>
        </w:rPr>
        <w:t>Guatemala, Memoria del Silencio</w:t>
      </w:r>
      <w:r w:rsidRPr="00EF190F">
        <w:rPr>
          <w:iCs/>
          <w:sz w:val="16"/>
          <w:szCs w:val="16"/>
          <w:lang w:val="es-CR"/>
        </w:rPr>
        <w:t>”</w:t>
      </w:r>
      <w:r w:rsidRPr="00EF190F">
        <w:rPr>
          <w:sz w:val="16"/>
          <w:szCs w:val="16"/>
          <w:lang w:val="es-CR"/>
        </w:rPr>
        <w:t xml:space="preserve">, </w:t>
      </w:r>
      <w:r w:rsidRPr="00EF190F">
        <w:rPr>
          <w:iCs/>
          <w:sz w:val="16"/>
          <w:szCs w:val="16"/>
          <w:lang w:val="es-CR"/>
        </w:rPr>
        <w:t>Capítulo Segundo</w:t>
      </w:r>
      <w:r w:rsidRPr="00EF190F">
        <w:rPr>
          <w:sz w:val="16"/>
          <w:szCs w:val="16"/>
          <w:lang w:val="es-CR"/>
        </w:rPr>
        <w:t>, párr. 2973.</w:t>
      </w:r>
    </w:p>
  </w:footnote>
  <w:footnote w:id="63">
    <w:p w14:paraId="3678A8FD" w14:textId="77777777" w:rsidR="006A0E1C" w:rsidRPr="00EF190F" w:rsidRDefault="006A0E1C" w:rsidP="006A0E1C">
      <w:pPr>
        <w:pStyle w:val="PiedepginasCorteIDH"/>
        <w:tabs>
          <w:tab w:val="left" w:pos="360"/>
        </w:tabs>
        <w:spacing w:after="0"/>
        <w:contextualSpacing/>
      </w:pPr>
      <w:r w:rsidRPr="00EF190F">
        <w:rPr>
          <w:rStyle w:val="FootnoteReference"/>
          <w:rFonts w:eastAsia="Batang"/>
        </w:rPr>
        <w:footnoteRef/>
      </w:r>
      <w:r w:rsidRPr="00EF190F">
        <w:t xml:space="preserve"> </w:t>
      </w:r>
      <w:r w:rsidRPr="00EF190F">
        <w:tab/>
      </w:r>
      <w:r w:rsidRPr="00EF190F">
        <w:rPr>
          <w:i/>
        </w:rPr>
        <w:t>Cfr.</w:t>
      </w:r>
      <w:r w:rsidRPr="00EF190F">
        <w:t xml:space="preserve"> </w:t>
      </w:r>
      <w:r w:rsidRPr="00EF190F">
        <w:rPr>
          <w:i/>
        </w:rPr>
        <w:t>Caso Masacres de Río Negro Vs. Guatemala</w:t>
      </w:r>
      <w:r w:rsidRPr="00EF190F">
        <w:t xml:space="preserve">, párr. 57, y </w:t>
      </w:r>
      <w:r w:rsidRPr="00EF190F">
        <w:rPr>
          <w:i/>
        </w:rPr>
        <w:t>Caso</w:t>
      </w:r>
      <w:r w:rsidRPr="00EF190F">
        <w:t xml:space="preserve"> </w:t>
      </w:r>
      <w:r w:rsidRPr="00EF190F">
        <w:rPr>
          <w:i/>
        </w:rPr>
        <w:t xml:space="preserve">de la Masacre Plan de Sánchez Vs. Guatemala. Fondo, </w:t>
      </w:r>
      <w:r w:rsidRPr="00EF190F">
        <w:t xml:space="preserve">párr. </w:t>
      </w:r>
      <w:r w:rsidRPr="00EF190F">
        <w:rPr>
          <w:rFonts w:cs="Times-Roman"/>
          <w:lang w:val="es-CR"/>
        </w:rPr>
        <w:t>42.5.</w:t>
      </w:r>
      <w:r w:rsidRPr="00EF190F">
        <w:t xml:space="preserve"> </w:t>
      </w:r>
    </w:p>
  </w:footnote>
  <w:footnote w:id="64">
    <w:p w14:paraId="4DF7CA2D" w14:textId="77777777" w:rsidR="006A0E1C" w:rsidRPr="00EF190F" w:rsidRDefault="006A0E1C" w:rsidP="006A0E1C">
      <w:pPr>
        <w:pStyle w:val="PiedepginasCorteIDH"/>
        <w:tabs>
          <w:tab w:val="left" w:pos="360"/>
        </w:tabs>
        <w:spacing w:after="0"/>
        <w:ind w:right="-138"/>
      </w:pPr>
      <w:r w:rsidRPr="00EF190F">
        <w:rPr>
          <w:rStyle w:val="FootnoteReference"/>
          <w:rFonts w:eastAsia="Times"/>
          <w:lang w:bidi="ar-SA"/>
        </w:rPr>
        <w:footnoteRef/>
      </w:r>
      <w:r w:rsidRPr="00EF190F">
        <w:t xml:space="preserve"> </w:t>
      </w:r>
      <w:r w:rsidRPr="00EF190F">
        <w:tab/>
      </w:r>
      <w:r w:rsidRPr="00EF190F">
        <w:rPr>
          <w:i/>
        </w:rPr>
        <w:t xml:space="preserve">Cfr. Caso Masacre Plan de Sánchez Vs. Guatemala. </w:t>
      </w:r>
      <w:r w:rsidRPr="00EF190F">
        <w:rPr>
          <w:bCs/>
          <w:i/>
        </w:rPr>
        <w:t>Fondo</w:t>
      </w:r>
      <w:r w:rsidRPr="00EF190F">
        <w:rPr>
          <w:bCs/>
        </w:rPr>
        <w:t xml:space="preserve">, </w:t>
      </w:r>
      <w:r w:rsidRPr="00EF190F">
        <w:t xml:space="preserve">párr. 42.6; </w:t>
      </w:r>
      <w:r w:rsidRPr="00EF190F">
        <w:rPr>
          <w:i/>
        </w:rPr>
        <w:t>Caso</w:t>
      </w:r>
      <w:r w:rsidRPr="00EF190F">
        <w:rPr>
          <w:i/>
          <w:iCs/>
        </w:rPr>
        <w:t xml:space="preserve"> Masacres de Río Negro Vs. Guatemala, </w:t>
      </w:r>
      <w:r w:rsidRPr="00EF190F">
        <w:t>párr. 57, e Informe “</w:t>
      </w:r>
      <w:r w:rsidRPr="00EF190F">
        <w:rPr>
          <w:i/>
        </w:rPr>
        <w:t>Guatemala, Memoria del Silencio</w:t>
      </w:r>
      <w:r w:rsidRPr="00EF190F">
        <w:t xml:space="preserve">”, Capítulo Segundo, párrs. 3077, 3086, 3105, 3128 y 3177. Las fuerzas de seguridad del Estado incluían el Ejército, </w:t>
      </w:r>
      <w:r w:rsidRPr="00EF190F">
        <w:rPr>
          <w:lang w:val="es-MX"/>
        </w:rPr>
        <w:t xml:space="preserve">las patrullas de autodefensa civil </w:t>
      </w:r>
      <w:r w:rsidRPr="00EF190F">
        <w:t>(en adelante las “PAC”)</w:t>
      </w:r>
      <w:r w:rsidRPr="00EF190F">
        <w:rPr>
          <w:lang w:val="es-MX"/>
        </w:rPr>
        <w:t xml:space="preserve">, los comisionados militares, la guardia de hacienda, la policía militar ambulante, la policía </w:t>
      </w:r>
      <w:r w:rsidRPr="00EF190F">
        <w:t>nacional</w:t>
      </w:r>
      <w:r w:rsidRPr="00EF190F">
        <w:rPr>
          <w:lang w:val="es-MX"/>
        </w:rPr>
        <w:t xml:space="preserve">, la policía judicial </w:t>
      </w:r>
      <w:r w:rsidRPr="00EF190F">
        <w:t>(conocidos como “judiciales”)</w:t>
      </w:r>
      <w:r w:rsidRPr="00EF190F">
        <w:rPr>
          <w:lang w:val="es-MX"/>
        </w:rPr>
        <w:t xml:space="preserve"> y los “escuadrones de la muerte”</w:t>
      </w:r>
      <w:r w:rsidRPr="00EF190F">
        <w:t xml:space="preserve">. </w:t>
      </w:r>
      <w:r w:rsidRPr="00EF190F">
        <w:rPr>
          <w:i/>
          <w:iCs/>
        </w:rPr>
        <w:t>Cfr</w:t>
      </w:r>
      <w:r w:rsidRPr="00EF190F">
        <w:t xml:space="preserve">. </w:t>
      </w:r>
      <w:r w:rsidRPr="00EF190F">
        <w:rPr>
          <w:i/>
        </w:rPr>
        <w:t xml:space="preserve">Caso </w:t>
      </w:r>
      <w:r w:rsidRPr="00EF190F">
        <w:rPr>
          <w:i/>
          <w:iCs/>
        </w:rPr>
        <w:t>Molina Theissen Vs. Guatemala</w:t>
      </w:r>
      <w:r w:rsidRPr="00EF190F">
        <w:t xml:space="preserve">. </w:t>
      </w:r>
      <w:r w:rsidRPr="00EF190F">
        <w:rPr>
          <w:i/>
        </w:rPr>
        <w:t>Fondo</w:t>
      </w:r>
      <w:r w:rsidRPr="00EF190F">
        <w:t xml:space="preserve">. Sentencia de 4 de mayo de 2004. Serie C No. 106, párr. 40.3. Las </w:t>
      </w:r>
      <w:r w:rsidRPr="00EF190F">
        <w:rPr>
          <w:lang w:val="es-MX"/>
        </w:rPr>
        <w:t>PAC</w:t>
      </w:r>
      <w:r w:rsidRPr="00EF190F">
        <w:t xml:space="preserve"> surgieron a inicios de los años ochenta como grupos de civiles formados coercitivamente por la institución armada. En abril de 1983 el Acuerdo Gubernativo 222-83 las reconoció legalmente mediante la creación de la Jefatura Nacional de Coordinación y Control de la Auto Defensa Civil. Tuvieron como objetivos centrales, organizar a la población civil contra los movimientos guerrilleros y lograr un control sobre aquélla, para lo cual tenían una relación institucional con el Ejército, realizaban actividades de apoyo a las funciones de las fuerzas armadas, recibían recursos, armamento, entrenamiento y órdenes directas del Ejército, y operaban bajo su supervisión. En definitiva, las patrullas civiles actuaban como agentes del Estado durante la época del conflicto armado. Dichas patrullas fueron disueltas legalmente en el año 1996. </w:t>
      </w:r>
      <w:r w:rsidRPr="00EF190F">
        <w:rPr>
          <w:i/>
          <w:iCs/>
        </w:rPr>
        <w:t xml:space="preserve">Cfr. </w:t>
      </w:r>
      <w:r w:rsidRPr="00EF190F">
        <w:rPr>
          <w:i/>
        </w:rPr>
        <w:t>Caso Blake</w:t>
      </w:r>
      <w:r w:rsidRPr="00EF190F">
        <w:t xml:space="preserve"> </w:t>
      </w:r>
      <w:r w:rsidRPr="00EF190F">
        <w:rPr>
          <w:i/>
        </w:rPr>
        <w:t xml:space="preserve">Vs. Guatemala. Fondo. </w:t>
      </w:r>
      <w:r w:rsidRPr="00EF190F">
        <w:t>Sentencia de 24 de enero de 1998. Serie C No. 36, párr. 76</w:t>
      </w:r>
      <w:r w:rsidRPr="00EF190F">
        <w:rPr>
          <w:rStyle w:val="Strong"/>
          <w:b w:val="0"/>
          <w:shd w:val="clear" w:color="auto" w:fill="FFFFFF"/>
        </w:rPr>
        <w:t xml:space="preserve">, y </w:t>
      </w:r>
      <w:r w:rsidRPr="00EF190F">
        <w:rPr>
          <w:rStyle w:val="Strong"/>
          <w:b w:val="0"/>
          <w:i/>
          <w:shd w:val="clear" w:color="auto" w:fill="FFFFFF"/>
        </w:rPr>
        <w:t>Caso Masacre Plan de Sánchez Vs. Guatemala</w:t>
      </w:r>
      <w:r w:rsidRPr="00EF190F">
        <w:rPr>
          <w:rStyle w:val="Strong"/>
          <w:b w:val="0"/>
          <w:shd w:val="clear" w:color="auto" w:fill="FFFFFF"/>
        </w:rPr>
        <w:t>. Fondo, párr. 42.28.</w:t>
      </w:r>
      <w:r w:rsidRPr="00EF190F">
        <w:t xml:space="preserve"> Por su parte, la policía judicial era un cuerpo de la Policía Nacional “con las funciones de investigación, persecución y aprehensión de los delincuentes y prevención de los delitos”. Sus integrantes eran conocidos popularmente como los “judiciales”. Hacia mediados de la década de los sesenta se empezó a manifestar la intervención y control del Ejército en la Policía. </w:t>
      </w:r>
      <w:r w:rsidRPr="00EF190F">
        <w:rPr>
          <w:i/>
          <w:iCs/>
          <w:lang w:val="es-CR"/>
        </w:rPr>
        <w:t xml:space="preserve">Cfr. </w:t>
      </w:r>
      <w:r w:rsidRPr="00EF190F">
        <w:rPr>
          <w:lang w:val="es-CR"/>
        </w:rPr>
        <w:t xml:space="preserve">Informe de la CEH </w:t>
      </w:r>
      <w:r w:rsidRPr="00EF190F">
        <w:rPr>
          <w:iCs/>
          <w:lang w:val="es-CR"/>
        </w:rPr>
        <w:t>“</w:t>
      </w:r>
      <w:r w:rsidRPr="00EF190F">
        <w:rPr>
          <w:i/>
          <w:iCs/>
          <w:lang w:val="es-CR"/>
        </w:rPr>
        <w:t>Guatemala, Memoria del Silencio</w:t>
      </w:r>
      <w:r w:rsidRPr="00EF190F">
        <w:rPr>
          <w:iCs/>
          <w:lang w:val="es-CR"/>
        </w:rPr>
        <w:t>”</w:t>
      </w:r>
      <w:r w:rsidRPr="00EF190F">
        <w:rPr>
          <w:lang w:val="es-CR"/>
        </w:rPr>
        <w:t xml:space="preserve">, </w:t>
      </w:r>
      <w:r w:rsidRPr="00EF190F">
        <w:rPr>
          <w:iCs/>
          <w:lang w:val="es-CR"/>
        </w:rPr>
        <w:t>Capítulo Segundo</w:t>
      </w:r>
      <w:r w:rsidRPr="00EF190F">
        <w:rPr>
          <w:lang w:val="es-CR"/>
        </w:rPr>
        <w:t>, párrs. 1159 y 1164.</w:t>
      </w:r>
    </w:p>
  </w:footnote>
  <w:footnote w:id="65">
    <w:p w14:paraId="3613F923" w14:textId="77777777" w:rsidR="006A0E1C" w:rsidRPr="00EF190F" w:rsidRDefault="006A0E1C" w:rsidP="006A0E1C">
      <w:pPr>
        <w:tabs>
          <w:tab w:val="left" w:pos="360"/>
        </w:tabs>
        <w:spacing w:line="240" w:lineRule="auto"/>
        <w:contextualSpacing/>
        <w:rPr>
          <w:bCs/>
          <w:sz w:val="16"/>
          <w:szCs w:val="16"/>
          <w:shd w:val="clear" w:color="auto" w:fill="FFFFFF"/>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i/>
          <w:sz w:val="16"/>
          <w:szCs w:val="16"/>
        </w:rPr>
        <w:t xml:space="preserve"> </w:t>
      </w:r>
      <w:r w:rsidRPr="00EF190F">
        <w:rPr>
          <w:rStyle w:val="Strong"/>
          <w:b w:val="0"/>
          <w:i/>
          <w:sz w:val="16"/>
          <w:szCs w:val="16"/>
          <w:shd w:val="clear" w:color="auto" w:fill="FFFFFF"/>
        </w:rPr>
        <w:t>Caso Chitay Nech y otros Vs. Guatemala,</w:t>
      </w:r>
      <w:r w:rsidRPr="00EF190F">
        <w:rPr>
          <w:rStyle w:val="Strong"/>
          <w:b w:val="0"/>
          <w:sz w:val="16"/>
          <w:szCs w:val="16"/>
          <w:shd w:val="clear" w:color="auto" w:fill="FFFFFF"/>
        </w:rPr>
        <w:t xml:space="preserve"> párr. 123, e </w:t>
      </w:r>
      <w:r w:rsidRPr="00EF190F">
        <w:rPr>
          <w:sz w:val="16"/>
          <w:szCs w:val="16"/>
        </w:rPr>
        <w:t xml:space="preserve">Informe de la CEH </w:t>
      </w:r>
      <w:r w:rsidRPr="00EF190F">
        <w:rPr>
          <w:iCs/>
          <w:sz w:val="16"/>
          <w:szCs w:val="16"/>
        </w:rPr>
        <w:t>“</w:t>
      </w:r>
      <w:r w:rsidRPr="00EF190F">
        <w:rPr>
          <w:i/>
          <w:iCs/>
          <w:sz w:val="16"/>
          <w:szCs w:val="16"/>
        </w:rPr>
        <w:t>Guatemala, Memoria del Silencio</w:t>
      </w:r>
      <w:r w:rsidRPr="00EF190F">
        <w:rPr>
          <w:iCs/>
          <w:sz w:val="16"/>
          <w:szCs w:val="16"/>
        </w:rPr>
        <w:t>”</w:t>
      </w:r>
      <w:r w:rsidRPr="00EF190F">
        <w:rPr>
          <w:sz w:val="16"/>
          <w:szCs w:val="16"/>
        </w:rPr>
        <w:t xml:space="preserve">, </w:t>
      </w:r>
      <w:r w:rsidRPr="00EF190F">
        <w:rPr>
          <w:iCs/>
          <w:sz w:val="16"/>
          <w:szCs w:val="16"/>
        </w:rPr>
        <w:t xml:space="preserve">Capítulo Cuarto, </w:t>
      </w:r>
      <w:r w:rsidRPr="00EF190F">
        <w:rPr>
          <w:sz w:val="16"/>
          <w:szCs w:val="16"/>
        </w:rPr>
        <w:t>párr. 66.</w:t>
      </w:r>
    </w:p>
  </w:footnote>
  <w:footnote w:id="66">
    <w:p w14:paraId="374996EC"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sz w:val="16"/>
          <w:szCs w:val="16"/>
        </w:rPr>
        <w:t xml:space="preserve">Cfr. Caso Bámaca Velásquez Vs. Guatemala. Fondo. </w:t>
      </w:r>
      <w:r w:rsidRPr="00EF190F">
        <w:rPr>
          <w:sz w:val="16"/>
          <w:szCs w:val="16"/>
        </w:rPr>
        <w:t>Sentencia de 25 de noviembre de 2000. Serie C No. 70, párr. 132, y</w:t>
      </w:r>
      <w:r w:rsidRPr="00EF190F">
        <w:rPr>
          <w:rStyle w:val="Strong"/>
          <w:b w:val="0"/>
          <w:sz w:val="16"/>
          <w:szCs w:val="16"/>
          <w:shd w:val="clear" w:color="auto" w:fill="FFFFFF"/>
        </w:rPr>
        <w:t xml:space="preserve"> </w:t>
      </w:r>
      <w:r w:rsidRPr="00EF190F">
        <w:rPr>
          <w:rStyle w:val="Strong"/>
          <w:b w:val="0"/>
          <w:i/>
          <w:sz w:val="16"/>
          <w:szCs w:val="16"/>
          <w:shd w:val="clear" w:color="auto" w:fill="FFFFFF"/>
        </w:rPr>
        <w:t>Caso García y Familiares Vs. Guatemala</w:t>
      </w:r>
      <w:r w:rsidRPr="00EF190F">
        <w:rPr>
          <w:rStyle w:val="Strong"/>
          <w:b w:val="0"/>
          <w:sz w:val="16"/>
          <w:szCs w:val="16"/>
          <w:shd w:val="clear" w:color="auto" w:fill="FFFFFF"/>
        </w:rPr>
        <w:t>, párr. 54.</w:t>
      </w:r>
    </w:p>
  </w:footnote>
  <w:footnote w:id="67">
    <w:p w14:paraId="1D2FA218"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Cfr</w:t>
      </w:r>
      <w:r w:rsidRPr="00EF190F">
        <w:rPr>
          <w:sz w:val="16"/>
          <w:szCs w:val="16"/>
          <w:lang w:val="es-CR"/>
        </w:rPr>
        <w:t xml:space="preserve">. Caso </w:t>
      </w:r>
      <w:r w:rsidRPr="00EF190F">
        <w:rPr>
          <w:i/>
          <w:iCs/>
          <w:sz w:val="16"/>
          <w:szCs w:val="16"/>
          <w:lang w:val="es-CR"/>
        </w:rPr>
        <w:t>Molina Theissen Vs. Guatemala</w:t>
      </w:r>
      <w:r w:rsidRPr="00EF190F">
        <w:rPr>
          <w:sz w:val="16"/>
          <w:szCs w:val="16"/>
          <w:lang w:val="es-CR"/>
        </w:rPr>
        <w:t>.</w:t>
      </w:r>
      <w:r w:rsidRPr="00EF190F">
        <w:rPr>
          <w:i/>
          <w:sz w:val="16"/>
          <w:szCs w:val="16"/>
          <w:lang w:val="es-CR"/>
        </w:rPr>
        <w:t xml:space="preserve"> Fondo</w:t>
      </w:r>
      <w:r w:rsidRPr="00EF190F">
        <w:rPr>
          <w:sz w:val="16"/>
          <w:szCs w:val="16"/>
          <w:lang w:val="es-CR"/>
        </w:rPr>
        <w:t xml:space="preserve">, párr. 40.1, y </w:t>
      </w:r>
      <w:r w:rsidRPr="00EF190F">
        <w:rPr>
          <w:i/>
          <w:sz w:val="16"/>
          <w:szCs w:val="16"/>
          <w:lang w:val="es-CR"/>
        </w:rPr>
        <w:t>Caso García y Familiares Vs. Guatemala,</w:t>
      </w:r>
      <w:r w:rsidRPr="00EF190F">
        <w:rPr>
          <w:sz w:val="16"/>
          <w:szCs w:val="16"/>
          <w:lang w:val="es-CR"/>
        </w:rPr>
        <w:t xml:space="preserve"> párr. 120.</w:t>
      </w:r>
    </w:p>
  </w:footnote>
  <w:footnote w:id="68">
    <w:p w14:paraId="476A3BB3"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 xml:space="preserve">Informe de la CEH </w:t>
      </w:r>
      <w:r w:rsidRPr="00EF190F">
        <w:rPr>
          <w:iCs/>
          <w:sz w:val="16"/>
          <w:szCs w:val="16"/>
          <w:lang w:val="es-CR"/>
        </w:rPr>
        <w:t>“</w:t>
      </w:r>
      <w:r w:rsidRPr="00EF190F">
        <w:rPr>
          <w:i/>
          <w:iCs/>
          <w:sz w:val="16"/>
          <w:szCs w:val="16"/>
          <w:lang w:val="es-CR"/>
        </w:rPr>
        <w:t>Guatemala, Memoria del Silencio</w:t>
      </w:r>
      <w:r w:rsidRPr="00EF190F">
        <w:rPr>
          <w:iCs/>
          <w:sz w:val="16"/>
          <w:szCs w:val="16"/>
          <w:lang w:val="es-CR"/>
        </w:rPr>
        <w:t>”</w:t>
      </w:r>
      <w:r w:rsidRPr="00EF190F">
        <w:rPr>
          <w:sz w:val="16"/>
          <w:szCs w:val="16"/>
          <w:lang w:val="es-CR"/>
        </w:rPr>
        <w:t xml:space="preserve">, </w:t>
      </w:r>
      <w:r w:rsidRPr="00EF190F">
        <w:rPr>
          <w:iCs/>
          <w:sz w:val="16"/>
          <w:szCs w:val="16"/>
          <w:lang w:val="es-CR"/>
        </w:rPr>
        <w:t xml:space="preserve">Capítulo Segundo, </w:t>
      </w:r>
      <w:r w:rsidRPr="00EF190F">
        <w:rPr>
          <w:sz w:val="16"/>
          <w:szCs w:val="16"/>
          <w:lang w:val="es-CR"/>
        </w:rPr>
        <w:t>párrs. 2351, 2352, 2376 y 2464.</w:t>
      </w:r>
    </w:p>
  </w:footnote>
  <w:footnote w:id="69">
    <w:p w14:paraId="518118B8"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sz w:val="16"/>
          <w:szCs w:val="16"/>
        </w:rPr>
        <w:t xml:space="preserve">. </w:t>
      </w:r>
      <w:r w:rsidRPr="00EF190F">
        <w:rPr>
          <w:i/>
          <w:iCs/>
          <w:sz w:val="16"/>
          <w:szCs w:val="16"/>
        </w:rPr>
        <w:t>Caso de la Masacre Plan de Sánchez</w:t>
      </w:r>
      <w:r w:rsidRPr="00EF190F">
        <w:rPr>
          <w:sz w:val="16"/>
          <w:szCs w:val="16"/>
        </w:rPr>
        <w:t xml:space="preserve">. </w:t>
      </w:r>
      <w:r w:rsidRPr="00EF190F">
        <w:rPr>
          <w:i/>
          <w:iCs/>
          <w:sz w:val="16"/>
          <w:szCs w:val="16"/>
        </w:rPr>
        <w:t>Reparaciones y Costas</w:t>
      </w:r>
      <w:r w:rsidRPr="00EF190F">
        <w:rPr>
          <w:sz w:val="16"/>
          <w:szCs w:val="16"/>
        </w:rPr>
        <w:t>. Sentencia de 19 de noviembre 2004. Serie C No. 116, párr. 49.19, y</w:t>
      </w:r>
      <w:r w:rsidRPr="00EF190F">
        <w:rPr>
          <w:i/>
          <w:sz w:val="16"/>
          <w:szCs w:val="16"/>
        </w:rPr>
        <w:t xml:space="preserve"> Caso Masacres de </w:t>
      </w:r>
      <w:r w:rsidRPr="00EF190F">
        <w:rPr>
          <w:i/>
          <w:iCs/>
          <w:sz w:val="16"/>
          <w:szCs w:val="16"/>
        </w:rPr>
        <w:t>Río Negro Vs. Guatemala</w:t>
      </w:r>
      <w:r w:rsidRPr="00EF190F">
        <w:rPr>
          <w:sz w:val="16"/>
          <w:szCs w:val="16"/>
        </w:rPr>
        <w:t>,</w:t>
      </w:r>
      <w:r w:rsidRPr="00EF190F">
        <w:rPr>
          <w:i/>
          <w:sz w:val="16"/>
          <w:szCs w:val="16"/>
        </w:rPr>
        <w:t xml:space="preserve"> </w:t>
      </w:r>
      <w:r w:rsidRPr="00EF190F">
        <w:rPr>
          <w:sz w:val="16"/>
          <w:szCs w:val="16"/>
        </w:rPr>
        <w:t xml:space="preserve">párr. 60. </w:t>
      </w:r>
    </w:p>
  </w:footnote>
  <w:footnote w:id="70">
    <w:p w14:paraId="609E2AC0"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i/>
          <w:sz w:val="16"/>
          <w:szCs w:val="16"/>
        </w:rPr>
        <w:t xml:space="preserve">Caso de la Masacre de Las Dos Erres Vs. Guatemala, </w:t>
      </w:r>
      <w:r w:rsidRPr="00EF190F">
        <w:rPr>
          <w:sz w:val="16"/>
          <w:szCs w:val="16"/>
        </w:rPr>
        <w:t>párrs. 177, 178, 170 y 199, y</w:t>
      </w:r>
      <w:r w:rsidRPr="00EF190F">
        <w:rPr>
          <w:i/>
          <w:sz w:val="16"/>
          <w:szCs w:val="16"/>
        </w:rPr>
        <w:t xml:space="preserve"> Caso </w:t>
      </w:r>
      <w:r w:rsidRPr="00EF190F">
        <w:rPr>
          <w:i/>
          <w:iCs/>
          <w:sz w:val="16"/>
          <w:szCs w:val="16"/>
        </w:rPr>
        <w:t>Masacres de Río Negro Vs. Guatemala</w:t>
      </w:r>
      <w:r w:rsidRPr="00EF190F">
        <w:rPr>
          <w:i/>
          <w:sz w:val="16"/>
          <w:szCs w:val="16"/>
        </w:rPr>
        <w:t xml:space="preserve">, </w:t>
      </w:r>
      <w:r w:rsidRPr="00EF190F">
        <w:rPr>
          <w:sz w:val="16"/>
          <w:szCs w:val="16"/>
        </w:rPr>
        <w:t>párr. 60.</w:t>
      </w:r>
    </w:p>
  </w:footnote>
  <w:footnote w:id="71">
    <w:p w14:paraId="2EDAF4C6"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i/>
          <w:sz w:val="16"/>
          <w:szCs w:val="16"/>
        </w:rPr>
        <w:t>Caso Masacres de Río Negro Vs. Guatemala</w:t>
      </w:r>
      <w:r w:rsidRPr="00EF190F">
        <w:rPr>
          <w:sz w:val="16"/>
          <w:szCs w:val="16"/>
        </w:rPr>
        <w:t>,</w:t>
      </w:r>
      <w:r w:rsidRPr="00EF190F">
        <w:rPr>
          <w:i/>
          <w:sz w:val="16"/>
          <w:szCs w:val="16"/>
        </w:rPr>
        <w:t xml:space="preserve"> </w:t>
      </w:r>
      <w:r w:rsidRPr="00EF190F">
        <w:rPr>
          <w:sz w:val="16"/>
          <w:szCs w:val="16"/>
        </w:rPr>
        <w:t>párr. 60.</w:t>
      </w:r>
    </w:p>
  </w:footnote>
  <w:footnote w:id="72">
    <w:p w14:paraId="20ED0E6C" w14:textId="77777777" w:rsidR="006A0E1C" w:rsidRPr="00EF190F" w:rsidRDefault="006A0E1C" w:rsidP="006A0E1C">
      <w:pPr>
        <w:pStyle w:val="FootnoteText"/>
        <w:tabs>
          <w:tab w:val="left" w:pos="360"/>
        </w:tabs>
        <w:contextualSpacing/>
        <w:rPr>
          <w:sz w:val="16"/>
          <w:szCs w:val="16"/>
        </w:rPr>
      </w:pPr>
      <w:r w:rsidRPr="00EF190F">
        <w:rPr>
          <w:sz w:val="16"/>
          <w:szCs w:val="16"/>
          <w:vertAlign w:val="superscript"/>
        </w:rPr>
        <w:footnoteRef/>
      </w:r>
      <w:r w:rsidRPr="00EF190F">
        <w:rPr>
          <w:sz w:val="16"/>
          <w:szCs w:val="16"/>
          <w:lang w:val="es-CR"/>
        </w:rPr>
        <w:tab/>
      </w:r>
      <w:r w:rsidRPr="00EF190F">
        <w:rPr>
          <w:i/>
          <w:sz w:val="16"/>
          <w:szCs w:val="16"/>
          <w:lang w:val="es-CR"/>
        </w:rPr>
        <w:t xml:space="preserve">Cfr. </w:t>
      </w:r>
      <w:r w:rsidRPr="00EF190F">
        <w:rPr>
          <w:i/>
          <w:iCs/>
          <w:sz w:val="16"/>
          <w:szCs w:val="16"/>
          <w:lang w:val="es-CR"/>
        </w:rPr>
        <w:t xml:space="preserve">Caso de la Masacre de Las Dos Erres Vs. Guatemala, </w:t>
      </w:r>
      <w:r w:rsidRPr="00EF190F">
        <w:rPr>
          <w:sz w:val="16"/>
          <w:szCs w:val="16"/>
          <w:lang w:val="es-CR"/>
        </w:rPr>
        <w:t>párr. 171, y</w:t>
      </w:r>
      <w:r w:rsidRPr="00EF190F">
        <w:rPr>
          <w:i/>
          <w:sz w:val="16"/>
          <w:szCs w:val="16"/>
          <w:lang w:val="es-CR"/>
        </w:rPr>
        <w:t xml:space="preserve"> Caso Masacres de Río Negro Vs. Guatemala, </w:t>
      </w:r>
      <w:r w:rsidRPr="00EF190F">
        <w:rPr>
          <w:sz w:val="16"/>
          <w:szCs w:val="16"/>
          <w:lang w:val="es-CR"/>
        </w:rPr>
        <w:t>párr. 60.</w:t>
      </w:r>
    </w:p>
  </w:footnote>
  <w:footnote w:id="73">
    <w:p w14:paraId="414F0B71"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sz w:val="16"/>
          <w:szCs w:val="16"/>
        </w:rPr>
        <w:t xml:space="preserve"> </w:t>
      </w:r>
      <w:r w:rsidRPr="00EF190F">
        <w:rPr>
          <w:i/>
          <w:iCs/>
          <w:sz w:val="16"/>
          <w:szCs w:val="16"/>
        </w:rPr>
        <w:t>Caso</w:t>
      </w:r>
      <w:r w:rsidRPr="00EF190F">
        <w:rPr>
          <w:sz w:val="16"/>
          <w:szCs w:val="16"/>
        </w:rPr>
        <w:t xml:space="preserve"> </w:t>
      </w:r>
      <w:r w:rsidRPr="00EF190F">
        <w:rPr>
          <w:i/>
          <w:iCs/>
          <w:sz w:val="16"/>
          <w:szCs w:val="16"/>
        </w:rPr>
        <w:t>de la Masacre Plan de Sánchez Vs. Guatemala</w:t>
      </w:r>
      <w:r w:rsidRPr="00EF190F">
        <w:rPr>
          <w:sz w:val="16"/>
          <w:szCs w:val="16"/>
        </w:rPr>
        <w:t xml:space="preserve">. </w:t>
      </w:r>
      <w:r w:rsidRPr="00EF190F">
        <w:rPr>
          <w:i/>
          <w:iCs/>
          <w:sz w:val="16"/>
          <w:szCs w:val="16"/>
        </w:rPr>
        <w:t>Fondo,</w:t>
      </w:r>
      <w:r w:rsidRPr="00EF190F">
        <w:rPr>
          <w:sz w:val="16"/>
          <w:szCs w:val="16"/>
        </w:rPr>
        <w:t xml:space="preserve"> párr. 42.7, y</w:t>
      </w:r>
      <w:r w:rsidRPr="00EF190F">
        <w:rPr>
          <w:i/>
          <w:sz w:val="16"/>
          <w:szCs w:val="16"/>
        </w:rPr>
        <w:t xml:space="preserve"> Caso </w:t>
      </w:r>
      <w:r w:rsidRPr="00EF190F">
        <w:rPr>
          <w:i/>
          <w:iCs/>
          <w:sz w:val="16"/>
          <w:szCs w:val="16"/>
        </w:rPr>
        <w:t>Masacres de Río Negro Vs. Guatemala</w:t>
      </w:r>
      <w:r w:rsidRPr="00EF190F">
        <w:rPr>
          <w:sz w:val="16"/>
          <w:szCs w:val="16"/>
        </w:rPr>
        <w:t>,</w:t>
      </w:r>
      <w:r w:rsidRPr="00EF190F">
        <w:rPr>
          <w:i/>
          <w:sz w:val="16"/>
          <w:szCs w:val="16"/>
        </w:rPr>
        <w:t xml:space="preserve"> </w:t>
      </w:r>
      <w:r w:rsidRPr="00EF190F">
        <w:rPr>
          <w:sz w:val="16"/>
          <w:szCs w:val="16"/>
        </w:rPr>
        <w:t xml:space="preserve">párr. 61. </w:t>
      </w:r>
    </w:p>
  </w:footnote>
  <w:footnote w:id="74">
    <w:p w14:paraId="1076CF76"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i/>
          <w:sz w:val="16"/>
          <w:szCs w:val="16"/>
        </w:rPr>
        <w:t>Caso</w:t>
      </w:r>
      <w:r w:rsidRPr="00EF190F">
        <w:rPr>
          <w:sz w:val="16"/>
          <w:szCs w:val="16"/>
        </w:rPr>
        <w:t xml:space="preserve"> </w:t>
      </w:r>
      <w:r w:rsidRPr="00EF190F">
        <w:rPr>
          <w:i/>
          <w:iCs/>
          <w:sz w:val="16"/>
          <w:szCs w:val="16"/>
        </w:rPr>
        <w:t xml:space="preserve">Chitay Nech y otros Vs. Guatemala, </w:t>
      </w:r>
      <w:r w:rsidRPr="00EF190F">
        <w:rPr>
          <w:sz w:val="16"/>
          <w:szCs w:val="16"/>
        </w:rPr>
        <w:t>párrs. 66 a 67, y 69</w:t>
      </w:r>
      <w:r w:rsidRPr="00EF190F">
        <w:rPr>
          <w:iCs/>
          <w:sz w:val="16"/>
          <w:szCs w:val="16"/>
        </w:rPr>
        <w:t>, y</w:t>
      </w:r>
      <w:r w:rsidRPr="00EF190F">
        <w:rPr>
          <w:i/>
          <w:iCs/>
          <w:sz w:val="16"/>
          <w:szCs w:val="16"/>
        </w:rPr>
        <w:t xml:space="preserve"> Caso Masacres de Río Negro Vs. Guatemala, </w:t>
      </w:r>
      <w:r w:rsidRPr="00EF190F">
        <w:rPr>
          <w:iCs/>
          <w:sz w:val="16"/>
          <w:szCs w:val="16"/>
        </w:rPr>
        <w:t>párr. 61</w:t>
      </w:r>
      <w:r w:rsidRPr="00EF190F">
        <w:rPr>
          <w:sz w:val="16"/>
          <w:szCs w:val="16"/>
        </w:rPr>
        <w:t>.</w:t>
      </w:r>
    </w:p>
  </w:footnote>
  <w:footnote w:id="75">
    <w:p w14:paraId="39019A70" w14:textId="77777777" w:rsidR="006A0E1C" w:rsidRPr="00EF190F" w:rsidRDefault="006A0E1C" w:rsidP="006A0E1C">
      <w:pPr>
        <w:tabs>
          <w:tab w:val="left" w:pos="360"/>
          <w:tab w:val="left" w:pos="72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i/>
          <w:sz w:val="16"/>
          <w:szCs w:val="16"/>
        </w:rPr>
        <w:t xml:space="preserve"> </w:t>
      </w:r>
      <w:r w:rsidRPr="00EF190F">
        <w:rPr>
          <w:i/>
          <w:iCs/>
          <w:sz w:val="16"/>
          <w:szCs w:val="16"/>
        </w:rPr>
        <w:t>Caso Masacres de Río Negro Vs. Guatemala</w:t>
      </w:r>
      <w:r w:rsidRPr="00EF190F">
        <w:rPr>
          <w:sz w:val="16"/>
          <w:szCs w:val="16"/>
        </w:rPr>
        <w:t>,</w:t>
      </w:r>
      <w:r w:rsidRPr="00EF190F">
        <w:rPr>
          <w:i/>
          <w:sz w:val="16"/>
          <w:szCs w:val="16"/>
        </w:rPr>
        <w:t xml:space="preserve"> </w:t>
      </w:r>
      <w:r w:rsidRPr="00EF190F">
        <w:rPr>
          <w:sz w:val="16"/>
          <w:szCs w:val="16"/>
        </w:rPr>
        <w:t>párr. 61.</w:t>
      </w:r>
    </w:p>
  </w:footnote>
  <w:footnote w:id="76">
    <w:p w14:paraId="0D8E99DA"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i/>
          <w:sz w:val="16"/>
          <w:szCs w:val="16"/>
          <w:lang w:val="es-CR"/>
        </w:rPr>
        <w:t xml:space="preserve">Caso </w:t>
      </w:r>
      <w:r w:rsidRPr="00EF190F">
        <w:rPr>
          <w:i/>
          <w:iCs/>
          <w:sz w:val="16"/>
          <w:szCs w:val="16"/>
          <w:lang w:val="es-CR"/>
        </w:rPr>
        <w:t>Masacres de Río Negro Vs. Guatemala</w:t>
      </w:r>
      <w:r w:rsidRPr="00EF190F">
        <w:rPr>
          <w:sz w:val="16"/>
          <w:szCs w:val="16"/>
          <w:lang w:val="es-CR"/>
        </w:rPr>
        <w:t>,</w:t>
      </w:r>
      <w:r w:rsidRPr="00EF190F">
        <w:rPr>
          <w:i/>
          <w:sz w:val="16"/>
          <w:szCs w:val="16"/>
          <w:lang w:val="es-CR"/>
        </w:rPr>
        <w:t xml:space="preserve"> </w:t>
      </w:r>
      <w:r w:rsidRPr="00EF190F">
        <w:rPr>
          <w:sz w:val="16"/>
          <w:szCs w:val="16"/>
          <w:lang w:val="es-CR"/>
        </w:rPr>
        <w:t xml:space="preserve">párr. 61, y nota al pie 57. </w:t>
      </w:r>
    </w:p>
  </w:footnote>
  <w:footnote w:id="77">
    <w:p w14:paraId="32B0E789"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i/>
          <w:sz w:val="16"/>
          <w:szCs w:val="16"/>
          <w:lang w:val="es-CR"/>
        </w:rPr>
        <w:t>Caso</w:t>
      </w:r>
      <w:r w:rsidRPr="00EF190F">
        <w:rPr>
          <w:sz w:val="16"/>
          <w:szCs w:val="16"/>
          <w:lang w:val="es-CR"/>
        </w:rPr>
        <w:t xml:space="preserve"> </w:t>
      </w:r>
      <w:r w:rsidRPr="00EF190F">
        <w:rPr>
          <w:i/>
          <w:iCs/>
          <w:sz w:val="16"/>
          <w:szCs w:val="16"/>
          <w:lang w:val="es-CR"/>
        </w:rPr>
        <w:t>Masacres de Río Negro Vs. Guatemala</w:t>
      </w:r>
      <w:r w:rsidRPr="00EF190F">
        <w:rPr>
          <w:sz w:val="16"/>
          <w:szCs w:val="16"/>
          <w:lang w:val="es-CR"/>
        </w:rPr>
        <w:t>,</w:t>
      </w:r>
      <w:r w:rsidRPr="00EF190F">
        <w:rPr>
          <w:i/>
          <w:sz w:val="16"/>
          <w:szCs w:val="16"/>
          <w:lang w:val="es-CR"/>
        </w:rPr>
        <w:t xml:space="preserve"> </w:t>
      </w:r>
      <w:r w:rsidRPr="00EF190F">
        <w:rPr>
          <w:sz w:val="16"/>
          <w:szCs w:val="16"/>
          <w:lang w:val="es-CR"/>
        </w:rPr>
        <w:t xml:space="preserve">párr. 61. </w:t>
      </w:r>
    </w:p>
  </w:footnote>
  <w:footnote w:id="78">
    <w:p w14:paraId="47AF341B"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ab/>
      </w:r>
      <w:r w:rsidRPr="00EF190F">
        <w:rPr>
          <w:i/>
          <w:sz w:val="16"/>
          <w:szCs w:val="16"/>
          <w:lang w:val="es-CR"/>
        </w:rPr>
        <w:t xml:space="preserve">Cfr. </w:t>
      </w:r>
      <w:r w:rsidRPr="00EF190F">
        <w:rPr>
          <w:i/>
          <w:iCs/>
          <w:sz w:val="16"/>
          <w:szCs w:val="16"/>
          <w:lang w:val="es-CR"/>
        </w:rPr>
        <w:t>Caso</w:t>
      </w:r>
      <w:r w:rsidRPr="00EF190F">
        <w:rPr>
          <w:sz w:val="16"/>
          <w:szCs w:val="16"/>
          <w:lang w:val="es-CR"/>
        </w:rPr>
        <w:t xml:space="preserve"> </w:t>
      </w:r>
      <w:r w:rsidRPr="00EF190F">
        <w:rPr>
          <w:i/>
          <w:iCs/>
          <w:sz w:val="16"/>
          <w:szCs w:val="16"/>
          <w:lang w:val="es-CR"/>
        </w:rPr>
        <w:t>de la Masacre Plan de Sánchez Vs. Guatemala</w:t>
      </w:r>
      <w:r w:rsidRPr="00EF190F">
        <w:rPr>
          <w:sz w:val="16"/>
          <w:szCs w:val="16"/>
          <w:lang w:val="es-CR"/>
        </w:rPr>
        <w:t xml:space="preserve">. </w:t>
      </w:r>
      <w:r w:rsidRPr="00EF190F">
        <w:rPr>
          <w:i/>
          <w:iCs/>
          <w:sz w:val="16"/>
          <w:szCs w:val="16"/>
          <w:lang w:val="es-CR"/>
        </w:rPr>
        <w:t>Fondo</w:t>
      </w:r>
      <w:r w:rsidRPr="00EF190F">
        <w:rPr>
          <w:sz w:val="16"/>
          <w:szCs w:val="16"/>
          <w:lang w:val="es-CR"/>
        </w:rPr>
        <w:t xml:space="preserve">, párr. 42.10, e Informe de la CEH </w:t>
      </w:r>
      <w:r w:rsidRPr="00EF190F">
        <w:rPr>
          <w:i/>
          <w:iCs/>
          <w:sz w:val="16"/>
          <w:szCs w:val="16"/>
          <w:lang w:val="es-CR"/>
        </w:rPr>
        <w:t>“Guatemala, Memoria del Silencio</w:t>
      </w:r>
      <w:r w:rsidRPr="00EF190F">
        <w:rPr>
          <w:iCs/>
          <w:sz w:val="16"/>
          <w:szCs w:val="16"/>
          <w:lang w:val="es-CR"/>
        </w:rPr>
        <w:t>”</w:t>
      </w:r>
      <w:r w:rsidRPr="00EF190F">
        <w:rPr>
          <w:sz w:val="16"/>
          <w:szCs w:val="16"/>
          <w:lang w:val="es-CR"/>
        </w:rPr>
        <w:t xml:space="preserve">, </w:t>
      </w:r>
      <w:r w:rsidRPr="00EF190F">
        <w:rPr>
          <w:iCs/>
          <w:sz w:val="16"/>
          <w:szCs w:val="16"/>
          <w:lang w:val="es-CR"/>
        </w:rPr>
        <w:t xml:space="preserve">Capítulo Cuarto, </w:t>
      </w:r>
      <w:r w:rsidRPr="00EF190F">
        <w:rPr>
          <w:sz w:val="16"/>
          <w:szCs w:val="16"/>
          <w:lang w:val="es-CR"/>
        </w:rPr>
        <w:t>párr. 3362.</w:t>
      </w:r>
    </w:p>
  </w:footnote>
  <w:footnote w:id="79">
    <w:p w14:paraId="276ED8A3"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i/>
          <w:sz w:val="16"/>
          <w:szCs w:val="16"/>
          <w:lang w:val="es-CR"/>
        </w:rPr>
        <w:t>Caso</w:t>
      </w:r>
      <w:r w:rsidRPr="00EF190F">
        <w:rPr>
          <w:i/>
          <w:iCs/>
          <w:sz w:val="16"/>
          <w:szCs w:val="16"/>
          <w:lang w:val="es-CR"/>
        </w:rPr>
        <w:t xml:space="preserve"> Masacres de Río Negro Vs. Guatemala, </w:t>
      </w:r>
      <w:r w:rsidRPr="00EF190F">
        <w:rPr>
          <w:sz w:val="16"/>
          <w:szCs w:val="16"/>
          <w:lang w:val="es-CR"/>
        </w:rPr>
        <w:t xml:space="preserve">párr. 64, y </w:t>
      </w:r>
      <w:r w:rsidRPr="00EF190F">
        <w:rPr>
          <w:i/>
          <w:iCs/>
          <w:sz w:val="16"/>
          <w:szCs w:val="16"/>
          <w:lang w:val="es-CR"/>
        </w:rPr>
        <w:t>Caso</w:t>
      </w:r>
      <w:r w:rsidRPr="00EF190F">
        <w:rPr>
          <w:sz w:val="16"/>
          <w:szCs w:val="16"/>
          <w:lang w:val="es-CR"/>
        </w:rPr>
        <w:t xml:space="preserve"> </w:t>
      </w:r>
      <w:r w:rsidRPr="00EF190F">
        <w:rPr>
          <w:i/>
          <w:iCs/>
          <w:sz w:val="16"/>
          <w:szCs w:val="16"/>
          <w:lang w:val="es-CR"/>
        </w:rPr>
        <w:t>de la Masacre Plan de Sánchez</w:t>
      </w:r>
      <w:r w:rsidRPr="00EF190F">
        <w:rPr>
          <w:sz w:val="16"/>
          <w:szCs w:val="16"/>
          <w:lang w:val="es-CR"/>
        </w:rPr>
        <w:t xml:space="preserve">. </w:t>
      </w:r>
      <w:r w:rsidRPr="00EF190F">
        <w:rPr>
          <w:i/>
          <w:iCs/>
          <w:sz w:val="16"/>
          <w:szCs w:val="16"/>
          <w:lang w:val="es-CR"/>
        </w:rPr>
        <w:t>Fondo,</w:t>
      </w:r>
      <w:r w:rsidRPr="00EF190F">
        <w:rPr>
          <w:sz w:val="16"/>
          <w:szCs w:val="16"/>
          <w:lang w:val="es-CR"/>
        </w:rPr>
        <w:t xml:space="preserve"> párr. 42.8.</w:t>
      </w:r>
    </w:p>
  </w:footnote>
  <w:footnote w:id="80">
    <w:p w14:paraId="62799D1C"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sz w:val="16"/>
          <w:szCs w:val="16"/>
        </w:rPr>
        <w:t xml:space="preserve"> Informe de la CEH </w:t>
      </w:r>
      <w:r w:rsidRPr="00EF190F">
        <w:rPr>
          <w:i/>
          <w:iCs/>
          <w:sz w:val="16"/>
          <w:szCs w:val="16"/>
        </w:rPr>
        <w:t>“Guatemala, Memoria del Silencio”</w:t>
      </w:r>
      <w:r w:rsidRPr="00EF190F">
        <w:rPr>
          <w:sz w:val="16"/>
          <w:szCs w:val="16"/>
        </w:rPr>
        <w:t xml:space="preserve">, </w:t>
      </w:r>
      <w:r w:rsidRPr="00EF190F">
        <w:rPr>
          <w:iCs/>
          <w:sz w:val="16"/>
          <w:szCs w:val="16"/>
        </w:rPr>
        <w:t xml:space="preserve">Capítulo Cuarto, </w:t>
      </w:r>
      <w:r w:rsidRPr="00EF190F">
        <w:rPr>
          <w:sz w:val="16"/>
          <w:szCs w:val="16"/>
        </w:rPr>
        <w:t>párrs. 3364 a 3368.</w:t>
      </w:r>
    </w:p>
  </w:footnote>
  <w:footnote w:id="81">
    <w:p w14:paraId="6E8D2857"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Declaraciones rendidas ante fedatario público (affidávit) por Juana García Depaz (esposa de Mateo Grave) y Olivia Siana Ixtecoc de Bolaj (hija de Pedro Siana) los días 2 de noviembre de 2009 y 18 de diciembre de 2014 (expediente de prueba, folios 1330, 1331 y 5841), y Declaración de Juana García Depaz en la audiencia pública celebrada el 28 de abril de 2016.</w:t>
      </w:r>
    </w:p>
  </w:footnote>
  <w:footnote w:id="82">
    <w:p w14:paraId="38518465"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Declaraciones rendidas ante el auxiliar fiscal por Rosario Román Tum (esposa de Domingo Reyes Juárez) y Víctor Cástulo Alvarado Sucup (hijo de Víctor Alvarado Valey) los días 11 de agosto de 1995 y 9 de mayo de 2000, y Declaraciones rendidas ante fedatario público (affidávit) por Víctor Cástulo Alvarado Sucup (hijo de Víctor Alvarado Valey) y Juana Reyes Román (hija de Domingo Reyes Juárez) los días 16, 18 y 31 de diciembre de 2014 (expediente de prueba, folios 1883, 1885, 1890, 1888, 5831 y 5846), e Informe de Investigación Antropológico Forense de la FAFG de 18 de diciembre de 2002 (expediente de prueba, folios 1965, 1961, 1966, 1969 y 1971).</w:t>
      </w:r>
    </w:p>
  </w:footnote>
  <w:footnote w:id="83">
    <w:p w14:paraId="2A50FB06"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Acta de exhumación de cadáveres de 9 de abril de 2002 (expediente de prueba, folios 1938 a 1941); Informe de Investigación Antropológico Forense de la FAFG de 24 de julio de 2002 (expediente de prueba, folios 2037), y Acta de reconocimiento judicial de osamentas humanas del Organismo Judicial de Guatemala de 27 de febrero de 2003 (expediente de fondo, folios 1952 a 1954).</w:t>
      </w:r>
    </w:p>
  </w:footnote>
  <w:footnote w:id="84">
    <w:p w14:paraId="7FBAD0F8"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t>El Informe de la CEH indica que “[e]l 9 de enero de 1982, en la cabecera municipal de Rabinal, departamento de Baja Verapaz, Lorenzo De Paz Cipriano, quien era alcalde auxiliar de Chihom (</w:t>
      </w:r>
      <w:r w:rsidRPr="00EF190F">
        <w:rPr>
          <w:i/>
          <w:sz w:val="16"/>
          <w:szCs w:val="16"/>
          <w:lang w:val="es-CR"/>
        </w:rPr>
        <w:t>sic</w:t>
      </w:r>
      <w:r w:rsidRPr="00EF190F">
        <w:rPr>
          <w:sz w:val="16"/>
          <w:szCs w:val="16"/>
          <w:lang w:val="es-CR"/>
        </w:rPr>
        <w:t xml:space="preserve">), acudió a la alcaldía citado por la Policía Judicial y comisionados militares. Desde entonces no se ha vuelto a saber de la víctima”. </w:t>
      </w:r>
      <w:r w:rsidRPr="00EF190F">
        <w:rPr>
          <w:i/>
          <w:sz w:val="16"/>
          <w:szCs w:val="16"/>
          <w:lang w:val="es-CR"/>
        </w:rPr>
        <w:t>Cfr.</w:t>
      </w:r>
      <w:r w:rsidRPr="00EF190F">
        <w:rPr>
          <w:sz w:val="16"/>
          <w:szCs w:val="16"/>
          <w:lang w:val="es-CR"/>
        </w:rPr>
        <w:t xml:space="preserve"> Informe de la CEH </w:t>
      </w:r>
      <w:r w:rsidRPr="00EF190F">
        <w:rPr>
          <w:i/>
          <w:iCs/>
          <w:sz w:val="16"/>
          <w:szCs w:val="16"/>
          <w:lang w:val="es-CR"/>
        </w:rPr>
        <w:t>“Guatemala, Memoria del Silencio”</w:t>
      </w:r>
      <w:r w:rsidRPr="00EF190F">
        <w:rPr>
          <w:sz w:val="16"/>
          <w:szCs w:val="16"/>
          <w:lang w:val="es-CR"/>
        </w:rPr>
        <w:t>, Casos Presentados, Anexo II, pág. 163.</w:t>
      </w:r>
    </w:p>
  </w:footnote>
  <w:footnote w:id="85">
    <w:p w14:paraId="3CEFB859"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 xml:space="preserve">Declaraciones de hombres miembros de la comunidad que fueron obligados a limpiar la clínica, recibidas en el marco de la investigación penal por el auxiliar fiscal asignado los días 27 de abril de 1999, 25 de octubre de 2000, 12 y 27 de julio de 2005 y 16 de agosto de 2005, y rendidas ante fedatario público (affidávit) los días 20, 22 </w:t>
      </w:r>
      <w:r w:rsidRPr="00EF190F">
        <w:rPr>
          <w:sz w:val="16"/>
          <w:szCs w:val="16"/>
          <w:lang w:val="es-GT"/>
        </w:rPr>
        <w:t>y</w:t>
      </w:r>
      <w:r w:rsidRPr="00EF190F">
        <w:rPr>
          <w:sz w:val="16"/>
          <w:szCs w:val="16"/>
        </w:rPr>
        <w:t xml:space="preserve"> 26 de diciembre de 2014 (expediente de prueba, folios 435, 448, 452, 611, 638, 735, 736, 758 a 759, 1009, 1212, 1218, 5908, 5935 y 5964), y Declaración de Miguel Sic Osorio presentada ante la Corte Interamericana ante fedatario público (affidávit) el 20 de abril de 2016.</w:t>
      </w:r>
    </w:p>
  </w:footnote>
  <w:footnote w:id="86">
    <w:p w14:paraId="53800AB8"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sz w:val="16"/>
          <w:szCs w:val="16"/>
        </w:rPr>
        <w:t xml:space="preserve"> Declaraciones de vecinos de la comunidad que hicieron otra tumba para enterrar bien los cuerpos, así como de otras personas de la comunidad que indicaron saber que sucedió este hecho, recibidas en el marco de la investigación penal por el auxiliar fiscal asignado los días 14 de abril de 1993, 27 de abril de 1999, 25 de octubre de 2000 y 12 y 27 de julio de 2005, y rendidas ante fedatario público (affidávit) los días 19 y 30 de diciembre de 2014 (expediente de prueba, folios 435, 472, 607, 611, 638, 719 a 720, 735 a 736, 759, 1009, 1205, 1212, 5896, 6125 y 5964), y Declaración de Miguel Sic Osorio presentada ante la Corte Interamericana ante fedatario público (affidávit) el 20 de abril de 2016.</w:t>
      </w:r>
    </w:p>
  </w:footnote>
  <w:footnote w:id="87">
    <w:p w14:paraId="72280D42"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sz w:val="16"/>
          <w:szCs w:val="16"/>
          <w:lang w:val="es-CR"/>
        </w:rPr>
        <w:t>Acta de exhumación de cadáveres, mayo de 1993 (expediente de prueba, folios 666 a 685); Informe presentado por el EAFG de julio de 1993 (expediente de prueba, folios 511, 540 y 541), y Oficios de la Policía Nacional de Salamá en Baja Verapaz de 15 y 19 de mayo de 1993 (expediente de prueba, folios 690 a 692, 940 y 941).</w:t>
      </w:r>
    </w:p>
  </w:footnote>
  <w:footnote w:id="88">
    <w:p w14:paraId="059183B5"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t xml:space="preserve">De conformidad con la prueba y los argumentos de la Comisión y los representantes no controvertidos por el Estado, el señor Félix Alvarado, incluido en el grupo de los 32 hombres, no soportó las torturas de las que fue víctima y murió en el camino. </w:t>
      </w:r>
      <w:r w:rsidRPr="00EF190F">
        <w:rPr>
          <w:i/>
          <w:iCs/>
          <w:sz w:val="16"/>
          <w:szCs w:val="16"/>
        </w:rPr>
        <w:t xml:space="preserve">Cfr. </w:t>
      </w:r>
      <w:r w:rsidRPr="00EF190F">
        <w:rPr>
          <w:sz w:val="16"/>
          <w:szCs w:val="16"/>
        </w:rPr>
        <w:t>Declaraciones de vecinos de la comunidad que indicaron saber que sucedió este hecho, y una declaración más de una persona que indicó haber visto caer en el camino al señor Félix Alvarado, recibidas en el marco de la investigación penal por el auxiliar fiscal asignado los días 27 de abril y 28 de junio de 1999, y 16 de agosto de 2005 (expediente de prueba, folios 638, 1024 y 1218).</w:t>
      </w:r>
    </w:p>
  </w:footnote>
  <w:footnote w:id="89">
    <w:p w14:paraId="3A766B6E"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Cfr.</w:t>
      </w:r>
      <w:r w:rsidRPr="00EF190F">
        <w:rPr>
          <w:sz w:val="16"/>
          <w:szCs w:val="16"/>
          <w:lang w:val="es-CR"/>
        </w:rPr>
        <w:t xml:space="preserve"> Declaraciones de Máxima Emiliana García Valey recibidas en el marco de la investigación penal por el auxiliar fiscal asignado los días 25 de octubre de 2000, 26 de julio de 2001 y 12 de julio de 2005, y rendida </w:t>
      </w:r>
      <w:r w:rsidRPr="00EF190F">
        <w:rPr>
          <w:rFonts w:cs="Calibri"/>
          <w:sz w:val="16"/>
          <w:szCs w:val="16"/>
          <w:lang w:val="es-CR"/>
        </w:rPr>
        <w:t>ante fedatario público (affidávit)</w:t>
      </w:r>
      <w:r w:rsidRPr="00EF190F">
        <w:rPr>
          <w:sz w:val="16"/>
          <w:szCs w:val="16"/>
          <w:lang w:val="es-CR"/>
        </w:rPr>
        <w:t xml:space="preserve"> </w:t>
      </w:r>
      <w:r w:rsidRPr="00EF190F">
        <w:rPr>
          <w:rFonts w:cs="Calibri"/>
          <w:sz w:val="16"/>
          <w:szCs w:val="16"/>
          <w:lang w:val="es-CR"/>
        </w:rPr>
        <w:t>el 12 de diciembre de 2014</w:t>
      </w:r>
      <w:r w:rsidRPr="00EF190F">
        <w:rPr>
          <w:sz w:val="16"/>
          <w:szCs w:val="16"/>
          <w:lang w:val="es-CR"/>
        </w:rPr>
        <w:t xml:space="preserve"> (expediente de prueba, folios 463 a 469, 750 a 751, 796 y </w:t>
      </w:r>
      <w:r w:rsidRPr="00EF190F">
        <w:rPr>
          <w:rFonts w:cs="Calibri"/>
          <w:sz w:val="16"/>
          <w:szCs w:val="16"/>
          <w:lang w:val="es-CR"/>
        </w:rPr>
        <w:t>5714</w:t>
      </w:r>
      <w:r w:rsidRPr="00EF190F">
        <w:rPr>
          <w:sz w:val="16"/>
          <w:szCs w:val="16"/>
          <w:lang w:val="es-CR"/>
        </w:rPr>
        <w:t>).</w:t>
      </w:r>
    </w:p>
  </w:footnote>
  <w:footnote w:id="90">
    <w:p w14:paraId="6C042909"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sz w:val="16"/>
          <w:szCs w:val="16"/>
          <w:lang w:val="es-CR"/>
        </w:rPr>
        <w:t xml:space="preserve">Informe de la CEH </w:t>
      </w:r>
      <w:r w:rsidRPr="00EF190F">
        <w:rPr>
          <w:iCs/>
          <w:sz w:val="16"/>
          <w:szCs w:val="16"/>
          <w:lang w:val="es-CR"/>
        </w:rPr>
        <w:t>“</w:t>
      </w:r>
      <w:r w:rsidRPr="00EF190F">
        <w:rPr>
          <w:i/>
          <w:iCs/>
          <w:sz w:val="16"/>
          <w:szCs w:val="16"/>
          <w:lang w:val="es-CR"/>
        </w:rPr>
        <w:t>Guatemala, Memoria del Silencio</w:t>
      </w:r>
      <w:r w:rsidRPr="00EF190F">
        <w:rPr>
          <w:iCs/>
          <w:sz w:val="16"/>
          <w:szCs w:val="16"/>
          <w:lang w:val="es-CR"/>
        </w:rPr>
        <w:t>”</w:t>
      </w:r>
      <w:r w:rsidRPr="00EF190F">
        <w:rPr>
          <w:sz w:val="16"/>
          <w:szCs w:val="16"/>
          <w:lang w:val="es-CR"/>
        </w:rPr>
        <w:t>,</w:t>
      </w:r>
      <w:r w:rsidRPr="00EF190F">
        <w:rPr>
          <w:i/>
          <w:iCs/>
          <w:sz w:val="16"/>
          <w:szCs w:val="16"/>
          <w:lang w:val="es-CR"/>
        </w:rPr>
        <w:t xml:space="preserve"> </w:t>
      </w:r>
      <w:r w:rsidRPr="00EF190F">
        <w:rPr>
          <w:iCs/>
          <w:sz w:val="16"/>
          <w:szCs w:val="16"/>
          <w:lang w:val="es-CR"/>
        </w:rPr>
        <w:t>Capítulo Segundo</w:t>
      </w:r>
      <w:r w:rsidRPr="00EF190F">
        <w:rPr>
          <w:sz w:val="16"/>
          <w:szCs w:val="16"/>
          <w:lang w:val="es-CR"/>
        </w:rPr>
        <w:t>, párr. 3391 y notas al pie 1090 y 1095.</w:t>
      </w:r>
    </w:p>
  </w:footnote>
  <w:footnote w:id="91">
    <w:p w14:paraId="76A72272"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padecieron o fueron testigos de la situación de violencia y persecución en la zona y de familiares, recibidas en el marco de la investigación penal los días 27 de abril 1999, 25 de octubre de 2000, y 12 y 27 de julio y 16 de agosto de 2005 y rendidas ante fedatario público (affidávit) los días 14, 18, 21 y 22 de agosto, 1 de septiembre, 24, 27 y 28 de octubre, 24 y 27 de noviembre y 1, 4, 8 a 20, 22, 23, y 26 a 31 de diciembre de 2014 (expediente de prueba, folios 445 a 6165), y Declaración de Juana García Depaz en la audiencia pública celebrada el 28 de abril de 2016.</w:t>
      </w:r>
    </w:p>
  </w:footnote>
  <w:footnote w:id="92">
    <w:p w14:paraId="04E16A13"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Declaraciones de mujeres que sostuvieron haber sido violadas y de personas que indicaron que estos actos ocurrieron en contra de sus familiares, recibidas en el marco de la investigación penal los días 27 de abril de 1999, 25 de octubre de 2000, 15 de noviembre de 2002, 12 y 27 de julio y 16 de agosto de 2005 y rendidas ante el auxiliar fiscal el 16 de agosto de 2005 y ante fedatario público (affidávit) los días 1, 8, 9, 11, 13, 15, 16, 22, 26, 28 y 30 de diciembre de 2014 (expediente de prueba, folios 428 a 6096), y Declaración ante fedatario público (affidávit) de Miguel Sic Osorio presentada a la Corte Interamericana el 20 de abril de 2016.</w:t>
      </w:r>
    </w:p>
  </w:footnote>
  <w:footnote w:id="93">
    <w:p w14:paraId="56AF1BB7"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tuvieron que huir y permanecer escondidos en la montaña, recibidas en el marco de la investigación penal los días 25 de octubre de 2000, 12 de julio y 16 de agosto de 2005 y rendidas ante fedatario público (affidávit) los días 14, 18 y 21 de agosto, 1 de septiembre, 27 de octubre, 27 de noviembre y 1, 4, 9, 11, 13, 14, 15, 17, 18, 19, 22, 23, y 26 a 31 de diciembre de 2014 (expediente de prueba, folios 435 a 6155), y Declaración de Juana García Depaz en la audiencia pública celebrada el 28 de abril de 2016.</w:t>
      </w:r>
    </w:p>
  </w:footnote>
  <w:footnote w:id="94">
    <w:p w14:paraId="16C719E5"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vivieron la persecución militar y tuvieron que desplazarse en la montaña, recibidas en el marco de la investigación penal los días 25 de octubre de 2000, 12 de julio y 16 de agosto de 2005 y rendidas ante fedatario público (affidávit) los días 14, 18 y 21 de agosto, 24 de noviembre y 1, 9, 11, 14, 15, 18, 19, 22, 23, 26, 28 y 31 de diciembre de 2014 (expediente de prueba, folios 445 a 6161).</w:t>
      </w:r>
    </w:p>
  </w:footnote>
  <w:footnote w:id="95">
    <w:p w14:paraId="6F391492"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habían huido y que fueron capturados por los militares y de familiares, recibidas en el marco de la investigación penal los días 25 de octubre de 2000, 12 y 27 de julio y 16 de agosto de 2005 y rendidas ante fedatario público (affidávit) los días 1 de septiembre, 27 de octubre y 9, 11, 13, 18, 19, 22, 23, 27 a 31 de diciembre de 2014 (expediente de prueba, folios 456 a 6156).</w:t>
      </w:r>
    </w:p>
  </w:footnote>
  <w:footnote w:id="96">
    <w:p w14:paraId="7BD70F95"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vivieron en la aldea modelo de Chichupac, así como de otras personas de la comunidad que indicaron saber que miembros del Ejército Nacional construyeron esa colonia, recibidas en el marco de la investigación penal los días 25 de octubre de 2000, 2, 12 y 27 de julio y 16 de agosto de 2005, y rendidas ante fedatario público (affidávit) los días 28 de octubre y 1, 11, 12, 15 a 19, 22, 23, 26, 27, y 29 a 31 de diciembre de 2014 (expediente de prueba, folios 439 a 6164)</w:t>
      </w:r>
      <w:r w:rsidRPr="00EF190F">
        <w:rPr>
          <w:rFonts w:cs="Arial"/>
          <w:sz w:val="16"/>
          <w:szCs w:val="16"/>
          <w:lang w:val="es-CR"/>
        </w:rPr>
        <w:t>.</w:t>
      </w:r>
    </w:p>
  </w:footnote>
  <w:footnote w:id="97">
    <w:p w14:paraId="047DD2B9"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vivieron en la aldea modelo de Chichupac, recibidas en el marco de la investigación penal los días 27 de julio y 16 de agosto de 2005 y rendidas ante fedatario público (affidávit) los días 11, 16, 18, 19, 22, 23 y 26 a 31 de diciembre de 2014 (expediente de prueba, folios 1195 a 6151), y Declaración de Juana García Depaz en la audiencia pública celebrada el 28 de abril de 2016.</w:t>
      </w:r>
    </w:p>
  </w:footnote>
  <w:footnote w:id="98">
    <w:p w14:paraId="6A09C5F7"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eastAsia="Calibri" w:cs="Arial"/>
          <w:sz w:val="16"/>
          <w:szCs w:val="16"/>
          <w:lang w:val="es-CR"/>
        </w:rPr>
        <w:t xml:space="preserve">En ese entonces una </w:t>
      </w:r>
      <w:r w:rsidRPr="00EF190F">
        <w:rPr>
          <w:sz w:val="16"/>
          <w:szCs w:val="16"/>
          <w:lang w:val="es-ES"/>
        </w:rPr>
        <w:t>entidad de derecho privado sin fines de lucro que no pertenecía a la administración pública ni era parte de la estructura estatal.</w:t>
      </w:r>
    </w:p>
  </w:footnote>
  <w:footnote w:id="99">
    <w:p w14:paraId="13FC8EDE"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 xml:space="preserve">Declaraciones de vecinos de la comunidad que recibieron la ayuda del </w:t>
      </w:r>
      <w:r w:rsidRPr="00EF190F">
        <w:rPr>
          <w:iCs/>
          <w:sz w:val="16"/>
          <w:szCs w:val="16"/>
          <w:lang w:val="es-CR"/>
        </w:rPr>
        <w:t>CIF</w:t>
      </w:r>
      <w:r w:rsidRPr="00EF190F">
        <w:rPr>
          <w:sz w:val="16"/>
          <w:szCs w:val="16"/>
          <w:lang w:val="es-CR"/>
        </w:rPr>
        <w:t xml:space="preserve"> rendidas ante fedatario público (affidávit) los días 27 y 29 a 31 de diciembre de 2014 (expediente de prueba, folios 6016, 6025, 6081, 6126, 6136, 6141 y 6151), y </w:t>
      </w:r>
      <w:r w:rsidRPr="00EF190F">
        <w:rPr>
          <w:iCs/>
          <w:sz w:val="16"/>
          <w:szCs w:val="16"/>
          <w:lang w:val="es-CR"/>
        </w:rPr>
        <w:t>Declaración rendida ante fedatario público por Miguel Chen Tahuico el 30 de mayo de 2016 (expediente de prueba, folios 11905 a 11907)</w:t>
      </w:r>
      <w:r w:rsidRPr="00EF190F">
        <w:rPr>
          <w:sz w:val="16"/>
          <w:szCs w:val="16"/>
          <w:lang w:val="es-CR"/>
        </w:rPr>
        <w:t>.</w:t>
      </w:r>
    </w:p>
  </w:footnote>
  <w:footnote w:id="100">
    <w:p w14:paraId="5B0190F8"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Cfr.</w:t>
      </w:r>
      <w:r w:rsidRPr="00EF190F">
        <w:rPr>
          <w:iCs/>
          <w:sz w:val="16"/>
          <w:szCs w:val="16"/>
          <w:lang w:val="es-CR"/>
        </w:rPr>
        <w:t xml:space="preserve"> Declaración de Miguel Chen Tahuico de 30 de mayo de 2016 rendida ante fedatario público (expediente de prueba, folios 11905 a 11907).</w:t>
      </w:r>
    </w:p>
  </w:footnote>
  <w:footnote w:id="101">
    <w:p w14:paraId="66236E61"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indicaron que las persecuciones seguían, recibidas en el marco de la investigación penal por el auxiliar fiscal asignado el 27 de abril de 1999 (expediente de prueba, folios 608, 612 y 614).</w:t>
      </w:r>
    </w:p>
  </w:footnote>
  <w:footnote w:id="102">
    <w:p w14:paraId="784E7BD7"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Declaraciones de vecinos de la comunidad que no han podido regresar a sus tierras, rendidas ante fedatario público (affidávit) los días 14, 21 y 22 de agosto, 1 de septiembre, 24 de octubre, 24 de noviembre y 8, 10, 19, 22, 23 y 30 de diciembre de 2014 (expediente de prueba, folios 5532 a 6130), y Declaración ante fedatario público (affidávit) de Miguel Sic Osorio presentada ante la Corte Interamericana el 20 de abril de 2016.</w:t>
      </w:r>
    </w:p>
  </w:footnote>
  <w:footnote w:id="103">
    <w:p w14:paraId="75F1E9ED"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sz w:val="16"/>
          <w:szCs w:val="16"/>
          <w:lang w:val="es-CR"/>
        </w:rPr>
        <w:t xml:space="preserve">Declaraciones rendidas ante fedatario público (affidávit) por </w:t>
      </w:r>
      <w:r w:rsidRPr="00EF190F">
        <w:rPr>
          <w:rFonts w:eastAsia="Arial" w:cs="Arial"/>
          <w:sz w:val="16"/>
          <w:szCs w:val="16"/>
          <w:lang w:val="es-CR"/>
        </w:rPr>
        <w:t xml:space="preserve">Marcelina Alarcón Morente y Clotilde Felipa Alarcón Morente (hermanas de </w:t>
      </w:r>
      <w:r w:rsidRPr="00EF190F">
        <w:rPr>
          <w:sz w:val="16"/>
          <w:szCs w:val="16"/>
          <w:lang w:val="es-CR"/>
        </w:rPr>
        <w:t xml:space="preserve">Manuel de Jesús y </w:t>
      </w:r>
      <w:r w:rsidRPr="00EF190F">
        <w:rPr>
          <w:rFonts w:eastAsia="Arial" w:cs="Arial"/>
          <w:sz w:val="16"/>
          <w:szCs w:val="16"/>
          <w:lang w:val="es-CR"/>
        </w:rPr>
        <w:t xml:space="preserve">Edmundo </w:t>
      </w:r>
      <w:r w:rsidRPr="00EF190F">
        <w:rPr>
          <w:sz w:val="16"/>
          <w:szCs w:val="16"/>
          <w:lang w:val="es-CR"/>
        </w:rPr>
        <w:t xml:space="preserve">Alarcón Morente) el </w:t>
      </w:r>
      <w:r w:rsidRPr="00EF190F">
        <w:rPr>
          <w:rFonts w:eastAsia="Arial" w:cs="Arial"/>
          <w:sz w:val="16"/>
          <w:szCs w:val="16"/>
          <w:lang w:val="es-CR"/>
        </w:rPr>
        <w:t>13 de diciembre de 2014</w:t>
      </w:r>
      <w:r w:rsidRPr="00EF190F">
        <w:rPr>
          <w:sz w:val="16"/>
          <w:szCs w:val="16"/>
          <w:lang w:val="es-CR"/>
        </w:rPr>
        <w:t xml:space="preserve"> (expediente de prueba, folios 5742 a 5744 y </w:t>
      </w:r>
      <w:r w:rsidRPr="00EF190F">
        <w:rPr>
          <w:rFonts w:eastAsia="Arial" w:cs="Arial"/>
          <w:sz w:val="16"/>
          <w:szCs w:val="16"/>
          <w:lang w:val="es-CR"/>
        </w:rPr>
        <w:t>5748</w:t>
      </w:r>
      <w:r w:rsidRPr="00EF190F">
        <w:rPr>
          <w:sz w:val="16"/>
          <w:szCs w:val="16"/>
          <w:lang w:val="es-CR"/>
        </w:rPr>
        <w:t xml:space="preserve">). Cabe señalar que la Comisión aclaró en su Informe de Fondo que “de </w:t>
      </w:r>
      <w:r w:rsidRPr="00EF190F">
        <w:rPr>
          <w:rFonts w:cs="Arial"/>
          <w:sz w:val="16"/>
          <w:szCs w:val="16"/>
          <w:lang w:val="es-CR"/>
        </w:rPr>
        <w:t>las declaraciones existiría discrepancia en la fecha en que habría ocurrido la detención y</w:t>
      </w:r>
      <w:r w:rsidRPr="00EF190F">
        <w:rPr>
          <w:sz w:val="16"/>
          <w:szCs w:val="16"/>
          <w:lang w:val="es-CR"/>
        </w:rPr>
        <w:t xml:space="preserve"> </w:t>
      </w:r>
      <w:r w:rsidRPr="00EF190F">
        <w:rPr>
          <w:rFonts w:cs="Arial"/>
          <w:sz w:val="16"/>
          <w:szCs w:val="16"/>
          <w:lang w:val="es-CR"/>
        </w:rPr>
        <w:t xml:space="preserve">muerte de Raymundo Alarcón y Manuel Alarcón”. Al respecto, </w:t>
      </w:r>
      <w:r w:rsidRPr="00EF190F">
        <w:rPr>
          <w:sz w:val="16"/>
          <w:szCs w:val="16"/>
          <w:lang w:val="es-CR"/>
        </w:rPr>
        <w:t>la Corte ha procedido a señalar el relato que es consistente con la prueba, sin perjuicio de la nueva evidencia que pudiera sobrevenir al respecto.</w:t>
      </w:r>
    </w:p>
  </w:footnote>
  <w:footnote w:id="104">
    <w:p w14:paraId="5CA82EFE"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Cfr.</w:t>
      </w:r>
      <w:r w:rsidRPr="00EF190F">
        <w:rPr>
          <w:sz w:val="16"/>
          <w:szCs w:val="16"/>
          <w:lang w:val="es-CR"/>
        </w:rPr>
        <w:t xml:space="preserve"> Acta del Auxiliar Fiscal de la Fiscalía Municipal de Rabinal, Baja Verapaz, de 9 de octubre de 2006 (expediente de prueba, folios 1414 a 1416); Acta del Auxiliar Fiscal de la Fiscalía Municipal de Rabinal, Baja Verapaz, de 10 de octubre de 2006 (expediente de prueba, folios 1417 a 1419), y Oficio del Subinspector de la P.N.C. Encargado Sub-estación 52-21 de la Policía Nacional Civil de 19 de octubre de 2006 (expediente de prueba, folios 1421 a 1422).</w:t>
      </w:r>
    </w:p>
  </w:footnote>
  <w:footnote w:id="105">
    <w:p w14:paraId="3B1FB6E4"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lang w:val="es-CR"/>
        </w:rPr>
        <w:t xml:space="preserve"> </w:t>
      </w:r>
      <w:r w:rsidRPr="00EF190F">
        <w:rPr>
          <w:sz w:val="16"/>
          <w:szCs w:val="16"/>
        </w:rPr>
        <w:tab/>
      </w:r>
      <w:r w:rsidRPr="00EF190F">
        <w:rPr>
          <w:i/>
          <w:sz w:val="16"/>
          <w:szCs w:val="16"/>
          <w:lang w:val="es-CR"/>
        </w:rPr>
        <w:t>Cfr.</w:t>
      </w:r>
      <w:r w:rsidRPr="00EF190F">
        <w:rPr>
          <w:sz w:val="16"/>
          <w:szCs w:val="16"/>
          <w:lang w:val="es-CR"/>
        </w:rPr>
        <w:t xml:space="preserve"> </w:t>
      </w:r>
      <w:r w:rsidRPr="00EF190F">
        <w:rPr>
          <w:sz w:val="16"/>
          <w:szCs w:val="16"/>
        </w:rPr>
        <w:t>Informe de la FAFG de 31 de enero de 2008 presentado ante el Auxiliar Fiscal de la Fiscalía Distrital del Ministerio Público de Salamá (expediente de prueba, folios 11776 bis 3, 11776 bis 13 y 11776 bis 14).</w:t>
      </w:r>
    </w:p>
  </w:footnote>
  <w:footnote w:id="106">
    <w:p w14:paraId="4AB822E4"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sz w:val="16"/>
          <w:szCs w:val="16"/>
          <w:lang w:val="es-CR"/>
        </w:rPr>
        <w:t>Declaraciones de Miguel Chen Tahuico ante el auxiliar fiscal el día 27 de julio de 2005 y otra sin fecha, y declaración rendida ante fedatario público (affidávit) el día 13 de diciembre de 2014 (expediente de prueba, folios 459 a 462, 1196 y 5735).</w:t>
      </w:r>
    </w:p>
  </w:footnote>
  <w:footnote w:id="107">
    <w:p w14:paraId="151F6B68"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 xml:space="preserve">Declaración rendida ante fedatario público (affidávit) por Margarita Siana Crúz (hija de Casimiro Siana) el 16 de diciembre de 2014 (expediente de prueba, folios 5821 a 5822). </w:t>
      </w:r>
    </w:p>
  </w:footnote>
  <w:footnote w:id="108">
    <w:p w14:paraId="716841CE"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Cfr.</w:t>
      </w:r>
      <w:r w:rsidRPr="00EF190F">
        <w:rPr>
          <w:sz w:val="16"/>
          <w:szCs w:val="16"/>
        </w:rPr>
        <w:t xml:space="preserve"> Declaraciones de Miguel Sic Osorio (hijo de </w:t>
      </w:r>
      <w:r w:rsidRPr="00EF190F">
        <w:rPr>
          <w:rFonts w:cs="Arial"/>
          <w:sz w:val="16"/>
          <w:szCs w:val="16"/>
        </w:rPr>
        <w:t>Andrea Osorio Galeano)</w:t>
      </w:r>
      <w:r w:rsidRPr="00EF190F">
        <w:rPr>
          <w:sz w:val="16"/>
          <w:szCs w:val="16"/>
        </w:rPr>
        <w:t xml:space="preserve">, Fabiana Chen Galiego y Teresa Cacaj Cahuec (habitantes de las comunidades) ante el auxiliar fiscal de 27 de abril de 1999 y 16 de agosto de 2005 (expediente de prueba, folios 611 a 615, 636 y 641, 1214 y 1215), y Declaración de Miguel Sic Osorio presentada ante la Corte Interamericana ante fedatario público (affidávit) el 20 de abril de 2016. </w:t>
      </w:r>
    </w:p>
  </w:footnote>
  <w:footnote w:id="109">
    <w:p w14:paraId="47B1718C"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Acta de exhumación de cadáveres, mayo de 1993 (expediente de prueba, folios 666 a 685); Informe presentado por el EAFG, de julio de 1993 (expediente de prueba, folios 539 y 541), y Oficios de la Policía Nacional de Salamá en Baja Verapaz de 15 y 19 de mayo de 1993 (expediente de prueba, folios 690 a 692, 940 y 941).</w:t>
      </w:r>
    </w:p>
  </w:footnote>
  <w:footnote w:id="110">
    <w:p w14:paraId="7D5DEF7B"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 xml:space="preserve">Declaraciones de Tarcila Milián Morales (hija de Elías Milián González y hermana de Amelia Milián Morales) ante el auxiliar fiscal de 22 de marzo de 1985, 27 de julio de 2001 y 24 de septiembre de 2003, y ante fedatario público (affidávit) el 22 de diciembre de 2014, así como Declaración rendida por Angélica María Torres Milián (familiar de Elías y Amelia Milián) ante fedatario público (affidávit) el 22 de diciembre de 2014 (expediente de prueba, folios 799, 800, 1900, 1901, 5918, 5924 y 5925, 11783 y 11784), e </w:t>
      </w:r>
      <w:r w:rsidRPr="00EF190F">
        <w:rPr>
          <w:sz w:val="16"/>
          <w:szCs w:val="16"/>
          <w:lang w:val="es-ES_tradnl"/>
        </w:rPr>
        <w:t>Informe de la FAFG de 28 de junio de 2011 (expediente de prueba, folio 11915)</w:t>
      </w:r>
      <w:r w:rsidRPr="00EF190F">
        <w:rPr>
          <w:sz w:val="16"/>
          <w:szCs w:val="16"/>
        </w:rPr>
        <w:t>.</w:t>
      </w:r>
    </w:p>
  </w:footnote>
  <w:footnote w:id="111">
    <w:p w14:paraId="17B949E8"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sz w:val="16"/>
          <w:szCs w:val="16"/>
        </w:rPr>
        <w:t>Informe de la FAFG de 27 de febrero de 2008, presentado ante el Auxiliar Fiscal de la Fiscalía Distrital del Ministerio Público de Salamá (expediente de prueba, folios 11897 a 11899), y Acta del Ministerio Público de 16 de octubre de 2008 (expediente de prueba, folio 11845).</w:t>
      </w:r>
    </w:p>
  </w:footnote>
  <w:footnote w:id="112">
    <w:p w14:paraId="3A550573"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lang w:val="es-CR"/>
        </w:rPr>
        <w:t xml:space="preserve"> </w:t>
      </w:r>
      <w:r w:rsidRPr="00EF190F">
        <w:rPr>
          <w:sz w:val="16"/>
          <w:szCs w:val="16"/>
        </w:rPr>
        <w:tab/>
      </w:r>
      <w:r w:rsidRPr="00EF190F">
        <w:rPr>
          <w:i/>
          <w:sz w:val="16"/>
          <w:szCs w:val="16"/>
        </w:rPr>
        <w:t xml:space="preserve">Cfr. </w:t>
      </w:r>
      <w:r w:rsidRPr="00EF190F">
        <w:rPr>
          <w:sz w:val="16"/>
          <w:szCs w:val="16"/>
        </w:rPr>
        <w:t>Informe de la FAFG de junio de 2011 (expediente de prueba, folio 11930), y Acta de entrega de osamenta por parte del A</w:t>
      </w:r>
      <w:r w:rsidRPr="00EF190F">
        <w:rPr>
          <w:rStyle w:val="CommentReference"/>
          <w:rFonts w:cs="Arial"/>
        </w:rPr>
        <w:t>uxiliar Fiscal de la Fiscalía Municipal del Ministerio Público de Rabinal (expediente de prueba, folios 11949 y 11950).</w:t>
      </w:r>
    </w:p>
  </w:footnote>
  <w:footnote w:id="113">
    <w:p w14:paraId="6ABEE125" w14:textId="77777777" w:rsidR="006A0E1C" w:rsidRPr="00EF190F" w:rsidRDefault="006A0E1C" w:rsidP="006A0E1C">
      <w:pPr>
        <w:tabs>
          <w:tab w:val="left" w:pos="360"/>
        </w:tabs>
        <w:spacing w:line="240" w:lineRule="auto"/>
        <w:contextualSpacing/>
        <w:rPr>
          <w:i/>
          <w:iCs/>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Acta de exhumación de cadáveres de 9 de abril de 2002 (expediente de prueba, folios 1938 a 1941), e Informe de Investigación Antropológico Forense de la FAFG de 18 de diciembre de 2002 (expediente de prueba, folio 2037).</w:t>
      </w:r>
    </w:p>
  </w:footnote>
  <w:footnote w:id="114">
    <w:p w14:paraId="37D03683"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Cfr.</w:t>
      </w:r>
      <w:r w:rsidRPr="00EF190F">
        <w:rPr>
          <w:sz w:val="16"/>
          <w:szCs w:val="16"/>
          <w:lang w:val="es-CR"/>
        </w:rPr>
        <w:t xml:space="preserve"> Declaraciones de </w:t>
      </w:r>
      <w:r w:rsidRPr="00EF190F">
        <w:rPr>
          <w:rFonts w:cs="Arial"/>
          <w:sz w:val="16"/>
          <w:szCs w:val="16"/>
          <w:lang w:val="es-CR"/>
        </w:rPr>
        <w:t>Manuela Toj Pérez</w:t>
      </w:r>
      <w:r w:rsidRPr="00EF190F">
        <w:rPr>
          <w:bCs/>
          <w:sz w:val="16"/>
          <w:szCs w:val="16"/>
          <w:lang w:val="es-CR"/>
        </w:rPr>
        <w:t xml:space="preserve"> (</w:t>
      </w:r>
      <w:r w:rsidRPr="00EF190F">
        <w:rPr>
          <w:sz w:val="16"/>
          <w:szCs w:val="16"/>
          <w:lang w:val="es-CR"/>
        </w:rPr>
        <w:t xml:space="preserve">compañera de </w:t>
      </w:r>
      <w:r w:rsidRPr="00EF190F">
        <w:rPr>
          <w:rFonts w:cs="Calibri"/>
          <w:sz w:val="16"/>
          <w:szCs w:val="16"/>
          <w:lang w:val="es-CR"/>
        </w:rPr>
        <w:t>Juan Pérez Sic</w:t>
      </w:r>
      <w:r w:rsidRPr="00EF190F">
        <w:rPr>
          <w:sz w:val="16"/>
          <w:szCs w:val="16"/>
          <w:lang w:val="es-CR"/>
        </w:rPr>
        <w:t>) ante fedatario público (affidávit) el 29 de diciembre de 2014 (expediente de prueba, folios 6070 y 6071). La Comisión explicó, en una nota al pie de página de su Informe de Fondo, que e</w:t>
      </w:r>
      <w:r w:rsidRPr="00EF190F">
        <w:rPr>
          <w:rFonts w:cs="Arial"/>
          <w:sz w:val="16"/>
          <w:szCs w:val="16"/>
          <w:lang w:val="es-CR"/>
        </w:rPr>
        <w:t>n sus primeras comunicaciones los peticionarios</w:t>
      </w:r>
      <w:r w:rsidRPr="00EF190F">
        <w:rPr>
          <w:sz w:val="16"/>
          <w:szCs w:val="16"/>
          <w:lang w:val="es-CR"/>
        </w:rPr>
        <w:t xml:space="preserve"> indicaron que el señor Juan Pérez Sic había sido víctima de las desapariciones del 26 de noviembre de 1982</w:t>
      </w:r>
      <w:r w:rsidRPr="00EF190F">
        <w:rPr>
          <w:rFonts w:cs="Arial"/>
          <w:sz w:val="16"/>
          <w:szCs w:val="16"/>
          <w:lang w:val="es-CR"/>
        </w:rPr>
        <w:t xml:space="preserve"> y, posteriormente, precisaron que</w:t>
      </w:r>
      <w:r w:rsidRPr="00EF190F">
        <w:rPr>
          <w:sz w:val="16"/>
          <w:szCs w:val="16"/>
          <w:lang w:val="es-CR"/>
        </w:rPr>
        <w:t xml:space="preserve"> </w:t>
      </w:r>
      <w:r w:rsidRPr="00EF190F">
        <w:rPr>
          <w:rFonts w:cs="Arial"/>
          <w:sz w:val="16"/>
          <w:szCs w:val="16"/>
          <w:lang w:val="es-CR"/>
        </w:rPr>
        <w:t xml:space="preserve">había fallecido en el marco de hechos de violencia el 1 de octubre de 1982. La Comisión indicó que no contaba con mayores elementos para efectuar una determinación fáctica sobre las circunstancias de </w:t>
      </w:r>
      <w:r w:rsidRPr="00EF190F">
        <w:rPr>
          <w:sz w:val="16"/>
          <w:szCs w:val="16"/>
          <w:lang w:val="es-CR"/>
        </w:rPr>
        <w:t xml:space="preserve">la </w:t>
      </w:r>
      <w:r w:rsidRPr="00EF190F">
        <w:rPr>
          <w:rFonts w:cs="Arial"/>
          <w:sz w:val="16"/>
          <w:szCs w:val="16"/>
          <w:lang w:val="es-CR"/>
        </w:rPr>
        <w:t xml:space="preserve">muerte de esta persona. En el trámite ante la Corte, los representantes indicaron que dicha persona es víctima de desaparición desde el 15 de noviembre de 1981. </w:t>
      </w:r>
      <w:r w:rsidRPr="00EF190F">
        <w:rPr>
          <w:sz w:val="16"/>
          <w:szCs w:val="16"/>
          <w:lang w:val="es-CR"/>
        </w:rPr>
        <w:t>La Corte ha procedido a señalar el relato de los hechos y la fecha que son consistentes con la prueba, sin perjuicio de la nueva evidencia que pudiera sobrevenir al respecto.</w:t>
      </w:r>
    </w:p>
  </w:footnote>
  <w:footnote w:id="115">
    <w:p w14:paraId="49C812E9"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Declaración de Napoleón García De Paz en la audiencia pública celebrada el 28 de abril de 2016.</w:t>
      </w:r>
    </w:p>
  </w:footnote>
  <w:footnote w:id="116">
    <w:p w14:paraId="1B8A4DE3"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Informe de Investigación Antropológico Forense de la FAFG de 6 de octubre de 2004 (expediente de prueba, folios 1601 y 1606).</w:t>
      </w:r>
    </w:p>
  </w:footnote>
  <w:footnote w:id="117">
    <w:p w14:paraId="23DABDC1"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Informe de la FAFG de 5 de junio de 2014 (expediente de prueba, folios 9247 a 9276).</w:t>
      </w:r>
    </w:p>
  </w:footnote>
  <w:footnote w:id="118">
    <w:p w14:paraId="19AE691C"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 xml:space="preserve">Declaración rendida por Daniel Xitumul Cuxúm (esposo de Lucía Xitumul Ixpancoc o Luciana Xitumul Ixpancoc, y padre de María Concepción Xitumul Xitumul y de la niña de nombre desconocido de entre 0 y 3 meses de edad) ante fedatario público (affidávit) el 1 de septiembre de 2014 (expediente de prueba, folio 5563); Informe de la CEH </w:t>
      </w:r>
      <w:r w:rsidRPr="00EF190F">
        <w:rPr>
          <w:i/>
          <w:iCs/>
          <w:sz w:val="16"/>
          <w:szCs w:val="16"/>
        </w:rPr>
        <w:t>“Guatemala, Memoria del Silencio”</w:t>
      </w:r>
      <w:r w:rsidRPr="00EF190F">
        <w:rPr>
          <w:sz w:val="16"/>
          <w:szCs w:val="16"/>
        </w:rPr>
        <w:t>, Casos Presentados, Anexo II, pág. 156, y Declaración de Napoleón García De Paz en la audiencia pública celebrada el 28 de abril de 2016.</w:t>
      </w:r>
    </w:p>
  </w:footnote>
  <w:footnote w:id="119">
    <w:p w14:paraId="53032266"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Informe de Investigación Antropológico Forense de la FAFG de 6 de octubre de 2004 (expediente de prueba, folios 1601, 1606, 1609, 1640 y 1641).</w:t>
      </w:r>
    </w:p>
  </w:footnote>
  <w:footnote w:id="120">
    <w:p w14:paraId="3A4B8AFB"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Informe de Investigación Antropológico Forense de la FAFG de 6 de octubre de 2004 (expediente de prueba, folios 1601, 1606, 1609, 1640 y 1641).</w:t>
      </w:r>
    </w:p>
  </w:footnote>
  <w:footnote w:id="121">
    <w:p w14:paraId="7F1F968C" w14:textId="77777777" w:rsidR="006A0E1C" w:rsidRPr="00EF190F" w:rsidRDefault="006A0E1C" w:rsidP="006A0E1C">
      <w:pPr>
        <w:tabs>
          <w:tab w:val="left" w:pos="360"/>
        </w:tabs>
        <w:spacing w:line="240" w:lineRule="auto"/>
        <w:contextualSpacing/>
        <w:rPr>
          <w:i/>
          <w:iCs/>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Acta de exhumación de cadáveres de 9 de abril de 2002 (expediente de prueba, folios 1938 a 1941); Informe de Investigación Antropológico Forense de la FAFG de 18 de diciembre de 2002 (expediente de prueba, folios 2037), y Acta de reconocimiento judicial de osamentas humanas del Organismo Judicial de Guatemala de 27 de febrero de 2003 (expediente de prueba, folios 1953 y 1954).</w:t>
      </w:r>
    </w:p>
  </w:footnote>
  <w:footnote w:id="122">
    <w:p w14:paraId="79DF711E"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Cfr.</w:t>
      </w:r>
      <w:r w:rsidRPr="00EF190F">
        <w:rPr>
          <w:sz w:val="16"/>
          <w:szCs w:val="16"/>
          <w:lang w:val="es-CR"/>
        </w:rPr>
        <w:t xml:space="preserve"> Declaración de Juana García Depaz ante el auxiliar fiscal el 26 de julio de 2001 y Declaración rendida por Juana García Depaz ante fedatario público (affidávit) el 2 de noviembre de 2009 (expediente de prueba, folios 790, 1333 a 1336), y Declaración de Juana García Depaz en la audiencia pública celebrada el 28 de abril de 2016. </w:t>
      </w:r>
    </w:p>
  </w:footnote>
  <w:footnote w:id="123">
    <w:p w14:paraId="0C037A45"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i/>
          <w:sz w:val="16"/>
          <w:szCs w:val="16"/>
        </w:rPr>
        <w:tab/>
      </w:r>
      <w:r w:rsidRPr="00EF190F">
        <w:rPr>
          <w:i/>
          <w:iCs/>
          <w:sz w:val="16"/>
          <w:szCs w:val="16"/>
        </w:rPr>
        <w:t xml:space="preserve">Cfr. </w:t>
      </w:r>
      <w:r w:rsidRPr="00EF190F">
        <w:rPr>
          <w:sz w:val="16"/>
          <w:szCs w:val="16"/>
        </w:rPr>
        <w:t>Denuncia penal de María García Depaz de 17 de enero de 1997 (expediente de prueba, folio 1862); Declaración de María Concepción García Depaz ante el auxiliar fiscal el 27 de julio de 2001 (expediente de prueba, folios 801 y 1902), y Declaración rendida por María Concepción García Depaz ante fedatario público (affidávit) el 11 de diciembre de 2014 (expediente de prueba, folios 5694 y 5695).</w:t>
      </w:r>
    </w:p>
  </w:footnote>
  <w:footnote w:id="124">
    <w:p w14:paraId="7C7671F8"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Acta de exhumación de cadáveres de 9 de abril de 2002 (expediente de prueba, folios 1938 a 1941), e Informe de Investigación Antropológico Forense de la FAFG de 18 de diciembre de 2002 (expediente de prueba, folios 2037).</w:t>
      </w:r>
    </w:p>
  </w:footnote>
  <w:footnote w:id="125">
    <w:p w14:paraId="66FF2D2E"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Declaración rendida por Pedro Corazón Osorio (sobrino de Raymunda Sical Corazón), quien se hace acompañar del señor Francisco Sic Chen (hijo de Silvestre Sic Xutumul), ante fedatario público (affidávit) el 16 de diciembre de 2014 (expediente de prueba, folio 5814), y Declaración de Francisco Sic Chen ante el auxiliar fiscal el 26 de julio de 2001 (expediente de prueba, folio 792).</w:t>
      </w:r>
    </w:p>
  </w:footnote>
  <w:footnote w:id="126">
    <w:p w14:paraId="667521BD" w14:textId="77777777" w:rsidR="006A0E1C" w:rsidRPr="00EF190F" w:rsidRDefault="006A0E1C" w:rsidP="006A0E1C">
      <w:pPr>
        <w:tabs>
          <w:tab w:val="left" w:pos="360"/>
        </w:tabs>
        <w:spacing w:line="240" w:lineRule="auto"/>
        <w:contextualSpacing/>
        <w:rPr>
          <w:rFonts w:cs="Arial"/>
          <w:b/>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sz w:val="16"/>
          <w:szCs w:val="16"/>
        </w:rPr>
        <w:t>Acta de exhumación de cadáveres de 9 de abril de 2002 (expediente de prueba, folios 1938 a 1941), e Informe de Investigación Antropológico Forense de la FAFG de 18 de diciembre de 2002 (expediente de prueba, folio 2037).</w:t>
      </w:r>
    </w:p>
  </w:footnote>
  <w:footnote w:id="127">
    <w:p w14:paraId="369C3C4F"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sz w:val="16"/>
          <w:szCs w:val="16"/>
          <w:lang w:val="es-CR"/>
        </w:rPr>
        <w:t>Denuncia de la señora Juana García Depaz ante el Auxiliar Departamental del Procurador de Derechos Humanos el 9 de mayo de 1995 (expediente de prueba, folios 1290 y 1291), y Declaración de Juana García Depaz del 28 de marzo de 2007 (expediente de prueba, folio 1423).</w:t>
      </w:r>
    </w:p>
  </w:footnote>
  <w:footnote w:id="128">
    <w:p w14:paraId="22C264B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sz w:val="16"/>
          <w:szCs w:val="16"/>
        </w:rPr>
        <w:t xml:space="preserve">Según explicaron los peticionarios en un escrito presentado durante el trámite ante la Comisión, a partir de una denuncia presentada en el año 1993 y hasta el año 2005, la investigación estuvo a cargo de la Fiscalía Distrital del Ministerio Público del Departamento de Baja Verapaz bajo el Expediente 1083-95 M.P. y el Expediente </w:t>
      </w:r>
      <w:r w:rsidRPr="00EF190F">
        <w:rPr>
          <w:sz w:val="16"/>
          <w:szCs w:val="16"/>
        </w:rPr>
        <w:t>M.P. 247/1999/492,</w:t>
      </w:r>
      <w:r w:rsidRPr="00EF190F">
        <w:rPr>
          <w:rFonts w:cs="Arial"/>
          <w:sz w:val="16"/>
          <w:szCs w:val="16"/>
        </w:rPr>
        <w:t xml:space="preserve"> con Causa No. 255-93 Of. 4to ante el Juez de Primera Instancia Penal, Narcoactividad y Delitos Contra el Medio Ambiente de Baja Verapaz. </w:t>
      </w:r>
      <w:r w:rsidRPr="00EF190F">
        <w:rPr>
          <w:sz w:val="16"/>
          <w:szCs w:val="16"/>
        </w:rPr>
        <w:t xml:space="preserve">El </w:t>
      </w:r>
      <w:r w:rsidRPr="00EF190F">
        <w:rPr>
          <w:rFonts w:cs="Arial"/>
          <w:sz w:val="16"/>
          <w:szCs w:val="16"/>
        </w:rPr>
        <w:t xml:space="preserve">Expediente </w:t>
      </w:r>
      <w:r w:rsidRPr="00EF190F">
        <w:rPr>
          <w:sz w:val="16"/>
          <w:szCs w:val="16"/>
        </w:rPr>
        <w:t xml:space="preserve">M.P. 247/1999/492 fue agregado a la Causa No. 255-93 Of. 4to el 1 de septiembre de 2005, según oficio del Auxiliar Fiscal de la Fiscalía Distrital del Ministerio Público de Baja Verapaz, dirigido al </w:t>
      </w:r>
      <w:r w:rsidRPr="00EF190F">
        <w:rPr>
          <w:rFonts w:cs="Arial"/>
          <w:sz w:val="16"/>
          <w:szCs w:val="16"/>
        </w:rPr>
        <w:t xml:space="preserve">Juez de Primera Instancia Penal, Narcoactividad y Delitos Contra el Medio Ambiente de Baja Verapaz (expediente de prueba, folio 8772). El expediente No. 001-2005-95839 aparentemente se tramitaría ante la Unidad de Casos Especiales y Violaciones a los Derechos Humanos del Ministerio Público de la ciudad de Guatemala desde el año 2005. </w:t>
      </w:r>
      <w:r w:rsidRPr="00EF190F">
        <w:rPr>
          <w:i/>
          <w:sz w:val="16"/>
          <w:szCs w:val="16"/>
        </w:rPr>
        <w:t xml:space="preserve">Cfr. </w:t>
      </w:r>
      <w:r w:rsidRPr="00EF190F">
        <w:rPr>
          <w:sz w:val="16"/>
          <w:szCs w:val="16"/>
        </w:rPr>
        <w:t xml:space="preserve">Escrito de 13 de diciembre de 2007 presentado por los representantes (antes peticionarios) a la Comisión (expediente de prueba, folios 378 a 379). No consta en el expediente </w:t>
      </w:r>
      <w:r w:rsidRPr="00EF190F">
        <w:rPr>
          <w:rFonts w:cs="Arial"/>
          <w:sz w:val="16"/>
          <w:szCs w:val="16"/>
        </w:rPr>
        <w:t xml:space="preserve">No. 001-2005-95839 </w:t>
      </w:r>
      <w:r w:rsidRPr="00EF190F">
        <w:rPr>
          <w:sz w:val="16"/>
          <w:szCs w:val="16"/>
        </w:rPr>
        <w:t>una resolución en la cual la Unidad de Casos Especiales avoque conocimiento de la causa, ni mayores actuaciones de esta. Por tanto, no consta</w:t>
      </w:r>
      <w:r w:rsidRPr="00EF190F">
        <w:rPr>
          <w:sz w:val="16"/>
          <w:szCs w:val="16"/>
          <w:lang w:val="es-PR"/>
        </w:rPr>
        <w:t xml:space="preserve"> si tanto el </w:t>
      </w:r>
      <w:r w:rsidRPr="00EF190F">
        <w:rPr>
          <w:rFonts w:cs="Arial"/>
          <w:sz w:val="16"/>
          <w:szCs w:val="16"/>
        </w:rPr>
        <w:t xml:space="preserve">Expediente 1083-95 M.P. como el Expediente </w:t>
      </w:r>
      <w:r w:rsidRPr="00EF190F">
        <w:rPr>
          <w:sz w:val="16"/>
          <w:szCs w:val="16"/>
        </w:rPr>
        <w:t>M.P. 247/1999/492</w:t>
      </w:r>
      <w:r w:rsidRPr="00EF190F">
        <w:rPr>
          <w:rFonts w:cs="Arial"/>
          <w:sz w:val="16"/>
          <w:szCs w:val="16"/>
        </w:rPr>
        <w:t xml:space="preserve"> con Causa No. 255-93 Of. 4to ante el Juez de Primera Instancia Penal, Narcoactividad y Delitos Contra el Medio Ambiente de Baja Verapaz pasaron a formar parte del Expediente No. 001-2005-95839 ante la Unidad de Casos Especiales y Violaciones a los Derechos Humanos del Ministerio Público, pero se entiende que fue así. </w:t>
      </w:r>
      <w:r w:rsidRPr="00EF190F">
        <w:rPr>
          <w:sz w:val="16"/>
          <w:szCs w:val="16"/>
          <w:lang w:val="es-PR"/>
        </w:rPr>
        <w:t xml:space="preserve">La Comisión indicó que el Anexo 7 al Informe de Fondo corresponde al expediente No. 001-2005-95839. Esto no fue controvertido por el Estado. Dentro de dicho anexo se encuentran documentos sin números de causa o con números de causa distintos, tales como las causas No. 916-97 Of. 4to, No. 492-99 Of. 7mo, No. 255-93 Of. 4to, y MP-36-00-7. La mayoría del expediente corresponde a la causa No. 255-93 Of. 4to, la cual también se encuentra en el Anexo 9 al Informe de Fondo. En el Anexo 9 hay documentos que faltan en el anexo 7 y viceversa.  </w:t>
      </w:r>
    </w:p>
  </w:footnote>
  <w:footnote w:id="129">
    <w:p w14:paraId="169E74EF"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Cfr.</w:t>
      </w:r>
      <w:r w:rsidRPr="00EF190F">
        <w:rPr>
          <w:sz w:val="16"/>
          <w:szCs w:val="16"/>
          <w:lang w:val="es-CR"/>
        </w:rPr>
        <w:t xml:space="preserve"> Denuncia de Ana Calate Sic de 29 de marzo de 1993 (expediente de prueba, folios 729 y 730).</w:t>
      </w:r>
    </w:p>
  </w:footnote>
  <w:footnote w:id="130">
    <w:p w14:paraId="57F8ADFE"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Cfr</w:t>
      </w:r>
      <w:r w:rsidRPr="00EF190F">
        <w:rPr>
          <w:sz w:val="16"/>
          <w:szCs w:val="16"/>
          <w:lang w:val="es-CR"/>
        </w:rPr>
        <w:t xml:space="preserve">. </w:t>
      </w:r>
      <w:r w:rsidRPr="00EF190F">
        <w:rPr>
          <w:bCs/>
          <w:sz w:val="16"/>
          <w:szCs w:val="16"/>
          <w:lang w:val="es-CR"/>
        </w:rPr>
        <w:t>Resolución del Procurador de los Derechos Humanos de 2 de septiembre de 1996 sobre los expedientes relacionados con los cementerios clandestinos localizados en Plan de Sánchez, Raxtuj, Chichupac y Río Negro, Rabinal, Baja Verapaz (expediente de prueba, folios 1869 a 1879).</w:t>
      </w:r>
    </w:p>
  </w:footnote>
  <w:footnote w:id="131">
    <w:p w14:paraId="7A37D9D0"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Estos expedientes son: i) No. 87-97 ante la Fiscalía Distrital del Ministerio Público; ii) Causa No. 255-93 Of. 4to (Expediente 1083-95 M.P.) ante la Fiscalía Distrital del Ministerio Público de Salamá; iii) Causa No. 247-2003-1142 ante la Fiscalía Distrital del Ministerio Público de Salamá; iv) Causa No. 248-2010-263 ante la Fiscalía Municipal del Ministerio Público de Rabinal, y v) </w:t>
      </w:r>
      <w:r w:rsidRPr="00EF190F">
        <w:rPr>
          <w:rFonts w:cs="Arial"/>
          <w:sz w:val="16"/>
          <w:szCs w:val="16"/>
        </w:rPr>
        <w:t>Expediente</w:t>
      </w:r>
      <w:r w:rsidRPr="00EF190F">
        <w:rPr>
          <w:rFonts w:cs="Calibri,Bold"/>
          <w:bCs/>
          <w:sz w:val="16"/>
          <w:szCs w:val="16"/>
        </w:rPr>
        <w:t xml:space="preserve"> No. M.P. 247-1997-1378 ante la Fiscalía Distrital del Ministerio Público de Salamá. </w:t>
      </w:r>
    </w:p>
  </w:footnote>
  <w:footnote w:id="132">
    <w:p w14:paraId="4BABFA05"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Estos expedientes son: </w:t>
      </w:r>
      <w:r w:rsidRPr="00EF190F">
        <w:rPr>
          <w:rFonts w:cs="Arial"/>
          <w:sz w:val="16"/>
          <w:szCs w:val="16"/>
        </w:rPr>
        <w:t>i) No. 811-95 Of. 1ro ante la Fiscalía Distrital del Ministerio Público de Salamá</w:t>
      </w:r>
      <w:r w:rsidRPr="00EF190F">
        <w:rPr>
          <w:sz w:val="16"/>
          <w:szCs w:val="16"/>
          <w:lang w:val="es-PR"/>
        </w:rPr>
        <w:t xml:space="preserve"> y ii) No. 248-2006-169</w:t>
      </w:r>
      <w:r w:rsidRPr="00EF190F">
        <w:rPr>
          <w:sz w:val="16"/>
          <w:szCs w:val="16"/>
        </w:rPr>
        <w:t xml:space="preserve"> </w:t>
      </w:r>
      <w:r w:rsidRPr="00EF190F">
        <w:rPr>
          <w:sz w:val="16"/>
          <w:szCs w:val="16"/>
          <w:lang w:val="es-PR"/>
        </w:rPr>
        <w:t>ante la Fiscalía Municipal del Ministerio Público de Rabinal.</w:t>
      </w:r>
    </w:p>
  </w:footnote>
  <w:footnote w:id="133">
    <w:p w14:paraId="1FA37C9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z w:val="16"/>
          <w:szCs w:val="16"/>
          <w:lang w:val="es-CR"/>
        </w:rPr>
        <w:t>Denuncia de Máxima Emiliana García Valey y Francisco Sic Chen de 9 de mayo de 1995 (expediente de prueba, folio 1577), y Declaración de Juana García Depaz de 8 de febrero de 2010 (expediente de prueba, folios 9003 a 9005).</w:t>
      </w:r>
    </w:p>
  </w:footnote>
  <w:footnote w:id="134">
    <w:p w14:paraId="5DEF8079"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eastAsia="Calibri"/>
          <w:sz w:val="16"/>
          <w:szCs w:val="16"/>
        </w:rPr>
        <w:t>Durante la audiencia pública el Juez Eduardo Ferrer solicitó al Estado indicar “cuántos procesos penales están abiertos, cuántos se han acumulado y en qué etapa se encuentran”, y mediante nota de Secretaría de 12 de mayo de 2016 se solicitó al Estado responder las preguntas realizadas por los Jueces de la Corte en dicha audiencia y presentar “la documentación de respaldo pertinente”.</w:t>
      </w:r>
    </w:p>
  </w:footnote>
  <w:footnote w:id="135">
    <w:p w14:paraId="48209712" w14:textId="77777777" w:rsidR="006A0E1C" w:rsidRPr="00EF190F" w:rsidRDefault="006A0E1C" w:rsidP="006A0E1C">
      <w:pPr>
        <w:pStyle w:val="FootnoteText"/>
        <w:rPr>
          <w:rFonts w:cs="Tahoma"/>
          <w:color w:val="000000"/>
          <w:sz w:val="16"/>
          <w:szCs w:val="16"/>
          <w:lang w:eastAsia="en-US"/>
        </w:rPr>
      </w:pPr>
      <w:r w:rsidRPr="00EF190F">
        <w:rPr>
          <w:rStyle w:val="FootnoteReference"/>
          <w:sz w:val="16"/>
          <w:szCs w:val="16"/>
        </w:rPr>
        <w:footnoteRef/>
      </w:r>
      <w:r w:rsidRPr="00EF190F">
        <w:rPr>
          <w:sz w:val="16"/>
          <w:szCs w:val="16"/>
        </w:rPr>
        <w:t xml:space="preserve"> </w:t>
      </w:r>
      <w:r w:rsidRPr="00EF190F">
        <w:rPr>
          <w:sz w:val="16"/>
          <w:szCs w:val="16"/>
        </w:rPr>
        <w:tab/>
        <w:t xml:space="preserve">El </w:t>
      </w:r>
      <w:r w:rsidRPr="00EF190F">
        <w:rPr>
          <w:rFonts w:cs="Tahoma"/>
          <w:bCs/>
          <w:color w:val="000000"/>
          <w:sz w:val="16"/>
          <w:szCs w:val="16"/>
          <w:lang w:val="es-CR" w:eastAsia="en-US"/>
        </w:rPr>
        <w:t>artículo 7 de la Convención señala: “</w:t>
      </w:r>
      <w:r w:rsidRPr="00EF190F">
        <w:rPr>
          <w:rFonts w:cs="Tahoma"/>
          <w:color w:val="000000"/>
          <w:sz w:val="16"/>
          <w:szCs w:val="16"/>
          <w:lang w:val="es-CR" w:eastAsia="en-US"/>
        </w:rPr>
        <w:t xml:space="preserve">1. Toda persona tiene derecho a la libertad y a la seguridad personales. 2. Nadie puede ser privado de su libertad física, salvo por las causas y en las condiciones fijadas de antemano por las Constituciones Políticas de los Estados Partes o por las leyes dictadas conforme a ellas. 3. Nadie puede ser sometido a detención o encarcelamiento arbitrarios. 4. Toda persona detenida o retenida debe ser informada de las razones de su detención y notificada, sin demora, del cargo o cargos formulados contra ella. 5. Toda persona detenida o retenida debe ser llevada, sin demora, ante un juez u otro funcionario autorizado por la ley para ejercer funciones judiciales y tendrá derecho a ser juzgada dentro de un plazo razonable o a ser puesta en libertad, sin perjuicio de que continúe el proceso. Su libertad podrá estar condicionada a garantías que aseguren su comparecencia en el juicio. 6. Toda persona privada de libertad tiene derecho a recurrir ante un juez o tribunal competente, a fin de que éste decida, sin demora, sobre la legalidad de su arresto o detención y ordene su libertad si el arresto o la detención fueran ilegales. En los Estados Partes cuyas leyes prevén que toda persona que se viera amenazada de ser privada de su libertad tiene derecho a recurrir a un juez o tribunal competente a fin de que éste decida sobre la legalidad de tal amenaza, dicho recurso no puede ser restringido ni abolido. Los recursos podrán interponerse por sí o por otra persona. </w:t>
      </w:r>
      <w:r w:rsidRPr="00EF190F">
        <w:rPr>
          <w:rFonts w:cs="Tahoma"/>
          <w:color w:val="000000"/>
          <w:sz w:val="16"/>
          <w:szCs w:val="16"/>
          <w:lang w:eastAsia="en-US"/>
        </w:rPr>
        <w:t>7. Nadie será detenido por deudas. Este principio no limita los mandatos de autoridad judicial competente dictados por incumplimientos de deberes alimentarios”.</w:t>
      </w:r>
    </w:p>
  </w:footnote>
  <w:footnote w:id="136">
    <w:p w14:paraId="255063B5" w14:textId="77777777" w:rsidR="006A0E1C" w:rsidRPr="00EF190F" w:rsidRDefault="006A0E1C" w:rsidP="006A0E1C">
      <w:pPr>
        <w:pStyle w:val="FootnoteText"/>
        <w:rPr>
          <w:rFonts w:cs="Tahoma"/>
          <w:color w:val="000000"/>
          <w:sz w:val="16"/>
          <w:szCs w:val="16"/>
          <w:u w:val="single"/>
          <w:lang w:eastAsia="en-US"/>
        </w:rPr>
      </w:pPr>
      <w:r w:rsidRPr="00EF190F">
        <w:rPr>
          <w:rStyle w:val="FootnoteReference"/>
          <w:sz w:val="16"/>
          <w:szCs w:val="16"/>
        </w:rPr>
        <w:footnoteRef/>
      </w:r>
      <w:r w:rsidRPr="00EF190F">
        <w:rPr>
          <w:sz w:val="16"/>
          <w:szCs w:val="16"/>
        </w:rPr>
        <w:t xml:space="preserve"> </w:t>
      </w:r>
      <w:r w:rsidRPr="00EF190F">
        <w:rPr>
          <w:sz w:val="16"/>
          <w:szCs w:val="16"/>
        </w:rPr>
        <w:tab/>
        <w:t xml:space="preserve">El </w:t>
      </w:r>
      <w:r w:rsidRPr="00EF190F">
        <w:rPr>
          <w:rFonts w:cs="Tahoma"/>
          <w:bCs/>
          <w:color w:val="000000"/>
          <w:sz w:val="16"/>
          <w:szCs w:val="16"/>
          <w:lang w:eastAsia="en-US"/>
        </w:rPr>
        <w:t xml:space="preserve">artículo 5 </w:t>
      </w:r>
      <w:r w:rsidRPr="00EF190F">
        <w:rPr>
          <w:rFonts w:cs="Tahoma"/>
          <w:bCs/>
          <w:color w:val="000000"/>
          <w:sz w:val="16"/>
          <w:szCs w:val="16"/>
          <w:lang w:val="es-CR" w:eastAsia="en-US"/>
        </w:rPr>
        <w:t>de la Convención, en lo pertinente establece:</w:t>
      </w:r>
      <w:r w:rsidRPr="00EF190F">
        <w:rPr>
          <w:rFonts w:cs="Tahoma"/>
          <w:color w:val="000000"/>
          <w:sz w:val="16"/>
          <w:szCs w:val="16"/>
          <w:lang w:eastAsia="en-US"/>
        </w:rPr>
        <w:t xml:space="preserve"> “1. Toda persona tiene derecho a que se respete su integridad física, psíquica y moral. 2. Nadie debe ser sometido a torturas ni a penas o tratos crueles, inhumanos o degradantes. Toda persona privada de libertad será tratada con el respeto debido a la dignidad inherente al ser humano”.</w:t>
      </w:r>
    </w:p>
  </w:footnote>
  <w:footnote w:id="137">
    <w:p w14:paraId="180DEC40"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El </w:t>
      </w:r>
      <w:r w:rsidRPr="00EF190F">
        <w:rPr>
          <w:rFonts w:cs="Tahoma"/>
          <w:bCs/>
          <w:color w:val="000000"/>
          <w:sz w:val="16"/>
          <w:szCs w:val="16"/>
          <w:lang w:eastAsia="en-US"/>
        </w:rPr>
        <w:t xml:space="preserve">artículo 4.1 </w:t>
      </w:r>
      <w:r w:rsidRPr="00EF190F">
        <w:rPr>
          <w:rFonts w:cs="Tahoma"/>
          <w:bCs/>
          <w:color w:val="000000"/>
          <w:sz w:val="16"/>
          <w:szCs w:val="16"/>
          <w:lang w:val="es-CR" w:eastAsia="en-US"/>
        </w:rPr>
        <w:t>de la Convención indica:</w:t>
      </w:r>
      <w:r w:rsidRPr="00EF190F">
        <w:rPr>
          <w:rFonts w:cs="Tahoma"/>
          <w:color w:val="000000"/>
          <w:sz w:val="16"/>
          <w:szCs w:val="16"/>
          <w:lang w:eastAsia="en-US"/>
        </w:rPr>
        <w:t xml:space="preserve"> “1. Toda persona tiene derecho a que se respete su vida. Este derecho estará protegido por la ley y, en general, a partir del momento de la concepción. Nadie puede ser privado de la vida arbitrariamente”.</w:t>
      </w:r>
    </w:p>
  </w:footnote>
  <w:footnote w:id="138">
    <w:p w14:paraId="692D1064" w14:textId="77777777" w:rsidR="006A0E1C" w:rsidRPr="00EF190F" w:rsidRDefault="006A0E1C" w:rsidP="006A0E1C">
      <w:pPr>
        <w:pStyle w:val="FootnoteText"/>
        <w:rPr>
          <w:rFonts w:cs="Tahoma"/>
          <w:color w:val="000000"/>
          <w:sz w:val="16"/>
          <w:szCs w:val="16"/>
          <w:lang w:eastAsia="en-US"/>
        </w:rPr>
      </w:pPr>
      <w:r w:rsidRPr="00EF190F">
        <w:rPr>
          <w:rStyle w:val="FootnoteReference"/>
          <w:sz w:val="16"/>
          <w:szCs w:val="16"/>
        </w:rPr>
        <w:footnoteRef/>
      </w:r>
      <w:r w:rsidRPr="00EF190F">
        <w:rPr>
          <w:sz w:val="16"/>
          <w:szCs w:val="16"/>
        </w:rPr>
        <w:t xml:space="preserve"> </w:t>
      </w:r>
      <w:r w:rsidRPr="00EF190F">
        <w:rPr>
          <w:sz w:val="16"/>
          <w:szCs w:val="16"/>
        </w:rPr>
        <w:tab/>
        <w:t xml:space="preserve">El </w:t>
      </w:r>
      <w:r w:rsidRPr="00EF190F">
        <w:rPr>
          <w:rFonts w:cs="Tahoma"/>
          <w:bCs/>
          <w:color w:val="000000"/>
          <w:sz w:val="16"/>
          <w:szCs w:val="16"/>
          <w:lang w:eastAsia="en-US"/>
        </w:rPr>
        <w:t xml:space="preserve">artículo 3 </w:t>
      </w:r>
      <w:r w:rsidRPr="00EF190F">
        <w:rPr>
          <w:rFonts w:cs="Tahoma"/>
          <w:bCs/>
          <w:color w:val="000000"/>
          <w:sz w:val="16"/>
          <w:szCs w:val="16"/>
          <w:lang w:val="es-CR" w:eastAsia="en-US"/>
        </w:rPr>
        <w:t>de la Convención</w:t>
      </w:r>
      <w:r w:rsidRPr="00EF190F">
        <w:rPr>
          <w:rFonts w:cs="Tahoma"/>
          <w:bCs/>
          <w:color w:val="000000"/>
          <w:sz w:val="16"/>
          <w:szCs w:val="16"/>
          <w:lang w:eastAsia="en-US"/>
        </w:rPr>
        <w:t xml:space="preserve"> expresa: “</w:t>
      </w:r>
      <w:r w:rsidRPr="00EF190F">
        <w:rPr>
          <w:rFonts w:cs="Tahoma"/>
          <w:color w:val="000000"/>
          <w:sz w:val="16"/>
          <w:szCs w:val="16"/>
          <w:lang w:eastAsia="en-US"/>
        </w:rPr>
        <w:t>Toda persona tiene derecho al reconocimiento de su personalidad jurídica”.</w:t>
      </w:r>
    </w:p>
  </w:footnote>
  <w:footnote w:id="139">
    <w:p w14:paraId="00DAAE90"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El </w:t>
      </w:r>
      <w:r w:rsidRPr="00EF190F">
        <w:rPr>
          <w:rFonts w:cs="Tahoma"/>
          <w:bCs/>
          <w:color w:val="000000"/>
          <w:sz w:val="16"/>
          <w:szCs w:val="16"/>
          <w:lang w:eastAsia="en-US"/>
        </w:rPr>
        <w:t xml:space="preserve">artículo 17 </w:t>
      </w:r>
      <w:r w:rsidRPr="00EF190F">
        <w:rPr>
          <w:rFonts w:cs="Tahoma"/>
          <w:bCs/>
          <w:color w:val="000000"/>
          <w:sz w:val="16"/>
          <w:szCs w:val="16"/>
          <w:lang w:val="es-CR" w:eastAsia="en-US"/>
        </w:rPr>
        <w:t>de la Convención, en lo pertinente</w:t>
      </w:r>
      <w:r w:rsidRPr="00EF190F">
        <w:rPr>
          <w:rFonts w:cs="Tahoma"/>
          <w:bCs/>
          <w:color w:val="000000"/>
          <w:sz w:val="16"/>
          <w:szCs w:val="16"/>
          <w:lang w:eastAsia="en-US"/>
        </w:rPr>
        <w:t xml:space="preserve"> establece: “</w:t>
      </w:r>
      <w:r w:rsidRPr="00EF190F">
        <w:rPr>
          <w:rFonts w:cs="Tahoma"/>
          <w:color w:val="000000"/>
          <w:sz w:val="16"/>
          <w:szCs w:val="16"/>
          <w:lang w:eastAsia="en-US"/>
        </w:rPr>
        <w:t>1. La familia es el elemento natural y fundamental de la sociedad y debe ser protegida por la sociedad y el Estado”.</w:t>
      </w:r>
    </w:p>
  </w:footnote>
  <w:footnote w:id="140">
    <w:p w14:paraId="606782CF"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i/>
          <w:sz w:val="16"/>
          <w:szCs w:val="16"/>
        </w:rPr>
        <w:t>Cfr. Caso Velásquez Rodríguez Vs. Honduras</w:t>
      </w:r>
      <w:r w:rsidRPr="00EF190F">
        <w:rPr>
          <w:sz w:val="16"/>
          <w:szCs w:val="16"/>
        </w:rPr>
        <w:t xml:space="preserve">. </w:t>
      </w:r>
      <w:r w:rsidRPr="00EF190F">
        <w:rPr>
          <w:i/>
          <w:sz w:val="16"/>
          <w:szCs w:val="16"/>
        </w:rPr>
        <w:t>Fondo</w:t>
      </w:r>
      <w:r w:rsidRPr="00EF190F">
        <w:rPr>
          <w:sz w:val="16"/>
          <w:szCs w:val="16"/>
        </w:rPr>
        <w:t xml:space="preserve">. Sentencia de 29 de julio de 1988. Serie C No. 4, párr. 155, y </w:t>
      </w:r>
      <w:r w:rsidRPr="00EF190F">
        <w:rPr>
          <w:i/>
          <w:sz w:val="16"/>
          <w:szCs w:val="16"/>
        </w:rPr>
        <w:t xml:space="preserve">Caso Tenorio Roca y otros Vs. Perú. Excepciones Preliminares, Fondo, Reparaciones y Costas. </w:t>
      </w:r>
      <w:r w:rsidRPr="00EF190F">
        <w:rPr>
          <w:sz w:val="16"/>
          <w:szCs w:val="16"/>
        </w:rPr>
        <w:t>Sentencia de 22 de junio de 2016. Serie C No. 314, párr. 141.</w:t>
      </w:r>
    </w:p>
  </w:footnote>
  <w:footnote w:id="141">
    <w:p w14:paraId="7E121763" w14:textId="77777777" w:rsidR="006A0E1C" w:rsidRPr="00EF190F" w:rsidRDefault="006A0E1C" w:rsidP="006A0E1C">
      <w:pPr>
        <w:pStyle w:val="FootnoteText"/>
        <w:tabs>
          <w:tab w:val="left" w:pos="360"/>
          <w:tab w:val="left" w:pos="450"/>
        </w:tabs>
        <w:rPr>
          <w:spacing w:val="-4"/>
          <w:sz w:val="16"/>
          <w:szCs w:val="16"/>
          <w:lang w:val="es-PR"/>
        </w:rPr>
      </w:pPr>
      <w:r w:rsidRPr="00EF190F">
        <w:rPr>
          <w:rStyle w:val="FootnoteReference"/>
          <w:rFonts w:eastAsia="Calibri"/>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rFonts w:cs="Arial"/>
          <w:i/>
          <w:sz w:val="16"/>
          <w:szCs w:val="16"/>
          <w:lang w:val="es-PR"/>
        </w:rPr>
        <w:t>Cfr.</w:t>
      </w:r>
      <w:r w:rsidRPr="00EF190F">
        <w:rPr>
          <w:rFonts w:cs="Arial"/>
          <w:sz w:val="16"/>
          <w:szCs w:val="16"/>
          <w:lang w:val="es-PR"/>
        </w:rPr>
        <w:t xml:space="preserve"> </w:t>
      </w:r>
      <w:r w:rsidRPr="00EF190F">
        <w:rPr>
          <w:rFonts w:cs="Arial"/>
          <w:i/>
          <w:sz w:val="16"/>
          <w:szCs w:val="16"/>
          <w:lang w:val="es-PR"/>
        </w:rPr>
        <w:t>inter alia</w:t>
      </w:r>
      <w:r w:rsidRPr="00EF190F">
        <w:rPr>
          <w:rFonts w:cs="Arial"/>
          <w:sz w:val="16"/>
          <w:szCs w:val="16"/>
          <w:lang w:val="es-PR"/>
        </w:rPr>
        <w:t xml:space="preserve">, </w:t>
      </w:r>
      <w:r w:rsidRPr="00EF190F">
        <w:rPr>
          <w:i/>
          <w:sz w:val="16"/>
          <w:szCs w:val="16"/>
          <w:lang w:val="es-PR"/>
        </w:rPr>
        <w:t>Caso Velásquez Rodríguez Vs. Honduras. Fondo,</w:t>
      </w:r>
      <w:r w:rsidRPr="00EF190F">
        <w:rPr>
          <w:sz w:val="16"/>
          <w:szCs w:val="16"/>
          <w:lang w:val="es-PR"/>
        </w:rPr>
        <w:t xml:space="preserve"> </w:t>
      </w:r>
      <w:r w:rsidRPr="00EF190F">
        <w:rPr>
          <w:noProof/>
          <w:sz w:val="16"/>
          <w:szCs w:val="16"/>
          <w:lang w:val="es-PR"/>
        </w:rPr>
        <w:t xml:space="preserve">párrs. 155 a 157, y </w:t>
      </w:r>
      <w:r w:rsidRPr="00EF190F">
        <w:rPr>
          <w:i/>
          <w:sz w:val="16"/>
          <w:szCs w:val="16"/>
          <w:lang w:val="es-PR"/>
        </w:rPr>
        <w:t xml:space="preserve">Caso Osorio Rivera y Familiares Vs. Perú. Excepciones Preliminares, Fondo, Reparaciones y Costas. </w:t>
      </w:r>
      <w:r w:rsidRPr="00EF190F">
        <w:rPr>
          <w:sz w:val="16"/>
          <w:szCs w:val="16"/>
          <w:lang w:val="es-PR"/>
        </w:rPr>
        <w:t>Sentencia de 26 de noviembre de 2013. Serie C No. 274, párr. 31.</w:t>
      </w:r>
    </w:p>
  </w:footnote>
  <w:footnote w:id="142">
    <w:p w14:paraId="1718349E" w14:textId="77777777" w:rsidR="006A0E1C" w:rsidRPr="00EF190F" w:rsidRDefault="006A0E1C" w:rsidP="006A0E1C">
      <w:pPr>
        <w:pStyle w:val="FootnoteText"/>
        <w:tabs>
          <w:tab w:val="left" w:pos="360"/>
          <w:tab w:val="left" w:pos="450"/>
        </w:tabs>
        <w:rPr>
          <w:b/>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rStyle w:val="Strong"/>
          <w:b w:val="0"/>
          <w:i/>
          <w:sz w:val="16"/>
          <w:szCs w:val="16"/>
          <w:shd w:val="clear" w:color="auto" w:fill="FFFFFF"/>
          <w:lang w:val="es-PR"/>
        </w:rPr>
        <w:t xml:space="preserve">Caso Radilla Pacheco Vs. México. Excepciones Preliminares, Fondo, Reparaciones y Costas. </w:t>
      </w:r>
      <w:r w:rsidRPr="00EF190F">
        <w:rPr>
          <w:rStyle w:val="Strong"/>
          <w:b w:val="0"/>
          <w:sz w:val="16"/>
          <w:szCs w:val="16"/>
          <w:shd w:val="clear" w:color="auto" w:fill="FFFFFF"/>
          <w:lang w:val="es-PR"/>
        </w:rPr>
        <w:t>Sentencia de 23 de noviembre de 2009. Serie C No. 209</w:t>
      </w:r>
      <w:r w:rsidRPr="00EF190F">
        <w:rPr>
          <w:rStyle w:val="Strong"/>
          <w:b w:val="0"/>
          <w:i/>
          <w:sz w:val="16"/>
          <w:szCs w:val="16"/>
          <w:shd w:val="clear" w:color="auto" w:fill="FFFFFF"/>
          <w:lang w:val="es-PR"/>
        </w:rPr>
        <w:t xml:space="preserve">, </w:t>
      </w:r>
      <w:r w:rsidRPr="00EF190F">
        <w:rPr>
          <w:rStyle w:val="Strong"/>
          <w:b w:val="0"/>
          <w:sz w:val="16"/>
          <w:szCs w:val="16"/>
          <w:shd w:val="clear" w:color="auto" w:fill="FFFFFF"/>
          <w:lang w:val="es-PR"/>
        </w:rPr>
        <w:t xml:space="preserve">párr. 145, y </w:t>
      </w:r>
      <w:r w:rsidRPr="00EF190F">
        <w:rPr>
          <w:rStyle w:val="Strong"/>
          <w:b w:val="0"/>
          <w:i/>
          <w:sz w:val="16"/>
          <w:szCs w:val="16"/>
          <w:shd w:val="clear" w:color="auto" w:fill="FFFFFF"/>
          <w:lang w:val="es-PR"/>
        </w:rPr>
        <w:t>Caso Osorio Rivera y Familiares Vs. Perú</w:t>
      </w:r>
      <w:r w:rsidRPr="00EF190F">
        <w:rPr>
          <w:rStyle w:val="Strong"/>
          <w:b w:val="0"/>
          <w:sz w:val="16"/>
          <w:szCs w:val="16"/>
          <w:shd w:val="clear" w:color="auto" w:fill="FFFFFF"/>
          <w:lang w:val="es-PR"/>
        </w:rPr>
        <w:t>,</w:t>
      </w:r>
      <w:r w:rsidRPr="00EF190F">
        <w:rPr>
          <w:rStyle w:val="Strong"/>
          <w:b w:val="0"/>
          <w:i/>
          <w:sz w:val="16"/>
          <w:szCs w:val="16"/>
          <w:shd w:val="clear" w:color="auto" w:fill="FFFFFF"/>
          <w:lang w:val="es-PR"/>
        </w:rPr>
        <w:t xml:space="preserve"> </w:t>
      </w:r>
      <w:r w:rsidRPr="00EF190F">
        <w:rPr>
          <w:rStyle w:val="Strong"/>
          <w:b w:val="0"/>
          <w:sz w:val="16"/>
          <w:szCs w:val="16"/>
          <w:shd w:val="clear" w:color="auto" w:fill="FFFFFF"/>
          <w:lang w:val="es-PR"/>
        </w:rPr>
        <w:t>párr. 115.</w:t>
      </w:r>
    </w:p>
  </w:footnote>
  <w:footnote w:id="143">
    <w:p w14:paraId="16A74A6C" w14:textId="77777777" w:rsidR="006A0E1C" w:rsidRPr="00EF190F" w:rsidRDefault="006A0E1C" w:rsidP="006A0E1C">
      <w:pPr>
        <w:pStyle w:val="FootnoteText"/>
        <w:tabs>
          <w:tab w:val="left" w:pos="360"/>
          <w:tab w:val="left" w:pos="426"/>
        </w:tabs>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Caso Radilla Pacheco Vs. México, </w:t>
      </w:r>
      <w:r w:rsidRPr="00EF190F">
        <w:rPr>
          <w:sz w:val="16"/>
          <w:szCs w:val="16"/>
          <w:lang w:val="es-PR"/>
        </w:rPr>
        <w:t xml:space="preserve">párr. 138, y </w:t>
      </w:r>
      <w:r w:rsidRPr="00EF190F">
        <w:rPr>
          <w:i/>
          <w:sz w:val="16"/>
          <w:szCs w:val="16"/>
        </w:rPr>
        <w:t>Caso Comunidad Campesina de Santa Bárbara Vs. Perú</w:t>
      </w:r>
      <w:r w:rsidRPr="00EF190F">
        <w:rPr>
          <w:sz w:val="16"/>
          <w:szCs w:val="16"/>
        </w:rPr>
        <w:t xml:space="preserve">. </w:t>
      </w:r>
      <w:r w:rsidRPr="00EF190F">
        <w:rPr>
          <w:i/>
          <w:sz w:val="16"/>
          <w:szCs w:val="16"/>
        </w:rPr>
        <w:t>Excepciones Preliminares, Fondo, Reparaciones y Costas</w:t>
      </w:r>
      <w:r w:rsidRPr="00EF190F">
        <w:rPr>
          <w:sz w:val="16"/>
          <w:szCs w:val="16"/>
        </w:rPr>
        <w:t>. Sentencia de 01 de septiembre de 2015. Serie C No. 299, párr. 166.</w:t>
      </w:r>
    </w:p>
  </w:footnote>
  <w:footnote w:id="144">
    <w:p w14:paraId="2ADECD7A" w14:textId="77777777" w:rsidR="006A0E1C" w:rsidRPr="00EF190F" w:rsidRDefault="006A0E1C" w:rsidP="006A0E1C">
      <w:pPr>
        <w:pStyle w:val="FootnoteText"/>
        <w:tabs>
          <w:tab w:val="left" w:pos="360"/>
          <w:tab w:val="left" w:pos="450"/>
        </w:tabs>
        <w:rPr>
          <w:sz w:val="16"/>
          <w:szCs w:val="16"/>
          <w:lang w:val="es-PR"/>
        </w:rPr>
      </w:pPr>
      <w:r w:rsidRPr="00EF190F">
        <w:rPr>
          <w:rStyle w:val="FootnoteReference"/>
          <w:rFonts w:eastAsia="Times"/>
          <w:sz w:val="16"/>
          <w:szCs w:val="16"/>
          <w:lang w:val="es-PR"/>
        </w:rPr>
        <w:footnoteRef/>
      </w:r>
      <w:r w:rsidRPr="00EF190F">
        <w:rPr>
          <w:sz w:val="16"/>
          <w:szCs w:val="16"/>
          <w:lang w:val="es-PR"/>
        </w:rPr>
        <w:tab/>
      </w:r>
      <w:r w:rsidRPr="00EF190F">
        <w:rPr>
          <w:i/>
          <w:sz w:val="16"/>
          <w:szCs w:val="16"/>
          <w:lang w:val="es-PR"/>
        </w:rPr>
        <w:t>Cfr. Caso Heliodoro Portugal Vs. Panamá.</w:t>
      </w:r>
      <w:r w:rsidRPr="00EF190F">
        <w:rPr>
          <w:i/>
          <w:spacing w:val="-4"/>
          <w:sz w:val="16"/>
          <w:szCs w:val="16"/>
          <w:lang w:val="es-PR"/>
        </w:rPr>
        <w:t xml:space="preserve"> Excepciones Preliminares, Fondo, Reparaciones y Costas. </w:t>
      </w:r>
      <w:r w:rsidRPr="00EF190F">
        <w:rPr>
          <w:spacing w:val="-4"/>
          <w:sz w:val="16"/>
          <w:szCs w:val="16"/>
          <w:lang w:val="es-PR"/>
        </w:rPr>
        <w:t>Sentencia de 12 de agosto de 2008. Serie C No. 186</w:t>
      </w:r>
      <w:r w:rsidRPr="00EF190F">
        <w:rPr>
          <w:sz w:val="16"/>
          <w:szCs w:val="16"/>
          <w:lang w:val="es-PR"/>
        </w:rPr>
        <w:t>,</w:t>
      </w:r>
      <w:r w:rsidRPr="00EF190F">
        <w:rPr>
          <w:i/>
          <w:sz w:val="16"/>
          <w:szCs w:val="16"/>
          <w:lang w:val="es-PR"/>
        </w:rPr>
        <w:t xml:space="preserve"> </w:t>
      </w:r>
      <w:r w:rsidRPr="00EF190F">
        <w:rPr>
          <w:sz w:val="16"/>
          <w:szCs w:val="16"/>
          <w:lang w:val="es-PR"/>
        </w:rPr>
        <w:t>párr.</w:t>
      </w:r>
      <w:r w:rsidRPr="00EF190F">
        <w:rPr>
          <w:sz w:val="16"/>
          <w:szCs w:val="16"/>
          <w:lang w:val="es-PR" w:bidi="en-US"/>
        </w:rPr>
        <w:t xml:space="preserve"> </w:t>
      </w:r>
      <w:r w:rsidRPr="00EF190F">
        <w:rPr>
          <w:sz w:val="16"/>
          <w:szCs w:val="16"/>
          <w:lang w:val="es-PR"/>
        </w:rPr>
        <w:t xml:space="preserve">112, y </w:t>
      </w:r>
      <w:r w:rsidRPr="00EF190F">
        <w:rPr>
          <w:i/>
          <w:sz w:val="16"/>
          <w:szCs w:val="16"/>
        </w:rPr>
        <w:t>Caso Comunidad Campesina de Santa Bárbara Vs. Perú</w:t>
      </w:r>
      <w:r w:rsidRPr="00EF190F">
        <w:rPr>
          <w:sz w:val="16"/>
          <w:szCs w:val="16"/>
        </w:rPr>
        <w:t>, párr. 166.</w:t>
      </w:r>
    </w:p>
  </w:footnote>
  <w:footnote w:id="145">
    <w:p w14:paraId="407D9CA8" w14:textId="77777777" w:rsidR="006A0E1C" w:rsidRPr="00EF190F" w:rsidRDefault="006A0E1C" w:rsidP="006A0E1C">
      <w:pPr>
        <w:tabs>
          <w:tab w:val="left" w:pos="360"/>
          <w:tab w:val="left" w:pos="426"/>
        </w:tabs>
        <w:autoSpaceDE w:val="0"/>
        <w:autoSpaceDN w:val="0"/>
        <w:spacing w:line="240" w:lineRule="auto"/>
        <w:rPr>
          <w:sz w:val="16"/>
          <w:szCs w:val="16"/>
          <w:lang w:val="es-PR"/>
        </w:rPr>
      </w:pPr>
      <w:r w:rsidRPr="00EF190F">
        <w:rPr>
          <w:rStyle w:val="FootnoteReference"/>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i/>
          <w:sz w:val="16"/>
          <w:szCs w:val="16"/>
          <w:lang w:val="es-PR"/>
        </w:rPr>
        <w:t>Caso Heliodoro Portugal Vs. Panamá</w:t>
      </w:r>
      <w:r w:rsidRPr="00EF190F">
        <w:rPr>
          <w:i/>
          <w:sz w:val="16"/>
          <w:szCs w:val="16"/>
          <w:lang w:val="es-PR" w:bidi="en-US"/>
        </w:rPr>
        <w:t xml:space="preserve">, </w:t>
      </w:r>
      <w:r w:rsidRPr="00EF190F">
        <w:rPr>
          <w:sz w:val="16"/>
          <w:szCs w:val="16"/>
          <w:lang w:val="es-PR" w:bidi="en-US"/>
        </w:rPr>
        <w:t>párr. 112,</w:t>
      </w:r>
      <w:r w:rsidRPr="00EF190F">
        <w:rPr>
          <w:sz w:val="16"/>
          <w:szCs w:val="16"/>
          <w:lang w:val="es-PR"/>
        </w:rPr>
        <w:t xml:space="preserve"> y </w:t>
      </w:r>
      <w:r w:rsidRPr="00EF190F">
        <w:rPr>
          <w:bCs/>
          <w:i/>
          <w:sz w:val="16"/>
          <w:szCs w:val="16"/>
          <w:lang w:val="es-PR"/>
        </w:rPr>
        <w:t>Caso Osorio Rivera y familiares Vs. Perú</w:t>
      </w:r>
      <w:r w:rsidRPr="00EF190F">
        <w:rPr>
          <w:bCs/>
          <w:sz w:val="16"/>
          <w:szCs w:val="16"/>
          <w:lang w:val="es-PR"/>
        </w:rPr>
        <w:t>, párr. 116.</w:t>
      </w:r>
    </w:p>
  </w:footnote>
  <w:footnote w:id="146">
    <w:p w14:paraId="2DEFC2FB"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lang w:val="es-CR"/>
        </w:rPr>
        <w:t xml:space="preserve"> </w:t>
      </w:r>
      <w:r w:rsidRPr="00EF190F">
        <w:rPr>
          <w:sz w:val="16"/>
          <w:szCs w:val="16"/>
          <w:lang w:val="es-CR"/>
        </w:rPr>
        <w:tab/>
        <w:t xml:space="preserve">Esta ha sido la </w:t>
      </w:r>
      <w:r w:rsidRPr="00EF190F">
        <w:rPr>
          <w:sz w:val="16"/>
          <w:szCs w:val="16"/>
        </w:rPr>
        <w:t xml:space="preserve">jurisprudencia constante de la Corte en </w:t>
      </w:r>
      <w:r w:rsidRPr="00EF190F">
        <w:rPr>
          <w:sz w:val="16"/>
          <w:szCs w:val="16"/>
          <w:lang w:val="es-CR"/>
        </w:rPr>
        <w:t xml:space="preserve">casos de desaparición forzada de personas. </w:t>
      </w:r>
      <w:r w:rsidRPr="00EF190F">
        <w:rPr>
          <w:i/>
          <w:sz w:val="16"/>
          <w:szCs w:val="16"/>
          <w:lang w:val="es-CR"/>
        </w:rPr>
        <w:t>Cfr.</w:t>
      </w:r>
      <w:r w:rsidRPr="00EF190F">
        <w:rPr>
          <w:sz w:val="16"/>
          <w:szCs w:val="16"/>
        </w:rPr>
        <w:t xml:space="preserve"> </w:t>
      </w:r>
      <w:r w:rsidRPr="00EF190F">
        <w:rPr>
          <w:i/>
          <w:sz w:val="16"/>
          <w:szCs w:val="16"/>
        </w:rPr>
        <w:t>Caso Heliodoro Portugal Vs. Panamá</w:t>
      </w:r>
      <w:r w:rsidRPr="00EF190F">
        <w:rPr>
          <w:sz w:val="16"/>
          <w:szCs w:val="16"/>
        </w:rPr>
        <w:t xml:space="preserve">, párr. 34; </w:t>
      </w:r>
      <w:r w:rsidRPr="00EF190F">
        <w:rPr>
          <w:i/>
          <w:sz w:val="16"/>
          <w:szCs w:val="16"/>
        </w:rPr>
        <w:t xml:space="preserve">Caso Ticona Estrada y otros Vs. Bolivia. Fondo, Reparaciones y Costas. </w:t>
      </w:r>
      <w:r w:rsidRPr="00EF190F">
        <w:rPr>
          <w:sz w:val="16"/>
          <w:szCs w:val="16"/>
        </w:rPr>
        <w:t xml:space="preserve">Sentencia de 27 de noviembre de 2008. Serie C No. 191, párr. 28 y ss; </w:t>
      </w:r>
      <w:r w:rsidRPr="00EF190F">
        <w:rPr>
          <w:i/>
          <w:sz w:val="16"/>
          <w:szCs w:val="16"/>
        </w:rPr>
        <w:t>Caso Radilla Pacheco Vs. México</w:t>
      </w:r>
      <w:r w:rsidRPr="00EF190F">
        <w:rPr>
          <w:sz w:val="16"/>
          <w:szCs w:val="16"/>
        </w:rPr>
        <w:t xml:space="preserve">, párr. 24; </w:t>
      </w:r>
      <w:r w:rsidRPr="00EF190F">
        <w:rPr>
          <w:rStyle w:val="Strong"/>
          <w:b w:val="0"/>
          <w:i/>
          <w:sz w:val="16"/>
          <w:szCs w:val="16"/>
          <w:shd w:val="clear" w:color="auto" w:fill="FFFFFF"/>
        </w:rPr>
        <w:t>Caso González Medina y familiares</w:t>
      </w:r>
      <w:r w:rsidRPr="00EF190F">
        <w:rPr>
          <w:rStyle w:val="Strong"/>
          <w:b w:val="0"/>
          <w:sz w:val="16"/>
          <w:szCs w:val="16"/>
          <w:shd w:val="clear" w:color="auto" w:fill="FFFFFF"/>
        </w:rPr>
        <w:t xml:space="preserve"> </w:t>
      </w:r>
      <w:r w:rsidRPr="00EF190F">
        <w:rPr>
          <w:rStyle w:val="Strong"/>
          <w:b w:val="0"/>
          <w:i/>
          <w:sz w:val="16"/>
          <w:szCs w:val="16"/>
          <w:shd w:val="clear" w:color="auto" w:fill="FFFFFF"/>
        </w:rPr>
        <w:t xml:space="preserve">Vs. República Dominicana. Excepciones Preliminares, Fondo, Reparaciones y Costas. </w:t>
      </w:r>
      <w:r w:rsidRPr="00EF190F">
        <w:rPr>
          <w:rStyle w:val="Strong"/>
          <w:b w:val="0"/>
          <w:sz w:val="16"/>
          <w:szCs w:val="16"/>
          <w:shd w:val="clear" w:color="auto" w:fill="FFFFFF"/>
        </w:rPr>
        <w:t xml:space="preserve">Sentencia de 27 de febrero de 2012. Serie C No. 240, párr. 48; </w:t>
      </w:r>
      <w:r w:rsidRPr="00EF190F">
        <w:rPr>
          <w:rStyle w:val="Strong"/>
          <w:b w:val="0"/>
          <w:i/>
          <w:sz w:val="16"/>
          <w:szCs w:val="16"/>
          <w:shd w:val="clear" w:color="auto" w:fill="FFFFFF"/>
        </w:rPr>
        <w:t>Caso Tenorio Roca y Otros Vs. Perú</w:t>
      </w:r>
      <w:r w:rsidRPr="00EF190F">
        <w:rPr>
          <w:rStyle w:val="Strong"/>
          <w:b w:val="0"/>
          <w:sz w:val="16"/>
          <w:szCs w:val="16"/>
          <w:shd w:val="clear" w:color="auto" w:fill="FFFFFF"/>
        </w:rPr>
        <w:t>, párr. 31</w:t>
      </w:r>
      <w:r w:rsidRPr="00EF190F">
        <w:rPr>
          <w:sz w:val="16"/>
          <w:szCs w:val="16"/>
        </w:rPr>
        <w:t>.</w:t>
      </w:r>
    </w:p>
  </w:footnote>
  <w:footnote w:id="147">
    <w:p w14:paraId="6217EAE0" w14:textId="77777777" w:rsidR="006A0E1C" w:rsidRPr="00EF190F" w:rsidRDefault="006A0E1C" w:rsidP="006A0E1C">
      <w:pPr>
        <w:pStyle w:val="FootnoteText"/>
        <w:tabs>
          <w:tab w:val="left" w:pos="360"/>
        </w:tabs>
        <w:rPr>
          <w:i/>
          <w:sz w:val="16"/>
          <w:szCs w:val="16"/>
        </w:rPr>
      </w:pPr>
      <w:r w:rsidRPr="00EF190F">
        <w:rPr>
          <w:rStyle w:val="FootnoteReference"/>
          <w:sz w:val="16"/>
          <w:szCs w:val="16"/>
        </w:rPr>
        <w:footnoteRef/>
      </w:r>
      <w:r w:rsidRPr="00EF190F">
        <w:rPr>
          <w:sz w:val="16"/>
          <w:szCs w:val="16"/>
        </w:rPr>
        <w:t xml:space="preserve">   </w:t>
      </w:r>
      <w:r w:rsidRPr="00EF190F">
        <w:rPr>
          <w:i/>
          <w:sz w:val="16"/>
          <w:szCs w:val="16"/>
        </w:rPr>
        <w:t xml:space="preserve">Cfr. </w:t>
      </w:r>
      <w:r w:rsidRPr="00EF190F">
        <w:rPr>
          <w:rStyle w:val="Strong"/>
          <w:b w:val="0"/>
          <w:i/>
          <w:sz w:val="16"/>
          <w:szCs w:val="16"/>
          <w:shd w:val="clear" w:color="auto" w:fill="FFFFFF"/>
        </w:rPr>
        <w:t>Caso González Medina y familiares</w:t>
      </w:r>
      <w:r w:rsidRPr="00EF190F">
        <w:rPr>
          <w:rStyle w:val="Strong"/>
          <w:b w:val="0"/>
          <w:sz w:val="16"/>
          <w:szCs w:val="16"/>
          <w:shd w:val="clear" w:color="auto" w:fill="FFFFFF"/>
        </w:rPr>
        <w:t xml:space="preserve"> </w:t>
      </w:r>
      <w:r w:rsidRPr="00EF190F">
        <w:rPr>
          <w:rStyle w:val="Strong"/>
          <w:b w:val="0"/>
          <w:i/>
          <w:sz w:val="16"/>
          <w:szCs w:val="16"/>
          <w:shd w:val="clear" w:color="auto" w:fill="FFFFFF"/>
        </w:rPr>
        <w:t>Vs. República Dominicana</w:t>
      </w:r>
      <w:r w:rsidRPr="00EF190F">
        <w:rPr>
          <w:rStyle w:val="Strong"/>
          <w:b w:val="0"/>
          <w:sz w:val="16"/>
          <w:szCs w:val="16"/>
          <w:shd w:val="clear" w:color="auto" w:fill="FFFFFF"/>
        </w:rPr>
        <w:t>, párr. 53.</w:t>
      </w:r>
    </w:p>
  </w:footnote>
  <w:footnote w:id="148">
    <w:p w14:paraId="4A9A8F75"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rStyle w:val="Strong"/>
          <w:b w:val="0"/>
          <w:i/>
          <w:sz w:val="16"/>
          <w:szCs w:val="16"/>
          <w:shd w:val="clear" w:color="auto" w:fill="FFFFFF"/>
        </w:rPr>
        <w:t>Caso Ticona Estrada y otros Vs. Bolivia</w:t>
      </w:r>
      <w:r w:rsidRPr="00EF190F">
        <w:rPr>
          <w:rStyle w:val="Strong"/>
          <w:b w:val="0"/>
          <w:sz w:val="16"/>
          <w:szCs w:val="16"/>
          <w:shd w:val="clear" w:color="auto" w:fill="FFFFFF"/>
        </w:rPr>
        <w:t>, párrs. 75, 76, 103 y 104.</w:t>
      </w:r>
    </w:p>
  </w:footnote>
  <w:footnote w:id="149">
    <w:p w14:paraId="267E4D8D"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rStyle w:val="Strong"/>
          <w:b w:val="0"/>
          <w:i/>
          <w:sz w:val="16"/>
          <w:szCs w:val="16"/>
          <w:shd w:val="clear" w:color="auto" w:fill="FFFFFF"/>
        </w:rPr>
        <w:t xml:space="preserve">Caso Goiburú y otros Vs. Paraguay. Fondo, Reparaciones y Costas. </w:t>
      </w:r>
      <w:r w:rsidRPr="00EF190F">
        <w:rPr>
          <w:rStyle w:val="Strong"/>
          <w:b w:val="0"/>
          <w:sz w:val="16"/>
          <w:szCs w:val="16"/>
          <w:shd w:val="clear" w:color="auto" w:fill="FFFFFF"/>
        </w:rPr>
        <w:t>Sentencia de 22 de septiembre de 2006. Serie C No. 153, párrs. 91 y 92.</w:t>
      </w:r>
    </w:p>
  </w:footnote>
  <w:footnote w:id="150">
    <w:p w14:paraId="5671F017"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Cfr. Caso Castillo Páez Vs. Perú</w:t>
      </w:r>
      <w:r w:rsidRPr="00EF190F">
        <w:rPr>
          <w:sz w:val="16"/>
          <w:szCs w:val="16"/>
          <w:lang w:val="es-CR"/>
        </w:rPr>
        <w:t>. Resolución de la Corte Interamericana de Derechos Humanos de 3 de abril de 2009. Supervisión de cumplimiento de Sentencia, considerandos 8 y 15.</w:t>
      </w:r>
    </w:p>
  </w:footnote>
  <w:footnote w:id="151">
    <w:p w14:paraId="6C148256"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i/>
          <w:sz w:val="16"/>
          <w:szCs w:val="16"/>
          <w:lang w:val="es-CR"/>
        </w:rPr>
        <w:t xml:space="preserve">Cfr. </w:t>
      </w:r>
      <w:r w:rsidRPr="00EF190F">
        <w:rPr>
          <w:i/>
          <w:sz w:val="16"/>
          <w:szCs w:val="16"/>
        </w:rPr>
        <w:t>Caso Velásquez Rodríguez Vs. Honduras. Fondo</w:t>
      </w:r>
      <w:r w:rsidRPr="00EF190F">
        <w:rPr>
          <w:sz w:val="16"/>
          <w:szCs w:val="16"/>
        </w:rPr>
        <w:t>, párr. 134.</w:t>
      </w:r>
    </w:p>
  </w:footnote>
  <w:footnote w:id="152">
    <w:p w14:paraId="69D9113B" w14:textId="77777777" w:rsidR="006A0E1C" w:rsidRPr="00EF190F" w:rsidRDefault="006A0E1C" w:rsidP="006A0E1C">
      <w:pPr>
        <w:tabs>
          <w:tab w:val="left" w:pos="360"/>
        </w:tabs>
        <w:spacing w:line="240" w:lineRule="auto"/>
        <w:ind w:right="-90"/>
        <w:rPr>
          <w:rFonts w:cs="Arial"/>
          <w:sz w:val="16"/>
          <w:szCs w:val="16"/>
          <w:lang w:val="es-ES"/>
        </w:rPr>
      </w:pPr>
      <w:r w:rsidRPr="00EF190F">
        <w:rPr>
          <w:rStyle w:val="FootnoteReference"/>
          <w:rFonts w:eastAsia="Times"/>
          <w:sz w:val="16"/>
          <w:szCs w:val="16"/>
        </w:rPr>
        <w:footnoteRef/>
      </w:r>
      <w:r w:rsidRPr="00EF190F">
        <w:rPr>
          <w:sz w:val="16"/>
          <w:szCs w:val="16"/>
          <w:lang w:val="es-ES"/>
        </w:rPr>
        <w:t xml:space="preserve"> </w:t>
      </w:r>
      <w:r w:rsidRPr="00EF190F">
        <w:rPr>
          <w:sz w:val="16"/>
          <w:szCs w:val="16"/>
          <w:lang w:val="es-ES"/>
        </w:rPr>
        <w:tab/>
      </w:r>
      <w:r w:rsidRPr="00EF190F">
        <w:rPr>
          <w:i/>
          <w:sz w:val="16"/>
          <w:szCs w:val="16"/>
          <w:lang w:val="es-ES"/>
        </w:rPr>
        <w:t>Cfr</w:t>
      </w:r>
      <w:r w:rsidRPr="00EF190F">
        <w:rPr>
          <w:sz w:val="16"/>
          <w:szCs w:val="16"/>
          <w:lang w:val="es-ES"/>
        </w:rPr>
        <w:t xml:space="preserve">. </w:t>
      </w:r>
      <w:r w:rsidRPr="00EF190F">
        <w:rPr>
          <w:i/>
          <w:sz w:val="16"/>
          <w:szCs w:val="16"/>
          <w:lang w:val="es-ES"/>
        </w:rPr>
        <w:t>Caso Velásquez Rodríguez</w:t>
      </w:r>
      <w:r w:rsidRPr="00EF190F">
        <w:rPr>
          <w:sz w:val="16"/>
          <w:szCs w:val="16"/>
          <w:lang w:val="es-ES"/>
        </w:rPr>
        <w:t xml:space="preserve"> </w:t>
      </w:r>
      <w:r w:rsidRPr="00EF190F">
        <w:rPr>
          <w:bCs/>
          <w:i/>
          <w:sz w:val="16"/>
          <w:szCs w:val="16"/>
        </w:rPr>
        <w:t xml:space="preserve">Vs. Honduras. </w:t>
      </w:r>
      <w:r w:rsidRPr="00EF190F">
        <w:rPr>
          <w:i/>
          <w:sz w:val="16"/>
          <w:szCs w:val="16"/>
        </w:rPr>
        <w:t xml:space="preserve">Fondo, </w:t>
      </w:r>
      <w:r w:rsidRPr="00EF190F">
        <w:rPr>
          <w:sz w:val="16"/>
          <w:szCs w:val="16"/>
          <w:lang w:val="es-ES"/>
        </w:rPr>
        <w:t xml:space="preserve">párrs. 172 y 173, y </w:t>
      </w:r>
      <w:r w:rsidRPr="00EF190F">
        <w:rPr>
          <w:bCs/>
          <w:i/>
          <w:sz w:val="16"/>
          <w:szCs w:val="16"/>
        </w:rPr>
        <w:t>Caso Gonzáles Medina y Familiares Vs. República Dominicana</w:t>
      </w:r>
      <w:r w:rsidRPr="00EF190F">
        <w:rPr>
          <w:sz w:val="16"/>
          <w:szCs w:val="16"/>
        </w:rPr>
        <w:t xml:space="preserve">, </w:t>
      </w:r>
      <w:r w:rsidRPr="00EF190F">
        <w:rPr>
          <w:rFonts w:cs="Arial"/>
          <w:sz w:val="16"/>
          <w:szCs w:val="16"/>
          <w:lang w:val="es-ES"/>
        </w:rPr>
        <w:t>párr. 133.</w:t>
      </w:r>
    </w:p>
  </w:footnote>
  <w:footnote w:id="153">
    <w:p w14:paraId="4776E52A" w14:textId="77777777" w:rsidR="006A0E1C" w:rsidRPr="00EF190F" w:rsidRDefault="006A0E1C" w:rsidP="006A0E1C">
      <w:pPr>
        <w:pStyle w:val="FootnoteText"/>
        <w:tabs>
          <w:tab w:val="left" w:pos="360"/>
        </w:tabs>
        <w:ind w:right="-90"/>
        <w:rPr>
          <w:sz w:val="16"/>
          <w:szCs w:val="16"/>
          <w:lang w:val="es-CR"/>
        </w:rPr>
      </w:pPr>
      <w:r w:rsidRPr="00EF190F">
        <w:rPr>
          <w:rStyle w:val="FootnoteReference"/>
          <w:rFonts w:eastAsia="Times"/>
          <w:sz w:val="16"/>
          <w:szCs w:val="16"/>
          <w:lang w:val="es-CR"/>
        </w:rPr>
        <w:footnoteRef/>
      </w:r>
      <w:r w:rsidRPr="00EF190F">
        <w:rPr>
          <w:sz w:val="16"/>
          <w:szCs w:val="16"/>
          <w:lang w:val="es-CR"/>
        </w:rPr>
        <w:t xml:space="preserve"> </w:t>
      </w:r>
      <w:r w:rsidRPr="00EF190F">
        <w:rPr>
          <w:sz w:val="16"/>
          <w:szCs w:val="16"/>
          <w:lang w:val="es-CR"/>
        </w:rPr>
        <w:tab/>
      </w:r>
      <w:r w:rsidRPr="00EF190F">
        <w:rPr>
          <w:i/>
          <w:sz w:val="16"/>
          <w:szCs w:val="16"/>
          <w:lang w:val="es-CR"/>
        </w:rPr>
        <w:t>Cfr</w:t>
      </w:r>
      <w:r w:rsidRPr="00EF190F">
        <w:rPr>
          <w:sz w:val="16"/>
          <w:szCs w:val="16"/>
          <w:lang w:val="es-CR"/>
        </w:rPr>
        <w:t xml:space="preserve">. </w:t>
      </w:r>
      <w:r w:rsidRPr="00EF190F">
        <w:rPr>
          <w:i/>
          <w:sz w:val="16"/>
          <w:szCs w:val="16"/>
          <w:lang w:val="es-CR"/>
        </w:rPr>
        <w:t xml:space="preserve">Caso Velásquez Rodríguez Vs. Honduras. Fondo, </w:t>
      </w:r>
      <w:r w:rsidRPr="00EF190F">
        <w:rPr>
          <w:sz w:val="16"/>
          <w:szCs w:val="16"/>
          <w:lang w:val="es-CR"/>
        </w:rPr>
        <w:t xml:space="preserve">párr. 129, y </w:t>
      </w:r>
      <w:r w:rsidRPr="00EF190F">
        <w:rPr>
          <w:i/>
          <w:sz w:val="16"/>
          <w:szCs w:val="16"/>
          <w:lang w:val="es-CR"/>
        </w:rPr>
        <w:t>Caso González Medina</w:t>
      </w:r>
      <w:r w:rsidRPr="00EF190F">
        <w:rPr>
          <w:sz w:val="16"/>
          <w:szCs w:val="16"/>
        </w:rPr>
        <w:t xml:space="preserve"> </w:t>
      </w:r>
      <w:r w:rsidRPr="00EF190F">
        <w:rPr>
          <w:i/>
          <w:sz w:val="16"/>
          <w:szCs w:val="16"/>
          <w:lang w:val="es-CR"/>
        </w:rPr>
        <w:t>y Familiares Vs. República Dominicana</w:t>
      </w:r>
      <w:r w:rsidRPr="00EF190F">
        <w:rPr>
          <w:sz w:val="16"/>
          <w:szCs w:val="16"/>
          <w:lang w:val="es-CR"/>
        </w:rPr>
        <w:t>, párr. 132.</w:t>
      </w:r>
    </w:p>
  </w:footnote>
  <w:footnote w:id="154">
    <w:p w14:paraId="37426934" w14:textId="77777777" w:rsidR="006A0E1C" w:rsidRPr="00EF190F" w:rsidRDefault="006A0E1C" w:rsidP="006A0E1C">
      <w:pPr>
        <w:pStyle w:val="FootnoteText"/>
        <w:tabs>
          <w:tab w:val="left" w:pos="360"/>
        </w:tabs>
        <w:ind w:right="-90"/>
        <w:rPr>
          <w:rFonts w:cs="Verdana"/>
          <w:sz w:val="16"/>
          <w:szCs w:val="16"/>
          <w:lang w:val="es-CR"/>
        </w:rPr>
      </w:pPr>
      <w:r w:rsidRPr="00EF190F">
        <w:rPr>
          <w:rStyle w:val="FootnoteReference"/>
          <w:rFonts w:eastAsia="Times"/>
          <w:sz w:val="16"/>
          <w:szCs w:val="16"/>
        </w:rPr>
        <w:footnoteRef/>
      </w:r>
      <w:r w:rsidRPr="00EF190F">
        <w:rPr>
          <w:sz w:val="16"/>
          <w:szCs w:val="16"/>
          <w:lang w:val="es-CR"/>
        </w:rPr>
        <w:t xml:space="preserve"> </w:t>
      </w:r>
      <w:r w:rsidRPr="00EF190F">
        <w:rPr>
          <w:sz w:val="16"/>
          <w:szCs w:val="16"/>
          <w:lang w:val="es-CR"/>
        </w:rPr>
        <w:tab/>
      </w:r>
      <w:r w:rsidRPr="00EF190F">
        <w:rPr>
          <w:i/>
          <w:iCs/>
          <w:sz w:val="16"/>
          <w:szCs w:val="16"/>
          <w:lang w:val="es-CR"/>
        </w:rPr>
        <w:t xml:space="preserve">Cfr. </w:t>
      </w:r>
      <w:r w:rsidRPr="00EF190F">
        <w:rPr>
          <w:i/>
          <w:sz w:val="16"/>
          <w:szCs w:val="16"/>
          <w:lang w:val="es-CR"/>
        </w:rPr>
        <w:t>Caso Velásquez Rodríguez Vs. Honduras. Fondo</w:t>
      </w:r>
      <w:r w:rsidRPr="00EF190F">
        <w:rPr>
          <w:rFonts w:cs="Verdana"/>
          <w:bCs/>
          <w:i/>
          <w:iCs/>
          <w:sz w:val="16"/>
          <w:szCs w:val="16"/>
        </w:rPr>
        <w:t xml:space="preserve">, </w:t>
      </w:r>
      <w:r w:rsidRPr="00EF190F">
        <w:rPr>
          <w:rFonts w:cs="Verdana"/>
          <w:bCs/>
          <w:iCs/>
          <w:sz w:val="16"/>
          <w:szCs w:val="16"/>
        </w:rPr>
        <w:t xml:space="preserve">párr. 131, y </w:t>
      </w:r>
      <w:r w:rsidRPr="00EF190F">
        <w:rPr>
          <w:rFonts w:cs="Verdana"/>
          <w:bCs/>
          <w:i/>
          <w:iCs/>
          <w:sz w:val="16"/>
          <w:szCs w:val="16"/>
        </w:rPr>
        <w:t>Caso Rodríguez Vera y Otros (Desaparecidos del Palacio de Justicia) Vs. Colombia</w:t>
      </w:r>
      <w:r w:rsidRPr="00EF190F">
        <w:rPr>
          <w:i/>
          <w:sz w:val="16"/>
          <w:szCs w:val="16"/>
          <w:lang w:val="es-CR"/>
        </w:rPr>
        <w:t xml:space="preserve">, </w:t>
      </w:r>
      <w:r w:rsidRPr="00EF190F">
        <w:rPr>
          <w:sz w:val="16"/>
          <w:szCs w:val="16"/>
          <w:lang w:val="es-CR"/>
        </w:rPr>
        <w:t>párr. 230.</w:t>
      </w:r>
    </w:p>
  </w:footnote>
  <w:footnote w:id="155">
    <w:p w14:paraId="09CACDC8" w14:textId="77777777" w:rsidR="006A0E1C" w:rsidRPr="00EF190F" w:rsidRDefault="006A0E1C" w:rsidP="006A0E1C">
      <w:pPr>
        <w:tabs>
          <w:tab w:val="left" w:pos="360"/>
        </w:tabs>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Las 81 personas son las siguientes: 1. Víctor Juárez Pangán; 2. </w:t>
      </w:r>
      <w:r w:rsidRPr="00EF190F">
        <w:rPr>
          <w:sz w:val="16"/>
          <w:szCs w:val="16"/>
          <w:lang w:val="pt-BR"/>
        </w:rPr>
        <w:t xml:space="preserve">Clemente Juárez Ixpancoc; 3. Cruz Sic Cuxum; 4. Pedro Sic Jerónimo; 5. Gregorio Valey; 6. Timoteo Sic Cujá; 7. Roberto Galiego Chen; 8. Antonio Alvarado González; 9. Alfonso Cruz Juárez; 10. </w:t>
      </w:r>
      <w:r w:rsidRPr="00E73A70">
        <w:rPr>
          <w:sz w:val="16"/>
          <w:szCs w:val="16"/>
          <w:lang w:val="es-PR"/>
        </w:rPr>
        <w:t xml:space="preserve">Domingo Cahuec Sic; 11. Santiago Alvarado Xitumul; 12. Agustín Juárez Ixpancoc; 13. </w:t>
      </w:r>
      <w:r w:rsidRPr="00EF190F">
        <w:rPr>
          <w:sz w:val="16"/>
          <w:szCs w:val="16"/>
        </w:rPr>
        <w:t xml:space="preserve">Teodoro González; 14. Eulogio Morales Alvarado; 15. Luciano González; 16. </w:t>
      </w:r>
      <w:r w:rsidRPr="00EF190F">
        <w:rPr>
          <w:sz w:val="16"/>
          <w:szCs w:val="16"/>
          <w:lang w:val="es-PR"/>
        </w:rPr>
        <w:t xml:space="preserve">Apolinario Juárez Pérez, 17. </w:t>
      </w:r>
      <w:r w:rsidRPr="00E73A70">
        <w:rPr>
          <w:sz w:val="16"/>
          <w:szCs w:val="16"/>
          <w:lang w:val="es-PR"/>
        </w:rPr>
        <w:t xml:space="preserve">Alberto Juárez Pérez; 18. </w:t>
      </w:r>
      <w:r w:rsidRPr="00EF190F">
        <w:rPr>
          <w:sz w:val="16"/>
          <w:szCs w:val="16"/>
          <w:lang w:val="pt-BR"/>
        </w:rPr>
        <w:t xml:space="preserve">Evaristo Siana; 19. Pedro Tum; 20. Egmidio Siana; 21. Pedro Galiego López; 22. Demetrio Chen Alvarado; 23. Pedro Galiego Mendoza; 24. Camilo Juárez Valey; 25. Julián Garniga; 26. Benito Juárez Ixpancoc; 27. Francisco Depaz; 28. Maximiliano Sis Valey; 29. Vicente Sic Osorio; 30. Patrocinio Galiego; 31. Félix Alvarado Xitumul; 32. José Demetrio Cahuec Jerónimo; 33. </w:t>
      </w:r>
      <w:r w:rsidRPr="00E73A70">
        <w:rPr>
          <w:sz w:val="16"/>
          <w:szCs w:val="16"/>
          <w:lang w:val="pt-BR"/>
        </w:rPr>
        <w:t xml:space="preserve">Andrea Osorio Galeano; 34. </w:t>
      </w:r>
      <w:r w:rsidRPr="00EF190F">
        <w:rPr>
          <w:sz w:val="16"/>
          <w:szCs w:val="16"/>
          <w:lang w:val="es-PR"/>
        </w:rPr>
        <w:t xml:space="preserve">Silvestre Sic Xitumul; 35. </w:t>
      </w:r>
      <w:r w:rsidRPr="00EF190F">
        <w:rPr>
          <w:sz w:val="16"/>
          <w:szCs w:val="16"/>
        </w:rPr>
        <w:t>R</w:t>
      </w:r>
      <w:r>
        <w:rPr>
          <w:sz w:val="16"/>
          <w:szCs w:val="16"/>
        </w:rPr>
        <w:t>aymunda Sical Corazón; 36. Adri</w:t>
      </w:r>
      <w:r>
        <w:rPr>
          <w:sz w:val="16"/>
          <w:szCs w:val="16"/>
          <w:lang w:val="es-GT"/>
        </w:rPr>
        <w:t>á</w:t>
      </w:r>
      <w:r w:rsidRPr="00EF190F">
        <w:rPr>
          <w:sz w:val="16"/>
          <w:szCs w:val="16"/>
        </w:rPr>
        <w:t xml:space="preserve">n García Manuel; 37. </w:t>
      </w:r>
      <w:r w:rsidRPr="00E73A70">
        <w:rPr>
          <w:sz w:val="16"/>
          <w:szCs w:val="16"/>
          <w:lang w:val="es-PR"/>
        </w:rPr>
        <w:t xml:space="preserve">Hugo García Depaz; 38. </w:t>
      </w:r>
      <w:r w:rsidRPr="00EF190F">
        <w:rPr>
          <w:sz w:val="16"/>
          <w:szCs w:val="16"/>
          <w:lang w:val="pt-BR"/>
        </w:rPr>
        <w:t xml:space="preserve">Agapito Alvarado Depaz; 39. Edmundo Alarcón Morente; 40. Manuel de Jesús Alarcón Morente; 41. </w:t>
      </w:r>
      <w:r w:rsidRPr="00EF190F">
        <w:rPr>
          <w:sz w:val="16"/>
          <w:szCs w:val="16"/>
        </w:rPr>
        <w:t xml:space="preserve">Juan Pérez Sic; 42. Gorgonio Gonzalez Gonzalez; 43. Gabino Román Ivoy; 44. Cruz Pérez Amperez; 45. Eustaquio Ixtecoc González; 46. Jorge Galeano Román; 47. Rafael Depaz Tecú; 48. Enrique Mendoza Sis; 49. Dionisio Bachán; 50. Elías Milián González, 51. Amelia Milián Morales; 52. Eusebia Grave García; 53. José León Grave García, 54. Mateo Grave; 55. Juan Alvarado Grave; 56. Pedro Depaz Ciprián; 57. Víctor Alvarado Valey; 58. Ceferino Alvarado Sucup; 59. Enriqueta Tecú Chiquito; 60. Rosa González Tecú; 61. Luciano Alvarado Xitumul; 62. Héctor Rolando Alvarado García; 63. Adela Florentina Alvarado García; 64. </w:t>
      </w:r>
      <w:r w:rsidRPr="00EF190F">
        <w:rPr>
          <w:sz w:val="16"/>
          <w:szCs w:val="16"/>
          <w:lang w:val="es-PR"/>
        </w:rPr>
        <w:t xml:space="preserve">Luciana Xitumul Ixpancoc; 65. María Concepción Xitumul Xitumul; 66. niña de nombre desconocido; 67. </w:t>
      </w:r>
      <w:r w:rsidRPr="00EF190F">
        <w:rPr>
          <w:sz w:val="16"/>
          <w:szCs w:val="16"/>
        </w:rPr>
        <w:t>Medardo Juárez García; 68. Efraín García Depaz; 69. Fidel Alvarado Sucup; 70. Domingo Reyes; 71. Andres Reyes; 72. Santiago Reyes; 73. Antonio Chen Mendoza; 74. Pedro Siana; 75. Lorenzo Depaz Ciprián; 76. Leonardo Cahuec; 77. Juan Mendoza Sucup; 78. José Cruz Mendoza; 79. María Concepción Chen; 80. Casimiro Siana, y 81. Marcelo Sic Chen.</w:t>
      </w:r>
    </w:p>
  </w:footnote>
  <w:footnote w:id="156">
    <w:p w14:paraId="4445159F" w14:textId="77777777" w:rsidR="006A0E1C" w:rsidRPr="00EF190F" w:rsidRDefault="006A0E1C" w:rsidP="006A0E1C">
      <w:pPr>
        <w:pStyle w:val="FootnoteText"/>
        <w:tabs>
          <w:tab w:val="left" w:pos="360"/>
          <w:tab w:val="left" w:pos="450"/>
        </w:tabs>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pacing w:val="-4"/>
          <w:sz w:val="16"/>
          <w:szCs w:val="16"/>
          <w:lang w:val="es-PR"/>
        </w:rPr>
        <w:tab/>
      </w:r>
      <w:r w:rsidRPr="00EF190F">
        <w:rPr>
          <w:i/>
          <w:spacing w:val="-4"/>
          <w:sz w:val="16"/>
          <w:szCs w:val="16"/>
          <w:lang w:val="es-PR"/>
        </w:rPr>
        <w:t>Cfr.</w:t>
      </w:r>
      <w:r w:rsidRPr="00EF190F">
        <w:rPr>
          <w:spacing w:val="-4"/>
          <w:sz w:val="16"/>
          <w:szCs w:val="16"/>
          <w:lang w:val="es-PR"/>
        </w:rPr>
        <w:t xml:space="preserve"> </w:t>
      </w:r>
      <w:r w:rsidRPr="00EF190F">
        <w:rPr>
          <w:i/>
          <w:sz w:val="16"/>
          <w:szCs w:val="16"/>
          <w:lang w:val="es-PR"/>
        </w:rPr>
        <w:t xml:space="preserve">Caso Anzualdo Castro Vs. Perú. Excepciones Preliminares, Fondo, Reparaciones y Costas. </w:t>
      </w:r>
      <w:r w:rsidRPr="00EF190F">
        <w:rPr>
          <w:sz w:val="16"/>
          <w:szCs w:val="16"/>
          <w:lang w:val="es-PR"/>
        </w:rPr>
        <w:t xml:space="preserve">Sentencia de 22 de septiembre de 2009. Serie C No. 202, párr. 91, y </w:t>
      </w:r>
      <w:r w:rsidRPr="00EF190F">
        <w:rPr>
          <w:i/>
          <w:spacing w:val="-4"/>
          <w:sz w:val="16"/>
          <w:szCs w:val="16"/>
          <w:lang w:val="es-PR"/>
        </w:rPr>
        <w:t>Caso Comunidad Campesina de Santa Bárbara Vs. Perú</w:t>
      </w:r>
      <w:r w:rsidRPr="00EF190F">
        <w:rPr>
          <w:spacing w:val="-4"/>
          <w:sz w:val="16"/>
          <w:szCs w:val="16"/>
          <w:lang w:val="es-PR"/>
        </w:rPr>
        <w:t>, párr. 163.</w:t>
      </w:r>
    </w:p>
  </w:footnote>
  <w:footnote w:id="157">
    <w:p w14:paraId="295B55CC" w14:textId="77777777" w:rsidR="006A0E1C" w:rsidRPr="00EF190F" w:rsidRDefault="006A0E1C" w:rsidP="006A0E1C">
      <w:pPr>
        <w:pStyle w:val="FootnoteText"/>
        <w:tabs>
          <w:tab w:val="left" w:pos="360"/>
          <w:tab w:val="left" w:pos="450"/>
        </w:tabs>
        <w:rPr>
          <w:spacing w:val="-4"/>
          <w:sz w:val="16"/>
          <w:szCs w:val="16"/>
          <w:lang w:val="es-PR"/>
        </w:rPr>
      </w:pPr>
      <w:r w:rsidRPr="00EF190F">
        <w:rPr>
          <w:rStyle w:val="FootnoteReference"/>
          <w:rFonts w:eastAsia="Times"/>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i/>
          <w:spacing w:val="-4"/>
          <w:sz w:val="16"/>
          <w:szCs w:val="16"/>
          <w:lang w:val="es-PR"/>
        </w:rPr>
        <w:t>Cfr.</w:t>
      </w:r>
      <w:r w:rsidRPr="00EF190F">
        <w:rPr>
          <w:spacing w:val="-4"/>
          <w:sz w:val="16"/>
          <w:szCs w:val="16"/>
          <w:lang w:val="es-PR"/>
        </w:rPr>
        <w:t xml:space="preserve"> </w:t>
      </w:r>
      <w:r w:rsidRPr="00EF190F">
        <w:rPr>
          <w:i/>
          <w:spacing w:val="-4"/>
          <w:sz w:val="16"/>
          <w:szCs w:val="16"/>
          <w:lang w:val="es-PR"/>
        </w:rPr>
        <w:t>Caso Velásquez Rodríguez Vs. Honduras</w:t>
      </w:r>
      <w:r w:rsidRPr="00EF190F">
        <w:rPr>
          <w:spacing w:val="-4"/>
          <w:sz w:val="16"/>
          <w:szCs w:val="16"/>
          <w:lang w:val="es-PR"/>
        </w:rPr>
        <w:t>. Fondo,</w:t>
      </w:r>
      <w:r w:rsidRPr="00EF190F">
        <w:rPr>
          <w:i/>
          <w:spacing w:val="-4"/>
          <w:sz w:val="16"/>
          <w:szCs w:val="16"/>
          <w:lang w:val="es-PR"/>
        </w:rPr>
        <w:t xml:space="preserve"> </w:t>
      </w:r>
      <w:r w:rsidRPr="00EF190F">
        <w:rPr>
          <w:spacing w:val="-4"/>
          <w:sz w:val="16"/>
          <w:szCs w:val="16"/>
          <w:lang w:val="es-PR"/>
        </w:rPr>
        <w:t xml:space="preserve">párr. 157, y </w:t>
      </w:r>
      <w:r w:rsidRPr="00EF190F">
        <w:rPr>
          <w:rStyle w:val="Strong"/>
          <w:b w:val="0"/>
          <w:i/>
          <w:sz w:val="16"/>
          <w:szCs w:val="16"/>
          <w:shd w:val="clear" w:color="auto" w:fill="FFFFFF"/>
          <w:lang w:val="es-PR"/>
        </w:rPr>
        <w:t xml:space="preserve">Caso </w:t>
      </w:r>
      <w:r w:rsidRPr="00EF190F">
        <w:rPr>
          <w:i/>
          <w:sz w:val="16"/>
          <w:szCs w:val="16"/>
        </w:rPr>
        <w:t>Tenorio Roca y otros Vs. Perú</w:t>
      </w:r>
      <w:r w:rsidRPr="00EF190F">
        <w:rPr>
          <w:rStyle w:val="Strong"/>
          <w:b w:val="0"/>
          <w:sz w:val="16"/>
          <w:szCs w:val="16"/>
          <w:shd w:val="clear" w:color="auto" w:fill="FFFFFF"/>
          <w:lang w:val="es-PR"/>
        </w:rPr>
        <w:t xml:space="preserve">, párr. </w:t>
      </w:r>
      <w:r w:rsidRPr="00EF190F">
        <w:rPr>
          <w:rFonts w:cs="Verdana"/>
          <w:spacing w:val="-2"/>
          <w:sz w:val="16"/>
          <w:szCs w:val="16"/>
          <w:lang w:val="es-PR"/>
        </w:rPr>
        <w:t>159.</w:t>
      </w:r>
    </w:p>
  </w:footnote>
  <w:footnote w:id="158">
    <w:p w14:paraId="2FF72F34" w14:textId="77777777" w:rsidR="006A0E1C" w:rsidRPr="00EF190F" w:rsidRDefault="006A0E1C" w:rsidP="006A0E1C">
      <w:pPr>
        <w:pStyle w:val="FootnoteText"/>
        <w:tabs>
          <w:tab w:val="left" w:pos="360"/>
          <w:tab w:val="left" w:pos="450"/>
        </w:tabs>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t xml:space="preserve">En este sentido, </w:t>
      </w:r>
      <w:r w:rsidRPr="00EF190F">
        <w:rPr>
          <w:rStyle w:val="Strong"/>
          <w:b w:val="0"/>
          <w:i/>
          <w:sz w:val="16"/>
          <w:szCs w:val="16"/>
          <w:shd w:val="clear" w:color="auto" w:fill="FFFFFF"/>
          <w:lang w:val="es-PR"/>
        </w:rPr>
        <w:t xml:space="preserve">Caso Gudiel Álvarez y otros ("Diario Militar") Vs. Guatemala, </w:t>
      </w:r>
      <w:r w:rsidRPr="00EF190F">
        <w:rPr>
          <w:rFonts w:eastAsia="Batang" w:cs="Times"/>
          <w:sz w:val="16"/>
          <w:szCs w:val="16"/>
          <w:lang w:val="es-PR"/>
        </w:rPr>
        <w:t xml:space="preserve">párrs. 199, 206 y 214, y </w:t>
      </w:r>
      <w:r w:rsidRPr="00EF190F">
        <w:rPr>
          <w:rStyle w:val="Strong"/>
          <w:b w:val="0"/>
          <w:i/>
          <w:sz w:val="16"/>
          <w:szCs w:val="16"/>
          <w:shd w:val="clear" w:color="auto" w:fill="FFFFFF"/>
          <w:lang w:val="es-PR"/>
        </w:rPr>
        <w:t>Caso Masacres de Río Negro Vs. Guatemala</w:t>
      </w:r>
      <w:r w:rsidRPr="00EF190F">
        <w:rPr>
          <w:rStyle w:val="Strong"/>
          <w:b w:val="0"/>
          <w:sz w:val="16"/>
          <w:szCs w:val="16"/>
          <w:shd w:val="clear" w:color="auto" w:fill="FFFFFF"/>
          <w:lang w:val="es-PR"/>
        </w:rPr>
        <w:t xml:space="preserve">, </w:t>
      </w:r>
      <w:r w:rsidRPr="00EF190F">
        <w:rPr>
          <w:sz w:val="16"/>
          <w:szCs w:val="16"/>
          <w:lang w:val="es-PR"/>
        </w:rPr>
        <w:t>párrs. 123 y 125.</w:t>
      </w:r>
    </w:p>
  </w:footnote>
  <w:footnote w:id="159">
    <w:p w14:paraId="38DAAB4B" w14:textId="77777777" w:rsidR="006A0E1C" w:rsidRPr="00EF190F" w:rsidRDefault="006A0E1C" w:rsidP="006A0E1C">
      <w:pPr>
        <w:pStyle w:val="FootnoteText"/>
        <w:tabs>
          <w:tab w:val="left" w:pos="360"/>
          <w:tab w:val="left" w:pos="450"/>
        </w:tabs>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w:t>
      </w:r>
      <w:r w:rsidRPr="00EF190F">
        <w:rPr>
          <w:rStyle w:val="Strong"/>
          <w:b w:val="0"/>
          <w:i/>
          <w:sz w:val="16"/>
          <w:szCs w:val="16"/>
          <w:shd w:val="clear" w:color="auto" w:fill="FFFFFF"/>
        </w:rPr>
        <w:t>Caso Comunidad Campesina de Santa Bárbara Vs. Perú</w:t>
      </w:r>
      <w:r w:rsidRPr="00EF190F">
        <w:rPr>
          <w:rStyle w:val="Strong"/>
          <w:b w:val="0"/>
          <w:sz w:val="16"/>
          <w:szCs w:val="16"/>
          <w:shd w:val="clear" w:color="auto" w:fill="FFFFFF"/>
        </w:rPr>
        <w:t>, párr. 164</w:t>
      </w:r>
      <w:r w:rsidRPr="00EF190F">
        <w:rPr>
          <w:sz w:val="16"/>
          <w:szCs w:val="16"/>
          <w:lang w:val="es-PR"/>
        </w:rPr>
        <w:t>. Al respecto, el Grupo de Trabajo sobre las Desapariciones Forzadas e Involuntarias de Personas de Naciones Unidas ha señalado que “</w:t>
      </w:r>
      <w:r w:rsidRPr="00EF190F">
        <w:rPr>
          <w:rFonts w:cs="TimesNewRoman"/>
          <w:sz w:val="16"/>
          <w:szCs w:val="16"/>
          <w:lang w:val="es-PR"/>
        </w:rPr>
        <w:t>una detención seguida de una ejecución extrajudicial</w:t>
      </w:r>
      <w:r w:rsidRPr="00EF190F">
        <w:rPr>
          <w:sz w:val="16"/>
          <w:szCs w:val="16"/>
          <w:lang w:val="es-PR"/>
        </w:rPr>
        <w:t xml:space="preserve"> </w:t>
      </w:r>
      <w:r w:rsidRPr="00EF190F">
        <w:rPr>
          <w:rFonts w:cs="TimesNewRoman"/>
          <w:sz w:val="16"/>
          <w:szCs w:val="16"/>
          <w:lang w:val="es-PR"/>
        </w:rPr>
        <w:t>constituye una desaparición forzada en sentido propio, siempre que esa</w:t>
      </w:r>
      <w:r w:rsidRPr="00EF190F">
        <w:rPr>
          <w:sz w:val="16"/>
          <w:szCs w:val="16"/>
          <w:lang w:val="es-PR"/>
        </w:rPr>
        <w:t xml:space="preserve"> </w:t>
      </w:r>
      <w:r w:rsidRPr="00EF190F">
        <w:rPr>
          <w:rFonts w:cs="TimesNewRoman"/>
          <w:sz w:val="16"/>
          <w:szCs w:val="16"/>
          <w:lang w:val="es-PR"/>
        </w:rPr>
        <w:t>detención o privación de libertad la hayan realizado agentes</w:t>
      </w:r>
      <w:r w:rsidRPr="00EF190F">
        <w:rPr>
          <w:sz w:val="16"/>
          <w:szCs w:val="16"/>
          <w:lang w:val="es-PR"/>
        </w:rPr>
        <w:t xml:space="preserve"> </w:t>
      </w:r>
      <w:r w:rsidRPr="00EF190F">
        <w:rPr>
          <w:rFonts w:cs="TimesNewRoman"/>
          <w:sz w:val="16"/>
          <w:szCs w:val="16"/>
          <w:lang w:val="es-PR"/>
        </w:rPr>
        <w:t>gubernamentales, de cualquier sector o nivel, o grupos organizados o</w:t>
      </w:r>
      <w:r w:rsidRPr="00EF190F">
        <w:rPr>
          <w:sz w:val="16"/>
          <w:szCs w:val="16"/>
          <w:lang w:val="es-PR"/>
        </w:rPr>
        <w:t xml:space="preserve"> </w:t>
      </w:r>
      <w:r w:rsidRPr="00EF190F">
        <w:rPr>
          <w:rFonts w:cs="TimesNewRoman"/>
          <w:sz w:val="16"/>
          <w:szCs w:val="16"/>
          <w:lang w:val="es-PR"/>
        </w:rPr>
        <w:t>particulares que actúen en nombre o con el apoyo directo o indirecto del</w:t>
      </w:r>
      <w:r w:rsidRPr="00EF190F">
        <w:rPr>
          <w:sz w:val="16"/>
          <w:szCs w:val="16"/>
          <w:lang w:val="es-PR"/>
        </w:rPr>
        <w:t xml:space="preserve"> </w:t>
      </w:r>
      <w:r w:rsidRPr="00EF190F">
        <w:rPr>
          <w:rFonts w:cs="TimesNewRoman"/>
          <w:sz w:val="16"/>
          <w:szCs w:val="16"/>
          <w:lang w:val="es-PR"/>
        </w:rPr>
        <w:t>Gobierno o con su consentimiento o aquiescencia y que, con posterioridad a</w:t>
      </w:r>
      <w:r w:rsidRPr="00EF190F">
        <w:rPr>
          <w:sz w:val="16"/>
          <w:szCs w:val="16"/>
          <w:lang w:val="es-PR"/>
        </w:rPr>
        <w:t xml:space="preserve"> </w:t>
      </w:r>
      <w:r w:rsidRPr="00EF190F">
        <w:rPr>
          <w:rFonts w:cs="TimesNewRoman"/>
          <w:sz w:val="16"/>
          <w:szCs w:val="16"/>
          <w:lang w:val="es-PR"/>
        </w:rPr>
        <w:t>la detención, o incluso después de haberse llevado a cabo la ejecución, se</w:t>
      </w:r>
      <w:r w:rsidRPr="00EF190F">
        <w:rPr>
          <w:sz w:val="16"/>
          <w:szCs w:val="16"/>
          <w:lang w:val="es-PR"/>
        </w:rPr>
        <w:t xml:space="preserve"> </w:t>
      </w:r>
      <w:r w:rsidRPr="00EF190F">
        <w:rPr>
          <w:rFonts w:cs="TimesNewRoman"/>
          <w:sz w:val="16"/>
          <w:szCs w:val="16"/>
          <w:lang w:val="es-PR"/>
        </w:rPr>
        <w:t>nieguen a revelar la suerte o el paradero de esas personas o a reconocer que el</w:t>
      </w:r>
      <w:r w:rsidRPr="00EF190F">
        <w:rPr>
          <w:sz w:val="16"/>
          <w:szCs w:val="16"/>
          <w:lang w:val="es-PR"/>
        </w:rPr>
        <w:t xml:space="preserve"> </w:t>
      </w:r>
      <w:r w:rsidRPr="00EF190F">
        <w:rPr>
          <w:rFonts w:cs="TimesNewRoman"/>
          <w:sz w:val="16"/>
          <w:szCs w:val="16"/>
          <w:lang w:val="es-PR"/>
        </w:rPr>
        <w:t>acto se haya cometido en absoluto”.</w:t>
      </w:r>
      <w:r w:rsidRPr="00EF190F">
        <w:rPr>
          <w:sz w:val="16"/>
          <w:szCs w:val="16"/>
          <w:lang w:val="es-PR"/>
        </w:rPr>
        <w:t xml:space="preserve"> Desapariciones forzadas o involuntarias, Folleto Informativo No. 6/REV.3, </w:t>
      </w:r>
      <w:r w:rsidRPr="00EF190F">
        <w:rPr>
          <w:rFonts w:cs="TimesNewRoman,Bold"/>
          <w:bCs/>
          <w:sz w:val="16"/>
          <w:szCs w:val="16"/>
          <w:lang w:val="es-PR"/>
        </w:rPr>
        <w:t xml:space="preserve">Oficina del Alto Comisionado de las Naciones Unidas para los Derechos Humanos, 2009, pág. 14, y </w:t>
      </w:r>
      <w:r w:rsidRPr="00EF190F">
        <w:rPr>
          <w:sz w:val="16"/>
          <w:szCs w:val="16"/>
          <w:lang w:val="es-PR"/>
        </w:rPr>
        <w:t xml:space="preserve">Grupo de Trabajo sobre las Desapariciones Forzadas o Involuntarias, </w:t>
      </w:r>
      <w:r w:rsidRPr="00EF190F">
        <w:rPr>
          <w:rFonts w:cs="Arial"/>
          <w:sz w:val="16"/>
          <w:szCs w:val="16"/>
          <w:lang w:val="es-PR"/>
        </w:rPr>
        <w:t xml:space="preserve">Informe del </w:t>
      </w:r>
      <w:r w:rsidRPr="00EF190F">
        <w:rPr>
          <w:sz w:val="16"/>
          <w:szCs w:val="16"/>
          <w:lang w:val="es-PR"/>
        </w:rPr>
        <w:t>Grupo de Trabajo sobre las Desapariciones Forzadas o Involuntarias</w:t>
      </w:r>
      <w:r w:rsidRPr="00EF190F">
        <w:rPr>
          <w:rFonts w:cs="Arial"/>
          <w:sz w:val="16"/>
          <w:szCs w:val="16"/>
          <w:lang w:val="es-PR"/>
        </w:rPr>
        <w:t>,</w:t>
      </w:r>
      <w:r w:rsidRPr="00EF190F">
        <w:rPr>
          <w:rFonts w:cs="Arial"/>
          <w:i/>
          <w:sz w:val="16"/>
          <w:szCs w:val="16"/>
          <w:lang w:val="es-PR"/>
        </w:rPr>
        <w:t xml:space="preserve"> Comentario general sobre la definición de desapariciones forzadas, </w:t>
      </w:r>
      <w:r w:rsidRPr="00EF190F">
        <w:rPr>
          <w:rFonts w:cs="Arial"/>
          <w:sz w:val="16"/>
          <w:szCs w:val="16"/>
          <w:lang w:val="es-PR"/>
        </w:rPr>
        <w:t xml:space="preserve">A/HRC/7/2, 10 de enero de 2008, pág. 14, párr. 10. Lo anterior, </w:t>
      </w:r>
      <w:r w:rsidRPr="00EF190F">
        <w:rPr>
          <w:snapToGrid w:val="0"/>
          <w:sz w:val="16"/>
          <w:szCs w:val="16"/>
          <w:lang w:val="es-PR"/>
        </w:rPr>
        <w:t>“aunque sea de corta duración” la detención.</w:t>
      </w:r>
      <w:r w:rsidRPr="00EF190F">
        <w:rPr>
          <w:rFonts w:cs="Arial"/>
          <w:sz w:val="16"/>
          <w:szCs w:val="16"/>
          <w:lang w:val="es-PR"/>
        </w:rPr>
        <w:t xml:space="preserve"> </w:t>
      </w:r>
      <w:r w:rsidRPr="00EF190F">
        <w:rPr>
          <w:sz w:val="16"/>
          <w:szCs w:val="16"/>
          <w:lang w:val="es-PR"/>
        </w:rPr>
        <w:t xml:space="preserve">Grupo de Trabajo sobre las Desapariciones Forzadas o Involuntarias, </w:t>
      </w:r>
      <w:r w:rsidRPr="00EF190F">
        <w:rPr>
          <w:rFonts w:cs="Arial"/>
          <w:sz w:val="16"/>
          <w:szCs w:val="16"/>
          <w:lang w:val="es-PR"/>
        </w:rPr>
        <w:t xml:space="preserve">Informe del </w:t>
      </w:r>
      <w:r w:rsidRPr="00EF190F">
        <w:rPr>
          <w:sz w:val="16"/>
          <w:szCs w:val="16"/>
          <w:lang w:val="es-PR"/>
        </w:rPr>
        <w:t>Grupo de Trabajo sobre las Desapariciones Forzadas o Involuntarias</w:t>
      </w:r>
      <w:r w:rsidRPr="00EF190F">
        <w:rPr>
          <w:rFonts w:cs="Arial"/>
          <w:sz w:val="16"/>
          <w:szCs w:val="16"/>
          <w:lang w:val="es-PR"/>
        </w:rPr>
        <w:t>,</w:t>
      </w:r>
      <w:r w:rsidRPr="00EF190F">
        <w:rPr>
          <w:rFonts w:cs="Arial"/>
          <w:i/>
          <w:sz w:val="16"/>
          <w:szCs w:val="16"/>
          <w:lang w:val="es-PR"/>
        </w:rPr>
        <w:t xml:space="preserve"> </w:t>
      </w:r>
      <w:r w:rsidRPr="00EF190F">
        <w:rPr>
          <w:rFonts w:cs="Arial"/>
          <w:sz w:val="16"/>
          <w:szCs w:val="16"/>
          <w:lang w:val="es-PR"/>
        </w:rPr>
        <w:t>A/HRC/7/2, 10 de enero de 2008, pág. 95, párr. 427.</w:t>
      </w:r>
    </w:p>
  </w:footnote>
  <w:footnote w:id="160">
    <w:p w14:paraId="37EA2813" w14:textId="77777777" w:rsidR="006A0E1C" w:rsidRPr="00EF190F" w:rsidRDefault="006A0E1C" w:rsidP="006A0E1C">
      <w:pPr>
        <w:pStyle w:val="FootnoteText"/>
        <w:tabs>
          <w:tab w:val="left" w:pos="360"/>
          <w:tab w:val="left" w:pos="450"/>
        </w:tabs>
        <w:rPr>
          <w:b/>
          <w:bCs/>
          <w:sz w:val="16"/>
          <w:szCs w:val="16"/>
          <w:shd w:val="clear" w:color="auto" w:fill="FFFFFF"/>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rFonts w:eastAsia="Batang"/>
          <w:i/>
          <w:sz w:val="16"/>
          <w:szCs w:val="16"/>
          <w:lang w:val="es-PR"/>
        </w:rPr>
        <w:t>Cfr.</w:t>
      </w:r>
      <w:r w:rsidRPr="00EF190F">
        <w:rPr>
          <w:rFonts w:eastAsia="Batang"/>
          <w:sz w:val="16"/>
          <w:szCs w:val="16"/>
          <w:lang w:val="es-PR"/>
        </w:rPr>
        <w:t xml:space="preserve"> </w:t>
      </w:r>
      <w:r w:rsidRPr="00EF190F">
        <w:rPr>
          <w:rStyle w:val="Strong"/>
          <w:b w:val="0"/>
          <w:i/>
          <w:sz w:val="16"/>
          <w:szCs w:val="16"/>
          <w:shd w:val="clear" w:color="auto" w:fill="FFFFFF"/>
          <w:lang w:val="es-PR"/>
        </w:rPr>
        <w:t xml:space="preserve">Caso Ibsen Cárdenas e Ibsen Peña Vs. Bolivia. Fondo, Reparaciones y Costas. </w:t>
      </w:r>
      <w:r w:rsidRPr="00EF190F">
        <w:rPr>
          <w:rStyle w:val="Strong"/>
          <w:b w:val="0"/>
          <w:sz w:val="16"/>
          <w:szCs w:val="16"/>
          <w:shd w:val="clear" w:color="auto" w:fill="FFFFFF"/>
          <w:lang w:val="es-PR"/>
        </w:rPr>
        <w:t>Sentencia de 1 de septiembre de 2010. Serie C No. 217,</w:t>
      </w:r>
      <w:r w:rsidRPr="00EF190F">
        <w:rPr>
          <w:rFonts w:eastAsia="Batang"/>
          <w:sz w:val="16"/>
          <w:szCs w:val="16"/>
          <w:lang w:val="es-PR"/>
        </w:rPr>
        <w:t xml:space="preserve"> párr. 82</w:t>
      </w:r>
      <w:r w:rsidRPr="00EF190F">
        <w:rPr>
          <w:rStyle w:val="Strong"/>
          <w:sz w:val="16"/>
          <w:szCs w:val="16"/>
          <w:shd w:val="clear" w:color="auto" w:fill="FFFFFF"/>
          <w:lang w:val="es-PR"/>
        </w:rPr>
        <w:t xml:space="preserve">, </w:t>
      </w:r>
      <w:r w:rsidRPr="00EF190F">
        <w:rPr>
          <w:rStyle w:val="Strong"/>
          <w:b w:val="0"/>
          <w:sz w:val="16"/>
          <w:szCs w:val="16"/>
          <w:shd w:val="clear" w:color="auto" w:fill="FFFFFF"/>
          <w:lang w:val="es-PR"/>
        </w:rPr>
        <w:t xml:space="preserve">y </w:t>
      </w:r>
      <w:r w:rsidRPr="00EF190F">
        <w:rPr>
          <w:rStyle w:val="Strong"/>
          <w:b w:val="0"/>
          <w:i/>
          <w:sz w:val="16"/>
          <w:szCs w:val="16"/>
          <w:shd w:val="clear" w:color="auto" w:fill="FFFFFF"/>
          <w:lang w:val="es-PR"/>
        </w:rPr>
        <w:t xml:space="preserve">Caso </w:t>
      </w:r>
      <w:r w:rsidRPr="00EF190F">
        <w:rPr>
          <w:i/>
          <w:spacing w:val="-4"/>
          <w:sz w:val="16"/>
          <w:szCs w:val="16"/>
          <w:lang w:val="es-PR"/>
        </w:rPr>
        <w:t>Comunidad Campesina de Santa Bárbara Vs. Perú</w:t>
      </w:r>
      <w:r w:rsidRPr="00EF190F">
        <w:rPr>
          <w:rStyle w:val="Strong"/>
          <w:b w:val="0"/>
          <w:i/>
          <w:sz w:val="16"/>
          <w:szCs w:val="16"/>
          <w:shd w:val="clear" w:color="auto" w:fill="FFFFFF"/>
          <w:lang w:val="es-PR"/>
        </w:rPr>
        <w:t xml:space="preserve">, </w:t>
      </w:r>
      <w:r w:rsidRPr="00EF190F">
        <w:rPr>
          <w:rStyle w:val="Strong"/>
          <w:b w:val="0"/>
          <w:sz w:val="16"/>
          <w:szCs w:val="16"/>
          <w:shd w:val="clear" w:color="auto" w:fill="FFFFFF"/>
          <w:lang w:val="es-PR"/>
        </w:rPr>
        <w:t xml:space="preserve">párr. 165. </w:t>
      </w:r>
    </w:p>
  </w:footnote>
  <w:footnote w:id="161">
    <w:p w14:paraId="2D1033D9" w14:textId="77777777" w:rsidR="006A0E1C" w:rsidRPr="00EF190F" w:rsidRDefault="006A0E1C" w:rsidP="006A0E1C">
      <w:pPr>
        <w:pStyle w:val="FootnoteText"/>
        <w:tabs>
          <w:tab w:val="left" w:pos="360"/>
          <w:tab w:val="left" w:pos="450"/>
        </w:tabs>
        <w:rPr>
          <w:b/>
          <w:sz w:val="16"/>
          <w:szCs w:val="16"/>
          <w:shd w:val="clear" w:color="auto" w:fill="FFFFFF"/>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rFonts w:eastAsia="Batang"/>
          <w:i/>
          <w:sz w:val="16"/>
          <w:szCs w:val="16"/>
          <w:lang w:val="es-PR"/>
        </w:rPr>
        <w:t>Cfr.</w:t>
      </w:r>
      <w:r w:rsidRPr="00EF190F">
        <w:rPr>
          <w:rFonts w:eastAsia="Batang"/>
          <w:sz w:val="16"/>
          <w:szCs w:val="16"/>
          <w:lang w:val="es-PR"/>
        </w:rPr>
        <w:t xml:space="preserve"> </w:t>
      </w:r>
      <w:r w:rsidRPr="00EF190F">
        <w:rPr>
          <w:rStyle w:val="Strong"/>
          <w:b w:val="0"/>
          <w:i/>
          <w:sz w:val="16"/>
          <w:szCs w:val="16"/>
          <w:shd w:val="clear" w:color="auto" w:fill="FFFFFF"/>
          <w:lang w:val="es-PR"/>
        </w:rPr>
        <w:t>Caso La Cantuta Vs. Perú. Fondo, Reparaciones y Costas.</w:t>
      </w:r>
      <w:r w:rsidRPr="00EF190F">
        <w:rPr>
          <w:rStyle w:val="Strong"/>
          <w:b w:val="0"/>
          <w:sz w:val="16"/>
          <w:szCs w:val="16"/>
          <w:shd w:val="clear" w:color="auto" w:fill="FFFFFF"/>
          <w:lang w:val="es-PR"/>
        </w:rPr>
        <w:t xml:space="preserve"> Sentencia de 29 de noviembre de 20056. Serie C No. 162,</w:t>
      </w:r>
      <w:r w:rsidRPr="00EF190F">
        <w:rPr>
          <w:rStyle w:val="Strong"/>
          <w:b w:val="0"/>
          <w:i/>
          <w:sz w:val="16"/>
          <w:szCs w:val="16"/>
          <w:shd w:val="clear" w:color="auto" w:fill="FFFFFF"/>
          <w:lang w:val="es-PR"/>
        </w:rPr>
        <w:t xml:space="preserve"> </w:t>
      </w:r>
      <w:r w:rsidRPr="00EF190F">
        <w:rPr>
          <w:rStyle w:val="Strong"/>
          <w:b w:val="0"/>
          <w:sz w:val="16"/>
          <w:szCs w:val="16"/>
          <w:shd w:val="clear" w:color="auto" w:fill="FFFFFF"/>
          <w:lang w:val="es-PR"/>
        </w:rPr>
        <w:t xml:space="preserve">párr. 114, y </w:t>
      </w:r>
      <w:r w:rsidRPr="00EF190F">
        <w:rPr>
          <w:rStyle w:val="Strong"/>
          <w:b w:val="0"/>
          <w:i/>
          <w:sz w:val="16"/>
          <w:szCs w:val="16"/>
          <w:shd w:val="clear" w:color="auto" w:fill="FFFFFF"/>
          <w:lang w:val="es-PR"/>
        </w:rPr>
        <w:t xml:space="preserve">Caso </w:t>
      </w:r>
      <w:r w:rsidRPr="00EF190F">
        <w:rPr>
          <w:i/>
          <w:spacing w:val="-4"/>
          <w:sz w:val="16"/>
          <w:szCs w:val="16"/>
          <w:lang w:val="es-PR"/>
        </w:rPr>
        <w:t>Comunidad Campesina de Santa Bárbara Vs. Perú</w:t>
      </w:r>
      <w:r w:rsidRPr="00EF190F">
        <w:rPr>
          <w:rStyle w:val="Strong"/>
          <w:b w:val="0"/>
          <w:i/>
          <w:sz w:val="16"/>
          <w:szCs w:val="16"/>
          <w:shd w:val="clear" w:color="auto" w:fill="FFFFFF"/>
          <w:lang w:val="es-PR"/>
        </w:rPr>
        <w:t xml:space="preserve">, </w:t>
      </w:r>
      <w:r w:rsidRPr="00EF190F">
        <w:rPr>
          <w:rStyle w:val="Strong"/>
          <w:b w:val="0"/>
          <w:sz w:val="16"/>
          <w:szCs w:val="16"/>
          <w:shd w:val="clear" w:color="auto" w:fill="FFFFFF"/>
          <w:lang w:val="es-PR"/>
        </w:rPr>
        <w:t>párr. 165.</w:t>
      </w:r>
    </w:p>
  </w:footnote>
  <w:footnote w:id="162">
    <w:p w14:paraId="61A1E897" w14:textId="77777777" w:rsidR="006A0E1C" w:rsidRPr="00EF190F" w:rsidRDefault="006A0E1C" w:rsidP="006A0E1C">
      <w:pPr>
        <w:pStyle w:val="FootnoteText"/>
        <w:tabs>
          <w:tab w:val="left" w:pos="360"/>
          <w:tab w:val="left" w:pos="720"/>
        </w:tabs>
        <w:rPr>
          <w:i/>
          <w:sz w:val="16"/>
          <w:szCs w:val="16"/>
          <w:lang w:val="es-PR"/>
        </w:rPr>
      </w:pPr>
      <w:r w:rsidRPr="00EF190F">
        <w:rPr>
          <w:rStyle w:val="FootnoteReference"/>
          <w:sz w:val="16"/>
          <w:szCs w:val="16"/>
          <w:lang w:val="es-PR"/>
        </w:rPr>
        <w:footnoteRef/>
      </w:r>
      <w:r w:rsidRPr="00EF190F">
        <w:rPr>
          <w:sz w:val="16"/>
          <w:szCs w:val="16"/>
          <w:lang w:val="es-PR"/>
        </w:rPr>
        <w:t xml:space="preserve">   Al respecto, ver </w:t>
      </w:r>
      <w:r w:rsidRPr="00EF190F">
        <w:rPr>
          <w:i/>
          <w:sz w:val="16"/>
          <w:szCs w:val="16"/>
          <w:lang w:val="es-PR"/>
        </w:rPr>
        <w:t xml:space="preserve">Caso Gómez Palomino Vs. Perú. </w:t>
      </w:r>
      <w:r w:rsidRPr="00EF190F">
        <w:rPr>
          <w:sz w:val="16"/>
          <w:szCs w:val="16"/>
          <w:lang w:val="es-PR"/>
        </w:rPr>
        <w:t>Supervisión de Cumplimiento de Sentencia.</w:t>
      </w:r>
      <w:r w:rsidRPr="00EF190F">
        <w:rPr>
          <w:i/>
          <w:sz w:val="16"/>
          <w:szCs w:val="16"/>
          <w:lang w:val="es-PR"/>
        </w:rPr>
        <w:t xml:space="preserve"> </w:t>
      </w:r>
      <w:r w:rsidRPr="00EF190F">
        <w:rPr>
          <w:sz w:val="16"/>
          <w:szCs w:val="16"/>
          <w:lang w:val="es-PR"/>
        </w:rPr>
        <w:t>Resolución de la Corte Interamericana de Derechos Humanos de 5 de julio de 2011, Considerando 15</w:t>
      </w:r>
      <w:r w:rsidRPr="00EF190F">
        <w:rPr>
          <w:sz w:val="16"/>
          <w:szCs w:val="16"/>
          <w:lang w:val="es-PR" w:bidi="en-US"/>
        </w:rPr>
        <w:t xml:space="preserve">. </w:t>
      </w:r>
    </w:p>
  </w:footnote>
  <w:footnote w:id="163">
    <w:p w14:paraId="1B64E41D"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 xml:space="preserve">  </w:t>
      </w:r>
      <w:r w:rsidRPr="00EF190F">
        <w:rPr>
          <w:rStyle w:val="Strong"/>
          <w:b w:val="0"/>
          <w:i/>
          <w:sz w:val="16"/>
          <w:szCs w:val="16"/>
          <w:shd w:val="clear" w:color="auto" w:fill="FFFFFF"/>
        </w:rPr>
        <w:t>Cfr. Caso Comunidad Campesina de Santa Bárbara Vs. Perú</w:t>
      </w:r>
      <w:r w:rsidRPr="00EF190F">
        <w:rPr>
          <w:rStyle w:val="Strong"/>
          <w:b w:val="0"/>
          <w:sz w:val="16"/>
          <w:szCs w:val="16"/>
          <w:shd w:val="clear" w:color="auto" w:fill="FFFFFF"/>
        </w:rPr>
        <w:t>, párrs. 186 y 289.</w:t>
      </w:r>
    </w:p>
  </w:footnote>
  <w:footnote w:id="164">
    <w:p w14:paraId="088FFEA9" w14:textId="77777777" w:rsidR="006A0E1C" w:rsidRPr="00EF190F" w:rsidRDefault="006A0E1C" w:rsidP="006A0E1C">
      <w:pPr>
        <w:pStyle w:val="FootnoteText"/>
        <w:tabs>
          <w:tab w:val="left" w:pos="360"/>
        </w:tabs>
        <w:rPr>
          <w:spacing w:val="-4"/>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rPr>
        <w:tab/>
        <w:t>Las personas mencionadas son: 1.</w:t>
      </w:r>
      <w:r w:rsidRPr="00EF190F">
        <w:rPr>
          <w:sz w:val="16"/>
          <w:szCs w:val="16"/>
          <w:lang w:val="es-PR"/>
        </w:rPr>
        <w:t xml:space="preserve"> </w:t>
      </w:r>
      <w:r w:rsidRPr="00E73A70">
        <w:rPr>
          <w:sz w:val="16"/>
          <w:szCs w:val="16"/>
          <w:lang w:val="pt-BR"/>
        </w:rPr>
        <w:t xml:space="preserve">Víctor Alvarado Valey; 2. </w:t>
      </w:r>
      <w:r w:rsidRPr="00EF190F">
        <w:rPr>
          <w:sz w:val="16"/>
          <w:szCs w:val="16"/>
          <w:lang w:val="pt-BR"/>
        </w:rPr>
        <w:t xml:space="preserve">Ceferino Alvarado Sucup; 3. </w:t>
      </w:r>
      <w:r w:rsidRPr="00E73A70">
        <w:rPr>
          <w:sz w:val="16"/>
          <w:szCs w:val="16"/>
          <w:lang w:val="es-PR"/>
        </w:rPr>
        <w:t xml:space="preserve">Fidel Alvarado Sucup; 4. </w:t>
      </w:r>
      <w:r w:rsidRPr="00EF190F">
        <w:rPr>
          <w:sz w:val="16"/>
          <w:szCs w:val="16"/>
          <w:lang w:val="es-PR"/>
        </w:rPr>
        <w:t xml:space="preserve">Santiago Reyes </w:t>
      </w:r>
      <w:r w:rsidRPr="00EF190F">
        <w:rPr>
          <w:sz w:val="16"/>
          <w:szCs w:val="16"/>
          <w:lang w:val="es-CR"/>
        </w:rPr>
        <w:t>Román</w:t>
      </w:r>
      <w:r w:rsidRPr="00EF190F">
        <w:rPr>
          <w:sz w:val="16"/>
          <w:szCs w:val="16"/>
          <w:lang w:val="es-PR"/>
        </w:rPr>
        <w:t xml:space="preserve">; 5. Andrés Reyes </w:t>
      </w:r>
      <w:r w:rsidRPr="00EF190F">
        <w:rPr>
          <w:sz w:val="16"/>
          <w:szCs w:val="16"/>
          <w:lang w:val="es-CR"/>
        </w:rPr>
        <w:t>Román</w:t>
      </w:r>
      <w:r w:rsidRPr="00EF190F">
        <w:rPr>
          <w:sz w:val="16"/>
          <w:szCs w:val="16"/>
          <w:lang w:val="es-PR"/>
        </w:rPr>
        <w:t xml:space="preserve">; 6. Domingo Reyes Juárez; 7. Andrea Osorio Galeano; 8. Eusebia Grave Garcia; 9. José León Grave García; 10. Medardo Juárez Garcia; 11. Silvestre Sic Xutumul; 12. </w:t>
      </w:r>
      <w:r w:rsidRPr="00EF190F">
        <w:rPr>
          <w:sz w:val="16"/>
          <w:szCs w:val="16"/>
          <w:lang w:val="es-CR"/>
        </w:rPr>
        <w:t>Raymunda Corazón o Raymunda Sical Corazón</w:t>
      </w:r>
      <w:r w:rsidRPr="00EF190F">
        <w:rPr>
          <w:sz w:val="16"/>
          <w:szCs w:val="16"/>
          <w:lang w:val="es-PR"/>
        </w:rPr>
        <w:t>; 13. Rosa González Tecu; 14. María Concepción Xitumul; 15. Héctor Rolando Alvarado García; 16. Adela Florentina Alvarado Garcia; 17. Enriqueta Tecu; 18. Luciana o Lucía Xitumul Ixpancoc; 19. Luciano Alvarado Xitumul; 20. Niña de Nombre desconocido 0-3 meses, y 21. Efraín García de Paz.</w:t>
      </w:r>
    </w:p>
  </w:footnote>
  <w:footnote w:id="165">
    <w:p w14:paraId="17294FDF" w14:textId="77777777" w:rsidR="006A0E1C" w:rsidRPr="00E73A70" w:rsidRDefault="006A0E1C" w:rsidP="006A0E1C">
      <w:pPr>
        <w:pStyle w:val="Prrafodelista2"/>
        <w:tabs>
          <w:tab w:val="left" w:pos="360"/>
          <w:tab w:val="left" w:pos="720"/>
        </w:tabs>
        <w:ind w:left="0" w:right="-90"/>
        <w:jc w:val="both"/>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rPr>
        <w:tab/>
        <w:t xml:space="preserve">Las personas mencionadas son: 1. Elías Milián González; 2. Amelia Milián Morales; 3. Domingo Cahuec Sic; 4. Víctor Juárez Pangan; 5. Cruz Sic Cuxum; 6. Patrocinio Chen Galiego; 7. Agustín Juarez Ixpancoc; 8. Pedro Galiego López; 9. </w:t>
      </w:r>
      <w:r w:rsidRPr="00EF190F">
        <w:rPr>
          <w:sz w:val="16"/>
          <w:szCs w:val="16"/>
          <w:lang w:val="pt-BR"/>
        </w:rPr>
        <w:t xml:space="preserve">Clemente Juárez Ixpancoc; 10. Pedro Sic Jerónimo; 11. Gregorio Valey; 12. Timoteo Sic Cujá; 13. </w:t>
      </w:r>
      <w:r w:rsidRPr="00E73A70">
        <w:rPr>
          <w:sz w:val="16"/>
          <w:szCs w:val="16"/>
          <w:lang w:val="pt-BR"/>
        </w:rPr>
        <w:t xml:space="preserve">Roberto Galiego Chén; 14. </w:t>
      </w:r>
      <w:r w:rsidRPr="00EF190F">
        <w:rPr>
          <w:sz w:val="16"/>
          <w:szCs w:val="16"/>
        </w:rPr>
        <w:t xml:space="preserve">Antonio Alvarado González; 15. Alfonso Cruz Juárez; 16. Santiago Alvarado Xitumul; 17. Teodoro González; 18. Eulogio Morales Alvarado; 19. Luciano González; 20. </w:t>
      </w:r>
      <w:r w:rsidRPr="00E73A70">
        <w:rPr>
          <w:sz w:val="16"/>
          <w:szCs w:val="16"/>
          <w:lang w:val="es-PR"/>
        </w:rPr>
        <w:t xml:space="preserve">Apolinario Juárez Pérez; 21. Alberto Juárez Pérez; 22. </w:t>
      </w:r>
      <w:r w:rsidRPr="00EF190F">
        <w:rPr>
          <w:sz w:val="16"/>
          <w:szCs w:val="16"/>
          <w:lang w:val="pt-BR"/>
        </w:rPr>
        <w:t xml:space="preserve">Evaristo Siana; 23. Pedro Tum; 24. Egmidio Siana; 25. Demetrio Chen Alvarado; 26. Pedro Galiego Mendoza; 27. Camilo Juárez Valey; 28. Julián Garniga; 29. Benito Juárez Ixpancoc; 30. Francisco Depaz; 31. Maximiliano Sis Valey; 32. Vicente Sic Osorio; 33. Félix Alvarado Xitumul, y 34. </w:t>
      </w:r>
      <w:r w:rsidRPr="00E73A70">
        <w:rPr>
          <w:sz w:val="16"/>
          <w:szCs w:val="16"/>
          <w:lang w:val="es-PR"/>
        </w:rPr>
        <w:t>José Demetrio Cahuéc Jerónimo.</w:t>
      </w:r>
    </w:p>
  </w:footnote>
  <w:footnote w:id="166">
    <w:p w14:paraId="26E9D383" w14:textId="77777777" w:rsidR="006A0E1C" w:rsidRPr="00EF190F" w:rsidRDefault="006A0E1C" w:rsidP="006A0E1C">
      <w:pPr>
        <w:pStyle w:val="FootnoteText"/>
        <w:tabs>
          <w:tab w:val="left" w:pos="360"/>
        </w:tabs>
        <w:rPr>
          <w:spacing w:val="-4"/>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pacing w:val="-4"/>
          <w:sz w:val="16"/>
          <w:szCs w:val="16"/>
          <w:lang w:val="es-PR"/>
        </w:rPr>
        <w:t xml:space="preserve">No se han identificado los cuerpos de: 1. Héctor Rolando Alvarado García; 2. María Concepción Xitumul; 3. Raymunda Sical Corazón, y 4. </w:t>
      </w:r>
      <w:r w:rsidRPr="00EF190F">
        <w:rPr>
          <w:sz w:val="16"/>
          <w:szCs w:val="16"/>
        </w:rPr>
        <w:t>Amelia Milián Morales</w:t>
      </w:r>
      <w:r w:rsidRPr="00EF190F">
        <w:rPr>
          <w:spacing w:val="-4"/>
          <w:sz w:val="16"/>
          <w:szCs w:val="16"/>
          <w:lang w:val="es-PR"/>
        </w:rPr>
        <w:t xml:space="preserve">. Tampoco los cuerpos de: 5. Clemente Juárez Ixpancoc; 6. </w:t>
      </w:r>
      <w:r w:rsidRPr="00EF190F">
        <w:rPr>
          <w:spacing w:val="-4"/>
          <w:sz w:val="16"/>
          <w:szCs w:val="16"/>
          <w:lang w:val="pt-BR"/>
        </w:rPr>
        <w:t xml:space="preserve">Pedro Sic Jerónimo; 7. Gregorio Valey; 8. Timoteo Sic Cujá; 9. Roberto Galiego Chén; 10. </w:t>
      </w:r>
      <w:r w:rsidRPr="00EF190F">
        <w:rPr>
          <w:spacing w:val="-4"/>
          <w:sz w:val="16"/>
          <w:szCs w:val="16"/>
          <w:lang w:val="es-PR"/>
        </w:rPr>
        <w:t xml:space="preserve">Antonio Alvarado González; 11. Alfonso Cruz Juárez; 12. Santiago Alvarado Xitumul; 13. Teodoro González; 14. Eulogio Morales Alvarado; 15. Luciano González; 16. Apolinario Juárez Pérez; 17. Alberto Juárez Pérez; 18. </w:t>
      </w:r>
      <w:r w:rsidRPr="00EF190F">
        <w:rPr>
          <w:spacing w:val="-4"/>
          <w:sz w:val="16"/>
          <w:szCs w:val="16"/>
          <w:lang w:val="pt-BR"/>
        </w:rPr>
        <w:t xml:space="preserve">Evaristo Siana; 19. Pedro Tum; 20. Egmidio Siana; 21. Demetrio Chen Alvarado; 22. Pedro Galiego Mendoza; 23. Camilo Juárez Valey; 24. Julián Garniga; 25. Benito Juárez Ixpancoc; 26. Francisco Depaz; 27. Maximiliano Sis Valey; 28. Vicente Sic Osorio; 29. Félix Alvarado Xitumul; 30. José Demetrio Cahuec Jerónimo, y 31. </w:t>
      </w:r>
      <w:r w:rsidRPr="00EF190F">
        <w:rPr>
          <w:sz w:val="16"/>
          <w:szCs w:val="16"/>
        </w:rPr>
        <w:t>Antonio Chen Mendoza.</w:t>
      </w:r>
    </w:p>
  </w:footnote>
  <w:footnote w:id="167">
    <w:p w14:paraId="73641696" w14:textId="77777777" w:rsidR="006A0E1C" w:rsidRPr="00EF190F" w:rsidRDefault="006A0E1C" w:rsidP="006A0E1C">
      <w:pPr>
        <w:pStyle w:val="Prrafodelista2"/>
        <w:tabs>
          <w:tab w:val="left" w:pos="360"/>
        </w:tabs>
        <w:ind w:left="0" w:right="-90"/>
        <w:jc w:val="both"/>
        <w:rPr>
          <w:rFonts w:cs="Calibri"/>
          <w:sz w:val="16"/>
          <w:szCs w:val="16"/>
        </w:rPr>
      </w:pPr>
      <w:r w:rsidRPr="00EF190F">
        <w:rPr>
          <w:rStyle w:val="FootnoteReference"/>
          <w:sz w:val="16"/>
          <w:szCs w:val="16"/>
        </w:rPr>
        <w:footnoteRef/>
      </w:r>
      <w:r w:rsidRPr="00EF190F">
        <w:rPr>
          <w:sz w:val="16"/>
          <w:szCs w:val="16"/>
        </w:rPr>
        <w:t xml:space="preserve"> </w:t>
      </w:r>
      <w:r w:rsidRPr="00EF190F">
        <w:rPr>
          <w:sz w:val="16"/>
          <w:szCs w:val="16"/>
        </w:rPr>
        <w:tab/>
        <w:t>Como se ha señalado, dichas personas fueron detenidas de las siguientes maneras: a) en sus viviendas o en las inmediaciones de éstas y permanecieron bajo custodia estatal mientras fueron trasladados a un lugar desconocido</w:t>
      </w:r>
      <w:r w:rsidRPr="00EF190F">
        <w:rPr>
          <w:rFonts w:cs="Calibri"/>
          <w:sz w:val="16"/>
          <w:szCs w:val="16"/>
        </w:rPr>
        <w:t xml:space="preserve">; b) </w:t>
      </w:r>
      <w:r w:rsidRPr="00EF190F">
        <w:rPr>
          <w:rFonts w:eastAsia="Calibri"/>
          <w:sz w:val="16"/>
          <w:szCs w:val="16"/>
        </w:rPr>
        <w:t xml:space="preserve">en el camino de </w:t>
      </w:r>
      <w:r w:rsidRPr="00EF190F">
        <w:rPr>
          <w:sz w:val="16"/>
          <w:szCs w:val="16"/>
        </w:rPr>
        <w:t xml:space="preserve">Rabinal y se les trasladó a la cárcel </w:t>
      </w:r>
      <w:r w:rsidRPr="00EF190F">
        <w:rPr>
          <w:rFonts w:cs="Arial"/>
          <w:sz w:val="16"/>
          <w:szCs w:val="16"/>
        </w:rPr>
        <w:t>del municipio</w:t>
      </w:r>
      <w:r w:rsidRPr="00EF190F">
        <w:rPr>
          <w:sz w:val="16"/>
          <w:szCs w:val="16"/>
        </w:rPr>
        <w:t xml:space="preserve"> </w:t>
      </w:r>
      <w:r w:rsidRPr="00EF190F">
        <w:rPr>
          <w:rFonts w:cs="Arial"/>
          <w:sz w:val="16"/>
          <w:szCs w:val="16"/>
        </w:rPr>
        <w:t>de Rabinal,</w:t>
      </w:r>
      <w:r w:rsidRPr="00EF190F">
        <w:rPr>
          <w:sz w:val="16"/>
          <w:szCs w:val="16"/>
        </w:rPr>
        <w:t xml:space="preserve"> en donde permanecieron bajo custodia estatal y en ese lugar fueron vistos por última vez con vida por sus familiares; c)</w:t>
      </w:r>
      <w:r w:rsidRPr="00EF190F">
        <w:rPr>
          <w:rFonts w:eastAsia="Calibri"/>
          <w:sz w:val="16"/>
          <w:szCs w:val="16"/>
        </w:rPr>
        <w:t xml:space="preserve"> en el camino de </w:t>
      </w:r>
      <w:r w:rsidRPr="00EF190F">
        <w:rPr>
          <w:sz w:val="16"/>
          <w:szCs w:val="16"/>
        </w:rPr>
        <w:t>Rabinal y se les trasladó a la escuela de la aldea Chirrum, en donde permanecieron bajo custodia estatal y en ese lugar fueron vistos por última vez con vida por sus familiares</w:t>
      </w:r>
      <w:r w:rsidRPr="00EF190F">
        <w:rPr>
          <w:rFonts w:cs="Calibri"/>
          <w:sz w:val="16"/>
          <w:szCs w:val="16"/>
        </w:rPr>
        <w:t>; d)</w:t>
      </w:r>
      <w:r w:rsidRPr="00EF190F">
        <w:rPr>
          <w:sz w:val="16"/>
          <w:szCs w:val="16"/>
        </w:rPr>
        <w:t xml:space="preserve"> en sus viviendas</w:t>
      </w:r>
      <w:r w:rsidRPr="00EF190F">
        <w:rPr>
          <w:sz w:val="16"/>
          <w:szCs w:val="16"/>
          <w:lang w:val="es-CR"/>
        </w:rPr>
        <w:t xml:space="preserve"> y permanecieron bajo custodia estatal mientras se les trasladó a un </w:t>
      </w:r>
      <w:r w:rsidRPr="00EF190F">
        <w:rPr>
          <w:sz w:val="16"/>
          <w:szCs w:val="16"/>
        </w:rPr>
        <w:t xml:space="preserve">cementerio, lugar en el que fueron vistas con vida </w:t>
      </w:r>
      <w:r w:rsidRPr="00EF190F">
        <w:rPr>
          <w:rFonts w:cs="Arial"/>
          <w:sz w:val="16"/>
          <w:szCs w:val="16"/>
        </w:rPr>
        <w:t>por última vez por una persona que logró escapar</w:t>
      </w:r>
      <w:r w:rsidRPr="00EF190F">
        <w:rPr>
          <w:rFonts w:eastAsia="Calibri"/>
          <w:iCs/>
          <w:sz w:val="16"/>
          <w:szCs w:val="16"/>
        </w:rPr>
        <w:t>; e)</w:t>
      </w:r>
      <w:r w:rsidRPr="00EF190F">
        <w:rPr>
          <w:rFonts w:cs="Arial"/>
          <w:sz w:val="16"/>
          <w:szCs w:val="16"/>
        </w:rPr>
        <w:t xml:space="preserve"> e</w:t>
      </w:r>
      <w:r w:rsidRPr="00EF190F">
        <w:rPr>
          <w:rFonts w:eastAsia="Calibri"/>
          <w:sz w:val="16"/>
          <w:szCs w:val="16"/>
        </w:rPr>
        <w:t xml:space="preserve">n el camino de </w:t>
      </w:r>
      <w:r w:rsidRPr="00EF190F">
        <w:rPr>
          <w:sz w:val="16"/>
          <w:szCs w:val="16"/>
        </w:rPr>
        <w:t>Rabinal, sin que se tenga conocimiento de sus paraderos, y f)</w:t>
      </w:r>
      <w:r w:rsidRPr="00EF190F">
        <w:rPr>
          <w:rFonts w:eastAsia="Calibri"/>
          <w:sz w:val="16"/>
          <w:szCs w:val="16"/>
        </w:rPr>
        <w:t xml:space="preserve"> en la </w:t>
      </w:r>
      <w:r w:rsidRPr="00EF190F">
        <w:rPr>
          <w:sz w:val="16"/>
          <w:szCs w:val="16"/>
        </w:rPr>
        <w:t xml:space="preserve">colonia Chichupac sin que se tenga noticia de su paradero. </w:t>
      </w:r>
    </w:p>
  </w:footnote>
  <w:footnote w:id="168">
    <w:p w14:paraId="61C37C11" w14:textId="77777777" w:rsidR="006A0E1C" w:rsidRPr="00EF190F" w:rsidRDefault="006A0E1C" w:rsidP="006A0E1C">
      <w:pPr>
        <w:autoSpaceDE w:val="0"/>
        <w:autoSpaceDN w:val="0"/>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PR"/>
        </w:rPr>
        <w:t xml:space="preserve">Cfr. </w:t>
      </w:r>
      <w:r w:rsidRPr="00EF190F">
        <w:rPr>
          <w:rFonts w:cs="Arial"/>
          <w:bCs/>
          <w:sz w:val="16"/>
          <w:szCs w:val="16"/>
        </w:rPr>
        <w:t>Oficio del Comandante de Reservas Militares Departamental de 9 de mayo de 1993</w:t>
      </w:r>
      <w:r w:rsidRPr="00EF190F">
        <w:rPr>
          <w:sz w:val="16"/>
          <w:szCs w:val="16"/>
        </w:rPr>
        <w:t xml:space="preserve"> (expediente de prueba, folio 711)</w:t>
      </w:r>
      <w:r w:rsidRPr="00EF190F">
        <w:rPr>
          <w:rFonts w:cs="Arial"/>
          <w:bCs/>
          <w:sz w:val="16"/>
          <w:szCs w:val="16"/>
        </w:rPr>
        <w:t>.</w:t>
      </w:r>
    </w:p>
  </w:footnote>
  <w:footnote w:id="169">
    <w:p w14:paraId="237B7085" w14:textId="77777777" w:rsidR="006A0E1C" w:rsidRPr="00EF190F" w:rsidRDefault="006A0E1C" w:rsidP="006A0E1C">
      <w:pPr>
        <w:tabs>
          <w:tab w:val="left" w:pos="360"/>
          <w:tab w:val="left" w:pos="567"/>
        </w:tabs>
        <w:spacing w:line="240" w:lineRule="auto"/>
        <w:ind w:right="4"/>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Denuncia de Máxima Emiliana García Valey y Francisco Sic Chen de 20 de junio de 1995, sobre la desaparición forzada de Marcelo Sic Chen y María Concepción Chen Sic (expediente de prueba, folios 1576 a 1577).  Asimismo, el 25 de octubre de 2000 Aurelio Juárez López denunció ante el Ministerio Público de Rabinal, Departamento de Baja Verapaz, la desaparición de Pedro Siana (expediente de prueba, folios 447 a 449). Además, m</w:t>
      </w:r>
      <w:r w:rsidRPr="00EF190F">
        <w:rPr>
          <w:rFonts w:cs="Arial"/>
          <w:sz w:val="16"/>
          <w:szCs w:val="16"/>
        </w:rPr>
        <w:t xml:space="preserve">ediante escrito de 12 de julio de 1995 el Auxiliar Departamental de la Procuraduría de Derechos Humanos de Guatemala en Salamá </w:t>
      </w:r>
      <w:r w:rsidRPr="00EF190F">
        <w:rPr>
          <w:sz w:val="16"/>
          <w:szCs w:val="16"/>
        </w:rPr>
        <w:t xml:space="preserve">puso en conocimiento de </w:t>
      </w:r>
      <w:r w:rsidRPr="00EF190F">
        <w:rPr>
          <w:rFonts w:cs="Calibri,Bold"/>
          <w:bCs/>
          <w:sz w:val="16"/>
          <w:szCs w:val="16"/>
        </w:rPr>
        <w:t>la Fiscalía Distrital del Ministerio Público de Salamá, las denuncias presentadas por la desaparición de</w:t>
      </w:r>
      <w:r w:rsidRPr="00EF190F">
        <w:rPr>
          <w:rFonts w:eastAsia="Calibri"/>
          <w:sz w:val="16"/>
          <w:szCs w:val="16"/>
        </w:rPr>
        <w:t xml:space="preserve"> </w:t>
      </w:r>
      <w:r w:rsidRPr="00EF190F">
        <w:rPr>
          <w:sz w:val="16"/>
          <w:szCs w:val="16"/>
        </w:rPr>
        <w:t>Juan Mendoza Alvarado, José Cruz Mendoza, Leonardo Cahuec Gonzales y Lorenzo Depaz Ciprián (expediente de prueba, folios 1351 a 1353). Mediante escrito de</w:t>
      </w:r>
      <w:r w:rsidRPr="00EF190F">
        <w:rPr>
          <w:rFonts w:cs="Arial"/>
          <w:sz w:val="16"/>
          <w:szCs w:val="16"/>
        </w:rPr>
        <w:t xml:space="preserve"> 6 de agosto de 1997 la Procuraduría de Derechos Humanos de Guatemala </w:t>
      </w:r>
      <w:r w:rsidRPr="00EF190F">
        <w:rPr>
          <w:sz w:val="16"/>
          <w:szCs w:val="16"/>
        </w:rPr>
        <w:t xml:space="preserve">puso en conocimiento de la </w:t>
      </w:r>
      <w:r w:rsidRPr="00EF190F">
        <w:rPr>
          <w:rFonts w:cs="Arial"/>
          <w:sz w:val="16"/>
          <w:szCs w:val="16"/>
        </w:rPr>
        <w:t>Fiscalía Distrital del Ministerio Público de Salamá, la</w:t>
      </w:r>
      <w:r w:rsidRPr="00EF190F">
        <w:rPr>
          <w:rFonts w:cs="Calibri,Bold"/>
          <w:bCs/>
          <w:sz w:val="16"/>
          <w:szCs w:val="16"/>
        </w:rPr>
        <w:t xml:space="preserve"> </w:t>
      </w:r>
      <w:r w:rsidRPr="00EF190F">
        <w:rPr>
          <w:rFonts w:cs="Arial"/>
          <w:sz w:val="16"/>
          <w:szCs w:val="16"/>
        </w:rPr>
        <w:t>denuncia presentada por Francisca González Tecú sobre la desaparición de su padre Gorgonio Gonzalez Gonzalez. El 8 de mayo de 2003, Francisca González Tecú compareció ante dicha Fiscalía y reiteró los hechos de su denuncia inicial.</w:t>
      </w:r>
      <w:r w:rsidRPr="00EF190F">
        <w:rPr>
          <w:sz w:val="16"/>
          <w:szCs w:val="16"/>
        </w:rPr>
        <w:t xml:space="preserve"> </w:t>
      </w:r>
      <w:r w:rsidRPr="00EF190F">
        <w:rPr>
          <w:i/>
          <w:sz w:val="16"/>
          <w:szCs w:val="16"/>
        </w:rPr>
        <w:t xml:space="preserve">Cfr. </w:t>
      </w:r>
      <w:r w:rsidRPr="00EF190F">
        <w:rPr>
          <w:sz w:val="16"/>
          <w:szCs w:val="16"/>
        </w:rPr>
        <w:t>Escrito de</w:t>
      </w:r>
      <w:r w:rsidRPr="00EF190F">
        <w:rPr>
          <w:rFonts w:cs="Arial"/>
          <w:sz w:val="16"/>
          <w:szCs w:val="16"/>
        </w:rPr>
        <w:t xml:space="preserve"> 6 de agosto de 1997, de la Procuraduría de Derechos Humanos de Guatemala (expediente de prueba, folio 9141), y</w:t>
      </w:r>
      <w:r w:rsidRPr="00EF190F">
        <w:rPr>
          <w:i/>
          <w:sz w:val="16"/>
          <w:szCs w:val="16"/>
        </w:rPr>
        <w:t xml:space="preserve"> </w:t>
      </w:r>
      <w:r w:rsidRPr="00EF190F">
        <w:rPr>
          <w:sz w:val="16"/>
          <w:szCs w:val="16"/>
        </w:rPr>
        <w:t xml:space="preserve">Declaración de Francisca González Tecú y Clementina Bachan Cahuec de 8 de mayo de 2003 ante el Auxiliar Fiscal de la Fiscalía Distrital del Ministerio Público de Salamá (expediente de prueba, folios 9142 y 9143). Mediante una declaración ante el Auxiliar Fiscal de la Fiscalía Especial </w:t>
      </w:r>
      <w:r w:rsidRPr="00EF190F">
        <w:rPr>
          <w:rFonts w:cs="Arial"/>
          <w:sz w:val="16"/>
          <w:szCs w:val="16"/>
        </w:rPr>
        <w:t xml:space="preserve">del Ministerio Público en Ciudad de Guatemala, </w:t>
      </w:r>
      <w:r w:rsidRPr="00EF190F">
        <w:rPr>
          <w:sz w:val="16"/>
          <w:szCs w:val="16"/>
        </w:rPr>
        <w:t>Vicenta Alvarado Mendoza</w:t>
      </w:r>
      <w:r w:rsidRPr="00EF190F">
        <w:rPr>
          <w:rFonts w:cs="Arial"/>
          <w:sz w:val="16"/>
          <w:szCs w:val="16"/>
        </w:rPr>
        <w:t xml:space="preserve"> denunció la desaparición de su padre José Cruz Mendoza Sucup y su hermano Juan Mendoza Alvarado. </w:t>
      </w:r>
      <w:r w:rsidRPr="00EF190F">
        <w:rPr>
          <w:i/>
          <w:spacing w:val="-4"/>
          <w:sz w:val="16"/>
          <w:szCs w:val="16"/>
          <w:lang w:val="es-PR"/>
        </w:rPr>
        <w:t xml:space="preserve">Cfr. </w:t>
      </w:r>
      <w:r w:rsidRPr="00EF190F">
        <w:rPr>
          <w:sz w:val="16"/>
          <w:szCs w:val="16"/>
        </w:rPr>
        <w:t>Declaración de Vicenta Mendoza Alvarado de 15 de noviembre de 2002 (expediente de prueba, folios 475 a 478).</w:t>
      </w:r>
      <w:r w:rsidRPr="00EF190F">
        <w:rPr>
          <w:rFonts w:cs="Arial"/>
          <w:sz w:val="16"/>
          <w:szCs w:val="16"/>
        </w:rPr>
        <w:t xml:space="preserve"> El 9 de mayo de 1995 Juana García Depaz denunció ante la Procuraduría de Derechos Humanos de Guatemala la detención y desaparición de Adrián García Manuel, Hugo García Depaz y Abraham Alvarado Depaz </w:t>
      </w:r>
      <w:r w:rsidRPr="00EF190F">
        <w:rPr>
          <w:sz w:val="16"/>
          <w:szCs w:val="16"/>
        </w:rPr>
        <w:t>(expediente de prueba, folios 1290 a 1291).</w:t>
      </w:r>
      <w:r w:rsidRPr="00EF190F">
        <w:rPr>
          <w:rFonts w:cs="Arial"/>
          <w:sz w:val="16"/>
          <w:szCs w:val="16"/>
        </w:rPr>
        <w:t xml:space="preserve"> </w:t>
      </w:r>
    </w:p>
  </w:footnote>
  <w:footnote w:id="170">
    <w:p w14:paraId="519857B6"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En dicho informe se hizo referencia a la desaparición de Lorenzo Depaz Cipriano, y la ejecución de Leonardo Cahuec González, Gorgonio Gonzalez Gonzalez y Eustaquio Ixtoc (</w:t>
      </w:r>
      <w:r w:rsidRPr="00EF190F">
        <w:rPr>
          <w:i/>
          <w:sz w:val="16"/>
          <w:szCs w:val="16"/>
        </w:rPr>
        <w:t>sic</w:t>
      </w:r>
      <w:r w:rsidRPr="00EF190F">
        <w:rPr>
          <w:sz w:val="16"/>
          <w:szCs w:val="16"/>
        </w:rPr>
        <w:t xml:space="preserve">). </w:t>
      </w:r>
      <w:r w:rsidRPr="00EF190F">
        <w:rPr>
          <w:i/>
          <w:sz w:val="16"/>
          <w:szCs w:val="16"/>
          <w:lang w:val="es-CR"/>
        </w:rPr>
        <w:t>Cfr.</w:t>
      </w:r>
      <w:r w:rsidRPr="00EF190F">
        <w:rPr>
          <w:sz w:val="16"/>
          <w:szCs w:val="16"/>
          <w:lang w:val="es-CR"/>
        </w:rPr>
        <w:t xml:space="preserve"> Informe de la CEH </w:t>
      </w:r>
      <w:r w:rsidRPr="00EF190F">
        <w:rPr>
          <w:i/>
          <w:iCs/>
          <w:sz w:val="16"/>
          <w:szCs w:val="16"/>
          <w:lang w:val="es-CR"/>
        </w:rPr>
        <w:t>“Guatemala, Memoria del Silencio”</w:t>
      </w:r>
      <w:r w:rsidRPr="00EF190F">
        <w:rPr>
          <w:sz w:val="16"/>
          <w:szCs w:val="16"/>
          <w:lang w:val="es-CR"/>
        </w:rPr>
        <w:t xml:space="preserve">, Casos Presentados, Anexo II, págs. </w:t>
      </w:r>
      <w:r w:rsidRPr="00EF190F">
        <w:rPr>
          <w:sz w:val="16"/>
          <w:szCs w:val="16"/>
        </w:rPr>
        <w:t>155, 162, 163.</w:t>
      </w:r>
    </w:p>
  </w:footnote>
  <w:footnote w:id="171">
    <w:p w14:paraId="5C69C033"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rFonts w:cs="Arial"/>
          <w:sz w:val="16"/>
          <w:szCs w:val="16"/>
        </w:rPr>
        <w:t>El 21 de octubre de 2004</w:t>
      </w:r>
      <w:r w:rsidRPr="00EF190F">
        <w:rPr>
          <w:sz w:val="16"/>
          <w:szCs w:val="16"/>
        </w:rPr>
        <w:t xml:space="preserve"> la FAFG remitió a la </w:t>
      </w:r>
      <w:r w:rsidRPr="00EF190F">
        <w:rPr>
          <w:rFonts w:cs="Calibri,Bold"/>
          <w:bCs/>
          <w:sz w:val="16"/>
          <w:szCs w:val="16"/>
        </w:rPr>
        <w:t>Fiscalía Distrital del Ministerio Público Salamá de Baja Verapaz,</w:t>
      </w:r>
      <w:r w:rsidRPr="00EF190F">
        <w:rPr>
          <w:rFonts w:eastAsia="Calibri"/>
          <w:sz w:val="16"/>
          <w:szCs w:val="16"/>
        </w:rPr>
        <w:t xml:space="preserve"> el Informe Final del peritaje antropológico</w:t>
      </w:r>
      <w:r w:rsidRPr="00EF190F">
        <w:rPr>
          <w:rFonts w:cs="Arial"/>
          <w:sz w:val="16"/>
          <w:szCs w:val="16"/>
        </w:rPr>
        <w:t xml:space="preserve"> </w:t>
      </w:r>
      <w:r w:rsidRPr="00EF190F">
        <w:rPr>
          <w:rFonts w:eastAsia="Calibri"/>
          <w:sz w:val="16"/>
          <w:szCs w:val="16"/>
        </w:rPr>
        <w:t xml:space="preserve">forense realizado en </w:t>
      </w:r>
      <w:r w:rsidRPr="00EF190F">
        <w:rPr>
          <w:rFonts w:eastAsia="Calibri"/>
          <w:iCs/>
          <w:sz w:val="16"/>
          <w:szCs w:val="16"/>
        </w:rPr>
        <w:t xml:space="preserve">Xeabaj. </w:t>
      </w:r>
      <w:r w:rsidRPr="00EF190F">
        <w:rPr>
          <w:rFonts w:cs="Calibri,Bold"/>
          <w:bCs/>
          <w:sz w:val="16"/>
          <w:szCs w:val="16"/>
        </w:rPr>
        <w:t xml:space="preserve">Asimismo, </w:t>
      </w:r>
      <w:r w:rsidRPr="00EF190F">
        <w:rPr>
          <w:sz w:val="16"/>
          <w:szCs w:val="16"/>
        </w:rPr>
        <w:t>el 22 de diciembre de 2014 la FAFG presentó ante el Ministerio Público un Dictamen Pericial de la Investigación Antropológico Forense llevada a cabo en el Cementerio San Francisco, aldea Chuateguá</w:t>
      </w:r>
      <w:r w:rsidRPr="00EF190F">
        <w:rPr>
          <w:rFonts w:cs="Arial"/>
          <w:sz w:val="16"/>
          <w:szCs w:val="16"/>
        </w:rPr>
        <w:t>.</w:t>
      </w:r>
      <w:r w:rsidRPr="00EF190F">
        <w:rPr>
          <w:rFonts w:cs="Calibri,Bold"/>
          <w:bCs/>
          <w:sz w:val="16"/>
          <w:szCs w:val="16"/>
        </w:rPr>
        <w:t xml:space="preserve"> </w:t>
      </w:r>
      <w:r w:rsidRPr="00EF190F">
        <w:rPr>
          <w:sz w:val="16"/>
          <w:szCs w:val="16"/>
        </w:rPr>
        <w:t xml:space="preserve">Entre las víctimas se </w:t>
      </w:r>
      <w:r w:rsidRPr="00EF190F">
        <w:rPr>
          <w:rFonts w:cs="Calibri,Bold"/>
          <w:bCs/>
          <w:sz w:val="16"/>
          <w:szCs w:val="16"/>
        </w:rPr>
        <w:t xml:space="preserve">incluyeron los nombres de </w:t>
      </w:r>
      <w:r w:rsidRPr="00EF190F">
        <w:rPr>
          <w:rFonts w:eastAsia="Calibri"/>
          <w:iCs/>
          <w:sz w:val="16"/>
          <w:szCs w:val="16"/>
        </w:rPr>
        <w:t>Cruz Amperez Sis (</w:t>
      </w:r>
      <w:r w:rsidRPr="00EF190F">
        <w:rPr>
          <w:rFonts w:eastAsia="Calibri"/>
          <w:i/>
          <w:iCs/>
          <w:sz w:val="16"/>
          <w:szCs w:val="16"/>
        </w:rPr>
        <w:t>sic</w:t>
      </w:r>
      <w:r w:rsidRPr="00EF190F">
        <w:rPr>
          <w:rFonts w:eastAsia="Calibri"/>
          <w:iCs/>
          <w:sz w:val="16"/>
          <w:szCs w:val="16"/>
        </w:rPr>
        <w:t>), Gorgonio Gonzalez Gonzalez (</w:t>
      </w:r>
      <w:r w:rsidRPr="00EF190F">
        <w:rPr>
          <w:rFonts w:eastAsia="Calibri"/>
          <w:i/>
          <w:iCs/>
          <w:sz w:val="16"/>
          <w:szCs w:val="16"/>
        </w:rPr>
        <w:t>sic</w:t>
      </w:r>
      <w:r w:rsidRPr="00EF190F">
        <w:rPr>
          <w:rFonts w:eastAsia="Calibri"/>
          <w:iCs/>
          <w:sz w:val="16"/>
          <w:szCs w:val="16"/>
        </w:rPr>
        <w:t xml:space="preserve">), </w:t>
      </w:r>
      <w:r w:rsidRPr="00EF190F">
        <w:rPr>
          <w:sz w:val="16"/>
          <w:szCs w:val="16"/>
        </w:rPr>
        <w:t>Gabino Román Iboy, Eustaquio Ixtecoc y Rafael Depaz.</w:t>
      </w:r>
      <w:r w:rsidRPr="00EF190F">
        <w:rPr>
          <w:rFonts w:cs="Calibri,Bold"/>
          <w:bCs/>
          <w:sz w:val="16"/>
          <w:szCs w:val="16"/>
        </w:rPr>
        <w:t xml:space="preserve"> </w:t>
      </w:r>
      <w:r w:rsidRPr="00EF190F">
        <w:rPr>
          <w:i/>
          <w:sz w:val="16"/>
          <w:szCs w:val="16"/>
        </w:rPr>
        <w:t>Cfr.</w:t>
      </w:r>
      <w:r w:rsidRPr="00EF190F">
        <w:rPr>
          <w:sz w:val="16"/>
          <w:szCs w:val="16"/>
          <w:lang w:val="es-CR"/>
        </w:rPr>
        <w:t xml:space="preserve"> Informe de Investigación Antropológico Forense de la FAFG de 6 de octubre de 2004 (expediente de prueba, folios 1601 y 1606), e</w:t>
      </w:r>
      <w:r w:rsidRPr="00EF190F">
        <w:rPr>
          <w:sz w:val="16"/>
          <w:szCs w:val="16"/>
        </w:rPr>
        <w:t xml:space="preserve"> Informe de la FAFG de 5 de junio de 2014 (expediente de prueba, folios 9247 a 9276). </w:t>
      </w:r>
    </w:p>
  </w:footnote>
  <w:footnote w:id="172">
    <w:p w14:paraId="5FFF519F"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Entre las víctimas señaladas en el Informe de Fondo, se incluyeron los nombres de Juan Pérez Sic, Casimiro Siana, Jorge Galeano Román, Enrique Mendoza Sis, Manuel Alarcón Morente y Raymundo Alarcón Morente.</w:t>
      </w:r>
    </w:p>
  </w:footnote>
  <w:footnote w:id="173">
    <w:p w14:paraId="60EB2C95" w14:textId="77777777" w:rsidR="006A0E1C" w:rsidRPr="00EF190F" w:rsidRDefault="006A0E1C" w:rsidP="006A0E1C">
      <w:pPr>
        <w:tabs>
          <w:tab w:val="left" w:pos="360"/>
        </w:tabs>
        <w:autoSpaceDE w:val="0"/>
        <w:autoSpaceDN w:val="0"/>
        <w:spacing w:line="240" w:lineRule="auto"/>
        <w:rPr>
          <w:rFonts w:cs="Times"/>
          <w:sz w:val="16"/>
          <w:szCs w:val="16"/>
          <w:lang w:val="es-ES"/>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w:t>
      </w:r>
      <w:r w:rsidRPr="00EF190F">
        <w:rPr>
          <w:i/>
          <w:sz w:val="16"/>
          <w:szCs w:val="16"/>
        </w:rPr>
        <w:t>Caso Comunidad Campesina de Santa Bárbara Vs. Perú</w:t>
      </w:r>
      <w:r w:rsidRPr="00EF190F">
        <w:rPr>
          <w:sz w:val="16"/>
          <w:szCs w:val="16"/>
        </w:rPr>
        <w:t>, párr. 166.</w:t>
      </w:r>
    </w:p>
  </w:footnote>
  <w:footnote w:id="174">
    <w:p w14:paraId="391A3894"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 Caso</w:t>
      </w:r>
      <w:r w:rsidRPr="00EF190F">
        <w:rPr>
          <w:sz w:val="16"/>
          <w:szCs w:val="16"/>
        </w:rPr>
        <w:t xml:space="preserve"> </w:t>
      </w:r>
      <w:r w:rsidRPr="00EF190F">
        <w:rPr>
          <w:i/>
          <w:sz w:val="16"/>
          <w:szCs w:val="16"/>
        </w:rPr>
        <w:t>Velásquez Rodríguez Vs. Honduras</w:t>
      </w:r>
      <w:r w:rsidRPr="00EF190F">
        <w:rPr>
          <w:sz w:val="16"/>
          <w:szCs w:val="16"/>
        </w:rPr>
        <w:t xml:space="preserve">. Fondo, párr. 175; y </w:t>
      </w:r>
      <w:r w:rsidRPr="00EF190F">
        <w:rPr>
          <w:i/>
          <w:sz w:val="16"/>
          <w:szCs w:val="16"/>
        </w:rPr>
        <w:t>Caso Anzualdo Castro Vs. Perú.</w:t>
      </w:r>
      <w:r w:rsidRPr="00EF190F">
        <w:rPr>
          <w:i/>
          <w:sz w:val="16"/>
          <w:szCs w:val="16"/>
          <w:lang w:val="es-PR"/>
        </w:rPr>
        <w:t xml:space="preserve"> Excepciones Preliminares, Fondo, Reparaciones y Costas. </w:t>
      </w:r>
      <w:r w:rsidRPr="00EF190F">
        <w:rPr>
          <w:sz w:val="16"/>
          <w:szCs w:val="16"/>
          <w:lang w:val="es-PR"/>
        </w:rPr>
        <w:t>Sentencia de 22 de septiembre de 2009. Serie C No. 202</w:t>
      </w:r>
      <w:r w:rsidRPr="00EF190F">
        <w:rPr>
          <w:sz w:val="16"/>
          <w:szCs w:val="16"/>
        </w:rPr>
        <w:t>, párr. 85.</w:t>
      </w:r>
    </w:p>
  </w:footnote>
  <w:footnote w:id="175">
    <w:p w14:paraId="3DF9678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Caso Velásquez Rodríguez Vs. Honduras. Fondo, </w:t>
      </w:r>
      <w:r w:rsidRPr="00EF190F">
        <w:rPr>
          <w:sz w:val="16"/>
          <w:szCs w:val="16"/>
        </w:rPr>
        <w:t xml:space="preserve">párrs. 156 y 187; y </w:t>
      </w:r>
      <w:r w:rsidRPr="00EF190F">
        <w:rPr>
          <w:i/>
          <w:sz w:val="16"/>
          <w:szCs w:val="16"/>
        </w:rPr>
        <w:t>Caso Anzualdo Castro Vs. Perú</w:t>
      </w:r>
      <w:r w:rsidRPr="00EF190F">
        <w:rPr>
          <w:sz w:val="16"/>
          <w:szCs w:val="16"/>
        </w:rPr>
        <w:t>, párr. 85.</w:t>
      </w:r>
    </w:p>
  </w:footnote>
  <w:footnote w:id="176">
    <w:p w14:paraId="24064146"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CR"/>
        </w:rPr>
        <w:t>Cfr.</w:t>
      </w:r>
      <w:r w:rsidRPr="00EF190F">
        <w:rPr>
          <w:sz w:val="16"/>
          <w:szCs w:val="16"/>
          <w:lang w:val="es-CR"/>
        </w:rPr>
        <w:t xml:space="preserve"> </w:t>
      </w:r>
      <w:r w:rsidRPr="00EF190F">
        <w:rPr>
          <w:i/>
          <w:sz w:val="16"/>
          <w:szCs w:val="16"/>
          <w:lang w:val="es-CR"/>
        </w:rPr>
        <w:t>Caso Velásquez Rodríguez Vs. Honduras. Fondo,</w:t>
      </w:r>
      <w:r w:rsidRPr="00EF190F">
        <w:rPr>
          <w:sz w:val="16"/>
          <w:szCs w:val="16"/>
          <w:lang w:val="es-CR"/>
        </w:rPr>
        <w:t xml:space="preserve"> párr. 188, y </w:t>
      </w:r>
      <w:r w:rsidRPr="00EF190F">
        <w:rPr>
          <w:i/>
          <w:sz w:val="16"/>
          <w:szCs w:val="16"/>
          <w:lang w:val="es-CR"/>
        </w:rPr>
        <w:t>Caso Osorio Rivera y Familiares Vs. Perú</w:t>
      </w:r>
      <w:r w:rsidRPr="00EF190F">
        <w:rPr>
          <w:sz w:val="16"/>
          <w:szCs w:val="16"/>
          <w:lang w:val="es-CR"/>
        </w:rPr>
        <w:t>, párr. 160</w:t>
      </w:r>
    </w:p>
  </w:footnote>
  <w:footnote w:id="177">
    <w:p w14:paraId="1F02E4FC"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CR"/>
        </w:rPr>
        <w:t>Cfr.</w:t>
      </w:r>
      <w:r w:rsidRPr="00EF190F">
        <w:rPr>
          <w:sz w:val="16"/>
          <w:szCs w:val="16"/>
          <w:lang w:val="es-CR"/>
        </w:rPr>
        <w:t xml:space="preserve"> </w:t>
      </w:r>
      <w:r w:rsidRPr="00EF190F">
        <w:rPr>
          <w:i/>
          <w:sz w:val="16"/>
          <w:szCs w:val="16"/>
          <w:lang w:val="es-CR"/>
        </w:rPr>
        <w:t xml:space="preserve">Caso Anzualdo Castro Vs. Perú, </w:t>
      </w:r>
      <w:r w:rsidRPr="00EF190F">
        <w:rPr>
          <w:sz w:val="16"/>
          <w:szCs w:val="16"/>
          <w:lang w:val="es-CR"/>
        </w:rPr>
        <w:t>párrs. 90 y 91</w:t>
      </w:r>
      <w:r w:rsidRPr="00EF190F">
        <w:rPr>
          <w:sz w:val="16"/>
          <w:szCs w:val="16"/>
        </w:rPr>
        <w:t xml:space="preserve">. </w:t>
      </w:r>
      <w:r w:rsidRPr="00EF190F">
        <w:rPr>
          <w:rStyle w:val="Strong"/>
          <w:b w:val="0"/>
          <w:color w:val="000000"/>
          <w:sz w:val="16"/>
          <w:szCs w:val="16"/>
          <w:shd w:val="clear" w:color="auto" w:fill="FFFFFF"/>
        </w:rPr>
        <w:t>En dicho caso,</w:t>
      </w:r>
      <w:r w:rsidRPr="00EF190F">
        <w:rPr>
          <w:sz w:val="16"/>
          <w:szCs w:val="16"/>
        </w:rPr>
        <w:t xml:space="preserve"> la Corte reconoció que hasta ese momento en la mayoría de los casos de desaparición forzada de personas había estimado que no correspondía analizar la violación del artículo 3 de la Convención, por no haber hechos que así lo ameritaran, citando entre otros, el </w:t>
      </w:r>
      <w:r w:rsidRPr="00EF190F">
        <w:rPr>
          <w:i/>
          <w:sz w:val="16"/>
          <w:szCs w:val="16"/>
        </w:rPr>
        <w:t>Caso</w:t>
      </w:r>
      <w:r w:rsidRPr="00EF190F">
        <w:rPr>
          <w:sz w:val="16"/>
          <w:szCs w:val="16"/>
        </w:rPr>
        <w:t xml:space="preserve"> </w:t>
      </w:r>
      <w:r w:rsidRPr="00EF190F">
        <w:rPr>
          <w:rFonts w:eastAsia="Calibri"/>
          <w:i/>
          <w:sz w:val="16"/>
          <w:szCs w:val="16"/>
        </w:rPr>
        <w:t xml:space="preserve">Bámaca Velásquez Vs. Guatemala. </w:t>
      </w:r>
      <w:r w:rsidRPr="00EF190F">
        <w:rPr>
          <w:sz w:val="16"/>
          <w:szCs w:val="16"/>
        </w:rPr>
        <w:t>No obstante, dado el carácter múltiple y complejo de esta grave violación de derechos humanos, el Tribunal reconsideró su posición anterior y estimó posible que, en casos de esta naturaleza, la desaparición forzada pueda conllevar una violación específica del referido derecho.</w:t>
      </w:r>
    </w:p>
  </w:footnote>
  <w:footnote w:id="178">
    <w:p w14:paraId="4D17671F" w14:textId="77777777" w:rsidR="006A0E1C" w:rsidRPr="00EF190F" w:rsidRDefault="006A0E1C" w:rsidP="006A0E1C">
      <w:pPr>
        <w:pStyle w:val="FootnoteText"/>
        <w:tabs>
          <w:tab w:val="left" w:pos="360"/>
        </w:tabs>
        <w:rPr>
          <w:bCs/>
          <w:sz w:val="16"/>
          <w:szCs w:val="16"/>
          <w:shd w:val="clear" w:color="auto" w:fill="FFFFFF"/>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rStyle w:val="Strong"/>
          <w:b w:val="0"/>
          <w:i/>
          <w:sz w:val="16"/>
          <w:szCs w:val="16"/>
          <w:shd w:val="clear" w:color="auto" w:fill="FFFFFF"/>
        </w:rPr>
        <w:t>Caso Radilla Pacheco Vs. México, Caso Chitay Nech y otros Vs. Guatemala, Caso Ibsen Cárdenas e Ibsen Peña Vs. Bolivia, Caso Gomes Lund y otros Vs. Brasil,</w:t>
      </w:r>
      <w:r w:rsidRPr="00EF190F">
        <w:rPr>
          <w:b/>
          <w:i/>
          <w:sz w:val="16"/>
          <w:szCs w:val="16"/>
        </w:rPr>
        <w:t xml:space="preserve"> </w:t>
      </w:r>
      <w:r w:rsidRPr="00EF190F">
        <w:rPr>
          <w:rStyle w:val="Strong"/>
          <w:b w:val="0"/>
          <w:i/>
          <w:sz w:val="16"/>
          <w:szCs w:val="16"/>
          <w:shd w:val="clear" w:color="auto" w:fill="FFFFFF"/>
        </w:rPr>
        <w:t>Caso Gelman Vs. Uruguay,</w:t>
      </w:r>
      <w:r w:rsidRPr="00EF190F">
        <w:rPr>
          <w:rStyle w:val="FootnoteReference"/>
          <w:b/>
          <w:i/>
          <w:sz w:val="16"/>
          <w:szCs w:val="16"/>
          <w:shd w:val="clear" w:color="auto" w:fill="FFFFFF"/>
        </w:rPr>
        <w:t xml:space="preserve"> </w:t>
      </w:r>
      <w:r w:rsidRPr="00EF190F">
        <w:rPr>
          <w:rStyle w:val="Strong"/>
          <w:b w:val="0"/>
          <w:i/>
          <w:sz w:val="16"/>
          <w:szCs w:val="16"/>
          <w:shd w:val="clear" w:color="auto" w:fill="FFFFFF"/>
        </w:rPr>
        <w:t>Caso Torres Millacura y otros Vs. Argentina,</w:t>
      </w:r>
      <w:r w:rsidRPr="00EF190F">
        <w:rPr>
          <w:rStyle w:val="FootnoteReference"/>
          <w:b/>
          <w:i/>
          <w:sz w:val="16"/>
          <w:szCs w:val="16"/>
          <w:shd w:val="clear" w:color="auto" w:fill="FFFFFF"/>
        </w:rPr>
        <w:t xml:space="preserve"> </w:t>
      </w:r>
      <w:r w:rsidRPr="00EF190F">
        <w:rPr>
          <w:rStyle w:val="Strong"/>
          <w:b w:val="0"/>
          <w:i/>
          <w:sz w:val="16"/>
          <w:szCs w:val="16"/>
          <w:shd w:val="clear" w:color="auto" w:fill="FFFFFF"/>
        </w:rPr>
        <w:t xml:space="preserve">Caso Contreras y otros Vs. El Salvador, Caso González Medina y familiares Vs. República Dominicana, Caso Masacres de Río Negro Vs. Guatemala, Caso Gudiel Álvarez y otros ("Diario Militar") Vs. Guatemala, Caso Osorio Rivera y Familiares Vs. Perú, Caso Comunidad Campesina de Santa Bárbara Vs. Perú, y </w:t>
      </w:r>
      <w:r w:rsidRPr="00EF190F">
        <w:rPr>
          <w:rStyle w:val="Strong"/>
          <w:b w:val="0"/>
          <w:i/>
          <w:color w:val="000000"/>
          <w:sz w:val="16"/>
          <w:szCs w:val="16"/>
          <w:shd w:val="clear" w:color="auto" w:fill="FFFFFF"/>
        </w:rPr>
        <w:t>Caso Tenorio Roca y otros Vs. Perú</w:t>
      </w:r>
      <w:r w:rsidRPr="00EF190F">
        <w:rPr>
          <w:rStyle w:val="Strong"/>
          <w:b w:val="0"/>
          <w:color w:val="000000"/>
          <w:sz w:val="16"/>
          <w:szCs w:val="16"/>
          <w:shd w:val="clear" w:color="auto" w:fill="FFFFFF"/>
        </w:rPr>
        <w:t>.</w:t>
      </w:r>
    </w:p>
  </w:footnote>
  <w:footnote w:id="179">
    <w:p w14:paraId="15DBE65B" w14:textId="77777777" w:rsidR="006A0E1C" w:rsidRPr="00EF190F" w:rsidRDefault="006A0E1C" w:rsidP="006A0E1C">
      <w:pPr>
        <w:pStyle w:val="FootnoteText"/>
        <w:tabs>
          <w:tab w:val="left" w:pos="45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pacing w:val="-4"/>
          <w:sz w:val="16"/>
          <w:szCs w:val="16"/>
          <w:lang w:val="es-PR"/>
        </w:rPr>
        <w:t>En lo pertinente</w:t>
      </w:r>
      <w:r w:rsidRPr="00EF190F">
        <w:rPr>
          <w:sz w:val="16"/>
          <w:szCs w:val="16"/>
        </w:rPr>
        <w:t>, el artículo I.a) de la CIDFP señala que: “</w:t>
      </w:r>
      <w:r w:rsidRPr="00EF190F">
        <w:rPr>
          <w:rFonts w:cs="Tahoma"/>
          <w:color w:val="000000"/>
          <w:sz w:val="16"/>
          <w:szCs w:val="16"/>
          <w:lang w:val="es-CR" w:eastAsia="en-US"/>
        </w:rPr>
        <w:t>Los Estados Partes en esta Convención se comprometen a: a) No practicar, no permitir, ni tolerar la desaparición forzada de personas, ni aun en estado de emergencia, excepción o suspensión de garantías individuales”.</w:t>
      </w:r>
    </w:p>
  </w:footnote>
  <w:footnote w:id="180">
    <w:p w14:paraId="3020FF96" w14:textId="77777777" w:rsidR="006A0E1C" w:rsidRPr="00EF190F" w:rsidRDefault="006A0E1C" w:rsidP="006A0E1C">
      <w:pPr>
        <w:pStyle w:val="FootnoteText"/>
        <w:tabs>
          <w:tab w:val="left" w:pos="360"/>
          <w:tab w:val="left" w:pos="426"/>
          <w:tab w:val="left" w:pos="720"/>
        </w:tabs>
        <w:rPr>
          <w:spacing w:val="-4"/>
          <w:sz w:val="16"/>
          <w:szCs w:val="16"/>
          <w:lang w:val="es-PR"/>
        </w:rPr>
      </w:pPr>
      <w:r w:rsidRPr="00EF190F">
        <w:rPr>
          <w:rStyle w:val="FootnoteReference"/>
          <w:spacing w:val="-4"/>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spacing w:val="-4"/>
          <w:sz w:val="16"/>
          <w:szCs w:val="16"/>
          <w:lang w:val="es-PR"/>
        </w:rPr>
        <w:tab/>
      </w:r>
      <w:r w:rsidRPr="00EF190F">
        <w:rPr>
          <w:i/>
          <w:spacing w:val="-4"/>
          <w:sz w:val="16"/>
          <w:szCs w:val="16"/>
          <w:lang w:val="es-PR"/>
        </w:rPr>
        <w:t xml:space="preserve">Cfr. Caso Radilla Pacheco Vs. México, </w:t>
      </w:r>
      <w:r w:rsidRPr="00EF190F">
        <w:rPr>
          <w:spacing w:val="-4"/>
          <w:sz w:val="16"/>
          <w:szCs w:val="16"/>
          <w:lang w:val="es-PR"/>
        </w:rPr>
        <w:t>párr. 161, y</w:t>
      </w:r>
      <w:r w:rsidRPr="00EF190F">
        <w:rPr>
          <w:i/>
          <w:spacing w:val="-4"/>
          <w:sz w:val="16"/>
          <w:szCs w:val="16"/>
          <w:lang w:val="es-PR"/>
        </w:rPr>
        <w:t xml:space="preserve"> Caso Comunidad Campesina de Santa Bárbara Vs. Perú</w:t>
      </w:r>
      <w:r w:rsidRPr="00EF190F">
        <w:rPr>
          <w:rFonts w:eastAsia="Calibri"/>
          <w:iCs/>
          <w:spacing w:val="-4"/>
          <w:sz w:val="16"/>
          <w:szCs w:val="16"/>
          <w:lang w:val="es-PR"/>
        </w:rPr>
        <w:t>, párr. 274.</w:t>
      </w:r>
    </w:p>
  </w:footnote>
  <w:footnote w:id="181">
    <w:p w14:paraId="7CF9DEC0" w14:textId="77777777" w:rsidR="006A0E1C" w:rsidRPr="00EF190F" w:rsidRDefault="006A0E1C" w:rsidP="006A0E1C">
      <w:pPr>
        <w:pStyle w:val="FootnoteText"/>
        <w:tabs>
          <w:tab w:val="left" w:pos="360"/>
          <w:tab w:val="left" w:pos="426"/>
          <w:tab w:val="left" w:pos="72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rFonts w:eastAsia="Calibri" w:cs="Arial"/>
          <w:spacing w:val="-2"/>
          <w:sz w:val="16"/>
          <w:szCs w:val="16"/>
        </w:rPr>
        <w:t xml:space="preserve">Este es el </w:t>
      </w:r>
      <w:r w:rsidRPr="00EF190F">
        <w:rPr>
          <w:spacing w:val="-4"/>
          <w:sz w:val="16"/>
          <w:szCs w:val="16"/>
          <w:lang w:val="es-PR"/>
        </w:rPr>
        <w:t>caso</w:t>
      </w:r>
      <w:r w:rsidRPr="00EF190F">
        <w:rPr>
          <w:rFonts w:eastAsia="Calibri" w:cs="Arial"/>
          <w:spacing w:val="-2"/>
          <w:sz w:val="16"/>
          <w:szCs w:val="16"/>
        </w:rPr>
        <w:t xml:space="preserve"> de: </w:t>
      </w:r>
      <w:r w:rsidRPr="00EF190F">
        <w:rPr>
          <w:rFonts w:eastAsia="Calibri"/>
          <w:sz w:val="16"/>
          <w:szCs w:val="16"/>
          <w:lang w:val="es-CR" w:eastAsia="en-US"/>
        </w:rPr>
        <w:t>José Cruz Mendoza Sucup</w:t>
      </w:r>
      <w:r w:rsidRPr="00EF190F">
        <w:rPr>
          <w:rFonts w:eastAsia="Calibri"/>
          <w:sz w:val="16"/>
          <w:szCs w:val="16"/>
          <w:lang w:eastAsia="en-US"/>
        </w:rPr>
        <w:t xml:space="preserve"> y su hijo</w:t>
      </w:r>
      <w:r w:rsidRPr="00EF190F">
        <w:rPr>
          <w:rFonts w:eastAsia="Calibri" w:cs="Arial"/>
          <w:spacing w:val="-2"/>
          <w:sz w:val="16"/>
          <w:szCs w:val="16"/>
        </w:rPr>
        <w:t xml:space="preserve"> </w:t>
      </w:r>
      <w:r w:rsidRPr="00EF190F">
        <w:rPr>
          <w:rFonts w:eastAsia="Calibri"/>
          <w:sz w:val="16"/>
          <w:szCs w:val="16"/>
          <w:lang w:val="es-CR" w:eastAsia="en-US"/>
        </w:rPr>
        <w:t>Juan Mendoza Alvarado</w:t>
      </w:r>
      <w:r w:rsidRPr="00EF190F">
        <w:rPr>
          <w:rFonts w:eastAsia="Calibri"/>
          <w:sz w:val="16"/>
          <w:szCs w:val="16"/>
          <w:lang w:eastAsia="en-US"/>
        </w:rPr>
        <w:t xml:space="preserve">; </w:t>
      </w:r>
      <w:r w:rsidRPr="00EF190F">
        <w:rPr>
          <w:rFonts w:eastAsia="Calibri"/>
          <w:sz w:val="16"/>
          <w:szCs w:val="16"/>
          <w:lang w:val="es-CR" w:eastAsia="en-US"/>
        </w:rPr>
        <w:t>María Concepción Chen Sic</w:t>
      </w:r>
      <w:r w:rsidRPr="00EF190F">
        <w:rPr>
          <w:rFonts w:eastAsia="Calibri"/>
          <w:sz w:val="16"/>
          <w:szCs w:val="16"/>
          <w:lang w:eastAsia="en-US"/>
        </w:rPr>
        <w:t xml:space="preserve"> y su hijo </w:t>
      </w:r>
      <w:r w:rsidRPr="00EF190F">
        <w:rPr>
          <w:rFonts w:eastAsia="Calibri"/>
          <w:sz w:val="16"/>
          <w:szCs w:val="16"/>
          <w:lang w:val="es-CR" w:eastAsia="en-US"/>
        </w:rPr>
        <w:t>Marcelo Sic Chen</w:t>
      </w:r>
      <w:r w:rsidRPr="00EF190F">
        <w:rPr>
          <w:rFonts w:eastAsia="Calibri"/>
          <w:sz w:val="16"/>
          <w:szCs w:val="16"/>
          <w:lang w:eastAsia="en-US"/>
        </w:rPr>
        <w:t>;</w:t>
      </w:r>
      <w:r w:rsidRPr="00EF190F">
        <w:rPr>
          <w:rFonts w:eastAsia="Calibri"/>
          <w:sz w:val="16"/>
          <w:szCs w:val="16"/>
          <w:lang w:val="es-CR" w:eastAsia="en-US"/>
        </w:rPr>
        <w:t xml:space="preserve"> </w:t>
      </w:r>
      <w:r w:rsidRPr="00EF190F">
        <w:rPr>
          <w:sz w:val="16"/>
          <w:szCs w:val="16"/>
          <w:lang w:val="es-CR"/>
        </w:rPr>
        <w:t>Adrián García Manuel</w:t>
      </w:r>
      <w:r w:rsidRPr="00EF190F">
        <w:rPr>
          <w:sz w:val="16"/>
          <w:szCs w:val="16"/>
        </w:rPr>
        <w:t>,</w:t>
      </w:r>
      <w:r w:rsidRPr="00EF190F">
        <w:rPr>
          <w:sz w:val="16"/>
          <w:szCs w:val="16"/>
          <w:lang w:val="es-CR"/>
        </w:rPr>
        <w:t xml:space="preserve"> su hijo Hugo García Depaz</w:t>
      </w:r>
      <w:r w:rsidRPr="00EF190F">
        <w:rPr>
          <w:sz w:val="16"/>
          <w:szCs w:val="16"/>
        </w:rPr>
        <w:t xml:space="preserve"> y</w:t>
      </w:r>
      <w:r w:rsidRPr="00EF190F">
        <w:rPr>
          <w:sz w:val="16"/>
          <w:szCs w:val="16"/>
          <w:lang w:val="es-CR"/>
        </w:rPr>
        <w:t xml:space="preserve"> su sobrino Abraham Alvarado Tecú (o </w:t>
      </w:r>
      <w:r w:rsidRPr="00EF190F">
        <w:rPr>
          <w:rFonts w:cs="Calibri"/>
          <w:sz w:val="16"/>
          <w:szCs w:val="16"/>
          <w:lang w:val="es-CR"/>
        </w:rPr>
        <w:t>Agapito Alvarado Depáz)</w:t>
      </w:r>
      <w:r w:rsidRPr="00EF190F">
        <w:rPr>
          <w:rFonts w:eastAsia="Calibri"/>
          <w:sz w:val="16"/>
          <w:szCs w:val="16"/>
          <w:lang w:eastAsia="en-US"/>
        </w:rPr>
        <w:t xml:space="preserve">; y </w:t>
      </w:r>
      <w:r w:rsidRPr="00EF190F">
        <w:rPr>
          <w:sz w:val="16"/>
          <w:szCs w:val="16"/>
          <w:lang w:val="es-CR"/>
        </w:rPr>
        <w:t>Manuel de Jesús</w:t>
      </w:r>
      <w:r w:rsidRPr="00EF190F">
        <w:rPr>
          <w:rFonts w:eastAsia="Arial" w:cs="Arial"/>
          <w:sz w:val="16"/>
          <w:szCs w:val="16"/>
          <w:lang w:val="es-CR"/>
        </w:rPr>
        <w:t xml:space="preserve"> </w:t>
      </w:r>
      <w:r w:rsidRPr="00EF190F">
        <w:rPr>
          <w:sz w:val="16"/>
          <w:szCs w:val="16"/>
          <w:lang w:val="es-CR"/>
        </w:rPr>
        <w:t xml:space="preserve">Alarcón Morente y su hermano </w:t>
      </w:r>
      <w:r w:rsidRPr="00EF190F">
        <w:rPr>
          <w:rFonts w:eastAsia="Arial" w:cs="Arial"/>
          <w:sz w:val="16"/>
          <w:szCs w:val="16"/>
          <w:lang w:val="es-CR"/>
        </w:rPr>
        <w:t xml:space="preserve">Edmundo </w:t>
      </w:r>
      <w:r w:rsidRPr="00EF190F">
        <w:rPr>
          <w:rFonts w:cs="Calibri"/>
          <w:sz w:val="16"/>
          <w:szCs w:val="16"/>
          <w:lang w:val="es-CR"/>
        </w:rPr>
        <w:t>o Raymundo</w:t>
      </w:r>
      <w:r w:rsidRPr="00EF190F">
        <w:rPr>
          <w:rFonts w:eastAsia="Arial" w:cs="Arial"/>
          <w:sz w:val="16"/>
          <w:szCs w:val="16"/>
          <w:lang w:val="es-CR"/>
        </w:rPr>
        <w:t xml:space="preserve"> </w:t>
      </w:r>
      <w:r w:rsidRPr="00EF190F">
        <w:rPr>
          <w:sz w:val="16"/>
          <w:szCs w:val="16"/>
          <w:lang w:val="es-CR"/>
        </w:rPr>
        <w:t>Alarcón Morente</w:t>
      </w:r>
    </w:p>
  </w:footnote>
  <w:footnote w:id="182">
    <w:p w14:paraId="18E373F9"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Este es el caso de:</w:t>
      </w:r>
      <w:r w:rsidRPr="00EF190F">
        <w:rPr>
          <w:rFonts w:eastAsia="Calibri"/>
          <w:iCs/>
          <w:sz w:val="16"/>
          <w:szCs w:val="16"/>
          <w:lang w:eastAsia="en-US"/>
        </w:rPr>
        <w:t xml:space="preserve"> </w:t>
      </w:r>
      <w:r w:rsidRPr="00EF190F">
        <w:rPr>
          <w:rFonts w:eastAsia="Calibri"/>
          <w:iCs/>
          <w:sz w:val="16"/>
          <w:szCs w:val="16"/>
          <w:lang w:val="es-CR" w:eastAsia="en-US"/>
        </w:rPr>
        <w:t>Juan Pérez Sic</w:t>
      </w:r>
      <w:r w:rsidRPr="00EF190F">
        <w:rPr>
          <w:rFonts w:eastAsia="Calibri"/>
          <w:iCs/>
          <w:sz w:val="16"/>
          <w:szCs w:val="16"/>
          <w:lang w:eastAsia="en-US"/>
        </w:rPr>
        <w:t xml:space="preserve">, </w:t>
      </w:r>
      <w:r w:rsidRPr="00EF190F">
        <w:rPr>
          <w:rFonts w:eastAsia="Calibri"/>
          <w:sz w:val="16"/>
          <w:szCs w:val="16"/>
          <w:lang w:val="es-CR" w:eastAsia="en-US"/>
        </w:rPr>
        <w:t>Lorenzo Depaz Siprian</w:t>
      </w:r>
      <w:r w:rsidRPr="00EF190F">
        <w:rPr>
          <w:rFonts w:eastAsia="Calibri"/>
          <w:sz w:val="16"/>
          <w:szCs w:val="16"/>
          <w:lang w:eastAsia="en-US"/>
        </w:rPr>
        <w:t xml:space="preserve">, </w:t>
      </w:r>
      <w:r w:rsidRPr="00EF190F">
        <w:rPr>
          <w:rFonts w:eastAsia="Calibri"/>
          <w:sz w:val="16"/>
          <w:szCs w:val="16"/>
          <w:lang w:val="es-CR" w:eastAsia="en-US"/>
        </w:rPr>
        <w:t>Leonardo Cahuec Gonzalés</w:t>
      </w:r>
      <w:r w:rsidRPr="00EF190F">
        <w:rPr>
          <w:rFonts w:eastAsia="Calibri"/>
          <w:sz w:val="16"/>
          <w:szCs w:val="16"/>
          <w:lang w:eastAsia="en-US"/>
        </w:rPr>
        <w:t xml:space="preserve">, </w:t>
      </w:r>
      <w:r w:rsidRPr="00EF190F">
        <w:rPr>
          <w:rFonts w:eastAsia="Calibri"/>
          <w:sz w:val="16"/>
          <w:szCs w:val="16"/>
          <w:lang w:val="es-CR" w:eastAsia="en-US"/>
        </w:rPr>
        <w:t>Juan Mendoza Alvarado y su padre José Cruz Mendoza Sucup</w:t>
      </w:r>
      <w:r w:rsidRPr="00EF190F">
        <w:rPr>
          <w:rFonts w:eastAsia="Calibri"/>
          <w:sz w:val="16"/>
          <w:szCs w:val="16"/>
          <w:lang w:eastAsia="en-US"/>
        </w:rPr>
        <w:t xml:space="preserve">, </w:t>
      </w:r>
      <w:r w:rsidRPr="00EF190F">
        <w:rPr>
          <w:rFonts w:eastAsia="Calibri"/>
          <w:sz w:val="16"/>
          <w:szCs w:val="16"/>
          <w:lang w:val="es-CR" w:eastAsia="en-US"/>
        </w:rPr>
        <w:t>María Concepción Chen Sic</w:t>
      </w:r>
      <w:r w:rsidRPr="00EF190F">
        <w:rPr>
          <w:rFonts w:eastAsia="Calibri"/>
          <w:sz w:val="16"/>
          <w:szCs w:val="16"/>
          <w:lang w:eastAsia="en-US"/>
        </w:rPr>
        <w:t xml:space="preserve">, </w:t>
      </w:r>
      <w:r w:rsidRPr="00EF190F">
        <w:rPr>
          <w:rFonts w:eastAsia="Calibri"/>
          <w:sz w:val="16"/>
          <w:szCs w:val="16"/>
          <w:lang w:val="es-CR" w:eastAsia="en-US"/>
        </w:rPr>
        <w:t>Casimiro Siana</w:t>
      </w:r>
      <w:r w:rsidRPr="00EF190F">
        <w:rPr>
          <w:rFonts w:eastAsia="Calibri"/>
          <w:sz w:val="16"/>
          <w:szCs w:val="16"/>
          <w:lang w:eastAsia="en-US"/>
        </w:rPr>
        <w:t xml:space="preserve">, </w:t>
      </w:r>
      <w:r w:rsidRPr="00EF190F">
        <w:rPr>
          <w:rFonts w:eastAsia="Calibri"/>
          <w:iCs/>
          <w:sz w:val="16"/>
          <w:szCs w:val="16"/>
          <w:lang w:val="es-CR" w:eastAsia="en-US"/>
        </w:rPr>
        <w:t xml:space="preserve">Cruz Pérez Ampérez, Gorgonio Gonzalez Gonzalez, Jorge Galeano Román, </w:t>
      </w:r>
      <w:r w:rsidRPr="00EF190F">
        <w:rPr>
          <w:sz w:val="16"/>
          <w:szCs w:val="16"/>
          <w:lang w:val="es-CR"/>
        </w:rPr>
        <w:t>Eustaquio lxtecoc Gonzalez</w:t>
      </w:r>
      <w:r w:rsidRPr="00EF190F">
        <w:rPr>
          <w:rFonts w:cs="Calibri"/>
          <w:sz w:val="16"/>
          <w:szCs w:val="16"/>
          <w:lang w:val="es-CR"/>
        </w:rPr>
        <w:t>,</w:t>
      </w:r>
      <w:r w:rsidRPr="00EF190F">
        <w:rPr>
          <w:rFonts w:eastAsia="Calibri"/>
          <w:iCs/>
          <w:sz w:val="16"/>
          <w:szCs w:val="16"/>
          <w:lang w:val="es-CR" w:eastAsia="en-US"/>
        </w:rPr>
        <w:t xml:space="preserve"> Rafael Depaz Tecú, Enrique Mendoza Sis, </w:t>
      </w:r>
      <w:r w:rsidRPr="00EF190F">
        <w:rPr>
          <w:sz w:val="16"/>
          <w:szCs w:val="16"/>
          <w:lang w:val="es-CR"/>
        </w:rPr>
        <w:t>Gabino Román Yvoy</w:t>
      </w:r>
      <w:r w:rsidRPr="00EF190F">
        <w:rPr>
          <w:sz w:val="16"/>
          <w:szCs w:val="16"/>
        </w:rPr>
        <w:t>,</w:t>
      </w:r>
      <w:r w:rsidRPr="00EF190F">
        <w:rPr>
          <w:sz w:val="16"/>
          <w:szCs w:val="16"/>
          <w:lang w:val="es-CR"/>
        </w:rPr>
        <w:t xml:space="preserve"> </w:t>
      </w:r>
      <w:r w:rsidRPr="00EF190F">
        <w:rPr>
          <w:rFonts w:eastAsia="Calibri"/>
          <w:iCs/>
          <w:sz w:val="16"/>
          <w:szCs w:val="16"/>
          <w:lang w:val="es-CR" w:eastAsia="en-US"/>
        </w:rPr>
        <w:t>Dionicio Vachan</w:t>
      </w:r>
      <w:r w:rsidRPr="00EF190F">
        <w:rPr>
          <w:rFonts w:eastAsia="Calibri"/>
          <w:iCs/>
          <w:sz w:val="16"/>
          <w:szCs w:val="16"/>
          <w:lang w:eastAsia="en-US"/>
        </w:rPr>
        <w:t>.</w:t>
      </w:r>
    </w:p>
  </w:footnote>
  <w:footnote w:id="183">
    <w:p w14:paraId="68E4D39F" w14:textId="77777777" w:rsidR="006A0E1C" w:rsidRPr="00EF190F" w:rsidRDefault="006A0E1C" w:rsidP="006A0E1C">
      <w:pPr>
        <w:pStyle w:val="FootnoteText"/>
        <w:tabs>
          <w:tab w:val="left" w:pos="360"/>
        </w:tabs>
        <w:rPr>
          <w:b/>
          <w:sz w:val="16"/>
          <w:szCs w:val="16"/>
          <w:u w:val="single"/>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sz w:val="16"/>
          <w:szCs w:val="16"/>
          <w:lang w:val="es-CR"/>
        </w:rPr>
        <w:tab/>
      </w:r>
      <w:r w:rsidRPr="00EF190F">
        <w:rPr>
          <w:rFonts w:cs="Arial"/>
          <w:sz w:val="16"/>
          <w:szCs w:val="16"/>
        </w:rPr>
        <w:t>Al respecto, la psicóloga Nieves Gómez Dupuis explicó que “[e</w:t>
      </w:r>
      <w:r w:rsidRPr="00EF190F">
        <w:rPr>
          <w:sz w:val="16"/>
          <w:szCs w:val="16"/>
        </w:rPr>
        <w:t xml:space="preserve">]n la cultura maya achí existe una especial relación entre vivos </w:t>
      </w:r>
      <w:r w:rsidRPr="00EF190F">
        <w:rPr>
          <w:rFonts w:cs="Arial"/>
          <w:sz w:val="16"/>
          <w:szCs w:val="16"/>
        </w:rPr>
        <w:t xml:space="preserve">y </w:t>
      </w:r>
      <w:r w:rsidRPr="00EF190F">
        <w:rPr>
          <w:sz w:val="16"/>
          <w:szCs w:val="16"/>
        </w:rPr>
        <w:t xml:space="preserve">muertos. Los vivos están encargados de velar, dar digna sepultura a los muertos y llegar a visitarlos en los días señalados para ello. Los entierros se llevan a cabo por la familia </w:t>
      </w:r>
      <w:r w:rsidRPr="00EF190F">
        <w:rPr>
          <w:rFonts w:cs="Arial"/>
          <w:sz w:val="16"/>
          <w:szCs w:val="16"/>
        </w:rPr>
        <w:t xml:space="preserve">y </w:t>
      </w:r>
      <w:r w:rsidRPr="00EF190F">
        <w:rPr>
          <w:sz w:val="16"/>
          <w:szCs w:val="16"/>
        </w:rPr>
        <w:t xml:space="preserve">la comunidad con rituales para acompañar el paso entre la vida </w:t>
      </w:r>
      <w:r w:rsidRPr="00EF190F">
        <w:rPr>
          <w:rFonts w:cs="Arial"/>
          <w:sz w:val="16"/>
          <w:szCs w:val="16"/>
        </w:rPr>
        <w:t xml:space="preserve">y </w:t>
      </w:r>
      <w:r w:rsidRPr="00EF190F">
        <w:rPr>
          <w:sz w:val="16"/>
          <w:szCs w:val="16"/>
        </w:rPr>
        <w:t>la muerte. A su vez, los difuntos y los ancestros, en una relación de reciprocidad se encargan de proteger a los vivos,</w:t>
      </w:r>
      <w:r w:rsidRPr="00EF190F">
        <w:rPr>
          <w:rFonts w:cs="Arial"/>
          <w:sz w:val="16"/>
          <w:szCs w:val="16"/>
        </w:rPr>
        <w:t xml:space="preserve"> </w:t>
      </w:r>
      <w:r w:rsidRPr="00EF190F">
        <w:rPr>
          <w:sz w:val="16"/>
          <w:szCs w:val="16"/>
        </w:rPr>
        <w:t xml:space="preserve">dándoles avisos y consejos para su vida diaria. Las relaciones de reciprocidad y armonía están también presentes entre la naturaleza, el cosmos </w:t>
      </w:r>
      <w:r w:rsidRPr="00EF190F">
        <w:rPr>
          <w:rFonts w:cs="Arial"/>
          <w:sz w:val="16"/>
          <w:szCs w:val="16"/>
        </w:rPr>
        <w:t xml:space="preserve">y </w:t>
      </w:r>
      <w:r w:rsidRPr="00EF190F">
        <w:rPr>
          <w:sz w:val="16"/>
          <w:szCs w:val="16"/>
        </w:rPr>
        <w:t>los seres</w:t>
      </w:r>
      <w:r w:rsidRPr="00EF190F">
        <w:rPr>
          <w:rFonts w:cs="Arial"/>
          <w:sz w:val="16"/>
          <w:szCs w:val="16"/>
        </w:rPr>
        <w:t xml:space="preserve"> </w:t>
      </w:r>
      <w:r w:rsidRPr="00EF190F">
        <w:rPr>
          <w:sz w:val="16"/>
          <w:szCs w:val="16"/>
        </w:rPr>
        <w:t>humanos”</w:t>
      </w:r>
      <w:r w:rsidRPr="00EF190F">
        <w:rPr>
          <w:i/>
          <w:sz w:val="16"/>
          <w:szCs w:val="16"/>
          <w:lang w:val="es-CR"/>
        </w:rPr>
        <w:t xml:space="preserve">Cfr. </w:t>
      </w:r>
      <w:r w:rsidRPr="00EF190F">
        <w:rPr>
          <w:sz w:val="16"/>
          <w:szCs w:val="16"/>
          <w:lang w:val="es-CR"/>
        </w:rPr>
        <w:t>Informe sobre el daño a la salud mental (moral) elaborado por la psicóloga Nieves Gómez Dupuis el 5 de mayo de 2010 y presentado ante la Comisión Interamericana (expediente de prueba, folios 1313 y 1321).</w:t>
      </w:r>
    </w:p>
  </w:footnote>
  <w:footnote w:id="184">
    <w:p w14:paraId="2D97757F" w14:textId="77777777" w:rsidR="006A0E1C" w:rsidRPr="00EF190F" w:rsidRDefault="006A0E1C" w:rsidP="006A0E1C">
      <w:pPr>
        <w:pStyle w:val="FootnoteText"/>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sz w:val="16"/>
          <w:szCs w:val="16"/>
        </w:rPr>
        <w:t>En lo pertinente, el artículo 22.1 de la Convención establece: “Toda persona que se halle legalmente en el territorio de un Estado tiene derecho a circular por el mismo y, a residir en él con sujeción a las disposiciones legales”.</w:t>
      </w:r>
    </w:p>
  </w:footnote>
  <w:footnote w:id="185">
    <w:p w14:paraId="268350D8"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En lo pertinente el artículo 22.1 de la Convención establece: “Toda persona que se halle legalmente en el territorio de un Estado tiene derecho a circular por el mismo y, a residir en él con sujeción a las disposiciones legales”.</w:t>
      </w:r>
    </w:p>
  </w:footnote>
  <w:footnote w:id="186">
    <w:p w14:paraId="16C141CB" w14:textId="77777777" w:rsidR="006A0E1C" w:rsidRPr="00EF190F" w:rsidRDefault="006A0E1C" w:rsidP="006A0E1C">
      <w:pPr>
        <w:pStyle w:val="FootnoteText"/>
        <w:rPr>
          <w:sz w:val="16"/>
          <w:szCs w:val="16"/>
          <w:lang w:val="es-GT"/>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r>
      <w:r w:rsidRPr="00EF190F">
        <w:rPr>
          <w:i/>
          <w:sz w:val="16"/>
          <w:szCs w:val="16"/>
        </w:rPr>
        <w:t>Cfr.</w:t>
      </w:r>
      <w:r w:rsidRPr="00EF190F">
        <w:rPr>
          <w:sz w:val="16"/>
          <w:szCs w:val="16"/>
          <w:lang w:val="es-PE"/>
        </w:rPr>
        <w:t xml:space="preserve"> </w:t>
      </w:r>
      <w:r w:rsidRPr="00EF190F">
        <w:rPr>
          <w:bCs/>
          <w:i/>
          <w:sz w:val="16"/>
          <w:szCs w:val="16"/>
          <w:lang w:val="es-CR"/>
        </w:rPr>
        <w:t xml:space="preserve">Caso de las Masacres de Ituango Vs. Colombia. </w:t>
      </w:r>
      <w:r w:rsidRPr="00EF190F">
        <w:rPr>
          <w:bCs/>
          <w:sz w:val="16"/>
          <w:szCs w:val="16"/>
          <w:lang w:val="es-CR"/>
        </w:rPr>
        <w:t>Sentencia de 1 de julio de 2006. Serie C No. 148</w:t>
      </w:r>
      <w:r w:rsidRPr="00EF190F">
        <w:rPr>
          <w:i/>
          <w:sz w:val="16"/>
          <w:szCs w:val="16"/>
        </w:rPr>
        <w:t xml:space="preserve">, </w:t>
      </w:r>
      <w:r w:rsidRPr="00EF190F">
        <w:rPr>
          <w:sz w:val="16"/>
          <w:szCs w:val="16"/>
          <w:lang w:val="es-GT"/>
        </w:rPr>
        <w:t>párr. 207, y</w:t>
      </w:r>
      <w:r w:rsidRPr="00EF190F">
        <w:rPr>
          <w:sz w:val="16"/>
          <w:szCs w:val="16"/>
        </w:rPr>
        <w:t xml:space="preserve"> </w:t>
      </w:r>
      <w:r w:rsidRPr="00EF190F">
        <w:rPr>
          <w:bCs/>
          <w:i/>
          <w:sz w:val="16"/>
          <w:szCs w:val="16"/>
          <w:lang w:val="es-CR"/>
        </w:rPr>
        <w:t>Caso de las comunidades afrodescendientes desplazadas de la Cuenca del Río Cacarica (Operación Génesis) Vs. Colombia</w:t>
      </w:r>
      <w:r w:rsidRPr="00EF190F">
        <w:rPr>
          <w:bCs/>
          <w:sz w:val="16"/>
          <w:szCs w:val="16"/>
          <w:lang w:val="es-CR"/>
        </w:rPr>
        <w:t xml:space="preserve">, </w:t>
      </w:r>
      <w:r w:rsidRPr="00EF190F">
        <w:rPr>
          <w:sz w:val="16"/>
          <w:szCs w:val="16"/>
          <w:lang w:val="es-GT"/>
        </w:rPr>
        <w:t>párr. 219</w:t>
      </w:r>
      <w:r w:rsidRPr="00EF190F">
        <w:rPr>
          <w:sz w:val="16"/>
          <w:szCs w:val="16"/>
          <w:lang w:val="es-PE"/>
        </w:rPr>
        <w:t>.</w:t>
      </w:r>
    </w:p>
  </w:footnote>
  <w:footnote w:id="187">
    <w:p w14:paraId="0F05BBA0" w14:textId="77777777" w:rsidR="006A0E1C" w:rsidRPr="00EF190F" w:rsidRDefault="006A0E1C" w:rsidP="006A0E1C">
      <w:pPr>
        <w:autoSpaceDE w:val="0"/>
        <w:autoSpaceDN w:val="0"/>
        <w:spacing w:line="240" w:lineRule="auto"/>
        <w:rPr>
          <w:sz w:val="16"/>
          <w:szCs w:val="16"/>
          <w:lang w:val="en-US"/>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lang w:val="es-PE"/>
        </w:rPr>
        <w:t xml:space="preserve"> </w:t>
      </w:r>
      <w:r w:rsidRPr="00EF190F">
        <w:rPr>
          <w:sz w:val="16"/>
          <w:szCs w:val="16"/>
        </w:rPr>
        <w:t xml:space="preserve">Comisión de Derechos Humanos, </w:t>
      </w:r>
      <w:r w:rsidRPr="00EF190F">
        <w:rPr>
          <w:sz w:val="16"/>
          <w:szCs w:val="16"/>
          <w:lang w:val="es-PE"/>
        </w:rPr>
        <w:t xml:space="preserve">Principios Rectores de los Desplazamientos Internos de las Naciones Unidas, E/CN.4/1998/53/Add.2 de 11 de febrero de 1998, p. 5. Anexo. Introducción: alcance y finalidad. Numeral 2.  </w:t>
      </w:r>
      <w:r w:rsidRPr="00EF190F">
        <w:rPr>
          <w:sz w:val="16"/>
          <w:szCs w:val="16"/>
        </w:rPr>
        <w:t xml:space="preserve">Disponible en: </w:t>
      </w:r>
      <w:hyperlink r:id="rId2" w:tooltip="http://www.hchr.org.co/documentoseinformes/documentos/html/informes/onu/resdi/E-CN-4-1998-53-ADD-2.html" w:history="1">
        <w:r w:rsidRPr="00EF190F">
          <w:rPr>
            <w:rStyle w:val="Hyperlink"/>
            <w:color w:val="auto"/>
            <w:sz w:val="16"/>
            <w:szCs w:val="16"/>
            <w:u w:val="none"/>
            <w:lang w:val="es-AR"/>
          </w:rPr>
          <w:t>http://www.hchr.org.co/documentoseinformes/documentos/html/informes/onu/resdi/E-CN-4-1998-53-ADD-2.html</w:t>
        </w:r>
      </w:hyperlink>
      <w:r w:rsidRPr="00EF190F">
        <w:rPr>
          <w:sz w:val="16"/>
          <w:szCs w:val="16"/>
          <w:lang w:val="es-AR"/>
        </w:rPr>
        <w:t xml:space="preserve">. </w:t>
      </w:r>
      <w:r w:rsidRPr="00EF190F">
        <w:rPr>
          <w:sz w:val="16"/>
          <w:szCs w:val="16"/>
        </w:rPr>
        <w:t xml:space="preserve">Dichos principios han sido reconocidos por la comunidad internacional. </w:t>
      </w:r>
      <w:r w:rsidRPr="00EF190F">
        <w:rPr>
          <w:i/>
          <w:sz w:val="16"/>
          <w:szCs w:val="16"/>
        </w:rPr>
        <w:t xml:space="preserve"> Véase también</w:t>
      </w:r>
      <w:r w:rsidRPr="00EF190F">
        <w:rPr>
          <w:sz w:val="16"/>
          <w:szCs w:val="16"/>
        </w:rPr>
        <w:t xml:space="preserve">: Naciones Unidas, Asamblea General, </w:t>
      </w:r>
      <w:r w:rsidRPr="00EF190F">
        <w:rPr>
          <w:rFonts w:cs="Arial"/>
          <w:sz w:val="16"/>
          <w:szCs w:val="16"/>
        </w:rPr>
        <w:t>Protección y asistencia para los desplazados internos</w:t>
      </w:r>
      <w:r w:rsidRPr="00EF190F">
        <w:rPr>
          <w:rFonts w:cs="TimesNewRoman,Bold"/>
          <w:bCs/>
          <w:sz w:val="16"/>
          <w:szCs w:val="16"/>
        </w:rPr>
        <w:t>,</w:t>
      </w:r>
      <w:r w:rsidRPr="00EF190F">
        <w:rPr>
          <w:sz w:val="16"/>
          <w:szCs w:val="16"/>
        </w:rPr>
        <w:t xml:space="preserve"> </w:t>
      </w:r>
      <w:r w:rsidRPr="00EF190F">
        <w:rPr>
          <w:rFonts w:cs="TimesNewRoman"/>
          <w:sz w:val="16"/>
          <w:szCs w:val="16"/>
        </w:rPr>
        <w:t>A/RES/64/162, de 17 de marzo de 2010, p.1.</w:t>
      </w:r>
      <w:r w:rsidRPr="00EF190F">
        <w:rPr>
          <w:rFonts w:cs="Arial"/>
          <w:sz w:val="16"/>
          <w:szCs w:val="16"/>
        </w:rPr>
        <w:t xml:space="preserve"> </w:t>
      </w:r>
      <w:r w:rsidRPr="00EF190F">
        <w:rPr>
          <w:rFonts w:cs="TimesNewRoman"/>
          <w:sz w:val="16"/>
          <w:szCs w:val="16"/>
          <w:lang w:val="en-US"/>
        </w:rPr>
        <w:t>Disponible en: https://search.coe.int/cm/Pages/result_details.aspx?ObjectID=09000016805d8265</w:t>
      </w:r>
      <w:r w:rsidRPr="00EF190F">
        <w:rPr>
          <w:sz w:val="16"/>
          <w:szCs w:val="16"/>
          <w:lang w:val="en-US"/>
        </w:rPr>
        <w:t xml:space="preserve">; Council of Europe, Committee of Ministers, Recommendation Rec (2006) to member states on internally displaced persons, 5 April 2006.  </w:t>
      </w:r>
    </w:p>
    <w:p w14:paraId="69FBA969" w14:textId="77777777" w:rsidR="006A0E1C" w:rsidRPr="00EF190F" w:rsidRDefault="006A0E1C" w:rsidP="006A0E1C">
      <w:pPr>
        <w:autoSpaceDE w:val="0"/>
        <w:autoSpaceDN w:val="0"/>
        <w:spacing w:line="240" w:lineRule="auto"/>
        <w:rPr>
          <w:sz w:val="16"/>
          <w:szCs w:val="16"/>
          <w:lang w:val="en-US"/>
        </w:rPr>
      </w:pPr>
      <w:r w:rsidRPr="00EF190F">
        <w:rPr>
          <w:sz w:val="16"/>
          <w:szCs w:val="16"/>
          <w:lang w:val="en-US"/>
        </w:rPr>
        <w:t xml:space="preserve">Disponible en: </w:t>
      </w:r>
    </w:p>
    <w:p w14:paraId="769F1B80" w14:textId="77777777" w:rsidR="006A0E1C" w:rsidRPr="00EF190F" w:rsidRDefault="006A0E1C" w:rsidP="006A0E1C">
      <w:pPr>
        <w:autoSpaceDE w:val="0"/>
        <w:autoSpaceDN w:val="0"/>
        <w:spacing w:line="240" w:lineRule="auto"/>
        <w:rPr>
          <w:sz w:val="16"/>
          <w:szCs w:val="16"/>
          <w:lang w:val="es-ES_tradnl"/>
        </w:rPr>
      </w:pPr>
      <w:r w:rsidRPr="00EF190F">
        <w:rPr>
          <w:sz w:val="16"/>
          <w:szCs w:val="16"/>
          <w:lang w:val="en-US"/>
        </w:rPr>
        <w:t xml:space="preserve">https://wcd.coe.int/ViewDoc.jsp?id=987573&amp;BackColorInternet=9999CC&amp;BackColorIntranet=FFBB55&amp;BackColorLogged=FFAC75; African Union, </w:t>
      </w:r>
      <w:r w:rsidRPr="00EF190F">
        <w:rPr>
          <w:i/>
          <w:sz w:val="16"/>
          <w:szCs w:val="16"/>
          <w:lang w:val="en-US"/>
        </w:rPr>
        <w:t>Convention for the Protection and Assistance of Internally Displaced Persons in Africa (Kampala Convention),</w:t>
      </w:r>
      <w:r w:rsidRPr="00EF190F">
        <w:rPr>
          <w:sz w:val="16"/>
          <w:szCs w:val="16"/>
          <w:lang w:val="en-US"/>
        </w:rPr>
        <w:t xml:space="preserve"> 23 October 2009, article 1, K). </w:t>
      </w:r>
      <w:r w:rsidRPr="00EF190F">
        <w:rPr>
          <w:sz w:val="16"/>
          <w:szCs w:val="16"/>
        </w:rPr>
        <w:t xml:space="preserve">Disponible en: </w:t>
      </w:r>
      <w:hyperlink r:id="rId3" w:history="1">
        <w:r w:rsidRPr="00EF190F">
          <w:rPr>
            <w:rStyle w:val="Hyperlink"/>
            <w:color w:val="auto"/>
            <w:sz w:val="16"/>
            <w:szCs w:val="16"/>
            <w:u w:val="none"/>
          </w:rPr>
          <w:t>http://www.unhcr.org/4ae9bede9.html</w:t>
        </w:r>
      </w:hyperlink>
      <w:r w:rsidRPr="00EF190F">
        <w:rPr>
          <w:sz w:val="16"/>
          <w:szCs w:val="16"/>
        </w:rPr>
        <w:t xml:space="preserve">; </w:t>
      </w:r>
      <w:r w:rsidRPr="00EF190F">
        <w:rPr>
          <w:sz w:val="16"/>
          <w:szCs w:val="16"/>
          <w:lang w:val="es-ES_tradnl"/>
        </w:rPr>
        <w:t>Consejo de Derechos Humanos, Informe presentado por el representante del Secretario General sobre los derechos humanos de los desplazados internos, Walter Kalin. A/HRC/13/21/Add.3, p. 4. II.4</w:t>
      </w:r>
      <w:r w:rsidRPr="00EF190F">
        <w:rPr>
          <w:i/>
          <w:sz w:val="16"/>
          <w:szCs w:val="16"/>
          <w:lang w:val="es-ES_tradnl"/>
        </w:rPr>
        <w:t xml:space="preserve">. </w:t>
      </w:r>
      <w:r w:rsidRPr="00EF190F">
        <w:rPr>
          <w:sz w:val="16"/>
          <w:szCs w:val="16"/>
          <w:lang w:val="es-ES_tradnl"/>
        </w:rPr>
        <w:t xml:space="preserve">Disponible en: http://www.acnur.es/PDF/8151_20120416132838.pdf.  </w:t>
      </w:r>
    </w:p>
  </w:footnote>
  <w:footnote w:id="188">
    <w:p w14:paraId="50EEEF17" w14:textId="77777777" w:rsidR="006A0E1C" w:rsidRPr="00EF190F" w:rsidRDefault="006A0E1C" w:rsidP="006A0E1C">
      <w:pPr>
        <w:spacing w:line="240" w:lineRule="auto"/>
        <w:rPr>
          <w:sz w:val="16"/>
          <w:szCs w:val="16"/>
        </w:rPr>
      </w:pPr>
      <w:r w:rsidRPr="00EF190F">
        <w:rPr>
          <w:rStyle w:val="FootnoteReference"/>
          <w:sz w:val="16"/>
          <w:szCs w:val="16"/>
        </w:rPr>
        <w:footnoteRef/>
      </w:r>
      <w:r w:rsidRPr="00EF190F">
        <w:rPr>
          <w:sz w:val="16"/>
          <w:szCs w:val="16"/>
        </w:rPr>
        <w:tab/>
      </w:r>
      <w:r w:rsidRPr="00EF190F">
        <w:rPr>
          <w:i/>
          <w:sz w:val="16"/>
          <w:szCs w:val="16"/>
        </w:rPr>
        <w:t>Cfr.</w:t>
      </w:r>
      <w:r w:rsidRPr="00EF190F">
        <w:rPr>
          <w:sz w:val="16"/>
          <w:szCs w:val="16"/>
        </w:rPr>
        <w:t xml:space="preserve"> </w:t>
      </w:r>
      <w:r w:rsidRPr="00EF190F">
        <w:rPr>
          <w:rFonts w:eastAsia="Calibri" w:cs="Verdana"/>
          <w:i/>
          <w:iCs/>
          <w:sz w:val="16"/>
          <w:szCs w:val="16"/>
        </w:rPr>
        <w:t xml:space="preserve">Caso de la Comunidad Moiwana Vs. Surinam. </w:t>
      </w:r>
      <w:r w:rsidRPr="00EF190F">
        <w:rPr>
          <w:rFonts w:eastAsia="Calibri" w:cs="Verdana"/>
          <w:i/>
          <w:sz w:val="16"/>
          <w:szCs w:val="16"/>
        </w:rPr>
        <w:t>Excepciones Preliminares, Fondo, Reparaciones y Costas</w:t>
      </w:r>
      <w:r w:rsidRPr="00EF190F">
        <w:rPr>
          <w:rFonts w:eastAsia="Calibri" w:cs="Verdana"/>
          <w:sz w:val="16"/>
          <w:szCs w:val="16"/>
        </w:rPr>
        <w:t>. Sentencia 15 de junio de 2005. Serie C No. 124, párr. 111</w:t>
      </w:r>
      <w:r w:rsidRPr="00EF190F">
        <w:rPr>
          <w:sz w:val="16"/>
          <w:szCs w:val="16"/>
          <w:lang w:val="es-PR"/>
        </w:rPr>
        <w:t xml:space="preserve">, y </w:t>
      </w:r>
      <w:r w:rsidRPr="00EF190F">
        <w:rPr>
          <w:bCs/>
          <w:i/>
          <w:sz w:val="16"/>
          <w:szCs w:val="16"/>
        </w:rPr>
        <w:t>Caso Masacres de Río Negro Vs. Guatemala</w:t>
      </w:r>
      <w:r w:rsidRPr="00EF190F">
        <w:rPr>
          <w:i/>
          <w:sz w:val="16"/>
          <w:szCs w:val="16"/>
        </w:rPr>
        <w:t xml:space="preserve">, </w:t>
      </w:r>
      <w:r w:rsidRPr="00EF190F">
        <w:rPr>
          <w:sz w:val="16"/>
          <w:szCs w:val="16"/>
        </w:rPr>
        <w:t>párr. 173.</w:t>
      </w:r>
      <w:r w:rsidRPr="00EF190F">
        <w:rPr>
          <w:i/>
          <w:sz w:val="16"/>
          <w:szCs w:val="16"/>
        </w:rPr>
        <w:t xml:space="preserve"> </w:t>
      </w:r>
    </w:p>
  </w:footnote>
  <w:footnote w:id="189">
    <w:p w14:paraId="79572D47" w14:textId="77777777" w:rsidR="006A0E1C" w:rsidRPr="00EF190F" w:rsidRDefault="006A0E1C" w:rsidP="006A0E1C">
      <w:pPr>
        <w:spacing w:line="240" w:lineRule="auto"/>
        <w:rPr>
          <w:b/>
          <w:sz w:val="16"/>
          <w:szCs w:val="16"/>
        </w:rPr>
      </w:pPr>
      <w:r w:rsidRPr="00EF190F">
        <w:rPr>
          <w:rStyle w:val="FootnoteReference"/>
          <w:sz w:val="16"/>
          <w:szCs w:val="16"/>
        </w:rPr>
        <w:footnoteRef/>
      </w:r>
      <w:r w:rsidRPr="00EF190F">
        <w:rPr>
          <w:sz w:val="16"/>
          <w:szCs w:val="16"/>
        </w:rPr>
        <w:tab/>
      </w:r>
      <w:r w:rsidRPr="00EF190F">
        <w:rPr>
          <w:i/>
          <w:sz w:val="16"/>
          <w:szCs w:val="16"/>
        </w:rPr>
        <w:t>Cfr.</w:t>
      </w:r>
      <w:r w:rsidRPr="00EF190F">
        <w:rPr>
          <w:sz w:val="16"/>
          <w:szCs w:val="16"/>
        </w:rPr>
        <w:t xml:space="preserve"> Comisión de Derechos Humanos, Principios Rectores de los Desplazamientos Internos de las Naciones Unidas, </w:t>
      </w:r>
      <w:r w:rsidRPr="00EF190F">
        <w:rPr>
          <w:i/>
          <w:sz w:val="16"/>
          <w:szCs w:val="16"/>
        </w:rPr>
        <w:t>supra</w:t>
      </w:r>
      <w:r w:rsidRPr="00EF190F">
        <w:rPr>
          <w:sz w:val="16"/>
          <w:szCs w:val="16"/>
        </w:rPr>
        <w:t>, párr. 2. Al respecto, la Asamblea General de la OEA ha recomendado a los Estados utilizar los Principios Rectores como base para desarrollar sus políticas e incluso integrarlos en sus legislaciones domésticas para promover su implementación.</w:t>
      </w:r>
      <w:r w:rsidRPr="00EF190F">
        <w:rPr>
          <w:i/>
          <w:sz w:val="16"/>
          <w:szCs w:val="16"/>
        </w:rPr>
        <w:t xml:space="preserve"> </w:t>
      </w:r>
      <w:r w:rsidRPr="00EF190F">
        <w:rPr>
          <w:i/>
          <w:sz w:val="16"/>
          <w:szCs w:val="16"/>
          <w:lang w:val="es-ES_tradnl"/>
        </w:rPr>
        <w:t xml:space="preserve">Cfr. </w:t>
      </w:r>
      <w:r w:rsidRPr="00EF190F">
        <w:rPr>
          <w:sz w:val="16"/>
          <w:szCs w:val="16"/>
        </w:rPr>
        <w:t xml:space="preserve">AG/RES. 2508 (XXXIX-O/09) “Desplazados Internos”, Aprobada en la cuarta sesión plenaria, celebrada el 4 de junio de 2009, punto resolutivo 2. Disponible en: </w:t>
      </w:r>
      <w:hyperlink r:id="rId4" w:history="1">
        <w:r w:rsidRPr="00EF190F">
          <w:rPr>
            <w:rStyle w:val="Hyperlink"/>
            <w:color w:val="auto"/>
            <w:sz w:val="16"/>
            <w:szCs w:val="16"/>
            <w:u w:val="none"/>
          </w:rPr>
          <w:t>www.oas.org/dil/esp/AG-RES_2508-2009.doc</w:t>
        </w:r>
      </w:hyperlink>
      <w:r w:rsidRPr="00EF190F">
        <w:rPr>
          <w:sz w:val="16"/>
          <w:szCs w:val="16"/>
        </w:rPr>
        <w:t>.</w:t>
      </w:r>
    </w:p>
  </w:footnote>
  <w:footnote w:id="190">
    <w:p w14:paraId="2070FA86" w14:textId="77777777" w:rsidR="006A0E1C" w:rsidRPr="00EF190F" w:rsidRDefault="006A0E1C" w:rsidP="006A0E1C">
      <w:pPr>
        <w:spacing w:line="240" w:lineRule="auto"/>
        <w:rPr>
          <w:sz w:val="16"/>
          <w:szCs w:val="16"/>
        </w:rPr>
      </w:pPr>
      <w:r w:rsidRPr="00EF190F">
        <w:rPr>
          <w:rStyle w:val="FootnoteReference"/>
          <w:sz w:val="16"/>
          <w:szCs w:val="16"/>
        </w:rPr>
        <w:footnoteRef/>
      </w:r>
      <w:r w:rsidRPr="00EF190F">
        <w:rPr>
          <w:sz w:val="16"/>
          <w:szCs w:val="16"/>
          <w:lang w:val="es-PE"/>
        </w:rPr>
        <w:tab/>
      </w:r>
      <w:r w:rsidRPr="00EF190F">
        <w:rPr>
          <w:i/>
          <w:sz w:val="16"/>
          <w:szCs w:val="16"/>
        </w:rPr>
        <w:t>Cfr.</w:t>
      </w:r>
      <w:r w:rsidRPr="00EF190F">
        <w:rPr>
          <w:sz w:val="16"/>
          <w:szCs w:val="16"/>
          <w:lang w:val="es-PE"/>
        </w:rPr>
        <w:t xml:space="preserve"> </w:t>
      </w:r>
      <w:r w:rsidRPr="00EF190F">
        <w:rPr>
          <w:bCs/>
          <w:i/>
          <w:sz w:val="16"/>
          <w:szCs w:val="16"/>
        </w:rPr>
        <w:t xml:space="preserve">Caso de la "Masacre de Mapiripán" Vs. Colombia. </w:t>
      </w:r>
      <w:r w:rsidRPr="00EF190F">
        <w:rPr>
          <w:bCs/>
          <w:sz w:val="16"/>
          <w:szCs w:val="16"/>
        </w:rPr>
        <w:t>Sentencia de 15 de septiembre de 2005. Serie C No. 134</w:t>
      </w:r>
      <w:r w:rsidRPr="00EF190F">
        <w:rPr>
          <w:i/>
          <w:sz w:val="16"/>
          <w:szCs w:val="16"/>
        </w:rPr>
        <w:t xml:space="preserve">, </w:t>
      </w:r>
      <w:r w:rsidRPr="00EF190F">
        <w:rPr>
          <w:sz w:val="16"/>
          <w:szCs w:val="16"/>
          <w:lang w:val="es-GT"/>
        </w:rPr>
        <w:t xml:space="preserve">párr. 179, y </w:t>
      </w:r>
      <w:r w:rsidRPr="00EF190F">
        <w:rPr>
          <w:bCs/>
          <w:i/>
          <w:sz w:val="16"/>
          <w:szCs w:val="16"/>
        </w:rPr>
        <w:t>Caso de las comunidades afrodescendientes desplazadas de la Cuenca del Río Cacarica (Operación Génesis) Vs. Colombia</w:t>
      </w:r>
      <w:r w:rsidRPr="00EF190F">
        <w:rPr>
          <w:i/>
          <w:sz w:val="16"/>
          <w:szCs w:val="16"/>
        </w:rPr>
        <w:t xml:space="preserve">, </w:t>
      </w:r>
      <w:r w:rsidRPr="00EF190F">
        <w:rPr>
          <w:sz w:val="16"/>
          <w:szCs w:val="16"/>
        </w:rPr>
        <w:t>párr. 315.</w:t>
      </w:r>
    </w:p>
  </w:footnote>
  <w:footnote w:id="191">
    <w:p w14:paraId="2947B8BA" w14:textId="77777777" w:rsidR="006A0E1C" w:rsidRPr="00EF190F" w:rsidRDefault="006A0E1C" w:rsidP="006A0E1C">
      <w:pPr>
        <w:pStyle w:val="FootnoteText"/>
        <w:rPr>
          <w:sz w:val="16"/>
          <w:szCs w:val="16"/>
        </w:rPr>
      </w:pPr>
      <w:r w:rsidRPr="00EF190F">
        <w:rPr>
          <w:rStyle w:val="FootnoteReference"/>
          <w:rFonts w:eastAsia="Calibri"/>
          <w:sz w:val="16"/>
          <w:szCs w:val="16"/>
        </w:rPr>
        <w:footnoteRef/>
      </w:r>
      <w:r w:rsidRPr="00EF190F">
        <w:rPr>
          <w:sz w:val="16"/>
          <w:szCs w:val="16"/>
        </w:rPr>
        <w:tab/>
      </w:r>
      <w:r w:rsidRPr="00EF190F">
        <w:rPr>
          <w:i/>
          <w:sz w:val="16"/>
          <w:szCs w:val="16"/>
        </w:rPr>
        <w:t xml:space="preserve">Cfr. </w:t>
      </w:r>
      <w:r w:rsidRPr="00EF190F">
        <w:rPr>
          <w:bCs/>
          <w:i/>
          <w:sz w:val="16"/>
          <w:szCs w:val="16"/>
        </w:rPr>
        <w:t xml:space="preserve">Caso de la Comunidad Moiwana Vs. Surinam, </w:t>
      </w:r>
      <w:r w:rsidRPr="00EF190F">
        <w:rPr>
          <w:sz w:val="16"/>
          <w:szCs w:val="16"/>
        </w:rPr>
        <w:t xml:space="preserve">párrs. 119 y 120, y </w:t>
      </w:r>
      <w:r w:rsidRPr="00EF190F">
        <w:rPr>
          <w:bCs/>
          <w:i/>
          <w:sz w:val="16"/>
          <w:szCs w:val="16"/>
          <w:lang w:val="es-CR"/>
        </w:rPr>
        <w:t>Caso Defensor de Derechos Humanos y otros Vs. Guatemala. Excepciones Preliminares, Fondo, Reparaciones y Costas.</w:t>
      </w:r>
      <w:r w:rsidRPr="00EF190F">
        <w:rPr>
          <w:bCs/>
          <w:sz w:val="16"/>
          <w:szCs w:val="16"/>
          <w:lang w:val="es-CR"/>
        </w:rPr>
        <w:t xml:space="preserve"> Sentencia de 28 de agosto de 2014. Serie C No. 283</w:t>
      </w:r>
      <w:r w:rsidRPr="00EF190F">
        <w:rPr>
          <w:sz w:val="16"/>
          <w:szCs w:val="16"/>
        </w:rPr>
        <w:t>, párr. 166.</w:t>
      </w:r>
    </w:p>
  </w:footnote>
  <w:footnote w:id="192">
    <w:p w14:paraId="3F868D70" w14:textId="77777777" w:rsidR="006A0E1C" w:rsidRPr="00EF190F" w:rsidRDefault="006A0E1C" w:rsidP="006A0E1C">
      <w:pPr>
        <w:pStyle w:val="FootnoteText"/>
        <w:rPr>
          <w:sz w:val="16"/>
          <w:szCs w:val="16"/>
          <w:lang w:val="es-PE"/>
        </w:rPr>
      </w:pPr>
      <w:r w:rsidRPr="00EF190F">
        <w:rPr>
          <w:rStyle w:val="FootnoteReference"/>
          <w:sz w:val="16"/>
          <w:szCs w:val="16"/>
        </w:rPr>
        <w:footnoteRef/>
      </w:r>
      <w:r w:rsidRPr="00EF190F">
        <w:rPr>
          <w:sz w:val="16"/>
          <w:szCs w:val="16"/>
        </w:rPr>
        <w:tab/>
      </w:r>
      <w:r w:rsidRPr="00EF190F">
        <w:rPr>
          <w:i/>
          <w:sz w:val="16"/>
          <w:szCs w:val="16"/>
        </w:rPr>
        <w:t>Cfr.</w:t>
      </w:r>
      <w:r w:rsidRPr="00EF190F">
        <w:rPr>
          <w:b/>
          <w:sz w:val="16"/>
          <w:szCs w:val="16"/>
        </w:rPr>
        <w:t xml:space="preserve"> </w:t>
      </w:r>
      <w:r w:rsidRPr="00EF190F">
        <w:rPr>
          <w:bCs/>
          <w:i/>
          <w:sz w:val="16"/>
          <w:szCs w:val="16"/>
          <w:lang w:val="es-CR"/>
        </w:rPr>
        <w:t xml:space="preserve">Caso Chitay Nech y otros Vs. Guatemala. Excepciones Preliminares, Fondo, Reparaciones y Costas. </w:t>
      </w:r>
      <w:r w:rsidRPr="00EF190F">
        <w:rPr>
          <w:bCs/>
          <w:sz w:val="16"/>
          <w:szCs w:val="16"/>
          <w:lang w:val="es-CR"/>
        </w:rPr>
        <w:t>Sentencia de 25 de mayo de 2010. Serie C No. 212</w:t>
      </w:r>
      <w:r w:rsidRPr="00EF190F">
        <w:rPr>
          <w:sz w:val="16"/>
          <w:szCs w:val="16"/>
        </w:rPr>
        <w:t xml:space="preserve">, párr. 149, y </w:t>
      </w:r>
      <w:r w:rsidRPr="00EF190F">
        <w:rPr>
          <w:bCs/>
          <w:i/>
          <w:sz w:val="16"/>
          <w:szCs w:val="16"/>
        </w:rPr>
        <w:t>Caso de las comunidades afrodescendientes desplazadas de la Cuenca del Río Cacarica (Operación Génesis) Vs. Colombia</w:t>
      </w:r>
      <w:r w:rsidRPr="00EF190F">
        <w:rPr>
          <w:sz w:val="16"/>
          <w:szCs w:val="16"/>
          <w:lang w:val="es-GT"/>
        </w:rPr>
        <w:t>, párr. 220</w:t>
      </w:r>
      <w:r w:rsidRPr="00EF190F">
        <w:rPr>
          <w:sz w:val="16"/>
          <w:szCs w:val="16"/>
          <w:lang w:val="es-PE"/>
        </w:rPr>
        <w:t>.</w:t>
      </w:r>
    </w:p>
  </w:footnote>
  <w:footnote w:id="193">
    <w:p w14:paraId="27ECE1AC"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ab/>
        <w:t xml:space="preserve">La Corte ha determinado que la cultura de los miembros de las comunidades indígenas corresponde a una forma de vida particular de ser, ver y actuar en el mundo, constituido a partir de su estrecha relación con sus tierras tradicionales y recursos naturales, no sólo por ser estos su principal medio de subsistencia, sino además porque constituyen un elemento integrante de su cosmovisión, religiosidad y, por ende, de su identidad cultural. </w:t>
      </w:r>
      <w:r w:rsidRPr="00EF190F">
        <w:rPr>
          <w:i/>
          <w:sz w:val="16"/>
          <w:szCs w:val="16"/>
        </w:rPr>
        <w:t>Cfr.</w:t>
      </w:r>
      <w:r w:rsidRPr="00EF190F">
        <w:rPr>
          <w:sz w:val="16"/>
          <w:szCs w:val="16"/>
        </w:rPr>
        <w:t xml:space="preserve"> </w:t>
      </w:r>
      <w:r w:rsidRPr="00EF190F">
        <w:rPr>
          <w:i/>
          <w:sz w:val="16"/>
          <w:szCs w:val="16"/>
        </w:rPr>
        <w:t xml:space="preserve">Caso Chitay Nech y otros Vs. Guatemala, </w:t>
      </w:r>
      <w:r w:rsidRPr="00EF190F">
        <w:rPr>
          <w:sz w:val="16"/>
          <w:szCs w:val="16"/>
        </w:rPr>
        <w:t xml:space="preserve">párr. 147, y </w:t>
      </w:r>
      <w:r w:rsidRPr="00EF190F">
        <w:rPr>
          <w:bCs/>
          <w:i/>
          <w:sz w:val="16"/>
          <w:szCs w:val="16"/>
          <w:lang w:val="es-CR"/>
        </w:rPr>
        <w:t>Caso Pueblos Kaliña y Lokono Vs. Surinam. Fondo, Reparaciones y Costas.</w:t>
      </w:r>
      <w:r w:rsidRPr="00EF190F">
        <w:rPr>
          <w:bCs/>
          <w:sz w:val="16"/>
          <w:szCs w:val="16"/>
          <w:lang w:val="es-CR"/>
        </w:rPr>
        <w:t xml:space="preserve"> Sentencia de 25 de noviembre de 2015. Serie C No. 309</w:t>
      </w:r>
      <w:r w:rsidRPr="00EF190F">
        <w:rPr>
          <w:sz w:val="16"/>
          <w:szCs w:val="16"/>
        </w:rPr>
        <w:t>, párr. 130.</w:t>
      </w:r>
    </w:p>
  </w:footnote>
  <w:footnote w:id="194">
    <w:p w14:paraId="459A511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eastAsia="Batang" w:cs="Times"/>
          <w:sz w:val="16"/>
          <w:szCs w:val="16"/>
        </w:rPr>
        <w:t xml:space="preserve">En este sentido, la comunidad de Chijom, que contaba con 50 casas de habitación, quedó vacía durante mucho tiempo y hoy está poblada por siete familias aproximadamente. </w:t>
      </w:r>
      <w:r w:rsidRPr="00EF190F">
        <w:rPr>
          <w:rFonts w:eastAsia="Times" w:cs="Arial"/>
          <w:sz w:val="16"/>
          <w:szCs w:val="16"/>
        </w:rPr>
        <w:t xml:space="preserve">La </w:t>
      </w:r>
      <w:r w:rsidRPr="00EF190F">
        <w:rPr>
          <w:rFonts w:eastAsia="Calibri" w:cs="Arial"/>
          <w:sz w:val="16"/>
          <w:szCs w:val="16"/>
        </w:rPr>
        <w:t>comunidad Xeabaj, que en el momento previo al impacto del conflicto armado interno contaba con una población distribuida en 80 o 90 casas de habitación en las que vivían familias extensas, hoy</w:t>
      </w:r>
      <w:r w:rsidRPr="00EF190F">
        <w:rPr>
          <w:rFonts w:eastAsia="Calibri"/>
          <w:sz w:val="16"/>
          <w:szCs w:val="16"/>
        </w:rPr>
        <w:t xml:space="preserve"> </w:t>
      </w:r>
      <w:r w:rsidRPr="00EF190F">
        <w:rPr>
          <w:rFonts w:eastAsia="Calibri" w:cs="Arial"/>
          <w:sz w:val="16"/>
          <w:szCs w:val="16"/>
        </w:rPr>
        <w:t xml:space="preserve">tiene únicamente cinco o seis casas habitadas. </w:t>
      </w:r>
      <w:r w:rsidRPr="00EF190F">
        <w:rPr>
          <w:i/>
          <w:sz w:val="16"/>
          <w:szCs w:val="16"/>
        </w:rPr>
        <w:t xml:space="preserve">Cfr. </w:t>
      </w:r>
      <w:r w:rsidRPr="00EF190F">
        <w:rPr>
          <w:sz w:val="16"/>
          <w:szCs w:val="16"/>
        </w:rPr>
        <w:t>Peritaje de Luis Raúl Francisco Salvadó Cardoza presentada ante la Corte Interamericana durante la audiencia pública el 28 de abril de 2016</w:t>
      </w:r>
      <w:r w:rsidRPr="00EF190F">
        <w:rPr>
          <w:rFonts w:cs="Arial"/>
          <w:sz w:val="16"/>
          <w:szCs w:val="16"/>
        </w:rPr>
        <w:t xml:space="preserve">. </w:t>
      </w:r>
      <w:r w:rsidRPr="00EF190F">
        <w:rPr>
          <w:rFonts w:eastAsia="Calibri" w:cs="Arial"/>
          <w:sz w:val="16"/>
          <w:szCs w:val="16"/>
        </w:rPr>
        <w:t xml:space="preserve">Asimismo, </w:t>
      </w:r>
      <w:r w:rsidRPr="00EF190F">
        <w:rPr>
          <w:rFonts w:eastAsia="Calibri"/>
          <w:sz w:val="16"/>
          <w:szCs w:val="16"/>
        </w:rPr>
        <w:t xml:space="preserve">las personas de las comunidades de Xeabaj, Toloxcoc </w:t>
      </w:r>
      <w:r w:rsidRPr="00EF190F">
        <w:rPr>
          <w:rFonts w:eastAsia="Calibri" w:cs="Arial"/>
          <w:sz w:val="16"/>
          <w:szCs w:val="16"/>
        </w:rPr>
        <w:t xml:space="preserve">y </w:t>
      </w:r>
      <w:r w:rsidRPr="00EF190F">
        <w:rPr>
          <w:rFonts w:eastAsia="Calibri"/>
          <w:sz w:val="16"/>
          <w:szCs w:val="16"/>
        </w:rPr>
        <w:t xml:space="preserve">Chirrum “ya no lograron recuperar sus líderes </w:t>
      </w:r>
      <w:r w:rsidRPr="00EF190F">
        <w:rPr>
          <w:rFonts w:eastAsia="Calibri" w:cs="Arial"/>
          <w:sz w:val="16"/>
          <w:szCs w:val="16"/>
        </w:rPr>
        <w:t xml:space="preserve">y </w:t>
      </w:r>
      <w:r w:rsidRPr="00EF190F">
        <w:rPr>
          <w:rFonts w:eastAsia="Calibri"/>
          <w:sz w:val="16"/>
          <w:szCs w:val="16"/>
        </w:rPr>
        <w:t>proyectos productivos”.</w:t>
      </w:r>
      <w:r w:rsidRPr="00EF190F">
        <w:rPr>
          <w:i/>
          <w:sz w:val="16"/>
          <w:szCs w:val="16"/>
        </w:rPr>
        <w:t xml:space="preserve"> Cfr. </w:t>
      </w:r>
      <w:r w:rsidRPr="00EF190F">
        <w:rPr>
          <w:sz w:val="16"/>
          <w:szCs w:val="16"/>
        </w:rPr>
        <w:t>Informe sobre el daño a la salud mental (moral) elaborado por la psicóloga Nieves Gómez Dupuis el 5 de mayo de 2010 (expediente de prueba, folios 1323 y 1324).</w:t>
      </w:r>
    </w:p>
  </w:footnote>
  <w:footnote w:id="195">
    <w:p w14:paraId="4C267FE7" w14:textId="77777777" w:rsidR="006A0E1C" w:rsidRPr="00EF190F" w:rsidRDefault="006A0E1C" w:rsidP="006A0E1C">
      <w:pPr>
        <w:pStyle w:val="FootnoteText"/>
        <w:rPr>
          <w:b/>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rFonts w:eastAsia="Calibri" w:cs="Verdana"/>
          <w:i/>
          <w:iCs/>
          <w:sz w:val="16"/>
          <w:szCs w:val="16"/>
        </w:rPr>
        <w:t xml:space="preserve">Caso de la Comunidad Moiwana Vs. Surinam, </w:t>
      </w:r>
      <w:r w:rsidRPr="00EF190F">
        <w:rPr>
          <w:sz w:val="16"/>
          <w:szCs w:val="16"/>
        </w:rPr>
        <w:t xml:space="preserve">párr. 108, y </w:t>
      </w:r>
      <w:r w:rsidRPr="00EF190F">
        <w:rPr>
          <w:i/>
          <w:sz w:val="16"/>
          <w:szCs w:val="16"/>
        </w:rPr>
        <w:t>Caso Masacres de Río Negro Vs. Guatemala,</w:t>
      </w:r>
      <w:r w:rsidRPr="00EF190F">
        <w:rPr>
          <w:sz w:val="16"/>
          <w:szCs w:val="16"/>
        </w:rPr>
        <w:t xml:space="preserve"> párr. 180.</w:t>
      </w:r>
    </w:p>
  </w:footnote>
  <w:footnote w:id="196">
    <w:p w14:paraId="7C05ADD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Informe escrito del perito Luis Raúl Francisco Salvadó Cardoza presentado durante la audiencia pública celebrada el 28 de abril de 2016 (expediente de prueba, folios 11674 a 11676), y Peritaje de Luis Raúl Francisco Salvadó Cardoza presentada ante la Corte Interamericana durante la audiencia pública el 28 de abril de 2016.</w:t>
      </w:r>
    </w:p>
  </w:footnote>
  <w:footnote w:id="197">
    <w:p w14:paraId="00EBD52D"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Informe sobre el daño a la salud mental (moral) elaborado por la psicóloga Nieves Gómez Dupuis el 5 de mayo de 2010 y presentado ante la Comisión Interamericana (expediente de prueba, folios 1319 y 1322).</w:t>
      </w:r>
    </w:p>
  </w:footnote>
  <w:footnote w:id="198">
    <w:p w14:paraId="725DC363"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Cs/>
          <w:sz w:val="16"/>
          <w:szCs w:val="16"/>
        </w:rPr>
        <w:t xml:space="preserve">Al respecto, el perito Salvadó </w:t>
      </w:r>
      <w:r w:rsidRPr="00EF190F">
        <w:rPr>
          <w:sz w:val="16"/>
          <w:szCs w:val="16"/>
        </w:rPr>
        <w:t xml:space="preserve">Cardoza </w:t>
      </w:r>
      <w:r w:rsidRPr="00EF190F">
        <w:rPr>
          <w:iCs/>
          <w:sz w:val="16"/>
          <w:szCs w:val="16"/>
        </w:rPr>
        <w:t>señaló que,</w:t>
      </w:r>
      <w:r w:rsidRPr="00EF190F">
        <w:rPr>
          <w:rFonts w:eastAsia="Calibri" w:cs="Arial"/>
          <w:sz w:val="16"/>
          <w:szCs w:val="16"/>
        </w:rPr>
        <w:t xml:space="preserve"> </w:t>
      </w:r>
      <w:r w:rsidRPr="00EF190F">
        <w:rPr>
          <w:rFonts w:eastAsia="Batang" w:cs="Times"/>
          <w:sz w:val="16"/>
          <w:szCs w:val="16"/>
        </w:rPr>
        <w:t xml:space="preserve">“su anterior parcela ha sido ocupada por otras personas de la misma comunidad”, incluso por </w:t>
      </w:r>
      <w:r w:rsidRPr="00EF190F">
        <w:rPr>
          <w:rFonts w:eastAsia="Times"/>
          <w:sz w:val="16"/>
          <w:szCs w:val="16"/>
        </w:rPr>
        <w:t>“gente que se aprovechó de mala fe y está ocupando las tierras”</w:t>
      </w:r>
      <w:r w:rsidRPr="00EF190F">
        <w:rPr>
          <w:rFonts w:eastAsia="Batang" w:cs="Times"/>
          <w:sz w:val="16"/>
          <w:szCs w:val="16"/>
        </w:rPr>
        <w:t>, o “sus tierras de cultivo las están utilizando […] parientes cercanos”. Así pues “</w:t>
      </w:r>
      <w:r w:rsidRPr="00EF190F">
        <w:rPr>
          <w:rFonts w:eastAsia="Calibri" w:cs="Arial"/>
          <w:sz w:val="16"/>
          <w:szCs w:val="16"/>
        </w:rPr>
        <w:t>muchos de ellos visitan o han visitado la aldea o caserío del que fueron obligados a partir, pero ya no ocupan su antigua parcela porque lugareños</w:t>
      </w:r>
      <w:r w:rsidRPr="00EF190F">
        <w:rPr>
          <w:rFonts w:eastAsia="Batang" w:cs="Times"/>
          <w:sz w:val="16"/>
          <w:szCs w:val="16"/>
        </w:rPr>
        <w:t xml:space="preserve"> </w:t>
      </w:r>
      <w:r w:rsidRPr="00EF190F">
        <w:rPr>
          <w:rFonts w:eastAsia="Calibri" w:cs="Arial"/>
          <w:sz w:val="16"/>
          <w:szCs w:val="16"/>
        </w:rPr>
        <w:t>se han apoderado de la misma o porque un pariente cercano está utilizándola y están de acuerdo con ello”. Asimismo</w:t>
      </w:r>
      <w:r w:rsidRPr="00EF190F">
        <w:rPr>
          <w:rFonts w:eastAsia="Times" w:cs="Arial"/>
          <w:sz w:val="16"/>
          <w:szCs w:val="16"/>
        </w:rPr>
        <w:t xml:space="preserve">, algunos </w:t>
      </w:r>
      <w:r w:rsidRPr="00EF190F">
        <w:rPr>
          <w:rFonts w:eastAsia="Times"/>
          <w:sz w:val="16"/>
          <w:szCs w:val="16"/>
        </w:rPr>
        <w:t xml:space="preserve">“por necesidades de dinero [han] vendido la tierra […] en lo que le[s] ofrecieron”. </w:t>
      </w:r>
      <w:r w:rsidRPr="00EF190F">
        <w:rPr>
          <w:i/>
          <w:sz w:val="16"/>
          <w:szCs w:val="16"/>
        </w:rPr>
        <w:t xml:space="preserve">Cfr. </w:t>
      </w:r>
      <w:r w:rsidRPr="00EF190F">
        <w:rPr>
          <w:sz w:val="16"/>
          <w:szCs w:val="16"/>
        </w:rPr>
        <w:t xml:space="preserve">Informe escrito del perito Luis Raúl Francisco Salvadó Cardoza presentado durante la audiencia pública celebrada el 28 de abril de 2016 (expediente de prueba, folios 11674 a 11676), y Peritaje de Luis Raúl Francisco Salvadó Cardoza presentada ante la Corte Interamericana durante la audiencia pública el 28 de abril de 2016. </w:t>
      </w:r>
      <w:r w:rsidRPr="00EF190F">
        <w:rPr>
          <w:rFonts w:eastAsia="Calibri" w:cs="Arial"/>
          <w:sz w:val="16"/>
          <w:szCs w:val="16"/>
        </w:rPr>
        <w:t xml:space="preserve">Además, la perita Dupuis señaló que “[l]as mujeres se vieron en la obligación de abandonar sus tierras o bien venderlas a precios muy bajos con el fin de obtener algún recurso económico con el que sacar adelante a su familia. </w:t>
      </w:r>
      <w:r w:rsidRPr="00EF190F">
        <w:rPr>
          <w:i/>
          <w:sz w:val="16"/>
          <w:szCs w:val="16"/>
        </w:rPr>
        <w:t xml:space="preserve">Cfr. </w:t>
      </w:r>
      <w:r w:rsidRPr="00EF190F">
        <w:rPr>
          <w:sz w:val="16"/>
          <w:szCs w:val="16"/>
        </w:rPr>
        <w:t>Informe sobre el daño a la salud mental (moral) elaborado por la psicóloga Nieves Gómez Dupuis el 5 de mayo de 2010 y presentado ante la Comisión Interamericana (expediente de prueba, folios 1319 y 1322).</w:t>
      </w:r>
    </w:p>
  </w:footnote>
  <w:footnote w:id="199">
    <w:p w14:paraId="121D94F8" w14:textId="77777777" w:rsidR="006A0E1C" w:rsidRPr="00EF190F" w:rsidRDefault="006A0E1C" w:rsidP="006A0E1C">
      <w:pPr>
        <w:pStyle w:val="FootnoteText"/>
        <w:tabs>
          <w:tab w:val="left" w:pos="360"/>
        </w:tabs>
        <w:rPr>
          <w:sz w:val="16"/>
          <w:szCs w:val="16"/>
          <w:lang w:val="es-MX"/>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w:t>
      </w:r>
      <w:r w:rsidRPr="00EF190F">
        <w:rPr>
          <w:sz w:val="16"/>
          <w:szCs w:val="16"/>
          <w:lang w:val="es-MX"/>
        </w:rPr>
        <w:t>Denuncia de 6 de junio de 2006, presentada por Miguel Chen Tahuico ante la Fiscalía Municipal de Rabinal, Baja Verapaz. (expediente de prueba, folios 1564 y 1565)</w:t>
      </w:r>
    </w:p>
  </w:footnote>
  <w:footnote w:id="200">
    <w:p w14:paraId="13E8B19B"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Informe sobre el daño a la salud mental (moral) elaborado por la psicóloga Nieves Gómez Dupuis el 5 de mayo de 2010 y presentado ante la Comisión Interamericana (expediente de prueba, folios 1307 y 1321 a 1323).</w:t>
      </w:r>
    </w:p>
  </w:footnote>
  <w:footnote w:id="201">
    <w:p w14:paraId="60F25409"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Informe escrito del perito Luis Raúl Francisco Salvadó Cardoza presentado durante la audiencia pública celebrada el 28 de abril de 2016 (expediente de prueba, folios 11673 y 11676). En el mismo sentido, Informe sobre el daño a la salud mental (moral) elaborado por la psicóloga Nieves Gómez Dupuis el 5 de mayo de 2010 y presentado ante la Comisión Interamericana (expediente de prueba, folios 1316 y 1325).</w:t>
      </w:r>
    </w:p>
  </w:footnote>
  <w:footnote w:id="202">
    <w:p w14:paraId="4B8EB71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 xml:space="preserve">Informe escrito del perito Luis Raúl Francisco Salvadó Cardoza presentado durante la audiencia pública celebrada el 28 de abril de 2016 (expediente de prueba, folios 11676 a 11678), y Peritaje de Luis Raúl Francisco Salvadó Cardoza presentada ante la Corte Interamericana durante la audiencia pública el 28 de abril de 2016. </w:t>
      </w:r>
    </w:p>
  </w:footnote>
  <w:footnote w:id="203">
    <w:p w14:paraId="3D137ED8"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Informe sobre el daño a la salud mental (moral) elaborado por la psicóloga Nieves Gómez Dupuis el 5 de mayo de 2010 y presentado ante la Comisión Interamericana (expediente de prueba, folios 1313 a 1315, 1319 y 1324).</w:t>
      </w:r>
    </w:p>
  </w:footnote>
  <w:footnote w:id="204">
    <w:p w14:paraId="2FF5FDD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 xml:space="preserve">Informe escrito del perito Luis Raúl Francisco Salvadó Cardoza presentado durante la audiencia pública celebrada el 28 de abril de 2016 (expediente de prueba, folios 11676 a 11677), y Peritaje de Luis Raúl Francisco Salvadó Cardoza presentada ante la Corte Interamericana durante la audiencia pública el 28 de abril de 2016. </w:t>
      </w:r>
    </w:p>
  </w:footnote>
  <w:footnote w:id="205">
    <w:p w14:paraId="0B18AF27" w14:textId="77777777" w:rsidR="006A0E1C" w:rsidRPr="00EF190F" w:rsidRDefault="006A0E1C" w:rsidP="006A0E1C">
      <w:pPr>
        <w:tabs>
          <w:tab w:val="left" w:pos="360"/>
        </w:tabs>
        <w:spacing w:line="240" w:lineRule="auto"/>
        <w:contextualSpacing/>
        <w:rPr>
          <w:sz w:val="16"/>
          <w:szCs w:val="16"/>
        </w:rPr>
      </w:pPr>
      <w:r w:rsidRPr="00EF190F">
        <w:rPr>
          <w:sz w:val="16"/>
          <w:szCs w:val="16"/>
          <w:vertAlign w:val="superscript"/>
        </w:rPr>
        <w:footnoteRef/>
      </w:r>
      <w:r w:rsidRPr="00EF190F">
        <w:rPr>
          <w:sz w:val="16"/>
          <w:szCs w:val="16"/>
        </w:rPr>
        <w:t xml:space="preserve"> </w:t>
      </w:r>
      <w:r w:rsidRPr="00EF190F">
        <w:rPr>
          <w:sz w:val="16"/>
          <w:szCs w:val="16"/>
        </w:rPr>
        <w:tab/>
      </w:r>
      <w:r w:rsidRPr="00EF190F">
        <w:rPr>
          <w:i/>
          <w:iCs/>
          <w:sz w:val="16"/>
          <w:szCs w:val="16"/>
        </w:rPr>
        <w:t xml:space="preserve">Cfr. </w:t>
      </w:r>
      <w:r w:rsidRPr="00EF190F">
        <w:rPr>
          <w:i/>
          <w:sz w:val="16"/>
          <w:szCs w:val="16"/>
        </w:rPr>
        <w:t xml:space="preserve">Caso </w:t>
      </w:r>
      <w:r w:rsidRPr="00EF190F">
        <w:rPr>
          <w:i/>
          <w:iCs/>
          <w:sz w:val="16"/>
          <w:szCs w:val="16"/>
        </w:rPr>
        <w:t>Masacres de Río Negro Vs. Guatemala</w:t>
      </w:r>
      <w:r w:rsidRPr="00EF190F">
        <w:rPr>
          <w:i/>
          <w:sz w:val="16"/>
          <w:szCs w:val="16"/>
        </w:rPr>
        <w:t xml:space="preserve">, </w:t>
      </w:r>
      <w:r w:rsidRPr="00EF190F">
        <w:rPr>
          <w:sz w:val="16"/>
          <w:szCs w:val="16"/>
        </w:rPr>
        <w:t>párr.58</w:t>
      </w:r>
      <w:r w:rsidRPr="00EF190F">
        <w:rPr>
          <w:i/>
          <w:sz w:val="16"/>
          <w:szCs w:val="16"/>
        </w:rPr>
        <w:t xml:space="preserve">, </w:t>
      </w:r>
      <w:r w:rsidRPr="00EF190F">
        <w:rPr>
          <w:sz w:val="16"/>
          <w:szCs w:val="16"/>
        </w:rPr>
        <w:t>nota al pie 44</w:t>
      </w:r>
      <w:r w:rsidRPr="00EF190F">
        <w:rPr>
          <w:i/>
          <w:sz w:val="16"/>
          <w:szCs w:val="16"/>
        </w:rPr>
        <w:t>,</w:t>
      </w:r>
      <w:r w:rsidRPr="00EF190F">
        <w:rPr>
          <w:sz w:val="16"/>
          <w:szCs w:val="16"/>
        </w:rPr>
        <w:t xml:space="preserve"> y</w:t>
      </w:r>
      <w:r w:rsidRPr="00EF190F">
        <w:rPr>
          <w:i/>
          <w:iCs/>
          <w:sz w:val="16"/>
          <w:szCs w:val="16"/>
        </w:rPr>
        <w:t xml:space="preserve"> </w:t>
      </w:r>
      <w:r w:rsidRPr="00EF190F">
        <w:rPr>
          <w:bCs/>
          <w:i/>
          <w:iCs/>
          <w:sz w:val="16"/>
          <w:szCs w:val="16"/>
        </w:rPr>
        <w:t>Caso Masacre Plan de Sánchez Vs. Guatemala. Fondo.</w:t>
      </w:r>
      <w:r w:rsidRPr="00EF190F">
        <w:rPr>
          <w:bCs/>
          <w:iCs/>
          <w:sz w:val="16"/>
          <w:szCs w:val="16"/>
        </w:rPr>
        <w:t xml:space="preserve"> Sentencia de 29 de abril de 2004. Serie C No. 105</w:t>
      </w:r>
      <w:r w:rsidRPr="00EF190F">
        <w:rPr>
          <w:iCs/>
          <w:sz w:val="16"/>
          <w:szCs w:val="16"/>
        </w:rPr>
        <w:t>,</w:t>
      </w:r>
      <w:r w:rsidRPr="00EF190F">
        <w:rPr>
          <w:sz w:val="16"/>
          <w:szCs w:val="16"/>
        </w:rPr>
        <w:t xml:space="preserve"> párr. 42.5.</w:t>
      </w:r>
    </w:p>
  </w:footnote>
  <w:footnote w:id="206">
    <w:p w14:paraId="4D04108F" w14:textId="77777777" w:rsidR="006A0E1C" w:rsidRPr="00EF190F" w:rsidRDefault="006A0E1C" w:rsidP="006A0E1C">
      <w:pPr>
        <w:pStyle w:val="FootnoteText"/>
        <w:tabs>
          <w:tab w:val="left" w:pos="360"/>
        </w:tabs>
        <w:rPr>
          <w:b/>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i/>
          <w:sz w:val="16"/>
          <w:szCs w:val="16"/>
        </w:rPr>
        <w:t xml:space="preserve">Cfr. </w:t>
      </w:r>
      <w:r w:rsidRPr="00EF190F">
        <w:rPr>
          <w:rFonts w:eastAsia="Times"/>
          <w:sz w:val="16"/>
          <w:szCs w:val="16"/>
        </w:rPr>
        <w:t xml:space="preserve">Perito Alejandro Rodríguez Barilla (expediente de prueba, folios 11568 y 11569). </w:t>
      </w:r>
    </w:p>
  </w:footnote>
  <w:footnote w:id="207">
    <w:p w14:paraId="2FFC09EE"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iCs/>
          <w:sz w:val="16"/>
          <w:szCs w:val="16"/>
          <w:lang w:val="es-CR"/>
        </w:rPr>
        <w:t xml:space="preserve">Cfr. </w:t>
      </w:r>
      <w:r w:rsidRPr="00EF190F">
        <w:rPr>
          <w:sz w:val="16"/>
          <w:szCs w:val="16"/>
          <w:lang w:val="es-CR"/>
        </w:rPr>
        <w:t xml:space="preserve">Informe de la CEH </w:t>
      </w:r>
      <w:r w:rsidRPr="00EF190F">
        <w:rPr>
          <w:i/>
          <w:iCs/>
          <w:sz w:val="16"/>
          <w:szCs w:val="16"/>
          <w:lang w:val="es-CR"/>
        </w:rPr>
        <w:t>“Guatemala, Memoria del Silencio”</w:t>
      </w:r>
      <w:r w:rsidRPr="00EF190F">
        <w:rPr>
          <w:sz w:val="16"/>
          <w:szCs w:val="16"/>
          <w:lang w:val="es-CR"/>
        </w:rPr>
        <w:t xml:space="preserve">, </w:t>
      </w:r>
      <w:r w:rsidRPr="00EF190F">
        <w:rPr>
          <w:iCs/>
          <w:sz w:val="16"/>
          <w:szCs w:val="16"/>
          <w:lang w:val="es-CR"/>
        </w:rPr>
        <w:t>Capítulo Segundo</w:t>
      </w:r>
      <w:r w:rsidRPr="00EF190F">
        <w:rPr>
          <w:sz w:val="16"/>
          <w:szCs w:val="16"/>
          <w:lang w:val="es-CR"/>
        </w:rPr>
        <w:t xml:space="preserve">, párrs. 2353 y 2384. </w:t>
      </w:r>
    </w:p>
  </w:footnote>
  <w:footnote w:id="208">
    <w:p w14:paraId="7315A9FA"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Los nombres de los mencionados familiares de Juana García Depaz son: Mateo Grave, Adrián García Manuel, Hugo García de Paz, </w:t>
      </w:r>
      <w:r w:rsidRPr="00EF190F">
        <w:rPr>
          <w:rFonts w:cs="Calibri"/>
          <w:sz w:val="16"/>
          <w:szCs w:val="16"/>
        </w:rPr>
        <w:t>Agapito Alvarado Depáz</w:t>
      </w:r>
      <w:r w:rsidRPr="00EF190F">
        <w:rPr>
          <w:sz w:val="16"/>
          <w:szCs w:val="16"/>
        </w:rPr>
        <w:t>, Eusebia Grave García, José León Grave García y Efraín García de Paz (</w:t>
      </w:r>
      <w:r w:rsidRPr="00EF190F">
        <w:rPr>
          <w:i/>
          <w:sz w:val="16"/>
          <w:szCs w:val="16"/>
        </w:rPr>
        <w:t>supra</w:t>
      </w:r>
      <w:r w:rsidRPr="00EF190F">
        <w:rPr>
          <w:sz w:val="16"/>
          <w:szCs w:val="16"/>
        </w:rPr>
        <w:t xml:space="preserve"> párrs. 86, 99, 115 y 148)</w:t>
      </w:r>
    </w:p>
  </w:footnote>
  <w:footnote w:id="209">
    <w:p w14:paraId="2126D6B4"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rPr>
        <w:t>Declaración de Juana García Depaz en la audiencia pública celebrada el 28 de abril de 2016</w:t>
      </w:r>
      <w:r w:rsidRPr="00EF190F">
        <w:rPr>
          <w:bCs/>
          <w:sz w:val="16"/>
          <w:szCs w:val="16"/>
        </w:rPr>
        <w:t>.</w:t>
      </w:r>
    </w:p>
  </w:footnote>
  <w:footnote w:id="210">
    <w:p w14:paraId="6A078D08"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pt-BR"/>
        </w:rPr>
        <w:t xml:space="preserve"> </w:t>
      </w:r>
      <w:r w:rsidRPr="00EF190F">
        <w:rPr>
          <w:sz w:val="16"/>
          <w:szCs w:val="16"/>
          <w:lang w:val="pt-BR"/>
        </w:rPr>
        <w:tab/>
      </w:r>
      <w:r w:rsidRPr="00EF190F">
        <w:rPr>
          <w:i/>
          <w:sz w:val="16"/>
          <w:szCs w:val="16"/>
          <w:lang w:val="pt-BR"/>
        </w:rPr>
        <w:t xml:space="preserve">Cfr. </w:t>
      </w:r>
      <w:r w:rsidRPr="00EF190F">
        <w:rPr>
          <w:sz w:val="16"/>
          <w:szCs w:val="16"/>
          <w:lang w:val="pt-BR"/>
        </w:rPr>
        <w:t>Informe REMHI “</w:t>
      </w:r>
      <w:r w:rsidRPr="00EF190F">
        <w:rPr>
          <w:i/>
          <w:iCs/>
          <w:sz w:val="16"/>
          <w:szCs w:val="16"/>
          <w:lang w:val="pt-BR"/>
        </w:rPr>
        <w:t>Guatemala: Nunca Más”</w:t>
      </w:r>
      <w:r w:rsidRPr="00EF190F">
        <w:rPr>
          <w:sz w:val="16"/>
          <w:szCs w:val="16"/>
          <w:lang w:val="pt-BR"/>
        </w:rPr>
        <w:t xml:space="preserve">, Tomo I, Capítulo Quinto, Título </w:t>
      </w:r>
      <w:r w:rsidRPr="00EF190F">
        <w:rPr>
          <w:bCs/>
          <w:sz w:val="16"/>
          <w:szCs w:val="16"/>
          <w:lang w:val="pt-BR"/>
        </w:rPr>
        <w:t>5</w:t>
      </w:r>
      <w:hyperlink r:id="rId5" w:anchor="t1c5e5" w:history="1">
        <w:r w:rsidRPr="00EF190F">
          <w:rPr>
            <w:rStyle w:val="Hyperlink"/>
            <w:bCs/>
            <w:color w:val="auto"/>
            <w:sz w:val="16"/>
            <w:szCs w:val="16"/>
            <w:u w:val="none"/>
            <w:lang w:val="pt-BR"/>
          </w:rPr>
          <w:t xml:space="preserve">. </w:t>
        </w:r>
        <w:r w:rsidRPr="00EF190F">
          <w:rPr>
            <w:rStyle w:val="Hyperlink"/>
            <w:bCs/>
            <w:color w:val="auto"/>
            <w:sz w:val="16"/>
            <w:szCs w:val="16"/>
            <w:u w:val="none"/>
          </w:rPr>
          <w:t>La resistencia de las mujeres</w:t>
        </w:r>
      </w:hyperlink>
      <w:r w:rsidRPr="00EF190F">
        <w:rPr>
          <w:sz w:val="16"/>
          <w:szCs w:val="16"/>
        </w:rPr>
        <w:t xml:space="preserve">. </w:t>
      </w:r>
    </w:p>
  </w:footnote>
  <w:footnote w:id="211">
    <w:p w14:paraId="3EBA5D59"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bCs/>
          <w:sz w:val="16"/>
          <w:szCs w:val="16"/>
          <w:lang w:val="es-ES"/>
        </w:rPr>
        <w:t xml:space="preserve">Respecto a la violencia sexual en conflictos armados, el Comité Internacional de la Cruz Roja ha señalado que </w:t>
      </w:r>
      <w:r w:rsidRPr="00EF190F">
        <w:rPr>
          <w:sz w:val="16"/>
          <w:szCs w:val="16"/>
          <w:shd w:val="clear" w:color="auto" w:fill="FBFAF6"/>
        </w:rPr>
        <w:t>“[t]anto los niños nacidos como consecuencia de violaciones como sus madres también son extremadamente vulnerables y pueden enfrentar un mayor riesgo de exclusión de la comunidad. Estos niños pueden incluso ser víctimas de infanticidio u otras formas de violencia”. Disponible en:</w:t>
      </w:r>
      <w:r w:rsidRPr="00EF190F">
        <w:rPr>
          <w:bCs/>
          <w:sz w:val="16"/>
          <w:szCs w:val="16"/>
          <w:lang w:val="es-ES"/>
        </w:rPr>
        <w:t xml:space="preserve"> </w:t>
      </w:r>
      <w:hyperlink r:id="rId6" w:history="1">
        <w:r w:rsidRPr="00EF190F">
          <w:rPr>
            <w:rStyle w:val="Hyperlink"/>
            <w:color w:val="auto"/>
            <w:sz w:val="16"/>
            <w:szCs w:val="16"/>
            <w:u w:val="none"/>
          </w:rPr>
          <w:t>https://www.icrc.org/spa/resources/documents/faq/sexual-violence-questions-and-answers.htm</w:t>
        </w:r>
      </w:hyperlink>
      <w:r w:rsidRPr="00EF190F">
        <w:rPr>
          <w:sz w:val="16"/>
          <w:szCs w:val="16"/>
        </w:rPr>
        <w:t xml:space="preserve">. </w:t>
      </w:r>
      <w:r w:rsidRPr="00EF190F">
        <w:rPr>
          <w:i/>
          <w:iCs/>
          <w:sz w:val="16"/>
          <w:szCs w:val="16"/>
        </w:rPr>
        <w:t>Véase, además</w:t>
      </w:r>
      <w:r w:rsidRPr="00EF190F">
        <w:rPr>
          <w:iCs/>
          <w:sz w:val="16"/>
          <w:szCs w:val="16"/>
        </w:rPr>
        <w:t xml:space="preserve">: </w:t>
      </w:r>
      <w:r w:rsidRPr="00EF190F">
        <w:rPr>
          <w:sz w:val="16"/>
          <w:szCs w:val="16"/>
        </w:rPr>
        <w:t>Informe REMHI “</w:t>
      </w:r>
      <w:r w:rsidRPr="00EF190F">
        <w:rPr>
          <w:i/>
          <w:iCs/>
          <w:sz w:val="16"/>
          <w:szCs w:val="16"/>
        </w:rPr>
        <w:t>Guatemala: Nunca Más”</w:t>
      </w:r>
      <w:r w:rsidRPr="00EF190F">
        <w:rPr>
          <w:sz w:val="16"/>
          <w:szCs w:val="16"/>
        </w:rPr>
        <w:t xml:space="preserve">, Tomo I, Capítulo Segundo, Títulos: </w:t>
      </w:r>
      <w:hyperlink r:id="rId7" w:anchor="t1c2e1" w:history="1">
        <w:r w:rsidRPr="00EF190F">
          <w:rPr>
            <w:rStyle w:val="Hyperlink"/>
            <w:bCs/>
            <w:color w:val="auto"/>
            <w:sz w:val="16"/>
            <w:szCs w:val="16"/>
            <w:u w:val="none"/>
          </w:rPr>
          <w:t>1. La violencia contra la infancia</w:t>
        </w:r>
      </w:hyperlink>
      <w:r w:rsidRPr="00EF190F">
        <w:rPr>
          <w:sz w:val="16"/>
          <w:szCs w:val="16"/>
          <w:lang w:val="es-CR"/>
        </w:rPr>
        <w:t xml:space="preserve"> y </w:t>
      </w:r>
      <w:hyperlink r:id="rId8" w:anchor="t1c2e4" w:history="1">
        <w:r w:rsidRPr="00EF190F">
          <w:rPr>
            <w:rStyle w:val="Hyperlink"/>
            <w:bCs/>
            <w:color w:val="auto"/>
            <w:sz w:val="16"/>
            <w:szCs w:val="16"/>
            <w:u w:val="none"/>
          </w:rPr>
          <w:t>4. Los hijos de la violencia</w:t>
        </w:r>
      </w:hyperlink>
      <w:r w:rsidRPr="00EF190F">
        <w:rPr>
          <w:sz w:val="16"/>
          <w:szCs w:val="16"/>
        </w:rPr>
        <w:t>.</w:t>
      </w:r>
    </w:p>
  </w:footnote>
  <w:footnote w:id="212">
    <w:p w14:paraId="0E9BF953"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ab/>
      </w:r>
      <w:r w:rsidRPr="00EF190F">
        <w:rPr>
          <w:i/>
          <w:sz w:val="16"/>
          <w:szCs w:val="16"/>
        </w:rPr>
        <w:t xml:space="preserve">Cfr. </w:t>
      </w:r>
      <w:r w:rsidRPr="00EF190F">
        <w:rPr>
          <w:bCs/>
          <w:i/>
          <w:sz w:val="16"/>
          <w:szCs w:val="16"/>
          <w:lang w:val="es-CR"/>
        </w:rPr>
        <w:t xml:space="preserve">Caso Baena Ricardo y otros Vs. Panamá. Excepciones Preliminares. </w:t>
      </w:r>
      <w:r w:rsidRPr="00EF190F">
        <w:rPr>
          <w:bCs/>
          <w:sz w:val="16"/>
          <w:szCs w:val="16"/>
          <w:lang w:val="es-CR"/>
        </w:rPr>
        <w:t>Sentencia de 18 de noviembre de 1999. Serie C No. 61</w:t>
      </w:r>
      <w:r w:rsidRPr="00EF190F">
        <w:rPr>
          <w:sz w:val="16"/>
          <w:szCs w:val="16"/>
        </w:rPr>
        <w:t>, párr. 156, y</w:t>
      </w:r>
      <w:r w:rsidRPr="00EF190F">
        <w:rPr>
          <w:b/>
          <w:bCs/>
          <w:sz w:val="16"/>
          <w:szCs w:val="16"/>
        </w:rPr>
        <w:t xml:space="preserve"> </w:t>
      </w:r>
      <w:r w:rsidRPr="00EF190F">
        <w:rPr>
          <w:bCs/>
          <w:i/>
          <w:sz w:val="16"/>
          <w:szCs w:val="16"/>
          <w:lang w:val="es-CR"/>
        </w:rPr>
        <w:t xml:space="preserve">Caso García y familiares Vs. Guatemala, </w:t>
      </w:r>
      <w:r w:rsidRPr="00EF190F">
        <w:rPr>
          <w:sz w:val="16"/>
          <w:szCs w:val="16"/>
        </w:rPr>
        <w:t>párr. 116.</w:t>
      </w:r>
    </w:p>
  </w:footnote>
  <w:footnote w:id="213">
    <w:p w14:paraId="10B89E67" w14:textId="77777777" w:rsidR="006A0E1C" w:rsidRPr="00EF190F" w:rsidRDefault="006A0E1C" w:rsidP="006A0E1C">
      <w:pPr>
        <w:pStyle w:val="FootnoteText"/>
        <w:tabs>
          <w:tab w:val="left" w:pos="360"/>
        </w:tabs>
        <w:rPr>
          <w:b/>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Mutatis mutandi</w:t>
      </w:r>
      <w:r w:rsidRPr="00EF190F">
        <w:rPr>
          <w:sz w:val="16"/>
          <w:szCs w:val="16"/>
        </w:rPr>
        <w:t xml:space="preserve">, </w:t>
      </w:r>
      <w:r w:rsidRPr="00EF190F">
        <w:rPr>
          <w:rStyle w:val="Strong"/>
          <w:b w:val="0"/>
          <w:i/>
          <w:sz w:val="16"/>
          <w:szCs w:val="16"/>
          <w:shd w:val="clear" w:color="auto" w:fill="FFFFFF"/>
        </w:rPr>
        <w:t>Caso Masacres de Río Negro Vs. Guatemala. Excepción Preliminar, Fondo, Reparaciones y Costas.</w:t>
      </w:r>
      <w:r w:rsidRPr="00EF190F">
        <w:rPr>
          <w:rStyle w:val="Strong"/>
          <w:b w:val="0"/>
          <w:sz w:val="16"/>
          <w:szCs w:val="16"/>
          <w:shd w:val="clear" w:color="auto" w:fill="FFFFFF"/>
        </w:rPr>
        <w:t xml:space="preserve"> Sentencia de 4 de septiembre de 2012. Serie C No. 250, párrs. 167 a 168.</w:t>
      </w:r>
    </w:p>
  </w:footnote>
  <w:footnote w:id="214">
    <w:p w14:paraId="15A18034"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El artículo 8.1 de la Convención señala: “Toda persona tiene derecho a ser oída, con las debidas garantías y dentro de un plazo razonable, por un juez o tribunal competente, independiente e imparcial, establecido con anterioridad por la ley, en la sustanciación de cualquier acusación penal formulada contra ella, o para la determinación de sus derechos y obligaciones de orden civil, laboral, fiscal o de cualquier otro carácter”. </w:t>
      </w:r>
      <w:r w:rsidRPr="00EF190F">
        <w:rPr>
          <w:sz w:val="16"/>
          <w:szCs w:val="16"/>
          <w:lang w:val="es-CR"/>
        </w:rPr>
        <w:t>El artículo 25</w:t>
      </w:r>
      <w:r w:rsidRPr="00EF190F">
        <w:rPr>
          <w:sz w:val="16"/>
          <w:szCs w:val="16"/>
        </w:rPr>
        <w:t>.1</w:t>
      </w:r>
      <w:r w:rsidRPr="00EF190F">
        <w:rPr>
          <w:sz w:val="16"/>
          <w:szCs w:val="16"/>
          <w:lang w:val="es-CR"/>
        </w:rPr>
        <w:t xml:space="preserve"> de la Convención expresa: “</w:t>
      </w:r>
      <w:r w:rsidRPr="00EF190F">
        <w:rPr>
          <w:rFonts w:cs="Tahoma"/>
          <w:sz w:val="16"/>
          <w:szCs w:val="16"/>
          <w:lang w:val="es-CR"/>
        </w:rPr>
        <w:t>Toda persona tiene derecho a un recurso sencillo y rápido o a cualquier otro recurso efectivo ante los jueces o tribunales competentes, que la ampare contra actos que violen sus derechos fundamentales reconocidos por la Constitución, la ley o la presente Convención, aun cuando tal violación sea cometida por personas que actúen en ejercicio de sus funciones o</w:t>
      </w:r>
      <w:r w:rsidRPr="00EF190F">
        <w:rPr>
          <w:rFonts w:cs="Tahoma"/>
          <w:sz w:val="16"/>
          <w:szCs w:val="16"/>
        </w:rPr>
        <w:t>ficiales</w:t>
      </w:r>
      <w:r w:rsidRPr="00EF190F">
        <w:rPr>
          <w:rFonts w:cs="Tahoma"/>
          <w:sz w:val="16"/>
          <w:szCs w:val="16"/>
          <w:lang w:val="es-CR"/>
        </w:rPr>
        <w:t>”.</w:t>
      </w:r>
    </w:p>
  </w:footnote>
  <w:footnote w:id="215">
    <w:p w14:paraId="6FC019DD" w14:textId="77777777" w:rsidR="006A0E1C" w:rsidRPr="00EF190F" w:rsidRDefault="006A0E1C" w:rsidP="006A0E1C">
      <w:pPr>
        <w:tabs>
          <w:tab w:val="left" w:pos="360"/>
        </w:tabs>
        <w:spacing w:line="240" w:lineRule="auto"/>
        <w:rPr>
          <w:rFonts w:cs="Tahoma"/>
          <w:color w:val="000000"/>
          <w:sz w:val="16"/>
          <w:szCs w:val="16"/>
          <w:shd w:val="clear" w:color="auto" w:fill="FFFFFF"/>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Tahoma"/>
          <w:sz w:val="16"/>
          <w:szCs w:val="16"/>
        </w:rPr>
        <w:t>El artículo I.b de la CIDFP establece: “Los Estados Partes en esta Convención se comprometen a: […] b) Sancionar en el ámbito de su jurisdicción a los autores, cómplices y encubridores del delito de desaparición forzada de personas, así como la tentativa de comisión del mismo”.</w:t>
      </w:r>
    </w:p>
  </w:footnote>
  <w:footnote w:id="216">
    <w:p w14:paraId="37AD1E5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El artículo 1 de la CIPST establece: “Los Estados partes se obligan a prevenir y a sancionar la tortura en los términos de la presente Convención”. El artículo 6 de la CIPST establece: “De conformidad con lo dispuesto en el artículo 1, los Estados partes tomarán medidas efectivas para prevenir y sancionar la tortura en el ámbito de su jurisdicción. Los Estados partes se asegurarán de que todos los actos de tortura y los intentos de cometer tales actos constituyan delitos conforme a su derecho penal, estableciendo para castigarlos sanciones severas que tengan en cuenta su gravedad. Igualmente, los Estados partes tomarán medidas efectivas para prevenir y sancionar, además, otros tratos o penas crueles, inhumanos o degradantes en el ámbito de su jurisdicción”. El artículo 8 de la CIPST establece: “Los Estados partes garantizarán a toda persona que denuncie haber sido sometida a tortura en el ámbito de su jurisdicción el derecho a que el caso sea examinado imparcialmente. Asimismo, cuando exista denuncia o razón fundada para creer que se ha cometido un acto de tortura en el ámbito de su jurisdicción, los Estados partes garantizarán que sus respectivas autoridades procederán de oficio y de inmediato a realizar una investigación sobre el caso y a iniciar, cuando corresponda, el respectivo proceso penal. Una vez agotado el ordenamiento jurídico interno del respectivo Estado y los recursos que éste prevé, el caso podrá ser sometido a instancias internacionales cuya competencia haya sido aceptada por ese Estado”.</w:t>
      </w:r>
    </w:p>
  </w:footnote>
  <w:footnote w:id="217">
    <w:p w14:paraId="077278A1" w14:textId="77777777" w:rsidR="006A0E1C" w:rsidRPr="00EF190F" w:rsidRDefault="006A0E1C" w:rsidP="006A0E1C">
      <w:pPr>
        <w:tabs>
          <w:tab w:val="left" w:pos="360"/>
        </w:tabs>
        <w:spacing w:line="240" w:lineRule="auto"/>
        <w:rPr>
          <w:b/>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z w:val="16"/>
          <w:szCs w:val="16"/>
          <w:lang w:val="es-PR"/>
        </w:rPr>
        <w:t>El artículo 7.b de la Convención de Belém do Pará establece: “</w:t>
      </w:r>
      <w:r w:rsidRPr="00EF190F">
        <w:rPr>
          <w:rFonts w:cs="Tahoma"/>
          <w:color w:val="000000"/>
          <w:sz w:val="16"/>
          <w:szCs w:val="16"/>
          <w:shd w:val="clear" w:color="auto" w:fill="FFFFFF"/>
        </w:rPr>
        <w:t>Los Estados Partes condenan todas las formas de violencia contra la mujer y convienen en adoptar, por todos los medios apropiados y sin dilaciones, políticas orientadas a prevenir, sancionar y erradicar dicha violencia y en llevar a cabo lo siguiente: […] b) actuar con la debida diligencia para prevenir, investigar y sancionar la violencia contra la mujer”.</w:t>
      </w:r>
    </w:p>
  </w:footnote>
  <w:footnote w:id="218">
    <w:p w14:paraId="4D8A7DB9" w14:textId="77777777" w:rsidR="006A0E1C" w:rsidRPr="00EF190F" w:rsidRDefault="006A0E1C" w:rsidP="006A0E1C">
      <w:pPr>
        <w:pStyle w:val="FootnoteText"/>
        <w:tabs>
          <w:tab w:val="left" w:pos="360"/>
        </w:tabs>
        <w:rPr>
          <w:b/>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En particular, sostuvo que a partir del año 2011 se investigan “diversos hechos ocurridos en esa región” dentro del expediente MP001-2012-364, presuntamente tramitado por la Unidad de Casos Especiales del Enfrentamiento Armado Interno de la Fiscalía de Sección de Derechos Humanos. </w:t>
      </w:r>
    </w:p>
  </w:footnote>
  <w:footnote w:id="219">
    <w:p w14:paraId="5505F5C0"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w:t>
      </w:r>
      <w:r w:rsidRPr="00EF190F">
        <w:rPr>
          <w:rFonts w:eastAsia="Calibri" w:cs="Verdana"/>
          <w:i/>
          <w:iCs/>
          <w:sz w:val="16"/>
          <w:szCs w:val="16"/>
          <w:lang w:val="es-MX"/>
        </w:rPr>
        <w:t>Caso Velásquez Rodríguez Vs. Honduras. Excepciones Preliminares</w:t>
      </w:r>
      <w:r w:rsidRPr="00EF190F">
        <w:rPr>
          <w:i/>
          <w:sz w:val="16"/>
          <w:szCs w:val="16"/>
          <w:lang w:val="es-PR"/>
        </w:rPr>
        <w:t xml:space="preserve">. </w:t>
      </w:r>
      <w:r w:rsidRPr="00EF190F">
        <w:rPr>
          <w:sz w:val="16"/>
          <w:szCs w:val="16"/>
          <w:lang w:val="es-PR"/>
        </w:rPr>
        <w:t>Sentencia de 26 de junio de 1987. Serie C No. 1,</w:t>
      </w:r>
      <w:r w:rsidRPr="00EF190F">
        <w:rPr>
          <w:i/>
          <w:sz w:val="16"/>
          <w:szCs w:val="16"/>
          <w:lang w:val="es-PR"/>
        </w:rPr>
        <w:t xml:space="preserve"> </w:t>
      </w:r>
      <w:r w:rsidRPr="00EF190F">
        <w:rPr>
          <w:sz w:val="16"/>
          <w:szCs w:val="16"/>
          <w:lang w:val="es-PR"/>
        </w:rPr>
        <w:t xml:space="preserve">párr. 91, y </w:t>
      </w:r>
      <w:r w:rsidRPr="00EF190F">
        <w:rPr>
          <w:bCs/>
          <w:i/>
          <w:sz w:val="16"/>
          <w:szCs w:val="16"/>
          <w:lang w:val="es-CR"/>
        </w:rPr>
        <w:t xml:space="preserve">Caso Maldonado Ordoñez Vs. Guatemala. Excepción Preliminar, Fondo, Reparaciones y Costas. </w:t>
      </w:r>
      <w:r w:rsidRPr="00EF190F">
        <w:rPr>
          <w:bCs/>
          <w:sz w:val="16"/>
          <w:szCs w:val="16"/>
          <w:lang w:val="es-CR"/>
        </w:rPr>
        <w:t>Sentencia de 3 de mayo de 2016. Serie C No. 311.</w:t>
      </w:r>
      <w:r w:rsidRPr="00EF190F">
        <w:rPr>
          <w:sz w:val="16"/>
          <w:szCs w:val="16"/>
          <w:lang w:val="es-PR"/>
        </w:rPr>
        <w:t xml:space="preserve"> párr. 71.</w:t>
      </w:r>
    </w:p>
  </w:footnote>
  <w:footnote w:id="220">
    <w:p w14:paraId="60B1B4E5"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cs="Tahoma"/>
          <w:i/>
          <w:sz w:val="16"/>
          <w:szCs w:val="16"/>
          <w:lang w:val="es-PR"/>
        </w:rPr>
        <w:t xml:space="preserve">Cfr. </w:t>
      </w:r>
      <w:r w:rsidRPr="00EF190F">
        <w:rPr>
          <w:rFonts w:eastAsia="Calibri" w:cs="Verdana-Italic"/>
          <w:i/>
          <w:iCs/>
          <w:sz w:val="16"/>
          <w:szCs w:val="16"/>
          <w:lang w:val="es-MX"/>
        </w:rPr>
        <w:t>Caso Velásquez Rodríguez Vs. Honduras. Fondo</w:t>
      </w:r>
      <w:r w:rsidRPr="00EF190F">
        <w:rPr>
          <w:rFonts w:eastAsia="Calibri" w:cs="Verdana-Italic"/>
          <w:iCs/>
          <w:sz w:val="16"/>
          <w:szCs w:val="16"/>
          <w:lang w:val="es-MX"/>
        </w:rPr>
        <w:t xml:space="preserve">, párr. 181, y </w:t>
      </w:r>
      <w:r w:rsidRPr="00EF190F">
        <w:rPr>
          <w:bCs/>
          <w:i/>
          <w:sz w:val="16"/>
          <w:szCs w:val="16"/>
          <w:lang w:val="es-CR"/>
        </w:rPr>
        <w:t>Caso Masacres de Río Negro Vs. Guatemala</w:t>
      </w:r>
      <w:r w:rsidRPr="00EF190F">
        <w:rPr>
          <w:bCs/>
          <w:sz w:val="16"/>
          <w:szCs w:val="16"/>
          <w:lang w:val="es-CR"/>
        </w:rPr>
        <w:t>,</w:t>
      </w:r>
      <w:r w:rsidRPr="00EF190F">
        <w:rPr>
          <w:sz w:val="16"/>
          <w:szCs w:val="16"/>
          <w:lang w:val="es-PR"/>
        </w:rPr>
        <w:t xml:space="preserve"> párr. 194.</w:t>
      </w:r>
    </w:p>
  </w:footnote>
  <w:footnote w:id="221">
    <w:p w14:paraId="1C758F7C" w14:textId="77777777" w:rsidR="006A0E1C" w:rsidRPr="00EF190F" w:rsidRDefault="006A0E1C" w:rsidP="006A0E1C">
      <w:pPr>
        <w:tabs>
          <w:tab w:val="left" w:pos="360"/>
        </w:tabs>
        <w:autoSpaceDE w:val="0"/>
        <w:autoSpaceDN w:val="0"/>
        <w:spacing w:line="240" w:lineRule="auto"/>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cs="Verdana-Italic"/>
          <w:i/>
          <w:iCs/>
          <w:sz w:val="16"/>
          <w:szCs w:val="16"/>
          <w:lang w:val="es-PR"/>
        </w:rPr>
        <w:t>Cfr. C</w:t>
      </w:r>
      <w:r w:rsidRPr="00EF190F">
        <w:rPr>
          <w:rFonts w:eastAsia="Calibri" w:cs="Verdana-Italic"/>
          <w:bCs/>
          <w:i/>
          <w:iCs/>
          <w:sz w:val="16"/>
          <w:szCs w:val="16"/>
        </w:rPr>
        <w:t>aso Anzualdo Castro Vs. Perú</w:t>
      </w:r>
      <w:r w:rsidRPr="00EF190F">
        <w:rPr>
          <w:rFonts w:eastAsia="Calibri" w:cs="Verdana-Italic"/>
          <w:bCs/>
          <w:iCs/>
          <w:sz w:val="16"/>
          <w:szCs w:val="16"/>
        </w:rPr>
        <w:t>,</w:t>
      </w:r>
      <w:r w:rsidRPr="00EF190F">
        <w:rPr>
          <w:rFonts w:eastAsia="Calibri" w:cs="Verdana"/>
          <w:sz w:val="16"/>
          <w:szCs w:val="16"/>
          <w:lang w:val="es-PR"/>
        </w:rPr>
        <w:t xml:space="preserve"> párr. 119, y </w:t>
      </w:r>
      <w:r w:rsidRPr="00EF190F">
        <w:rPr>
          <w:i/>
          <w:sz w:val="16"/>
          <w:szCs w:val="16"/>
          <w:lang w:val="es-PR"/>
        </w:rPr>
        <w:t>Caso Masacres de Río Negro Vs. Guatemala</w:t>
      </w:r>
      <w:r w:rsidRPr="00EF190F">
        <w:rPr>
          <w:sz w:val="16"/>
          <w:szCs w:val="16"/>
          <w:lang w:val="es-PR"/>
        </w:rPr>
        <w:t>, párr. 194.</w:t>
      </w:r>
    </w:p>
  </w:footnote>
  <w:footnote w:id="222">
    <w:p w14:paraId="650E36CD" w14:textId="77777777" w:rsidR="006A0E1C" w:rsidRPr="00EF190F" w:rsidRDefault="006A0E1C" w:rsidP="006A0E1C">
      <w:pPr>
        <w:tabs>
          <w:tab w:val="left" w:pos="360"/>
        </w:tabs>
        <w:autoSpaceDE w:val="0"/>
        <w:autoSpaceDN w:val="0"/>
        <w:spacing w:line="240" w:lineRule="auto"/>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cs="Verdana"/>
          <w:i/>
          <w:iCs/>
          <w:sz w:val="16"/>
          <w:szCs w:val="16"/>
          <w:lang w:val="es-PR"/>
        </w:rPr>
        <w:t>Cfr. Caso de la Masacre de la Rochela Vs. Colombia. Fondo, Reparaciones y Costas</w:t>
      </w:r>
      <w:r w:rsidRPr="00EF190F">
        <w:rPr>
          <w:rFonts w:eastAsia="Calibri" w:cs="Verdana"/>
          <w:sz w:val="16"/>
          <w:szCs w:val="16"/>
          <w:lang w:val="es-PR"/>
        </w:rPr>
        <w:t>. Sentencia de 11 de</w:t>
      </w:r>
      <w:r w:rsidRPr="00EF190F">
        <w:rPr>
          <w:rFonts w:eastAsia="Calibri" w:cs="Verdana"/>
          <w:sz w:val="16"/>
          <w:szCs w:val="16"/>
          <w:lang w:val="es-MX"/>
        </w:rPr>
        <w:t xml:space="preserve"> mayo de 2007. Serie C No. 163, párr. 19</w:t>
      </w:r>
      <w:r w:rsidRPr="00EF190F">
        <w:rPr>
          <w:sz w:val="16"/>
          <w:szCs w:val="16"/>
          <w:lang w:val="es-PR"/>
        </w:rPr>
        <w:t xml:space="preserve">5, y </w:t>
      </w:r>
      <w:r w:rsidRPr="00EF190F">
        <w:rPr>
          <w:i/>
          <w:sz w:val="16"/>
          <w:szCs w:val="16"/>
          <w:lang w:val="es-PR"/>
        </w:rPr>
        <w:t>Caso Masacres de Río Negro Vs. Guatemala</w:t>
      </w:r>
      <w:r w:rsidRPr="00EF190F">
        <w:rPr>
          <w:sz w:val="16"/>
          <w:szCs w:val="16"/>
          <w:lang w:val="es-PR"/>
        </w:rPr>
        <w:t>, párr. 194.</w:t>
      </w:r>
    </w:p>
  </w:footnote>
  <w:footnote w:id="223">
    <w:p w14:paraId="6D593D7F"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w:t>
      </w:r>
      <w:r w:rsidRPr="00EF190F">
        <w:rPr>
          <w:rFonts w:eastAsia="Calibri" w:cs="Verdana"/>
          <w:i/>
          <w:iCs/>
          <w:sz w:val="16"/>
          <w:szCs w:val="16"/>
          <w:lang w:val="es-MX"/>
        </w:rPr>
        <w:t>Caso de la Masacre de la Rochela Vs. Colombia</w:t>
      </w:r>
      <w:r w:rsidRPr="00EF190F">
        <w:rPr>
          <w:i/>
          <w:sz w:val="16"/>
          <w:szCs w:val="16"/>
          <w:lang w:val="es-PR"/>
        </w:rPr>
        <w:t xml:space="preserve">, </w:t>
      </w:r>
      <w:r w:rsidRPr="00EF190F">
        <w:rPr>
          <w:sz w:val="16"/>
          <w:szCs w:val="16"/>
          <w:lang w:val="es-PR"/>
        </w:rPr>
        <w:t xml:space="preserve">párr. 156, y </w:t>
      </w:r>
      <w:r w:rsidRPr="00EF190F">
        <w:rPr>
          <w:i/>
          <w:sz w:val="16"/>
          <w:szCs w:val="16"/>
          <w:lang w:val="es-PR"/>
        </w:rPr>
        <w:t>Caso Masacres de Río Negro Vs. Guatemala</w:t>
      </w:r>
      <w:r w:rsidRPr="00EF190F">
        <w:rPr>
          <w:sz w:val="16"/>
          <w:szCs w:val="16"/>
          <w:lang w:val="es-PR"/>
        </w:rPr>
        <w:t>, párr. 194.</w:t>
      </w:r>
    </w:p>
  </w:footnote>
  <w:footnote w:id="224">
    <w:p w14:paraId="139927FA" w14:textId="77777777" w:rsidR="006A0E1C" w:rsidRPr="00EF190F" w:rsidRDefault="006A0E1C" w:rsidP="006A0E1C">
      <w:pPr>
        <w:pStyle w:val="FootnoteText"/>
        <w:tabs>
          <w:tab w:val="left" w:pos="360"/>
        </w:tabs>
        <w:rPr>
          <w:b/>
          <w:sz w:val="16"/>
          <w:szCs w:val="16"/>
          <w:lang w:val="es-ES"/>
        </w:rPr>
      </w:pPr>
      <w:r w:rsidRPr="00EF190F">
        <w:rPr>
          <w:rStyle w:val="FootnoteReference"/>
          <w:sz w:val="16"/>
          <w:szCs w:val="16"/>
        </w:rPr>
        <w:footnoteRef/>
      </w:r>
      <w:r w:rsidRPr="00EF190F">
        <w:rPr>
          <w:sz w:val="16"/>
          <w:szCs w:val="16"/>
          <w:lang w:val="es-ES"/>
        </w:rPr>
        <w:t xml:space="preserve"> </w:t>
      </w:r>
      <w:r w:rsidRPr="00EF190F">
        <w:rPr>
          <w:sz w:val="16"/>
          <w:szCs w:val="16"/>
          <w:lang w:val="es-ES"/>
        </w:rPr>
        <w:tab/>
      </w:r>
      <w:r w:rsidRPr="00EF190F">
        <w:rPr>
          <w:i/>
          <w:sz w:val="16"/>
          <w:szCs w:val="16"/>
          <w:lang w:val="es-PR"/>
        </w:rPr>
        <w:t>Cfr.</w:t>
      </w:r>
      <w:r w:rsidRPr="00EF190F">
        <w:rPr>
          <w:b/>
          <w:i/>
          <w:sz w:val="16"/>
          <w:szCs w:val="16"/>
          <w:lang w:val="es-PR"/>
        </w:rPr>
        <w:t xml:space="preserve"> </w:t>
      </w:r>
      <w:r w:rsidRPr="00EF190F">
        <w:rPr>
          <w:bCs/>
          <w:i/>
          <w:sz w:val="16"/>
          <w:szCs w:val="16"/>
          <w:lang w:val="es-ES"/>
        </w:rPr>
        <w:t xml:space="preserve">Caso Almonacid Arellano y otros Vs. Chile. Excepciones Preliminares, Fondo, Reparaciones y Costas. </w:t>
      </w:r>
      <w:r w:rsidRPr="00EF190F">
        <w:rPr>
          <w:bCs/>
          <w:sz w:val="16"/>
          <w:szCs w:val="16"/>
          <w:lang w:val="es-ES"/>
        </w:rPr>
        <w:t>Sentencia de 26 de septiembre de 2006. Serie C No. 154</w:t>
      </w:r>
      <w:r w:rsidRPr="00EF190F">
        <w:rPr>
          <w:sz w:val="16"/>
          <w:szCs w:val="16"/>
          <w:lang w:val="es-ES"/>
        </w:rPr>
        <w:t xml:space="preserve">, párrs. 94 a 96 y 98 a 99, y </w:t>
      </w:r>
      <w:r w:rsidRPr="00EF190F">
        <w:rPr>
          <w:bCs/>
          <w:i/>
          <w:sz w:val="16"/>
          <w:szCs w:val="16"/>
          <w:lang w:val="es-ES"/>
        </w:rPr>
        <w:t xml:space="preserve">Caso Manuel Cepeda Vargas Vs. Colombia. Excepciones Preliminares, Fondo, Reparaciones y Costas. </w:t>
      </w:r>
      <w:r w:rsidRPr="00EF190F">
        <w:rPr>
          <w:bCs/>
          <w:sz w:val="16"/>
          <w:szCs w:val="16"/>
          <w:lang w:val="es-ES"/>
        </w:rPr>
        <w:t>Sentencia de 26 de mayo de 2010. Serie C No. 213,</w:t>
      </w:r>
      <w:r w:rsidRPr="00EF190F">
        <w:rPr>
          <w:sz w:val="16"/>
          <w:szCs w:val="16"/>
          <w:lang w:val="es-ES"/>
        </w:rPr>
        <w:t xml:space="preserve"> párr. 42.</w:t>
      </w:r>
    </w:p>
  </w:footnote>
  <w:footnote w:id="225">
    <w:p w14:paraId="759F5897" w14:textId="77777777" w:rsidR="006A0E1C" w:rsidRPr="00EF190F" w:rsidRDefault="006A0E1C" w:rsidP="006A0E1C">
      <w:pPr>
        <w:tabs>
          <w:tab w:val="left" w:pos="360"/>
        </w:tabs>
        <w:autoSpaceDE w:val="0"/>
        <w:autoSpaceDN w:val="0"/>
        <w:spacing w:line="240" w:lineRule="auto"/>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cs="Verdana-Italic"/>
          <w:i/>
          <w:iCs/>
          <w:sz w:val="16"/>
          <w:szCs w:val="16"/>
          <w:lang w:val="es-PR"/>
        </w:rPr>
        <w:t xml:space="preserve">Cfr. Caso de las Hermanas Serrano Cruz Vs. El Salvador. Fondo, Reparaciones y Costas. </w:t>
      </w:r>
      <w:r w:rsidRPr="00EF190F">
        <w:rPr>
          <w:rFonts w:eastAsia="Calibri" w:cs="Verdana"/>
          <w:sz w:val="16"/>
          <w:szCs w:val="16"/>
          <w:lang w:val="es-PR"/>
        </w:rPr>
        <w:t xml:space="preserve">Sentencia de 1 de marzo de 2005. Serie C No. 120, </w:t>
      </w:r>
      <w:r w:rsidRPr="00EF190F">
        <w:rPr>
          <w:color w:val="000000"/>
          <w:sz w:val="16"/>
          <w:szCs w:val="16"/>
          <w:lang w:val="es-ES"/>
        </w:rPr>
        <w:t>párrs. 88 y 105</w:t>
      </w:r>
      <w:r w:rsidRPr="00EF190F">
        <w:rPr>
          <w:sz w:val="16"/>
          <w:szCs w:val="16"/>
          <w:lang w:val="es-PR"/>
        </w:rPr>
        <w:t xml:space="preserve">, y </w:t>
      </w:r>
      <w:r w:rsidRPr="00EF190F">
        <w:rPr>
          <w:i/>
          <w:sz w:val="16"/>
          <w:szCs w:val="16"/>
          <w:lang w:val="es-PR"/>
        </w:rPr>
        <w:t>Caso Tenorio Roca y otros Vs. Perú. Excepciones Preliminares, Fondo, Reparaciones y Costas.</w:t>
      </w:r>
      <w:r w:rsidRPr="00EF190F">
        <w:rPr>
          <w:sz w:val="16"/>
          <w:szCs w:val="16"/>
          <w:lang w:val="es-PR"/>
        </w:rPr>
        <w:t xml:space="preserve"> Sentencia de 22 de junio de 2016. Serie C No. 314, párr. 177.</w:t>
      </w:r>
    </w:p>
  </w:footnote>
  <w:footnote w:id="226">
    <w:p w14:paraId="7D169096" w14:textId="77777777" w:rsidR="006A0E1C" w:rsidRPr="00EF190F" w:rsidRDefault="006A0E1C" w:rsidP="006A0E1C">
      <w:pPr>
        <w:tabs>
          <w:tab w:val="left" w:pos="360"/>
        </w:tabs>
        <w:autoSpaceDE w:val="0"/>
        <w:autoSpaceDN w:val="0"/>
        <w:spacing w:line="240" w:lineRule="auto"/>
        <w:rPr>
          <w:sz w:val="16"/>
          <w:szCs w:val="16"/>
          <w:lang w:val="es-PR"/>
        </w:rPr>
      </w:pPr>
      <w:r w:rsidRPr="00EF190F">
        <w:rPr>
          <w:rStyle w:val="FootnoteReference"/>
          <w:rFonts w:cs="Tahoma"/>
          <w:sz w:val="16"/>
          <w:szCs w:val="16"/>
        </w:rPr>
        <w:footnoteRef/>
      </w:r>
      <w:r w:rsidRPr="00EF190F">
        <w:rPr>
          <w:sz w:val="16"/>
          <w:szCs w:val="16"/>
          <w:lang w:val="es-PR"/>
        </w:rPr>
        <w:t xml:space="preserve"> </w:t>
      </w:r>
      <w:r w:rsidRPr="00EF190F">
        <w:rPr>
          <w:sz w:val="16"/>
          <w:szCs w:val="16"/>
          <w:lang w:val="es-PR"/>
        </w:rPr>
        <w:tab/>
      </w:r>
      <w:r w:rsidRPr="00EF190F">
        <w:rPr>
          <w:rFonts w:eastAsia="Calibri" w:cs="Verdana-Italic"/>
          <w:i/>
          <w:iCs/>
          <w:sz w:val="16"/>
          <w:szCs w:val="16"/>
          <w:lang w:val="es-PR"/>
        </w:rPr>
        <w:t>Cfr. Caso García Prieto y otros Vs. El Salvador. Excepciones Preliminares, Fondo, Reparaciones y Costas</w:t>
      </w:r>
      <w:r w:rsidRPr="00EF190F">
        <w:rPr>
          <w:rFonts w:eastAsia="Calibri" w:cs="Verdana"/>
          <w:sz w:val="16"/>
          <w:szCs w:val="16"/>
          <w:lang w:val="es-PR"/>
        </w:rPr>
        <w:t xml:space="preserve">. </w:t>
      </w:r>
      <w:r w:rsidRPr="00EF190F">
        <w:rPr>
          <w:sz w:val="16"/>
          <w:szCs w:val="16"/>
          <w:lang w:val="es-PR"/>
        </w:rPr>
        <w:t xml:space="preserve">Sentencia de 20 de noviembre de 2007. Serie C No. 168, párr. 112, y </w:t>
      </w:r>
      <w:r w:rsidRPr="00EF190F">
        <w:rPr>
          <w:bCs/>
          <w:i/>
          <w:sz w:val="16"/>
          <w:szCs w:val="16"/>
        </w:rPr>
        <w:t>Caso Comunidad Campesina de Santa Bárbara Vs. Perú</w:t>
      </w:r>
      <w:r w:rsidRPr="00EF190F">
        <w:rPr>
          <w:bCs/>
          <w:sz w:val="16"/>
          <w:szCs w:val="16"/>
        </w:rPr>
        <w:t>, párr. 237.</w:t>
      </w:r>
    </w:p>
  </w:footnote>
  <w:footnote w:id="227">
    <w:p w14:paraId="65B5D4E2"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ab/>
      </w:r>
      <w:r w:rsidRPr="00EF190F">
        <w:rPr>
          <w:i/>
          <w:sz w:val="16"/>
          <w:szCs w:val="16"/>
          <w:lang w:val="es-CR"/>
        </w:rPr>
        <w:t xml:space="preserve">Cfr. </w:t>
      </w:r>
      <w:r w:rsidRPr="00EF190F">
        <w:rPr>
          <w:bCs/>
          <w:i/>
          <w:sz w:val="16"/>
          <w:szCs w:val="16"/>
          <w:lang w:val="es-CR"/>
        </w:rPr>
        <w:t>Caso Anzualdo Castro Vs. Perú</w:t>
      </w:r>
      <w:r w:rsidRPr="00EF190F">
        <w:rPr>
          <w:sz w:val="16"/>
          <w:szCs w:val="16"/>
          <w:lang w:val="es-PR"/>
        </w:rPr>
        <w:t>,</w:t>
      </w:r>
      <w:r w:rsidRPr="00EF190F">
        <w:rPr>
          <w:sz w:val="16"/>
          <w:szCs w:val="16"/>
          <w:lang w:val="es-ES"/>
        </w:rPr>
        <w:t xml:space="preserve"> párr. 65, </w:t>
      </w:r>
      <w:r w:rsidRPr="00EF190F">
        <w:rPr>
          <w:sz w:val="16"/>
          <w:szCs w:val="16"/>
          <w:lang w:val="es-CR"/>
        </w:rPr>
        <w:t xml:space="preserve">y </w:t>
      </w:r>
      <w:r w:rsidRPr="00EF190F">
        <w:rPr>
          <w:i/>
          <w:sz w:val="16"/>
          <w:szCs w:val="16"/>
          <w:lang w:val="es-ES"/>
        </w:rPr>
        <w:t xml:space="preserve">Caso Masacres de El Mozote y lugares aledaños Vs. El Salvador, </w:t>
      </w:r>
      <w:r w:rsidRPr="00EF190F">
        <w:rPr>
          <w:sz w:val="16"/>
          <w:szCs w:val="16"/>
          <w:lang w:val="es-ES"/>
        </w:rPr>
        <w:t>párr. 247.</w:t>
      </w:r>
    </w:p>
  </w:footnote>
  <w:footnote w:id="228">
    <w:p w14:paraId="0BB4CED3"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Caso Contreras y otros Vs. El Salvador. Fondo, Reparaciones y Costas. </w:t>
      </w:r>
      <w:r w:rsidRPr="00EF190F">
        <w:rPr>
          <w:sz w:val="16"/>
          <w:szCs w:val="16"/>
          <w:lang w:val="es-PR"/>
        </w:rPr>
        <w:t xml:space="preserve">Sentencia de 31 de agosto de 2011. Serie C No. 232, párr. 127, y </w:t>
      </w:r>
      <w:r w:rsidRPr="00EF190F">
        <w:rPr>
          <w:bCs/>
          <w:i/>
          <w:sz w:val="16"/>
          <w:szCs w:val="16"/>
          <w:lang w:val="es-CR"/>
        </w:rPr>
        <w:t xml:space="preserve">Caso García Lucero y otras Vs. Chile. Excepción Preliminar, Fondo y Reparaciones. </w:t>
      </w:r>
      <w:r w:rsidRPr="00EF190F">
        <w:rPr>
          <w:bCs/>
          <w:sz w:val="16"/>
          <w:szCs w:val="16"/>
          <w:lang w:val="es-CR"/>
        </w:rPr>
        <w:t>Sentencia de 28 de agosto de 2013. Serie C No. 267</w:t>
      </w:r>
      <w:r w:rsidRPr="00EF190F">
        <w:rPr>
          <w:sz w:val="16"/>
          <w:szCs w:val="16"/>
          <w:lang w:val="es-PR"/>
        </w:rPr>
        <w:t>, párr. 149.</w:t>
      </w:r>
    </w:p>
  </w:footnote>
  <w:footnote w:id="229">
    <w:p w14:paraId="326F3DA2"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i/>
          <w:sz w:val="16"/>
          <w:szCs w:val="16"/>
          <w:lang w:val="es-PR"/>
        </w:rPr>
        <w:t>Caso Masacres de Rio Negro Vs. Guatemala</w:t>
      </w:r>
      <w:r w:rsidRPr="00EF190F">
        <w:rPr>
          <w:sz w:val="16"/>
          <w:szCs w:val="16"/>
          <w:lang w:val="es-PR"/>
        </w:rPr>
        <w:t>, párr. 222.</w:t>
      </w:r>
    </w:p>
  </w:footnote>
  <w:footnote w:id="230">
    <w:p w14:paraId="709C468A" w14:textId="77777777" w:rsidR="006A0E1C" w:rsidRPr="00EF190F" w:rsidRDefault="006A0E1C" w:rsidP="006A0E1C">
      <w:pPr>
        <w:pStyle w:val="FootnoteText"/>
        <w:tabs>
          <w:tab w:val="left" w:pos="360"/>
        </w:tabs>
        <w:rPr>
          <w:sz w:val="16"/>
          <w:szCs w:val="16"/>
          <w:lang w:val="es-ES"/>
        </w:rPr>
      </w:pPr>
      <w:r w:rsidRPr="00EF190F">
        <w:rPr>
          <w:rStyle w:val="FootnoteReference"/>
          <w:sz w:val="16"/>
          <w:szCs w:val="16"/>
        </w:rPr>
        <w:footnoteRef/>
      </w:r>
      <w:r w:rsidRPr="00EF190F">
        <w:rPr>
          <w:sz w:val="16"/>
          <w:szCs w:val="16"/>
          <w:lang w:val="es-PR"/>
        </w:rPr>
        <w:t xml:space="preserve"> </w:t>
      </w:r>
      <w:r w:rsidRPr="00EF190F">
        <w:rPr>
          <w:sz w:val="16"/>
          <w:szCs w:val="16"/>
          <w:lang w:val="es-ES"/>
        </w:rPr>
        <w:tab/>
      </w:r>
      <w:r w:rsidRPr="00EF190F">
        <w:rPr>
          <w:i/>
          <w:sz w:val="16"/>
          <w:szCs w:val="16"/>
          <w:lang w:val="es-ES"/>
        </w:rPr>
        <w:t xml:space="preserve">Cfr. </w:t>
      </w:r>
      <w:r w:rsidRPr="00EF190F">
        <w:rPr>
          <w:bCs/>
          <w:i/>
          <w:color w:val="000000"/>
          <w:sz w:val="16"/>
          <w:szCs w:val="16"/>
          <w:lang w:val="es-PR"/>
        </w:rPr>
        <w:t>Caso del Penal Miguel Castro Castro Vs. Perú</w:t>
      </w:r>
      <w:r w:rsidRPr="00EF190F">
        <w:rPr>
          <w:bCs/>
          <w:color w:val="000000"/>
          <w:sz w:val="16"/>
          <w:szCs w:val="16"/>
          <w:lang w:val="es-PR"/>
        </w:rPr>
        <w:t xml:space="preserve">. </w:t>
      </w:r>
      <w:r w:rsidRPr="00EF190F">
        <w:rPr>
          <w:bCs/>
          <w:i/>
          <w:color w:val="000000"/>
          <w:sz w:val="16"/>
          <w:szCs w:val="16"/>
          <w:lang w:val="es-PR"/>
        </w:rPr>
        <w:t>Fondo, Reparaciones y Costas.</w:t>
      </w:r>
      <w:r w:rsidRPr="00EF190F">
        <w:rPr>
          <w:bCs/>
          <w:color w:val="000000"/>
          <w:sz w:val="16"/>
          <w:szCs w:val="16"/>
          <w:lang w:val="es-PR"/>
        </w:rPr>
        <w:t xml:space="preserve"> Sentencia de 25 de noviembre de 2006. Serie C No. 160,</w:t>
      </w:r>
      <w:r w:rsidRPr="00EF190F">
        <w:rPr>
          <w:color w:val="000000"/>
          <w:sz w:val="16"/>
          <w:szCs w:val="16"/>
          <w:lang w:val="es-PR"/>
        </w:rPr>
        <w:t xml:space="preserve"> párr. 377</w:t>
      </w:r>
      <w:r w:rsidRPr="00EF190F">
        <w:rPr>
          <w:sz w:val="16"/>
          <w:szCs w:val="16"/>
          <w:lang w:val="es-ES"/>
        </w:rPr>
        <w:t xml:space="preserve">, y </w:t>
      </w:r>
      <w:r w:rsidRPr="00EF190F">
        <w:rPr>
          <w:i/>
          <w:sz w:val="16"/>
          <w:szCs w:val="16"/>
          <w:lang w:val="es-ES"/>
        </w:rPr>
        <w:t>Caso Masacres de El Mozote y lugares aledaños Vs. El Salvador</w:t>
      </w:r>
      <w:r w:rsidRPr="00EF190F">
        <w:rPr>
          <w:sz w:val="16"/>
          <w:szCs w:val="16"/>
          <w:lang w:val="es-ES"/>
        </w:rPr>
        <w:t>, párr. 246.</w:t>
      </w:r>
    </w:p>
  </w:footnote>
  <w:footnote w:id="231">
    <w:p w14:paraId="364B2268"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Caso Trabajadores de la Hacienda Brasil Verde Vs. Brasil. Excepciones preliminares, fondo, reparaciones y costas. </w:t>
      </w:r>
      <w:r w:rsidRPr="00EF190F">
        <w:rPr>
          <w:sz w:val="16"/>
          <w:szCs w:val="16"/>
        </w:rPr>
        <w:t xml:space="preserve">Sentencia de 20 de octubre de 2016. Serie C No. 318, párr. 454. </w:t>
      </w:r>
    </w:p>
  </w:footnote>
  <w:footnote w:id="232">
    <w:p w14:paraId="7B73B66F"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B07943">
        <w:rPr>
          <w:sz w:val="16"/>
          <w:szCs w:val="16"/>
          <w:lang w:val="pt-BR"/>
        </w:rPr>
        <w:t xml:space="preserve"> </w:t>
      </w:r>
      <w:r w:rsidRPr="00B07943">
        <w:rPr>
          <w:sz w:val="16"/>
          <w:szCs w:val="16"/>
          <w:lang w:val="pt-BR"/>
        </w:rPr>
        <w:tab/>
      </w:r>
      <w:r w:rsidRPr="00B07943">
        <w:rPr>
          <w:i/>
          <w:sz w:val="16"/>
          <w:szCs w:val="16"/>
          <w:lang w:val="pt-BR"/>
        </w:rPr>
        <w:t>Cfr</w:t>
      </w:r>
      <w:r w:rsidRPr="00B07943">
        <w:rPr>
          <w:sz w:val="16"/>
          <w:szCs w:val="16"/>
          <w:lang w:val="pt-BR"/>
        </w:rPr>
        <w:t xml:space="preserve">. </w:t>
      </w:r>
      <w:r w:rsidRPr="00B07943">
        <w:rPr>
          <w:i/>
          <w:sz w:val="16"/>
          <w:szCs w:val="16"/>
          <w:lang w:val="pt-BR"/>
        </w:rPr>
        <w:t xml:space="preserve">Caso Masacres de Rio Negro Vs. </w:t>
      </w:r>
      <w:r w:rsidRPr="00EF190F">
        <w:rPr>
          <w:i/>
          <w:sz w:val="16"/>
          <w:szCs w:val="16"/>
          <w:lang w:val="es-PR"/>
        </w:rPr>
        <w:t>Guatemala</w:t>
      </w:r>
      <w:r w:rsidRPr="00EF190F">
        <w:rPr>
          <w:sz w:val="16"/>
          <w:szCs w:val="16"/>
          <w:lang w:val="es-PR"/>
        </w:rPr>
        <w:t>, párr. 225.</w:t>
      </w:r>
    </w:p>
  </w:footnote>
  <w:footnote w:id="233">
    <w:p w14:paraId="212ACB8B"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lang w:val="es-CR"/>
        </w:rPr>
        <w:t xml:space="preserve">Cfr. </w:t>
      </w:r>
      <w:r w:rsidRPr="00EF190F">
        <w:rPr>
          <w:sz w:val="16"/>
          <w:szCs w:val="16"/>
          <w:lang w:val="es-CR"/>
        </w:rPr>
        <w:t xml:space="preserve">Denuncia de Ana Calate Sic presentada el 29 de marzo de 1993 (expediente de prueba, folios 729 y 730) y Ratificación de la denuncia de Ana Calate Sic presentada el 19 de abril de 1993 </w:t>
      </w:r>
      <w:r w:rsidRPr="00EF190F">
        <w:rPr>
          <w:rFonts w:cs="Arial"/>
          <w:sz w:val="16"/>
          <w:szCs w:val="16"/>
          <w:lang w:val="es-CR"/>
        </w:rPr>
        <w:t>(expediente de prueba,</w:t>
      </w:r>
      <w:r w:rsidRPr="00EF190F">
        <w:rPr>
          <w:sz w:val="16"/>
          <w:szCs w:val="16"/>
          <w:lang w:val="es-CR"/>
        </w:rPr>
        <w:t xml:space="preserve"> folios 718 a 721).</w:t>
      </w:r>
    </w:p>
  </w:footnote>
  <w:footnote w:id="234">
    <w:p w14:paraId="01CF59DC"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t>Entre</w:t>
      </w:r>
      <w:r w:rsidRPr="00EF190F">
        <w:rPr>
          <w:rFonts w:cs="Arial"/>
          <w:sz w:val="16"/>
          <w:szCs w:val="16"/>
        </w:rPr>
        <w:t xml:space="preserve"> ellos, tres documentos de “inscripción militar”, una “credencial de reservistas militares” y varios casquillos “oxidados posiblemente de calibre 22 de pistola”. </w:t>
      </w:r>
      <w:r w:rsidRPr="00EF190F">
        <w:rPr>
          <w:rFonts w:cs="Arial"/>
          <w:i/>
          <w:sz w:val="16"/>
          <w:szCs w:val="16"/>
        </w:rPr>
        <w:t xml:space="preserve">Cfr. </w:t>
      </w:r>
      <w:r w:rsidRPr="00EF190F">
        <w:rPr>
          <w:sz w:val="16"/>
          <w:szCs w:val="16"/>
          <w:lang w:val="es-CR"/>
        </w:rPr>
        <w:t>Informe del Médico Forense Departamental de 10 de agosto de 1993 (expediente de prueba, folios 655 a 658).</w:t>
      </w:r>
    </w:p>
  </w:footnote>
  <w:footnote w:id="235">
    <w:p w14:paraId="0AB6EF8B"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cs="Arial"/>
          <w:i/>
          <w:sz w:val="16"/>
          <w:szCs w:val="16"/>
        </w:rPr>
        <w:t xml:space="preserve">Cfr. </w:t>
      </w:r>
      <w:r w:rsidRPr="00EF190F">
        <w:rPr>
          <w:sz w:val="16"/>
          <w:szCs w:val="16"/>
          <w:lang w:val="es-CR"/>
        </w:rPr>
        <w:t>Oficio del Juez de Primera Instancia al Juez de Paz de Rabinal (expediente de prueba, folio 628).</w:t>
      </w:r>
    </w:p>
  </w:footnote>
  <w:footnote w:id="236">
    <w:p w14:paraId="271057D4" w14:textId="77777777" w:rsidR="006A0E1C" w:rsidRPr="00EF190F" w:rsidRDefault="006A0E1C" w:rsidP="006A0E1C">
      <w:pPr>
        <w:tabs>
          <w:tab w:val="left" w:pos="360"/>
        </w:tabs>
        <w:autoSpaceDE w:val="0"/>
        <w:autoSpaceDN w:val="0"/>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i/>
          <w:sz w:val="16"/>
          <w:szCs w:val="16"/>
        </w:rPr>
        <w:t xml:space="preserve">Cfr. </w:t>
      </w:r>
      <w:r w:rsidRPr="00EF190F">
        <w:rPr>
          <w:sz w:val="16"/>
          <w:szCs w:val="16"/>
        </w:rPr>
        <w:t xml:space="preserve">Escrito presentado por </w:t>
      </w:r>
      <w:r w:rsidRPr="00EF190F">
        <w:rPr>
          <w:rFonts w:cs="Arial"/>
          <w:bCs/>
          <w:sz w:val="16"/>
          <w:szCs w:val="16"/>
        </w:rPr>
        <w:t xml:space="preserve">Miguel Sic, Fabiana Chen </w:t>
      </w:r>
      <w:r w:rsidRPr="00EF190F">
        <w:rPr>
          <w:bCs/>
          <w:sz w:val="16"/>
          <w:szCs w:val="16"/>
        </w:rPr>
        <w:t xml:space="preserve">y </w:t>
      </w:r>
      <w:r w:rsidRPr="00EF190F">
        <w:rPr>
          <w:rFonts w:cs="Arial"/>
          <w:bCs/>
          <w:sz w:val="16"/>
          <w:szCs w:val="16"/>
        </w:rPr>
        <w:t xml:space="preserve">Teresa Cacaj el 5 de diciembre de 1997 para constituirse como querellantes adhesivos </w:t>
      </w:r>
      <w:r w:rsidRPr="00EF190F">
        <w:rPr>
          <w:rFonts w:cs="Arial"/>
          <w:sz w:val="16"/>
          <w:szCs w:val="16"/>
        </w:rPr>
        <w:t>(expediente de prueba,</w:t>
      </w:r>
      <w:r w:rsidRPr="00EF190F">
        <w:rPr>
          <w:rFonts w:cs="Arial"/>
          <w:bCs/>
          <w:sz w:val="16"/>
          <w:szCs w:val="16"/>
        </w:rPr>
        <w:t xml:space="preserve"> folios 636 a 645).</w:t>
      </w:r>
    </w:p>
  </w:footnote>
  <w:footnote w:id="237">
    <w:p w14:paraId="3906308E"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cs="Arial"/>
          <w:i/>
          <w:sz w:val="16"/>
          <w:szCs w:val="16"/>
        </w:rPr>
        <w:t xml:space="preserve">Cfr. </w:t>
      </w:r>
      <w:r w:rsidRPr="00EF190F">
        <w:rPr>
          <w:sz w:val="16"/>
          <w:szCs w:val="16"/>
          <w:lang w:val="es-CR"/>
        </w:rPr>
        <w:t xml:space="preserve">Escrito de </w:t>
      </w:r>
      <w:r w:rsidRPr="00EF190F">
        <w:rPr>
          <w:rFonts w:cs="Arial"/>
          <w:bCs/>
          <w:sz w:val="16"/>
          <w:szCs w:val="16"/>
          <w:lang w:val="es-CR"/>
        </w:rPr>
        <w:t xml:space="preserve">Miguel Sic, Fabiana Chen </w:t>
      </w:r>
      <w:r w:rsidRPr="00EF190F">
        <w:rPr>
          <w:bCs/>
          <w:sz w:val="16"/>
          <w:szCs w:val="16"/>
          <w:lang w:val="es-CR"/>
        </w:rPr>
        <w:t xml:space="preserve">y </w:t>
      </w:r>
      <w:r w:rsidRPr="00EF190F">
        <w:rPr>
          <w:rFonts w:cs="Arial"/>
          <w:bCs/>
          <w:sz w:val="16"/>
          <w:szCs w:val="16"/>
          <w:lang w:val="es-CR"/>
        </w:rPr>
        <w:t xml:space="preserve">Teresa Cacaj presentado el 29 de enero de 1998 </w:t>
      </w:r>
      <w:r w:rsidRPr="00EF190F">
        <w:rPr>
          <w:rFonts w:cs="Arial"/>
          <w:sz w:val="16"/>
          <w:szCs w:val="16"/>
          <w:lang w:val="es-CR"/>
        </w:rPr>
        <w:t>(expediente de prueba,</w:t>
      </w:r>
      <w:r w:rsidRPr="00EF190F">
        <w:rPr>
          <w:rFonts w:cs="Arial"/>
          <w:bCs/>
          <w:sz w:val="16"/>
          <w:szCs w:val="16"/>
          <w:lang w:val="es-CR"/>
        </w:rPr>
        <w:t xml:space="preserve"> folios 632 y 633).</w:t>
      </w:r>
    </w:p>
  </w:footnote>
  <w:footnote w:id="238">
    <w:p w14:paraId="3D818C4B" w14:textId="77777777" w:rsidR="006A0E1C" w:rsidRPr="00EF190F" w:rsidRDefault="006A0E1C" w:rsidP="006A0E1C">
      <w:pPr>
        <w:tabs>
          <w:tab w:val="left" w:pos="360"/>
        </w:tabs>
        <w:autoSpaceDE w:val="0"/>
        <w:autoSpaceDN w:val="0"/>
        <w:spacing w:line="240" w:lineRule="auto"/>
        <w:rPr>
          <w:rFonts w:cs="Arial"/>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i/>
          <w:sz w:val="16"/>
          <w:szCs w:val="16"/>
        </w:rPr>
        <w:t xml:space="preserve">Cfr. </w:t>
      </w:r>
      <w:r w:rsidRPr="00EF190F">
        <w:rPr>
          <w:sz w:val="16"/>
          <w:szCs w:val="16"/>
        </w:rPr>
        <w:t>I</w:t>
      </w:r>
      <w:r w:rsidRPr="00EF190F">
        <w:rPr>
          <w:rFonts w:cs="Arial"/>
          <w:sz w:val="16"/>
          <w:szCs w:val="16"/>
        </w:rPr>
        <w:t xml:space="preserve">nforme de Investigaciones Antropológico Forenses, aldea Chichupac, presentado por el EAFG en julio de </w:t>
      </w:r>
      <w:r w:rsidRPr="00EF190F">
        <w:rPr>
          <w:sz w:val="16"/>
          <w:szCs w:val="16"/>
        </w:rPr>
        <w:t xml:space="preserve">1993 </w:t>
      </w:r>
      <w:r w:rsidRPr="00EF190F">
        <w:rPr>
          <w:rFonts w:cs="Arial"/>
          <w:sz w:val="16"/>
          <w:szCs w:val="16"/>
        </w:rPr>
        <w:t>(expediente de prueba,</w:t>
      </w:r>
      <w:r w:rsidRPr="00EF190F">
        <w:rPr>
          <w:sz w:val="16"/>
          <w:szCs w:val="16"/>
        </w:rPr>
        <w:t xml:space="preserve"> folios 511, 540 y 541); </w:t>
      </w:r>
      <w:r w:rsidRPr="00EF190F">
        <w:rPr>
          <w:rFonts w:cs="Arial"/>
          <w:sz w:val="16"/>
          <w:szCs w:val="16"/>
        </w:rPr>
        <w:t>Actas de exhumación de cadáveres del Juez de Paz de Rabinal durante el período del 6 al 19 de mayo de 1993</w:t>
      </w:r>
      <w:r w:rsidRPr="00EF190F">
        <w:rPr>
          <w:sz w:val="16"/>
          <w:szCs w:val="16"/>
        </w:rPr>
        <w:t xml:space="preserve"> (expediente de prueba, folios 665 a 688); Oficio Número 830/jixt remitido por el Comisario de Policía de Salamá de 17 de mayo de 1993 (expediente de prueba, folios 689 a 692), y Oficio Número 856/jgc remitido por el Comisario de Policía de Salamá el 20 de mayo de 1993 (expediente de prueba, folios 663 a 664)</w:t>
      </w:r>
      <w:r w:rsidRPr="00EF190F">
        <w:rPr>
          <w:rFonts w:cs="Arial"/>
          <w:sz w:val="16"/>
          <w:szCs w:val="16"/>
        </w:rPr>
        <w:t>.</w:t>
      </w:r>
    </w:p>
  </w:footnote>
  <w:footnote w:id="239">
    <w:p w14:paraId="2DEFED2B"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cs="Arial"/>
          <w:i/>
          <w:sz w:val="16"/>
          <w:szCs w:val="16"/>
        </w:rPr>
        <w:t xml:space="preserve">Cfr. </w:t>
      </w:r>
      <w:r w:rsidRPr="00EF190F">
        <w:rPr>
          <w:i/>
          <w:sz w:val="16"/>
          <w:szCs w:val="16"/>
          <w:lang w:val="es-PR"/>
        </w:rPr>
        <w:t xml:space="preserve">Caso Velásquez Rodríguez Vs. Honduras. Fondo, </w:t>
      </w:r>
      <w:r w:rsidRPr="00EF190F">
        <w:rPr>
          <w:sz w:val="16"/>
          <w:szCs w:val="16"/>
          <w:lang w:val="es-PR"/>
        </w:rPr>
        <w:t xml:space="preserve">párr. 181, y </w:t>
      </w:r>
      <w:r w:rsidRPr="00EF190F">
        <w:rPr>
          <w:i/>
          <w:sz w:val="16"/>
          <w:szCs w:val="16"/>
          <w:lang w:val="es-PR"/>
        </w:rPr>
        <w:t xml:space="preserve">Caso Masacres de Rio Negro Vs. Guatemala, </w:t>
      </w:r>
      <w:r w:rsidRPr="00EF190F">
        <w:rPr>
          <w:sz w:val="16"/>
          <w:szCs w:val="16"/>
          <w:lang w:val="es-PR"/>
        </w:rPr>
        <w:t xml:space="preserve">párr. 217. </w:t>
      </w:r>
    </w:p>
  </w:footnote>
  <w:footnote w:id="240">
    <w:p w14:paraId="686A4EE1" w14:textId="77777777" w:rsidR="006A0E1C" w:rsidRPr="00EF190F" w:rsidRDefault="006A0E1C" w:rsidP="006A0E1C">
      <w:pPr>
        <w:pStyle w:val="FootnoteText"/>
        <w:tabs>
          <w:tab w:val="left" w:pos="360"/>
        </w:tabs>
        <w:rPr>
          <w:sz w:val="16"/>
          <w:szCs w:val="16"/>
          <w:lang w:val="es-GT"/>
        </w:rPr>
      </w:pPr>
      <w:r w:rsidRPr="00EF190F">
        <w:rPr>
          <w:rStyle w:val="FootnoteReference"/>
          <w:sz w:val="16"/>
          <w:szCs w:val="16"/>
        </w:rPr>
        <w:footnoteRef/>
      </w:r>
      <w:r w:rsidRPr="00EF190F">
        <w:rPr>
          <w:sz w:val="16"/>
          <w:szCs w:val="16"/>
        </w:rPr>
        <w:t xml:space="preserve"> </w:t>
      </w:r>
      <w:r w:rsidRPr="00EF190F">
        <w:rPr>
          <w:sz w:val="16"/>
          <w:szCs w:val="16"/>
          <w:lang w:val="es-GT"/>
        </w:rPr>
        <w:tab/>
      </w:r>
      <w:r w:rsidRPr="00EF190F">
        <w:rPr>
          <w:rFonts w:cs="Arial"/>
          <w:sz w:val="16"/>
          <w:szCs w:val="16"/>
        </w:rPr>
        <w:t xml:space="preserve">Solicitaron, entre otros, que se ordenara la aprehensión de los sindicados, decretándose prisión preventiva. </w:t>
      </w:r>
      <w:r w:rsidRPr="00EF190F">
        <w:rPr>
          <w:rFonts w:cs="Arial"/>
          <w:i/>
          <w:sz w:val="16"/>
          <w:szCs w:val="16"/>
        </w:rPr>
        <w:t xml:space="preserve">Cfr. </w:t>
      </w:r>
      <w:r w:rsidRPr="00EF190F">
        <w:rPr>
          <w:sz w:val="16"/>
          <w:szCs w:val="16"/>
        </w:rPr>
        <w:t xml:space="preserve">Escrito presentado por </w:t>
      </w:r>
      <w:r w:rsidRPr="00EF190F">
        <w:rPr>
          <w:rFonts w:cs="Arial"/>
          <w:bCs/>
          <w:sz w:val="16"/>
          <w:szCs w:val="16"/>
        </w:rPr>
        <w:t xml:space="preserve">Miguel Sic, Fabiana Chen </w:t>
      </w:r>
      <w:r w:rsidRPr="00EF190F">
        <w:rPr>
          <w:bCs/>
          <w:sz w:val="16"/>
          <w:szCs w:val="16"/>
        </w:rPr>
        <w:t xml:space="preserve">y </w:t>
      </w:r>
      <w:r w:rsidRPr="00EF190F">
        <w:rPr>
          <w:rFonts w:cs="Arial"/>
          <w:bCs/>
          <w:sz w:val="16"/>
          <w:szCs w:val="16"/>
        </w:rPr>
        <w:t xml:space="preserve">Teresa Cacaj el 5 de diciembre de 1997 para constituirse como querellantes adhesivos </w:t>
      </w:r>
      <w:r w:rsidRPr="00EF190F">
        <w:rPr>
          <w:rFonts w:cs="Arial"/>
          <w:sz w:val="16"/>
          <w:szCs w:val="16"/>
          <w:lang w:val="es-CR"/>
        </w:rPr>
        <w:t>(expediente de prueba,</w:t>
      </w:r>
      <w:r w:rsidRPr="00EF190F">
        <w:rPr>
          <w:rFonts w:cs="Arial"/>
          <w:bCs/>
          <w:sz w:val="16"/>
          <w:szCs w:val="16"/>
        </w:rPr>
        <w:t xml:space="preserve"> folios 636 a 645).</w:t>
      </w:r>
    </w:p>
  </w:footnote>
  <w:footnote w:id="241">
    <w:p w14:paraId="5160F9C9"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cs="Arial"/>
          <w:i/>
          <w:sz w:val="16"/>
          <w:szCs w:val="16"/>
          <w:lang w:val="es-PR"/>
        </w:rPr>
        <w:t>Cfr.</w:t>
      </w:r>
      <w:r w:rsidRPr="00EF190F">
        <w:rPr>
          <w:rFonts w:cs="Arial"/>
          <w:sz w:val="16"/>
          <w:szCs w:val="16"/>
          <w:lang w:val="es-PR"/>
        </w:rPr>
        <w:t xml:space="preserve"> </w:t>
      </w:r>
      <w:r w:rsidRPr="00EF190F">
        <w:rPr>
          <w:sz w:val="16"/>
          <w:szCs w:val="16"/>
          <w:lang w:val="es-CR"/>
        </w:rPr>
        <w:t xml:space="preserve">Declaración de </w:t>
      </w:r>
      <w:r w:rsidRPr="00EF190F">
        <w:rPr>
          <w:rFonts w:cs="Arial"/>
          <w:sz w:val="16"/>
          <w:szCs w:val="16"/>
          <w:lang w:val="es-CR"/>
        </w:rPr>
        <w:t xml:space="preserve">Miguel Sic Osorio de 27 de abril de 1999 (expediente de prueba, folios 610 a 612); </w:t>
      </w:r>
      <w:r w:rsidRPr="00EF190F">
        <w:rPr>
          <w:sz w:val="16"/>
          <w:szCs w:val="16"/>
          <w:lang w:val="es-CR"/>
        </w:rPr>
        <w:t>Declaración</w:t>
      </w:r>
      <w:r w:rsidRPr="00EF190F">
        <w:rPr>
          <w:rFonts w:cs="Arial"/>
          <w:sz w:val="16"/>
          <w:szCs w:val="16"/>
          <w:lang w:val="es-CR"/>
        </w:rPr>
        <w:t xml:space="preserve"> de Fabiana Chen Galiego de 27 de abril de 1999 (expediente de prueba, folios 613 a 615), y </w:t>
      </w:r>
      <w:r w:rsidRPr="00EF190F">
        <w:rPr>
          <w:sz w:val="16"/>
          <w:szCs w:val="16"/>
          <w:lang w:val="es-CR"/>
        </w:rPr>
        <w:t xml:space="preserve">Declaración de </w:t>
      </w:r>
      <w:r w:rsidRPr="00EF190F">
        <w:rPr>
          <w:rFonts w:cs="Arial"/>
          <w:sz w:val="16"/>
          <w:szCs w:val="16"/>
          <w:lang w:val="es-CR"/>
        </w:rPr>
        <w:t>Teresa Cacaj Cahuec de 27 de abril de 1999</w:t>
      </w:r>
      <w:r w:rsidRPr="00EF190F">
        <w:rPr>
          <w:rFonts w:cs="Arial"/>
          <w:bCs/>
          <w:sz w:val="16"/>
          <w:szCs w:val="16"/>
          <w:lang w:val="es-CR"/>
        </w:rPr>
        <w:t xml:space="preserve"> (expediente de prueba, folios 606 a 609).</w:t>
      </w:r>
    </w:p>
  </w:footnote>
  <w:footnote w:id="242">
    <w:p w14:paraId="105B6B04"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cs="Arial"/>
          <w:i/>
          <w:sz w:val="16"/>
          <w:szCs w:val="16"/>
          <w:lang w:val="es-PR"/>
        </w:rPr>
        <w:t>Cfr.</w:t>
      </w:r>
      <w:r w:rsidRPr="00EF190F">
        <w:rPr>
          <w:rFonts w:cs="Arial"/>
          <w:sz w:val="16"/>
          <w:szCs w:val="16"/>
          <w:lang w:val="es-PR"/>
        </w:rPr>
        <w:t xml:space="preserve"> </w:t>
      </w:r>
      <w:r w:rsidRPr="00EF190F">
        <w:rPr>
          <w:sz w:val="16"/>
          <w:szCs w:val="16"/>
          <w:lang w:val="es-CR"/>
        </w:rPr>
        <w:t xml:space="preserve">Declaración de </w:t>
      </w:r>
      <w:r w:rsidRPr="00EF190F">
        <w:rPr>
          <w:rFonts w:cs="Arial"/>
          <w:sz w:val="16"/>
          <w:szCs w:val="16"/>
          <w:lang w:val="es-CR"/>
        </w:rPr>
        <w:t xml:space="preserve">Miguel Sic Osorio y Teresa Cacaj Cahuec de 28 de junio de 1999 (expediente de prueba, folios 1013 a 1015); </w:t>
      </w:r>
      <w:r w:rsidRPr="00EF190F">
        <w:rPr>
          <w:sz w:val="16"/>
          <w:szCs w:val="16"/>
          <w:lang w:val="es-CR"/>
        </w:rPr>
        <w:t>Declaración de</w:t>
      </w:r>
      <w:r w:rsidRPr="00EF190F">
        <w:rPr>
          <w:rFonts w:cs="Arial"/>
          <w:sz w:val="16"/>
          <w:szCs w:val="16"/>
          <w:lang w:val="es-CR"/>
        </w:rPr>
        <w:t xml:space="preserve"> Susana Pancan de 28 de junio de 1999 (expediente de prueba, folios 1016 a 1017), y </w:t>
      </w:r>
      <w:r w:rsidRPr="00EF190F">
        <w:rPr>
          <w:sz w:val="16"/>
          <w:szCs w:val="16"/>
          <w:lang w:val="es-CR"/>
        </w:rPr>
        <w:t>Declaración de Pedro Chen Sic</w:t>
      </w:r>
      <w:r w:rsidRPr="00EF190F">
        <w:rPr>
          <w:rFonts w:cs="Arial"/>
          <w:sz w:val="16"/>
          <w:szCs w:val="16"/>
          <w:lang w:val="es-CR"/>
        </w:rPr>
        <w:t xml:space="preserve"> de 28 de junio de 1999 (expediente de prueba, folios 1022 y 1023)</w:t>
      </w:r>
      <w:r w:rsidRPr="00EF190F">
        <w:rPr>
          <w:sz w:val="16"/>
          <w:szCs w:val="16"/>
          <w:lang w:val="es-CR"/>
        </w:rPr>
        <w:t>.</w:t>
      </w:r>
    </w:p>
  </w:footnote>
  <w:footnote w:id="243">
    <w:p w14:paraId="1E252783"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r>
      <w:r w:rsidRPr="00EF190F">
        <w:rPr>
          <w:rFonts w:cs="Arial"/>
          <w:i/>
          <w:sz w:val="16"/>
          <w:szCs w:val="16"/>
          <w:lang w:val="es-PR"/>
        </w:rPr>
        <w:t>Cfr.</w:t>
      </w:r>
      <w:r w:rsidRPr="00EF190F">
        <w:rPr>
          <w:rFonts w:cs="Arial"/>
          <w:sz w:val="16"/>
          <w:szCs w:val="16"/>
          <w:lang w:val="es-PR"/>
        </w:rPr>
        <w:t xml:space="preserve"> </w:t>
      </w:r>
      <w:r w:rsidRPr="00EF190F">
        <w:rPr>
          <w:sz w:val="16"/>
          <w:szCs w:val="16"/>
        </w:rPr>
        <w:t xml:space="preserve">Oficio del </w:t>
      </w:r>
      <w:r w:rsidRPr="00EF190F">
        <w:rPr>
          <w:rFonts w:cs="Arial"/>
          <w:sz w:val="16"/>
          <w:szCs w:val="16"/>
        </w:rPr>
        <w:t>Auxiliar Fiscal de la Fiscalía Distrital del Ministerio Público de Salamá de 21 de junio de 2000 (expediente de prueba, folios 1099 y 8633)</w:t>
      </w:r>
      <w:r w:rsidRPr="00EF190F">
        <w:rPr>
          <w:sz w:val="16"/>
          <w:szCs w:val="16"/>
          <w:lang w:val="es-CR"/>
        </w:rPr>
        <w:t>.</w:t>
      </w:r>
    </w:p>
  </w:footnote>
  <w:footnote w:id="244">
    <w:p w14:paraId="126982C4"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r>
      <w:r w:rsidRPr="00EF190F">
        <w:rPr>
          <w:rFonts w:cs="Arial"/>
          <w:i/>
          <w:sz w:val="16"/>
          <w:szCs w:val="16"/>
          <w:lang w:val="es-PR"/>
        </w:rPr>
        <w:t>Cfr.</w:t>
      </w:r>
      <w:r w:rsidRPr="00EF190F">
        <w:rPr>
          <w:rFonts w:cs="Arial"/>
          <w:sz w:val="16"/>
          <w:szCs w:val="16"/>
          <w:lang w:val="es-PR"/>
        </w:rPr>
        <w:t xml:space="preserve"> </w:t>
      </w:r>
      <w:r w:rsidRPr="00EF190F">
        <w:rPr>
          <w:sz w:val="16"/>
          <w:szCs w:val="16"/>
        </w:rPr>
        <w:t xml:space="preserve">Oficio del </w:t>
      </w:r>
      <w:r w:rsidRPr="00EF190F">
        <w:rPr>
          <w:rFonts w:cs="Arial"/>
          <w:sz w:val="16"/>
          <w:szCs w:val="16"/>
        </w:rPr>
        <w:t xml:space="preserve">Encargado del Registro de Vecindad de Rabinal de 3 de julio de 2000 </w:t>
      </w:r>
      <w:r w:rsidRPr="00EF190F">
        <w:rPr>
          <w:rFonts w:cs="Arial"/>
          <w:sz w:val="16"/>
          <w:szCs w:val="16"/>
          <w:lang w:val="es-CR"/>
        </w:rPr>
        <w:t xml:space="preserve">(expediente de prueba, </w:t>
      </w:r>
      <w:r w:rsidRPr="00EF190F">
        <w:rPr>
          <w:rFonts w:cs="Arial"/>
          <w:sz w:val="16"/>
          <w:szCs w:val="16"/>
        </w:rPr>
        <w:t>folio 8628).</w:t>
      </w:r>
    </w:p>
  </w:footnote>
  <w:footnote w:id="245">
    <w:p w14:paraId="74CA5930"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cs="Arial"/>
          <w:i/>
          <w:sz w:val="16"/>
          <w:szCs w:val="16"/>
          <w:lang w:val="es-PR"/>
        </w:rPr>
        <w:t>Cfr.</w:t>
      </w:r>
      <w:r w:rsidRPr="00EF190F">
        <w:rPr>
          <w:rFonts w:cs="Arial"/>
          <w:sz w:val="16"/>
          <w:szCs w:val="16"/>
          <w:lang w:val="es-PR"/>
        </w:rPr>
        <w:t xml:space="preserve"> </w:t>
      </w:r>
      <w:r w:rsidRPr="00EF190F">
        <w:rPr>
          <w:sz w:val="16"/>
          <w:szCs w:val="16"/>
          <w:lang w:val="es-CR"/>
        </w:rPr>
        <w:t xml:space="preserve">Declaración de Pedro Chen Sic de 12 de julio de 2005 (expediente de prueba, folios 733 a 740); Declaración de Máxima Emiliana García Valey de 12 de julio de 2005 (expediente de prueba, folios 748 a 754); </w:t>
      </w:r>
      <w:r w:rsidRPr="00EF190F">
        <w:rPr>
          <w:sz w:val="16"/>
          <w:szCs w:val="16"/>
        </w:rPr>
        <w:t xml:space="preserve">Declaración de Miguel Chen Tahuico de 27 de julio de 2005 (expediente de prueba, folios 8727 a 8731); </w:t>
      </w:r>
      <w:r w:rsidRPr="00EF190F">
        <w:rPr>
          <w:sz w:val="16"/>
          <w:szCs w:val="16"/>
          <w:lang w:val="es-CR"/>
        </w:rPr>
        <w:t xml:space="preserve">Declaración de Ana Calate Sic de 27 de julio de 2005 </w:t>
      </w:r>
      <w:r w:rsidRPr="00EF190F">
        <w:rPr>
          <w:sz w:val="16"/>
          <w:szCs w:val="16"/>
        </w:rPr>
        <w:t xml:space="preserve">(expediente de prueba, </w:t>
      </w:r>
      <w:r w:rsidRPr="00EF190F">
        <w:rPr>
          <w:sz w:val="16"/>
          <w:szCs w:val="16"/>
          <w:lang w:val="es-CR"/>
        </w:rPr>
        <w:t>folios 8737 a 8740)</w:t>
      </w:r>
      <w:r w:rsidRPr="00EF190F">
        <w:rPr>
          <w:rFonts w:cs="Arial"/>
          <w:sz w:val="16"/>
          <w:szCs w:val="16"/>
        </w:rPr>
        <w:t xml:space="preserve">; </w:t>
      </w:r>
      <w:r w:rsidRPr="00EF190F">
        <w:rPr>
          <w:sz w:val="16"/>
          <w:szCs w:val="16"/>
          <w:lang w:val="es-CR"/>
        </w:rPr>
        <w:t xml:space="preserve">Declaración de Domingo Chen Tahuico de 27 de julio de 2005 </w:t>
      </w:r>
      <w:r w:rsidRPr="00EF190F">
        <w:rPr>
          <w:sz w:val="16"/>
          <w:szCs w:val="16"/>
        </w:rPr>
        <w:t xml:space="preserve">(expediente de prueba, </w:t>
      </w:r>
      <w:r w:rsidRPr="00EF190F">
        <w:rPr>
          <w:sz w:val="16"/>
          <w:szCs w:val="16"/>
          <w:lang w:val="es-CR"/>
        </w:rPr>
        <w:t>folios 8741 a 8743)</w:t>
      </w:r>
      <w:r w:rsidRPr="00EF190F">
        <w:rPr>
          <w:rFonts w:cs="Arial"/>
          <w:sz w:val="16"/>
          <w:szCs w:val="16"/>
        </w:rPr>
        <w:t xml:space="preserve">; </w:t>
      </w:r>
      <w:r w:rsidRPr="00EF190F">
        <w:rPr>
          <w:sz w:val="16"/>
          <w:szCs w:val="16"/>
          <w:lang w:val="es-CR"/>
        </w:rPr>
        <w:t xml:space="preserve">Declaración de Francisca Calate Sic de 27 de julio de 2005 </w:t>
      </w:r>
      <w:r w:rsidRPr="00EF190F">
        <w:rPr>
          <w:sz w:val="16"/>
          <w:szCs w:val="16"/>
        </w:rPr>
        <w:t xml:space="preserve">(expediente de prueba, </w:t>
      </w:r>
      <w:r w:rsidRPr="00EF190F">
        <w:rPr>
          <w:sz w:val="16"/>
          <w:szCs w:val="16"/>
          <w:lang w:val="es-CR"/>
        </w:rPr>
        <w:t>folios 8743 a 8744); Declaración de F</w:t>
      </w:r>
      <w:r>
        <w:rPr>
          <w:sz w:val="16"/>
          <w:szCs w:val="16"/>
          <w:lang w:val="es-CR"/>
        </w:rPr>
        <w:t>é</w:t>
      </w:r>
      <w:r w:rsidRPr="00EF190F">
        <w:rPr>
          <w:sz w:val="16"/>
          <w:szCs w:val="16"/>
          <w:lang w:val="es-CR"/>
        </w:rPr>
        <w:t xml:space="preserve">lix Valey Galiego de 27 de julio de 2005 </w:t>
      </w:r>
      <w:r w:rsidRPr="00EF190F">
        <w:rPr>
          <w:sz w:val="16"/>
          <w:szCs w:val="16"/>
        </w:rPr>
        <w:t xml:space="preserve">(expediente de prueba, </w:t>
      </w:r>
      <w:r w:rsidRPr="00EF190F">
        <w:rPr>
          <w:sz w:val="16"/>
          <w:szCs w:val="16"/>
          <w:lang w:val="es-CR"/>
        </w:rPr>
        <w:t xml:space="preserve">folios 8745 a 8747), y Declaración de Pedro Sic Gonzalez de 27 de julio de 2005 </w:t>
      </w:r>
      <w:r w:rsidRPr="00EF190F">
        <w:rPr>
          <w:sz w:val="16"/>
          <w:szCs w:val="16"/>
        </w:rPr>
        <w:t xml:space="preserve">(expediente de prueba, </w:t>
      </w:r>
      <w:r w:rsidRPr="00EF190F">
        <w:rPr>
          <w:sz w:val="16"/>
          <w:szCs w:val="16"/>
          <w:lang w:val="es-CR"/>
        </w:rPr>
        <w:t>folios 8748 a 8749).</w:t>
      </w:r>
    </w:p>
  </w:footnote>
  <w:footnote w:id="246">
    <w:p w14:paraId="11CC8B4A"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GT"/>
        </w:rPr>
        <w:t xml:space="preserve"> </w:t>
      </w:r>
      <w:r w:rsidRPr="00EF190F">
        <w:rPr>
          <w:sz w:val="16"/>
          <w:szCs w:val="16"/>
        </w:rPr>
        <w:tab/>
      </w:r>
      <w:r w:rsidRPr="00EF190F">
        <w:rPr>
          <w:rFonts w:cs="Arial"/>
          <w:i/>
          <w:sz w:val="16"/>
          <w:szCs w:val="16"/>
          <w:lang w:val="es-PR"/>
        </w:rPr>
        <w:t>Cfr.</w:t>
      </w:r>
      <w:r w:rsidRPr="00EF190F">
        <w:rPr>
          <w:rFonts w:cs="Arial"/>
          <w:sz w:val="16"/>
          <w:szCs w:val="16"/>
          <w:lang w:val="es-PR"/>
        </w:rPr>
        <w:t xml:space="preserve"> </w:t>
      </w:r>
      <w:r w:rsidRPr="00EF190F">
        <w:rPr>
          <w:sz w:val="16"/>
          <w:szCs w:val="16"/>
        </w:rPr>
        <w:t xml:space="preserve">Declaración de Miguel Sic Osorio de 16 de agosto de 2005 (expediente de prueba, folios 8750 y 8751); </w:t>
      </w:r>
      <w:r w:rsidRPr="00EF190F">
        <w:rPr>
          <w:sz w:val="16"/>
          <w:szCs w:val="16"/>
          <w:lang w:val="es-CR"/>
        </w:rPr>
        <w:t xml:space="preserve">Declaración de Pedro Chen Sic de 16 de agosto de 2005 </w:t>
      </w:r>
      <w:r w:rsidRPr="00EF190F">
        <w:rPr>
          <w:sz w:val="16"/>
          <w:szCs w:val="16"/>
        </w:rPr>
        <w:t xml:space="preserve">(expediente de prueba, </w:t>
      </w:r>
      <w:r w:rsidRPr="00EF190F">
        <w:rPr>
          <w:sz w:val="16"/>
          <w:szCs w:val="16"/>
          <w:lang w:val="es-CR"/>
        </w:rPr>
        <w:t xml:space="preserve">folios 8754 y 8755); Declaración de Sebastián Chen Tahuico de 16 de agosto de 2005 </w:t>
      </w:r>
      <w:r w:rsidRPr="00EF190F">
        <w:rPr>
          <w:sz w:val="16"/>
          <w:szCs w:val="16"/>
        </w:rPr>
        <w:t xml:space="preserve">(expediente de prueba, </w:t>
      </w:r>
      <w:r w:rsidRPr="00EF190F">
        <w:rPr>
          <w:sz w:val="16"/>
          <w:szCs w:val="16"/>
          <w:lang w:val="es-CR"/>
        </w:rPr>
        <w:t xml:space="preserve">folios 8760 a 8762); Declaración de Teresa Cacaj Cahuec de 16 de agosto de 2005 </w:t>
      </w:r>
      <w:r w:rsidRPr="00EF190F">
        <w:rPr>
          <w:sz w:val="16"/>
          <w:szCs w:val="16"/>
        </w:rPr>
        <w:t xml:space="preserve">(expediente de prueba, </w:t>
      </w:r>
      <w:r w:rsidRPr="00EF190F">
        <w:rPr>
          <w:sz w:val="16"/>
          <w:szCs w:val="16"/>
          <w:lang w:val="es-CR"/>
        </w:rPr>
        <w:t xml:space="preserve">folios 8752 y 8753); Declaración de Susana Pancan de 16 de agosto de 2005 </w:t>
      </w:r>
      <w:r w:rsidRPr="00EF190F">
        <w:rPr>
          <w:sz w:val="16"/>
          <w:szCs w:val="16"/>
        </w:rPr>
        <w:t xml:space="preserve">(expediente de prueba, </w:t>
      </w:r>
      <w:r w:rsidRPr="00EF190F">
        <w:rPr>
          <w:sz w:val="16"/>
          <w:szCs w:val="16"/>
          <w:lang w:val="es-CR"/>
        </w:rPr>
        <w:t xml:space="preserve">folios 8756 y 8757); Declaración de Fabiana Chen Galiego de 16 de agosto de 2005 </w:t>
      </w:r>
      <w:r w:rsidRPr="00EF190F">
        <w:rPr>
          <w:sz w:val="16"/>
          <w:szCs w:val="16"/>
        </w:rPr>
        <w:t xml:space="preserve">(expediente de prueba, </w:t>
      </w:r>
      <w:r w:rsidRPr="00EF190F">
        <w:rPr>
          <w:sz w:val="16"/>
          <w:szCs w:val="16"/>
          <w:lang w:val="es-CR"/>
        </w:rPr>
        <w:t xml:space="preserve">folios 8758 y 8759), y Declaración de María Teresa Sic Osorio de 16 de agosto de 2005 </w:t>
      </w:r>
      <w:r w:rsidRPr="00EF190F">
        <w:rPr>
          <w:sz w:val="16"/>
          <w:szCs w:val="16"/>
        </w:rPr>
        <w:t xml:space="preserve">(expediente de prueba, </w:t>
      </w:r>
      <w:r w:rsidRPr="00EF190F">
        <w:rPr>
          <w:sz w:val="16"/>
          <w:szCs w:val="16"/>
          <w:lang w:val="es-CR"/>
        </w:rPr>
        <w:t>folios 8763 y 8766).</w:t>
      </w:r>
    </w:p>
  </w:footnote>
  <w:footnote w:id="247">
    <w:p w14:paraId="6F084B4E"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eastAsia="Calibri"/>
          <w:color w:val="000000"/>
          <w:sz w:val="16"/>
          <w:szCs w:val="16"/>
          <w:lang w:eastAsia="en-US" w:bidi="en-US"/>
        </w:rPr>
        <w:t>Dos de estas personas</w:t>
      </w:r>
      <w:r w:rsidRPr="00EF190F">
        <w:rPr>
          <w:sz w:val="16"/>
          <w:szCs w:val="16"/>
          <w:lang w:val="es-CR"/>
        </w:rPr>
        <w:t xml:space="preserve"> </w:t>
      </w:r>
      <w:r w:rsidRPr="00EF190F">
        <w:rPr>
          <w:rFonts w:eastAsia="Calibri"/>
          <w:color w:val="000000"/>
          <w:sz w:val="16"/>
          <w:szCs w:val="16"/>
          <w:lang w:eastAsia="en-US" w:bidi="en-US"/>
        </w:rPr>
        <w:t>también declararon el 12 de julio de 2005 ante la Unidad de Asuntos Internos adscrita a la Fiscalía de Delitos Administrativos</w:t>
      </w:r>
      <w:r w:rsidRPr="00EF190F">
        <w:rPr>
          <w:sz w:val="16"/>
          <w:szCs w:val="16"/>
          <w:lang w:val="es-CR"/>
        </w:rPr>
        <w:t xml:space="preserve">. </w:t>
      </w:r>
      <w:r w:rsidRPr="00EF190F">
        <w:rPr>
          <w:i/>
          <w:sz w:val="16"/>
          <w:szCs w:val="16"/>
          <w:lang w:val="es-CR"/>
        </w:rPr>
        <w:t>Cfr.</w:t>
      </w:r>
      <w:r w:rsidRPr="00EF190F">
        <w:rPr>
          <w:sz w:val="16"/>
          <w:szCs w:val="16"/>
          <w:lang w:val="es-CR"/>
        </w:rPr>
        <w:t xml:space="preserve"> Declaración de Miguel Sic Osorio de 12 de julio de 2005 (expediente de prueba </w:t>
      </w:r>
      <w:r w:rsidRPr="00EF190F">
        <w:rPr>
          <w:sz w:val="16"/>
          <w:szCs w:val="16"/>
        </w:rPr>
        <w:t xml:space="preserve">prueba, </w:t>
      </w:r>
      <w:r w:rsidRPr="00EF190F">
        <w:rPr>
          <w:sz w:val="16"/>
          <w:szCs w:val="16"/>
          <w:lang w:val="es-CR"/>
        </w:rPr>
        <w:t>folios 757 a 761), y Declaración de Domingo Chen Tahuico de 12 de julio de 2005 (expediente de prueba, folios 765 a 767).</w:t>
      </w:r>
      <w:r w:rsidRPr="00EF190F">
        <w:rPr>
          <w:sz w:val="16"/>
          <w:szCs w:val="16"/>
          <w:lang w:val="es-GT"/>
        </w:rPr>
        <w:t xml:space="preserve"> No queda claro al Tribunal por qué se acudió a la Unidad de Asuntos Internos adscrita a la Fiscalía de Delitos Administrativos o en qué momento pasó el expediente a </w:t>
      </w:r>
      <w:r w:rsidRPr="00EF190F">
        <w:rPr>
          <w:rFonts w:cs="Arial"/>
          <w:sz w:val="16"/>
          <w:szCs w:val="16"/>
          <w:lang w:val="es-CR"/>
        </w:rPr>
        <w:t>la Unidad de Casos Especiales y Violaciones a los Derechos Humanos del Ministerio Público.</w:t>
      </w:r>
    </w:p>
  </w:footnote>
  <w:footnote w:id="248">
    <w:p w14:paraId="2C3DDCBC"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GT"/>
        </w:rPr>
        <w:t xml:space="preserve"> </w:t>
      </w:r>
      <w:r w:rsidRPr="00EF190F">
        <w:rPr>
          <w:sz w:val="16"/>
          <w:szCs w:val="16"/>
        </w:rPr>
        <w:tab/>
        <w:t>L</w:t>
      </w:r>
      <w:r w:rsidRPr="00EF190F">
        <w:rPr>
          <w:rFonts w:cs="Arial"/>
          <w:sz w:val="16"/>
          <w:szCs w:val="16"/>
        </w:rPr>
        <w:t xml:space="preserve">a señora Máxima Emiliana García Valey acudió ante Auxiliar Fiscal de la Fiscalía Distrital del Ministerio Público de Salamá a ampliar su declaración anterior, indicando que “por error y confusión” había mencionado el nombre de una persona como presunto responsable de la masacre en la clínica pero que “él no estuvo ahí” y que lo mencionó porque “días antes de la matanza” esta persona había violado sexualmente a su mamá, la señora Gregoria Valey Ixtecoc. </w:t>
      </w:r>
      <w:r w:rsidRPr="00EF190F">
        <w:rPr>
          <w:rFonts w:cs="Arial"/>
          <w:i/>
          <w:sz w:val="16"/>
          <w:szCs w:val="16"/>
        </w:rPr>
        <w:t>Cfr</w:t>
      </w:r>
      <w:r w:rsidRPr="00EF190F">
        <w:rPr>
          <w:rFonts w:cs="Arial"/>
          <w:sz w:val="16"/>
          <w:szCs w:val="16"/>
        </w:rPr>
        <w:t xml:space="preserve">. </w:t>
      </w:r>
      <w:r w:rsidRPr="00EF190F">
        <w:rPr>
          <w:sz w:val="16"/>
          <w:szCs w:val="16"/>
          <w:lang w:val="es-CR"/>
        </w:rPr>
        <w:t xml:space="preserve">Declaración de Máxima Emiliana García Valey de 14 de septiembre de 2005 </w:t>
      </w:r>
      <w:r w:rsidRPr="00EF190F">
        <w:rPr>
          <w:sz w:val="16"/>
          <w:szCs w:val="16"/>
        </w:rPr>
        <w:t xml:space="preserve">(expediente de prueba, </w:t>
      </w:r>
      <w:r w:rsidRPr="00EF190F">
        <w:rPr>
          <w:sz w:val="16"/>
          <w:szCs w:val="16"/>
          <w:lang w:val="es-CR"/>
        </w:rPr>
        <w:t>folios 8773 y 8774).</w:t>
      </w:r>
    </w:p>
  </w:footnote>
  <w:footnote w:id="249">
    <w:p w14:paraId="5C49D344"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r>
      <w:r w:rsidRPr="00EF190F">
        <w:rPr>
          <w:rFonts w:cs="Arial"/>
          <w:sz w:val="16"/>
          <w:szCs w:val="16"/>
          <w:lang w:val="es-GT"/>
        </w:rPr>
        <w:t>L</w:t>
      </w:r>
      <w:r w:rsidRPr="00EF190F">
        <w:rPr>
          <w:rFonts w:cs="Arial"/>
          <w:sz w:val="16"/>
          <w:szCs w:val="16"/>
        </w:rPr>
        <w:t xml:space="preserve">a señora </w:t>
      </w:r>
      <w:r w:rsidRPr="00EF190F">
        <w:rPr>
          <w:sz w:val="16"/>
          <w:szCs w:val="16"/>
          <w:lang w:val="es-CR"/>
        </w:rPr>
        <w:t>Fabiana</w:t>
      </w:r>
      <w:r w:rsidRPr="00EF190F">
        <w:rPr>
          <w:rFonts w:cs="Arial"/>
          <w:sz w:val="16"/>
          <w:szCs w:val="16"/>
        </w:rPr>
        <w:t xml:space="preserve"> Chen Galiego amplió su declaración de 27 de abril de 1999, indicando que en esta había mencionado el nombre de varios presuntos responsables pero que uno de ellos lo había mencionado por “referencia de otra personas pero que él no tuvo nada que ver en [el] caso y la masacre en la clínica”. </w:t>
      </w:r>
      <w:r w:rsidRPr="00EF190F">
        <w:rPr>
          <w:rFonts w:cs="Arial"/>
          <w:i/>
          <w:sz w:val="16"/>
          <w:szCs w:val="16"/>
        </w:rPr>
        <w:t>Cfr</w:t>
      </w:r>
      <w:r w:rsidRPr="00EF190F">
        <w:rPr>
          <w:rFonts w:cs="Arial"/>
          <w:sz w:val="16"/>
          <w:szCs w:val="16"/>
        </w:rPr>
        <w:t xml:space="preserve">. </w:t>
      </w:r>
      <w:r w:rsidRPr="00EF190F">
        <w:rPr>
          <w:sz w:val="16"/>
          <w:szCs w:val="16"/>
          <w:lang w:val="es-CR"/>
        </w:rPr>
        <w:t>Declaración de Fabiana Chen Galiego de 14 de septiembre de 2005 (expediente de prueba, folios 8775 y 8776).</w:t>
      </w:r>
    </w:p>
  </w:footnote>
  <w:footnote w:id="250">
    <w:p w14:paraId="173AAFAC" w14:textId="77777777" w:rsidR="006A0E1C" w:rsidRPr="00EF190F" w:rsidRDefault="006A0E1C" w:rsidP="006A0E1C">
      <w:pPr>
        <w:pStyle w:val="FootnoteText"/>
        <w:tabs>
          <w:tab w:val="left" w:pos="360"/>
          <w:tab w:val="left" w:pos="720"/>
        </w:tabs>
        <w:contextualSpacing/>
        <w:rPr>
          <w:spacing w:val="-4"/>
          <w:sz w:val="16"/>
          <w:szCs w:val="16"/>
          <w:lang w:val="es-PR"/>
        </w:rPr>
      </w:pPr>
      <w:r w:rsidRPr="00EF190F">
        <w:rPr>
          <w:rStyle w:val="FootnoteReference"/>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i/>
          <w:spacing w:val="-4"/>
          <w:sz w:val="16"/>
          <w:szCs w:val="16"/>
          <w:lang w:val="es-PR"/>
        </w:rPr>
        <w:t>Cfr. Caso De La Masacre de Las Dos Erres Vs. Guatemala</w:t>
      </w:r>
      <w:r w:rsidRPr="00EF190F">
        <w:rPr>
          <w:spacing w:val="-4"/>
          <w:sz w:val="16"/>
          <w:szCs w:val="16"/>
          <w:lang w:val="es-PR"/>
        </w:rPr>
        <w:t xml:space="preserve">, párr. 145, y </w:t>
      </w:r>
      <w:r w:rsidRPr="00EF190F">
        <w:rPr>
          <w:bCs/>
          <w:i/>
          <w:spacing w:val="-4"/>
          <w:sz w:val="16"/>
          <w:szCs w:val="16"/>
          <w:lang w:val="es-CR"/>
        </w:rPr>
        <w:t xml:space="preserve">Caso Quispialaya Vilcapoma Vs. Perú. Excepciones Preliminares, Fondo, Reparaciones y Costas. </w:t>
      </w:r>
      <w:r w:rsidRPr="00EF190F">
        <w:rPr>
          <w:bCs/>
          <w:spacing w:val="-4"/>
          <w:sz w:val="16"/>
          <w:szCs w:val="16"/>
          <w:lang w:val="es-CR"/>
        </w:rPr>
        <w:t xml:space="preserve">Sentencia de 23 de noviembre de 2015. Serie C No. 308, </w:t>
      </w:r>
      <w:r w:rsidRPr="00EF190F">
        <w:rPr>
          <w:spacing w:val="-4"/>
          <w:sz w:val="16"/>
          <w:szCs w:val="16"/>
          <w:lang w:val="es-PR"/>
        </w:rPr>
        <w:t>párr. 195.</w:t>
      </w:r>
    </w:p>
  </w:footnote>
  <w:footnote w:id="251">
    <w:p w14:paraId="41721667"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z w:val="16"/>
          <w:szCs w:val="16"/>
        </w:rPr>
        <w:t xml:space="preserve">Escritos presentados el 5 de diciembre de 1997, 21 de enero y 12 de mayo de 2000 por </w:t>
      </w:r>
      <w:r w:rsidRPr="00EF190F">
        <w:rPr>
          <w:rFonts w:cs="Arial"/>
          <w:bCs/>
          <w:sz w:val="16"/>
          <w:szCs w:val="16"/>
        </w:rPr>
        <w:t xml:space="preserve">Miguel Sic, Fabiana Chen </w:t>
      </w:r>
      <w:r w:rsidRPr="00EF190F">
        <w:rPr>
          <w:bCs/>
          <w:sz w:val="16"/>
          <w:szCs w:val="16"/>
        </w:rPr>
        <w:t xml:space="preserve">y </w:t>
      </w:r>
      <w:r w:rsidRPr="00EF190F">
        <w:rPr>
          <w:rFonts w:cs="Arial"/>
          <w:bCs/>
          <w:sz w:val="16"/>
          <w:szCs w:val="16"/>
        </w:rPr>
        <w:t xml:space="preserve">Teresa Cacaj para constituirse como querellantes adhesivos (expediente de prueba, folios </w:t>
      </w:r>
      <w:r w:rsidRPr="00EF190F">
        <w:rPr>
          <w:sz w:val="16"/>
          <w:szCs w:val="16"/>
          <w:lang w:val="es-CR"/>
        </w:rPr>
        <w:t xml:space="preserve">589 a 590, 595 a 596 y </w:t>
      </w:r>
      <w:r w:rsidRPr="00EF190F">
        <w:rPr>
          <w:rFonts w:cs="Arial"/>
          <w:bCs/>
          <w:sz w:val="16"/>
          <w:szCs w:val="16"/>
        </w:rPr>
        <w:t>636 a 645).</w:t>
      </w:r>
      <w:r w:rsidRPr="00EF190F">
        <w:rPr>
          <w:sz w:val="16"/>
          <w:szCs w:val="16"/>
          <w:lang w:val="es-PR"/>
        </w:rPr>
        <w:t xml:space="preserve"> </w:t>
      </w:r>
    </w:p>
  </w:footnote>
  <w:footnote w:id="252">
    <w:p w14:paraId="50D23ABE"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Oficio d</w:t>
      </w:r>
      <w:r w:rsidRPr="00EF190F">
        <w:rPr>
          <w:rFonts w:cs="Arial"/>
          <w:sz w:val="16"/>
          <w:szCs w:val="16"/>
        </w:rPr>
        <w:t>el Auxiliar Fiscal de la Fiscalía Distrital de Salamá de</w:t>
      </w:r>
      <w:r w:rsidRPr="00EF190F">
        <w:rPr>
          <w:rFonts w:cs="Arial"/>
          <w:sz w:val="16"/>
          <w:szCs w:val="16"/>
          <w:lang w:val="es-CR"/>
        </w:rPr>
        <w:t xml:space="preserve"> 21 de junio de 2000 (expediente de prueba, folios 1075 a 1079). </w:t>
      </w:r>
      <w:r w:rsidRPr="00EF190F">
        <w:rPr>
          <w:sz w:val="16"/>
          <w:szCs w:val="16"/>
        </w:rPr>
        <w:t>Mediante auto de 15 de mayo de 2000 el Juez de Primera Instancia Penal ordenó remitir la evidencia al Ministerio Público para la realización de los peritajes correspondientes (expediente de prueba, folio 582). Dicha información se remitió mediante el oficio No.C-255-93 of.40 (expediente de prueba, folios 1076 a 1078).</w:t>
      </w:r>
    </w:p>
  </w:footnote>
  <w:footnote w:id="253">
    <w:p w14:paraId="2C24763F"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z w:val="16"/>
          <w:szCs w:val="16"/>
          <w:lang w:val="es-CR"/>
        </w:rPr>
        <w:t>Dictamen No. BAL-00-0404-mxx del</w:t>
      </w:r>
      <w:r w:rsidRPr="00EF190F">
        <w:rPr>
          <w:rFonts w:cs="Arial"/>
          <w:sz w:val="16"/>
          <w:szCs w:val="16"/>
          <w:lang w:val="es-CR"/>
        </w:rPr>
        <w:t xml:space="preserve"> Técnico de Investigaciones Criminalísticas del Departamento Técnico Científico del Ministerio Público de 5 de julio de 2000</w:t>
      </w:r>
      <w:r w:rsidRPr="00EF190F">
        <w:rPr>
          <w:rFonts w:cs="Arial"/>
          <w:bCs/>
          <w:sz w:val="16"/>
          <w:szCs w:val="16"/>
          <w:lang w:val="es-CR"/>
        </w:rPr>
        <w:t xml:space="preserve"> (expediente de prueba, folios 578 a 580).</w:t>
      </w:r>
    </w:p>
  </w:footnote>
  <w:footnote w:id="254">
    <w:p w14:paraId="0DD925F5"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pacing w:val="-4"/>
          <w:sz w:val="16"/>
          <w:szCs w:val="16"/>
          <w:lang w:val="es-PR"/>
        </w:rPr>
        <w:t xml:space="preserve">Escritos de </w:t>
      </w:r>
      <w:r w:rsidRPr="00EF190F">
        <w:rPr>
          <w:spacing w:val="-4"/>
          <w:sz w:val="16"/>
          <w:szCs w:val="16"/>
          <w:lang w:val="es-CR"/>
        </w:rPr>
        <w:t>Miguel Sic Osorio, Fabiana Chen Galiego y Teresa Cacaj Cahuec</w:t>
      </w:r>
      <w:r w:rsidRPr="00EF190F">
        <w:rPr>
          <w:i/>
          <w:spacing w:val="-4"/>
          <w:sz w:val="16"/>
          <w:szCs w:val="16"/>
          <w:lang w:val="es-CR"/>
        </w:rPr>
        <w:t xml:space="preserve"> </w:t>
      </w:r>
      <w:r w:rsidRPr="00EF190F">
        <w:rPr>
          <w:sz w:val="16"/>
          <w:szCs w:val="16"/>
          <w:lang w:val="es-CR"/>
        </w:rPr>
        <w:t>(expediente de prueba, folios 597 a 605</w:t>
      </w:r>
      <w:r w:rsidRPr="00EF190F">
        <w:rPr>
          <w:sz w:val="16"/>
          <w:szCs w:val="16"/>
        </w:rPr>
        <w:t xml:space="preserve"> y 8797 a 8799).</w:t>
      </w:r>
    </w:p>
  </w:footnote>
  <w:footnote w:id="255">
    <w:p w14:paraId="5E91DE07"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z w:val="16"/>
          <w:szCs w:val="16"/>
          <w:lang w:val="es-CR"/>
        </w:rPr>
        <w:t xml:space="preserve">Oficio del </w:t>
      </w:r>
      <w:r w:rsidRPr="00EF190F">
        <w:rPr>
          <w:rFonts w:cs="Arial"/>
          <w:sz w:val="16"/>
          <w:szCs w:val="16"/>
          <w:lang w:val="es-CR"/>
        </w:rPr>
        <w:t>Auxiliar Fiscal de la Fiscalía Especial del Ministerio Público de 9 de septiembre de 2002 (expediente de prueba, folio 506).</w:t>
      </w:r>
    </w:p>
  </w:footnote>
  <w:footnote w:id="256">
    <w:p w14:paraId="1CFF8AF6" w14:textId="77777777" w:rsidR="006A0E1C" w:rsidRPr="00EF190F" w:rsidRDefault="006A0E1C" w:rsidP="006A0E1C">
      <w:pPr>
        <w:tabs>
          <w:tab w:val="left" w:pos="360"/>
        </w:tabs>
        <w:autoSpaceDE w:val="0"/>
        <w:autoSpaceDN w:val="0"/>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pacing w:val="-4"/>
          <w:sz w:val="16"/>
          <w:szCs w:val="16"/>
          <w:lang w:val="es-PR"/>
        </w:rPr>
        <w:t xml:space="preserve">Cfr. </w:t>
      </w:r>
      <w:r w:rsidRPr="00EF190F">
        <w:rPr>
          <w:sz w:val="16"/>
          <w:szCs w:val="16"/>
        </w:rPr>
        <w:t>I</w:t>
      </w:r>
      <w:r w:rsidRPr="00EF190F">
        <w:rPr>
          <w:rFonts w:cs="Arial"/>
          <w:sz w:val="16"/>
          <w:szCs w:val="16"/>
        </w:rPr>
        <w:t xml:space="preserve">nforme de Investigaciones Antropológico Forenses (expediente de prueba, </w:t>
      </w:r>
      <w:r w:rsidRPr="00EF190F">
        <w:rPr>
          <w:sz w:val="16"/>
          <w:szCs w:val="16"/>
        </w:rPr>
        <w:t xml:space="preserve">folios 508 a 574). </w:t>
      </w:r>
    </w:p>
  </w:footnote>
  <w:footnote w:id="257">
    <w:p w14:paraId="1282BFBC"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sz w:val="16"/>
          <w:szCs w:val="16"/>
          <w:lang w:val="es-CR"/>
        </w:rPr>
        <w:t xml:space="preserve">Así, por ejemplo, no se encuentra una declaración en la cual se mencione la muerte Andrea Sical, cuyo nombre aparece en el listado mencionado. </w:t>
      </w:r>
      <w:r w:rsidRPr="00EF190F">
        <w:rPr>
          <w:rFonts w:cs="Arial"/>
          <w:sz w:val="16"/>
          <w:szCs w:val="16"/>
          <w:lang w:val="es-CR"/>
        </w:rPr>
        <w:t xml:space="preserve">    </w:t>
      </w:r>
    </w:p>
  </w:footnote>
  <w:footnote w:id="258">
    <w:p w14:paraId="3D0243E6"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z w:val="16"/>
          <w:szCs w:val="16"/>
          <w:lang w:val="es-CR"/>
        </w:rPr>
        <w:t xml:space="preserve">Oficio de la </w:t>
      </w:r>
      <w:r w:rsidRPr="00EF190F">
        <w:rPr>
          <w:rFonts w:cs="Arial"/>
          <w:sz w:val="16"/>
          <w:szCs w:val="16"/>
          <w:lang w:val="es-CR"/>
        </w:rPr>
        <w:t>Registradora Civil de la Municipalidad de Rabinal de 11 de noviembre de 2002 (expediente de prueba, folio 479).</w:t>
      </w:r>
    </w:p>
  </w:footnote>
  <w:footnote w:id="259">
    <w:p w14:paraId="1AF395AA"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i/>
          <w:sz w:val="16"/>
          <w:szCs w:val="16"/>
        </w:rPr>
        <w:t>Cfr.</w:t>
      </w:r>
      <w:r w:rsidRPr="00EF190F">
        <w:rPr>
          <w:rFonts w:cs="Arial"/>
          <w:sz w:val="16"/>
          <w:szCs w:val="16"/>
        </w:rPr>
        <w:t xml:space="preserve"> Declaración de María Teresa Sic Osorio de 25 de octubre de 2000 (expediente de prueba, folios 428 a 431); Declaración de Miguel Sic Osorio de 25 de octubre de 2000 (expediente de prueba, folios 432 a 436); Declaración de Pedro Chen Sic de 25 de octubre de 2000 (expediente de prueba, folios 437 a 442); Declaración de Alberto Juarez Baley de 25 de octubre de 2000 (expediente de prueba, folios 443 a 446); Declaración de Aurelio Juárez López de 25 de octubre de 2000 (expediente de prueba, folios 447 a 450); Declaración de Sebastián Chen Tahuico de 25 de octubre de 2000 (expediente de prueba, folios 451 a 453); Declaración de Domingo Chen Tahuico de 25 de octubre de 2000 (expediente de prueba, folios 454 a 458); Declaración de Miguel Chen Tahuico de 25 de octubre de 2000 (expediente de prueba, folios 459 a 462); Declaración de Máxima Emiliana García Valey de 25 de octubre de 2000 (expediente de prueba, folios 463 a 469); Declaración de Máxima Sic González de 25 de octubre de 2000 (expediente de prueba, folios 471 a 474). </w:t>
      </w:r>
      <w:r w:rsidRPr="00EF190F">
        <w:rPr>
          <w:sz w:val="16"/>
          <w:szCs w:val="16"/>
          <w:lang w:val="es-CR"/>
        </w:rPr>
        <w:t>Todas estas declaraciones hacen referencia al expediente número MP-36-00-7 ante dos Auxiliares Fiscales del Ministerio Público en la aldea Chichupac, no así al expediente No. 255-93-Of.; sin embargo, se encuentran dentro de la Certificación del Expediente No. 001-2005-95839. En las declaraciones de Domingo Chen Tahuico y Miguel Chen Tahuico no hay número de expediente ni fecha pero están localizadas entre las declaraciones del 25 de octubre de 2000.</w:t>
      </w:r>
    </w:p>
  </w:footnote>
  <w:footnote w:id="260">
    <w:p w14:paraId="0DC15CB3"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z w:val="16"/>
          <w:szCs w:val="16"/>
          <w:lang w:val="es-CR"/>
        </w:rPr>
        <w:t>Declaración de Vicenta Mendoza Alvarado de 15 de noviembre de 2002 (expediente de prueba, folios 475 a 478).</w:t>
      </w:r>
    </w:p>
  </w:footnote>
  <w:footnote w:id="261">
    <w:p w14:paraId="4E0DEC82"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pacing w:val="-4"/>
          <w:sz w:val="16"/>
          <w:szCs w:val="16"/>
          <w:lang w:val="es-PR"/>
        </w:rPr>
        <w:t xml:space="preserve">Cfr. </w:t>
      </w:r>
      <w:r w:rsidRPr="00EF190F">
        <w:rPr>
          <w:sz w:val="16"/>
          <w:szCs w:val="16"/>
          <w:lang w:val="es-CR"/>
        </w:rPr>
        <w:t xml:space="preserve">Declaración de Pedro Chen Sic de 12 de julio de 2005 (expediente de prueba, folios 733 a 740); Declaración de Máxima Emiliana García Valey de 12 de julio de 2005 (expediente de prueba, folios 748 a 754); </w:t>
      </w:r>
      <w:r w:rsidRPr="00EF190F">
        <w:rPr>
          <w:sz w:val="16"/>
          <w:szCs w:val="16"/>
        </w:rPr>
        <w:t xml:space="preserve">Declaración de Miguel Chen Tahuico de 27 de julio de 2005 (expediente de prueba, folios 8727 a 8731); </w:t>
      </w:r>
      <w:r w:rsidRPr="00EF190F">
        <w:rPr>
          <w:sz w:val="16"/>
          <w:szCs w:val="16"/>
          <w:lang w:val="es-CR"/>
        </w:rPr>
        <w:t>Declaración de Ana Calate Sic de 27 de julio de 2005 (expediente de prueba, folios 8737 a 8740)</w:t>
      </w:r>
      <w:r w:rsidRPr="00EF190F">
        <w:rPr>
          <w:rFonts w:cs="Arial"/>
          <w:sz w:val="16"/>
          <w:szCs w:val="16"/>
        </w:rPr>
        <w:t xml:space="preserve">; </w:t>
      </w:r>
      <w:r w:rsidRPr="00EF190F">
        <w:rPr>
          <w:sz w:val="16"/>
          <w:szCs w:val="16"/>
          <w:lang w:val="es-CR"/>
        </w:rPr>
        <w:t>Declaración de Domingo Chen Tahuico de 27 de julio de 2005 (expediente de prueba, folios 8741 a 8742)</w:t>
      </w:r>
      <w:r w:rsidRPr="00EF190F">
        <w:rPr>
          <w:rFonts w:cs="Arial"/>
          <w:sz w:val="16"/>
          <w:szCs w:val="16"/>
        </w:rPr>
        <w:t xml:space="preserve">; </w:t>
      </w:r>
      <w:r w:rsidRPr="00EF190F">
        <w:rPr>
          <w:sz w:val="16"/>
          <w:szCs w:val="16"/>
          <w:lang w:val="es-CR"/>
        </w:rPr>
        <w:t xml:space="preserve">Declaración de Francisca Calate Sic de 27 de julio de 2005 (expediente de prueba, folios 8743 a 8744); Declaración de Félix Valey Galiego de 27 de julio de 2005 (expediente de prueba, folios 8745 a 8747); Declaración de Pedro Sic Gonzalez de 27 de julio de 2005 (expediente de prueba, folios 8748 a 8749); </w:t>
      </w:r>
      <w:r w:rsidRPr="00EF190F">
        <w:rPr>
          <w:sz w:val="16"/>
          <w:szCs w:val="16"/>
        </w:rPr>
        <w:t xml:space="preserve">Declaración de Miguel Sic Osorio de 16 de agosto de 2005 (expediente de prueba, folios 8750 y 8751); </w:t>
      </w:r>
      <w:r w:rsidRPr="00EF190F">
        <w:rPr>
          <w:sz w:val="16"/>
          <w:szCs w:val="16"/>
          <w:lang w:val="es-CR"/>
        </w:rPr>
        <w:t>Declaración de Pedro Chen Sic de 16 de agosto de 2005 (expediente de prueba, folios 8754 y 8755); Declaración de Sebastián Chen Tahuico de 16 de agosto de 2005 (expediente de prueba, folios 8760 a 8762); Declaración de Teresa Cacaj Cahuec de 16 de agosto de 2005 (expediente de prueba, folios 8752 y 8753); Declaración de Susana Pancan de 16 de agosto de 2005 (expediente de prueba, folios 8756 y 8757); Declaración de Fabiana Chen Galiego de 16 de agosto de 2005 (expediente de prueba, folios 8758 y 8759); Declaración de María Teresa Sic Osorio de 16 de agosto de 2005 (expediente de prueba, folios 8763 y 8766); Declaración de Miguel Sic Osorio de 12 de julio de 2005 (expediente de prueba, folios 757 a 761), y Declaración de Domingo Chen Tahuico de 12 de julio de 2005 (expediente de prueba, folios 757 a 761).</w:t>
      </w:r>
    </w:p>
  </w:footnote>
  <w:footnote w:id="262">
    <w:p w14:paraId="07371AE3"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GT"/>
        </w:rPr>
        <w:t xml:space="preserve"> </w:t>
      </w:r>
      <w:r w:rsidRPr="00EF190F">
        <w:rPr>
          <w:sz w:val="16"/>
          <w:szCs w:val="16"/>
        </w:rPr>
        <w:tab/>
      </w:r>
      <w:r w:rsidRPr="00EF190F">
        <w:rPr>
          <w:i/>
          <w:spacing w:val="-4"/>
          <w:sz w:val="16"/>
          <w:szCs w:val="16"/>
          <w:lang w:val="es-PR"/>
        </w:rPr>
        <w:t xml:space="preserve">Cfr. </w:t>
      </w:r>
      <w:r w:rsidRPr="00EF190F">
        <w:rPr>
          <w:sz w:val="16"/>
          <w:szCs w:val="16"/>
          <w:lang w:val="es-CR"/>
        </w:rPr>
        <w:t>Declaración de Máxima Emiliana García Valey de 14 de septiembre de 2005 (expediente de prueba, folios 8773 y 8774), y Declaración de Fabiana Chen Galiego de 14 de septiembre de 2005 (expediente de prueba, folios 8775 y 8776).</w:t>
      </w:r>
    </w:p>
  </w:footnote>
  <w:footnote w:id="263">
    <w:p w14:paraId="680F19E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GT"/>
        </w:rPr>
        <w:t xml:space="preserve"> </w:t>
      </w:r>
      <w:r w:rsidRPr="00EF190F">
        <w:rPr>
          <w:sz w:val="16"/>
          <w:szCs w:val="16"/>
        </w:rPr>
        <w:tab/>
      </w:r>
      <w:r w:rsidRPr="00EF190F">
        <w:rPr>
          <w:i/>
          <w:spacing w:val="-4"/>
          <w:sz w:val="16"/>
          <w:szCs w:val="16"/>
          <w:lang w:val="es-PR"/>
        </w:rPr>
        <w:t xml:space="preserve">Cfr. </w:t>
      </w:r>
      <w:r w:rsidRPr="00EF190F">
        <w:rPr>
          <w:sz w:val="16"/>
          <w:szCs w:val="16"/>
        </w:rPr>
        <w:t xml:space="preserve">Actas de declaraciones testimoniales de </w:t>
      </w:r>
      <w:r w:rsidRPr="00EF190F">
        <w:rPr>
          <w:rFonts w:cs="Arial"/>
          <w:sz w:val="16"/>
          <w:szCs w:val="16"/>
          <w:lang w:val="es-CR"/>
        </w:rPr>
        <w:t>10 de marzo, 24 de mayo y 5 de agosto de 2011 de Pedro Chen Sic, Félix Valey Galiego, Pedro Sic Gonzalez, María Teresa Sic Osorio y Susana Pangan (expediente de prueba, folios 9910 a 9918).</w:t>
      </w:r>
      <w:r w:rsidRPr="00EF190F">
        <w:rPr>
          <w:rFonts w:cs="Arial"/>
          <w:sz w:val="16"/>
          <w:szCs w:val="16"/>
        </w:rPr>
        <w:t xml:space="preserve"> A pesar de que en las mencionadas actas se manifiesta que las declaraciones y los interrogatorios quedaron “debidamente registrad[os] en audio”, no se adjuntaron las respectivas grabaciones.</w:t>
      </w:r>
    </w:p>
  </w:footnote>
  <w:footnote w:id="264">
    <w:p w14:paraId="2661AFE6" w14:textId="77777777" w:rsidR="006A0E1C" w:rsidRPr="00EF190F" w:rsidRDefault="006A0E1C" w:rsidP="006A0E1C">
      <w:pPr>
        <w:tabs>
          <w:tab w:val="left" w:pos="360"/>
        </w:tabs>
        <w:autoSpaceDE w:val="0"/>
        <w:autoSpaceDN w:val="0"/>
        <w:spacing w:line="240" w:lineRule="auto"/>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cs="Verdana"/>
          <w:i/>
          <w:iCs/>
          <w:sz w:val="16"/>
          <w:szCs w:val="16"/>
          <w:lang w:val="es-PR"/>
        </w:rPr>
        <w:t xml:space="preserve">Cfr. Caso Valle Jaramillo y otros Vs. Colombia. Fondo, Reparaciones y Costas. </w:t>
      </w:r>
      <w:r w:rsidRPr="00EF190F">
        <w:rPr>
          <w:rFonts w:eastAsia="Calibri" w:cs="Verdana"/>
          <w:iCs/>
          <w:sz w:val="16"/>
          <w:szCs w:val="16"/>
          <w:lang w:val="es-PR"/>
        </w:rPr>
        <w:t>Sentencia de 27 de noviembre de 2008. Serie C No. 192</w:t>
      </w:r>
      <w:r w:rsidRPr="00EF190F">
        <w:rPr>
          <w:rFonts w:eastAsia="Calibri" w:cs="Verdana"/>
          <w:i/>
          <w:iCs/>
          <w:sz w:val="16"/>
          <w:szCs w:val="16"/>
          <w:lang w:val="es-PR"/>
        </w:rPr>
        <w:t xml:space="preserve">, </w:t>
      </w:r>
      <w:r w:rsidRPr="00EF190F">
        <w:rPr>
          <w:rFonts w:eastAsia="Calibri" w:cs="Verdana"/>
          <w:sz w:val="16"/>
          <w:szCs w:val="16"/>
          <w:lang w:val="es-PR"/>
        </w:rPr>
        <w:t xml:space="preserve">párr. 233, y </w:t>
      </w:r>
      <w:r w:rsidRPr="00EF190F">
        <w:rPr>
          <w:bCs/>
          <w:i/>
          <w:sz w:val="16"/>
          <w:szCs w:val="16"/>
        </w:rPr>
        <w:t>Caso Tenorio Roca y otros Vs. Perú</w:t>
      </w:r>
      <w:r w:rsidRPr="00EF190F">
        <w:rPr>
          <w:sz w:val="16"/>
          <w:szCs w:val="16"/>
          <w:lang w:val="es-PR"/>
        </w:rPr>
        <w:t>, párr. 269.</w:t>
      </w:r>
    </w:p>
  </w:footnote>
  <w:footnote w:id="265">
    <w:p w14:paraId="0CA5E37F" w14:textId="77777777" w:rsidR="006A0E1C" w:rsidRPr="00EF190F" w:rsidRDefault="006A0E1C" w:rsidP="006A0E1C">
      <w:pPr>
        <w:tabs>
          <w:tab w:val="left" w:pos="360"/>
        </w:tabs>
        <w:autoSpaceDE w:val="0"/>
        <w:autoSpaceDN w:val="0"/>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eastAsia="Calibri" w:cs="Verdana"/>
          <w:i/>
          <w:iCs/>
          <w:sz w:val="16"/>
          <w:szCs w:val="16"/>
          <w:lang w:val="es-PR"/>
        </w:rPr>
        <w:t xml:space="preserve">Cfr. </w:t>
      </w:r>
      <w:r w:rsidRPr="00EF190F">
        <w:rPr>
          <w:sz w:val="16"/>
          <w:szCs w:val="16"/>
        </w:rPr>
        <w:t xml:space="preserve">Escrito presentado el </w:t>
      </w:r>
      <w:r w:rsidRPr="00EF190F">
        <w:rPr>
          <w:rFonts w:cs="Arial"/>
          <w:bCs/>
          <w:sz w:val="16"/>
          <w:szCs w:val="16"/>
        </w:rPr>
        <w:t xml:space="preserve">5 de diciembre de 1997 </w:t>
      </w:r>
      <w:r w:rsidRPr="00EF190F">
        <w:rPr>
          <w:sz w:val="16"/>
          <w:szCs w:val="16"/>
        </w:rPr>
        <w:t xml:space="preserve">por </w:t>
      </w:r>
      <w:r w:rsidRPr="00EF190F">
        <w:rPr>
          <w:rFonts w:cs="Arial"/>
          <w:bCs/>
          <w:sz w:val="16"/>
          <w:szCs w:val="16"/>
        </w:rPr>
        <w:t xml:space="preserve">Miguel Sic, Fabiana Chen </w:t>
      </w:r>
      <w:r w:rsidRPr="00EF190F">
        <w:rPr>
          <w:bCs/>
          <w:sz w:val="16"/>
          <w:szCs w:val="16"/>
        </w:rPr>
        <w:t xml:space="preserve">y </w:t>
      </w:r>
      <w:r w:rsidRPr="00EF190F">
        <w:rPr>
          <w:rFonts w:cs="Arial"/>
          <w:bCs/>
          <w:sz w:val="16"/>
          <w:szCs w:val="16"/>
        </w:rPr>
        <w:t>Teresa Cacaj para constituirse como querellantes adhesivos (expediente de prueba, folios 636 a 645).</w:t>
      </w:r>
      <w:r w:rsidRPr="00EF190F">
        <w:rPr>
          <w:sz w:val="16"/>
          <w:szCs w:val="16"/>
          <w:lang w:val="es-PR"/>
        </w:rPr>
        <w:t xml:space="preserve"> </w:t>
      </w:r>
      <w:r w:rsidRPr="00EF190F">
        <w:rPr>
          <w:rFonts w:cs="Arial"/>
          <w:bCs/>
          <w:sz w:val="16"/>
          <w:szCs w:val="16"/>
        </w:rPr>
        <w:t>A partir de este punto, los documentos indican que es la causa no. 916-97 Of. 4to, pero todo está dentro de la certificación de expediente No. 001-2005-95839. A partir de que aparece el expediente 255-93 Of. 4to, se vuelve a identificar la causa con este número.</w:t>
      </w:r>
    </w:p>
  </w:footnote>
  <w:footnote w:id="266">
    <w:p w14:paraId="531549EA"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eastAsia="Calibri" w:cs="Verdana"/>
          <w:i/>
          <w:iCs/>
          <w:sz w:val="16"/>
          <w:szCs w:val="16"/>
          <w:lang w:val="es-PR"/>
        </w:rPr>
        <w:t xml:space="preserve">Cfr. </w:t>
      </w:r>
      <w:r w:rsidRPr="00EF190F">
        <w:rPr>
          <w:sz w:val="16"/>
          <w:szCs w:val="16"/>
          <w:lang w:val="es-CR"/>
        </w:rPr>
        <w:t xml:space="preserve">Escrito de </w:t>
      </w:r>
      <w:r w:rsidRPr="00EF190F">
        <w:rPr>
          <w:rFonts w:cs="Arial"/>
          <w:bCs/>
          <w:sz w:val="16"/>
          <w:szCs w:val="16"/>
          <w:lang w:val="es-CR"/>
        </w:rPr>
        <w:t xml:space="preserve">Miguel Sic, Fabiana Chen </w:t>
      </w:r>
      <w:r w:rsidRPr="00EF190F">
        <w:rPr>
          <w:bCs/>
          <w:sz w:val="16"/>
          <w:szCs w:val="16"/>
          <w:lang w:val="es-CR"/>
        </w:rPr>
        <w:t xml:space="preserve">y </w:t>
      </w:r>
      <w:r w:rsidRPr="00EF190F">
        <w:rPr>
          <w:rFonts w:cs="Arial"/>
          <w:bCs/>
          <w:sz w:val="16"/>
          <w:szCs w:val="16"/>
          <w:lang w:val="es-CR"/>
        </w:rPr>
        <w:t>Teresa Cacaj de 29 de enero de 1998 (expediente de prueba, folios 632 y 633).</w:t>
      </w:r>
    </w:p>
  </w:footnote>
  <w:footnote w:id="267">
    <w:p w14:paraId="72C17A7C"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rFonts w:eastAsia="Calibri" w:cs="Verdana"/>
          <w:i/>
          <w:iCs/>
          <w:sz w:val="16"/>
          <w:szCs w:val="16"/>
          <w:lang w:val="es-PR"/>
        </w:rPr>
        <w:t xml:space="preserve">Cfr. </w:t>
      </w:r>
      <w:r w:rsidRPr="00EF190F">
        <w:rPr>
          <w:sz w:val="16"/>
          <w:szCs w:val="16"/>
          <w:lang w:val="es-CR"/>
        </w:rPr>
        <w:t xml:space="preserve">Resolución del </w:t>
      </w:r>
      <w:r w:rsidRPr="00EF190F">
        <w:rPr>
          <w:rFonts w:cs="Arial"/>
          <w:sz w:val="16"/>
          <w:szCs w:val="16"/>
          <w:lang w:val="es-CR"/>
        </w:rPr>
        <w:t xml:space="preserve">Juez de Primera Instancia Penal de Narcoactividad y Delitos contra el Ambiente de Baja Verapaz de 30 de marzo de 1999 y </w:t>
      </w:r>
      <w:r w:rsidRPr="00EF190F">
        <w:rPr>
          <w:rFonts w:cs="Arial"/>
          <w:bCs/>
          <w:sz w:val="16"/>
          <w:szCs w:val="16"/>
          <w:lang w:val="es-CR"/>
        </w:rPr>
        <w:t xml:space="preserve">Certificación del Expediente No. 001-2005-95839 (expediente de prueba, </w:t>
      </w:r>
      <w:r w:rsidRPr="00EF190F">
        <w:rPr>
          <w:rFonts w:cs="Arial"/>
          <w:sz w:val="16"/>
          <w:szCs w:val="16"/>
          <w:lang w:val="es-CR"/>
        </w:rPr>
        <w:t xml:space="preserve">folios 619 y 620), y </w:t>
      </w:r>
      <w:r w:rsidRPr="00EF190F">
        <w:rPr>
          <w:rFonts w:cs="Arial"/>
          <w:bCs/>
          <w:sz w:val="16"/>
          <w:szCs w:val="16"/>
          <w:lang w:val="es-CR"/>
        </w:rPr>
        <w:t>Oficio del Juez de Primera Instancia de 18 de junio de 1998</w:t>
      </w:r>
      <w:r w:rsidRPr="00EF190F">
        <w:rPr>
          <w:sz w:val="16"/>
          <w:szCs w:val="16"/>
          <w:lang w:val="es-CR"/>
        </w:rPr>
        <w:t xml:space="preserve"> (expediente de prueba, folio 627).</w:t>
      </w:r>
    </w:p>
  </w:footnote>
  <w:footnote w:id="268">
    <w:p w14:paraId="0384D725"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w:t>
      </w:r>
      <w:r w:rsidRPr="00EF190F">
        <w:rPr>
          <w:rFonts w:eastAsia="Calibri" w:cs="Verdana-Italic"/>
          <w:i/>
          <w:iCs/>
          <w:sz w:val="16"/>
          <w:szCs w:val="16"/>
          <w:lang w:val="es-PR"/>
        </w:rPr>
        <w:t xml:space="preserve">Caso García Prieto y otros Vs. El Salvador. Excepciones Preliminares, Fondo, Reparaciones y Costas. </w:t>
      </w:r>
      <w:r w:rsidRPr="00EF190F">
        <w:rPr>
          <w:rFonts w:eastAsia="Calibri" w:cs="Verdana-Italic"/>
          <w:iCs/>
          <w:sz w:val="16"/>
          <w:szCs w:val="16"/>
          <w:lang w:val="es-PR"/>
        </w:rPr>
        <w:t xml:space="preserve">Sentencia de 20 de noviembre de 2007. Serie C No. 168, párr. 112, y </w:t>
      </w:r>
      <w:r w:rsidRPr="00EF190F">
        <w:rPr>
          <w:rFonts w:eastAsia="Calibri" w:cs="Verdana-Italic"/>
          <w:i/>
          <w:iCs/>
          <w:sz w:val="16"/>
          <w:szCs w:val="16"/>
          <w:lang w:val="es-PR"/>
        </w:rPr>
        <w:t>Caso Masacres de Rio Negro Vs. Guatemala</w:t>
      </w:r>
      <w:r w:rsidRPr="00EF190F">
        <w:rPr>
          <w:sz w:val="16"/>
          <w:szCs w:val="16"/>
          <w:lang w:val="es-PR"/>
        </w:rPr>
        <w:t>, párr. 209.</w:t>
      </w:r>
    </w:p>
  </w:footnote>
  <w:footnote w:id="269">
    <w:p w14:paraId="1A3E4FBB" w14:textId="77777777" w:rsidR="006A0E1C" w:rsidRPr="00EF190F" w:rsidRDefault="006A0E1C" w:rsidP="006A0E1C">
      <w:pPr>
        <w:tabs>
          <w:tab w:val="left" w:pos="360"/>
        </w:tabs>
        <w:autoSpaceDE w:val="0"/>
        <w:autoSpaceDN w:val="0"/>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PR"/>
        </w:rPr>
        <w:t xml:space="preserve">Cfr. </w:t>
      </w:r>
      <w:r w:rsidRPr="00EF190F">
        <w:rPr>
          <w:rFonts w:cs="Arial"/>
          <w:bCs/>
          <w:sz w:val="16"/>
          <w:szCs w:val="16"/>
        </w:rPr>
        <w:t>Oficio del Juez de Primera Instancia de 7 de mayo de 1993 (</w:t>
      </w:r>
      <w:r w:rsidRPr="00EF190F">
        <w:rPr>
          <w:sz w:val="16"/>
          <w:szCs w:val="16"/>
        </w:rPr>
        <w:t>expediente de prueba, folio 712)</w:t>
      </w:r>
      <w:r w:rsidRPr="00EF190F">
        <w:rPr>
          <w:rFonts w:cs="Arial"/>
          <w:bCs/>
          <w:sz w:val="16"/>
          <w:szCs w:val="16"/>
        </w:rPr>
        <w:t>.</w:t>
      </w:r>
    </w:p>
  </w:footnote>
  <w:footnote w:id="270">
    <w:p w14:paraId="63856FA1" w14:textId="77777777" w:rsidR="006A0E1C" w:rsidRPr="00EF190F" w:rsidRDefault="006A0E1C" w:rsidP="006A0E1C">
      <w:pPr>
        <w:tabs>
          <w:tab w:val="left" w:pos="360"/>
        </w:tabs>
        <w:autoSpaceDE w:val="0"/>
        <w:autoSpaceDN w:val="0"/>
        <w:spacing w:line="240" w:lineRule="auto"/>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PR"/>
        </w:rPr>
        <w:t xml:space="preserve">Cfr. </w:t>
      </w:r>
      <w:r w:rsidRPr="00EF190F">
        <w:rPr>
          <w:rFonts w:cs="Arial"/>
          <w:bCs/>
          <w:sz w:val="16"/>
          <w:szCs w:val="16"/>
        </w:rPr>
        <w:t>Oficio del Comandante de Reservas Militares Departamental de 9 de mayo de 1993</w:t>
      </w:r>
      <w:r w:rsidRPr="00EF190F">
        <w:rPr>
          <w:sz w:val="16"/>
          <w:szCs w:val="16"/>
        </w:rPr>
        <w:t xml:space="preserve"> (expediente de prueba, folio 711)</w:t>
      </w:r>
      <w:r w:rsidRPr="00EF190F">
        <w:rPr>
          <w:rFonts w:cs="Arial"/>
          <w:bCs/>
          <w:sz w:val="16"/>
          <w:szCs w:val="16"/>
        </w:rPr>
        <w:t>.</w:t>
      </w:r>
    </w:p>
  </w:footnote>
  <w:footnote w:id="271">
    <w:p w14:paraId="11186442"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Ante la </w:t>
      </w:r>
      <w:r w:rsidRPr="00EF190F">
        <w:rPr>
          <w:rFonts w:cs="Arial"/>
          <w:sz w:val="16"/>
          <w:szCs w:val="16"/>
        </w:rPr>
        <w:t xml:space="preserve">Procuraduría de Derechos Humanos de Guatemala en Salamá, </w:t>
      </w:r>
      <w:r w:rsidRPr="00EF190F">
        <w:rPr>
          <w:rFonts w:cs="Calibri,Bold"/>
          <w:bCs/>
          <w:color w:val="000000"/>
          <w:sz w:val="16"/>
          <w:szCs w:val="16"/>
        </w:rPr>
        <w:t xml:space="preserve">la señora María Teresa Sic Osorio denunció la desaparición de su esposo, Juan Mendoza Alvarado, y de su suegro, José Cruz Mendoza; la señora Albertina Sic Cuxum denunció la desaparición de su esposo, Leonardo Cahuec Gonzales, y la señora Alejandra Galiego Mendoza denunció la desaparición de su esposo, Lorenzo De Paz Ciprián. </w:t>
      </w:r>
      <w:r w:rsidRPr="00EF190F">
        <w:rPr>
          <w:sz w:val="16"/>
          <w:szCs w:val="16"/>
        </w:rPr>
        <w:t>El</w:t>
      </w:r>
      <w:r w:rsidRPr="00EF190F">
        <w:rPr>
          <w:rFonts w:cs="Arial"/>
          <w:sz w:val="16"/>
          <w:szCs w:val="16"/>
        </w:rPr>
        <w:t xml:space="preserve"> 12 de julio de 1995 la referida Procuraduría </w:t>
      </w:r>
      <w:r w:rsidRPr="00EF190F">
        <w:rPr>
          <w:sz w:val="16"/>
          <w:szCs w:val="16"/>
        </w:rPr>
        <w:t xml:space="preserve">puso en conocimiento de </w:t>
      </w:r>
      <w:r w:rsidRPr="00EF190F">
        <w:rPr>
          <w:rFonts w:cs="Calibri,Bold"/>
          <w:bCs/>
          <w:sz w:val="16"/>
          <w:szCs w:val="16"/>
        </w:rPr>
        <w:t xml:space="preserve">la Fiscalía Distrital del Ministerio Público Salamá las denuncias presentadas. </w:t>
      </w:r>
      <w:r w:rsidRPr="00EF190F">
        <w:rPr>
          <w:rFonts w:cs="Calibri,Bold"/>
          <w:bCs/>
          <w:i/>
          <w:color w:val="000000"/>
          <w:sz w:val="16"/>
          <w:szCs w:val="16"/>
        </w:rPr>
        <w:t>Cfr</w:t>
      </w:r>
      <w:r w:rsidRPr="00EF190F">
        <w:rPr>
          <w:rFonts w:cs="Calibri,Bold"/>
          <w:bCs/>
          <w:color w:val="000000"/>
          <w:sz w:val="16"/>
          <w:szCs w:val="16"/>
        </w:rPr>
        <w:t xml:space="preserve">. </w:t>
      </w:r>
      <w:r w:rsidRPr="00EF190F">
        <w:rPr>
          <w:sz w:val="16"/>
          <w:szCs w:val="16"/>
        </w:rPr>
        <w:t>Ampliación de la denuncia del Auxiliar Departamental del Procurador de Derechos Humanos ante la Fiscalía Distrital del Ministerio Público de Salamá de 12 de julio de 1995 (expediente de prueba, folios 1351 a 1353).</w:t>
      </w:r>
    </w:p>
  </w:footnote>
  <w:footnote w:id="272">
    <w:p w14:paraId="6FCAF99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Se abrió este expediente a partir de la denuncia de 7 de </w:t>
      </w:r>
      <w:r w:rsidRPr="00EF190F">
        <w:rPr>
          <w:rFonts w:cs="Calibri,Bold"/>
          <w:bCs/>
          <w:sz w:val="16"/>
          <w:szCs w:val="16"/>
        </w:rPr>
        <w:t>abril</w:t>
      </w:r>
      <w:r w:rsidRPr="00EF190F">
        <w:rPr>
          <w:sz w:val="16"/>
          <w:szCs w:val="16"/>
        </w:rPr>
        <w:t xml:space="preserve"> de 2006 del señor Miguel Chen Tahuico ante la Fiscalía Municipal del Ministerio Público de Rabinal. También denunció la “necesidad de enterrar[a su hijo] en terreno de [su] propiedad ya que la persecución del ejército era constante, [y] no pudi[eron] enterrarlo en un cementerio legal”. </w:t>
      </w:r>
      <w:r w:rsidRPr="00EF190F">
        <w:rPr>
          <w:i/>
          <w:sz w:val="16"/>
          <w:szCs w:val="16"/>
        </w:rPr>
        <w:t xml:space="preserve">Cfr. </w:t>
      </w:r>
      <w:r w:rsidRPr="00EF190F">
        <w:rPr>
          <w:sz w:val="16"/>
          <w:szCs w:val="16"/>
        </w:rPr>
        <w:t>Denuncia de Miguel Chen Tahuico de 7 de abril de 2006 (expediente de prueba, folios 1555 y 1556).</w:t>
      </w:r>
    </w:p>
  </w:footnote>
  <w:footnote w:id="273">
    <w:p w14:paraId="58D6DA5E"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cs="Verdana"/>
          <w:i/>
          <w:iCs/>
          <w:sz w:val="16"/>
          <w:szCs w:val="16"/>
          <w:lang w:val="es-MX"/>
        </w:rPr>
        <w:t xml:space="preserve">Cfr. </w:t>
      </w:r>
      <w:r w:rsidRPr="00EF190F">
        <w:rPr>
          <w:rFonts w:eastAsia="Calibri" w:cs="Verdana"/>
          <w:bCs/>
          <w:i/>
          <w:iCs/>
          <w:sz w:val="16"/>
          <w:szCs w:val="16"/>
          <w:lang w:val="es-CR"/>
        </w:rPr>
        <w:t xml:space="preserve">Caso Velásquez Rodríguez Vs. Honduras. Fondo. </w:t>
      </w:r>
      <w:r w:rsidRPr="00EF190F">
        <w:rPr>
          <w:rFonts w:eastAsia="Calibri" w:cs="Verdana"/>
          <w:bCs/>
          <w:iCs/>
          <w:sz w:val="16"/>
          <w:szCs w:val="16"/>
          <w:lang w:val="es-CR"/>
        </w:rPr>
        <w:t>Sentencia de 29 de julio de 1988. Serie C No. 4</w:t>
      </w:r>
      <w:r w:rsidRPr="00EF190F">
        <w:rPr>
          <w:rFonts w:eastAsia="Calibri" w:cs="Verdana"/>
          <w:iCs/>
          <w:sz w:val="16"/>
          <w:szCs w:val="16"/>
          <w:lang w:val="es-MX"/>
        </w:rPr>
        <w:t xml:space="preserve">, </w:t>
      </w:r>
      <w:r w:rsidRPr="00EF190F">
        <w:rPr>
          <w:rFonts w:eastAsia="Calibri" w:cs="Verdana"/>
          <w:sz w:val="16"/>
          <w:szCs w:val="16"/>
          <w:lang w:val="es-MX"/>
        </w:rPr>
        <w:t xml:space="preserve">párr. 177, y </w:t>
      </w:r>
      <w:r w:rsidRPr="00EF190F">
        <w:rPr>
          <w:i/>
          <w:sz w:val="16"/>
          <w:szCs w:val="16"/>
          <w:lang w:val="es-PR"/>
        </w:rPr>
        <w:t xml:space="preserve">Caso Tenorio Roca y otros Vs. Perú, </w:t>
      </w:r>
      <w:r w:rsidRPr="00EF190F">
        <w:rPr>
          <w:sz w:val="16"/>
          <w:szCs w:val="16"/>
          <w:lang w:val="es-PR"/>
        </w:rPr>
        <w:t xml:space="preserve">párr. 176. </w:t>
      </w:r>
    </w:p>
  </w:footnote>
  <w:footnote w:id="274">
    <w:p w14:paraId="45843C5D"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cs="Verdana"/>
          <w:i/>
          <w:iCs/>
          <w:sz w:val="16"/>
          <w:szCs w:val="16"/>
          <w:lang w:val="es-MX"/>
        </w:rPr>
        <w:t xml:space="preserve">Cfr. </w:t>
      </w:r>
      <w:r w:rsidRPr="00EF190F">
        <w:rPr>
          <w:sz w:val="16"/>
          <w:szCs w:val="16"/>
          <w:lang w:val="es-PR"/>
        </w:rPr>
        <w:t xml:space="preserve">Resolución de la </w:t>
      </w:r>
      <w:r w:rsidRPr="00EF190F">
        <w:rPr>
          <w:sz w:val="16"/>
          <w:szCs w:val="16"/>
        </w:rPr>
        <w:t>Fiscalía Distrital del Ministerio Público de Salamá de 15 de agosto de 1995 (expediente de prueba, folio 1398).</w:t>
      </w:r>
    </w:p>
  </w:footnote>
  <w:footnote w:id="275">
    <w:p w14:paraId="7D0C8B0E"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Estos expedientes son: i) No. 87-97 ante la Fiscalía Distrital del Ministerio Público de Salamá; ii) Causa No. 255-93 Of. 4to (Expediente 1083-95 M.P.) ante la Fiscalía Distrital del Ministerio Público de Salamá; iii) Causa No. 247-2003-1142 ante la Fiscalía Distrital del Ministerio Público de Salamá; iv) Causa No. 248-2010-263 ante la Fiscalía Municipal del Ministerio Público de Rabinal, y v) </w:t>
      </w:r>
      <w:r w:rsidRPr="00EF190F">
        <w:rPr>
          <w:rFonts w:cs="Arial"/>
          <w:sz w:val="16"/>
          <w:szCs w:val="16"/>
        </w:rPr>
        <w:t>Expediente</w:t>
      </w:r>
      <w:r w:rsidRPr="00EF190F">
        <w:rPr>
          <w:rFonts w:cs="Calibri,Bold"/>
          <w:bCs/>
          <w:sz w:val="16"/>
          <w:szCs w:val="16"/>
        </w:rPr>
        <w:t xml:space="preserve"> No. M.P. 247-1997-1378 ante la Fiscalía Distrital del Ministerio Público de Salamá. </w:t>
      </w:r>
    </w:p>
  </w:footnote>
  <w:footnote w:id="276">
    <w:p w14:paraId="653F9F08" w14:textId="77777777" w:rsidR="006A0E1C" w:rsidRPr="00EF190F" w:rsidRDefault="006A0E1C" w:rsidP="006A0E1C">
      <w:pPr>
        <w:tabs>
          <w:tab w:val="left" w:pos="360"/>
        </w:tabs>
        <w:spacing w:line="240" w:lineRule="auto"/>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sz w:val="16"/>
          <w:szCs w:val="16"/>
        </w:rPr>
        <w:t>E</w:t>
      </w:r>
      <w:r w:rsidRPr="00EF190F">
        <w:rPr>
          <w:rFonts w:cs="Arial"/>
          <w:sz w:val="16"/>
          <w:szCs w:val="16"/>
          <w:lang w:val="es-PR"/>
        </w:rPr>
        <w:t>n</w:t>
      </w:r>
      <w:r w:rsidRPr="00EF190F">
        <w:rPr>
          <w:rFonts w:cs="Arial"/>
          <w:sz w:val="16"/>
          <w:szCs w:val="16"/>
          <w:lang w:val="es-ES_tradnl"/>
        </w:rPr>
        <w:t xml:space="preserve"> enero de 1997 la señora María Concepción García Depaz</w:t>
      </w:r>
      <w:r w:rsidRPr="00EF190F">
        <w:rPr>
          <w:rFonts w:cs="Arial"/>
          <w:sz w:val="16"/>
          <w:szCs w:val="16"/>
          <w:lang w:val="es-PR"/>
        </w:rPr>
        <w:t xml:space="preserve"> solicitó al </w:t>
      </w:r>
      <w:r w:rsidRPr="00EF190F">
        <w:rPr>
          <w:rFonts w:cs="Arial"/>
          <w:sz w:val="16"/>
          <w:szCs w:val="16"/>
          <w:lang w:val="es-ES_tradnl"/>
        </w:rPr>
        <w:t>Fiscal Distrital del Ministerio Público</w:t>
      </w:r>
      <w:r w:rsidRPr="00EF190F">
        <w:rPr>
          <w:rFonts w:cs="Arial"/>
          <w:sz w:val="16"/>
          <w:szCs w:val="16"/>
          <w:lang w:val="es-PR"/>
        </w:rPr>
        <w:t xml:space="preserve"> </w:t>
      </w:r>
      <w:r w:rsidRPr="00EF190F">
        <w:rPr>
          <w:rFonts w:cs="Arial"/>
          <w:sz w:val="16"/>
          <w:szCs w:val="16"/>
          <w:lang w:val="es-ES_tradnl"/>
        </w:rPr>
        <w:t xml:space="preserve">que se “solicit[ara] al Ministerio de la Defensa y/o a la base militar que corresponda [un] informe sobre el nombre de los soldados, oficiales y patrulleros civiles de [El] Chol”, Baja Verapaz. </w:t>
      </w:r>
      <w:r w:rsidRPr="00EF190F">
        <w:rPr>
          <w:rFonts w:cs="Arial"/>
          <w:i/>
          <w:sz w:val="16"/>
          <w:szCs w:val="16"/>
          <w:lang w:val="es-ES_tradnl"/>
        </w:rPr>
        <w:t>Cfr.</w:t>
      </w:r>
      <w:r w:rsidRPr="00EF190F">
        <w:rPr>
          <w:rFonts w:cs="Arial"/>
          <w:sz w:val="16"/>
          <w:szCs w:val="16"/>
          <w:lang w:val="es-ES_tradnl"/>
        </w:rPr>
        <w:t xml:space="preserve"> </w:t>
      </w:r>
      <w:r w:rsidRPr="00EF190F">
        <w:rPr>
          <w:sz w:val="16"/>
          <w:szCs w:val="16"/>
        </w:rPr>
        <w:t>Denuncia de María García Depaz de 17 de enero de 1997 (expediente de prueba, folios 1862 y 1863).</w:t>
      </w:r>
      <w:r w:rsidRPr="00EF190F">
        <w:rPr>
          <w:rFonts w:cs="Arial"/>
          <w:sz w:val="16"/>
          <w:szCs w:val="16"/>
          <w:lang w:val="es-ES_tradnl"/>
        </w:rPr>
        <w:t xml:space="preserve"> No consta respuesta alguna a dicha solicitud.</w:t>
      </w:r>
    </w:p>
  </w:footnote>
  <w:footnote w:id="277">
    <w:p w14:paraId="54C4D4FD"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w:t>
      </w:r>
      <w:r w:rsidRPr="00EF190F">
        <w:rPr>
          <w:rFonts w:cs="Arial"/>
          <w:sz w:val="16"/>
          <w:szCs w:val="16"/>
          <w:lang w:val="es-CR"/>
        </w:rPr>
        <w:t>Denuncia de Víctor Castulo Alvarado Sucup y Rosario Roman Tum de 27 de julio de 1995 (expediente de prueba, folios 1881 y 1882);</w:t>
      </w:r>
      <w:r w:rsidRPr="00EF190F">
        <w:rPr>
          <w:sz w:val="16"/>
          <w:szCs w:val="16"/>
          <w:lang w:val="es-CR"/>
        </w:rPr>
        <w:t xml:space="preserve"> Declaración del señor Víctor Castulo Alvarado Sucup de 11 de agosto de 1995 (expediente de prueba, folios 1883 y 1884); Declaración de la señora Rosario Román Tum de 11 de agosto de 1995 (expediente de prueba, folios 1885 y 1886); Denuncia de María Concepción García Depaz de 17 de enero de 1997 (expediente de prueba, folios 1862 y 1863); </w:t>
      </w:r>
      <w:r w:rsidRPr="00EF190F">
        <w:rPr>
          <w:sz w:val="16"/>
          <w:szCs w:val="16"/>
        </w:rPr>
        <w:t xml:space="preserve">Denuncia de Francisca González Tecú de 28 de julio de 1997 (expediente de prueba, folios 9138 y 9139); </w:t>
      </w:r>
      <w:r w:rsidRPr="00EF190F">
        <w:rPr>
          <w:sz w:val="16"/>
          <w:szCs w:val="16"/>
          <w:lang w:val="es-CR"/>
        </w:rPr>
        <w:t xml:space="preserve">Declaración de Juana García Depaz de 26 de julio de 2001 (expediente de prueba, folios 1893 a 1895); Declaración de Francisco Sic Chen de 26 de julio de 2001 (expediente de prueba, folios 1896 y 1897); Declaración de Máxima Emiliana García Valey de 26 de julio de 2001 (expediente de prueba, folios 1898 y 1899); Declaración de Tarcila Milián Morales de 27 de julio de 2001 (expediente de prueba, folios 1900 y 1901); Declaración de María Concepción García Depaz de 27 de julio de 2001 (expediente de prueba, folios 1902 y 1903); Denuncia de Tarcila Milián Morales de 21 de mayo de 2003 (expediente de prueba, folios 11779 y 11780); </w:t>
      </w:r>
      <w:r w:rsidRPr="00EF190F">
        <w:rPr>
          <w:sz w:val="16"/>
          <w:szCs w:val="16"/>
        </w:rPr>
        <w:t xml:space="preserve">Declaración de Francisca González Tecú y Clementina Bachan Cahuec de 8 de mayo de 2003 ante el Auxiliar Fiscal de la Fiscalía Distrital del Ministerio Público de Salamá (expediente de prueba, folios 9142 y 9143), y </w:t>
      </w:r>
      <w:r w:rsidRPr="00EF190F">
        <w:rPr>
          <w:sz w:val="16"/>
          <w:szCs w:val="16"/>
          <w:lang w:val="es-CR"/>
        </w:rPr>
        <w:t>Denuncia de Carlos Chen Osorio de 16 de abril de 2010 (expediente de prueba, folios 11933 a 11935).</w:t>
      </w:r>
    </w:p>
  </w:footnote>
  <w:footnote w:id="278">
    <w:p w14:paraId="1E2BDB02"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eastAsia="Calibri"/>
          <w:sz w:val="16"/>
          <w:szCs w:val="16"/>
          <w:lang w:val="es-GT"/>
        </w:rPr>
        <w:t xml:space="preserve">Al respecto, en los meses de mayo y junio de 1995 Juana García Depaz, Máxima Emiliana García Valey y Francisco Sic Chen acudieron al </w:t>
      </w:r>
      <w:r w:rsidRPr="00EF190F">
        <w:rPr>
          <w:rFonts w:cs="Arial"/>
          <w:sz w:val="16"/>
          <w:szCs w:val="16"/>
        </w:rPr>
        <w:t>Auxiliar Departamental del Procurador de Derechos Humanos de Guatemala a denunciar la existencia de cementerios clandestinos ubicados en la aldea Chichupac y solicitaron la exhumación de los cuerpos. Además, el señor Sic Chen mencionó el nombre de un patrullero civil que señaló como responsable por este hecho.</w:t>
      </w:r>
      <w:r w:rsidRPr="00EF190F">
        <w:rPr>
          <w:sz w:val="16"/>
          <w:szCs w:val="16"/>
        </w:rPr>
        <w:t xml:space="preserve"> </w:t>
      </w:r>
      <w:r w:rsidRPr="00EF190F">
        <w:rPr>
          <w:rFonts w:cs="Arial"/>
          <w:sz w:val="16"/>
          <w:szCs w:val="16"/>
        </w:rPr>
        <w:t xml:space="preserve">Dicha Procuraduría </w:t>
      </w:r>
      <w:r w:rsidRPr="00EF190F">
        <w:rPr>
          <w:sz w:val="16"/>
          <w:szCs w:val="16"/>
        </w:rPr>
        <w:t xml:space="preserve">puso en conocimiento de </w:t>
      </w:r>
      <w:r w:rsidRPr="00EF190F">
        <w:rPr>
          <w:rFonts w:cs="Calibri,Bold"/>
          <w:bCs/>
          <w:sz w:val="16"/>
          <w:szCs w:val="16"/>
        </w:rPr>
        <w:t xml:space="preserve">la </w:t>
      </w:r>
      <w:r w:rsidRPr="00EF190F">
        <w:rPr>
          <w:rFonts w:cs="Arial"/>
          <w:sz w:val="16"/>
          <w:szCs w:val="16"/>
        </w:rPr>
        <w:t>Fiscalía Distrital del Ministerio Público de Salamá la</w:t>
      </w:r>
      <w:r w:rsidRPr="00EF190F">
        <w:rPr>
          <w:rFonts w:cs="Calibri,Bold"/>
          <w:bCs/>
          <w:sz w:val="16"/>
          <w:szCs w:val="16"/>
        </w:rPr>
        <w:t xml:space="preserve"> </w:t>
      </w:r>
      <w:r w:rsidRPr="00EF190F">
        <w:rPr>
          <w:rFonts w:cs="Arial"/>
          <w:sz w:val="16"/>
          <w:szCs w:val="16"/>
        </w:rPr>
        <w:t>denuncia sobre los cementerios clandestinos</w:t>
      </w:r>
      <w:r w:rsidRPr="00EF190F">
        <w:rPr>
          <w:sz w:val="16"/>
          <w:szCs w:val="16"/>
        </w:rPr>
        <w:t xml:space="preserve">. </w:t>
      </w:r>
      <w:r w:rsidRPr="00EF190F">
        <w:rPr>
          <w:i/>
          <w:sz w:val="16"/>
          <w:szCs w:val="16"/>
        </w:rPr>
        <w:t>Cfr.</w:t>
      </w:r>
      <w:r w:rsidRPr="00EF190F">
        <w:rPr>
          <w:sz w:val="16"/>
          <w:szCs w:val="16"/>
        </w:rPr>
        <w:t xml:space="preserve"> </w:t>
      </w:r>
      <w:r w:rsidRPr="00EF190F">
        <w:rPr>
          <w:sz w:val="16"/>
          <w:szCs w:val="16"/>
          <w:lang w:val="es-CR"/>
        </w:rPr>
        <w:t xml:space="preserve">Denuncia del </w:t>
      </w:r>
      <w:r w:rsidRPr="00EF190F">
        <w:rPr>
          <w:rFonts w:cs="Arial"/>
          <w:sz w:val="16"/>
          <w:szCs w:val="16"/>
        </w:rPr>
        <w:t xml:space="preserve">Auxiliar Departamental del Procurador de Derechos Humanos de Guatemala </w:t>
      </w:r>
      <w:r w:rsidRPr="00EF190F">
        <w:rPr>
          <w:sz w:val="16"/>
          <w:szCs w:val="16"/>
          <w:lang w:val="es-CR"/>
        </w:rPr>
        <w:t>(expediente de prueba, folios 1574 a 1577), y Denuncia de Juan</w:t>
      </w:r>
      <w:r>
        <w:rPr>
          <w:sz w:val="16"/>
          <w:szCs w:val="16"/>
          <w:lang w:val="es-CR"/>
        </w:rPr>
        <w:t>a</w:t>
      </w:r>
      <w:r w:rsidRPr="00EF190F">
        <w:rPr>
          <w:sz w:val="16"/>
          <w:szCs w:val="16"/>
          <w:lang w:val="es-CR"/>
        </w:rPr>
        <w:t xml:space="preserve"> García Depaz de 9 de mayo de 1995 (expediente</w:t>
      </w:r>
      <w:r w:rsidRPr="00EF190F">
        <w:rPr>
          <w:sz w:val="16"/>
          <w:szCs w:val="16"/>
        </w:rPr>
        <w:t xml:space="preserve"> de prueba, folios 1290 y 1291)</w:t>
      </w:r>
      <w:r w:rsidRPr="00EF190F">
        <w:rPr>
          <w:sz w:val="16"/>
          <w:szCs w:val="16"/>
          <w:lang w:val="es-CR"/>
        </w:rPr>
        <w:t xml:space="preserve">. Asimismo, </w:t>
      </w:r>
      <w:r w:rsidRPr="00EF190F">
        <w:rPr>
          <w:rFonts w:eastAsia="Calibri"/>
          <w:sz w:val="16"/>
          <w:szCs w:val="16"/>
          <w:lang w:val="es-GT"/>
        </w:rPr>
        <w:t xml:space="preserve">en junio de 1995 Juana García Depaz denunció ante la </w:t>
      </w:r>
      <w:r w:rsidRPr="00EF190F">
        <w:rPr>
          <w:rFonts w:cs="Arial"/>
          <w:sz w:val="16"/>
          <w:szCs w:val="16"/>
        </w:rPr>
        <w:t xml:space="preserve">Fiscalía Distrital del Ministerio Público de Salamá la existencia de cementerios clandestinos, solicitó la exhumación de los cuerpos y mencionó los nombres de las personas que señaló como responsables de los hechos. </w:t>
      </w:r>
      <w:r w:rsidRPr="00EF190F">
        <w:rPr>
          <w:rFonts w:cs="Arial"/>
          <w:i/>
          <w:sz w:val="16"/>
          <w:szCs w:val="16"/>
        </w:rPr>
        <w:t>Cfr.</w:t>
      </w:r>
      <w:r w:rsidRPr="00EF190F">
        <w:rPr>
          <w:rFonts w:cs="Arial"/>
          <w:sz w:val="16"/>
          <w:szCs w:val="16"/>
        </w:rPr>
        <w:t xml:space="preserve"> </w:t>
      </w:r>
      <w:r w:rsidRPr="00EF190F">
        <w:rPr>
          <w:sz w:val="16"/>
          <w:szCs w:val="16"/>
          <w:lang w:val="es-CR"/>
        </w:rPr>
        <w:t>Declaración de Juana García Depaz de 9 de junio de 1995 (expediente de prueba, folios 1263 y 1264).</w:t>
      </w:r>
    </w:p>
    <w:p w14:paraId="137DA130" w14:textId="77777777" w:rsidR="006A0E1C" w:rsidRPr="00EF190F" w:rsidRDefault="006A0E1C" w:rsidP="006A0E1C">
      <w:pPr>
        <w:tabs>
          <w:tab w:val="left" w:pos="360"/>
        </w:tabs>
        <w:autoSpaceDE w:val="0"/>
        <w:autoSpaceDN w:val="0"/>
        <w:spacing w:line="240" w:lineRule="auto"/>
        <w:rPr>
          <w:rFonts w:cs="Arial"/>
          <w:sz w:val="16"/>
          <w:szCs w:val="16"/>
        </w:rPr>
      </w:pPr>
    </w:p>
    <w:p w14:paraId="559D7086" w14:textId="77777777" w:rsidR="006A0E1C" w:rsidRPr="00EF190F" w:rsidRDefault="006A0E1C" w:rsidP="006A0E1C">
      <w:pPr>
        <w:pStyle w:val="FootnoteText"/>
        <w:tabs>
          <w:tab w:val="left" w:pos="360"/>
        </w:tabs>
        <w:rPr>
          <w:sz w:val="16"/>
          <w:szCs w:val="16"/>
          <w:lang w:val="es-CR"/>
        </w:rPr>
      </w:pPr>
      <w:r w:rsidRPr="00EF190F">
        <w:rPr>
          <w:rFonts w:cs="Arial"/>
          <w:sz w:val="16"/>
          <w:szCs w:val="16"/>
        </w:rPr>
        <w:t xml:space="preserve">Estas denuncias fueron reiteradas seis años después ante la Fiscalía Distrital del Ministerio Público de Salamá, en julio de 2001, cuando nuevamente se solicitó la realización de exhumaciones. </w:t>
      </w:r>
      <w:r w:rsidRPr="00EF190F">
        <w:rPr>
          <w:rFonts w:cs="Arial"/>
          <w:i/>
          <w:sz w:val="16"/>
          <w:szCs w:val="16"/>
        </w:rPr>
        <w:t>Cfr</w:t>
      </w:r>
      <w:r w:rsidRPr="00EF190F">
        <w:rPr>
          <w:rFonts w:cs="Arial"/>
          <w:sz w:val="16"/>
          <w:szCs w:val="16"/>
        </w:rPr>
        <w:t xml:space="preserve">. </w:t>
      </w:r>
      <w:r w:rsidRPr="00EF190F">
        <w:rPr>
          <w:sz w:val="16"/>
          <w:szCs w:val="16"/>
          <w:lang w:val="es-CR"/>
        </w:rPr>
        <w:t>Declaración de Juana García Depaz de 26 de julio de 2001 (expediente</w:t>
      </w:r>
      <w:r w:rsidRPr="00EF190F">
        <w:rPr>
          <w:sz w:val="16"/>
          <w:szCs w:val="16"/>
        </w:rPr>
        <w:t xml:space="preserve"> de prueba, folios 1893 a 1895); </w:t>
      </w:r>
      <w:r w:rsidRPr="00EF190F">
        <w:rPr>
          <w:sz w:val="16"/>
          <w:szCs w:val="16"/>
          <w:lang w:val="es-CR"/>
        </w:rPr>
        <w:t>Declaración de Francisco Sic Chen de 26 de julio de 2001 (expediente de prueba, folios 1896 y 1897), y Declaración de Máxima Emiliana García Valey de 26 de julio de 2001 (expediente de prueba, folios 1898 y 1899).</w:t>
      </w:r>
    </w:p>
    <w:p w14:paraId="13F2A677" w14:textId="77777777" w:rsidR="006A0E1C" w:rsidRPr="00EF190F" w:rsidRDefault="006A0E1C" w:rsidP="006A0E1C">
      <w:pPr>
        <w:tabs>
          <w:tab w:val="left" w:pos="360"/>
        </w:tabs>
        <w:autoSpaceDE w:val="0"/>
        <w:autoSpaceDN w:val="0"/>
        <w:spacing w:line="240" w:lineRule="auto"/>
        <w:rPr>
          <w:rFonts w:cs="Arial"/>
          <w:sz w:val="16"/>
          <w:szCs w:val="16"/>
        </w:rPr>
      </w:pPr>
    </w:p>
    <w:p w14:paraId="5EE8D847" w14:textId="77777777" w:rsidR="006A0E1C" w:rsidRPr="00EF190F" w:rsidRDefault="006A0E1C" w:rsidP="006A0E1C">
      <w:pPr>
        <w:pStyle w:val="ListParagraph"/>
        <w:tabs>
          <w:tab w:val="left" w:pos="360"/>
        </w:tabs>
        <w:autoSpaceDE w:val="0"/>
        <w:autoSpaceDN w:val="0"/>
        <w:adjustRightInd w:val="0"/>
        <w:spacing w:after="0" w:line="240" w:lineRule="auto"/>
        <w:ind w:left="0"/>
        <w:jc w:val="both"/>
        <w:rPr>
          <w:rFonts w:ascii="Verdana" w:hAnsi="Verdana"/>
          <w:sz w:val="16"/>
          <w:szCs w:val="16"/>
          <w:lang w:val="es-CR"/>
        </w:rPr>
      </w:pPr>
      <w:r w:rsidRPr="00EF190F">
        <w:rPr>
          <w:rFonts w:ascii="Verdana" w:hAnsi="Verdana" w:cs="Arial"/>
          <w:sz w:val="16"/>
          <w:szCs w:val="16"/>
        </w:rPr>
        <w:t xml:space="preserve">Del mismo modo, en agosto de 1995 Víctor Castulo Alvarado Sucup </w:t>
      </w:r>
      <w:r w:rsidRPr="00EF190F">
        <w:rPr>
          <w:rFonts w:ascii="Verdana" w:hAnsi="Verdana"/>
          <w:sz w:val="16"/>
          <w:szCs w:val="16"/>
        </w:rPr>
        <w:t xml:space="preserve">y </w:t>
      </w:r>
      <w:r w:rsidRPr="00EF190F">
        <w:rPr>
          <w:rFonts w:ascii="Verdana" w:hAnsi="Verdana" w:cs="Arial"/>
          <w:sz w:val="16"/>
          <w:szCs w:val="16"/>
        </w:rPr>
        <w:t xml:space="preserve">Rosario Román Tum solicitaron a la Fiscalía Departamental de Salamá, la exhumación de los cuerpos enterrados en las fosas clandestinas ubicadas en Xeabaj. </w:t>
      </w:r>
      <w:r w:rsidRPr="00EF190F">
        <w:rPr>
          <w:rFonts w:ascii="Verdana" w:hAnsi="Verdana" w:cs="Arial"/>
          <w:i/>
          <w:sz w:val="16"/>
          <w:szCs w:val="16"/>
          <w:lang w:val="es-ES_tradnl"/>
        </w:rPr>
        <w:t xml:space="preserve">Cfr. </w:t>
      </w:r>
      <w:r w:rsidRPr="00EF190F">
        <w:rPr>
          <w:rFonts w:ascii="Verdana" w:hAnsi="Verdana"/>
          <w:sz w:val="16"/>
          <w:szCs w:val="16"/>
          <w:lang w:val="es-CR"/>
        </w:rPr>
        <w:t>Declaración de Víctor Castulo Alvarado Sucup de 11 de agosto de 1995 (expediente de prueba, folios 1883 y 1884), y Declaración de Rosario Román Tum de 11 de agosto de 1995 (expediente de prueba, folios 1885 y 1886).</w:t>
      </w:r>
    </w:p>
    <w:p w14:paraId="25BE0CB6" w14:textId="77777777" w:rsidR="006A0E1C" w:rsidRPr="00EF190F" w:rsidRDefault="006A0E1C" w:rsidP="006A0E1C">
      <w:pPr>
        <w:tabs>
          <w:tab w:val="left" w:pos="360"/>
        </w:tabs>
        <w:autoSpaceDE w:val="0"/>
        <w:autoSpaceDN w:val="0"/>
        <w:spacing w:line="240" w:lineRule="auto"/>
        <w:rPr>
          <w:rFonts w:cs="Arial"/>
          <w:sz w:val="16"/>
          <w:szCs w:val="16"/>
          <w:lang w:val="es-ES_tradnl"/>
        </w:rPr>
      </w:pPr>
    </w:p>
    <w:p w14:paraId="06FA71B2" w14:textId="77777777" w:rsidR="006A0E1C" w:rsidRPr="00EF190F" w:rsidRDefault="006A0E1C" w:rsidP="006A0E1C">
      <w:pPr>
        <w:tabs>
          <w:tab w:val="left" w:pos="360"/>
        </w:tabs>
        <w:autoSpaceDE w:val="0"/>
        <w:autoSpaceDN w:val="0"/>
        <w:spacing w:line="240" w:lineRule="auto"/>
        <w:rPr>
          <w:rFonts w:cs="Arial"/>
          <w:sz w:val="16"/>
          <w:szCs w:val="16"/>
        </w:rPr>
      </w:pPr>
      <w:r w:rsidRPr="00EF190F">
        <w:rPr>
          <w:rFonts w:cs="Arial"/>
          <w:sz w:val="16"/>
          <w:szCs w:val="16"/>
        </w:rPr>
        <w:t xml:space="preserve">Sin embargo, también tuvieron que reiterar dicha solicitud en mayo de 2000 y febrero de 2002, es decir, cinco y siete años después, ante la Fiscalía Distrital del Ministerio Público de Salamá. En esta última ocasión también solicitaron a la Fiscalía nombrar peritos para el análisis de los cuerpos y oficiar a la Policía Nacional para que esta brindara custodia durante la exhumación. </w:t>
      </w:r>
      <w:r w:rsidRPr="00EF190F">
        <w:rPr>
          <w:rFonts w:cs="Arial"/>
          <w:i/>
          <w:sz w:val="16"/>
          <w:szCs w:val="16"/>
        </w:rPr>
        <w:t xml:space="preserve">Cfr. </w:t>
      </w:r>
      <w:r w:rsidRPr="00EF190F">
        <w:rPr>
          <w:sz w:val="16"/>
          <w:szCs w:val="16"/>
        </w:rPr>
        <w:t>Declaración de Víctor Castulo Alvarado Sucup de 9 de mayo de 2000 (expediente de prueba, folio 1890); Declaración de Rosario Román Tum de 9 de mayo de 2000 (expediente de prueba, folio 1888), y Escrito presentado por el señor Víctor Castulo Alvarado Sucup y la señora Rosario Román Tum al Agente Fiscal de la Fiscalía Distrital de Baja Verapaz el 14 de febrero de 2002 (expediente de prueba, folios 1913 a 1915).</w:t>
      </w:r>
    </w:p>
    <w:p w14:paraId="50E86965" w14:textId="77777777" w:rsidR="006A0E1C" w:rsidRPr="00EF190F" w:rsidRDefault="006A0E1C" w:rsidP="006A0E1C">
      <w:pPr>
        <w:tabs>
          <w:tab w:val="left" w:pos="360"/>
        </w:tabs>
        <w:autoSpaceDE w:val="0"/>
        <w:autoSpaceDN w:val="0"/>
        <w:spacing w:line="240" w:lineRule="auto"/>
        <w:rPr>
          <w:rFonts w:cs="Arial"/>
          <w:sz w:val="16"/>
          <w:szCs w:val="16"/>
        </w:rPr>
      </w:pPr>
    </w:p>
    <w:p w14:paraId="7F201636" w14:textId="77777777" w:rsidR="006A0E1C" w:rsidRPr="00EF190F" w:rsidRDefault="006A0E1C" w:rsidP="006A0E1C">
      <w:pPr>
        <w:pStyle w:val="FootnoteText"/>
        <w:tabs>
          <w:tab w:val="left" w:pos="360"/>
        </w:tabs>
        <w:rPr>
          <w:sz w:val="16"/>
          <w:szCs w:val="16"/>
        </w:rPr>
      </w:pPr>
      <w:r w:rsidRPr="00EF190F">
        <w:rPr>
          <w:sz w:val="16"/>
          <w:szCs w:val="16"/>
        </w:rPr>
        <w:t xml:space="preserve">En enero de 1997 y julio de 2001 la señora María Concepción García Depaz solicitó la exhumación de su hijo, señalando el lugar donde este se encontraría sepultado. </w:t>
      </w:r>
      <w:r w:rsidRPr="00EF190F">
        <w:rPr>
          <w:i/>
          <w:sz w:val="16"/>
          <w:szCs w:val="16"/>
        </w:rPr>
        <w:t>Cfr</w:t>
      </w:r>
      <w:r w:rsidRPr="00EF190F">
        <w:rPr>
          <w:sz w:val="16"/>
          <w:szCs w:val="16"/>
        </w:rPr>
        <w:t xml:space="preserve">. </w:t>
      </w:r>
      <w:r w:rsidRPr="00EF190F">
        <w:rPr>
          <w:sz w:val="16"/>
          <w:szCs w:val="16"/>
          <w:lang w:val="es-CR"/>
        </w:rPr>
        <w:t xml:space="preserve">Denuncia de María Concepción García Depaz de 17 de enero de 1997 </w:t>
      </w:r>
      <w:r w:rsidRPr="00EF190F">
        <w:rPr>
          <w:sz w:val="16"/>
          <w:szCs w:val="16"/>
        </w:rPr>
        <w:t>(expediente de prueba</w:t>
      </w:r>
      <w:r w:rsidRPr="00EF190F">
        <w:rPr>
          <w:sz w:val="16"/>
          <w:szCs w:val="16"/>
          <w:lang w:val="es-CR"/>
        </w:rPr>
        <w:t>, folios 1862 y 1863)</w:t>
      </w:r>
      <w:r w:rsidRPr="00EF190F">
        <w:rPr>
          <w:sz w:val="16"/>
          <w:szCs w:val="16"/>
        </w:rPr>
        <w:t xml:space="preserve">; </w:t>
      </w:r>
      <w:r w:rsidRPr="00EF190F">
        <w:rPr>
          <w:sz w:val="16"/>
          <w:szCs w:val="16"/>
          <w:lang w:val="es-CR"/>
        </w:rPr>
        <w:t xml:space="preserve">Declaración de María Concepción García Depaz de 27 de julio de 2001 </w:t>
      </w:r>
      <w:r w:rsidRPr="00EF190F">
        <w:rPr>
          <w:sz w:val="16"/>
          <w:szCs w:val="16"/>
        </w:rPr>
        <w:t>(expediente de prueba,</w:t>
      </w:r>
      <w:r w:rsidRPr="00EF190F">
        <w:rPr>
          <w:sz w:val="16"/>
          <w:szCs w:val="16"/>
          <w:lang w:val="es-CR"/>
        </w:rPr>
        <w:t xml:space="preserve"> folios 1902 y 1903).</w:t>
      </w:r>
      <w:r w:rsidRPr="00EF190F">
        <w:rPr>
          <w:sz w:val="16"/>
          <w:szCs w:val="16"/>
          <w:lang w:val="es-PR"/>
        </w:rPr>
        <w:t xml:space="preserve"> </w:t>
      </w:r>
      <w:r w:rsidRPr="00EF190F">
        <w:rPr>
          <w:sz w:val="16"/>
          <w:szCs w:val="16"/>
        </w:rPr>
        <w:t xml:space="preserve">Igualmente, en julio de 2001 y septiembre de 2003 la señora Tarcila Milián Morales señaló el lugar donde se encontrarían enterrados su padre y su hermana, y solicitó su exhumación. </w:t>
      </w:r>
      <w:r w:rsidRPr="00EF190F">
        <w:rPr>
          <w:i/>
          <w:sz w:val="16"/>
          <w:szCs w:val="16"/>
        </w:rPr>
        <w:t>Cfr</w:t>
      </w:r>
      <w:r w:rsidRPr="00EF190F">
        <w:rPr>
          <w:sz w:val="16"/>
          <w:szCs w:val="16"/>
        </w:rPr>
        <w:t xml:space="preserve">. </w:t>
      </w:r>
      <w:r w:rsidRPr="00EF190F">
        <w:rPr>
          <w:sz w:val="16"/>
          <w:szCs w:val="16"/>
          <w:lang w:val="es-CR"/>
        </w:rPr>
        <w:t xml:space="preserve">Declaración de Tarcila Milián Morales de 27 de julio de 2001 (expediente de prueba, folios 1900 y 1901), y Declaración de la señora Tarcila Milián Morales </w:t>
      </w:r>
      <w:r w:rsidRPr="00EF190F">
        <w:rPr>
          <w:rFonts w:cs="Arial"/>
          <w:sz w:val="16"/>
          <w:szCs w:val="16"/>
          <w:lang w:val="es-CR"/>
        </w:rPr>
        <w:t>de</w:t>
      </w:r>
      <w:r w:rsidRPr="00EF190F">
        <w:rPr>
          <w:sz w:val="16"/>
          <w:szCs w:val="16"/>
          <w:lang w:val="es-CR"/>
        </w:rPr>
        <w:t xml:space="preserve"> 24 de septiembre de 2003 (expediente de prueba, folios 11783 y 11784). </w:t>
      </w:r>
      <w:r w:rsidRPr="00EF190F">
        <w:rPr>
          <w:sz w:val="16"/>
          <w:szCs w:val="16"/>
        </w:rPr>
        <w:t xml:space="preserve">Sin embargo, no se ordenó una exhumación dirigida a la búsqueda de los familiares de las señoras María Concepción García Depaz y Tarcila Milián Morales sino hasta en febrero de 2007. </w:t>
      </w:r>
      <w:r w:rsidRPr="00EF190F">
        <w:rPr>
          <w:i/>
          <w:sz w:val="16"/>
          <w:szCs w:val="16"/>
        </w:rPr>
        <w:t>Cfr</w:t>
      </w:r>
      <w:r w:rsidRPr="00EF190F">
        <w:rPr>
          <w:sz w:val="16"/>
          <w:szCs w:val="16"/>
        </w:rPr>
        <w:t xml:space="preserve">. Resolución del </w:t>
      </w:r>
      <w:r w:rsidRPr="00EF190F">
        <w:rPr>
          <w:rFonts w:cs="Arial"/>
          <w:sz w:val="16"/>
          <w:szCs w:val="16"/>
          <w:lang w:val="es-CR"/>
        </w:rPr>
        <w:t>Juez de Primera Instancia Penal, Narcoactividad y Delitos Contra el Ambiente de Baja Verapaz de 22 de febrero de 2007 (expediente de prueba, folios 11827 y 11828).</w:t>
      </w:r>
      <w:r w:rsidRPr="00EF190F">
        <w:rPr>
          <w:sz w:val="16"/>
          <w:szCs w:val="16"/>
        </w:rPr>
        <w:t xml:space="preserve"> El padre de la señora Milián fue identificado en el año 2011 (</w:t>
      </w:r>
      <w:r w:rsidRPr="00EF190F">
        <w:rPr>
          <w:i/>
          <w:sz w:val="16"/>
          <w:szCs w:val="16"/>
        </w:rPr>
        <w:t>supra</w:t>
      </w:r>
      <w:r w:rsidRPr="00EF190F">
        <w:rPr>
          <w:sz w:val="16"/>
          <w:szCs w:val="16"/>
        </w:rPr>
        <w:t xml:space="preserve"> párr. 107). </w:t>
      </w:r>
      <w:r w:rsidRPr="00EF190F">
        <w:rPr>
          <w:i/>
          <w:sz w:val="16"/>
          <w:szCs w:val="16"/>
        </w:rPr>
        <w:t>Cfr</w:t>
      </w:r>
      <w:r w:rsidRPr="00EF190F">
        <w:rPr>
          <w:sz w:val="16"/>
          <w:szCs w:val="16"/>
        </w:rPr>
        <w:t>. Informe de la FAFG de 27 de junio de 2011 (expediente de prueba, folios 11910 a 11931).</w:t>
      </w:r>
    </w:p>
    <w:p w14:paraId="0D01239C" w14:textId="77777777" w:rsidR="006A0E1C" w:rsidRPr="00EF190F" w:rsidRDefault="006A0E1C" w:rsidP="006A0E1C">
      <w:pPr>
        <w:pStyle w:val="FootnoteText"/>
        <w:tabs>
          <w:tab w:val="left" w:pos="360"/>
        </w:tabs>
        <w:rPr>
          <w:sz w:val="16"/>
          <w:szCs w:val="16"/>
        </w:rPr>
      </w:pPr>
    </w:p>
    <w:p w14:paraId="7FBFD33C" w14:textId="77777777" w:rsidR="006A0E1C" w:rsidRPr="00EF190F" w:rsidRDefault="006A0E1C" w:rsidP="006A0E1C">
      <w:pPr>
        <w:tabs>
          <w:tab w:val="left" w:pos="360"/>
        </w:tabs>
        <w:autoSpaceDE w:val="0"/>
        <w:autoSpaceDN w:val="0"/>
        <w:spacing w:line="240" w:lineRule="auto"/>
        <w:rPr>
          <w:sz w:val="16"/>
          <w:szCs w:val="16"/>
        </w:rPr>
      </w:pPr>
      <w:r w:rsidRPr="00EF190F">
        <w:rPr>
          <w:sz w:val="16"/>
          <w:szCs w:val="16"/>
        </w:rPr>
        <w:t xml:space="preserve">Finalmente, se constató que en julio de 1997 y mayo de 2003 la señora Francisca González Tecú solicitó la exhumación de sus familiares en un cementerio clandestino de la aldea Xeabaj; sin embargo, dicha exhumación no se llevó a cabo sino hasta junio de 2004. </w:t>
      </w:r>
      <w:r w:rsidRPr="00EF190F">
        <w:rPr>
          <w:i/>
          <w:sz w:val="16"/>
          <w:szCs w:val="16"/>
        </w:rPr>
        <w:t>Cfr</w:t>
      </w:r>
      <w:r w:rsidRPr="00EF190F">
        <w:rPr>
          <w:sz w:val="16"/>
          <w:szCs w:val="16"/>
        </w:rPr>
        <w:t xml:space="preserve">. Denuncia de Francisca González Tecú de 28 de julio de 1997 (expediente de prueba, folios 9138 y 9139); Declaración de Francisca González Tecú y Clementina Bachan Cahuec de 8 de mayo de 2003 ante el Auxiliar Fiscal de la Fiscalía Distrital del Ministerio Público de Salamá (expediente de prueba, folios 9142 y 9143), e Informe de la FAFG de </w:t>
      </w:r>
      <w:r w:rsidRPr="00EF190F">
        <w:rPr>
          <w:sz w:val="16"/>
          <w:szCs w:val="16"/>
          <w:lang w:val="es-ES_tradnl"/>
        </w:rPr>
        <w:t>6 de octubre de 2004</w:t>
      </w:r>
      <w:r w:rsidRPr="00EF190F">
        <w:rPr>
          <w:sz w:val="16"/>
          <w:szCs w:val="16"/>
        </w:rPr>
        <w:t xml:space="preserve"> (expediente de prueba, folios 1594, 1640 y 1641).</w:t>
      </w:r>
    </w:p>
    <w:p w14:paraId="7D17B482" w14:textId="77777777" w:rsidR="006A0E1C" w:rsidRPr="00EF190F" w:rsidRDefault="006A0E1C" w:rsidP="006A0E1C">
      <w:pPr>
        <w:tabs>
          <w:tab w:val="left" w:pos="360"/>
        </w:tabs>
        <w:autoSpaceDE w:val="0"/>
        <w:autoSpaceDN w:val="0"/>
        <w:spacing w:line="240" w:lineRule="auto"/>
        <w:rPr>
          <w:sz w:val="16"/>
          <w:szCs w:val="16"/>
          <w:lang w:val="es-PR"/>
        </w:rPr>
      </w:pPr>
    </w:p>
  </w:footnote>
  <w:footnote w:id="279">
    <w:p w14:paraId="1174C80E"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rPr>
        <w:t xml:space="preserve">Cfr. </w:t>
      </w:r>
      <w:r w:rsidRPr="00EF190F">
        <w:rPr>
          <w:sz w:val="16"/>
          <w:szCs w:val="16"/>
        </w:rPr>
        <w:t>Acta de entrega de osamenta por parte del A</w:t>
      </w:r>
      <w:r w:rsidRPr="00EF190F">
        <w:rPr>
          <w:rStyle w:val="CommentReference"/>
          <w:rFonts w:cs="Arial"/>
        </w:rPr>
        <w:t>uxiliar Fiscal de la Fiscalía Municipal del Ministerio Público de Rabinal (expediente de prueba, folios 11949 y 11950).</w:t>
      </w:r>
    </w:p>
  </w:footnote>
  <w:footnote w:id="280">
    <w:p w14:paraId="482B790F"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lang w:val="es-CR"/>
        </w:rPr>
        <w:t xml:space="preserve">Cfr. </w:t>
      </w:r>
      <w:r w:rsidRPr="00EF190F">
        <w:rPr>
          <w:sz w:val="16"/>
          <w:szCs w:val="16"/>
        </w:rPr>
        <w:t xml:space="preserve">Informe de la FAFG </w:t>
      </w:r>
      <w:r w:rsidRPr="00EF190F">
        <w:rPr>
          <w:rFonts w:cs="Arial"/>
          <w:sz w:val="16"/>
          <w:szCs w:val="16"/>
        </w:rPr>
        <w:t>de 27 de junio de 2011</w:t>
      </w:r>
      <w:r w:rsidRPr="00EF190F">
        <w:rPr>
          <w:sz w:val="16"/>
          <w:szCs w:val="16"/>
        </w:rPr>
        <w:t xml:space="preserve"> (expediente de prueba, folios 11910 a 11931).</w:t>
      </w:r>
    </w:p>
  </w:footnote>
  <w:footnote w:id="281">
    <w:p w14:paraId="46D0023A"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Manifestó que desde el 8 de enero de 1982 el Ejército “empezó una intensa persecución contra la población civil de la comunidad de Chichupac”, por lo que tuvo que salir huyendo de la aldea e irse a vivir a la montaña “junto con [su] esposa y [sus] cuatro hijos menores”. Señaló que en marzo de 1983 “falleció [su] hijo Antonio Chen Mendoza a causa de fiebre, diarrea y hambre” y tuvieron la “necesidad de enterrarlo en terreno de [su] propiedad ya que la persecución del [E]jército era constante, [y] no pudi[eron] enterrarlo en un cementerio legal”. Por tanto, solicitó la investigación de los hechos y la exhumación de los restos de su hijo. </w:t>
      </w:r>
      <w:r w:rsidRPr="00EF190F">
        <w:rPr>
          <w:i/>
          <w:sz w:val="16"/>
          <w:szCs w:val="16"/>
        </w:rPr>
        <w:t xml:space="preserve">Cfr. </w:t>
      </w:r>
      <w:r w:rsidRPr="00EF190F">
        <w:rPr>
          <w:sz w:val="16"/>
          <w:szCs w:val="16"/>
        </w:rPr>
        <w:t>Denuncia de Miguel Chen Tahuico de 7 de abril de 2006 (expediente de prueba, folios 1555 a 1556).</w:t>
      </w:r>
    </w:p>
  </w:footnote>
  <w:footnote w:id="282">
    <w:p w14:paraId="34F23361" w14:textId="77777777" w:rsidR="006A0E1C" w:rsidRPr="00EF190F" w:rsidRDefault="006A0E1C" w:rsidP="006A0E1C">
      <w:pPr>
        <w:pStyle w:val="FootnoteText"/>
        <w:tabs>
          <w:tab w:val="left" w:pos="360"/>
        </w:tabs>
        <w:rPr>
          <w:sz w:val="16"/>
          <w:szCs w:val="16"/>
          <w:lang w:val="es-GT"/>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r>
      <w:r w:rsidRPr="00EF190F">
        <w:rPr>
          <w:i/>
          <w:sz w:val="16"/>
          <w:szCs w:val="16"/>
          <w:lang w:val="es-GT"/>
        </w:rPr>
        <w:t>Cfr.</w:t>
      </w:r>
      <w:r w:rsidRPr="00EF190F">
        <w:rPr>
          <w:sz w:val="16"/>
          <w:szCs w:val="16"/>
          <w:lang w:val="es-GT"/>
        </w:rPr>
        <w:t xml:space="preserve"> </w:t>
      </w:r>
      <w:r w:rsidRPr="00EF190F">
        <w:rPr>
          <w:bCs/>
          <w:i/>
          <w:sz w:val="16"/>
          <w:szCs w:val="16"/>
          <w:lang w:val="es-CR"/>
        </w:rPr>
        <w:t>Caso Anzualdo Castro Vs. Perú</w:t>
      </w:r>
      <w:r w:rsidRPr="00EF190F">
        <w:rPr>
          <w:bCs/>
          <w:sz w:val="16"/>
          <w:szCs w:val="16"/>
          <w:lang w:val="es-CR"/>
        </w:rPr>
        <w:t>,</w:t>
      </w:r>
      <w:r w:rsidRPr="00EF190F">
        <w:rPr>
          <w:i/>
          <w:iCs/>
          <w:sz w:val="16"/>
          <w:szCs w:val="16"/>
          <w:lang w:val="es-MX"/>
        </w:rPr>
        <w:t xml:space="preserve"> </w:t>
      </w:r>
      <w:r w:rsidRPr="00EF190F">
        <w:rPr>
          <w:iCs/>
          <w:sz w:val="16"/>
          <w:szCs w:val="16"/>
          <w:lang w:val="es-MX"/>
        </w:rPr>
        <w:t xml:space="preserve">párr. 135, y </w:t>
      </w:r>
      <w:r w:rsidRPr="00EF190F">
        <w:rPr>
          <w:rStyle w:val="Strong"/>
          <w:b w:val="0"/>
          <w:i/>
          <w:color w:val="000000"/>
          <w:sz w:val="16"/>
          <w:szCs w:val="16"/>
          <w:shd w:val="clear" w:color="auto" w:fill="FFFFFF"/>
        </w:rPr>
        <w:t>Caso Contreras y otros Vs. El Salvador,</w:t>
      </w:r>
      <w:r w:rsidRPr="00EF190F">
        <w:rPr>
          <w:rStyle w:val="Strong"/>
          <w:b w:val="0"/>
          <w:color w:val="000000"/>
          <w:sz w:val="16"/>
          <w:szCs w:val="16"/>
          <w:shd w:val="clear" w:color="auto" w:fill="FFFFFF"/>
        </w:rPr>
        <w:t xml:space="preserve"> párr. 145</w:t>
      </w:r>
      <w:r w:rsidRPr="00EF190F">
        <w:rPr>
          <w:iCs/>
          <w:sz w:val="16"/>
          <w:szCs w:val="16"/>
          <w:lang w:val="es-MX"/>
        </w:rPr>
        <w:t>.</w:t>
      </w:r>
    </w:p>
  </w:footnote>
  <w:footnote w:id="283">
    <w:p w14:paraId="4AA9CE94"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rPr>
        <w:t xml:space="preserve">Cfr. </w:t>
      </w:r>
      <w:r w:rsidRPr="00EF190F">
        <w:rPr>
          <w:sz w:val="16"/>
          <w:szCs w:val="16"/>
          <w:lang w:val="es-CR"/>
        </w:rPr>
        <w:t xml:space="preserve">Informe de FAFG de 18 de diciembre de 2002 </w:t>
      </w:r>
      <w:r w:rsidRPr="00EF190F">
        <w:rPr>
          <w:sz w:val="16"/>
          <w:szCs w:val="16"/>
        </w:rPr>
        <w:t xml:space="preserve">(expediente de prueba, </w:t>
      </w:r>
      <w:r w:rsidRPr="00EF190F">
        <w:rPr>
          <w:sz w:val="16"/>
          <w:szCs w:val="16"/>
          <w:lang w:val="es-CR"/>
        </w:rPr>
        <w:t>folios 2035 a 2037).</w:t>
      </w:r>
    </w:p>
  </w:footnote>
  <w:footnote w:id="284">
    <w:p w14:paraId="6F66E266"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rPr>
        <w:t xml:space="preserve">Cfr. </w:t>
      </w:r>
      <w:r w:rsidRPr="00EF190F">
        <w:rPr>
          <w:sz w:val="16"/>
          <w:szCs w:val="16"/>
          <w:lang w:val="es-CR"/>
        </w:rPr>
        <w:t>Acta de exhumación de cadáveres en cementerios clandestinos emitida por el Juez de Paz de Rabinal del 9 al 13 de abril de 2002 (expediente de prueba, folios 1938 a 1941).</w:t>
      </w:r>
    </w:p>
  </w:footnote>
  <w:footnote w:id="285">
    <w:p w14:paraId="59084CB4"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rPr>
        <w:t xml:space="preserve">Cfr. </w:t>
      </w:r>
      <w:r w:rsidRPr="00EF190F">
        <w:rPr>
          <w:sz w:val="16"/>
          <w:szCs w:val="16"/>
          <w:lang w:val="es-CR"/>
        </w:rPr>
        <w:t xml:space="preserve">Informe de FAFG de junio de 2011 </w:t>
      </w:r>
      <w:r w:rsidRPr="00EF190F">
        <w:rPr>
          <w:sz w:val="16"/>
          <w:szCs w:val="16"/>
        </w:rPr>
        <w:t>(expediente de prueba</w:t>
      </w:r>
      <w:r w:rsidRPr="00EF190F">
        <w:rPr>
          <w:sz w:val="16"/>
          <w:szCs w:val="16"/>
          <w:lang w:val="es-CR"/>
        </w:rPr>
        <w:t>, folios 2035 a 2037), y Resolución de la Auxiliar Fiscal del Ministerio Público de Salamá de 27 de febrero de 2003</w:t>
      </w:r>
      <w:r w:rsidRPr="00EF190F">
        <w:rPr>
          <w:sz w:val="16"/>
          <w:szCs w:val="16"/>
        </w:rPr>
        <w:t xml:space="preserve"> (expediente de prueba</w:t>
      </w:r>
      <w:r w:rsidRPr="00EF190F">
        <w:rPr>
          <w:sz w:val="16"/>
          <w:szCs w:val="16"/>
          <w:lang w:val="es-CR"/>
        </w:rPr>
        <w:t>, folios 1950 y 1951).</w:t>
      </w:r>
    </w:p>
  </w:footnote>
  <w:footnote w:id="286">
    <w:p w14:paraId="2E7373BA" w14:textId="77777777" w:rsidR="006A0E1C" w:rsidRPr="00EF190F" w:rsidRDefault="006A0E1C" w:rsidP="006A0E1C">
      <w:pPr>
        <w:pStyle w:val="FootnoteText"/>
        <w:tabs>
          <w:tab w:val="left" w:pos="360"/>
          <w:tab w:val="left" w:pos="720"/>
        </w:tabs>
        <w:contextualSpacing/>
        <w:rPr>
          <w:spacing w:val="-4"/>
          <w:sz w:val="16"/>
          <w:szCs w:val="16"/>
          <w:lang w:val="es-PR"/>
        </w:rPr>
      </w:pPr>
      <w:r w:rsidRPr="00EF190F">
        <w:rPr>
          <w:rStyle w:val="FootnoteReference"/>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i/>
          <w:iCs/>
          <w:spacing w:val="-4"/>
          <w:sz w:val="16"/>
          <w:szCs w:val="16"/>
          <w:lang w:val="es-PR"/>
        </w:rPr>
        <w:t>Cfr.</w:t>
      </w:r>
      <w:r w:rsidRPr="00EF190F">
        <w:rPr>
          <w:i/>
          <w:spacing w:val="-4"/>
          <w:sz w:val="16"/>
          <w:szCs w:val="16"/>
          <w:lang w:val="es-PR"/>
        </w:rPr>
        <w:t xml:space="preserve"> Caso </w:t>
      </w:r>
      <w:r w:rsidRPr="00EF190F">
        <w:rPr>
          <w:bCs/>
          <w:i/>
          <w:spacing w:val="-4"/>
          <w:sz w:val="16"/>
          <w:szCs w:val="16"/>
          <w:lang w:val="es-ES"/>
        </w:rPr>
        <w:t xml:space="preserve">Masacre de las Dos Erres Vs. Guatemala, </w:t>
      </w:r>
      <w:r w:rsidRPr="00EF190F">
        <w:rPr>
          <w:spacing w:val="-4"/>
          <w:sz w:val="16"/>
          <w:szCs w:val="16"/>
          <w:lang w:val="es-ES"/>
        </w:rPr>
        <w:t xml:space="preserve">párr. 245, </w:t>
      </w:r>
      <w:r w:rsidRPr="00EF190F">
        <w:rPr>
          <w:i/>
          <w:spacing w:val="-4"/>
          <w:sz w:val="16"/>
          <w:szCs w:val="16"/>
          <w:lang w:val="es-ES"/>
        </w:rPr>
        <w:t xml:space="preserve">y </w:t>
      </w:r>
      <w:r w:rsidRPr="00EF190F">
        <w:rPr>
          <w:bCs/>
          <w:i/>
          <w:sz w:val="16"/>
          <w:szCs w:val="16"/>
          <w:lang w:val="es-PR"/>
        </w:rPr>
        <w:t>Caso Tenorio Roca y otros Vs. Perú</w:t>
      </w:r>
      <w:r w:rsidRPr="00EF190F">
        <w:rPr>
          <w:sz w:val="16"/>
          <w:szCs w:val="16"/>
          <w:lang w:val="es-PR"/>
        </w:rPr>
        <w:t>, párr. 274.</w:t>
      </w:r>
    </w:p>
  </w:footnote>
  <w:footnote w:id="287">
    <w:p w14:paraId="1E2B7459" w14:textId="77777777" w:rsidR="006A0E1C" w:rsidRPr="00EF190F" w:rsidRDefault="006A0E1C" w:rsidP="006A0E1C">
      <w:pPr>
        <w:pStyle w:val="FootnoteText"/>
        <w:tabs>
          <w:tab w:val="left" w:pos="360"/>
          <w:tab w:val="left" w:pos="72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rPr>
        <w:t xml:space="preserve">Cfr. </w:t>
      </w:r>
      <w:r w:rsidRPr="00EF190F">
        <w:rPr>
          <w:sz w:val="16"/>
          <w:szCs w:val="16"/>
          <w:lang w:val="es-CR"/>
        </w:rPr>
        <w:t>Resolución de la Auxiliar Fiscal del Ministerio Público de Salamá de 27 de febrero de 2002</w:t>
      </w:r>
      <w:r w:rsidRPr="00EF190F">
        <w:rPr>
          <w:sz w:val="16"/>
          <w:szCs w:val="16"/>
        </w:rPr>
        <w:t xml:space="preserve"> (expediente de prueba,</w:t>
      </w:r>
      <w:r w:rsidRPr="00EF190F">
        <w:rPr>
          <w:sz w:val="16"/>
          <w:szCs w:val="16"/>
          <w:lang w:val="es-CR"/>
        </w:rPr>
        <w:t xml:space="preserve"> folios 1950 y 1951).</w:t>
      </w:r>
    </w:p>
  </w:footnote>
  <w:footnote w:id="288">
    <w:p w14:paraId="041B42A4"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sz w:val="16"/>
          <w:szCs w:val="16"/>
        </w:rPr>
        <w:t xml:space="preserve">La Corte también constató que tres </w:t>
      </w:r>
      <w:r w:rsidRPr="00EF190F">
        <w:rPr>
          <w:rFonts w:eastAsia="Calibri"/>
          <w:sz w:val="16"/>
          <w:szCs w:val="16"/>
          <w:lang w:val="es-GT"/>
        </w:rPr>
        <w:t xml:space="preserve">osamentas no identificadas </w:t>
      </w:r>
      <w:r w:rsidRPr="00EF190F">
        <w:rPr>
          <w:sz w:val="16"/>
          <w:szCs w:val="16"/>
        </w:rPr>
        <w:t xml:space="preserve">fueron entregadas </w:t>
      </w:r>
      <w:r w:rsidRPr="00EF190F">
        <w:rPr>
          <w:rFonts w:eastAsia="Calibri"/>
          <w:sz w:val="16"/>
          <w:szCs w:val="16"/>
          <w:lang w:val="es-GT"/>
        </w:rPr>
        <w:t xml:space="preserve">a la señora Tarcila Milián Morales </w:t>
      </w:r>
      <w:r w:rsidRPr="00EF190F">
        <w:rPr>
          <w:rFonts w:cs="Arial"/>
          <w:sz w:val="16"/>
          <w:szCs w:val="16"/>
        </w:rPr>
        <w:t>“en calidad de depósito”</w:t>
      </w:r>
      <w:r w:rsidRPr="00EF190F">
        <w:rPr>
          <w:rFonts w:eastAsia="Calibri"/>
          <w:sz w:val="16"/>
          <w:szCs w:val="16"/>
          <w:lang w:val="es-GT"/>
        </w:rPr>
        <w:t xml:space="preserve">. </w:t>
      </w:r>
      <w:r w:rsidRPr="00EF190F">
        <w:rPr>
          <w:i/>
          <w:sz w:val="16"/>
          <w:szCs w:val="16"/>
          <w:lang w:val="es-CR"/>
        </w:rPr>
        <w:t xml:space="preserve">Cfr. </w:t>
      </w:r>
      <w:r w:rsidRPr="00EF190F">
        <w:rPr>
          <w:sz w:val="16"/>
          <w:szCs w:val="16"/>
        </w:rPr>
        <w:t xml:space="preserve">Resolución del </w:t>
      </w:r>
      <w:r w:rsidRPr="00EF190F">
        <w:rPr>
          <w:rFonts w:cs="Arial"/>
          <w:sz w:val="16"/>
          <w:szCs w:val="16"/>
        </w:rPr>
        <w:t>Auxiliar Fiscal de la Fiscalía Distrital del Ministerio Público de Salamá de 16 de octubre de 2008 (expediente de prueba, folio 11845).</w:t>
      </w:r>
      <w:r w:rsidRPr="00EF190F">
        <w:rPr>
          <w:rFonts w:eastAsia="Calibri"/>
          <w:sz w:val="16"/>
          <w:szCs w:val="16"/>
          <w:lang w:val="es-GT"/>
        </w:rPr>
        <w:t xml:space="preserve"> Por otra parte, </w:t>
      </w:r>
      <w:r w:rsidRPr="00EF190F">
        <w:rPr>
          <w:sz w:val="16"/>
          <w:szCs w:val="16"/>
        </w:rPr>
        <w:t>los restos de Adela Florentina Alvarado García y Luciano Alvarado Xitumul fueron entregados a la señora Francisca González Tecú, y los restos de Lucia Xitumul Ixpancoc y de la recién nacida de 0 a 3 meses de edad fueron entregados al señor William Misael Ixtecoc Xitumul.</w:t>
      </w:r>
      <w:r w:rsidRPr="00EF190F">
        <w:rPr>
          <w:rFonts w:cs="Arial"/>
          <w:sz w:val="16"/>
          <w:szCs w:val="16"/>
        </w:rPr>
        <w:t xml:space="preserve"> </w:t>
      </w:r>
      <w:r w:rsidRPr="00EF190F">
        <w:rPr>
          <w:i/>
          <w:sz w:val="16"/>
          <w:szCs w:val="16"/>
          <w:lang w:val="es-CR"/>
        </w:rPr>
        <w:t xml:space="preserve">Cfr. </w:t>
      </w:r>
      <w:r w:rsidRPr="00EF190F">
        <w:rPr>
          <w:sz w:val="16"/>
          <w:szCs w:val="16"/>
        </w:rPr>
        <w:t xml:space="preserve">Diligencia de 22 de septiembre de 2005 (expediente de prueba, folio 1583). El Tribunal no cuenta con información respecto de si las personas identificadas eran familiares de las personas que recibieron sus osamentas. </w:t>
      </w:r>
    </w:p>
  </w:footnote>
  <w:footnote w:id="289">
    <w:p w14:paraId="24D84BE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El 19 de diciembre de 2002 la FAFG presentó su informe de la pericia antropológica forense al Auxiliar Fiscal del Ministerio Público de Salamá. En este informe, la FAFG indicó que, de conformidad con las declaraciones que obraban en el proceso y las entrevistas realizadas, la exhumación debería dar cuenta de doce víctimas. Luego de los análisis correspondientes, la FAFG determinó que se encontraron trece osamentas incompletas, de las cuales identificó solo a cuatro personas. El 27 de febrero de 2003 se realizó el reconocimiento judicial de osamentas humanas ante el Juez de Paz de Rabinal a través del reconocimiento de restos de vestuario y pertenencias de las víctimas por parte de los familiares. En este acto, se reconocieron las osamentas de ocho personas más. Si bien el informe de la FAFG también menciona a Raymunda Sical Corazón como una de las víctimas buscadas, ya que habría sido ejecutada junto con Silvestre Sic Xitumul, esta no fue identificada ni por la FAFG ni por familiares. </w:t>
      </w:r>
      <w:r w:rsidRPr="00EF190F">
        <w:rPr>
          <w:i/>
          <w:iCs/>
          <w:spacing w:val="-4"/>
          <w:sz w:val="16"/>
          <w:szCs w:val="16"/>
          <w:lang w:val="es-PR"/>
        </w:rPr>
        <w:t>Cfr.</w:t>
      </w:r>
      <w:r w:rsidRPr="00EF190F">
        <w:rPr>
          <w:i/>
          <w:spacing w:val="-4"/>
          <w:sz w:val="16"/>
          <w:szCs w:val="16"/>
          <w:lang w:val="es-PR"/>
        </w:rPr>
        <w:t xml:space="preserve"> </w:t>
      </w:r>
      <w:r w:rsidRPr="00EF190F">
        <w:rPr>
          <w:sz w:val="16"/>
          <w:szCs w:val="16"/>
          <w:lang w:val="es-CR"/>
        </w:rPr>
        <w:t>Informe de FAFG presentado el 19 de diciembre de 2002</w:t>
      </w:r>
      <w:r w:rsidRPr="00EF190F">
        <w:rPr>
          <w:sz w:val="16"/>
          <w:szCs w:val="16"/>
        </w:rPr>
        <w:t xml:space="preserve"> (expediente de prueba,</w:t>
      </w:r>
      <w:r w:rsidRPr="00EF190F">
        <w:rPr>
          <w:sz w:val="16"/>
          <w:szCs w:val="16"/>
          <w:lang w:val="es-CR"/>
        </w:rPr>
        <w:t xml:space="preserve"> folios 1968 y 2035 a 2037), y Acta de Reconocimiento Judicial de Osamentas Humanas ante el Juez de Paz de Rabinal el 27 de febrero de 2003</w:t>
      </w:r>
      <w:r w:rsidRPr="00EF190F">
        <w:rPr>
          <w:sz w:val="16"/>
          <w:szCs w:val="16"/>
        </w:rPr>
        <w:t xml:space="preserve"> (expediente de prueba</w:t>
      </w:r>
      <w:r w:rsidRPr="00EF190F">
        <w:rPr>
          <w:sz w:val="16"/>
          <w:szCs w:val="16"/>
          <w:lang w:val="es-CR"/>
        </w:rPr>
        <w:t>, folios 1952 a 1955).</w:t>
      </w:r>
    </w:p>
  </w:footnote>
  <w:footnote w:id="290">
    <w:p w14:paraId="18E55502"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rPr>
        <w:t xml:space="preserve">Cfr. </w:t>
      </w:r>
      <w:r w:rsidRPr="00EF190F">
        <w:rPr>
          <w:sz w:val="16"/>
          <w:szCs w:val="16"/>
        </w:rPr>
        <w:t xml:space="preserve">Informe de la FAFG de 27 de febrero de 2008 (expediente de prueba, folios 11861 a 11903), y Oficio de la FAFG </w:t>
      </w:r>
      <w:r w:rsidRPr="00EF190F">
        <w:rPr>
          <w:rFonts w:cs="Arial"/>
          <w:sz w:val="16"/>
          <w:szCs w:val="16"/>
        </w:rPr>
        <w:t>de 16 de octubre de 2008 (expediente de prueba, folio 11843).</w:t>
      </w:r>
    </w:p>
  </w:footnote>
  <w:footnote w:id="291">
    <w:p w14:paraId="30FAF103"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En el Expediente No. M.P. 247-1997-1378 ante la Fiscalía Distrital del Ministerio Público de Salamá consta que el 22 de diciembre de 2014 el Ministerio Público recibió de la FAFG, el “Dictamen Pericial de la Investigación Antropológico Forense llevada a cabo en el Cementerio San Francisco, Aldea Chuateguá”, indicando que “la investigación se realizó en dos temporadas, la primera […el] 7 de marzo de 2012 con resultado negativo y la segunda el 20 de marzo de 2013 con resultado positivo”, ya que se encontró una osamenta humana que no fue identificada. </w:t>
      </w:r>
      <w:r w:rsidRPr="00EF190F">
        <w:rPr>
          <w:i/>
          <w:sz w:val="16"/>
          <w:szCs w:val="16"/>
        </w:rPr>
        <w:t>Cfr</w:t>
      </w:r>
      <w:r w:rsidRPr="00EF190F">
        <w:rPr>
          <w:sz w:val="16"/>
          <w:szCs w:val="16"/>
        </w:rPr>
        <w:t>. Informe de FAFG de 5 de junio de 2014 (expediente de prueba, folios 9247, 9250, 9252, 9270 y 9276).</w:t>
      </w:r>
    </w:p>
  </w:footnote>
  <w:footnote w:id="292">
    <w:p w14:paraId="25FCDE4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rPr>
        <w:t xml:space="preserve">Cfr. </w:t>
      </w:r>
      <w:r w:rsidRPr="00EF190F">
        <w:rPr>
          <w:sz w:val="16"/>
          <w:szCs w:val="16"/>
        </w:rPr>
        <w:t>Declaración Clementina Bachan Cahuec de 8 de mayo de 2003 (expediente de prueba, folios 9142 y 9143).</w:t>
      </w:r>
    </w:p>
  </w:footnote>
  <w:footnote w:id="293">
    <w:p w14:paraId="70E809A1"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sz w:val="16"/>
          <w:szCs w:val="16"/>
        </w:rPr>
        <w:t xml:space="preserve">El 9 de mayo de 1995 Juana García Depaz presentó una denuncia ante </w:t>
      </w:r>
      <w:r w:rsidRPr="00EF190F">
        <w:rPr>
          <w:sz w:val="16"/>
          <w:szCs w:val="16"/>
          <w:lang w:val="es-CR"/>
        </w:rPr>
        <w:t>el Auxiliar Departamental del Procurador de Derechos Humanos</w:t>
      </w:r>
      <w:r w:rsidRPr="00EF190F">
        <w:rPr>
          <w:rFonts w:cs="Arial"/>
          <w:sz w:val="16"/>
          <w:szCs w:val="16"/>
        </w:rPr>
        <w:t xml:space="preserve"> respecto la existencia de cementerios clandestinos ubicados en la aldea Chichupac. El 31 de mayo de 1995 </w:t>
      </w:r>
      <w:r w:rsidRPr="00EF190F">
        <w:rPr>
          <w:sz w:val="16"/>
          <w:szCs w:val="16"/>
          <w:lang w:val="es-CR"/>
        </w:rPr>
        <w:t>el Auxiliar Departamental del Procurador</w:t>
      </w:r>
      <w:r w:rsidRPr="00EF190F">
        <w:rPr>
          <w:sz w:val="16"/>
          <w:szCs w:val="16"/>
        </w:rPr>
        <w:t xml:space="preserve"> puso en conocimiento de </w:t>
      </w:r>
      <w:r w:rsidRPr="00EF190F">
        <w:rPr>
          <w:rFonts w:cs="Calibri,Bold"/>
          <w:bCs/>
          <w:sz w:val="16"/>
          <w:szCs w:val="16"/>
        </w:rPr>
        <w:t xml:space="preserve">la </w:t>
      </w:r>
      <w:r w:rsidRPr="00EF190F">
        <w:rPr>
          <w:rFonts w:cs="Arial"/>
          <w:sz w:val="16"/>
          <w:szCs w:val="16"/>
        </w:rPr>
        <w:t>Fiscalía Distrital del Ministerio Público de Salamá dicha</w:t>
      </w:r>
      <w:r w:rsidRPr="00EF190F">
        <w:rPr>
          <w:rFonts w:cs="Calibri,Bold"/>
          <w:bCs/>
          <w:sz w:val="16"/>
          <w:szCs w:val="16"/>
        </w:rPr>
        <w:t xml:space="preserve"> </w:t>
      </w:r>
      <w:r w:rsidRPr="00EF190F">
        <w:rPr>
          <w:rFonts w:cs="Arial"/>
          <w:sz w:val="16"/>
          <w:szCs w:val="16"/>
        </w:rPr>
        <w:t xml:space="preserve">denuncia. Además, el </w:t>
      </w:r>
      <w:r w:rsidRPr="00EF190F">
        <w:rPr>
          <w:sz w:val="16"/>
          <w:szCs w:val="16"/>
          <w:lang w:val="es-CR"/>
        </w:rPr>
        <w:t xml:space="preserve">9 de junio de 1995 la señora García rindió declaración en dicha </w:t>
      </w:r>
      <w:r w:rsidRPr="00EF190F">
        <w:rPr>
          <w:rFonts w:cs="Arial"/>
          <w:sz w:val="16"/>
          <w:szCs w:val="16"/>
        </w:rPr>
        <w:t>Fiscalía Distrital</w:t>
      </w:r>
      <w:r w:rsidRPr="00EF190F">
        <w:rPr>
          <w:sz w:val="16"/>
          <w:szCs w:val="16"/>
          <w:lang w:val="es-CR"/>
        </w:rPr>
        <w:t>.</w:t>
      </w:r>
      <w:r w:rsidRPr="00EF190F">
        <w:rPr>
          <w:rFonts w:cs="Arial"/>
          <w:sz w:val="16"/>
          <w:szCs w:val="16"/>
        </w:rPr>
        <w:t xml:space="preserve"> Por su parte, el 20 de junio de 1995 </w:t>
      </w:r>
      <w:r w:rsidRPr="00EF190F">
        <w:rPr>
          <w:rFonts w:eastAsia="Calibri"/>
          <w:sz w:val="16"/>
          <w:szCs w:val="16"/>
          <w:lang w:val="es-GT"/>
        </w:rPr>
        <w:t xml:space="preserve">Máxima Emiliana García Valey y Francisco Sic Chen presentaron una nueva denuncia ante el </w:t>
      </w:r>
      <w:r w:rsidRPr="00EF190F">
        <w:rPr>
          <w:sz w:val="16"/>
          <w:szCs w:val="16"/>
          <w:lang w:val="es-CR"/>
        </w:rPr>
        <w:t xml:space="preserve">Auxiliar Departamental del Procurador </w:t>
      </w:r>
      <w:r w:rsidRPr="00EF190F">
        <w:rPr>
          <w:rFonts w:cs="Arial"/>
          <w:sz w:val="16"/>
          <w:szCs w:val="16"/>
        </w:rPr>
        <w:t xml:space="preserve">sobre la existencia de los cementerios clandestinos en la referida aldea. El 12 de julio de 1995 </w:t>
      </w:r>
      <w:r w:rsidRPr="00EF190F">
        <w:rPr>
          <w:sz w:val="16"/>
          <w:szCs w:val="16"/>
          <w:lang w:val="es-CR"/>
        </w:rPr>
        <w:t xml:space="preserve">Auxiliar Departamental </w:t>
      </w:r>
      <w:r w:rsidRPr="00EF190F">
        <w:rPr>
          <w:sz w:val="16"/>
          <w:szCs w:val="16"/>
        </w:rPr>
        <w:t xml:space="preserve">puso en conocimiento de </w:t>
      </w:r>
      <w:r w:rsidRPr="00EF190F">
        <w:rPr>
          <w:rFonts w:cs="Calibri,Bold"/>
          <w:bCs/>
          <w:sz w:val="16"/>
          <w:szCs w:val="16"/>
        </w:rPr>
        <w:t xml:space="preserve">la mencionada </w:t>
      </w:r>
      <w:r w:rsidRPr="00EF190F">
        <w:rPr>
          <w:rFonts w:cs="Arial"/>
          <w:sz w:val="16"/>
          <w:szCs w:val="16"/>
        </w:rPr>
        <w:t>Fiscalía Distrital la</w:t>
      </w:r>
      <w:r w:rsidRPr="00EF190F">
        <w:rPr>
          <w:rFonts w:cs="Calibri,Bold"/>
          <w:bCs/>
          <w:sz w:val="16"/>
          <w:szCs w:val="16"/>
        </w:rPr>
        <w:t xml:space="preserve"> </w:t>
      </w:r>
      <w:r w:rsidRPr="00EF190F">
        <w:rPr>
          <w:rFonts w:cs="Arial"/>
          <w:sz w:val="16"/>
          <w:szCs w:val="16"/>
        </w:rPr>
        <w:t xml:space="preserve">denuncia presentada. </w:t>
      </w:r>
      <w:r w:rsidRPr="00EF190F">
        <w:rPr>
          <w:i/>
          <w:sz w:val="16"/>
          <w:szCs w:val="16"/>
        </w:rPr>
        <w:t xml:space="preserve">Cfr. </w:t>
      </w:r>
      <w:r w:rsidRPr="00EF190F">
        <w:rPr>
          <w:sz w:val="16"/>
          <w:szCs w:val="16"/>
          <w:lang w:val="es-CR"/>
        </w:rPr>
        <w:t xml:space="preserve">Denuncia de Juana García Depaz de 9 de mayo de 1995 (expediente de prueba, folios 1290 y 1291); Declaración de Juana García Depaz de 9 de junio de 1995 (expediente de prueba, folios 1263 y 1264), y Denuncias sobre cementerios clandestinos interpuestas por el Auxiliar Departamental del Procurador de Derechos Humanos de 31 de mayo y </w:t>
      </w:r>
      <w:r w:rsidRPr="00EF190F">
        <w:rPr>
          <w:rFonts w:cs="Arial"/>
          <w:sz w:val="16"/>
          <w:szCs w:val="16"/>
        </w:rPr>
        <w:t xml:space="preserve">12 de julio de 1995 </w:t>
      </w:r>
      <w:r w:rsidRPr="00EF190F">
        <w:rPr>
          <w:sz w:val="16"/>
          <w:szCs w:val="16"/>
        </w:rPr>
        <w:t xml:space="preserve">(expediente de prueba, </w:t>
      </w:r>
      <w:r w:rsidRPr="00EF190F">
        <w:rPr>
          <w:sz w:val="16"/>
          <w:szCs w:val="16"/>
          <w:lang w:val="es-CR"/>
        </w:rPr>
        <w:t>folios 1574 a 1577, y 1259 a 1261).</w:t>
      </w:r>
    </w:p>
  </w:footnote>
  <w:footnote w:id="294">
    <w:p w14:paraId="10C65C6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cs="Arial"/>
          <w:sz w:val="16"/>
          <w:szCs w:val="16"/>
        </w:rPr>
        <w:t xml:space="preserve">En respuesta a una solicitud de 20 de enero de 2010, el 16 de febrero de 2010 el Auxiliar Fiscal de la Fiscalía Distrital del Ministerio Público de Salamá envió a la COPREDEH, un informe acerca del contenido y avances de los expedientes número 247/1995/802 (o 802-95 Of. 6to), 247/1995/1995, y 247/1995/1085 tramitados ante el mismo. Ese mismo día, el Auxiliar Fiscal solicitó al Jefe de la Policía Nacional Civil que ordene “a investigadores a su cargo [iniciar…] la investigación correspondiente a efecto de poder individualizar” a diez presuntos miembros de las PAC que serían responsables “de haber cometido hechos violentos en esa época”. </w:t>
      </w:r>
      <w:r w:rsidRPr="00EF190F">
        <w:rPr>
          <w:rFonts w:cs="Arial"/>
          <w:i/>
          <w:sz w:val="16"/>
          <w:szCs w:val="16"/>
        </w:rPr>
        <w:t>Cfr</w:t>
      </w:r>
      <w:r w:rsidRPr="00EF190F">
        <w:rPr>
          <w:rFonts w:cs="Arial"/>
          <w:sz w:val="16"/>
          <w:szCs w:val="16"/>
        </w:rPr>
        <w:t xml:space="preserve">. </w:t>
      </w:r>
      <w:r w:rsidRPr="00EF190F">
        <w:rPr>
          <w:sz w:val="16"/>
          <w:szCs w:val="16"/>
        </w:rPr>
        <w:t xml:space="preserve">Oficio de la </w:t>
      </w:r>
      <w:r w:rsidRPr="00EF190F">
        <w:rPr>
          <w:rFonts w:cs="Arial"/>
          <w:sz w:val="16"/>
          <w:szCs w:val="16"/>
        </w:rPr>
        <w:t>COPREDEH</w:t>
      </w:r>
      <w:r w:rsidRPr="00EF190F">
        <w:rPr>
          <w:sz w:val="16"/>
          <w:szCs w:val="16"/>
        </w:rPr>
        <w:t xml:space="preserve"> </w:t>
      </w:r>
      <w:r w:rsidRPr="00EF190F">
        <w:rPr>
          <w:rFonts w:cs="Arial"/>
          <w:sz w:val="16"/>
          <w:szCs w:val="16"/>
        </w:rPr>
        <w:t xml:space="preserve">de 21 de enero de 2010 </w:t>
      </w:r>
      <w:r w:rsidRPr="00EF190F">
        <w:rPr>
          <w:sz w:val="16"/>
          <w:szCs w:val="16"/>
        </w:rPr>
        <w:t>(expediente de prueba,</w:t>
      </w:r>
      <w:r w:rsidRPr="00EF190F">
        <w:rPr>
          <w:rFonts w:cs="Arial"/>
          <w:sz w:val="16"/>
          <w:szCs w:val="16"/>
        </w:rPr>
        <w:t xml:space="preserve"> folio 9011), y </w:t>
      </w:r>
      <w:r w:rsidRPr="00EF190F">
        <w:rPr>
          <w:sz w:val="16"/>
          <w:szCs w:val="16"/>
        </w:rPr>
        <w:t xml:space="preserve">Oficio del </w:t>
      </w:r>
      <w:r w:rsidRPr="00EF190F">
        <w:rPr>
          <w:rFonts w:cs="Arial"/>
          <w:sz w:val="16"/>
          <w:szCs w:val="16"/>
        </w:rPr>
        <w:t>el Auxiliar Fiscal de la Fiscalía Distrital del Ministerio Público de Salamá de 16 de febrero de 2010 (expediente de prueba, folios 8969 a 8970 y 8981 a 8987).</w:t>
      </w:r>
    </w:p>
  </w:footnote>
  <w:footnote w:id="295">
    <w:p w14:paraId="24D39916"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i/>
          <w:sz w:val="16"/>
          <w:szCs w:val="16"/>
        </w:rPr>
        <w:t xml:space="preserve">Cfr. </w:t>
      </w:r>
      <w:r w:rsidRPr="00EF190F">
        <w:rPr>
          <w:sz w:val="16"/>
          <w:szCs w:val="16"/>
          <w:lang w:val="es-CR"/>
        </w:rPr>
        <w:t>Denuncia de Juana García Depaz de 9 de mayo de 1995 (expediente de prueba, folios 1290 y 1291);</w:t>
      </w:r>
      <w:r w:rsidRPr="00EF190F">
        <w:rPr>
          <w:sz w:val="16"/>
          <w:szCs w:val="16"/>
        </w:rPr>
        <w:t xml:space="preserve"> </w:t>
      </w:r>
      <w:r w:rsidRPr="00EF190F">
        <w:rPr>
          <w:sz w:val="16"/>
          <w:szCs w:val="16"/>
          <w:lang w:val="es-CR"/>
        </w:rPr>
        <w:t xml:space="preserve">Denuncia de Máxima Emiliana García Valey y Francisco Sic Chen de 20 de junio de 1995 </w:t>
      </w:r>
      <w:r w:rsidRPr="00EF190F">
        <w:rPr>
          <w:sz w:val="16"/>
          <w:szCs w:val="16"/>
        </w:rPr>
        <w:t>(expediente de prueba</w:t>
      </w:r>
      <w:r w:rsidRPr="00EF190F">
        <w:rPr>
          <w:sz w:val="16"/>
          <w:szCs w:val="16"/>
          <w:lang w:val="es-CR"/>
        </w:rPr>
        <w:t xml:space="preserve">, folio 1574 a 1577); Declaración de Juana García Depaz de 9 de junio de 1995 (expediente de prueba, folios 1263 y 1264), y Declaración de Juana García Depaz de 8 de febrero de 2010 (expediente de prueba, folios 9003 a 9005). </w:t>
      </w:r>
    </w:p>
  </w:footnote>
  <w:footnote w:id="296">
    <w:p w14:paraId="64A4A746"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rPr>
        <w:t xml:space="preserve">Cfr. </w:t>
      </w:r>
      <w:r w:rsidRPr="00EF190F">
        <w:rPr>
          <w:sz w:val="16"/>
          <w:szCs w:val="16"/>
        </w:rPr>
        <w:t xml:space="preserve">Declaración de </w:t>
      </w:r>
      <w:r w:rsidRPr="00EF190F">
        <w:rPr>
          <w:rFonts w:cs="Arial"/>
          <w:sz w:val="16"/>
          <w:szCs w:val="16"/>
        </w:rPr>
        <w:t>8 de marzo de 2010</w:t>
      </w:r>
      <w:r w:rsidRPr="00EF190F">
        <w:rPr>
          <w:sz w:val="16"/>
          <w:szCs w:val="16"/>
        </w:rPr>
        <w:t xml:space="preserve"> (expediente de prueba, </w:t>
      </w:r>
      <w:r w:rsidRPr="00EF190F">
        <w:rPr>
          <w:rFonts w:cs="Arial"/>
          <w:sz w:val="16"/>
          <w:szCs w:val="16"/>
        </w:rPr>
        <w:t>folios 8988 a 8992).</w:t>
      </w:r>
    </w:p>
  </w:footnote>
  <w:footnote w:id="297">
    <w:p w14:paraId="1BB210CF"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rPr>
        <w:t xml:space="preserve">Cfr. </w:t>
      </w:r>
      <w:r w:rsidRPr="00EF190F">
        <w:rPr>
          <w:sz w:val="16"/>
          <w:szCs w:val="16"/>
        </w:rPr>
        <w:t xml:space="preserve">Oficio del </w:t>
      </w:r>
      <w:r w:rsidRPr="00EF190F">
        <w:rPr>
          <w:rFonts w:cs="Arial"/>
          <w:sz w:val="16"/>
          <w:szCs w:val="16"/>
        </w:rPr>
        <w:t>Subinspector de la PNC, Jefe del Equipo de Investigación de la Comisaría 52 de Salamá de 22 de diciembre de 2014 (expediente de prueba, folios 8976 a 8977).</w:t>
      </w:r>
    </w:p>
  </w:footnote>
  <w:footnote w:id="298">
    <w:p w14:paraId="193B89A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rPr>
        <w:t xml:space="preserve">Cfr. </w:t>
      </w:r>
      <w:r w:rsidRPr="00EF190F">
        <w:rPr>
          <w:sz w:val="16"/>
          <w:szCs w:val="16"/>
        </w:rPr>
        <w:t>Oficio del Auxiliar Fiscal de la Fiscalía Distrital del Ministerio Público de Salamá de 22 de diciembre de 2014 (expediente de prueba, folios 9126 y 9127), y Oficio del Auxiliar Fiscal de la Fiscalía Distrital del Ministerio Público de Salamá de 22 de diciembre de 2014, (expediente de prueba, folios 9132 a 9135).</w:t>
      </w:r>
    </w:p>
  </w:footnote>
  <w:footnote w:id="299">
    <w:p w14:paraId="1C1C84D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w:t>
      </w:r>
      <w:r w:rsidRPr="00EF190F">
        <w:rPr>
          <w:sz w:val="16"/>
          <w:szCs w:val="16"/>
          <w:lang w:val="es-CR"/>
        </w:rPr>
        <w:t>Denuncia MP247/2006/648 de Juana García Depaz de 13 de junio de 2006, (expediente de prueba, folios 1404 y 1405).</w:t>
      </w:r>
    </w:p>
  </w:footnote>
  <w:footnote w:id="300">
    <w:p w14:paraId="0D20F64A"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r>
      <w:r w:rsidRPr="00EF190F">
        <w:rPr>
          <w:i/>
          <w:sz w:val="16"/>
          <w:szCs w:val="16"/>
        </w:rPr>
        <w:t xml:space="preserve">Cfr. </w:t>
      </w:r>
      <w:r w:rsidRPr="00EF190F">
        <w:rPr>
          <w:sz w:val="16"/>
          <w:szCs w:val="16"/>
        </w:rPr>
        <w:t xml:space="preserve">Escrito del </w:t>
      </w:r>
      <w:r w:rsidRPr="00EF190F">
        <w:rPr>
          <w:rStyle w:val="CommentReference"/>
          <w:rFonts w:cs="Arial"/>
        </w:rPr>
        <w:t xml:space="preserve">Auxiliar Fiscal Uno de la Fiscalía Municipal del Ministerio Público de Rabinal </w:t>
      </w:r>
      <w:r w:rsidRPr="00EF190F">
        <w:rPr>
          <w:rFonts w:cs="Arial"/>
          <w:sz w:val="16"/>
          <w:szCs w:val="16"/>
        </w:rPr>
        <w:t>de 18 de julio de 2013 (expediente de prueba, folios 11757 a 11760).</w:t>
      </w:r>
    </w:p>
  </w:footnote>
  <w:footnote w:id="301">
    <w:p w14:paraId="4495219D"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GT"/>
        </w:rPr>
        <w:t xml:space="preserve"> </w:t>
      </w:r>
      <w:r w:rsidRPr="00EF190F">
        <w:rPr>
          <w:sz w:val="16"/>
          <w:szCs w:val="16"/>
        </w:rPr>
        <w:tab/>
      </w:r>
      <w:r w:rsidRPr="00EF190F">
        <w:rPr>
          <w:i/>
          <w:sz w:val="16"/>
          <w:szCs w:val="16"/>
        </w:rPr>
        <w:t xml:space="preserve">Cfr. </w:t>
      </w:r>
      <w:r w:rsidRPr="00EF190F">
        <w:rPr>
          <w:sz w:val="16"/>
          <w:szCs w:val="16"/>
        </w:rPr>
        <w:t xml:space="preserve">Oficios del </w:t>
      </w:r>
      <w:r w:rsidRPr="00EF190F">
        <w:rPr>
          <w:rFonts w:cs="Calibri,Bold"/>
          <w:bCs/>
          <w:sz w:val="16"/>
          <w:szCs w:val="16"/>
          <w:lang w:val="es-CR"/>
        </w:rPr>
        <w:t xml:space="preserve">Auxiliar Fiscal I del Ministerio Público de Rabinal de 20 y 26 de marzo de 2015 (expediente de prueba, folios 11735 y 11737). La Subdirección de Control Migratorio de la Dirección General de Migración el 26 de marzo de 2015, indicó que a ninguna de las 3 personas les aparece movimiento migratorio. </w:t>
      </w:r>
      <w:r w:rsidRPr="00EF190F">
        <w:rPr>
          <w:rFonts w:cs="Calibri,Bold"/>
          <w:bCs/>
          <w:i/>
          <w:sz w:val="16"/>
          <w:szCs w:val="16"/>
          <w:lang w:val="es-CR"/>
        </w:rPr>
        <w:t>Cfr</w:t>
      </w:r>
      <w:r w:rsidRPr="00EF190F">
        <w:rPr>
          <w:rFonts w:cs="Calibri,Bold"/>
          <w:bCs/>
          <w:sz w:val="16"/>
          <w:szCs w:val="16"/>
          <w:lang w:val="es-CR"/>
        </w:rPr>
        <w:t xml:space="preserve">. </w:t>
      </w:r>
      <w:r w:rsidRPr="00EF190F">
        <w:rPr>
          <w:sz w:val="16"/>
          <w:szCs w:val="16"/>
        </w:rPr>
        <w:t xml:space="preserve">Oficio de </w:t>
      </w:r>
      <w:r w:rsidRPr="00EF190F">
        <w:rPr>
          <w:rFonts w:cs="Calibri,Bold"/>
          <w:bCs/>
          <w:sz w:val="16"/>
          <w:szCs w:val="16"/>
          <w:lang w:val="es-CR"/>
        </w:rPr>
        <w:t>Subdirección de Control Migratorio de la Dirección General de Migración dirigido a Auxiliar Fiscal I del Ministerio Público de Rabinal, Baja Verapaz de 26 de marzo de 2015 (expediente de prueba, folios 11753 a 11756).</w:t>
      </w:r>
    </w:p>
  </w:footnote>
  <w:footnote w:id="302">
    <w:p w14:paraId="28376EBC"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Constan tales lapsos entre:</w:t>
      </w:r>
      <w:r w:rsidRPr="00EF190F">
        <w:rPr>
          <w:rFonts w:eastAsia="Batang" w:cs="Arial"/>
          <w:color w:val="000000"/>
          <w:sz w:val="16"/>
          <w:szCs w:val="16"/>
          <w:lang w:val="es-CR"/>
        </w:rPr>
        <w:t xml:space="preserve"> i) </w:t>
      </w:r>
      <w:r w:rsidRPr="00EF190F">
        <w:rPr>
          <w:sz w:val="16"/>
          <w:szCs w:val="16"/>
        </w:rPr>
        <w:t xml:space="preserve">septiembre de 2005 y enero de 2010; ii) octubre de 2010 y octubre de 2011; iii) octubre de 2011 y diciembre de 2012, y iv) marzo de 2012 y marzo de 2013. El 22 de septiembre de 2005 la FAFG entregó al Auxiliar Fiscal cinco osarios que contenían seis osamentas incompletas, y ese mismo día los restos fueron entregados a la señora Francisca González Tecú y el señor William Misael Ixtecoc Xitumul. Los días 11 de enero, 14 de junio y 26 de octubre de 2010 la señora González Tecú acudió ante el Auxiliar Fiscal a declarar nuevamente. El 8 de diciembre de 2012 el Juez de Primera Instancia Penal autorizó la diligencia de exhumación del cadáver del señor Gorgonio Gonzalez solicitada por el Auxiliar Fiscal el 26 de octubre de 2011. El 12 de marzo de 2012 la señora González Tecú manifestó al Auxiliar Fiscal que en la exhumación realizada el 7 de marzo de 2012 “no se encontró nada” y pidió que se solicitara nuevamente al Juez respectivo la autorización para excavar en tres puntos que ella recordaba dentro del mismo lugar y así encontrar el cadáver de su padre. El 22 de diciembre de 2014 el Ministerio Público recibió de la FAFG, el “Dictamen Pericial de la Investigación Antropológico Forense llevada a cabo en el Cementerio San Francisco, Aldea Chuateguá”. </w:t>
      </w:r>
      <w:r w:rsidRPr="00EF190F">
        <w:rPr>
          <w:i/>
          <w:sz w:val="16"/>
          <w:szCs w:val="16"/>
        </w:rPr>
        <w:t>Cfr.</w:t>
      </w:r>
      <w:r w:rsidRPr="00EF190F">
        <w:rPr>
          <w:sz w:val="16"/>
          <w:szCs w:val="16"/>
        </w:rPr>
        <w:t xml:space="preserve"> Oficio de la FAFG de 22 de septiembre de 2005 (expediente de prueba, folio 1581); Declaración de Francisca González Tecú de 26 de octubre de 2010 (expediente de prueba, folio 9232); Declaración de Francisca González Tecú de 11 de enero de 2010 (expediente de prueba, folios 9243 y 9244); Declaración de Francisca González Tecú de 22 de diciembre de 2014 (expediente de prueba, folio 9245); Escrito del Auxiliar Fiscal de la Fiscalía Distrital del Ministerio Público de Salamá de 26 de octubre de 2012 (expediente de prueba, folios 9130 y 9231); Declaración de Francisca González Tecú de 12 de marzo de 2012 (expediente de prueba, folio 9204), e Informe de FAFG de 5 de junio de 2014 (expediente de prueba, folios 9247, 9250, 9252, 9270 y 9276).</w:t>
      </w:r>
    </w:p>
  </w:footnote>
  <w:footnote w:id="303">
    <w:p w14:paraId="719FEEF2"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rPr>
        <w:tab/>
      </w:r>
      <w:r w:rsidRPr="00EF190F">
        <w:rPr>
          <w:i/>
          <w:sz w:val="16"/>
          <w:szCs w:val="16"/>
        </w:rPr>
        <w:t xml:space="preserve">Cfr. </w:t>
      </w:r>
      <w:r w:rsidRPr="00EF190F">
        <w:rPr>
          <w:sz w:val="16"/>
          <w:szCs w:val="16"/>
        </w:rPr>
        <w:t>Declaración de Francisca González Tecú de 11 de enero de 2010 (expediente de prueba, folios 9243 y 9244).</w:t>
      </w:r>
    </w:p>
  </w:footnote>
  <w:footnote w:id="304">
    <w:p w14:paraId="1F9EB326" w14:textId="77777777" w:rsidR="006A0E1C" w:rsidRPr="00EF190F" w:rsidRDefault="006A0E1C" w:rsidP="006A0E1C">
      <w:pPr>
        <w:pStyle w:val="FootnoteText"/>
        <w:tabs>
          <w:tab w:val="left" w:pos="360"/>
        </w:tabs>
        <w:rPr>
          <w:i/>
          <w:spacing w:val="-4"/>
          <w:sz w:val="16"/>
          <w:szCs w:val="16"/>
          <w:lang w:val="es-MX"/>
        </w:rPr>
      </w:pPr>
      <w:r w:rsidRPr="00EF190F">
        <w:rPr>
          <w:rStyle w:val="FootnoteReference"/>
          <w:spacing w:val="-4"/>
          <w:sz w:val="16"/>
          <w:szCs w:val="16"/>
        </w:rPr>
        <w:footnoteRef/>
      </w:r>
      <w:r w:rsidRPr="00EF190F">
        <w:rPr>
          <w:spacing w:val="-4"/>
          <w:sz w:val="16"/>
          <w:szCs w:val="16"/>
          <w:lang w:val="pt-BR"/>
        </w:rPr>
        <w:t xml:space="preserve"> </w:t>
      </w:r>
      <w:r w:rsidRPr="00EF190F">
        <w:rPr>
          <w:spacing w:val="-4"/>
          <w:sz w:val="16"/>
          <w:szCs w:val="16"/>
          <w:lang w:val="pt-BR"/>
        </w:rPr>
        <w:tab/>
      </w:r>
      <w:r w:rsidRPr="00EF190F">
        <w:rPr>
          <w:i/>
          <w:spacing w:val="-4"/>
          <w:sz w:val="16"/>
          <w:szCs w:val="16"/>
          <w:lang w:val="pt-BR"/>
        </w:rPr>
        <w:t xml:space="preserve">Cfr. </w:t>
      </w:r>
      <w:r w:rsidRPr="00EF190F">
        <w:rPr>
          <w:rFonts w:cs="Arial"/>
          <w:i/>
          <w:spacing w:val="-4"/>
          <w:sz w:val="16"/>
          <w:szCs w:val="16"/>
          <w:shd w:val="clear" w:color="auto" w:fill="FFFFFF"/>
          <w:lang w:val="pt-BR"/>
        </w:rPr>
        <w:t>Caso Nogueira de Carvalho y otro Vs. Brasil</w:t>
      </w:r>
      <w:r w:rsidRPr="00EF190F">
        <w:rPr>
          <w:rStyle w:val="Strong"/>
          <w:b w:val="0"/>
          <w:sz w:val="16"/>
          <w:szCs w:val="16"/>
          <w:lang w:val="pt-BR"/>
        </w:rPr>
        <w:t>.</w:t>
      </w:r>
      <w:r w:rsidRPr="00EF190F">
        <w:rPr>
          <w:rStyle w:val="Strong"/>
          <w:sz w:val="16"/>
          <w:szCs w:val="16"/>
          <w:lang w:val="pt-BR"/>
        </w:rPr>
        <w:t xml:space="preserve"> </w:t>
      </w:r>
      <w:r w:rsidRPr="00EF190F">
        <w:rPr>
          <w:rStyle w:val="Strong"/>
          <w:b w:val="0"/>
          <w:i/>
          <w:sz w:val="16"/>
          <w:szCs w:val="16"/>
        </w:rPr>
        <w:t>Excepciones Preliminares y Fondo</w:t>
      </w:r>
      <w:r w:rsidRPr="00EF190F">
        <w:rPr>
          <w:rStyle w:val="Strong"/>
          <w:b w:val="0"/>
          <w:sz w:val="16"/>
          <w:szCs w:val="16"/>
        </w:rPr>
        <w:t>. Sentencia de 28 de noviembre de 2006. Serie C No. 161</w:t>
      </w:r>
      <w:r w:rsidRPr="00EF190F">
        <w:rPr>
          <w:i/>
          <w:spacing w:val="-4"/>
          <w:sz w:val="16"/>
          <w:szCs w:val="16"/>
          <w:lang w:val="es-PR"/>
        </w:rPr>
        <w:t>,</w:t>
      </w:r>
      <w:r w:rsidRPr="00EF190F">
        <w:rPr>
          <w:spacing w:val="-4"/>
          <w:sz w:val="16"/>
          <w:szCs w:val="16"/>
          <w:lang w:val="es-PR"/>
        </w:rPr>
        <w:t xml:space="preserve"> párr. </w:t>
      </w:r>
      <w:r w:rsidRPr="00EF190F">
        <w:rPr>
          <w:spacing w:val="-4"/>
          <w:sz w:val="16"/>
          <w:szCs w:val="16"/>
        </w:rPr>
        <w:t>80</w:t>
      </w:r>
      <w:r w:rsidRPr="00EF190F">
        <w:rPr>
          <w:spacing w:val="-4"/>
          <w:sz w:val="16"/>
          <w:szCs w:val="16"/>
          <w:lang w:val="es-PR"/>
        </w:rPr>
        <w:t xml:space="preserve">, y </w:t>
      </w:r>
      <w:r w:rsidRPr="00EF190F">
        <w:rPr>
          <w:bCs/>
          <w:i/>
          <w:spacing w:val="-4"/>
          <w:sz w:val="16"/>
          <w:szCs w:val="16"/>
          <w:lang w:val="es-CR"/>
        </w:rPr>
        <w:t>Caso Velásquez Paiz y otros Vs. Guatemala. Excepciones Preliminares, Fondo, Reparaciones y Costas.</w:t>
      </w:r>
      <w:r w:rsidRPr="00EF190F">
        <w:rPr>
          <w:bCs/>
          <w:spacing w:val="-4"/>
          <w:sz w:val="16"/>
          <w:szCs w:val="16"/>
          <w:lang w:val="es-CR"/>
        </w:rPr>
        <w:t xml:space="preserve"> Sentencia de 19 de noviembre de 2015. Serie C No. 307,</w:t>
      </w:r>
      <w:r w:rsidRPr="00EF190F">
        <w:rPr>
          <w:i/>
          <w:spacing w:val="-4"/>
          <w:sz w:val="16"/>
          <w:szCs w:val="16"/>
          <w:lang w:val="es-GT"/>
        </w:rPr>
        <w:t xml:space="preserve"> </w:t>
      </w:r>
      <w:r w:rsidRPr="00EF190F">
        <w:rPr>
          <w:spacing w:val="-4"/>
          <w:sz w:val="16"/>
          <w:szCs w:val="16"/>
          <w:lang w:val="es-GT"/>
        </w:rPr>
        <w:t>párr. 169.</w:t>
      </w:r>
    </w:p>
  </w:footnote>
  <w:footnote w:id="305">
    <w:p w14:paraId="264B8EC0"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ab/>
      </w:r>
      <w:r w:rsidRPr="00EF190F">
        <w:rPr>
          <w:i/>
          <w:sz w:val="16"/>
          <w:szCs w:val="16"/>
          <w:lang w:val="es-PR"/>
        </w:rPr>
        <w:t>Cfr. Caso Goiburú y otros Vs. Paraguay,</w:t>
      </w:r>
      <w:r w:rsidRPr="00EF190F">
        <w:rPr>
          <w:sz w:val="16"/>
          <w:szCs w:val="16"/>
          <w:lang w:val="es-PR"/>
        </w:rPr>
        <w:t xml:space="preserve"> párr. 131.</w:t>
      </w:r>
    </w:p>
  </w:footnote>
  <w:footnote w:id="306">
    <w:p w14:paraId="3BB01C57"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Disponible en: http://old.congreso.gob.gt/archivos/decretos/1996/gtdcx145-1996.pdf</w:t>
      </w:r>
    </w:p>
  </w:footnote>
  <w:footnote w:id="307">
    <w:p w14:paraId="6E3BFF1C"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i/>
          <w:sz w:val="16"/>
          <w:szCs w:val="16"/>
          <w:lang w:val="es-PR"/>
        </w:rPr>
        <w:t>12 Casos Guatemaltecos.</w:t>
      </w:r>
      <w:r w:rsidRPr="00EF190F">
        <w:rPr>
          <w:sz w:val="16"/>
          <w:szCs w:val="16"/>
          <w:lang w:val="es-PR"/>
        </w:rPr>
        <w:t xml:space="preserve"> </w:t>
      </w:r>
      <w:r w:rsidRPr="00EF190F">
        <w:rPr>
          <w:i/>
          <w:sz w:val="16"/>
          <w:szCs w:val="16"/>
          <w:lang w:val="es-PR"/>
        </w:rPr>
        <w:t>Supervisión de Cumplimiento de Sentencia.</w:t>
      </w:r>
      <w:r w:rsidRPr="00EF190F">
        <w:rPr>
          <w:sz w:val="16"/>
          <w:szCs w:val="16"/>
          <w:lang w:val="es-PR"/>
        </w:rPr>
        <w:t xml:space="preserve"> Resolución de la Corte Interamericana de Derechos Humanos de 24 de noviembre de 2015, considerando 145, </w:t>
      </w:r>
      <w:r w:rsidRPr="00EF190F">
        <w:rPr>
          <w:rStyle w:val="Strong"/>
          <w:b w:val="0"/>
          <w:color w:val="000000"/>
          <w:sz w:val="16"/>
          <w:szCs w:val="16"/>
          <w:shd w:val="clear" w:color="auto" w:fill="FFFFFF"/>
          <w:lang w:val="es-PR"/>
        </w:rPr>
        <w:t xml:space="preserve">y </w:t>
      </w:r>
      <w:r w:rsidRPr="00EF190F">
        <w:rPr>
          <w:i/>
          <w:sz w:val="16"/>
          <w:szCs w:val="16"/>
        </w:rPr>
        <w:t>Caso Trabajadores de la Hacienda Brasil Verde Vs. Brasil</w:t>
      </w:r>
      <w:r w:rsidRPr="00EF190F">
        <w:rPr>
          <w:sz w:val="16"/>
          <w:szCs w:val="16"/>
        </w:rPr>
        <w:t>, párrs. 454 y 455.</w:t>
      </w:r>
    </w:p>
  </w:footnote>
  <w:footnote w:id="308">
    <w:p w14:paraId="0EB6B648"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i/>
          <w:sz w:val="16"/>
          <w:szCs w:val="16"/>
          <w:lang w:val="es-ES"/>
        </w:rPr>
        <w:t>Caso Chitay Nech y otros Vs. Guatemala. Supervisión de Cumplimiento de Sentencia</w:t>
      </w:r>
      <w:r w:rsidRPr="00EF190F">
        <w:rPr>
          <w:sz w:val="16"/>
          <w:szCs w:val="16"/>
          <w:lang w:val="es-ES"/>
        </w:rPr>
        <w:t xml:space="preserve">. </w:t>
      </w:r>
      <w:r w:rsidRPr="00EF190F">
        <w:rPr>
          <w:bCs/>
          <w:sz w:val="16"/>
          <w:szCs w:val="16"/>
          <w:lang w:val="es-ES"/>
        </w:rPr>
        <w:t>Resolución de la Corte Interamericana de Derechos Humanos de 22 de agosto de 2013,</w:t>
      </w:r>
      <w:r w:rsidRPr="00EF190F">
        <w:rPr>
          <w:sz w:val="16"/>
          <w:szCs w:val="16"/>
          <w:lang w:val="es-ES"/>
        </w:rPr>
        <w:t xml:space="preserve"> considerando 11, y </w:t>
      </w:r>
      <w:r w:rsidRPr="00EF190F">
        <w:rPr>
          <w:i/>
          <w:sz w:val="16"/>
          <w:szCs w:val="16"/>
          <w:lang w:val="es-PR"/>
        </w:rPr>
        <w:t>12 Casos Guatemaltecos.</w:t>
      </w:r>
      <w:r w:rsidRPr="00EF190F">
        <w:rPr>
          <w:sz w:val="16"/>
          <w:szCs w:val="16"/>
          <w:lang w:val="es-PR"/>
        </w:rPr>
        <w:t xml:space="preserve"> </w:t>
      </w:r>
      <w:r w:rsidRPr="00EF190F">
        <w:rPr>
          <w:i/>
          <w:sz w:val="16"/>
          <w:szCs w:val="16"/>
          <w:lang w:val="es-PR"/>
        </w:rPr>
        <w:t>Supervisión de Cumplimiento de Sentencia</w:t>
      </w:r>
      <w:r w:rsidRPr="00EF190F">
        <w:rPr>
          <w:sz w:val="16"/>
          <w:szCs w:val="16"/>
          <w:lang w:val="es-PR"/>
        </w:rPr>
        <w:t>. Resolución de la Corte Interamericana de Derechos Humanos de 24 de noviembre de 2015, considerando 149.</w:t>
      </w:r>
    </w:p>
  </w:footnote>
  <w:footnote w:id="309">
    <w:p w14:paraId="127BAB38"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Al respecto, la Corte aclara que, en los casos </w:t>
      </w:r>
      <w:r w:rsidRPr="00EF190F">
        <w:rPr>
          <w:i/>
          <w:sz w:val="16"/>
          <w:szCs w:val="16"/>
        </w:rPr>
        <w:t>Masacre Plan de Sánchez</w:t>
      </w:r>
      <w:r w:rsidRPr="00EF190F">
        <w:rPr>
          <w:sz w:val="16"/>
          <w:szCs w:val="16"/>
        </w:rPr>
        <w:t xml:space="preserve"> y </w:t>
      </w:r>
      <w:r w:rsidRPr="00EF190F">
        <w:rPr>
          <w:i/>
          <w:sz w:val="16"/>
          <w:szCs w:val="16"/>
        </w:rPr>
        <w:t>Masacres de Rio Negro</w:t>
      </w:r>
      <w:r w:rsidRPr="00EF190F">
        <w:rPr>
          <w:sz w:val="16"/>
          <w:szCs w:val="16"/>
        </w:rPr>
        <w:t xml:space="preserve">, no rechazó </w:t>
      </w:r>
      <w:r w:rsidRPr="00EF190F">
        <w:rPr>
          <w:i/>
          <w:sz w:val="16"/>
          <w:szCs w:val="16"/>
        </w:rPr>
        <w:t>per se</w:t>
      </w:r>
      <w:r w:rsidRPr="00EF190F">
        <w:rPr>
          <w:sz w:val="16"/>
          <w:szCs w:val="16"/>
        </w:rPr>
        <w:t xml:space="preserve"> la posibilidad de recurrir a la calificación jurídica de genocidio en el marco de su jurisdicción contenciosa para declarar violaciones de la Convención Americana, sino que limitó su análisis jurídico a las circunstancias concretas de cada caso. </w:t>
      </w:r>
      <w:r w:rsidRPr="00EF190F">
        <w:rPr>
          <w:i/>
          <w:sz w:val="16"/>
          <w:szCs w:val="16"/>
        </w:rPr>
        <w:t xml:space="preserve">Cfr. </w:t>
      </w:r>
      <w:r w:rsidRPr="00EF190F">
        <w:rPr>
          <w:bCs/>
          <w:i/>
          <w:sz w:val="16"/>
          <w:szCs w:val="16"/>
          <w:lang w:val="es-CR"/>
        </w:rPr>
        <w:t>Caso Masacre Plan de Sánchez Vs. Guatemala. Fondo.</w:t>
      </w:r>
      <w:r w:rsidRPr="00EF190F">
        <w:rPr>
          <w:bCs/>
          <w:sz w:val="16"/>
          <w:szCs w:val="16"/>
          <w:lang w:val="es-CR"/>
        </w:rPr>
        <w:t xml:space="preserve"> Sentencia de 29 de abril de 2004. Serie C No. 105,</w:t>
      </w:r>
      <w:r w:rsidRPr="00EF190F">
        <w:rPr>
          <w:sz w:val="16"/>
          <w:szCs w:val="16"/>
        </w:rPr>
        <w:t xml:space="preserve"> párr. 51, y </w:t>
      </w:r>
      <w:r w:rsidRPr="00EF190F">
        <w:rPr>
          <w:i/>
          <w:sz w:val="16"/>
          <w:szCs w:val="16"/>
        </w:rPr>
        <w:t>Caso Masacres de Río Negro Vs. Guatemala</w:t>
      </w:r>
      <w:r w:rsidRPr="00EF190F">
        <w:rPr>
          <w:sz w:val="16"/>
          <w:szCs w:val="16"/>
        </w:rPr>
        <w:t xml:space="preserve">, párr. 234. </w:t>
      </w:r>
    </w:p>
  </w:footnote>
  <w:footnote w:id="310">
    <w:p w14:paraId="2D644CA0" w14:textId="77777777" w:rsidR="006A0E1C" w:rsidRPr="00EF190F" w:rsidRDefault="006A0E1C" w:rsidP="006A0E1C">
      <w:pPr>
        <w:pStyle w:val="FootnoteText"/>
        <w:tabs>
          <w:tab w:val="left" w:pos="360"/>
        </w:tabs>
        <w:rPr>
          <w:sz w:val="16"/>
          <w:szCs w:val="16"/>
          <w:lang w:val="es-GT"/>
        </w:rPr>
      </w:pPr>
      <w:r w:rsidRPr="00EF190F">
        <w:rPr>
          <w:rStyle w:val="FootnoteReference"/>
          <w:sz w:val="16"/>
          <w:szCs w:val="16"/>
        </w:rPr>
        <w:footnoteRef/>
      </w:r>
      <w:r w:rsidRPr="00EF190F">
        <w:rPr>
          <w:sz w:val="16"/>
          <w:szCs w:val="16"/>
          <w:lang w:val="es-GT"/>
        </w:rPr>
        <w:t xml:space="preserve"> </w:t>
      </w:r>
      <w:r w:rsidRPr="00EF190F">
        <w:rPr>
          <w:sz w:val="16"/>
          <w:szCs w:val="16"/>
          <w:lang w:val="es-GT"/>
        </w:rPr>
        <w:tab/>
        <w:t>El Artículo I de la CPSDG dispone: “Las Partes contratantes confirman que el genocidio, ya sea cometido en tiempo de paz o en tiempo de guerra, es un delito de derecho internacional que ellas se comprometen a prevenir y a sancionar”.</w:t>
      </w:r>
    </w:p>
  </w:footnote>
  <w:footnote w:id="311">
    <w:p w14:paraId="7BDC6253"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CEH, Memoria del Silencio, Capítulo XXI, págs. 375 y 376.</w:t>
      </w:r>
    </w:p>
  </w:footnote>
  <w:footnote w:id="312">
    <w:p w14:paraId="50B4FFF0"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i/>
          <w:sz w:val="16"/>
          <w:szCs w:val="16"/>
          <w:lang w:val="es-PR"/>
        </w:rPr>
        <w:t>Caso Masacre Plan de Sánchez Vs. Guatemala. Fondo</w:t>
      </w:r>
      <w:r w:rsidRPr="00EF190F">
        <w:rPr>
          <w:sz w:val="16"/>
          <w:szCs w:val="16"/>
          <w:lang w:val="es-PR"/>
        </w:rPr>
        <w:t>, párr. 42.42.</w:t>
      </w:r>
    </w:p>
  </w:footnote>
  <w:footnote w:id="313">
    <w:p w14:paraId="4ACB88B5"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 xml:space="preserve"> </w:t>
      </w:r>
      <w:r w:rsidRPr="00EF190F">
        <w:rPr>
          <w:sz w:val="16"/>
          <w:szCs w:val="16"/>
          <w:lang w:val="es-CR"/>
        </w:rPr>
        <w:tab/>
      </w:r>
      <w:r w:rsidRPr="00EF190F">
        <w:rPr>
          <w:bCs/>
          <w:sz w:val="16"/>
          <w:szCs w:val="16"/>
          <w:lang w:val="es-CR"/>
        </w:rPr>
        <w:t>Resolución del Procurador de los Derechos Humanos de 2 de septiembre de 1996 (expediente de prueba, folios 1869 a 1879).</w:t>
      </w:r>
    </w:p>
  </w:footnote>
  <w:footnote w:id="314">
    <w:p w14:paraId="7D485E84" w14:textId="77777777" w:rsidR="006A0E1C" w:rsidRPr="00EF190F" w:rsidRDefault="006A0E1C" w:rsidP="006A0E1C">
      <w:pPr>
        <w:pStyle w:val="FootnoteText"/>
        <w:tabs>
          <w:tab w:val="left" w:pos="360"/>
        </w:tabs>
        <w:rPr>
          <w:sz w:val="16"/>
          <w:szCs w:val="16"/>
          <w:lang w:val="es-GT"/>
        </w:rPr>
      </w:pPr>
      <w:r w:rsidRPr="00EF190F">
        <w:rPr>
          <w:rStyle w:val="FootnoteReference"/>
          <w:sz w:val="16"/>
          <w:szCs w:val="16"/>
        </w:rPr>
        <w:footnoteRef/>
      </w:r>
      <w:r w:rsidRPr="00EF190F">
        <w:rPr>
          <w:sz w:val="16"/>
          <w:szCs w:val="16"/>
          <w:lang w:val="es-GT"/>
        </w:rPr>
        <w:tab/>
        <w:t xml:space="preserve">No queda claro al Tribunal por qué se acudió a la Unidad de Asuntos Internos adscrita a la Fiscalía de Delitos Administrativos o en qué momento pasó el expediente a </w:t>
      </w:r>
      <w:r w:rsidRPr="00EF190F">
        <w:rPr>
          <w:rFonts w:cs="Arial"/>
          <w:sz w:val="16"/>
          <w:szCs w:val="16"/>
          <w:lang w:val="es-CR"/>
        </w:rPr>
        <w:t>la Unidad de Casos Especiales y Violaciones a los Derechos Humanos del Ministerio Público.</w:t>
      </w:r>
    </w:p>
  </w:footnote>
  <w:footnote w:id="315">
    <w:p w14:paraId="5C5EFB31"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lang w:val="es-CR"/>
        </w:rPr>
        <w:tab/>
        <w:t xml:space="preserve">Declaración del señor Miguel Sic Osorio ante la </w:t>
      </w:r>
      <w:r w:rsidRPr="00EF190F">
        <w:rPr>
          <w:rFonts w:cs="Arial"/>
          <w:sz w:val="16"/>
          <w:szCs w:val="16"/>
          <w:lang w:val="es-CR"/>
        </w:rPr>
        <w:t xml:space="preserve">Unidad de Asuntos Internos adscrita a la Fiscalía de Delitos Administrativos </w:t>
      </w:r>
      <w:r w:rsidRPr="00EF190F">
        <w:rPr>
          <w:sz w:val="16"/>
          <w:szCs w:val="16"/>
          <w:lang w:val="es-CR"/>
        </w:rPr>
        <w:t xml:space="preserve">el 12 de julio de 2005 (expediente de prueba, folios 757 a 761), y </w:t>
      </w:r>
      <w:r w:rsidRPr="00EF190F">
        <w:rPr>
          <w:rFonts w:cs="Arial"/>
          <w:sz w:val="16"/>
          <w:szCs w:val="16"/>
        </w:rPr>
        <w:t>Declaración de Miguel Sic Osorio de 25 de octubre de 2000 (expediente de prueba, folios 432 a 436)</w:t>
      </w:r>
      <w:r w:rsidRPr="00EF190F">
        <w:rPr>
          <w:sz w:val="16"/>
          <w:szCs w:val="16"/>
          <w:lang w:val="es-CR"/>
        </w:rPr>
        <w:t>.</w:t>
      </w:r>
    </w:p>
  </w:footnote>
  <w:footnote w:id="316">
    <w:p w14:paraId="42D76FC7"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CR"/>
        </w:rPr>
        <w:tab/>
      </w:r>
      <w:r w:rsidRPr="00EF190F">
        <w:rPr>
          <w:i/>
          <w:sz w:val="16"/>
          <w:szCs w:val="16"/>
        </w:rPr>
        <w:t xml:space="preserve">Cfr. </w:t>
      </w:r>
      <w:r w:rsidRPr="00EF190F">
        <w:rPr>
          <w:sz w:val="16"/>
          <w:szCs w:val="16"/>
        </w:rPr>
        <w:t xml:space="preserve">Escrito del </w:t>
      </w:r>
      <w:r w:rsidRPr="00EF190F">
        <w:rPr>
          <w:rStyle w:val="CommentReference"/>
          <w:rFonts w:cs="Arial"/>
        </w:rPr>
        <w:t xml:space="preserve">Auxiliar Fiscal Uno de la Fiscalía Municipal del Ministerio Público de Rabinal </w:t>
      </w:r>
      <w:r w:rsidRPr="00EF190F">
        <w:rPr>
          <w:rFonts w:cs="Arial"/>
          <w:sz w:val="16"/>
          <w:szCs w:val="16"/>
        </w:rPr>
        <w:t>de 18 de julio de 2013 (expediente de prueba, folio 11758).</w:t>
      </w:r>
      <w:r w:rsidRPr="00EF190F">
        <w:rPr>
          <w:sz w:val="16"/>
          <w:szCs w:val="16"/>
        </w:rPr>
        <w:t xml:space="preserve"> En dicho escrito se encuentra la referencia </w:t>
      </w:r>
      <w:r w:rsidRPr="00EF190F">
        <w:rPr>
          <w:rFonts w:cs="Arial"/>
          <w:sz w:val="16"/>
          <w:szCs w:val="16"/>
        </w:rPr>
        <w:t xml:space="preserve">No. MP248-2006-441. Existe inconsistencia con respecto al número de este expediente. Consta en el acervo probatorio que se denunció la desaparición de familiares de Juana García Depaz dentro del Expediente M.P. 247-2006-441, a través de la Denuncia MP247/2006/648 de Juana García Depaz de 13 de junio de 2006 (expediente de prueba, folios 1404 y 1405). En el escrito de solicitudes y argumentos se señala que el Expediente del Ministerio Público 648-2006/441 de la Fiscalía Municipal de Rabinal se trata de la “desaparición de Adrián Garcia Manuel, Hugo Garcia de Paz y Abraham Alvarado Tecú”. Sin embargo, no se proporciona más información al respecto. En el informe de la FAFG se menciona que este caso está registrado bajo el expediente 247-2006-44 M.P. </w:t>
      </w:r>
    </w:p>
  </w:footnote>
  <w:footnote w:id="317">
    <w:p w14:paraId="5DE7EB20"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ab/>
      </w:r>
      <w:r w:rsidRPr="00EF190F">
        <w:rPr>
          <w:i/>
          <w:sz w:val="16"/>
          <w:szCs w:val="16"/>
        </w:rPr>
        <w:t>Cfr</w:t>
      </w:r>
      <w:r w:rsidRPr="00EF190F">
        <w:rPr>
          <w:sz w:val="16"/>
          <w:szCs w:val="16"/>
        </w:rPr>
        <w:t>. Oficio del Auxiliar Fiscal del Ministerio Público de Baja Verapaz de 14 de junio de 2006 (expediente de prueba, folio 8806).</w:t>
      </w:r>
    </w:p>
  </w:footnote>
  <w:footnote w:id="318">
    <w:p w14:paraId="25340F8E"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t xml:space="preserve">Este Tribunal ha señalado reiteradamente que la violencia sexual perpetrada por agentes del Estado puede constituir tortura. </w:t>
      </w:r>
      <w:r w:rsidRPr="00EF190F">
        <w:rPr>
          <w:i/>
          <w:sz w:val="16"/>
          <w:szCs w:val="16"/>
          <w:lang w:val="es-PR"/>
        </w:rPr>
        <w:t xml:space="preserve">Cfr. </w:t>
      </w:r>
      <w:r w:rsidRPr="00EF190F">
        <w:rPr>
          <w:rStyle w:val="Strong"/>
          <w:b w:val="0"/>
          <w:i/>
          <w:color w:val="000000"/>
          <w:sz w:val="16"/>
          <w:szCs w:val="16"/>
          <w:shd w:val="clear" w:color="auto" w:fill="FFFFFF"/>
        </w:rPr>
        <w:t>Caso Fernández Ortega y otros Vs. México. Excepción Preliminar, Fondo, Reparaciones y Costas</w:t>
      </w:r>
      <w:r w:rsidRPr="00EF190F">
        <w:rPr>
          <w:rStyle w:val="Strong"/>
          <w:b w:val="0"/>
          <w:color w:val="000000"/>
          <w:sz w:val="16"/>
          <w:szCs w:val="16"/>
          <w:shd w:val="clear" w:color="auto" w:fill="FFFFFF"/>
        </w:rPr>
        <w:t>. Sentencia de 30 de agosto de 2010. Serie C No. 215</w:t>
      </w:r>
      <w:r w:rsidRPr="00EF190F">
        <w:rPr>
          <w:sz w:val="16"/>
          <w:szCs w:val="16"/>
          <w:lang w:val="es-PR"/>
        </w:rPr>
        <w:t>, párr. 128</w:t>
      </w:r>
      <w:r w:rsidRPr="00EF190F">
        <w:rPr>
          <w:i/>
          <w:sz w:val="16"/>
          <w:szCs w:val="16"/>
          <w:lang w:val="es-PR"/>
        </w:rPr>
        <w:t xml:space="preserve">, </w:t>
      </w:r>
      <w:r w:rsidRPr="00EF190F">
        <w:rPr>
          <w:rStyle w:val="Strong"/>
          <w:b w:val="0"/>
          <w:i/>
          <w:color w:val="000000"/>
          <w:sz w:val="16"/>
          <w:szCs w:val="16"/>
          <w:shd w:val="clear" w:color="auto" w:fill="FFFFFF"/>
        </w:rPr>
        <w:t>Caso Rosendo Cantú y otra Vs. México. Excepción Preliminar, Fondo, Reparaciones y Costas</w:t>
      </w:r>
      <w:r w:rsidRPr="00EF190F">
        <w:rPr>
          <w:rStyle w:val="Strong"/>
          <w:b w:val="0"/>
          <w:color w:val="000000"/>
          <w:sz w:val="16"/>
          <w:szCs w:val="16"/>
          <w:shd w:val="clear" w:color="auto" w:fill="FFFFFF"/>
        </w:rPr>
        <w:t>. Sentencia de 31 de agosto de 2010. Serie C No. 216</w:t>
      </w:r>
      <w:r w:rsidRPr="00EF190F">
        <w:rPr>
          <w:i/>
          <w:sz w:val="16"/>
          <w:szCs w:val="16"/>
          <w:lang w:val="es-PR"/>
        </w:rPr>
        <w:t xml:space="preserve">, </w:t>
      </w:r>
      <w:r w:rsidRPr="00EF190F">
        <w:rPr>
          <w:sz w:val="16"/>
          <w:szCs w:val="16"/>
          <w:lang w:val="es-PR"/>
        </w:rPr>
        <w:t>párr. 118 y</w:t>
      </w:r>
      <w:r w:rsidRPr="00EF190F">
        <w:rPr>
          <w:i/>
          <w:sz w:val="16"/>
          <w:szCs w:val="16"/>
          <w:lang w:val="es-PR"/>
        </w:rPr>
        <w:t xml:space="preserve"> </w:t>
      </w:r>
      <w:r w:rsidRPr="00EF190F">
        <w:rPr>
          <w:rFonts w:cs="Microsoft Sans Serif"/>
          <w:i/>
          <w:spacing w:val="-4"/>
          <w:sz w:val="16"/>
          <w:szCs w:val="16"/>
          <w:lang w:val="es-EC"/>
        </w:rPr>
        <w:t xml:space="preserve">Caso Espinoza Gonzáles Vs. Perú. </w:t>
      </w:r>
      <w:r w:rsidRPr="00EF190F">
        <w:rPr>
          <w:rFonts w:cs="Microsoft Sans Serif"/>
          <w:bCs/>
          <w:i/>
          <w:spacing w:val="-4"/>
          <w:sz w:val="16"/>
          <w:szCs w:val="16"/>
          <w:lang w:val="es-CR"/>
        </w:rPr>
        <w:t xml:space="preserve">Excepciones Preliminares, Fondo, Reparaciones y Costas. </w:t>
      </w:r>
      <w:r w:rsidRPr="00EF190F">
        <w:rPr>
          <w:rFonts w:cs="Microsoft Sans Serif"/>
          <w:bCs/>
          <w:spacing w:val="-4"/>
          <w:sz w:val="16"/>
          <w:szCs w:val="16"/>
          <w:lang w:val="es-CR"/>
        </w:rPr>
        <w:t>Sentencia de 20 de noviembre de 2014. Serie C No. 289</w:t>
      </w:r>
      <w:r w:rsidRPr="00EF190F">
        <w:rPr>
          <w:i/>
          <w:sz w:val="16"/>
          <w:szCs w:val="16"/>
          <w:lang w:val="es-PR"/>
        </w:rPr>
        <w:t xml:space="preserve">, </w:t>
      </w:r>
      <w:r w:rsidRPr="00EF190F">
        <w:rPr>
          <w:sz w:val="16"/>
          <w:szCs w:val="16"/>
          <w:lang w:val="es-PR"/>
        </w:rPr>
        <w:t>párrs. 195 y 196</w:t>
      </w:r>
      <w:r w:rsidRPr="00EF190F">
        <w:rPr>
          <w:i/>
          <w:sz w:val="16"/>
          <w:szCs w:val="16"/>
          <w:lang w:val="es-PR"/>
        </w:rPr>
        <w:t>.</w:t>
      </w:r>
      <w:r w:rsidRPr="00EF190F">
        <w:rPr>
          <w:sz w:val="16"/>
          <w:szCs w:val="16"/>
          <w:lang w:val="es-PR"/>
        </w:rPr>
        <w:t xml:space="preserve"> </w:t>
      </w:r>
      <w:r w:rsidRPr="00EF190F">
        <w:rPr>
          <w:sz w:val="16"/>
          <w:szCs w:val="16"/>
        </w:rPr>
        <w:t xml:space="preserve">Por otra parte, la violencia sexual puede, en determinadas circunstancias, constituir un crimen de guerra, un crimen de lesa humanidad o bien, constituir un acto de genocidio. </w:t>
      </w:r>
      <w:r w:rsidRPr="00EF190F">
        <w:rPr>
          <w:i/>
          <w:sz w:val="16"/>
          <w:szCs w:val="16"/>
          <w:lang w:val="es-PR"/>
        </w:rPr>
        <w:t xml:space="preserve">Cfr. </w:t>
      </w:r>
      <w:r w:rsidRPr="00EF190F">
        <w:rPr>
          <w:sz w:val="16"/>
          <w:szCs w:val="16"/>
          <w:lang w:val="es-PR"/>
        </w:rPr>
        <w:t>Artículo 3 común a los cuatro Convenios de Ginebra, ratificados por Guatemala el 14 de mayo de 1952;</w:t>
      </w:r>
      <w:r w:rsidRPr="00EF190F">
        <w:rPr>
          <w:sz w:val="16"/>
          <w:szCs w:val="16"/>
        </w:rPr>
        <w:t xml:space="preserve"> artículo 4.2.e del Protocolo II adicional a los Convenios de Ginebra de 1949 relativo a la protección de las víctimas de los conflictos armados sin carácter internacional, firmado por Guatemala el 12 de diciembre de 1977 y ratificado el 19 de octubre de 1987; artículo 7(1)(g) del Estatuto de la Corte Penal Internacional; artículo 5 del Estatuto del TPIY; artículo 3 del Estatuto del TPIR; </w:t>
      </w:r>
      <w:r w:rsidRPr="00EF190F">
        <w:rPr>
          <w:i/>
          <w:sz w:val="16"/>
          <w:szCs w:val="16"/>
          <w:lang w:val="es-PR"/>
        </w:rPr>
        <w:t>ICTR, Trial Ch I. Prosecutor v. Akayesu, Jean-Paul. Judgment, Sep. 2, 1998. paras. 505-509 y 516</w:t>
      </w:r>
      <w:r w:rsidRPr="00EF190F">
        <w:rPr>
          <w:i/>
          <w:sz w:val="16"/>
          <w:szCs w:val="16"/>
        </w:rPr>
        <w:t>; Trial Ch I.</w:t>
      </w:r>
      <w:r w:rsidRPr="00EF190F">
        <w:rPr>
          <w:i/>
          <w:sz w:val="16"/>
          <w:szCs w:val="16"/>
          <w:lang w:val="es-PR"/>
        </w:rPr>
        <w:t xml:space="preserve"> Prosecutor v. Musema, Alfred. Judgment, En. 27, 2000. paras. 908 y 933 (884-936); </w:t>
      </w:r>
      <w:r w:rsidRPr="00EF190F">
        <w:rPr>
          <w:i/>
          <w:color w:val="000000"/>
          <w:sz w:val="16"/>
          <w:szCs w:val="16"/>
          <w:lang w:val="es-PR"/>
        </w:rPr>
        <w:t>ICTY, Trial Ch. Prosecutor v. Radovan Karadžić y Ratko</w:t>
      </w:r>
      <w:r w:rsidRPr="00EF190F">
        <w:rPr>
          <w:color w:val="000000"/>
          <w:sz w:val="16"/>
          <w:szCs w:val="16"/>
          <w:lang w:val="es-PR"/>
        </w:rPr>
        <w:t xml:space="preserve"> </w:t>
      </w:r>
      <w:r w:rsidRPr="00EF190F">
        <w:rPr>
          <w:i/>
          <w:color w:val="000000"/>
          <w:sz w:val="16"/>
          <w:szCs w:val="16"/>
          <w:lang w:val="es-PR"/>
        </w:rPr>
        <w:t xml:space="preserve">Mladić. </w:t>
      </w:r>
      <w:r w:rsidRPr="00EF190F">
        <w:rPr>
          <w:i/>
          <w:color w:val="000000"/>
          <w:sz w:val="16"/>
          <w:szCs w:val="16"/>
          <w:lang w:val="en-US"/>
        </w:rPr>
        <w:t xml:space="preserve">Review of the indictments pursuant to rule 61 of the rules of procedures and evidence, Jul. 11, 1996. par. 93; ICTY, Trial Ch. </w:t>
      </w:r>
      <w:r w:rsidRPr="00EF190F">
        <w:rPr>
          <w:i/>
          <w:color w:val="000000"/>
          <w:sz w:val="16"/>
          <w:szCs w:val="16"/>
          <w:lang w:val="es-PR"/>
        </w:rPr>
        <w:t>Prosecutor v. Radislav</w:t>
      </w:r>
      <w:r w:rsidRPr="00EF190F">
        <w:rPr>
          <w:color w:val="000000"/>
          <w:sz w:val="16"/>
          <w:szCs w:val="16"/>
          <w:lang w:val="es-PR"/>
        </w:rPr>
        <w:t xml:space="preserve"> </w:t>
      </w:r>
      <w:r w:rsidRPr="00EF190F">
        <w:rPr>
          <w:i/>
          <w:color w:val="000000"/>
          <w:sz w:val="16"/>
          <w:szCs w:val="16"/>
          <w:lang w:val="es-PR"/>
        </w:rPr>
        <w:t xml:space="preserve">Krstić. </w:t>
      </w:r>
      <w:r w:rsidRPr="00EF190F">
        <w:rPr>
          <w:color w:val="000000"/>
          <w:sz w:val="16"/>
          <w:szCs w:val="16"/>
          <w:lang w:val="es-CR"/>
        </w:rPr>
        <w:t>Judgment, Aug. 2, 2001. par. 509</w:t>
      </w:r>
      <w:r w:rsidRPr="00EF190F">
        <w:rPr>
          <w:i/>
          <w:color w:val="000000"/>
          <w:sz w:val="16"/>
          <w:szCs w:val="16"/>
          <w:lang w:val="es-CR"/>
        </w:rPr>
        <w:t xml:space="preserve">; </w:t>
      </w:r>
      <w:r w:rsidRPr="00EF190F">
        <w:rPr>
          <w:color w:val="000000"/>
          <w:sz w:val="16"/>
          <w:szCs w:val="16"/>
          <w:lang w:val="es-ES"/>
        </w:rPr>
        <w:t xml:space="preserve">Asamblea General de Naciones Unidas, Resolución 50/192, </w:t>
      </w:r>
      <w:r w:rsidRPr="00EF190F">
        <w:rPr>
          <w:i/>
          <w:color w:val="000000"/>
          <w:sz w:val="16"/>
          <w:szCs w:val="16"/>
          <w:lang w:val="es-GT"/>
        </w:rPr>
        <w:t>Agresión y violación de mujeres en las zonas de conflicto armado de la ex Yugoslavia. A/RES/50/192,</w:t>
      </w:r>
      <w:r w:rsidRPr="00EF190F">
        <w:rPr>
          <w:color w:val="000000"/>
          <w:sz w:val="16"/>
          <w:szCs w:val="16"/>
          <w:lang w:val="es-GT"/>
        </w:rPr>
        <w:t xml:space="preserve">22 de diciembre de 1995, p.3; </w:t>
      </w:r>
      <w:r w:rsidRPr="00EF190F">
        <w:rPr>
          <w:color w:val="000000"/>
          <w:sz w:val="16"/>
          <w:szCs w:val="16"/>
          <w:lang w:val="es-PR"/>
        </w:rPr>
        <w:t xml:space="preserve">Consejo de Seguridad de Naciones Unidas, </w:t>
      </w:r>
      <w:r w:rsidRPr="00EF190F">
        <w:rPr>
          <w:color w:val="000000"/>
          <w:sz w:val="16"/>
          <w:szCs w:val="16"/>
          <w:lang w:val="es-GT"/>
        </w:rPr>
        <w:t xml:space="preserve">Women and </w:t>
      </w:r>
      <w:r w:rsidRPr="00EF190F">
        <w:rPr>
          <w:sz w:val="16"/>
          <w:szCs w:val="16"/>
          <w:lang w:val="es-GT"/>
        </w:rPr>
        <w:t>Peace and Security. UN Doc S/PRST/2007/5, 7 de marzo de 2007, p.2.</w:t>
      </w:r>
      <w:r w:rsidRPr="00EF190F">
        <w:rPr>
          <w:sz w:val="16"/>
          <w:szCs w:val="16"/>
          <w:lang w:val="es-PR"/>
        </w:rPr>
        <w:t xml:space="preserve">; </w:t>
      </w:r>
      <w:r w:rsidRPr="00EF190F">
        <w:rPr>
          <w:sz w:val="16"/>
          <w:szCs w:val="16"/>
        </w:rPr>
        <w:t xml:space="preserve">Informe del Secretario General de conformidad con la Resolución 1820 del Consejo de Seguridad de 15 de julio de 2009. párr.22., y ICRC, Rule 93. </w:t>
      </w:r>
    </w:p>
  </w:footnote>
  <w:footnote w:id="319">
    <w:p w14:paraId="594587C3" w14:textId="77777777" w:rsidR="006A0E1C" w:rsidRPr="00EF190F" w:rsidRDefault="006A0E1C" w:rsidP="006A0E1C">
      <w:pPr>
        <w:tabs>
          <w:tab w:val="left" w:pos="360"/>
        </w:tabs>
        <w:spacing w:line="240" w:lineRule="auto"/>
        <w:rPr>
          <w:b/>
          <w:bCs/>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En este sentido, véase: </w:t>
      </w:r>
      <w:r w:rsidRPr="00EF190F">
        <w:rPr>
          <w:i/>
          <w:iCs/>
          <w:sz w:val="16"/>
          <w:szCs w:val="16"/>
        </w:rPr>
        <w:t xml:space="preserve">Cfr. </w:t>
      </w:r>
      <w:r w:rsidRPr="00EF190F">
        <w:rPr>
          <w:sz w:val="16"/>
          <w:szCs w:val="16"/>
        </w:rPr>
        <w:t xml:space="preserve">CPI, </w:t>
      </w:r>
      <w:r w:rsidRPr="00EF190F">
        <w:rPr>
          <w:i/>
          <w:sz w:val="16"/>
          <w:szCs w:val="16"/>
        </w:rPr>
        <w:t>Situation in the Central African Republic in the case of the Prosecutor v. Jean-Pierre Bemba Gombo</w:t>
      </w:r>
      <w:r w:rsidRPr="00EF190F">
        <w:rPr>
          <w:sz w:val="16"/>
          <w:szCs w:val="16"/>
        </w:rPr>
        <w:t xml:space="preserve">, 21 de marzo de 2016, Sección VI, (B) y (F), párrs. 634 a 638 y 693 a 741; CPI Policy Paper on Sexual and gender-based crimes, junio de 2014, pp. 17, 25, 26 y 43. Disponbiles en: </w:t>
      </w:r>
      <w:hyperlink r:id="rId9" w:history="1">
        <w:r w:rsidRPr="00EF190F">
          <w:rPr>
            <w:rStyle w:val="Hyperlink"/>
            <w:color w:val="auto"/>
            <w:sz w:val="16"/>
            <w:szCs w:val="16"/>
            <w:u w:val="none"/>
          </w:rPr>
          <w:t>https://www.icc-cpi.int/CourtRecords/CR2016_02238.PDF</w:t>
        </w:r>
      </w:hyperlink>
      <w:r w:rsidRPr="00EF190F">
        <w:rPr>
          <w:sz w:val="16"/>
          <w:szCs w:val="16"/>
        </w:rPr>
        <w:t xml:space="preserve"> y </w:t>
      </w:r>
      <w:hyperlink r:id="rId10" w:history="1">
        <w:r w:rsidRPr="00EF190F">
          <w:rPr>
            <w:rStyle w:val="Hyperlink"/>
            <w:color w:val="auto"/>
            <w:sz w:val="16"/>
            <w:szCs w:val="16"/>
            <w:u w:val="none"/>
          </w:rPr>
          <w:t>https://www.icc-cpi.int/iccdocs/otp/OTP-Policy-Paper-on-Sexual-and-Gender-Based-Crimes--June-2014.pdf</w:t>
        </w:r>
      </w:hyperlink>
      <w:r w:rsidRPr="00EF190F">
        <w:rPr>
          <w:rStyle w:val="Hyperlink"/>
          <w:color w:val="auto"/>
          <w:sz w:val="16"/>
          <w:szCs w:val="16"/>
          <w:u w:val="none"/>
        </w:rPr>
        <w:t xml:space="preserve">; ICTR, </w:t>
      </w:r>
      <w:r w:rsidRPr="00EF190F">
        <w:rPr>
          <w:sz w:val="16"/>
          <w:szCs w:val="16"/>
        </w:rPr>
        <w:t xml:space="preserve">Prosecution of Sexual Violence. </w:t>
      </w:r>
      <w:r w:rsidRPr="00EF190F">
        <w:rPr>
          <w:sz w:val="16"/>
          <w:szCs w:val="16"/>
          <w:lang w:val="en-US"/>
        </w:rPr>
        <w:t xml:space="preserve">Lessons Learned from the Office of the Prosecutor for the International Criminal Tribunal for Rwanda, 30 de enero de 2014, pp 8 a 24, 28 a 32, 37. </w:t>
      </w:r>
      <w:r w:rsidRPr="00EF190F">
        <w:rPr>
          <w:sz w:val="16"/>
          <w:szCs w:val="16"/>
          <w:lang w:val="es-GT"/>
        </w:rPr>
        <w:t xml:space="preserve">Disponible en: </w:t>
      </w:r>
      <w:hyperlink r:id="rId11" w:history="1">
        <w:r w:rsidRPr="00EF190F">
          <w:rPr>
            <w:rStyle w:val="Hyperlink"/>
            <w:color w:val="auto"/>
            <w:sz w:val="16"/>
            <w:szCs w:val="16"/>
            <w:u w:val="none"/>
            <w:lang w:val="es-GT"/>
          </w:rPr>
          <w:t>http://w.unictr.org/sites/unictr.org/files/legal-library/140130_prosecution_of_sexual_violence.pdf</w:t>
        </w:r>
      </w:hyperlink>
    </w:p>
  </w:footnote>
  <w:footnote w:id="320">
    <w:p w14:paraId="5B762120" w14:textId="77777777" w:rsidR="006A0E1C" w:rsidRPr="00EF190F" w:rsidRDefault="006A0E1C" w:rsidP="006A0E1C">
      <w:pPr>
        <w:tabs>
          <w:tab w:val="left" w:pos="360"/>
        </w:tabs>
        <w:spacing w:line="240" w:lineRule="auto"/>
        <w:rPr>
          <w:rFonts w:cs="Arial"/>
          <w:b/>
          <w:sz w:val="16"/>
          <w:szCs w:val="16"/>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rFonts w:cs="Arial"/>
          <w:sz w:val="16"/>
          <w:szCs w:val="16"/>
          <w:lang w:val="es-PR"/>
        </w:rPr>
        <w:t>P</w:t>
      </w:r>
      <w:r w:rsidRPr="00EF190F">
        <w:rPr>
          <w:rFonts w:cs="Arial"/>
          <w:sz w:val="16"/>
          <w:szCs w:val="16"/>
        </w:rPr>
        <w:t xml:space="preserve">or ejemplo, en los casos </w:t>
      </w:r>
      <w:r w:rsidRPr="00EF190F">
        <w:rPr>
          <w:rFonts w:cs="Arial"/>
          <w:i/>
          <w:sz w:val="16"/>
          <w:szCs w:val="16"/>
        </w:rPr>
        <w:t xml:space="preserve">Fernández Ortega </w:t>
      </w:r>
      <w:r w:rsidRPr="00EF190F">
        <w:rPr>
          <w:rFonts w:cs="Arial"/>
          <w:sz w:val="16"/>
          <w:szCs w:val="16"/>
        </w:rPr>
        <w:t>y</w:t>
      </w:r>
      <w:r w:rsidRPr="00EF190F">
        <w:rPr>
          <w:rFonts w:cs="Arial"/>
          <w:i/>
          <w:sz w:val="16"/>
          <w:szCs w:val="16"/>
        </w:rPr>
        <w:t xml:space="preserve"> Rosendo Cantú, </w:t>
      </w:r>
      <w:r w:rsidRPr="00EF190F">
        <w:rPr>
          <w:rFonts w:cs="Arial"/>
          <w:sz w:val="16"/>
          <w:szCs w:val="16"/>
        </w:rPr>
        <w:t xml:space="preserve">ambos contra México, se concluyó que la falta de un intérprete que permitiera una adecuada participación de las víctimas en sus propios casos constituyó discriminación en el acceso a la justicia. En el caso </w:t>
      </w:r>
      <w:r w:rsidRPr="00EF190F">
        <w:rPr>
          <w:rFonts w:cs="Arial"/>
          <w:i/>
          <w:sz w:val="16"/>
          <w:szCs w:val="16"/>
        </w:rPr>
        <w:t xml:space="preserve">Tiu Tojín Vs. Guatemala, </w:t>
      </w:r>
      <w:r w:rsidRPr="00EF190F">
        <w:rPr>
          <w:rFonts w:cs="Arial"/>
          <w:sz w:val="16"/>
          <w:szCs w:val="16"/>
        </w:rPr>
        <w:t xml:space="preserve">la Corte consideró que para garantizar el acceso a la justicia de las víctimas -en tanto miembros del pueblo indígena maya- sin discriminación, el Estado debía asegurar que aquellas pudiesen comprender y hacerse comprender en los procedimientos legales iniciados, facilitándoles intérpretes u otros medios eficaces para tal fin. Asimismo, en los casos </w:t>
      </w:r>
      <w:r w:rsidRPr="00EF190F">
        <w:rPr>
          <w:rFonts w:cs="Arial"/>
          <w:i/>
          <w:sz w:val="16"/>
          <w:szCs w:val="16"/>
        </w:rPr>
        <w:t xml:space="preserve">Espinoza Gonzáles Vs. Perú, </w:t>
      </w:r>
      <w:r w:rsidRPr="00EF190F">
        <w:rPr>
          <w:rFonts w:cs="Arial"/>
          <w:sz w:val="16"/>
          <w:szCs w:val="16"/>
        </w:rPr>
        <w:t xml:space="preserve">y </w:t>
      </w:r>
      <w:r w:rsidRPr="00EF190F">
        <w:rPr>
          <w:rStyle w:val="Strong"/>
          <w:b w:val="0"/>
          <w:i/>
          <w:color w:val="000000"/>
          <w:sz w:val="16"/>
          <w:szCs w:val="16"/>
          <w:shd w:val="clear" w:color="auto" w:fill="FFFFFF"/>
        </w:rPr>
        <w:t xml:space="preserve">Veliz Franco y otros, </w:t>
      </w:r>
      <w:r w:rsidRPr="00EF190F">
        <w:rPr>
          <w:rStyle w:val="Strong"/>
          <w:b w:val="0"/>
          <w:color w:val="000000"/>
          <w:sz w:val="16"/>
          <w:szCs w:val="16"/>
          <w:shd w:val="clear" w:color="auto" w:fill="FFFFFF"/>
        </w:rPr>
        <w:t>y</w:t>
      </w:r>
      <w:r w:rsidRPr="00EF190F">
        <w:rPr>
          <w:rFonts w:cs="Arial"/>
          <w:i/>
          <w:sz w:val="16"/>
          <w:szCs w:val="16"/>
        </w:rPr>
        <w:t xml:space="preserve"> Velásquez Paiz, </w:t>
      </w:r>
      <w:r w:rsidRPr="00EF190F">
        <w:rPr>
          <w:rFonts w:cs="Arial"/>
          <w:sz w:val="16"/>
          <w:szCs w:val="16"/>
        </w:rPr>
        <w:t xml:space="preserve">en contra de Guatemala, la Corte constató que la falta de investigación de la violencia que sufrieron las víctimas de dichos casos se debió a la utilización, por parte de los operadores de justicia, de estereotipos discriminatorios. </w:t>
      </w:r>
      <w:r w:rsidRPr="00EF190F">
        <w:rPr>
          <w:rFonts w:cs="Arial"/>
          <w:i/>
          <w:sz w:val="16"/>
          <w:szCs w:val="16"/>
        </w:rPr>
        <w:t>Cfr</w:t>
      </w:r>
      <w:r w:rsidRPr="00EF190F">
        <w:rPr>
          <w:rFonts w:cs="Arial"/>
          <w:sz w:val="16"/>
          <w:szCs w:val="16"/>
        </w:rPr>
        <w:t xml:space="preserve">. </w:t>
      </w:r>
      <w:r w:rsidRPr="00EF190F">
        <w:rPr>
          <w:i/>
          <w:sz w:val="16"/>
          <w:szCs w:val="16"/>
          <w:lang w:val="es-ES"/>
        </w:rPr>
        <w:t>Caso Fernández Ortega y otros Vs. México</w:t>
      </w:r>
      <w:r w:rsidRPr="00EF190F">
        <w:rPr>
          <w:sz w:val="16"/>
          <w:szCs w:val="16"/>
          <w:lang w:val="es-ES"/>
        </w:rPr>
        <w:t xml:space="preserve">, párr. 201; </w:t>
      </w:r>
      <w:r w:rsidRPr="00EF190F">
        <w:rPr>
          <w:rStyle w:val="Strong"/>
          <w:b w:val="0"/>
          <w:i/>
          <w:sz w:val="16"/>
          <w:szCs w:val="16"/>
          <w:shd w:val="clear" w:color="auto" w:fill="FFFFFF"/>
          <w:lang w:val="es-ES"/>
        </w:rPr>
        <w:t>Caso Rosendo Cantú y otra Vs. México</w:t>
      </w:r>
      <w:r w:rsidRPr="00EF190F">
        <w:rPr>
          <w:rStyle w:val="Strong"/>
          <w:b w:val="0"/>
          <w:sz w:val="16"/>
          <w:szCs w:val="16"/>
          <w:shd w:val="clear" w:color="auto" w:fill="FFFFFF"/>
          <w:lang w:val="es-ES"/>
        </w:rPr>
        <w:t>, párr. 185;</w:t>
      </w:r>
      <w:r w:rsidRPr="00EF190F">
        <w:rPr>
          <w:rStyle w:val="Strong"/>
          <w:sz w:val="16"/>
          <w:szCs w:val="16"/>
          <w:shd w:val="clear" w:color="auto" w:fill="FFFFFF"/>
          <w:lang w:val="es-ES"/>
        </w:rPr>
        <w:t xml:space="preserve"> </w:t>
      </w:r>
      <w:r w:rsidRPr="00EF190F">
        <w:rPr>
          <w:i/>
          <w:sz w:val="16"/>
          <w:szCs w:val="16"/>
          <w:lang w:val="es-ES"/>
        </w:rPr>
        <w:t>Caso Tiu Tojín Vs. Guatemala. Fondo, Reparaciones y Costas</w:t>
      </w:r>
      <w:r w:rsidRPr="00EF190F">
        <w:rPr>
          <w:sz w:val="16"/>
          <w:szCs w:val="16"/>
          <w:lang w:val="es-ES"/>
        </w:rPr>
        <w:t>. Sentencia de 26 de noviembre de 2008. Serie C No. 190, párr. 100;</w:t>
      </w:r>
      <w:r w:rsidRPr="00EF190F">
        <w:rPr>
          <w:rStyle w:val="Strong"/>
          <w:sz w:val="16"/>
          <w:szCs w:val="16"/>
          <w:shd w:val="clear" w:color="auto" w:fill="FFFFFF"/>
          <w:lang w:val="es-ES"/>
        </w:rPr>
        <w:t xml:space="preserve"> </w:t>
      </w:r>
      <w:r w:rsidRPr="00EF190F">
        <w:rPr>
          <w:i/>
          <w:sz w:val="16"/>
          <w:szCs w:val="16"/>
          <w:lang w:val="es-ES"/>
        </w:rPr>
        <w:t>Caso Espinoza Gonzáles Vs. Perú</w:t>
      </w:r>
      <w:r w:rsidRPr="00EF190F">
        <w:rPr>
          <w:sz w:val="16"/>
          <w:szCs w:val="16"/>
          <w:lang w:val="es-ES"/>
        </w:rPr>
        <w:t xml:space="preserve">, párrs. 272 y 278; </w:t>
      </w:r>
      <w:r w:rsidRPr="00EF190F">
        <w:rPr>
          <w:rStyle w:val="Strong"/>
          <w:b w:val="0"/>
          <w:i/>
          <w:color w:val="000000"/>
          <w:sz w:val="16"/>
          <w:szCs w:val="16"/>
          <w:shd w:val="clear" w:color="auto" w:fill="FFFFFF"/>
        </w:rPr>
        <w:t>Caso Veliz Franco y otros Vs. Guatemala. Excepciones Preliminares, Fondo, Reparaciones y Costas</w:t>
      </w:r>
      <w:r w:rsidRPr="00EF190F">
        <w:rPr>
          <w:rStyle w:val="Strong"/>
          <w:b w:val="0"/>
          <w:color w:val="000000"/>
          <w:sz w:val="16"/>
          <w:szCs w:val="16"/>
          <w:shd w:val="clear" w:color="auto" w:fill="FFFFFF"/>
        </w:rPr>
        <w:t xml:space="preserve">. Sentencia de 19 de mayo de 2014. Serie C No. 277, párrs. 212 y 213, y </w:t>
      </w:r>
      <w:r w:rsidRPr="00EF190F">
        <w:rPr>
          <w:i/>
          <w:sz w:val="16"/>
          <w:szCs w:val="16"/>
          <w:lang w:val="es-ES"/>
        </w:rPr>
        <w:t>Caso Velásquez Paiz y otros Vs. Guatemala</w:t>
      </w:r>
      <w:r w:rsidRPr="00EF190F">
        <w:rPr>
          <w:sz w:val="16"/>
          <w:szCs w:val="16"/>
          <w:lang w:val="es-ES"/>
        </w:rPr>
        <w:t xml:space="preserve">, párrs. </w:t>
      </w:r>
      <w:r w:rsidRPr="00EF190F">
        <w:rPr>
          <w:rStyle w:val="Strong"/>
          <w:b w:val="0"/>
          <w:sz w:val="16"/>
          <w:szCs w:val="16"/>
          <w:shd w:val="clear" w:color="auto" w:fill="FFFFFF"/>
        </w:rPr>
        <w:t>177, 183, 186 a 189</w:t>
      </w:r>
      <w:r w:rsidRPr="00EF190F">
        <w:rPr>
          <w:sz w:val="16"/>
          <w:szCs w:val="16"/>
          <w:lang w:val="es-ES"/>
        </w:rPr>
        <w:t>.</w:t>
      </w:r>
    </w:p>
  </w:footnote>
  <w:footnote w:id="321">
    <w:p w14:paraId="5DE1A7EF" w14:textId="77777777" w:rsidR="006A0E1C" w:rsidRPr="00EF190F" w:rsidRDefault="006A0E1C" w:rsidP="006A0E1C">
      <w:pPr>
        <w:tabs>
          <w:tab w:val="left" w:pos="360"/>
        </w:tabs>
        <w:autoSpaceDE w:val="0"/>
        <w:autoSpaceDN w:val="0"/>
        <w:spacing w:line="240" w:lineRule="auto"/>
        <w:ind w:right="4"/>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Cfr.</w:t>
      </w:r>
      <w:r w:rsidRPr="00EF190F">
        <w:rPr>
          <w:sz w:val="16"/>
          <w:szCs w:val="16"/>
          <w:lang w:val="es-PR"/>
        </w:rPr>
        <w:t xml:space="preserve"> </w:t>
      </w:r>
      <w:r w:rsidRPr="00EF190F">
        <w:rPr>
          <w:bCs/>
          <w:i/>
          <w:sz w:val="16"/>
          <w:szCs w:val="16"/>
          <w:lang w:val="es-ES_tradnl"/>
        </w:rPr>
        <w:t xml:space="preserve">Caso Hilaire, Constantine y Benjamin y otros Vs. Trinidad y Tobago. Fondo, Reparaciones y Costas. </w:t>
      </w:r>
      <w:r w:rsidRPr="00EF190F">
        <w:rPr>
          <w:bCs/>
          <w:sz w:val="16"/>
          <w:szCs w:val="16"/>
          <w:lang w:val="es-ES_tradnl"/>
        </w:rPr>
        <w:t>Sentencia de 21 de junio de 2002. Serie C No. 94, párr. 145</w:t>
      </w:r>
      <w:r w:rsidRPr="00EF190F">
        <w:rPr>
          <w:sz w:val="16"/>
          <w:szCs w:val="16"/>
          <w:lang w:val="es-PR"/>
        </w:rPr>
        <w:t xml:space="preserve">, y </w:t>
      </w:r>
      <w:r w:rsidRPr="00EF190F">
        <w:rPr>
          <w:i/>
          <w:sz w:val="16"/>
          <w:szCs w:val="16"/>
          <w:lang w:val="es-PR"/>
        </w:rPr>
        <w:t xml:space="preserve">Caso Tenorio Roca y otros Vs. Perú, </w:t>
      </w:r>
      <w:r w:rsidRPr="00EF190F">
        <w:rPr>
          <w:sz w:val="16"/>
          <w:szCs w:val="16"/>
          <w:lang w:val="es-PR"/>
        </w:rPr>
        <w:t>párr. 237.</w:t>
      </w:r>
    </w:p>
  </w:footnote>
  <w:footnote w:id="322">
    <w:p w14:paraId="34F45776" w14:textId="77777777" w:rsidR="006A0E1C" w:rsidRPr="00EF190F" w:rsidRDefault="006A0E1C" w:rsidP="006A0E1C">
      <w:pPr>
        <w:pStyle w:val="FootnoteText"/>
        <w:tabs>
          <w:tab w:val="left" w:pos="360"/>
        </w:tabs>
        <w:contextualSpacing/>
        <w:rPr>
          <w:rFonts w:cs="TimesNewRoman"/>
          <w:spacing w:val="-4"/>
          <w:sz w:val="16"/>
          <w:szCs w:val="16"/>
          <w:lang w:val="es-PR"/>
        </w:rPr>
      </w:pPr>
      <w:r w:rsidRPr="00EF190F">
        <w:rPr>
          <w:rStyle w:val="FootnoteReference"/>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i/>
          <w:spacing w:val="-4"/>
          <w:sz w:val="16"/>
          <w:szCs w:val="16"/>
          <w:lang w:val="es-PR"/>
        </w:rPr>
        <w:t>Cfr</w:t>
      </w:r>
      <w:r w:rsidRPr="00EF190F">
        <w:rPr>
          <w:spacing w:val="-4"/>
          <w:sz w:val="16"/>
          <w:szCs w:val="16"/>
          <w:lang w:val="es-PR"/>
        </w:rPr>
        <w:t xml:space="preserve">. </w:t>
      </w:r>
      <w:r w:rsidRPr="00EF190F">
        <w:rPr>
          <w:i/>
          <w:sz w:val="16"/>
          <w:szCs w:val="16"/>
          <w:lang w:val="es-ES"/>
        </w:rPr>
        <w:t xml:space="preserve">Caso Trujillo Oroza Vs. Bolivia. Reparaciones y Costas. </w:t>
      </w:r>
      <w:r w:rsidRPr="00EF190F">
        <w:rPr>
          <w:sz w:val="16"/>
          <w:szCs w:val="16"/>
          <w:lang w:val="es-ES"/>
        </w:rPr>
        <w:t>Sentencia de 27 de febrero de 2002</w:t>
      </w:r>
      <w:r w:rsidRPr="00EF190F">
        <w:rPr>
          <w:i/>
          <w:sz w:val="16"/>
          <w:szCs w:val="16"/>
          <w:lang w:val="es-ES"/>
        </w:rPr>
        <w:t xml:space="preserve">. </w:t>
      </w:r>
      <w:r w:rsidRPr="00EF190F">
        <w:rPr>
          <w:sz w:val="16"/>
          <w:szCs w:val="16"/>
          <w:lang w:val="es-ES"/>
        </w:rPr>
        <w:t>Serie C No. 92, párr.</w:t>
      </w:r>
      <w:r w:rsidRPr="00EF190F">
        <w:rPr>
          <w:sz w:val="16"/>
          <w:szCs w:val="16"/>
        </w:rPr>
        <w:t xml:space="preserve"> 100</w:t>
      </w:r>
      <w:r w:rsidRPr="00EF190F">
        <w:rPr>
          <w:spacing w:val="-4"/>
          <w:sz w:val="16"/>
          <w:szCs w:val="16"/>
          <w:lang w:val="es-PR"/>
        </w:rPr>
        <w:t xml:space="preserve">, y </w:t>
      </w:r>
      <w:r w:rsidRPr="00EF190F">
        <w:rPr>
          <w:i/>
          <w:sz w:val="16"/>
          <w:szCs w:val="16"/>
          <w:lang w:val="es-PR"/>
        </w:rPr>
        <w:t xml:space="preserve">Caso Tenorio Roca y otros Vs. Perú, </w:t>
      </w:r>
      <w:r w:rsidRPr="00EF190F">
        <w:rPr>
          <w:sz w:val="16"/>
          <w:szCs w:val="16"/>
          <w:lang w:val="es-PR"/>
        </w:rPr>
        <w:t>párr. 243</w:t>
      </w:r>
    </w:p>
  </w:footnote>
  <w:footnote w:id="323">
    <w:p w14:paraId="1CCC2954" w14:textId="77777777" w:rsidR="006A0E1C" w:rsidRPr="00EF190F" w:rsidRDefault="006A0E1C" w:rsidP="006A0E1C">
      <w:pPr>
        <w:pStyle w:val="FootnoteText"/>
        <w:tabs>
          <w:tab w:val="left" w:pos="360"/>
        </w:tabs>
        <w:contextualSpacing/>
        <w:rPr>
          <w:spacing w:val="-4"/>
          <w:sz w:val="16"/>
          <w:szCs w:val="16"/>
          <w:lang w:val="es-PR" w:bidi="en-US"/>
        </w:rPr>
      </w:pPr>
      <w:r w:rsidRPr="00EF190F">
        <w:rPr>
          <w:rStyle w:val="FootnoteReference"/>
          <w:sz w:val="16"/>
          <w:szCs w:val="16"/>
          <w:lang w:val="es-PR"/>
        </w:rPr>
        <w:footnoteRef/>
      </w:r>
      <w:r w:rsidRPr="00EF190F">
        <w:rPr>
          <w:spacing w:val="-4"/>
          <w:sz w:val="16"/>
          <w:szCs w:val="16"/>
          <w:lang w:val="es-PR"/>
        </w:rPr>
        <w:t xml:space="preserve"> </w:t>
      </w:r>
      <w:r w:rsidRPr="00EF190F">
        <w:rPr>
          <w:spacing w:val="-4"/>
          <w:sz w:val="16"/>
          <w:szCs w:val="16"/>
          <w:lang w:val="es-PR"/>
        </w:rPr>
        <w:tab/>
      </w:r>
      <w:r w:rsidRPr="00EF190F">
        <w:rPr>
          <w:i/>
          <w:spacing w:val="-4"/>
          <w:sz w:val="16"/>
          <w:szCs w:val="16"/>
          <w:lang w:val="es-PR"/>
        </w:rPr>
        <w:t>Cfr.</w:t>
      </w:r>
      <w:r w:rsidRPr="00EF190F">
        <w:rPr>
          <w:spacing w:val="-4"/>
          <w:sz w:val="16"/>
          <w:szCs w:val="16"/>
          <w:lang w:val="es-PR"/>
        </w:rPr>
        <w:t xml:space="preserve"> Ver </w:t>
      </w:r>
      <w:r w:rsidRPr="00EF190F">
        <w:rPr>
          <w:i/>
          <w:spacing w:val="-4"/>
          <w:sz w:val="16"/>
          <w:szCs w:val="16"/>
          <w:lang w:val="es-PR"/>
        </w:rPr>
        <w:t>inter alia</w:t>
      </w:r>
      <w:r w:rsidRPr="00EF190F">
        <w:rPr>
          <w:spacing w:val="-4"/>
          <w:sz w:val="16"/>
          <w:szCs w:val="16"/>
          <w:lang w:val="es-PR"/>
        </w:rPr>
        <w:t>,</w:t>
      </w:r>
      <w:r w:rsidRPr="00EF190F">
        <w:rPr>
          <w:i/>
          <w:spacing w:val="-4"/>
          <w:sz w:val="16"/>
          <w:szCs w:val="16"/>
          <w:lang w:val="es-PR"/>
        </w:rPr>
        <w:t xml:space="preserve"> </w:t>
      </w:r>
      <w:r w:rsidRPr="00EF190F">
        <w:rPr>
          <w:rFonts w:eastAsia="Calibri"/>
          <w:bCs/>
          <w:i/>
          <w:iCs/>
          <w:spacing w:val="-4"/>
          <w:sz w:val="16"/>
          <w:szCs w:val="16"/>
          <w:lang w:val="es-PR"/>
        </w:rPr>
        <w:t>Caso Velásquez Rodríguez Vs. Honduras. Fondo</w:t>
      </w:r>
      <w:r w:rsidRPr="00EF190F">
        <w:rPr>
          <w:rFonts w:eastAsia="Calibri"/>
          <w:bCs/>
          <w:spacing w:val="-4"/>
          <w:sz w:val="16"/>
          <w:szCs w:val="16"/>
          <w:lang w:val="es-PR"/>
        </w:rPr>
        <w:t xml:space="preserve">, </w:t>
      </w:r>
      <w:r w:rsidRPr="00EF190F">
        <w:rPr>
          <w:spacing w:val="-4"/>
          <w:sz w:val="16"/>
          <w:szCs w:val="16"/>
          <w:lang w:val="es-PR"/>
        </w:rPr>
        <w:t xml:space="preserve">párr. 181; </w:t>
      </w:r>
      <w:r w:rsidRPr="00EF190F">
        <w:rPr>
          <w:i/>
          <w:spacing w:val="-4"/>
          <w:sz w:val="16"/>
          <w:szCs w:val="16"/>
          <w:lang w:val="es-PR"/>
        </w:rPr>
        <w:t xml:space="preserve">Caso Bámaca Velásquez Vs. Guatemala. Fondo. </w:t>
      </w:r>
      <w:r w:rsidRPr="00EF190F">
        <w:rPr>
          <w:spacing w:val="-4"/>
          <w:sz w:val="16"/>
          <w:szCs w:val="16"/>
          <w:lang w:val="es-PR"/>
        </w:rPr>
        <w:t xml:space="preserve">Sentencia de 25 de noviembre de 2000. Serie C No. 70, párr. 201; </w:t>
      </w:r>
      <w:r w:rsidRPr="00EF190F">
        <w:rPr>
          <w:rStyle w:val="Strong"/>
          <w:b w:val="0"/>
          <w:i/>
          <w:color w:val="000000"/>
          <w:sz w:val="16"/>
          <w:szCs w:val="16"/>
          <w:shd w:val="clear" w:color="auto" w:fill="FFFFFF"/>
        </w:rPr>
        <w:t>Caso Barrios Altos Vs. Perú. Fondo</w:t>
      </w:r>
      <w:r w:rsidRPr="00EF190F">
        <w:rPr>
          <w:rStyle w:val="Strong"/>
          <w:b w:val="0"/>
          <w:color w:val="000000"/>
          <w:sz w:val="16"/>
          <w:szCs w:val="16"/>
          <w:shd w:val="clear" w:color="auto" w:fill="FFFFFF"/>
        </w:rPr>
        <w:t>. Sentencia de 14 de marzo de 2001. Serie C No. 75</w:t>
      </w:r>
      <w:r w:rsidRPr="00EF190F">
        <w:rPr>
          <w:spacing w:val="-4"/>
          <w:sz w:val="16"/>
          <w:szCs w:val="16"/>
          <w:lang w:val="es-PR"/>
        </w:rPr>
        <w:t xml:space="preserve">, párr. 48; </w:t>
      </w:r>
      <w:r w:rsidRPr="00EF190F">
        <w:rPr>
          <w:i/>
          <w:spacing w:val="-4"/>
          <w:sz w:val="16"/>
          <w:szCs w:val="16"/>
          <w:lang w:val="es-PR"/>
        </w:rPr>
        <w:t xml:space="preserve">Caso Almonacid Arellano y otros Vs. Chile, </w:t>
      </w:r>
      <w:r w:rsidRPr="00EF190F">
        <w:rPr>
          <w:spacing w:val="-4"/>
          <w:sz w:val="16"/>
          <w:szCs w:val="16"/>
          <w:lang w:val="es-PR"/>
        </w:rPr>
        <w:t xml:space="preserve">párr. 148; </w:t>
      </w:r>
      <w:r w:rsidRPr="00EF190F">
        <w:rPr>
          <w:rStyle w:val="Strong"/>
          <w:b w:val="0"/>
          <w:i/>
          <w:sz w:val="16"/>
          <w:szCs w:val="16"/>
          <w:shd w:val="clear" w:color="auto" w:fill="FFFFFF"/>
          <w:lang w:val="es-PR"/>
        </w:rPr>
        <w:t>Caso La Cantuta Vs. Perú. Fondo, Reparaciones y Costas.</w:t>
      </w:r>
      <w:r w:rsidRPr="00EF190F">
        <w:rPr>
          <w:rStyle w:val="Strong"/>
          <w:b w:val="0"/>
          <w:sz w:val="16"/>
          <w:szCs w:val="16"/>
          <w:shd w:val="clear" w:color="auto" w:fill="FFFFFF"/>
          <w:lang w:val="es-PR"/>
        </w:rPr>
        <w:t xml:space="preserve"> Sentencia de 29 de noviembre de 20056. Serie C No. 162</w:t>
      </w:r>
      <w:r w:rsidRPr="00EF190F">
        <w:rPr>
          <w:spacing w:val="-4"/>
          <w:sz w:val="16"/>
          <w:szCs w:val="16"/>
          <w:lang w:val="es-PR"/>
        </w:rPr>
        <w:t xml:space="preserve">, párr. 222; </w:t>
      </w:r>
      <w:r w:rsidRPr="00EF190F">
        <w:rPr>
          <w:i/>
          <w:sz w:val="16"/>
          <w:szCs w:val="16"/>
          <w:lang w:val="es-PR"/>
        </w:rPr>
        <w:t>Caso Heliodoro Portugal Vs. Panamá.</w:t>
      </w:r>
      <w:r w:rsidRPr="00EF190F">
        <w:rPr>
          <w:i/>
          <w:spacing w:val="-4"/>
          <w:sz w:val="16"/>
          <w:szCs w:val="16"/>
          <w:lang w:val="es-PR"/>
        </w:rPr>
        <w:t xml:space="preserve"> Excepciones Preliminares, Fondo, Reparaciones y Costas. </w:t>
      </w:r>
      <w:r w:rsidRPr="00EF190F">
        <w:rPr>
          <w:spacing w:val="-4"/>
          <w:sz w:val="16"/>
          <w:szCs w:val="16"/>
          <w:lang w:val="es-PR"/>
        </w:rPr>
        <w:t>Sentencia de 12 de agosto de 2008. Serie C No. 186</w:t>
      </w:r>
      <w:r w:rsidRPr="00EF190F">
        <w:rPr>
          <w:spacing w:val="-4"/>
          <w:sz w:val="16"/>
          <w:szCs w:val="16"/>
          <w:lang w:val="es-PR" w:bidi="en-US"/>
        </w:rPr>
        <w:t xml:space="preserve">, </w:t>
      </w:r>
      <w:r w:rsidRPr="00EF190F">
        <w:rPr>
          <w:spacing w:val="-4"/>
          <w:sz w:val="16"/>
          <w:szCs w:val="16"/>
          <w:lang w:val="es-PR"/>
        </w:rPr>
        <w:t xml:space="preserve">párrs. 243 y 244, y </w:t>
      </w:r>
      <w:r w:rsidRPr="00EF190F">
        <w:rPr>
          <w:rStyle w:val="Strong"/>
          <w:b w:val="0"/>
          <w:i/>
          <w:color w:val="000000"/>
          <w:sz w:val="16"/>
          <w:szCs w:val="16"/>
          <w:shd w:val="clear" w:color="auto" w:fill="FFFFFF"/>
        </w:rPr>
        <w:t>Caso Kawas Fernández Vs. Honduras. Fondo, Reparaciones y Costas</w:t>
      </w:r>
      <w:r w:rsidRPr="00EF190F">
        <w:rPr>
          <w:rStyle w:val="Strong"/>
          <w:b w:val="0"/>
          <w:color w:val="000000"/>
          <w:sz w:val="16"/>
          <w:szCs w:val="16"/>
          <w:shd w:val="clear" w:color="auto" w:fill="FFFFFF"/>
        </w:rPr>
        <w:t>. Sentencia de 3 de abril de 2009. Serie C No. 196</w:t>
      </w:r>
      <w:r w:rsidRPr="00EF190F">
        <w:rPr>
          <w:spacing w:val="-4"/>
          <w:sz w:val="16"/>
          <w:szCs w:val="16"/>
          <w:lang w:val="es-PR"/>
        </w:rPr>
        <w:t>, párr. 117</w:t>
      </w:r>
      <w:r w:rsidRPr="00EF190F">
        <w:rPr>
          <w:spacing w:val="-4"/>
          <w:sz w:val="16"/>
          <w:szCs w:val="16"/>
          <w:lang w:val="es-PR" w:bidi="en-US"/>
        </w:rPr>
        <w:t xml:space="preserve">. </w:t>
      </w:r>
    </w:p>
  </w:footnote>
  <w:footnote w:id="324">
    <w:p w14:paraId="5F5A3EBA" w14:textId="77777777" w:rsidR="006A0E1C" w:rsidRPr="00EF190F" w:rsidRDefault="006A0E1C" w:rsidP="006A0E1C">
      <w:pPr>
        <w:pStyle w:val="FootnoteText"/>
        <w:tabs>
          <w:tab w:val="left" w:pos="360"/>
          <w:tab w:val="left" w:pos="720"/>
        </w:tabs>
        <w:contextualSpacing/>
        <w:rPr>
          <w:spacing w:val="-4"/>
          <w:sz w:val="16"/>
          <w:szCs w:val="16"/>
          <w:lang w:val="es-PR"/>
        </w:rPr>
      </w:pPr>
      <w:r w:rsidRPr="00EF190F">
        <w:rPr>
          <w:rStyle w:val="FootnoteReference"/>
          <w:sz w:val="16"/>
          <w:szCs w:val="16"/>
          <w:lang w:val="es-PR"/>
        </w:rPr>
        <w:footnoteRef/>
      </w:r>
      <w:r w:rsidRPr="00EF190F">
        <w:rPr>
          <w:spacing w:val="-4"/>
          <w:sz w:val="16"/>
          <w:szCs w:val="16"/>
          <w:lang w:val="es-PR"/>
        </w:rPr>
        <w:t xml:space="preserve"> </w:t>
      </w:r>
      <w:r w:rsidRPr="00EF190F">
        <w:rPr>
          <w:spacing w:val="-4"/>
          <w:sz w:val="16"/>
          <w:szCs w:val="16"/>
          <w:lang w:val="es-PR"/>
        </w:rPr>
        <w:tab/>
        <w:t xml:space="preserve">En este sentido, en su estudio sobre el derecho a conocer la verdad, el Alto Comisionado de las Naciones Unidas para los Derechos Humanos recogió que distintas declaraciones e instrumentos internacionales han reconocido el derecho a conocer la verdad vinculado con el derecho a obtener y solicitar información, el derecho a la justicia, el deber de combatir la impunidad frente a las violaciones de derechos humanos, el derecho a un recurso judicial efectivo y el derecho a la vida privada y familiar. Además, en relación con los familiares de las víctimas, ha sido vinculado con el derecho a la integridad de los familiares de la víctima (salud mental), el derecho a obtener una reparación en casos de graves violaciones a los derechos humanos, el derecho a no ser objeto de tortura ni malos tratos y, en ciertas circunstancias, el derecho de las niñas y los niños a recibir una protección especial. </w:t>
      </w:r>
      <w:r w:rsidRPr="00EF190F">
        <w:rPr>
          <w:i/>
          <w:spacing w:val="-4"/>
          <w:sz w:val="16"/>
          <w:szCs w:val="16"/>
          <w:lang w:val="es-PR"/>
        </w:rPr>
        <w:t xml:space="preserve">Cfr. </w:t>
      </w:r>
      <w:r w:rsidRPr="00EF190F">
        <w:rPr>
          <w:rFonts w:eastAsia="Calibri" w:cs="Arial"/>
          <w:spacing w:val="-4"/>
          <w:sz w:val="16"/>
          <w:szCs w:val="16"/>
          <w:lang w:val="es-PR"/>
        </w:rPr>
        <w:t xml:space="preserve">Informe de la Oficina del Alto Comisionado de las Naciones Unidas para los Derechos Humanos. </w:t>
      </w:r>
      <w:r w:rsidRPr="00EF190F">
        <w:rPr>
          <w:rStyle w:val="Emphasis"/>
          <w:rFonts w:eastAsia="Calibri" w:cs="Arial"/>
          <w:b w:val="0"/>
          <w:spacing w:val="-4"/>
          <w:sz w:val="16"/>
          <w:szCs w:val="16"/>
          <w:lang w:val="es-PR"/>
        </w:rPr>
        <w:t>Estudio sobre el derecho a la verdad</w:t>
      </w:r>
      <w:r w:rsidRPr="00EF190F">
        <w:rPr>
          <w:rFonts w:eastAsia="Calibri" w:cs="Arial"/>
          <w:spacing w:val="-4"/>
          <w:sz w:val="16"/>
          <w:szCs w:val="16"/>
          <w:lang w:val="es-PR"/>
        </w:rPr>
        <w:t>, U.N. Doc. E/CN.4/2006/91 de 9 de enero de 2006</w:t>
      </w:r>
      <w:r w:rsidRPr="00EF190F">
        <w:rPr>
          <w:spacing w:val="-4"/>
          <w:sz w:val="16"/>
          <w:szCs w:val="16"/>
          <w:lang w:val="es-PR"/>
        </w:rPr>
        <w:t>.</w:t>
      </w:r>
    </w:p>
  </w:footnote>
  <w:footnote w:id="325">
    <w:p w14:paraId="24253CCA" w14:textId="77777777" w:rsidR="006A0E1C" w:rsidRPr="00EF190F" w:rsidRDefault="006A0E1C" w:rsidP="006A0E1C">
      <w:pPr>
        <w:tabs>
          <w:tab w:val="left" w:pos="360"/>
        </w:tabs>
        <w:autoSpaceDE w:val="0"/>
        <w:autoSpaceDN w:val="0"/>
        <w:spacing w:line="240" w:lineRule="auto"/>
        <w:ind w:right="-138"/>
        <w:rPr>
          <w:sz w:val="16"/>
          <w:szCs w:val="16"/>
          <w:lang w:val="es-PR"/>
        </w:rPr>
      </w:pPr>
      <w:r w:rsidRPr="00EF190F">
        <w:rPr>
          <w:rStyle w:val="FootnoteReference"/>
          <w:sz w:val="16"/>
          <w:szCs w:val="16"/>
        </w:rPr>
        <w:footnoteRef/>
      </w:r>
      <w:r w:rsidRPr="00EF190F">
        <w:rPr>
          <w:sz w:val="16"/>
          <w:szCs w:val="16"/>
          <w:lang w:val="es-PR"/>
        </w:rPr>
        <w:t xml:space="preserve"> </w:t>
      </w:r>
      <w:r w:rsidRPr="00EF190F">
        <w:rPr>
          <w:sz w:val="16"/>
          <w:szCs w:val="16"/>
          <w:lang w:val="es-PR"/>
        </w:rPr>
        <w:tab/>
      </w:r>
      <w:r w:rsidRPr="00EF190F">
        <w:rPr>
          <w:i/>
          <w:sz w:val="16"/>
          <w:szCs w:val="16"/>
          <w:lang w:val="es-PR"/>
        </w:rPr>
        <w:t>12 Casos Guatemaltecos.</w:t>
      </w:r>
      <w:r w:rsidRPr="00EF190F">
        <w:rPr>
          <w:sz w:val="16"/>
          <w:szCs w:val="16"/>
          <w:lang w:val="es-PR"/>
        </w:rPr>
        <w:t xml:space="preserve"> </w:t>
      </w:r>
      <w:r w:rsidRPr="00EF190F">
        <w:rPr>
          <w:i/>
          <w:sz w:val="16"/>
          <w:szCs w:val="16"/>
          <w:lang w:val="es-PR"/>
        </w:rPr>
        <w:t>Supervisión de Cumplimiento de Sentencia</w:t>
      </w:r>
      <w:r w:rsidRPr="00EF190F">
        <w:rPr>
          <w:sz w:val="16"/>
          <w:szCs w:val="16"/>
        </w:rPr>
        <w:t xml:space="preserve">. Resolución de la Corte Interamericana de Derechos Humanos de 24 de noviembre de 2015, considerando 125. </w:t>
      </w:r>
    </w:p>
  </w:footnote>
  <w:footnote w:id="326">
    <w:p w14:paraId="4399D558" w14:textId="77777777" w:rsidR="006A0E1C" w:rsidRPr="00EF190F" w:rsidRDefault="006A0E1C" w:rsidP="006A0E1C">
      <w:pPr>
        <w:pStyle w:val="FootnoteText"/>
        <w:tabs>
          <w:tab w:val="left" w:pos="360"/>
        </w:tabs>
        <w:contextualSpacing/>
        <w:rPr>
          <w:sz w:val="16"/>
          <w:szCs w:val="16"/>
          <w:lang w:val="es-CR"/>
        </w:rPr>
      </w:pPr>
      <w:r w:rsidRPr="00EF190F">
        <w:rPr>
          <w:rStyle w:val="FootnoteReference"/>
          <w:rFonts w:eastAsia="Calibri"/>
          <w:spacing w:val="-4"/>
          <w:sz w:val="16"/>
          <w:szCs w:val="16"/>
        </w:rPr>
        <w:footnoteRef/>
      </w:r>
      <w:r w:rsidRPr="00EF190F">
        <w:rPr>
          <w:sz w:val="16"/>
          <w:szCs w:val="16"/>
        </w:rPr>
        <w:tab/>
      </w:r>
      <w:r w:rsidRPr="00EF190F">
        <w:rPr>
          <w:sz w:val="16"/>
          <w:szCs w:val="16"/>
          <w:lang w:val="es-CR"/>
        </w:rPr>
        <w:t>El artículo 63.1 de la Convención establece: “Cuando decida que hubo violación de un derecho o libertad protegidos en [la] Convención, la Corte dispondrá que se garantice al lesionado en el goce de su derecho o libertad conculcados. Dispondrá asimismo, si ello fuera procedente, que se reparen las consecuencias de la medida o situación que ha configurado la vulneración de esos derechos y el pago de una justa indemnización a la parte lesionada”.</w:t>
      </w:r>
    </w:p>
  </w:footnote>
  <w:footnote w:id="327">
    <w:p w14:paraId="7F9A6123" w14:textId="77777777" w:rsidR="006A0E1C" w:rsidRPr="00EF190F" w:rsidRDefault="006A0E1C" w:rsidP="006A0E1C">
      <w:pPr>
        <w:pStyle w:val="FootnoteText"/>
        <w:tabs>
          <w:tab w:val="left" w:pos="360"/>
        </w:tabs>
        <w:contextualSpacing/>
        <w:rPr>
          <w:sz w:val="16"/>
          <w:szCs w:val="16"/>
        </w:rPr>
      </w:pPr>
      <w:r w:rsidRPr="00EF190F">
        <w:rPr>
          <w:rStyle w:val="FootnoteReference"/>
          <w:rFonts w:eastAsia="Calibri"/>
          <w:spacing w:val="-4"/>
          <w:sz w:val="16"/>
          <w:szCs w:val="16"/>
        </w:rPr>
        <w:footnoteRef/>
      </w:r>
      <w:r w:rsidRPr="00EF190F">
        <w:rPr>
          <w:sz w:val="16"/>
          <w:szCs w:val="16"/>
        </w:rPr>
        <w:tab/>
      </w:r>
      <w:r w:rsidRPr="00EF190F">
        <w:rPr>
          <w:i/>
          <w:sz w:val="16"/>
          <w:szCs w:val="16"/>
        </w:rPr>
        <w:t>Cfr. Caso Velásquez Rodríguez Vs. Honduras. Reparaciones y Costas</w:t>
      </w:r>
      <w:r w:rsidRPr="00EF190F">
        <w:rPr>
          <w:sz w:val="16"/>
          <w:szCs w:val="16"/>
        </w:rPr>
        <w:t>. Sentencia de 21 de julio de 1989. Serie C No. 7, párr. 25, y</w:t>
      </w:r>
      <w:r w:rsidRPr="00EF190F">
        <w:rPr>
          <w:b/>
          <w:sz w:val="16"/>
          <w:szCs w:val="16"/>
        </w:rPr>
        <w:t xml:space="preserve"> </w:t>
      </w:r>
      <w:r w:rsidRPr="00EF190F">
        <w:rPr>
          <w:rStyle w:val="Strong"/>
          <w:b w:val="0"/>
          <w:i/>
          <w:color w:val="000000"/>
          <w:sz w:val="16"/>
          <w:szCs w:val="16"/>
          <w:shd w:val="clear" w:color="auto" w:fill="FFFFFF"/>
        </w:rPr>
        <w:t>Caso Herrera Espinoza y otros Vs. Ecuador. Excepciones Preliminares, Fondo, Reparaciones y Costas</w:t>
      </w:r>
      <w:r w:rsidRPr="00EF190F">
        <w:rPr>
          <w:rStyle w:val="Strong"/>
          <w:b w:val="0"/>
          <w:color w:val="000000"/>
          <w:sz w:val="16"/>
          <w:szCs w:val="16"/>
          <w:shd w:val="clear" w:color="auto" w:fill="FFFFFF"/>
        </w:rPr>
        <w:t>. Sentencia de 1 de septiembre de 2016. Serie C No. 316, párr. 210.</w:t>
      </w:r>
    </w:p>
  </w:footnote>
  <w:footnote w:id="328">
    <w:p w14:paraId="608D898D"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 xml:space="preserve">Cfr. </w:t>
      </w:r>
      <w:r w:rsidRPr="00EF190F">
        <w:rPr>
          <w:rStyle w:val="FootnoteTextChar"/>
          <w:rFonts w:eastAsiaTheme="minorHAnsi" w:cstheme="minorHAnsi"/>
          <w:i/>
          <w:spacing w:val="-4"/>
          <w:sz w:val="16"/>
          <w:szCs w:val="16"/>
        </w:rPr>
        <w:t>Caso Ticona Estrada y otros Vs. Bolivia.</w:t>
      </w:r>
      <w:r w:rsidRPr="00EF190F">
        <w:rPr>
          <w:rStyle w:val="FootnoteTextChar"/>
          <w:rFonts w:eastAsiaTheme="minorHAnsi" w:cstheme="minorHAnsi"/>
          <w:spacing w:val="-4"/>
          <w:sz w:val="16"/>
          <w:szCs w:val="16"/>
        </w:rPr>
        <w:t xml:space="preserve"> </w:t>
      </w:r>
      <w:r w:rsidRPr="00EF190F">
        <w:rPr>
          <w:i/>
          <w:spacing w:val="-4"/>
          <w:sz w:val="16"/>
          <w:szCs w:val="16"/>
        </w:rPr>
        <w:t>Fondo, Reparaciones y Costas</w:t>
      </w:r>
      <w:r w:rsidRPr="00EF190F">
        <w:rPr>
          <w:spacing w:val="-4"/>
          <w:sz w:val="16"/>
          <w:szCs w:val="16"/>
        </w:rPr>
        <w:t>. Sentencia de 27 de noviembre de 2008. Serie C No. 191,</w:t>
      </w:r>
      <w:r w:rsidRPr="00EF190F">
        <w:rPr>
          <w:rStyle w:val="FootnoteTextChar"/>
          <w:rFonts w:eastAsiaTheme="minorHAnsi" w:cstheme="minorHAnsi"/>
          <w:spacing w:val="-4"/>
          <w:sz w:val="16"/>
          <w:szCs w:val="16"/>
        </w:rPr>
        <w:t xml:space="preserve"> párr. 110, y </w:t>
      </w:r>
      <w:r w:rsidRPr="00EF190F">
        <w:rPr>
          <w:rStyle w:val="Strong"/>
          <w:b w:val="0"/>
          <w:i/>
          <w:color w:val="000000"/>
          <w:sz w:val="16"/>
          <w:szCs w:val="16"/>
          <w:shd w:val="clear" w:color="auto" w:fill="FFFFFF"/>
        </w:rPr>
        <w:t>Caso Herrera Espinoza y otros Vs. Ecuador</w:t>
      </w:r>
      <w:r w:rsidRPr="00EF190F">
        <w:rPr>
          <w:rStyle w:val="Strong"/>
          <w:b w:val="0"/>
          <w:color w:val="000000"/>
          <w:sz w:val="16"/>
          <w:szCs w:val="16"/>
          <w:shd w:val="clear" w:color="auto" w:fill="FFFFFF"/>
        </w:rPr>
        <w:t>, párr. 211.</w:t>
      </w:r>
    </w:p>
  </w:footnote>
  <w:footnote w:id="329">
    <w:p w14:paraId="30E2E095"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Cfr. Caso Velásquez Rodríguez Vs. Honduras. Reparaciones y Costas</w:t>
      </w:r>
      <w:r w:rsidRPr="00EF190F">
        <w:rPr>
          <w:sz w:val="16"/>
          <w:szCs w:val="16"/>
          <w:lang w:val="es-PR"/>
        </w:rPr>
        <w:t xml:space="preserve">, párrs. </w:t>
      </w:r>
      <w:r w:rsidRPr="00EF190F">
        <w:rPr>
          <w:sz w:val="16"/>
          <w:szCs w:val="16"/>
          <w:lang w:val="es-CR"/>
        </w:rPr>
        <w:t xml:space="preserve">25 a 27, y </w:t>
      </w:r>
      <w:r w:rsidRPr="00EF190F">
        <w:rPr>
          <w:rStyle w:val="Strong"/>
          <w:b w:val="0"/>
          <w:i/>
          <w:color w:val="000000"/>
          <w:sz w:val="16"/>
          <w:szCs w:val="16"/>
          <w:shd w:val="clear" w:color="auto" w:fill="FFFFFF"/>
        </w:rPr>
        <w:t>Caso Herrera Espinoza y otros Vs. Ecuador</w:t>
      </w:r>
      <w:r w:rsidRPr="00EF190F">
        <w:rPr>
          <w:rStyle w:val="Strong"/>
          <w:b w:val="0"/>
          <w:color w:val="000000"/>
          <w:sz w:val="16"/>
          <w:szCs w:val="16"/>
          <w:shd w:val="clear" w:color="auto" w:fill="FFFFFF"/>
        </w:rPr>
        <w:t>, párr. 213.</w:t>
      </w:r>
    </w:p>
  </w:footnote>
  <w:footnote w:id="330">
    <w:p w14:paraId="0ACE7F5C" w14:textId="77777777" w:rsidR="006A0E1C" w:rsidRPr="00EF190F" w:rsidRDefault="006A0E1C" w:rsidP="006A0E1C">
      <w:pPr>
        <w:pStyle w:val="FootnoteText"/>
        <w:tabs>
          <w:tab w:val="left" w:pos="360"/>
        </w:tabs>
        <w:rPr>
          <w:sz w:val="16"/>
          <w:szCs w:val="16"/>
        </w:rPr>
      </w:pPr>
      <w:r w:rsidRPr="00EF190F">
        <w:rPr>
          <w:rStyle w:val="FootnoteReference"/>
          <w:color w:val="000000"/>
          <w:sz w:val="16"/>
          <w:szCs w:val="16"/>
        </w:rPr>
        <w:footnoteRef/>
      </w:r>
      <w:r w:rsidRPr="00EF190F">
        <w:rPr>
          <w:sz w:val="16"/>
          <w:szCs w:val="16"/>
        </w:rPr>
        <w:tab/>
      </w:r>
      <w:r w:rsidRPr="00EF190F">
        <w:rPr>
          <w:i/>
          <w:sz w:val="16"/>
          <w:szCs w:val="16"/>
        </w:rPr>
        <w:t>Cfr.</w:t>
      </w:r>
      <w:r w:rsidRPr="00EF190F">
        <w:rPr>
          <w:b/>
          <w:i/>
          <w:sz w:val="16"/>
          <w:szCs w:val="16"/>
        </w:rPr>
        <w:t xml:space="preserve"> </w:t>
      </w:r>
      <w:r w:rsidRPr="00EF190F">
        <w:rPr>
          <w:rStyle w:val="Strong"/>
          <w:b w:val="0"/>
          <w:i/>
          <w:color w:val="000000"/>
          <w:sz w:val="16"/>
          <w:szCs w:val="16"/>
          <w:shd w:val="clear" w:color="auto" w:fill="FFFFFF"/>
        </w:rPr>
        <w:t>Caso de la Masacre de Las Dos Erres Vs. Guatemala</w:t>
      </w:r>
      <w:r w:rsidRPr="00EF190F">
        <w:rPr>
          <w:i/>
          <w:sz w:val="16"/>
          <w:szCs w:val="16"/>
        </w:rPr>
        <w:t>,</w:t>
      </w:r>
      <w:r w:rsidRPr="00EF190F">
        <w:rPr>
          <w:sz w:val="16"/>
          <w:szCs w:val="16"/>
        </w:rPr>
        <w:t xml:space="preserve"> párr. 226, y</w:t>
      </w:r>
      <w:r w:rsidRPr="00EF190F">
        <w:rPr>
          <w:i/>
          <w:sz w:val="16"/>
          <w:szCs w:val="16"/>
        </w:rPr>
        <w:t xml:space="preserve"> Caso Masacres De El Mozote y Lugares Aledaños Vs. El Salvador</w:t>
      </w:r>
      <w:r w:rsidRPr="00EF190F">
        <w:rPr>
          <w:sz w:val="16"/>
          <w:szCs w:val="16"/>
        </w:rPr>
        <w:t>, párr. 305.</w:t>
      </w:r>
    </w:p>
  </w:footnote>
  <w:footnote w:id="331">
    <w:p w14:paraId="2EF8ADFC" w14:textId="77777777" w:rsidR="006A0E1C" w:rsidRPr="00EF190F" w:rsidRDefault="006A0E1C" w:rsidP="006A0E1C">
      <w:pPr>
        <w:pStyle w:val="FootnoteText"/>
        <w:ind w:right="-58"/>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 Caso de la Masacre de la Rochela Vs. Colombia</w:t>
      </w:r>
      <w:r w:rsidRPr="00EF190F">
        <w:rPr>
          <w:sz w:val="16"/>
          <w:szCs w:val="16"/>
        </w:rPr>
        <w:t xml:space="preserve">. </w:t>
      </w:r>
      <w:r w:rsidRPr="00EF190F">
        <w:rPr>
          <w:i/>
          <w:sz w:val="16"/>
          <w:szCs w:val="16"/>
        </w:rPr>
        <w:t xml:space="preserve">Fondo, Reparaciones y Costas. </w:t>
      </w:r>
      <w:r w:rsidRPr="00EF190F">
        <w:rPr>
          <w:sz w:val="16"/>
          <w:szCs w:val="16"/>
        </w:rPr>
        <w:t xml:space="preserve">Sentencia de 11 de mayo de 2007. Serie C No. 163, párr. 233, y </w:t>
      </w:r>
      <w:r w:rsidRPr="00EF190F">
        <w:rPr>
          <w:rStyle w:val="Strong"/>
          <w:b w:val="0"/>
          <w:i/>
          <w:color w:val="000000"/>
          <w:sz w:val="16"/>
          <w:szCs w:val="16"/>
          <w:shd w:val="clear" w:color="auto" w:fill="FFFFFF"/>
        </w:rPr>
        <w:t>Caso Herrera Espinoza y otros Vs. Ecuador</w:t>
      </w:r>
      <w:r w:rsidRPr="00EF190F">
        <w:rPr>
          <w:rStyle w:val="Strong"/>
          <w:b w:val="0"/>
          <w:color w:val="000000"/>
          <w:sz w:val="16"/>
          <w:szCs w:val="16"/>
          <w:shd w:val="clear" w:color="auto" w:fill="FFFFFF"/>
        </w:rPr>
        <w:t>, párr. 212.</w:t>
      </w:r>
    </w:p>
  </w:footnote>
  <w:footnote w:id="332">
    <w:p w14:paraId="153773EB" w14:textId="77777777" w:rsidR="006A0E1C" w:rsidRPr="00EF190F" w:rsidRDefault="006A0E1C" w:rsidP="006A0E1C">
      <w:pPr>
        <w:pStyle w:val="FootnoteText"/>
        <w:tabs>
          <w:tab w:val="left" w:pos="360"/>
        </w:tabs>
        <w:contextualSpacing/>
        <w:rPr>
          <w:rFonts w:eastAsia="Calibri" w:cs="Calibri"/>
          <w:sz w:val="16"/>
          <w:szCs w:val="16"/>
          <w:lang w:val="es-CR" w:eastAsia="en-US"/>
        </w:rPr>
      </w:pPr>
      <w:r w:rsidRPr="00EF190F">
        <w:rPr>
          <w:rStyle w:val="FootnoteReference"/>
          <w:sz w:val="16"/>
          <w:szCs w:val="16"/>
        </w:rPr>
        <w:footnoteRef/>
      </w:r>
      <w:r w:rsidRPr="00EF190F">
        <w:rPr>
          <w:sz w:val="16"/>
          <w:szCs w:val="16"/>
        </w:rPr>
        <w:t xml:space="preserve"> </w:t>
      </w:r>
      <w:r w:rsidRPr="00EF190F">
        <w:rPr>
          <w:sz w:val="16"/>
          <w:szCs w:val="16"/>
          <w:lang w:val="es-PR"/>
        </w:rPr>
        <w:tab/>
        <w:t xml:space="preserve">Indicaron que los montos de las indemnizaciones “no constituyen un resarcimiento que compense justa y dignamente el daño moral” causado </w:t>
      </w:r>
      <w:r w:rsidRPr="00EF190F">
        <w:rPr>
          <w:rFonts w:eastAsia="Calibri" w:cs="Calibri"/>
          <w:sz w:val="16"/>
          <w:szCs w:val="16"/>
          <w:lang w:val="es-CR" w:eastAsia="en-US"/>
        </w:rPr>
        <w:t>realmente a sus comunidades</w:t>
      </w:r>
      <w:r w:rsidRPr="00EF190F">
        <w:rPr>
          <w:sz w:val="16"/>
          <w:szCs w:val="16"/>
          <w:lang w:val="es-PR"/>
        </w:rPr>
        <w:t xml:space="preserve">; que el proceso para el pago es lento; que hay </w:t>
      </w:r>
      <w:r w:rsidRPr="00EF190F">
        <w:rPr>
          <w:rFonts w:eastAsia="Calibri" w:cs="Calibri"/>
          <w:sz w:val="16"/>
          <w:szCs w:val="16"/>
          <w:lang w:val="es-CR" w:eastAsia="en-US"/>
        </w:rPr>
        <w:t>confusión familiar sobre quién recibe el pago y quién no, lo que genera conflicto internamente entre los grupos</w:t>
      </w:r>
      <w:r w:rsidRPr="00EF190F">
        <w:rPr>
          <w:sz w:val="16"/>
          <w:szCs w:val="16"/>
          <w:lang w:val="es-PR"/>
        </w:rPr>
        <w:t xml:space="preserve"> </w:t>
      </w:r>
      <w:r w:rsidRPr="00EF190F">
        <w:rPr>
          <w:rFonts w:eastAsia="Calibri" w:cs="Calibri"/>
          <w:sz w:val="16"/>
          <w:szCs w:val="16"/>
          <w:lang w:val="es-CR" w:eastAsia="en-US"/>
        </w:rPr>
        <w:t xml:space="preserve">familiares; que se excluye como beneficiarios a los hijos e hijas cuyos padres o madres sufrieron los hechos violatorios; que produjo molestia, “heridas y divisionismo” en las comunidades afectadas el hecho de que integrantes de las PAC recibieron un pago por sus servicios –muchas veces criminales− antes de haber indemnizado a las víctimas; </w:t>
      </w:r>
      <w:r w:rsidRPr="00EF190F">
        <w:rPr>
          <w:sz w:val="16"/>
          <w:szCs w:val="16"/>
          <w:lang w:val="es-PR"/>
        </w:rPr>
        <w:t xml:space="preserve">que víctimas de graves violaciones de sus derechos fueron excluidas del programa por haber pertenecido a las PAC, pese a que la pertenencia a estas en muchos casos era obligatoria; que las “viviendas mejoradas” que se comenzaron a construir en el año 2010 no son culturalmente adecuadas; que los materiales para su construcción fue entregado en la carretera más próxima a las comunidades, generando gastos de transporte, y que algunas familias cuentan con el material, ya deteriorado, sin que hayan construido su hogar debido a que están integradas por mujeres y personas de edad avanzada. </w:t>
      </w:r>
    </w:p>
  </w:footnote>
  <w:footnote w:id="333">
    <w:p w14:paraId="0B66A9E8"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z w:val="16"/>
          <w:szCs w:val="16"/>
          <w:lang w:val="es-CR"/>
        </w:rPr>
        <w:t xml:space="preserve">Convenios y finiquitos de “Pago de Resarcimiento Económico” (expediente de prueba </w:t>
      </w:r>
      <w:r w:rsidRPr="00EF190F">
        <w:rPr>
          <w:sz w:val="16"/>
          <w:szCs w:val="16"/>
        </w:rPr>
        <w:t xml:space="preserve">folios 10194 y 10198, entre otros). Dichos finiquitos indican que las personas que reciben los pagos eximen de toda responsabilidad al PNR y al Estado por las demandas que pudieran plantear otras personas con igual o mejor derecho de ser beneficiarias, lo cual no es equivalente a eximir al Estado de toda responsabilidad por los hechos del caso. </w:t>
      </w:r>
    </w:p>
  </w:footnote>
  <w:footnote w:id="334">
    <w:p w14:paraId="7C90F136"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Convenios y finiquitos de “Pago de Resarcimiento Económico” </w:t>
      </w:r>
      <w:r w:rsidRPr="00EF190F">
        <w:rPr>
          <w:sz w:val="16"/>
          <w:szCs w:val="16"/>
          <w:lang w:val="es-CR"/>
        </w:rPr>
        <w:t>(expediente de prueba</w:t>
      </w:r>
      <w:r w:rsidRPr="00EF190F">
        <w:rPr>
          <w:sz w:val="16"/>
          <w:szCs w:val="16"/>
        </w:rPr>
        <w:t xml:space="preserve"> folios, 10224 y 10588, entre otros).</w:t>
      </w:r>
    </w:p>
  </w:footnote>
  <w:footnote w:id="335">
    <w:p w14:paraId="5F828CD7"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Con la excepción de la entrega de una vivienda a Juana García Depaz y a Rosa García de Paz, respectivamente, así como el dictamen favorable de seis viviendas a favor de los beneficiarios de las siguientes personas: </w:t>
      </w:r>
      <w:r w:rsidRPr="00EF190F">
        <w:rPr>
          <w:color w:val="1E1E1E"/>
          <w:sz w:val="16"/>
          <w:szCs w:val="16"/>
          <w:lang w:val="es-CR"/>
        </w:rPr>
        <w:t>C</w:t>
      </w:r>
      <w:r w:rsidRPr="00EF190F">
        <w:rPr>
          <w:color w:val="373838"/>
          <w:sz w:val="16"/>
          <w:szCs w:val="16"/>
          <w:lang w:val="es-CR"/>
        </w:rPr>
        <w:t>l</w:t>
      </w:r>
      <w:r w:rsidRPr="00EF190F">
        <w:rPr>
          <w:color w:val="1E1E1E"/>
          <w:sz w:val="16"/>
          <w:szCs w:val="16"/>
          <w:lang w:val="es-CR"/>
        </w:rPr>
        <w:t>emente Juáre</w:t>
      </w:r>
      <w:r w:rsidRPr="00EF190F">
        <w:rPr>
          <w:color w:val="373838"/>
          <w:sz w:val="16"/>
          <w:szCs w:val="16"/>
          <w:lang w:val="es-CR"/>
        </w:rPr>
        <w:t xml:space="preserve">z </w:t>
      </w:r>
      <w:r w:rsidRPr="00EF190F">
        <w:rPr>
          <w:color w:val="1E1E1E"/>
          <w:sz w:val="16"/>
          <w:szCs w:val="16"/>
          <w:lang w:val="es-CR"/>
        </w:rPr>
        <w:t>l</w:t>
      </w:r>
      <w:r w:rsidRPr="00EF190F">
        <w:rPr>
          <w:color w:val="373838"/>
          <w:sz w:val="16"/>
          <w:szCs w:val="16"/>
          <w:lang w:val="es-CR"/>
        </w:rPr>
        <w:t>x</w:t>
      </w:r>
      <w:r w:rsidRPr="00EF190F">
        <w:rPr>
          <w:color w:val="1E1E1E"/>
          <w:sz w:val="16"/>
          <w:szCs w:val="16"/>
          <w:lang w:val="es-CR"/>
        </w:rPr>
        <w:t>pancoc, Gregorio Valey, E</w:t>
      </w:r>
      <w:r w:rsidRPr="00EF190F">
        <w:rPr>
          <w:color w:val="373838"/>
          <w:sz w:val="16"/>
          <w:szCs w:val="16"/>
          <w:lang w:val="es-CR"/>
        </w:rPr>
        <w:t>us</w:t>
      </w:r>
      <w:r w:rsidRPr="00EF190F">
        <w:rPr>
          <w:color w:val="1E1E1E"/>
          <w:sz w:val="16"/>
          <w:szCs w:val="16"/>
          <w:lang w:val="es-CR"/>
        </w:rPr>
        <w:t xml:space="preserve">ebio Tahuico Timoteo Sic Cujá, Roberto Galileo Chén, </w:t>
      </w:r>
      <w:r w:rsidRPr="00EF190F">
        <w:rPr>
          <w:color w:val="1E1E1E"/>
          <w:sz w:val="16"/>
          <w:szCs w:val="16"/>
        </w:rPr>
        <w:t>Su</w:t>
      </w:r>
      <w:r w:rsidRPr="00EF190F">
        <w:rPr>
          <w:color w:val="373838"/>
          <w:sz w:val="16"/>
          <w:szCs w:val="16"/>
        </w:rPr>
        <w:t>s</w:t>
      </w:r>
      <w:r w:rsidRPr="00EF190F">
        <w:rPr>
          <w:color w:val="1E1E1E"/>
          <w:sz w:val="16"/>
          <w:szCs w:val="16"/>
        </w:rPr>
        <w:t>ana Valey Osorio</w:t>
      </w:r>
      <w:r w:rsidRPr="00EF190F">
        <w:rPr>
          <w:sz w:val="16"/>
          <w:szCs w:val="16"/>
        </w:rPr>
        <w:t xml:space="preserve"> y </w:t>
      </w:r>
      <w:r w:rsidRPr="00EF190F">
        <w:rPr>
          <w:color w:val="292A29"/>
          <w:sz w:val="16"/>
          <w:szCs w:val="16"/>
        </w:rPr>
        <w:t xml:space="preserve">Gabino </w:t>
      </w:r>
      <w:r w:rsidRPr="00EF190F">
        <w:rPr>
          <w:color w:val="1A1A1A"/>
          <w:sz w:val="16"/>
          <w:szCs w:val="16"/>
        </w:rPr>
        <w:t>Román</w:t>
      </w:r>
      <w:r w:rsidRPr="00EF190F">
        <w:rPr>
          <w:sz w:val="16"/>
          <w:szCs w:val="16"/>
        </w:rPr>
        <w:t xml:space="preserve"> (</w:t>
      </w:r>
      <w:r w:rsidRPr="00EF190F">
        <w:rPr>
          <w:sz w:val="16"/>
          <w:szCs w:val="16"/>
          <w:lang w:val="es-CR"/>
        </w:rPr>
        <w:t>expediente de prueba</w:t>
      </w:r>
      <w:r w:rsidRPr="00EF190F">
        <w:rPr>
          <w:sz w:val="16"/>
          <w:szCs w:val="16"/>
        </w:rPr>
        <w:t>, folios 9903 a 9907, 10596 a 10605).</w:t>
      </w:r>
    </w:p>
  </w:footnote>
  <w:footnote w:id="336">
    <w:p w14:paraId="2E62076C" w14:textId="77777777" w:rsidR="006A0E1C" w:rsidRPr="00EF190F" w:rsidRDefault="006A0E1C" w:rsidP="006A0E1C">
      <w:pPr>
        <w:widowControl/>
        <w:tabs>
          <w:tab w:val="left" w:pos="360"/>
        </w:tabs>
        <w:autoSpaceDE w:val="0"/>
        <w:autoSpaceDN w:val="0"/>
        <w:spacing w:line="240" w:lineRule="auto"/>
        <w:textAlignment w:val="auto"/>
        <w:rPr>
          <w:rFonts w:eastAsia="Calibri"/>
          <w:sz w:val="16"/>
          <w:szCs w:val="16"/>
          <w:lang w:eastAsia="en-US"/>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w:t>
      </w:r>
      <w:r w:rsidRPr="00EF190F">
        <w:rPr>
          <w:rFonts w:eastAsia="Calibri"/>
          <w:sz w:val="16"/>
          <w:szCs w:val="16"/>
          <w:lang w:eastAsia="en-US"/>
        </w:rPr>
        <w:t>Copia de las actas de los pagos realizados a miembros de la aldea Chichupac por parte del Programa Nacional de Resarcimiento</w:t>
      </w:r>
      <w:r w:rsidRPr="00EF190F" w:rsidDel="003D16E8">
        <w:rPr>
          <w:sz w:val="16"/>
          <w:szCs w:val="16"/>
        </w:rPr>
        <w:t xml:space="preserve"> </w:t>
      </w:r>
      <w:r w:rsidRPr="00EF190F">
        <w:rPr>
          <w:sz w:val="16"/>
          <w:szCs w:val="16"/>
        </w:rPr>
        <w:t xml:space="preserve">(expediente de prueba, folios 10193 a 10804). </w:t>
      </w:r>
    </w:p>
  </w:footnote>
  <w:footnote w:id="337">
    <w:p w14:paraId="01C3829F" w14:textId="77777777" w:rsidR="006A0E1C" w:rsidRPr="00EF190F" w:rsidRDefault="006A0E1C" w:rsidP="006A0E1C">
      <w:pPr>
        <w:pStyle w:val="FootnoteText"/>
        <w:tabs>
          <w:tab w:val="left" w:pos="360"/>
        </w:tabs>
        <w:rPr>
          <w:sz w:val="16"/>
          <w:szCs w:val="16"/>
          <w:lang w:val="es-GT"/>
        </w:rPr>
      </w:pPr>
      <w:r w:rsidRPr="00EF190F">
        <w:rPr>
          <w:rStyle w:val="FootnoteReference"/>
          <w:sz w:val="16"/>
          <w:szCs w:val="16"/>
        </w:rPr>
        <w:footnoteRef/>
      </w:r>
      <w:r w:rsidRPr="00EF190F">
        <w:rPr>
          <w:sz w:val="16"/>
          <w:szCs w:val="16"/>
        </w:rPr>
        <w:t xml:space="preserve">  </w:t>
      </w:r>
      <w:r w:rsidRPr="00EF190F">
        <w:rPr>
          <w:sz w:val="16"/>
          <w:szCs w:val="16"/>
        </w:rPr>
        <w:tab/>
        <w:t xml:space="preserve">Al respecto, la Corte advierte que </w:t>
      </w:r>
      <w:r w:rsidRPr="00EF190F">
        <w:rPr>
          <w:sz w:val="16"/>
          <w:szCs w:val="16"/>
          <w:lang w:val="es-GT"/>
        </w:rPr>
        <w:t>el Manual de Criterios Básicos para la Aplicación de las Medidas de Resarcimiento otorgadas por el PNR fue aprobado recién el 7 de enero de 2015, es decir, con posterioridad a la fecha en que fueron expedidos los finiquitos remitidos (expediente de prueba, folios 9952 a 9954).</w:t>
      </w:r>
    </w:p>
  </w:footnote>
  <w:footnote w:id="338">
    <w:p w14:paraId="4476ACB5"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ab/>
        <w:t xml:space="preserve">En este sentido, en el caso </w:t>
      </w:r>
      <w:r w:rsidRPr="00EF190F">
        <w:rPr>
          <w:i/>
          <w:sz w:val="16"/>
          <w:szCs w:val="16"/>
        </w:rPr>
        <w:t>Masacres de Río Negro Vs. Guatemala</w:t>
      </w:r>
      <w:r w:rsidRPr="00EF190F">
        <w:rPr>
          <w:rFonts w:cs="Helvetica"/>
          <w:sz w:val="16"/>
          <w:szCs w:val="16"/>
        </w:rPr>
        <w:t>,</w:t>
      </w:r>
      <w:r w:rsidRPr="00EF190F">
        <w:rPr>
          <w:sz w:val="16"/>
          <w:szCs w:val="16"/>
        </w:rPr>
        <w:t xml:space="preserve"> este Tribunal observó que en un dictamen del PNR relacionado con dicho caso se establecía “un monto máximo de resarcimiento económico de cuarenta y cuatro mil quetzales en los casos en que el núcleo familiar tenga más de una víctima fatal de ejecución extrajudicial, desaparición forzada o muerte en masacre; este monto también se otorgará a las personas sobrevivientes de torturas o violación sexual cuando además de ellas mismas tengan otra u otras víctimas fatales en un mismo núcleo familiar”. </w:t>
      </w:r>
      <w:r w:rsidRPr="00EF190F">
        <w:rPr>
          <w:i/>
          <w:sz w:val="16"/>
          <w:szCs w:val="16"/>
        </w:rPr>
        <w:t xml:space="preserve">Cfr. Caso Masacres de </w:t>
      </w:r>
      <w:r w:rsidRPr="00EF190F">
        <w:rPr>
          <w:i/>
          <w:sz w:val="16"/>
          <w:szCs w:val="16"/>
          <w:lang w:val="es-CR"/>
        </w:rPr>
        <w:t>Río Negro Vs. Guatemala,</w:t>
      </w:r>
      <w:r w:rsidRPr="00EF190F">
        <w:rPr>
          <w:sz w:val="16"/>
          <w:szCs w:val="16"/>
          <w:lang w:val="es-CR"/>
        </w:rPr>
        <w:t xml:space="preserve"> </w:t>
      </w:r>
      <w:r w:rsidRPr="00EF190F">
        <w:rPr>
          <w:rFonts w:cs="Helvetica"/>
          <w:sz w:val="16"/>
          <w:szCs w:val="16"/>
        </w:rPr>
        <w:t>párr. 302.</w:t>
      </w:r>
    </w:p>
  </w:footnote>
  <w:footnote w:id="339">
    <w:p w14:paraId="17CC7646" w14:textId="77777777" w:rsidR="006A0E1C" w:rsidRPr="00EF190F" w:rsidRDefault="006A0E1C" w:rsidP="006A0E1C">
      <w:pPr>
        <w:pStyle w:val="FootnoteText"/>
        <w:tabs>
          <w:tab w:val="left" w:pos="360"/>
        </w:tabs>
        <w:contextualSpacing/>
        <w:rPr>
          <w:sz w:val="16"/>
          <w:szCs w:val="16"/>
          <w:lang w:val="es-GT"/>
        </w:rPr>
      </w:pPr>
      <w:r w:rsidRPr="00EF190F">
        <w:rPr>
          <w:rStyle w:val="FootnoteReference"/>
          <w:sz w:val="16"/>
          <w:szCs w:val="16"/>
        </w:rPr>
        <w:footnoteRef/>
      </w:r>
      <w:r w:rsidRPr="00EF190F">
        <w:rPr>
          <w:sz w:val="16"/>
          <w:szCs w:val="16"/>
        </w:rPr>
        <w:t xml:space="preserve"> </w:t>
      </w:r>
      <w:r w:rsidRPr="00EF190F">
        <w:rPr>
          <w:sz w:val="16"/>
          <w:szCs w:val="16"/>
          <w:lang w:val="es-GT"/>
        </w:rPr>
        <w:tab/>
      </w:r>
      <w:r w:rsidRPr="00EF190F">
        <w:rPr>
          <w:i/>
          <w:sz w:val="16"/>
          <w:szCs w:val="16"/>
          <w:lang w:val="es-CR"/>
        </w:rPr>
        <w:t xml:space="preserve">Cfr. Resolución de Supervisión de Cumplimiento de 12 Casos Guatemaltecos, </w:t>
      </w:r>
      <w:r w:rsidRPr="00EF190F">
        <w:rPr>
          <w:sz w:val="16"/>
          <w:szCs w:val="16"/>
          <w:lang w:val="es-CR"/>
        </w:rPr>
        <w:t>considerando 167;</w:t>
      </w:r>
      <w:r w:rsidRPr="00EF190F">
        <w:rPr>
          <w:i/>
          <w:sz w:val="16"/>
          <w:szCs w:val="16"/>
          <w:lang w:val="es-CR"/>
        </w:rPr>
        <w:t xml:space="preserve"> </w:t>
      </w:r>
      <w:r w:rsidRPr="00EF190F">
        <w:rPr>
          <w:rStyle w:val="Strong"/>
          <w:b w:val="0"/>
          <w:i/>
          <w:color w:val="000000"/>
          <w:sz w:val="16"/>
          <w:szCs w:val="16"/>
          <w:shd w:val="clear" w:color="auto" w:fill="FFFFFF"/>
          <w:lang w:val="es-CR"/>
        </w:rPr>
        <w:t xml:space="preserve">Caso de la Masacre de las Dos Erres Vs. Guatemala, </w:t>
      </w:r>
      <w:r w:rsidRPr="00EF190F">
        <w:rPr>
          <w:rStyle w:val="Strong"/>
          <w:b w:val="0"/>
          <w:color w:val="000000"/>
          <w:sz w:val="16"/>
          <w:szCs w:val="16"/>
          <w:shd w:val="clear" w:color="auto" w:fill="FFFFFF"/>
          <w:lang w:val="es-CR"/>
        </w:rPr>
        <w:t xml:space="preserve">párr. 233; </w:t>
      </w:r>
      <w:r w:rsidRPr="00EF190F">
        <w:rPr>
          <w:rStyle w:val="Strong"/>
          <w:b w:val="0"/>
          <w:i/>
          <w:color w:val="000000"/>
          <w:sz w:val="16"/>
          <w:szCs w:val="16"/>
          <w:shd w:val="clear" w:color="auto" w:fill="FFFFFF"/>
          <w:lang w:val="es-CR"/>
        </w:rPr>
        <w:t xml:space="preserve">Caso Masacres de Río Negro Vs. Guatemala, </w:t>
      </w:r>
      <w:r w:rsidRPr="00EF190F">
        <w:rPr>
          <w:rStyle w:val="Strong"/>
          <w:b w:val="0"/>
          <w:color w:val="000000"/>
          <w:sz w:val="16"/>
          <w:szCs w:val="16"/>
          <w:shd w:val="clear" w:color="auto" w:fill="FFFFFF"/>
          <w:lang w:val="es-CR"/>
        </w:rPr>
        <w:t>párr. 257;</w:t>
      </w:r>
      <w:r w:rsidRPr="00EF190F">
        <w:rPr>
          <w:rStyle w:val="FootnoteReference"/>
          <w:b/>
          <w:color w:val="000000"/>
          <w:sz w:val="16"/>
          <w:szCs w:val="16"/>
          <w:shd w:val="clear" w:color="auto" w:fill="FFFFFF"/>
          <w:lang w:val="es-CR"/>
        </w:rPr>
        <w:t xml:space="preserve"> </w:t>
      </w:r>
      <w:r w:rsidRPr="00EF190F">
        <w:rPr>
          <w:rStyle w:val="Strong"/>
          <w:b w:val="0"/>
          <w:i/>
          <w:color w:val="000000"/>
          <w:sz w:val="16"/>
          <w:szCs w:val="16"/>
          <w:shd w:val="clear" w:color="auto" w:fill="FFFFFF"/>
          <w:lang w:val="es-CR"/>
        </w:rPr>
        <w:t>Caso Gudiel Álvarez y otros ("Diario Militar") Vs. Guatemala</w:t>
      </w:r>
      <w:r w:rsidRPr="00EF190F">
        <w:rPr>
          <w:rStyle w:val="Strong"/>
          <w:b w:val="0"/>
          <w:color w:val="000000"/>
          <w:sz w:val="16"/>
          <w:szCs w:val="16"/>
          <w:shd w:val="clear" w:color="auto" w:fill="FFFFFF"/>
          <w:lang w:val="es-CR"/>
        </w:rPr>
        <w:t xml:space="preserve">, párr. 327; </w:t>
      </w:r>
      <w:r w:rsidRPr="00EF190F">
        <w:rPr>
          <w:rStyle w:val="Strong"/>
          <w:b w:val="0"/>
          <w:i/>
          <w:color w:val="000000"/>
          <w:sz w:val="16"/>
          <w:szCs w:val="16"/>
          <w:shd w:val="clear" w:color="auto" w:fill="FFFFFF"/>
          <w:lang w:val="es-CR"/>
        </w:rPr>
        <w:t>Caso García y Familiares Vs. Guatemala</w:t>
      </w:r>
      <w:r w:rsidRPr="00EF190F">
        <w:rPr>
          <w:rStyle w:val="Strong"/>
          <w:b w:val="0"/>
          <w:color w:val="000000"/>
          <w:sz w:val="16"/>
          <w:szCs w:val="16"/>
          <w:shd w:val="clear" w:color="auto" w:fill="FFFFFF"/>
          <w:lang w:val="es-CR"/>
        </w:rPr>
        <w:t>, párr. 196, y</w:t>
      </w:r>
      <w:r w:rsidRPr="00EF190F">
        <w:rPr>
          <w:b/>
          <w:i/>
          <w:sz w:val="16"/>
          <w:szCs w:val="16"/>
          <w:lang w:val="es-CR"/>
        </w:rPr>
        <w:t xml:space="preserve"> </w:t>
      </w:r>
      <w:r w:rsidRPr="00EF190F">
        <w:rPr>
          <w:rStyle w:val="Strong"/>
          <w:b w:val="0"/>
          <w:i/>
          <w:color w:val="000000"/>
          <w:sz w:val="16"/>
          <w:szCs w:val="16"/>
          <w:shd w:val="clear" w:color="auto" w:fill="FFFFFF"/>
          <w:lang w:val="es-CR"/>
        </w:rPr>
        <w:t>Caso Defensor de Derechos Humanos y otros Vs. Guatemala</w:t>
      </w:r>
      <w:r w:rsidRPr="00EF190F">
        <w:rPr>
          <w:rStyle w:val="Strong"/>
          <w:b w:val="0"/>
          <w:color w:val="000000"/>
          <w:sz w:val="16"/>
          <w:szCs w:val="16"/>
          <w:shd w:val="clear" w:color="auto" w:fill="FFFFFF"/>
          <w:lang w:val="es-CR"/>
        </w:rPr>
        <w:t>, párr. 252.</w:t>
      </w:r>
    </w:p>
  </w:footnote>
  <w:footnote w:id="340">
    <w:p w14:paraId="19E20FBB" w14:textId="77777777" w:rsidR="006A0E1C" w:rsidRPr="00EF190F" w:rsidRDefault="006A0E1C" w:rsidP="006A0E1C">
      <w:pPr>
        <w:tabs>
          <w:tab w:val="left" w:pos="360"/>
        </w:tabs>
        <w:autoSpaceDE w:val="0"/>
        <w:autoSpaceDN w:val="0"/>
        <w:spacing w:line="240" w:lineRule="auto"/>
        <w:contextualSpacing/>
        <w:rPr>
          <w:sz w:val="16"/>
          <w:szCs w:val="16"/>
        </w:rPr>
      </w:pPr>
      <w:r w:rsidRPr="00EF190F">
        <w:rPr>
          <w:rStyle w:val="FootnoteReference"/>
          <w:sz w:val="16"/>
          <w:szCs w:val="16"/>
        </w:rPr>
        <w:footnoteRef/>
      </w:r>
      <w:r w:rsidRPr="00EF190F">
        <w:rPr>
          <w:sz w:val="16"/>
          <w:szCs w:val="16"/>
        </w:rPr>
        <w:tab/>
      </w:r>
      <w:r w:rsidRPr="00EF190F">
        <w:rPr>
          <w:i/>
          <w:iCs/>
          <w:sz w:val="16"/>
          <w:szCs w:val="16"/>
        </w:rPr>
        <w:t xml:space="preserve">Cfr. </w:t>
      </w:r>
      <w:r w:rsidRPr="00EF190F">
        <w:rPr>
          <w:i/>
          <w:sz w:val="16"/>
          <w:szCs w:val="16"/>
        </w:rPr>
        <w:t xml:space="preserve">Caso del Caracazo Vs. Venezuela. Reparaciones y Costas. </w:t>
      </w:r>
      <w:r w:rsidRPr="00EF190F">
        <w:rPr>
          <w:sz w:val="16"/>
          <w:szCs w:val="16"/>
        </w:rPr>
        <w:t>Sentencia de 29 de agosto de 2002. Serie C No. 95</w:t>
      </w:r>
      <w:r w:rsidRPr="00EF190F">
        <w:rPr>
          <w:i/>
          <w:sz w:val="16"/>
          <w:szCs w:val="16"/>
        </w:rPr>
        <w:t xml:space="preserve">, </w:t>
      </w:r>
      <w:r w:rsidRPr="00EF190F">
        <w:rPr>
          <w:sz w:val="16"/>
          <w:szCs w:val="16"/>
          <w:lang w:val="es-PR"/>
        </w:rPr>
        <w:t>párr. 118,</w:t>
      </w:r>
      <w:r w:rsidRPr="00EF190F">
        <w:rPr>
          <w:sz w:val="16"/>
          <w:szCs w:val="16"/>
        </w:rPr>
        <w:t xml:space="preserve"> y </w:t>
      </w:r>
      <w:r w:rsidRPr="00EF190F">
        <w:rPr>
          <w:rStyle w:val="Strong"/>
          <w:b w:val="0"/>
          <w:i/>
          <w:sz w:val="16"/>
          <w:szCs w:val="16"/>
          <w:shd w:val="clear" w:color="auto" w:fill="FFFFFF"/>
        </w:rPr>
        <w:t>Caso Tenorio Roca y Otros Vs. Perú</w:t>
      </w:r>
      <w:r w:rsidRPr="00EF190F">
        <w:rPr>
          <w:rStyle w:val="Strong"/>
          <w:b w:val="0"/>
          <w:sz w:val="16"/>
          <w:szCs w:val="16"/>
          <w:shd w:val="clear" w:color="auto" w:fill="FFFFFF"/>
        </w:rPr>
        <w:t>, párr. 269</w:t>
      </w:r>
      <w:r w:rsidRPr="00EF190F">
        <w:rPr>
          <w:sz w:val="16"/>
          <w:szCs w:val="16"/>
        </w:rPr>
        <w:t>.</w:t>
      </w:r>
    </w:p>
  </w:footnote>
  <w:footnote w:id="341">
    <w:p w14:paraId="10824A89" w14:textId="77777777" w:rsidR="006A0E1C" w:rsidRPr="00EF190F" w:rsidRDefault="006A0E1C" w:rsidP="006A0E1C">
      <w:pPr>
        <w:pStyle w:val="FootnoteText"/>
        <w:tabs>
          <w:tab w:val="left" w:pos="360"/>
        </w:tabs>
        <w:contextualSpacing/>
        <w:rPr>
          <w:sz w:val="16"/>
          <w:szCs w:val="16"/>
        </w:rPr>
      </w:pPr>
      <w:r w:rsidRPr="00EF190F">
        <w:rPr>
          <w:rStyle w:val="FootnoteReference"/>
          <w:color w:val="000000"/>
          <w:sz w:val="16"/>
          <w:szCs w:val="16"/>
        </w:rPr>
        <w:footnoteRef/>
      </w:r>
      <w:r w:rsidRPr="00EF190F">
        <w:rPr>
          <w:sz w:val="16"/>
          <w:szCs w:val="16"/>
        </w:rPr>
        <w:tab/>
      </w:r>
      <w:r w:rsidRPr="00EF190F">
        <w:rPr>
          <w:i/>
          <w:sz w:val="16"/>
          <w:szCs w:val="16"/>
        </w:rPr>
        <w:t xml:space="preserve">Cfr. Caso </w:t>
      </w:r>
      <w:r w:rsidRPr="00EF190F">
        <w:rPr>
          <w:i/>
          <w:iCs/>
          <w:sz w:val="16"/>
          <w:szCs w:val="16"/>
        </w:rPr>
        <w:t>De L</w:t>
      </w:r>
      <w:r w:rsidRPr="00EF190F">
        <w:rPr>
          <w:i/>
          <w:sz w:val="16"/>
          <w:szCs w:val="16"/>
        </w:rPr>
        <w:t>a Masacre de Las Dos Erres Vs. Guatemala</w:t>
      </w:r>
      <w:r w:rsidRPr="00EF190F">
        <w:rPr>
          <w:iCs/>
          <w:sz w:val="16"/>
          <w:szCs w:val="16"/>
        </w:rPr>
        <w:t>,</w:t>
      </w:r>
      <w:r w:rsidRPr="00EF190F">
        <w:rPr>
          <w:i/>
          <w:iCs/>
          <w:sz w:val="16"/>
          <w:szCs w:val="16"/>
        </w:rPr>
        <w:t xml:space="preserve"> </w:t>
      </w:r>
      <w:r w:rsidRPr="00EF190F">
        <w:rPr>
          <w:iCs/>
          <w:sz w:val="16"/>
          <w:szCs w:val="16"/>
        </w:rPr>
        <w:t xml:space="preserve">párr. 232, </w:t>
      </w:r>
      <w:r w:rsidRPr="00EF190F">
        <w:rPr>
          <w:sz w:val="16"/>
          <w:szCs w:val="16"/>
        </w:rPr>
        <w:t xml:space="preserve">y </w:t>
      </w:r>
      <w:r w:rsidRPr="00EF190F">
        <w:rPr>
          <w:i/>
          <w:sz w:val="16"/>
          <w:szCs w:val="16"/>
        </w:rPr>
        <w:t>Caso Masacres de Rio Negro Vs. Guatemala</w:t>
      </w:r>
      <w:r w:rsidRPr="00EF190F">
        <w:rPr>
          <w:sz w:val="16"/>
          <w:szCs w:val="16"/>
        </w:rPr>
        <w:t>, párr. 259.</w:t>
      </w:r>
    </w:p>
  </w:footnote>
  <w:footnote w:id="342">
    <w:p w14:paraId="717215D3" w14:textId="77777777" w:rsidR="006A0E1C" w:rsidRPr="00EF190F" w:rsidRDefault="006A0E1C" w:rsidP="006A0E1C">
      <w:pPr>
        <w:pStyle w:val="FootnoteText"/>
        <w:tabs>
          <w:tab w:val="left" w:pos="360"/>
        </w:tabs>
        <w:contextualSpacing/>
        <w:rPr>
          <w:sz w:val="16"/>
          <w:szCs w:val="16"/>
          <w:lang w:val="es-MX"/>
        </w:rPr>
      </w:pPr>
      <w:r w:rsidRPr="00EF190F">
        <w:rPr>
          <w:rStyle w:val="FootnoteReference"/>
          <w:sz w:val="16"/>
          <w:szCs w:val="16"/>
        </w:rPr>
        <w:footnoteRef/>
      </w:r>
      <w:r w:rsidRPr="00EF190F">
        <w:rPr>
          <w:sz w:val="16"/>
          <w:szCs w:val="16"/>
        </w:rPr>
        <w:t xml:space="preserve"> </w:t>
      </w:r>
      <w:r w:rsidRPr="00EF190F">
        <w:rPr>
          <w:sz w:val="16"/>
          <w:szCs w:val="16"/>
          <w:lang w:val="es-MX"/>
        </w:rPr>
        <w:tab/>
      </w:r>
      <w:r w:rsidRPr="00EF190F">
        <w:rPr>
          <w:i/>
          <w:sz w:val="16"/>
          <w:szCs w:val="16"/>
          <w:lang w:val="es-MX"/>
        </w:rPr>
        <w:t>Cfr.</w:t>
      </w:r>
      <w:r w:rsidRPr="00EF190F">
        <w:rPr>
          <w:sz w:val="16"/>
          <w:szCs w:val="16"/>
          <w:lang w:val="es-MX"/>
        </w:rPr>
        <w:t xml:space="preserve"> </w:t>
      </w:r>
      <w:r w:rsidRPr="00EF190F">
        <w:rPr>
          <w:i/>
          <w:sz w:val="16"/>
          <w:szCs w:val="16"/>
        </w:rPr>
        <w:t>Caso de la “Panel Blanca” (Paniagua Morales y otros) Vs. Guatemala. Fondo</w:t>
      </w:r>
      <w:r w:rsidRPr="00EF190F">
        <w:rPr>
          <w:sz w:val="16"/>
          <w:szCs w:val="16"/>
        </w:rPr>
        <w:t xml:space="preserve">. Sentencia de 8 de marzo de 1998. Serie C No. 37, párr. 173, y </w:t>
      </w:r>
      <w:r w:rsidRPr="00EF190F">
        <w:rPr>
          <w:i/>
          <w:sz w:val="16"/>
          <w:szCs w:val="16"/>
        </w:rPr>
        <w:t>Caso Masacres de Río Negro Vs. Guatemala</w:t>
      </w:r>
      <w:r w:rsidRPr="00EF190F">
        <w:rPr>
          <w:sz w:val="16"/>
          <w:szCs w:val="16"/>
        </w:rPr>
        <w:t>, párr. 261.</w:t>
      </w:r>
    </w:p>
  </w:footnote>
  <w:footnote w:id="343">
    <w:p w14:paraId="40BC385D" w14:textId="77777777" w:rsidR="006A0E1C" w:rsidRPr="00EF190F" w:rsidRDefault="006A0E1C" w:rsidP="006A0E1C">
      <w:pPr>
        <w:pStyle w:val="FootnoteText"/>
        <w:tabs>
          <w:tab w:val="left" w:pos="360"/>
        </w:tabs>
        <w:contextualSpacing/>
        <w:rPr>
          <w:sz w:val="16"/>
          <w:szCs w:val="16"/>
        </w:rPr>
      </w:pPr>
      <w:r w:rsidRPr="00EF190F">
        <w:rPr>
          <w:rStyle w:val="FootnoteReference"/>
          <w:color w:val="000000"/>
          <w:sz w:val="16"/>
          <w:szCs w:val="16"/>
        </w:rPr>
        <w:footnoteRef/>
      </w:r>
      <w:r w:rsidRPr="00EF190F">
        <w:rPr>
          <w:sz w:val="16"/>
          <w:szCs w:val="16"/>
        </w:rPr>
        <w:tab/>
      </w:r>
      <w:r w:rsidRPr="00EF190F">
        <w:rPr>
          <w:i/>
          <w:sz w:val="16"/>
          <w:szCs w:val="16"/>
        </w:rPr>
        <w:t>Cfr. Caso Velásquez Rodríguez Vs. Honduras</w:t>
      </w:r>
      <w:r w:rsidRPr="00EF190F">
        <w:rPr>
          <w:sz w:val="16"/>
          <w:szCs w:val="16"/>
        </w:rPr>
        <w:t>.</w:t>
      </w:r>
      <w:r w:rsidRPr="00EF190F">
        <w:rPr>
          <w:i/>
          <w:sz w:val="16"/>
          <w:szCs w:val="16"/>
        </w:rPr>
        <w:t xml:space="preserve"> Fondo</w:t>
      </w:r>
      <w:r w:rsidRPr="00EF190F">
        <w:rPr>
          <w:sz w:val="16"/>
          <w:szCs w:val="16"/>
        </w:rPr>
        <w:t>,</w:t>
      </w:r>
      <w:r w:rsidRPr="00EF190F">
        <w:rPr>
          <w:i/>
          <w:sz w:val="16"/>
          <w:szCs w:val="16"/>
        </w:rPr>
        <w:t xml:space="preserve"> </w:t>
      </w:r>
      <w:r w:rsidRPr="00EF190F">
        <w:rPr>
          <w:sz w:val="16"/>
          <w:szCs w:val="16"/>
        </w:rPr>
        <w:t xml:space="preserve">párr. 166, y </w:t>
      </w:r>
      <w:r w:rsidRPr="00EF190F">
        <w:rPr>
          <w:i/>
          <w:sz w:val="16"/>
          <w:szCs w:val="16"/>
        </w:rPr>
        <w:t>Caso Masacres de Río Negro Vs. Guatemala</w:t>
      </w:r>
      <w:r w:rsidRPr="00EF190F">
        <w:rPr>
          <w:sz w:val="16"/>
          <w:szCs w:val="16"/>
        </w:rPr>
        <w:t>, párr. 261.</w:t>
      </w:r>
    </w:p>
  </w:footnote>
  <w:footnote w:id="344">
    <w:p w14:paraId="0FCB133E" w14:textId="77777777" w:rsidR="006A0E1C" w:rsidRPr="00EF190F" w:rsidRDefault="006A0E1C" w:rsidP="006A0E1C">
      <w:pPr>
        <w:tabs>
          <w:tab w:val="left" w:pos="360"/>
        </w:tabs>
        <w:spacing w:line="240" w:lineRule="auto"/>
        <w:contextualSpacing/>
        <w:rPr>
          <w:sz w:val="16"/>
          <w:szCs w:val="16"/>
        </w:rPr>
      </w:pPr>
      <w:r w:rsidRPr="00EF190F">
        <w:rPr>
          <w:rStyle w:val="FootnoteReference"/>
          <w:sz w:val="16"/>
          <w:szCs w:val="16"/>
        </w:rPr>
        <w:footnoteRef/>
      </w:r>
      <w:r w:rsidRPr="00EF190F">
        <w:rPr>
          <w:sz w:val="16"/>
          <w:szCs w:val="16"/>
          <w:lang w:val="es-CL"/>
        </w:rPr>
        <w:tab/>
      </w:r>
      <w:r w:rsidRPr="00EF190F">
        <w:rPr>
          <w:i/>
          <w:sz w:val="16"/>
          <w:szCs w:val="16"/>
          <w:lang w:val="es-CL"/>
        </w:rPr>
        <w:t xml:space="preserve">Cfr. </w:t>
      </w:r>
      <w:r w:rsidRPr="00EF190F">
        <w:rPr>
          <w:i/>
          <w:sz w:val="16"/>
          <w:szCs w:val="16"/>
        </w:rPr>
        <w:t xml:space="preserve">Caso Almonacid Arellano y otros Vs. Chile, </w:t>
      </w:r>
      <w:r w:rsidRPr="00EF190F">
        <w:rPr>
          <w:iCs/>
          <w:sz w:val="16"/>
          <w:szCs w:val="16"/>
        </w:rPr>
        <w:t xml:space="preserve">párr. 124, </w:t>
      </w:r>
      <w:r w:rsidRPr="00EF190F">
        <w:rPr>
          <w:color w:val="000000"/>
          <w:sz w:val="16"/>
          <w:szCs w:val="16"/>
        </w:rPr>
        <w:t xml:space="preserve">y </w:t>
      </w:r>
      <w:r w:rsidRPr="00EF190F">
        <w:rPr>
          <w:i/>
          <w:sz w:val="16"/>
          <w:szCs w:val="16"/>
        </w:rPr>
        <w:t>Caso Masacres de Río Negro</w:t>
      </w:r>
      <w:r w:rsidRPr="00EF190F">
        <w:rPr>
          <w:sz w:val="16"/>
          <w:szCs w:val="16"/>
        </w:rPr>
        <w:t xml:space="preserve"> </w:t>
      </w:r>
      <w:r w:rsidRPr="00EF190F">
        <w:rPr>
          <w:i/>
          <w:sz w:val="16"/>
          <w:szCs w:val="16"/>
        </w:rPr>
        <w:t>Vs. Guatemala</w:t>
      </w:r>
      <w:r w:rsidRPr="00EF190F">
        <w:rPr>
          <w:sz w:val="16"/>
          <w:szCs w:val="16"/>
        </w:rPr>
        <w:t>, párr. 262.</w:t>
      </w:r>
    </w:p>
  </w:footnote>
  <w:footnote w:id="345">
    <w:p w14:paraId="7CADE1A0" w14:textId="77777777" w:rsidR="006A0E1C" w:rsidRPr="00EF190F" w:rsidRDefault="006A0E1C" w:rsidP="006A0E1C">
      <w:pPr>
        <w:pStyle w:val="EndnoteText"/>
        <w:widowControl w:val="0"/>
        <w:tabs>
          <w:tab w:val="left" w:pos="-709"/>
          <w:tab w:val="left" w:pos="0"/>
          <w:tab w:val="left" w:pos="360"/>
          <w:tab w:val="left" w:pos="1440"/>
          <w:tab w:val="left" w:pos="2880"/>
          <w:tab w:val="left" w:pos="3600"/>
          <w:tab w:val="left" w:pos="4320"/>
          <w:tab w:val="left" w:pos="5760"/>
          <w:tab w:val="left" w:pos="6480"/>
          <w:tab w:val="left" w:pos="7200"/>
          <w:tab w:val="left" w:pos="7920"/>
        </w:tabs>
        <w:autoSpaceDE w:val="0"/>
        <w:autoSpaceDN w:val="0"/>
        <w:adjustRightInd w:val="0"/>
        <w:contextualSpacing/>
        <w:jc w:val="both"/>
        <w:rPr>
          <w:rFonts w:ascii="Verdana" w:hAnsi="Verdana" w:cs="Verdana"/>
          <w:sz w:val="16"/>
          <w:szCs w:val="16"/>
          <w:lang w:val="es-CR"/>
        </w:rPr>
      </w:pPr>
      <w:r w:rsidRPr="00EF190F">
        <w:rPr>
          <w:rStyle w:val="FootnoteReference"/>
          <w:rFonts w:ascii="Verdana" w:hAnsi="Verdana"/>
          <w:sz w:val="16"/>
          <w:szCs w:val="16"/>
        </w:rPr>
        <w:footnoteRef/>
      </w:r>
      <w:r w:rsidRPr="00EF190F">
        <w:rPr>
          <w:rFonts w:ascii="Verdana" w:hAnsi="Verdana"/>
          <w:sz w:val="16"/>
          <w:szCs w:val="16"/>
          <w:lang w:val="es-GT"/>
        </w:rPr>
        <w:t xml:space="preserve"> </w:t>
      </w:r>
      <w:r w:rsidRPr="00EF190F">
        <w:rPr>
          <w:rFonts w:ascii="Verdana" w:hAnsi="Verdana"/>
          <w:sz w:val="16"/>
          <w:szCs w:val="16"/>
          <w:lang w:val="es-GT"/>
        </w:rPr>
        <w:tab/>
      </w:r>
      <w:r w:rsidRPr="00EF190F">
        <w:rPr>
          <w:rFonts w:ascii="Verdana" w:eastAsia="MS Mincho" w:hAnsi="Verdana"/>
          <w:sz w:val="16"/>
          <w:szCs w:val="16"/>
          <w:lang w:val="es-CR"/>
        </w:rPr>
        <w:t xml:space="preserve">De forma extemporánea, en la audiencia pública solicitaron a la Corte establecer </w:t>
      </w:r>
      <w:r w:rsidRPr="00EF190F">
        <w:rPr>
          <w:rFonts w:ascii="Verdana" w:hAnsi="Verdana"/>
          <w:sz w:val="16"/>
          <w:szCs w:val="16"/>
          <w:lang w:val="es-GT"/>
        </w:rPr>
        <w:t>la obligación del Estado de buscar, identificar y determinar la forma de muerte y entregar a los familiares de las víctimas de desaparición forzada los restos que se vayan localizando e identificando.</w:t>
      </w:r>
      <w:r w:rsidRPr="00EF190F">
        <w:rPr>
          <w:rFonts w:ascii="Verdana" w:eastAsia="MS Mincho" w:hAnsi="Verdana"/>
          <w:sz w:val="16"/>
          <w:szCs w:val="16"/>
          <w:lang w:val="es-CR"/>
        </w:rPr>
        <w:t xml:space="preserve"> En</w:t>
      </w:r>
      <w:r w:rsidRPr="00EF190F">
        <w:rPr>
          <w:rFonts w:ascii="Verdana" w:eastAsia="MS Mincho" w:hAnsi="Verdana"/>
          <w:b/>
          <w:sz w:val="16"/>
          <w:szCs w:val="16"/>
          <w:lang w:val="es-CR"/>
        </w:rPr>
        <w:t xml:space="preserve"> </w:t>
      </w:r>
      <w:r w:rsidRPr="00EF190F">
        <w:rPr>
          <w:rFonts w:ascii="Verdana" w:eastAsia="MS Mincho" w:hAnsi="Verdana"/>
          <w:sz w:val="16"/>
          <w:szCs w:val="16"/>
          <w:lang w:val="es-CR"/>
        </w:rPr>
        <w:t xml:space="preserve">sus alegatos finales escritos, solicitaron que se ordene al Estado conducir </w:t>
      </w:r>
      <w:r w:rsidRPr="00EF190F">
        <w:rPr>
          <w:rFonts w:ascii="Verdana" w:hAnsi="Verdana" w:cs="Verdana"/>
          <w:sz w:val="16"/>
          <w:szCs w:val="16"/>
          <w:lang w:val="es-CR"/>
        </w:rPr>
        <w:t xml:space="preserve">una investigación seria, encaminada a determinar el paradero de las víctimas desaparecidas y encontrar los restos mortales de las personas ejecutadas, así como proceder a su adecuada y certera identificación y entrega a sus familiares.  </w:t>
      </w:r>
    </w:p>
  </w:footnote>
  <w:footnote w:id="346">
    <w:p w14:paraId="35B5A87E"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sz w:val="16"/>
          <w:szCs w:val="16"/>
          <w:lang w:val="es-CR"/>
        </w:rPr>
        <w:t xml:space="preserve">Según el Estado, el convenio tiene el </w:t>
      </w:r>
      <w:r w:rsidRPr="00EF190F">
        <w:rPr>
          <w:rFonts w:eastAsia="MS Mincho" w:cs="Times"/>
          <w:sz w:val="16"/>
          <w:szCs w:val="16"/>
          <w:lang w:val="es-CR"/>
        </w:rPr>
        <w:t>objetivo</w:t>
      </w:r>
      <w:r w:rsidRPr="00EF190F">
        <w:rPr>
          <w:sz w:val="16"/>
          <w:szCs w:val="16"/>
          <w:lang w:val="es-CR"/>
        </w:rPr>
        <w:t xml:space="preserve"> de “establecer lineamientos generales de cooperación entre ambas instituciones; mantener comunicación por las diferentes vías a efecto de coordinar acciones tendientes a optimizar la calidad pericial mediante la complementariedad de conocimientos, experiencias, y asesoría mutua en cuanto a nuevas tecnologías, métodos y estándares internacionales; así como el desarrollo de proyectos de interés común”.</w:t>
      </w:r>
    </w:p>
  </w:footnote>
  <w:footnote w:id="347">
    <w:p w14:paraId="150DBCDF"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iCs/>
          <w:sz w:val="16"/>
          <w:szCs w:val="16"/>
          <w:lang w:val="es-PR"/>
        </w:rPr>
        <w:t xml:space="preserve">Cfr. </w:t>
      </w:r>
      <w:r w:rsidRPr="00EF190F">
        <w:rPr>
          <w:i/>
          <w:sz w:val="16"/>
          <w:szCs w:val="16"/>
          <w:lang w:val="es-PR"/>
        </w:rPr>
        <w:t>Caso Neira Alegría y otros Vs. Perú. Reparaciones y Costas</w:t>
      </w:r>
      <w:r w:rsidRPr="00EF190F">
        <w:rPr>
          <w:sz w:val="16"/>
          <w:szCs w:val="16"/>
          <w:lang w:val="es-PR"/>
        </w:rPr>
        <w:t xml:space="preserve">. Sentencia de 19 de septiembre de 1996. Serie C No. 29, párr. 69, y </w:t>
      </w:r>
      <w:r w:rsidRPr="00EF190F">
        <w:rPr>
          <w:i/>
          <w:sz w:val="16"/>
          <w:szCs w:val="16"/>
          <w:lang w:val="es-PR"/>
        </w:rPr>
        <w:t>Caso Comunidad Campesina de Santa Bárbara Vs. Perú</w:t>
      </w:r>
      <w:r w:rsidRPr="00EF190F">
        <w:rPr>
          <w:sz w:val="16"/>
          <w:szCs w:val="16"/>
          <w:lang w:val="es-PR"/>
        </w:rPr>
        <w:t>,</w:t>
      </w:r>
      <w:r w:rsidRPr="00EF190F">
        <w:rPr>
          <w:i/>
          <w:sz w:val="16"/>
          <w:szCs w:val="16"/>
          <w:lang w:val="es-PR"/>
        </w:rPr>
        <w:t xml:space="preserve"> </w:t>
      </w:r>
      <w:r w:rsidRPr="00EF190F">
        <w:rPr>
          <w:sz w:val="16"/>
          <w:szCs w:val="16"/>
          <w:lang w:val="es-PR"/>
        </w:rPr>
        <w:t>párr. 295.</w:t>
      </w:r>
    </w:p>
  </w:footnote>
  <w:footnote w:id="348">
    <w:p w14:paraId="4B137B59"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iCs/>
          <w:sz w:val="16"/>
          <w:szCs w:val="16"/>
          <w:lang w:val="es-PR"/>
        </w:rPr>
        <w:t xml:space="preserve">Cfr. </w:t>
      </w:r>
      <w:r w:rsidRPr="00EF190F">
        <w:rPr>
          <w:i/>
          <w:sz w:val="16"/>
          <w:szCs w:val="16"/>
          <w:lang w:val="es-PR"/>
        </w:rPr>
        <w:t>Caso Ticona Estrada y otros Vs. Bolivia</w:t>
      </w:r>
      <w:r w:rsidRPr="00EF190F">
        <w:rPr>
          <w:bCs/>
          <w:sz w:val="16"/>
          <w:szCs w:val="16"/>
          <w:lang w:val="es-PR"/>
        </w:rPr>
        <w:t>,</w:t>
      </w:r>
      <w:r w:rsidRPr="00EF190F">
        <w:rPr>
          <w:bCs/>
          <w:i/>
          <w:sz w:val="16"/>
          <w:szCs w:val="16"/>
          <w:lang w:val="es-PR"/>
        </w:rPr>
        <w:t xml:space="preserve"> </w:t>
      </w:r>
      <w:r w:rsidRPr="00EF190F">
        <w:rPr>
          <w:sz w:val="16"/>
          <w:szCs w:val="16"/>
          <w:lang w:val="es-PR"/>
        </w:rPr>
        <w:t xml:space="preserve">párr. 155, y </w:t>
      </w:r>
      <w:r w:rsidRPr="00EF190F">
        <w:rPr>
          <w:i/>
          <w:sz w:val="16"/>
          <w:szCs w:val="16"/>
          <w:lang w:val="es-PR"/>
        </w:rPr>
        <w:t>Caso Comunidad Campesina de Santa Bárbara Vs. Perú</w:t>
      </w:r>
      <w:r w:rsidRPr="00EF190F">
        <w:rPr>
          <w:sz w:val="16"/>
          <w:szCs w:val="16"/>
          <w:lang w:val="es-PR"/>
        </w:rPr>
        <w:t>,</w:t>
      </w:r>
      <w:r w:rsidRPr="00EF190F">
        <w:rPr>
          <w:i/>
          <w:sz w:val="16"/>
          <w:szCs w:val="16"/>
          <w:lang w:val="es-PR"/>
        </w:rPr>
        <w:t xml:space="preserve"> </w:t>
      </w:r>
      <w:r w:rsidRPr="00EF190F">
        <w:rPr>
          <w:sz w:val="16"/>
          <w:szCs w:val="16"/>
          <w:lang w:val="es-PR"/>
        </w:rPr>
        <w:t>párr. 295.</w:t>
      </w:r>
    </w:p>
  </w:footnote>
  <w:footnote w:id="349">
    <w:p w14:paraId="456FD1FC"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iCs/>
          <w:sz w:val="16"/>
          <w:szCs w:val="16"/>
          <w:lang w:val="es-PR"/>
        </w:rPr>
        <w:t xml:space="preserve">Cfr. </w:t>
      </w:r>
      <w:r w:rsidRPr="00EF190F">
        <w:rPr>
          <w:i/>
          <w:sz w:val="16"/>
          <w:szCs w:val="16"/>
          <w:lang w:val="es-PR"/>
        </w:rPr>
        <w:t>Caso Masacre de las Dos Erres Vs. Guatemala</w:t>
      </w:r>
      <w:r w:rsidRPr="00EF190F">
        <w:rPr>
          <w:bCs/>
          <w:sz w:val="16"/>
          <w:szCs w:val="16"/>
          <w:lang w:val="es-PR"/>
        </w:rPr>
        <w:t>,</w:t>
      </w:r>
      <w:r w:rsidRPr="00EF190F">
        <w:rPr>
          <w:bCs/>
          <w:i/>
          <w:sz w:val="16"/>
          <w:szCs w:val="16"/>
          <w:lang w:val="es-PR"/>
        </w:rPr>
        <w:t xml:space="preserve"> </w:t>
      </w:r>
      <w:r w:rsidRPr="00EF190F">
        <w:rPr>
          <w:sz w:val="16"/>
          <w:szCs w:val="16"/>
          <w:lang w:val="es-PR"/>
        </w:rPr>
        <w:t xml:space="preserve">párr. 245, y </w:t>
      </w:r>
      <w:r w:rsidRPr="00EF190F">
        <w:rPr>
          <w:i/>
          <w:sz w:val="16"/>
          <w:szCs w:val="16"/>
          <w:lang w:val="es-PR"/>
        </w:rPr>
        <w:t>Caso Comunidad Campesina de Santa Bárbara Vs. Perú</w:t>
      </w:r>
      <w:r w:rsidRPr="00EF190F">
        <w:rPr>
          <w:sz w:val="16"/>
          <w:szCs w:val="16"/>
          <w:lang w:val="es-PR"/>
        </w:rPr>
        <w:t>, párr. 295.</w:t>
      </w:r>
    </w:p>
  </w:footnote>
  <w:footnote w:id="350">
    <w:p w14:paraId="6DD7836A"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t xml:space="preserve">Tales como las establecidas en el Manual de Naciones Unidas sobre la Prevención e Investigación Efectiva de Ejecuciones Extrajudiciales, Arbitrarias y Sumarias. </w:t>
      </w:r>
    </w:p>
  </w:footnote>
  <w:footnote w:id="351">
    <w:p w14:paraId="7FD975A9"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Cfr. Caso Anzualdo Castro Vs. Perú</w:t>
      </w:r>
      <w:r w:rsidRPr="00EF190F">
        <w:rPr>
          <w:sz w:val="16"/>
          <w:szCs w:val="16"/>
          <w:lang w:val="es-PR"/>
        </w:rPr>
        <w:t>,</w:t>
      </w:r>
      <w:r w:rsidRPr="00EF190F">
        <w:rPr>
          <w:i/>
          <w:sz w:val="16"/>
          <w:szCs w:val="16"/>
          <w:lang w:val="es-PR"/>
        </w:rPr>
        <w:t xml:space="preserve"> </w:t>
      </w:r>
      <w:r w:rsidRPr="00EF190F">
        <w:rPr>
          <w:sz w:val="16"/>
          <w:szCs w:val="16"/>
          <w:lang w:val="es-PR"/>
        </w:rPr>
        <w:t xml:space="preserve">párr. 185, y </w:t>
      </w:r>
      <w:r w:rsidRPr="00EF190F">
        <w:rPr>
          <w:i/>
          <w:sz w:val="16"/>
          <w:szCs w:val="16"/>
          <w:lang w:val="es-PR"/>
        </w:rPr>
        <w:t>Caso Comunidad Campesina de Santa Bárbara Vs. Perú</w:t>
      </w:r>
      <w:r w:rsidRPr="00EF190F">
        <w:rPr>
          <w:sz w:val="16"/>
          <w:szCs w:val="16"/>
          <w:lang w:val="es-PR"/>
        </w:rPr>
        <w:t>,</w:t>
      </w:r>
      <w:r w:rsidRPr="00EF190F">
        <w:rPr>
          <w:i/>
          <w:sz w:val="16"/>
          <w:szCs w:val="16"/>
          <w:lang w:val="es-PR"/>
        </w:rPr>
        <w:t xml:space="preserve"> </w:t>
      </w:r>
      <w:r w:rsidRPr="00EF190F">
        <w:rPr>
          <w:sz w:val="16"/>
          <w:szCs w:val="16"/>
          <w:lang w:val="es-PR"/>
        </w:rPr>
        <w:t>párr. 297</w:t>
      </w:r>
      <w:r w:rsidRPr="00EF190F">
        <w:rPr>
          <w:rStyle w:val="Strong"/>
          <w:b w:val="0"/>
          <w:spacing w:val="-4"/>
          <w:sz w:val="16"/>
          <w:szCs w:val="16"/>
          <w:shd w:val="clear" w:color="auto" w:fill="FFFFFF"/>
          <w:lang w:val="es-PR"/>
        </w:rPr>
        <w:t>.</w:t>
      </w:r>
    </w:p>
  </w:footnote>
  <w:footnote w:id="352">
    <w:p w14:paraId="5483D3D9"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Cfr. Caso González y otras (“Campo Algodonero”) Vs. México</w:t>
      </w:r>
      <w:r w:rsidRPr="00EF190F">
        <w:rPr>
          <w:sz w:val="16"/>
          <w:szCs w:val="16"/>
          <w:lang w:val="es-PR"/>
        </w:rPr>
        <w:t>,</w:t>
      </w:r>
      <w:r w:rsidRPr="00EF190F">
        <w:rPr>
          <w:i/>
          <w:sz w:val="16"/>
          <w:szCs w:val="16"/>
          <w:lang w:val="es-PR"/>
        </w:rPr>
        <w:t xml:space="preserve"> </w:t>
      </w:r>
      <w:r w:rsidRPr="00EF190F">
        <w:rPr>
          <w:sz w:val="16"/>
          <w:szCs w:val="16"/>
          <w:lang w:val="es-PR"/>
        </w:rPr>
        <w:t xml:space="preserve">párr. 318, y </w:t>
      </w:r>
      <w:r w:rsidRPr="00EF190F">
        <w:rPr>
          <w:i/>
          <w:sz w:val="16"/>
          <w:szCs w:val="16"/>
          <w:lang w:val="es-PR"/>
        </w:rPr>
        <w:t>Caso Comunidad Campesina de Santa Bárbara Vs. Perú</w:t>
      </w:r>
      <w:r w:rsidRPr="00EF190F">
        <w:rPr>
          <w:sz w:val="16"/>
          <w:szCs w:val="16"/>
          <w:lang w:val="es-PR"/>
        </w:rPr>
        <w:t>,</w:t>
      </w:r>
      <w:r w:rsidRPr="00EF190F">
        <w:rPr>
          <w:i/>
          <w:sz w:val="16"/>
          <w:szCs w:val="16"/>
          <w:lang w:val="es-PR"/>
        </w:rPr>
        <w:t xml:space="preserve"> </w:t>
      </w:r>
      <w:r w:rsidRPr="00EF190F">
        <w:rPr>
          <w:sz w:val="16"/>
          <w:szCs w:val="16"/>
          <w:lang w:val="es-PR"/>
        </w:rPr>
        <w:t>párr. 297.</w:t>
      </w:r>
    </w:p>
  </w:footnote>
  <w:footnote w:id="353">
    <w:p w14:paraId="6063049F" w14:textId="77777777" w:rsidR="006A0E1C" w:rsidRPr="00EF190F" w:rsidRDefault="006A0E1C" w:rsidP="006A0E1C">
      <w:pPr>
        <w:pStyle w:val="FootnoteText"/>
        <w:tabs>
          <w:tab w:val="left" w:pos="360"/>
        </w:tabs>
        <w:contextualSpacing/>
        <w:rPr>
          <w:rFonts w:eastAsia="Calibri"/>
          <w:sz w:val="16"/>
          <w:szCs w:val="16"/>
          <w:lang w:val="es-PR"/>
        </w:rPr>
      </w:pPr>
      <w:r w:rsidRPr="00EF190F">
        <w:rPr>
          <w:rStyle w:val="FootnoteReference"/>
          <w:rFonts w:eastAsia="Calibri"/>
          <w:sz w:val="16"/>
          <w:szCs w:val="16"/>
          <w:lang w:val="es-PR"/>
        </w:rPr>
        <w:footnoteRef/>
      </w:r>
      <w:r w:rsidRPr="00EF190F">
        <w:rPr>
          <w:rFonts w:eastAsia="Calibri"/>
          <w:sz w:val="16"/>
          <w:szCs w:val="16"/>
          <w:lang w:val="es-PR"/>
        </w:rPr>
        <w:t xml:space="preserve"> </w:t>
      </w:r>
      <w:r w:rsidRPr="00EF190F">
        <w:rPr>
          <w:rFonts w:eastAsia="Calibri"/>
          <w:sz w:val="16"/>
          <w:szCs w:val="16"/>
          <w:lang w:val="es-PR"/>
        </w:rPr>
        <w:tab/>
      </w:r>
      <w:r w:rsidRPr="00EF190F">
        <w:rPr>
          <w:sz w:val="16"/>
          <w:szCs w:val="16"/>
          <w:lang w:val="es-PR"/>
        </w:rPr>
        <w:t>Manual sobre la Prevención e Investigación Efectiva de Ejecuciones Extrajudiciales, Arbitrarias y Sumarias de Naciones Unidas (Protocolo de Minnesota). UN DOC E/ST/CSDHA/.12 (1991).</w:t>
      </w:r>
    </w:p>
  </w:footnote>
  <w:footnote w:id="354">
    <w:p w14:paraId="51B52AF7"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t xml:space="preserve">El Comité Internacional de la Cruz Roja ha reconocido como medios científicos: a) la comparación de radiografías dentales </w:t>
      </w:r>
      <w:r w:rsidRPr="00EF190F">
        <w:rPr>
          <w:i/>
          <w:sz w:val="16"/>
          <w:szCs w:val="16"/>
          <w:lang w:val="es-PR"/>
        </w:rPr>
        <w:t xml:space="preserve">post mortem </w:t>
      </w:r>
      <w:r w:rsidRPr="00EF190F">
        <w:rPr>
          <w:sz w:val="16"/>
          <w:szCs w:val="16"/>
          <w:lang w:val="es-PR"/>
        </w:rPr>
        <w:t xml:space="preserve">y </w:t>
      </w:r>
      <w:r w:rsidRPr="00EF190F">
        <w:rPr>
          <w:i/>
          <w:sz w:val="16"/>
          <w:szCs w:val="16"/>
          <w:lang w:val="es-PR"/>
        </w:rPr>
        <w:t>ante mortem</w:t>
      </w:r>
      <w:r w:rsidRPr="00EF190F">
        <w:rPr>
          <w:sz w:val="16"/>
          <w:szCs w:val="16"/>
          <w:lang w:val="es-PR"/>
        </w:rPr>
        <w:t xml:space="preserve">; b) la comparación de huellas digitales </w:t>
      </w:r>
      <w:r w:rsidRPr="00EF190F">
        <w:rPr>
          <w:i/>
          <w:sz w:val="16"/>
          <w:szCs w:val="16"/>
          <w:lang w:val="es-PR"/>
        </w:rPr>
        <w:t xml:space="preserve">post mortem </w:t>
      </w:r>
      <w:r w:rsidRPr="00EF190F">
        <w:rPr>
          <w:sz w:val="16"/>
          <w:szCs w:val="16"/>
          <w:lang w:val="es-PR"/>
        </w:rPr>
        <w:t xml:space="preserve">y </w:t>
      </w:r>
      <w:r w:rsidRPr="00EF190F">
        <w:rPr>
          <w:i/>
          <w:sz w:val="16"/>
          <w:szCs w:val="16"/>
          <w:lang w:val="es-PR"/>
        </w:rPr>
        <w:t>ante mortem</w:t>
      </w:r>
      <w:r w:rsidRPr="00EF190F">
        <w:rPr>
          <w:sz w:val="16"/>
          <w:szCs w:val="16"/>
          <w:lang w:val="es-PR"/>
        </w:rPr>
        <w:t xml:space="preserve">; c) la comparación de muestras de ADN de los restos humanos con muestras de referencia, y d) la comparación de otros identificadores únicos, como rasgos físicos o médicos, con inclusión de radiografías del esqueleto y de prótesis quirúrgicas o implantes numerados. Asimismo, ha indicado que cada uno de dichos medios “que integran el proceso de recolección de datos </w:t>
      </w:r>
      <w:r w:rsidRPr="00EF190F">
        <w:rPr>
          <w:i/>
          <w:sz w:val="16"/>
          <w:szCs w:val="16"/>
          <w:lang w:val="es-PR"/>
        </w:rPr>
        <w:t xml:space="preserve">ante mortem </w:t>
      </w:r>
      <w:r w:rsidRPr="00EF190F">
        <w:rPr>
          <w:sz w:val="16"/>
          <w:szCs w:val="16"/>
          <w:lang w:val="es-PR"/>
        </w:rPr>
        <w:t>y</w:t>
      </w:r>
      <w:r w:rsidRPr="00EF190F">
        <w:rPr>
          <w:i/>
          <w:sz w:val="16"/>
          <w:szCs w:val="16"/>
          <w:lang w:val="es-PR"/>
        </w:rPr>
        <w:t xml:space="preserve"> post mortem</w:t>
      </w:r>
      <w:r w:rsidRPr="00EF190F">
        <w:rPr>
          <w:sz w:val="16"/>
          <w:szCs w:val="16"/>
          <w:lang w:val="es-PR"/>
        </w:rPr>
        <w:t xml:space="preserve">, permite efectuar una identificación con alto nivel de certidumbre, la cual, en la mayoría de los contextos jurídicos, se consideraría una identificación fuera de toda duda razonable”. </w:t>
      </w:r>
      <w:r w:rsidRPr="00EF190F">
        <w:rPr>
          <w:i/>
          <w:sz w:val="16"/>
          <w:szCs w:val="16"/>
          <w:lang w:val="es-PR"/>
        </w:rPr>
        <w:t>Cfr</w:t>
      </w:r>
      <w:r w:rsidRPr="00EF190F">
        <w:rPr>
          <w:sz w:val="16"/>
          <w:szCs w:val="16"/>
          <w:lang w:val="es-PR"/>
        </w:rPr>
        <w:t xml:space="preserve">. CICR. Personas desaparecidas, análisis forense de ADN e identificación de restos humanos: Guía sobre prácticas idóneas en caso de conflicto armado y de otras situaciones de violencia armada. (2ª Ed.), 2009, p. 12. Disponible en: http://www.icrc.org/spa/assets/files/other/icrc_003_4010.pdf </w:t>
      </w:r>
    </w:p>
  </w:footnote>
  <w:footnote w:id="355">
    <w:p w14:paraId="2E3E3274"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rFonts w:eastAsia="Calibri"/>
          <w:sz w:val="16"/>
          <w:szCs w:val="16"/>
          <w:lang w:val="es-PR"/>
        </w:rPr>
        <w:footnoteRef/>
      </w:r>
      <w:r w:rsidRPr="00EF190F">
        <w:rPr>
          <w:sz w:val="16"/>
          <w:szCs w:val="16"/>
          <w:lang w:val="es-PR"/>
        </w:rPr>
        <w:t xml:space="preserve"> </w:t>
      </w:r>
      <w:r w:rsidRPr="00EF190F">
        <w:rPr>
          <w:sz w:val="16"/>
          <w:szCs w:val="16"/>
          <w:lang w:val="es-PR"/>
        </w:rPr>
        <w:tab/>
      </w:r>
      <w:r w:rsidRPr="00EF190F">
        <w:rPr>
          <w:i/>
          <w:sz w:val="16"/>
          <w:szCs w:val="16"/>
          <w:lang w:val="es-PR"/>
        </w:rPr>
        <w:t>Cfr. Caso Gómez Palomino Vs. Perú</w:t>
      </w:r>
      <w:r w:rsidRPr="00EF190F">
        <w:rPr>
          <w:sz w:val="16"/>
          <w:szCs w:val="16"/>
          <w:lang w:val="es-PR"/>
        </w:rPr>
        <w:t xml:space="preserve">. Supervisión de Cumplimiento. Sentencia de 13 de febrero de 2013, considerando 10, y </w:t>
      </w:r>
      <w:r w:rsidRPr="00EF190F">
        <w:rPr>
          <w:i/>
          <w:sz w:val="16"/>
          <w:szCs w:val="16"/>
          <w:lang w:val="es-PR"/>
        </w:rPr>
        <w:t>Caso Comunidad Campesina de</w:t>
      </w:r>
      <w:r w:rsidRPr="00EF190F">
        <w:rPr>
          <w:sz w:val="16"/>
          <w:szCs w:val="16"/>
          <w:lang w:val="es-PR"/>
        </w:rPr>
        <w:t xml:space="preserve"> </w:t>
      </w:r>
      <w:r w:rsidRPr="00EF190F">
        <w:rPr>
          <w:i/>
          <w:sz w:val="16"/>
          <w:szCs w:val="16"/>
          <w:lang w:val="es-PR"/>
        </w:rPr>
        <w:t>Santa Bárbara Vs. Perú</w:t>
      </w:r>
      <w:r w:rsidRPr="00EF190F">
        <w:rPr>
          <w:sz w:val="16"/>
          <w:szCs w:val="16"/>
          <w:lang w:val="es-PR"/>
        </w:rPr>
        <w:t>, párr. 297. Citando: CICR. Personas Desaparecidas, análisis forense de ADN e identificación de restos humanos: Guía sobre prácticas idóneas en caso de conflicto armado y de otras situaciones de violencia armada. (2ª Ed.), 2009, p. 10.</w:t>
      </w:r>
    </w:p>
  </w:footnote>
  <w:footnote w:id="356">
    <w:p w14:paraId="2322551F"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 Caso Gudiel Álvarez y Otros (“Diario Militar”) Vs. Guatemala</w:t>
      </w:r>
      <w:r w:rsidRPr="00EF190F">
        <w:rPr>
          <w:sz w:val="16"/>
          <w:szCs w:val="16"/>
        </w:rPr>
        <w:t xml:space="preserve">, párr. 335, y </w:t>
      </w:r>
      <w:r w:rsidRPr="00EF190F">
        <w:rPr>
          <w:i/>
          <w:sz w:val="16"/>
          <w:szCs w:val="16"/>
        </w:rPr>
        <w:t>Caso García y Familiares Vs. Guatemala</w:t>
      </w:r>
      <w:r w:rsidRPr="00EF190F">
        <w:rPr>
          <w:sz w:val="16"/>
          <w:szCs w:val="16"/>
        </w:rPr>
        <w:t>, párr. 221.</w:t>
      </w:r>
    </w:p>
  </w:footnote>
  <w:footnote w:id="357">
    <w:p w14:paraId="77285CF3" w14:textId="77777777" w:rsidR="006A0E1C" w:rsidRPr="00EF190F" w:rsidRDefault="006A0E1C" w:rsidP="006A0E1C">
      <w:pPr>
        <w:pStyle w:val="FootnoteText"/>
        <w:contextualSpacing/>
        <w:rPr>
          <w:b/>
          <w:sz w:val="16"/>
          <w:szCs w:val="16"/>
        </w:rPr>
      </w:pPr>
      <w:r w:rsidRPr="00EF190F">
        <w:rPr>
          <w:rStyle w:val="FootnoteReference"/>
          <w:sz w:val="16"/>
          <w:szCs w:val="16"/>
        </w:rPr>
        <w:footnoteRef/>
      </w:r>
      <w:r w:rsidRPr="00EF190F">
        <w:rPr>
          <w:sz w:val="16"/>
          <w:szCs w:val="16"/>
        </w:rPr>
        <w:t xml:space="preserve"> </w:t>
      </w:r>
      <w:r w:rsidRPr="00EF190F">
        <w:rPr>
          <w:sz w:val="16"/>
          <w:szCs w:val="16"/>
        </w:rPr>
        <w:tab/>
        <w:t>En sus alegatos finales escritos, es decir, de forma extemporánea, los representantes solicitaron, a favor de la comunidad de Chichupac y comunidades vecinas, el fortalecimiento de la infraestructura e implementación de servicios básicos y programas sociales. También, solicitaron proyectos productivos y, como proyecto educativo, dotar becas de estudios para estudiantes del nivel diversificado y universitario. Asimismo, solicitaron la construcción de alrededor de 250 viviendas en la aldea Chichupac y comunidades vecinas, y que el Estado resuelva los casos relacionados con la apropiación de tierras ocurridas durante y después del conflicto armado interno de las víctimas Gregoria Valey Yxtecoc, Demetrio Cahuec Jerónimo, Teodoro González Xitumul (esposo de la señora Tomasa Alvarado Xitumul), así como de otras víctimas, y que dé solución a los descendientes de estas víctimas.</w:t>
      </w:r>
    </w:p>
  </w:footnote>
  <w:footnote w:id="358">
    <w:p w14:paraId="6282DC8C"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lang w:val="es-PR"/>
        </w:rPr>
        <w:tab/>
        <w:t>Artículo 2 bis., Acuerdo Gubernativo 539-2013 (expediente de prueba, folio 9927).</w:t>
      </w:r>
    </w:p>
  </w:footnote>
  <w:footnote w:id="359">
    <w:p w14:paraId="5153D3E1" w14:textId="77777777" w:rsidR="006A0E1C" w:rsidRPr="00EF190F" w:rsidRDefault="006A0E1C" w:rsidP="006A0E1C">
      <w:pPr>
        <w:pStyle w:val="FootnoteText"/>
        <w:tabs>
          <w:tab w:val="left" w:pos="360"/>
        </w:tabs>
        <w:contextualSpacing/>
        <w:rPr>
          <w:rFonts w:cs="Verdana"/>
          <w:bCs/>
          <w:sz w:val="16"/>
          <w:szCs w:val="16"/>
          <w:lang w:val="es-PR"/>
        </w:rPr>
      </w:pPr>
      <w:r w:rsidRPr="00EF190F">
        <w:rPr>
          <w:rStyle w:val="FootnoteReference"/>
          <w:rFonts w:eastAsia="Calibri"/>
          <w:sz w:val="16"/>
          <w:szCs w:val="16"/>
          <w:lang w:val="es-PR"/>
        </w:rPr>
        <w:footnoteRef/>
      </w:r>
      <w:r w:rsidRPr="00EF190F">
        <w:rPr>
          <w:rFonts w:cs="Verdana"/>
          <w:bCs/>
          <w:sz w:val="16"/>
          <w:szCs w:val="16"/>
          <w:lang w:val="es-PR"/>
        </w:rPr>
        <w:tab/>
      </w:r>
      <w:r w:rsidRPr="00EF190F">
        <w:rPr>
          <w:i/>
          <w:sz w:val="16"/>
          <w:szCs w:val="16"/>
          <w:lang w:val="es-PR"/>
        </w:rPr>
        <w:t xml:space="preserve">Cfr. Caso </w:t>
      </w:r>
      <w:r w:rsidRPr="00EF190F">
        <w:rPr>
          <w:sz w:val="16"/>
          <w:szCs w:val="16"/>
          <w:lang w:val="es-PR"/>
        </w:rPr>
        <w:t>Masacre de</w:t>
      </w:r>
      <w:r w:rsidRPr="00EF190F" w:rsidDel="006F11F9">
        <w:rPr>
          <w:sz w:val="16"/>
          <w:szCs w:val="16"/>
          <w:lang w:val="es-PR"/>
        </w:rPr>
        <w:t xml:space="preserve"> </w:t>
      </w:r>
      <w:r w:rsidRPr="00EF190F">
        <w:rPr>
          <w:i/>
          <w:sz w:val="16"/>
          <w:szCs w:val="16"/>
          <w:lang w:val="es-PR"/>
        </w:rPr>
        <w:t>Las Dos Erres Vs. Guatemala</w:t>
      </w:r>
      <w:r w:rsidRPr="00EF190F">
        <w:rPr>
          <w:sz w:val="16"/>
          <w:szCs w:val="16"/>
          <w:lang w:val="es-PR"/>
        </w:rPr>
        <w:t>,</w:t>
      </w:r>
      <w:r w:rsidRPr="00EF190F">
        <w:rPr>
          <w:i/>
          <w:sz w:val="16"/>
          <w:szCs w:val="16"/>
          <w:lang w:val="es-PR"/>
        </w:rPr>
        <w:t xml:space="preserve"> </w:t>
      </w:r>
      <w:r w:rsidRPr="00EF190F">
        <w:rPr>
          <w:sz w:val="16"/>
          <w:szCs w:val="16"/>
          <w:lang w:val="es-PR"/>
        </w:rPr>
        <w:t xml:space="preserve">párr. 270 y </w:t>
      </w:r>
      <w:r w:rsidRPr="00EF190F">
        <w:rPr>
          <w:rStyle w:val="Strong"/>
          <w:b w:val="0"/>
          <w:i/>
          <w:color w:val="000000"/>
          <w:sz w:val="16"/>
          <w:szCs w:val="16"/>
          <w:shd w:val="clear" w:color="auto" w:fill="FFFFFF"/>
        </w:rPr>
        <w:t>Caso Tenorio Roca y otros Vs. Perú</w:t>
      </w:r>
      <w:r w:rsidRPr="00EF190F">
        <w:rPr>
          <w:sz w:val="16"/>
          <w:szCs w:val="16"/>
          <w:lang w:val="es-PR"/>
        </w:rPr>
        <w:t>,</w:t>
      </w:r>
      <w:r w:rsidRPr="00EF190F">
        <w:rPr>
          <w:bCs/>
          <w:sz w:val="16"/>
          <w:szCs w:val="16"/>
          <w:lang w:val="es-PR"/>
        </w:rPr>
        <w:t xml:space="preserve"> párr. 284.</w:t>
      </w:r>
    </w:p>
  </w:footnote>
  <w:footnote w:id="360">
    <w:p w14:paraId="17F44398" w14:textId="77777777" w:rsidR="006A0E1C" w:rsidRPr="00EF190F" w:rsidRDefault="006A0E1C" w:rsidP="006A0E1C">
      <w:pPr>
        <w:tabs>
          <w:tab w:val="left" w:pos="360"/>
        </w:tabs>
        <w:spacing w:line="240" w:lineRule="auto"/>
        <w:contextualSpacing/>
        <w:rPr>
          <w:sz w:val="16"/>
          <w:szCs w:val="16"/>
          <w:lang w:val="es-PE"/>
        </w:rPr>
      </w:pPr>
      <w:r w:rsidRPr="00EF190F">
        <w:rPr>
          <w:rStyle w:val="FootnoteReference"/>
          <w:sz w:val="16"/>
          <w:szCs w:val="16"/>
        </w:rPr>
        <w:footnoteRef/>
      </w:r>
      <w:r w:rsidRPr="00EF190F">
        <w:rPr>
          <w:sz w:val="16"/>
          <w:szCs w:val="16"/>
          <w:lang w:val="es-PR"/>
        </w:rPr>
        <w:tab/>
      </w:r>
      <w:r w:rsidRPr="00EF190F">
        <w:rPr>
          <w:i/>
          <w:sz w:val="16"/>
          <w:szCs w:val="16"/>
          <w:lang w:val="es-PR"/>
        </w:rPr>
        <w:t>Cfr. Caso Masacres de Río Negro Vs. Guatemala</w:t>
      </w:r>
      <w:r w:rsidRPr="00EF190F">
        <w:rPr>
          <w:sz w:val="16"/>
          <w:szCs w:val="16"/>
          <w:lang w:val="es-PR"/>
        </w:rPr>
        <w:t xml:space="preserve">, párr. </w:t>
      </w:r>
      <w:r w:rsidRPr="00EF190F">
        <w:rPr>
          <w:sz w:val="16"/>
          <w:szCs w:val="16"/>
        </w:rPr>
        <w:t xml:space="preserve">289. Véase, la Declaración de las Naciones Unidas sobre los Derechos de los Pueblos Indígenas, Artículo 24; </w:t>
      </w:r>
      <w:r w:rsidRPr="00EF190F">
        <w:rPr>
          <w:sz w:val="16"/>
          <w:szCs w:val="16"/>
          <w:lang w:val="es-PE"/>
        </w:rPr>
        <w:t xml:space="preserve">el Convenio sobre pueblos indígenas y tribales en países independientes, 1989 (núm. 169) de la OIT: Artículo 25; En la publicación </w:t>
      </w:r>
      <w:r w:rsidRPr="00EF190F">
        <w:rPr>
          <w:i/>
          <w:sz w:val="16"/>
          <w:szCs w:val="16"/>
          <w:lang w:val="es-PE"/>
        </w:rPr>
        <w:t>Convenio número 169 sobre pueblos indígenas y tribales: Un Manual</w:t>
      </w:r>
      <w:r w:rsidRPr="00EF190F">
        <w:rPr>
          <w:sz w:val="16"/>
          <w:szCs w:val="16"/>
          <w:lang w:val="es-PE"/>
        </w:rPr>
        <w:t xml:space="preserve"> (2003), p. 60, la OIT estableció directrices a las que deben adecuarse los programas de salud. Entre otros, dichos programas deben: i) basarse en la comunidad; ii) ser complementarios de las prácticas curativas tradicionales y comprenderlas; iii) contar con la participación activa de las comunidades; iv) formar a personal local para trabajar en los servicios sanitarios, y v) los gobiernos deberán proporcionar recursos en igualdad de condiciones con los otros ciudadanos.</w:t>
      </w:r>
    </w:p>
  </w:footnote>
  <w:footnote w:id="361">
    <w:p w14:paraId="10D1E46E"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lang w:val="es-PR"/>
        </w:rPr>
        <w:tab/>
      </w:r>
      <w:r w:rsidRPr="00EF190F">
        <w:rPr>
          <w:sz w:val="16"/>
          <w:szCs w:val="16"/>
          <w:lang w:val="es-CR"/>
        </w:rPr>
        <w:t>En sus alegatos finales escritos, es decir, de forma extemporánea, los representantes</w:t>
      </w:r>
      <w:r w:rsidRPr="00EF190F">
        <w:rPr>
          <w:b/>
          <w:i/>
          <w:sz w:val="16"/>
          <w:szCs w:val="16"/>
          <w:lang w:val="es-CR"/>
        </w:rPr>
        <w:t xml:space="preserve"> </w:t>
      </w:r>
      <w:r w:rsidRPr="00EF190F">
        <w:rPr>
          <w:sz w:val="16"/>
          <w:szCs w:val="16"/>
          <w:lang w:val="es-CR"/>
        </w:rPr>
        <w:t>solicitaron que se ordene al Estado realizar un acto público de reconocimiento de responsabilidad.</w:t>
      </w:r>
    </w:p>
  </w:footnote>
  <w:footnote w:id="362">
    <w:p w14:paraId="5F350B01"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lang w:val="es-PR"/>
        </w:rPr>
        <w:tab/>
      </w:r>
      <w:r w:rsidRPr="00EF190F">
        <w:rPr>
          <w:sz w:val="16"/>
          <w:szCs w:val="16"/>
        </w:rPr>
        <w:t xml:space="preserve">El Estado ha cumplido con esta medida de reparación, por ejemplo, en el </w:t>
      </w:r>
      <w:r w:rsidRPr="00EF190F">
        <w:rPr>
          <w:i/>
          <w:sz w:val="16"/>
          <w:szCs w:val="16"/>
        </w:rPr>
        <w:t xml:space="preserve">Caso Bámaca Velásquez Vs. Guatemala. </w:t>
      </w:r>
      <w:r w:rsidRPr="00EF190F">
        <w:rPr>
          <w:sz w:val="16"/>
          <w:szCs w:val="16"/>
        </w:rPr>
        <w:t xml:space="preserve">Resolución de Supervisión de Cumplimiento de Sentencia de 10 de julio de 2007, considerando 7, y el </w:t>
      </w:r>
      <w:r w:rsidRPr="00EF190F">
        <w:rPr>
          <w:i/>
          <w:sz w:val="16"/>
          <w:szCs w:val="16"/>
        </w:rPr>
        <w:t xml:space="preserve">Caso de la Masacre de Las Dos Erres Vs. Guatemala. </w:t>
      </w:r>
      <w:r w:rsidRPr="00EF190F">
        <w:rPr>
          <w:sz w:val="16"/>
          <w:szCs w:val="16"/>
        </w:rPr>
        <w:t xml:space="preserve">Resolución de Supervisión de Cumplimiento de Sentencia de 4 de septiembre de 2012, considerando 16. </w:t>
      </w:r>
    </w:p>
  </w:footnote>
  <w:footnote w:id="363">
    <w:p w14:paraId="10F4044D"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lang w:val="es-PR"/>
        </w:rPr>
        <w:tab/>
      </w:r>
      <w:r w:rsidRPr="00EF190F">
        <w:rPr>
          <w:sz w:val="16"/>
          <w:szCs w:val="16"/>
        </w:rPr>
        <w:t xml:space="preserve">El Estado ha cumplido con esta medida de reparación, por ejemplo, en el </w:t>
      </w:r>
      <w:r w:rsidRPr="00EF190F">
        <w:rPr>
          <w:i/>
          <w:sz w:val="16"/>
          <w:szCs w:val="16"/>
        </w:rPr>
        <w:t xml:space="preserve">Caso de la Masacre de Las Dos Erres Vs. Guatemala. </w:t>
      </w:r>
      <w:r w:rsidRPr="00EF190F">
        <w:rPr>
          <w:sz w:val="16"/>
          <w:szCs w:val="16"/>
        </w:rPr>
        <w:t xml:space="preserve">Resolución de Supervisión Cumplimiento de Sentencia de 6 de julio de 2011, punto declarativo 1, y </w:t>
      </w:r>
      <w:r>
        <w:rPr>
          <w:i/>
          <w:sz w:val="16"/>
          <w:szCs w:val="16"/>
        </w:rPr>
        <w:t>Caso Ve</w:t>
      </w:r>
      <w:r w:rsidRPr="00EF190F">
        <w:rPr>
          <w:i/>
          <w:sz w:val="16"/>
          <w:szCs w:val="16"/>
        </w:rPr>
        <w:t xml:space="preserve">liz Franco y otros Vs. Guatemala. </w:t>
      </w:r>
      <w:r w:rsidRPr="00EF190F">
        <w:rPr>
          <w:sz w:val="16"/>
          <w:szCs w:val="16"/>
        </w:rPr>
        <w:t>Resolución de Supervisión de Cumplimiento de Sentencia de 3 de mayo de 2016, punto resolutivo 1.</w:t>
      </w:r>
    </w:p>
  </w:footnote>
  <w:footnote w:id="364">
    <w:p w14:paraId="7C55B6C4"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 xml:space="preserve">Cfr. Caso Masacres de Río Negro Vs. </w:t>
      </w:r>
      <w:r w:rsidRPr="00EF190F">
        <w:rPr>
          <w:i/>
          <w:sz w:val="16"/>
          <w:szCs w:val="16"/>
          <w:lang w:val="es-PR"/>
        </w:rPr>
        <w:t>Guatemala</w:t>
      </w:r>
      <w:r w:rsidRPr="00EF190F">
        <w:rPr>
          <w:sz w:val="16"/>
          <w:szCs w:val="16"/>
          <w:lang w:val="es-PR"/>
        </w:rPr>
        <w:t xml:space="preserve">, párr. </w:t>
      </w:r>
      <w:r w:rsidRPr="00EF190F">
        <w:rPr>
          <w:sz w:val="16"/>
          <w:szCs w:val="16"/>
        </w:rPr>
        <w:t>274.</w:t>
      </w:r>
    </w:p>
  </w:footnote>
  <w:footnote w:id="365">
    <w:p w14:paraId="7F517143" w14:textId="77777777" w:rsidR="006A0E1C" w:rsidRPr="00EF190F" w:rsidRDefault="006A0E1C" w:rsidP="006A0E1C">
      <w:pPr>
        <w:pStyle w:val="FootnoteText"/>
        <w:tabs>
          <w:tab w:val="left" w:pos="360"/>
        </w:tabs>
        <w:contextualSpacing/>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lang w:val="es-PR"/>
        </w:rPr>
        <w:tab/>
      </w:r>
      <w:r w:rsidRPr="00EF190F">
        <w:rPr>
          <w:rFonts w:eastAsia="MS Mincho"/>
          <w:sz w:val="16"/>
          <w:szCs w:val="16"/>
          <w:lang w:val="es-CR"/>
        </w:rPr>
        <w:t xml:space="preserve">En sus alegatos finales escritos, los representantes solicitaron de manera extemporánea que la Corte ordene al Estado </w:t>
      </w:r>
      <w:r w:rsidRPr="00EF190F">
        <w:rPr>
          <w:rFonts w:eastAsia="Calibri" w:cs="Verdana"/>
          <w:sz w:val="16"/>
          <w:szCs w:val="16"/>
          <w:lang w:val="es-CR"/>
        </w:rPr>
        <w:t xml:space="preserve">fortalecer sus capacidades institucionales mediante </w:t>
      </w:r>
      <w:r w:rsidRPr="00EF190F">
        <w:rPr>
          <w:rFonts w:eastAsia="Calibri"/>
          <w:sz w:val="16"/>
          <w:szCs w:val="16"/>
          <w:lang w:val="es-CR"/>
        </w:rPr>
        <w:t>la</w:t>
      </w:r>
      <w:r w:rsidRPr="00EF190F">
        <w:rPr>
          <w:rFonts w:eastAsia="Calibri" w:cs="Verdana"/>
          <w:sz w:val="16"/>
          <w:szCs w:val="16"/>
          <w:lang w:val="es-CR"/>
        </w:rPr>
        <w:t xml:space="preserve"> capacitación de personal de las fuerzas armadas.</w:t>
      </w:r>
      <w:r w:rsidRPr="00EF190F">
        <w:rPr>
          <w:rFonts w:eastAsia="MS Mincho"/>
          <w:sz w:val="16"/>
          <w:szCs w:val="16"/>
          <w:lang w:val="es-CR"/>
        </w:rPr>
        <w:t xml:space="preserve"> </w:t>
      </w:r>
    </w:p>
  </w:footnote>
  <w:footnote w:id="366">
    <w:p w14:paraId="7273257A" w14:textId="77777777" w:rsidR="006A0E1C" w:rsidRPr="00EF190F" w:rsidRDefault="006A0E1C" w:rsidP="006A0E1C">
      <w:pPr>
        <w:tabs>
          <w:tab w:val="left" w:pos="360"/>
        </w:tabs>
        <w:spacing w:line="240" w:lineRule="auto"/>
        <w:contextualSpacing/>
        <w:rPr>
          <w:sz w:val="16"/>
          <w:szCs w:val="16"/>
        </w:rPr>
      </w:pPr>
      <w:r w:rsidRPr="00EF190F">
        <w:rPr>
          <w:rStyle w:val="FootnoteReference"/>
          <w:sz w:val="16"/>
          <w:szCs w:val="16"/>
        </w:rPr>
        <w:footnoteRef/>
      </w:r>
      <w:r w:rsidRPr="00EF190F">
        <w:rPr>
          <w:sz w:val="16"/>
          <w:szCs w:val="16"/>
          <w:lang w:val="es-ES"/>
        </w:rPr>
        <w:tab/>
      </w:r>
      <w:r w:rsidRPr="00EF190F">
        <w:rPr>
          <w:i/>
          <w:sz w:val="16"/>
          <w:szCs w:val="16"/>
        </w:rPr>
        <w:t>Cfr.</w:t>
      </w:r>
      <w:r w:rsidRPr="00EF190F">
        <w:rPr>
          <w:b/>
          <w:sz w:val="16"/>
          <w:szCs w:val="16"/>
        </w:rPr>
        <w:t xml:space="preserve"> </w:t>
      </w:r>
      <w:r w:rsidRPr="00EF190F">
        <w:rPr>
          <w:bCs/>
          <w:i/>
          <w:color w:val="000000"/>
          <w:sz w:val="16"/>
          <w:szCs w:val="16"/>
        </w:rPr>
        <w:t>Caso Goiburú y otros Vs. Paraguay.</w:t>
      </w:r>
      <w:r w:rsidRPr="00EF190F">
        <w:rPr>
          <w:i/>
          <w:color w:val="000000"/>
          <w:sz w:val="16"/>
          <w:szCs w:val="16"/>
        </w:rPr>
        <w:t xml:space="preserve"> Supervisión de Cumplimiento de Sentencia</w:t>
      </w:r>
      <w:r w:rsidRPr="00EF190F">
        <w:rPr>
          <w:color w:val="000000"/>
          <w:sz w:val="16"/>
          <w:szCs w:val="16"/>
        </w:rPr>
        <w:t xml:space="preserve">. Resolución de la Corte Interamericana de Derechos Humanos de 19 de noviembre de 2009, Considerando No. 49, y </w:t>
      </w:r>
      <w:r w:rsidRPr="00EF190F">
        <w:rPr>
          <w:i/>
          <w:sz w:val="16"/>
          <w:szCs w:val="16"/>
        </w:rPr>
        <w:t>Caso Masacres de El Mozote y Lugares Aledaños Vs. El Salvador</w:t>
      </w:r>
      <w:r w:rsidRPr="00EF190F">
        <w:rPr>
          <w:sz w:val="16"/>
          <w:szCs w:val="16"/>
        </w:rPr>
        <w:t>, párr. 368</w:t>
      </w:r>
      <w:r w:rsidRPr="00EF190F">
        <w:rPr>
          <w:color w:val="000000"/>
          <w:sz w:val="16"/>
          <w:szCs w:val="16"/>
        </w:rPr>
        <w:t>.</w:t>
      </w:r>
    </w:p>
  </w:footnote>
  <w:footnote w:id="367">
    <w:p w14:paraId="4671A930" w14:textId="77777777" w:rsidR="006A0E1C" w:rsidRPr="00EF190F" w:rsidRDefault="006A0E1C" w:rsidP="006A0E1C">
      <w:pPr>
        <w:pStyle w:val="FootnoteText"/>
        <w:tabs>
          <w:tab w:val="left" w:pos="360"/>
        </w:tabs>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rFonts w:eastAsia="MS Mincho"/>
          <w:sz w:val="16"/>
          <w:szCs w:val="16"/>
          <w:lang w:val="es-CR"/>
        </w:rPr>
        <w:t xml:space="preserve">En sus alegatos finales escritos, los representantes solicitaron de manera extemporánea que la Corte ordene al Estado </w:t>
      </w:r>
      <w:r w:rsidRPr="00EF190F">
        <w:rPr>
          <w:rFonts w:eastAsia="Calibri" w:cs="Verdana"/>
          <w:sz w:val="16"/>
          <w:szCs w:val="16"/>
          <w:lang w:val="es-CR"/>
        </w:rPr>
        <w:t xml:space="preserve">fortalecer sus capacidades institucionales mediante </w:t>
      </w:r>
      <w:r w:rsidRPr="00EF190F">
        <w:rPr>
          <w:rFonts w:eastAsia="Calibri"/>
          <w:sz w:val="16"/>
          <w:szCs w:val="16"/>
          <w:lang w:val="es-CR"/>
        </w:rPr>
        <w:t>la</w:t>
      </w:r>
      <w:r w:rsidRPr="00EF190F">
        <w:rPr>
          <w:rFonts w:eastAsia="Calibri" w:cs="Verdana"/>
          <w:sz w:val="16"/>
          <w:szCs w:val="16"/>
          <w:lang w:val="es-CR"/>
        </w:rPr>
        <w:t xml:space="preserve"> capacitación de jueces y fiscales.</w:t>
      </w:r>
    </w:p>
  </w:footnote>
  <w:footnote w:id="368">
    <w:p w14:paraId="1174779F"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 xml:space="preserve">La Corte nota que el enlace al sitio </w:t>
      </w:r>
      <w:r w:rsidRPr="00EF190F">
        <w:rPr>
          <w:i/>
          <w:sz w:val="16"/>
          <w:szCs w:val="16"/>
        </w:rPr>
        <w:t>web</w:t>
      </w:r>
      <w:r w:rsidRPr="00EF190F">
        <w:rPr>
          <w:sz w:val="16"/>
          <w:szCs w:val="16"/>
        </w:rPr>
        <w:t xml:space="preserve"> “capacitación.mp.gob.gt”, citado por el Estado, no está habilitado. Por otra parte, el Estado no presentó el documento “Memoria de Labores OJ 2012-2013” que también fue citado. </w:t>
      </w:r>
    </w:p>
  </w:footnote>
  <w:footnote w:id="369">
    <w:p w14:paraId="3C1DD8CB"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lang w:val="es-CR"/>
        </w:rPr>
        <w:t xml:space="preserve">Resolución de Supervisión de Cumplimiento de 12 Casos Guatemaltecos, </w:t>
      </w:r>
      <w:r w:rsidRPr="00EF190F">
        <w:rPr>
          <w:sz w:val="16"/>
          <w:szCs w:val="16"/>
        </w:rPr>
        <w:t>considerandos 32, 168 y nota al pie 183.</w:t>
      </w:r>
    </w:p>
  </w:footnote>
  <w:footnote w:id="370">
    <w:p w14:paraId="6012A8E7" w14:textId="77777777" w:rsidR="006A0E1C" w:rsidRPr="00EF190F" w:rsidRDefault="006A0E1C" w:rsidP="006A0E1C">
      <w:pPr>
        <w:pStyle w:val="FootnoteText"/>
        <w:rPr>
          <w:sz w:val="16"/>
          <w:szCs w:val="16"/>
        </w:rPr>
      </w:pPr>
      <w:r w:rsidRPr="00EF190F">
        <w:rPr>
          <w:rStyle w:val="FootnoteReference"/>
          <w:sz w:val="16"/>
          <w:szCs w:val="16"/>
        </w:rPr>
        <w:footnoteRef/>
      </w:r>
      <w:r w:rsidRPr="00EF190F">
        <w:rPr>
          <w:sz w:val="16"/>
          <w:szCs w:val="16"/>
        </w:rPr>
        <w:t xml:space="preserve"> El 13 de septiembre de 2007 la Asamblea General de la ONU aprobó la Declaración de las Naciones Unidas sobre los Derechos de los Pueblos Indígenas, con voto a favor de Guatemala. Esta establece en el artículo 15.2: “Los Estados adoptarán medidas eficaces, en consulta y cooperación con los pueblos indígenas interesados, para combatir los prejuicios y eliminar la discriminación y promover la tolerancia, la comprensión y las buenas relaciones entre los pueblos indígenas y todos los demás sectores de la sociedad”. Además, el Convenio No. 169 de la OIT sobre pueblos indígenas y tribales, ratificado por Guatemala el 5 de junio de 1996, en su artículo 31 establece: “Deberán adoptarse medidas de carácter educativo en todos los sectores de la comunidad nacional, y especialmente en los que estén en contacto más directo con los pueblos interesados, con objeto de eliminar los prejuicios que pudieran tener con respecto a esos pueblos. A tal fin, deberán hacerse esfuerzos por asegurar que los libros de historia y demás material didáctico ofrezcan una descripción equitativa, exacta e instructiva de las sociedades y culturas de los pueblos interesados.” Además, la Declaración Americana sobre los Derechos de los Pueblos Indígenas, aprobada en el 46 Periodo Ordinario de Sesiones de la Asamblea General de la Organización de los Estados Americanos, celebrada del 13 al 15 de junio de 2016 en República Dominicana, establece en su artículo XV.5: “Los Estados promoverán relaciones interculturales armónicas, asegurando en los sistemas educativos estatales currícula con contenidos que reflejen la naturaleza pluricultural y multilingüe</w:t>
      </w:r>
      <w:r w:rsidRPr="00EF190F">
        <w:rPr>
          <w:sz w:val="16"/>
          <w:szCs w:val="16"/>
          <w:lang w:val="es-MX"/>
        </w:rPr>
        <w:t xml:space="preserve"> de sus sociedades y que impulsen el respeto y el conocimiento de las diversas culturas indígenas. Los Estados, en conjunto con los pueblos indígenas, impulsarán la educación intercultural que refleje las cosmovisiones, historias, lenguas, conocimientos, valores, culturas, prácticas y formas de vida de dichos pueblos</w:t>
      </w:r>
      <w:r w:rsidRPr="00EF190F">
        <w:rPr>
          <w:sz w:val="16"/>
          <w:szCs w:val="16"/>
        </w:rPr>
        <w:t>”.</w:t>
      </w:r>
    </w:p>
  </w:footnote>
  <w:footnote w:id="371">
    <w:p w14:paraId="46E698DC" w14:textId="77777777" w:rsidR="006A0E1C" w:rsidRPr="00EF190F" w:rsidRDefault="006A0E1C" w:rsidP="006A0E1C">
      <w:pPr>
        <w:tabs>
          <w:tab w:val="left" w:pos="360"/>
        </w:tabs>
        <w:spacing w:line="240" w:lineRule="auto"/>
        <w:contextualSpacing/>
        <w:rPr>
          <w:rFonts w:cs="Verdana"/>
          <w:bCs/>
          <w:sz w:val="16"/>
          <w:szCs w:val="16"/>
          <w:lang w:val="es-PR" w:bidi="en-US"/>
        </w:rPr>
      </w:pPr>
      <w:r w:rsidRPr="00EF190F">
        <w:rPr>
          <w:rStyle w:val="FootnoteReference"/>
          <w:sz w:val="16"/>
          <w:szCs w:val="16"/>
        </w:rPr>
        <w:footnoteRef/>
      </w:r>
      <w:r w:rsidRPr="00EF190F">
        <w:rPr>
          <w:sz w:val="16"/>
          <w:szCs w:val="16"/>
          <w:lang w:val="es-MX"/>
        </w:rPr>
        <w:t xml:space="preserve"> </w:t>
      </w:r>
      <w:r w:rsidRPr="00EF190F">
        <w:rPr>
          <w:sz w:val="16"/>
          <w:szCs w:val="16"/>
          <w:lang w:val="es-MX"/>
        </w:rPr>
        <w:tab/>
      </w:r>
      <w:r w:rsidRPr="00EF190F">
        <w:rPr>
          <w:i/>
          <w:sz w:val="16"/>
          <w:szCs w:val="16"/>
        </w:rPr>
        <w:t>Cfr.</w:t>
      </w:r>
      <w:r w:rsidRPr="00EF190F">
        <w:rPr>
          <w:b/>
          <w:sz w:val="16"/>
          <w:szCs w:val="16"/>
        </w:rPr>
        <w:t xml:space="preserve"> </w:t>
      </w:r>
      <w:r w:rsidRPr="00EF190F">
        <w:rPr>
          <w:bCs/>
          <w:i/>
          <w:color w:val="000000"/>
          <w:sz w:val="16"/>
          <w:szCs w:val="16"/>
        </w:rPr>
        <w:t>Caso</w:t>
      </w:r>
      <w:r w:rsidRPr="00EF190F">
        <w:rPr>
          <w:sz w:val="16"/>
          <w:szCs w:val="16"/>
        </w:rPr>
        <w:t xml:space="preserve"> </w:t>
      </w:r>
      <w:r w:rsidRPr="00EF190F">
        <w:rPr>
          <w:i/>
          <w:sz w:val="16"/>
          <w:szCs w:val="16"/>
        </w:rPr>
        <w:t>Bámaca Velásquez Vs. Guatemala.</w:t>
      </w:r>
      <w:r w:rsidRPr="00EF190F">
        <w:rPr>
          <w:sz w:val="16"/>
          <w:szCs w:val="16"/>
        </w:rPr>
        <w:t xml:space="preserve"> </w:t>
      </w:r>
      <w:r w:rsidRPr="00EF190F">
        <w:rPr>
          <w:i/>
          <w:sz w:val="16"/>
          <w:szCs w:val="16"/>
        </w:rPr>
        <w:t>Reparaciones</w:t>
      </w:r>
      <w:r w:rsidRPr="00EF190F">
        <w:rPr>
          <w:sz w:val="16"/>
          <w:szCs w:val="16"/>
        </w:rPr>
        <w:t xml:space="preserve"> </w:t>
      </w:r>
      <w:r w:rsidRPr="00EF190F">
        <w:rPr>
          <w:i/>
          <w:sz w:val="16"/>
          <w:szCs w:val="16"/>
        </w:rPr>
        <w:t>y Costas</w:t>
      </w:r>
      <w:r w:rsidRPr="00EF190F">
        <w:rPr>
          <w:sz w:val="16"/>
          <w:szCs w:val="16"/>
        </w:rPr>
        <w:t>. Sentencia de 22 de febrero de 2002. Serie C No. 91</w:t>
      </w:r>
      <w:r w:rsidRPr="00EF190F">
        <w:rPr>
          <w:rFonts w:cs="Verdana"/>
          <w:bCs/>
          <w:sz w:val="16"/>
          <w:szCs w:val="16"/>
          <w:lang w:val="es-ES"/>
        </w:rPr>
        <w:t>, párr. 43</w:t>
      </w:r>
      <w:r w:rsidRPr="00EF190F">
        <w:rPr>
          <w:color w:val="000000"/>
          <w:sz w:val="16"/>
          <w:szCs w:val="16"/>
        </w:rPr>
        <w:t xml:space="preserve">, y </w:t>
      </w:r>
      <w:r w:rsidRPr="00EF190F">
        <w:rPr>
          <w:rStyle w:val="Strong"/>
          <w:b w:val="0"/>
          <w:i/>
          <w:color w:val="000000"/>
          <w:sz w:val="16"/>
          <w:szCs w:val="16"/>
          <w:shd w:val="clear" w:color="auto" w:fill="FFFFFF"/>
        </w:rPr>
        <w:t>Caso Flor Freire Vs. Ecuador. Excepción Preliminar, Fondo, Reparaciones y Costas</w:t>
      </w:r>
      <w:r w:rsidRPr="00EF190F">
        <w:rPr>
          <w:rStyle w:val="Strong"/>
          <w:b w:val="0"/>
          <w:color w:val="000000"/>
          <w:sz w:val="16"/>
          <w:szCs w:val="16"/>
          <w:shd w:val="clear" w:color="auto" w:fill="FFFFFF"/>
        </w:rPr>
        <w:t>. Sentencia de 31 de agosto de 2016. Serie C No. 315, párr. 251</w:t>
      </w:r>
      <w:r w:rsidRPr="00EF190F">
        <w:rPr>
          <w:color w:val="000000"/>
          <w:sz w:val="16"/>
          <w:szCs w:val="16"/>
          <w:lang w:val="es-PR"/>
        </w:rPr>
        <w:t>.</w:t>
      </w:r>
    </w:p>
  </w:footnote>
  <w:footnote w:id="372">
    <w:p w14:paraId="1782FBD4" w14:textId="77777777" w:rsidR="006A0E1C" w:rsidRPr="00EF190F" w:rsidRDefault="006A0E1C" w:rsidP="006A0E1C">
      <w:pPr>
        <w:pStyle w:val="FootnoteText"/>
        <w:tabs>
          <w:tab w:val="left" w:pos="360"/>
        </w:tabs>
        <w:rPr>
          <w:sz w:val="16"/>
          <w:szCs w:val="16"/>
          <w:lang w:val="es-CR"/>
        </w:rPr>
      </w:pPr>
      <w:r w:rsidRPr="00EF190F">
        <w:rPr>
          <w:rStyle w:val="FootnoteReference"/>
          <w:sz w:val="16"/>
          <w:szCs w:val="16"/>
        </w:rPr>
        <w:footnoteRef/>
      </w:r>
      <w:r w:rsidRPr="00EF190F">
        <w:rPr>
          <w:sz w:val="16"/>
          <w:szCs w:val="16"/>
        </w:rPr>
        <w:t xml:space="preserve"> </w:t>
      </w:r>
      <w:r w:rsidRPr="00EF190F">
        <w:rPr>
          <w:sz w:val="16"/>
          <w:szCs w:val="16"/>
          <w:lang w:val="es-MX"/>
        </w:rPr>
        <w:tab/>
      </w:r>
      <w:r w:rsidRPr="00EF190F">
        <w:rPr>
          <w:i/>
          <w:sz w:val="16"/>
          <w:szCs w:val="16"/>
        </w:rPr>
        <w:t>Cfr.</w:t>
      </w:r>
      <w:r w:rsidRPr="00EF190F">
        <w:rPr>
          <w:b/>
          <w:sz w:val="16"/>
          <w:szCs w:val="16"/>
        </w:rPr>
        <w:t xml:space="preserve"> </w:t>
      </w:r>
      <w:r w:rsidRPr="00EF190F">
        <w:rPr>
          <w:i/>
          <w:sz w:val="16"/>
          <w:szCs w:val="16"/>
        </w:rPr>
        <w:t xml:space="preserve">Caso de los Niños de la Calle (Villagrán Morales y otros) Vs. Guatemala. Reparaciones y Costas. </w:t>
      </w:r>
      <w:r w:rsidRPr="00EF190F">
        <w:rPr>
          <w:sz w:val="16"/>
          <w:szCs w:val="16"/>
        </w:rPr>
        <w:t xml:space="preserve">Sentencia de 26 de mayo de 2001. Serie C No. 77, párr. 84, y </w:t>
      </w:r>
      <w:r w:rsidRPr="00EF190F">
        <w:rPr>
          <w:rStyle w:val="Strong"/>
          <w:b w:val="0"/>
          <w:i/>
          <w:color w:val="000000"/>
          <w:sz w:val="16"/>
          <w:szCs w:val="16"/>
          <w:shd w:val="clear" w:color="auto" w:fill="FFFFFF"/>
        </w:rPr>
        <w:t>Caso Flor Freire Vs. Ecuador</w:t>
      </w:r>
      <w:r w:rsidRPr="00EF190F">
        <w:rPr>
          <w:rStyle w:val="Strong"/>
          <w:b w:val="0"/>
          <w:color w:val="000000"/>
          <w:sz w:val="16"/>
          <w:szCs w:val="16"/>
          <w:shd w:val="clear" w:color="auto" w:fill="FFFFFF"/>
        </w:rPr>
        <w:t>, párr. 256.</w:t>
      </w:r>
    </w:p>
  </w:footnote>
  <w:footnote w:id="373">
    <w:p w14:paraId="1703A792" w14:textId="77777777" w:rsidR="006A0E1C" w:rsidRPr="00EF190F" w:rsidRDefault="006A0E1C" w:rsidP="006A0E1C">
      <w:pPr>
        <w:pStyle w:val="FootnoteText"/>
        <w:tabs>
          <w:tab w:val="left" w:pos="360"/>
        </w:tabs>
        <w:contextualSpacing/>
        <w:rPr>
          <w:sz w:val="16"/>
          <w:szCs w:val="16"/>
        </w:rPr>
      </w:pPr>
      <w:r w:rsidRPr="00EF190F">
        <w:rPr>
          <w:rStyle w:val="Caracteresdenotafinal"/>
          <w:sz w:val="16"/>
          <w:szCs w:val="16"/>
        </w:rPr>
        <w:footnoteRef/>
      </w:r>
      <w:r w:rsidRPr="00EF190F">
        <w:rPr>
          <w:sz w:val="16"/>
          <w:szCs w:val="16"/>
        </w:rPr>
        <w:tab/>
      </w:r>
      <w:r w:rsidRPr="00EF190F">
        <w:rPr>
          <w:i/>
          <w:sz w:val="16"/>
          <w:szCs w:val="16"/>
        </w:rPr>
        <w:t>Cfr.</w:t>
      </w:r>
      <w:r w:rsidRPr="00EF190F">
        <w:rPr>
          <w:sz w:val="16"/>
          <w:szCs w:val="16"/>
        </w:rPr>
        <w:t xml:space="preserve"> </w:t>
      </w:r>
      <w:r w:rsidRPr="00EF190F">
        <w:rPr>
          <w:i/>
          <w:sz w:val="16"/>
          <w:szCs w:val="16"/>
          <w:lang w:bidi="en-US"/>
        </w:rPr>
        <w:t>Caso Reverón Trujillo Vs. Venezuela. Excepción Preliminar, Fondo, Reparaciones y Costas.</w:t>
      </w:r>
      <w:r w:rsidRPr="00EF190F">
        <w:rPr>
          <w:sz w:val="16"/>
          <w:szCs w:val="16"/>
          <w:lang w:bidi="en-US"/>
        </w:rPr>
        <w:t xml:space="preserve"> Sentencia de 30 de junio de 2009. Serie C No. 197,</w:t>
      </w:r>
      <w:r w:rsidRPr="00EF190F">
        <w:rPr>
          <w:i/>
          <w:sz w:val="16"/>
          <w:szCs w:val="16"/>
          <w:lang w:bidi="en-US"/>
        </w:rPr>
        <w:t xml:space="preserve"> </w:t>
      </w:r>
      <w:r w:rsidRPr="00EF190F">
        <w:rPr>
          <w:sz w:val="16"/>
          <w:szCs w:val="16"/>
          <w:lang w:bidi="en-US"/>
        </w:rPr>
        <w:t xml:space="preserve">párr. 176, y </w:t>
      </w:r>
      <w:r w:rsidRPr="00EF190F">
        <w:rPr>
          <w:rStyle w:val="Strong"/>
          <w:b w:val="0"/>
          <w:i/>
          <w:color w:val="000000"/>
          <w:sz w:val="16"/>
          <w:szCs w:val="16"/>
          <w:shd w:val="clear" w:color="auto" w:fill="FFFFFF"/>
        </w:rPr>
        <w:t>Caso Maldonado Ordoñez Vs. Guatemala. Excepción Preliminar, Fondo, Reparaciones y Costas</w:t>
      </w:r>
      <w:r w:rsidRPr="00EF190F">
        <w:rPr>
          <w:rStyle w:val="Strong"/>
          <w:b w:val="0"/>
          <w:color w:val="000000"/>
          <w:sz w:val="16"/>
          <w:szCs w:val="16"/>
          <w:shd w:val="clear" w:color="auto" w:fill="FFFFFF"/>
        </w:rPr>
        <w:t>. Sentencia de 3 de mayo de 2016. Serie C No. 311</w:t>
      </w:r>
      <w:r w:rsidRPr="00EF190F">
        <w:rPr>
          <w:i/>
          <w:sz w:val="16"/>
          <w:szCs w:val="16"/>
        </w:rPr>
        <w:t xml:space="preserve">, </w:t>
      </w:r>
      <w:r w:rsidRPr="00EF190F">
        <w:rPr>
          <w:sz w:val="16"/>
          <w:szCs w:val="16"/>
        </w:rPr>
        <w:t>párr. 149.</w:t>
      </w:r>
    </w:p>
  </w:footnote>
  <w:footnote w:id="374">
    <w:p w14:paraId="02403E52" w14:textId="77777777" w:rsidR="006A0E1C" w:rsidRPr="00EF190F" w:rsidRDefault="006A0E1C" w:rsidP="006A0E1C">
      <w:pPr>
        <w:pStyle w:val="FootnoteText"/>
        <w:tabs>
          <w:tab w:val="left" w:pos="360"/>
        </w:tabs>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Informe Actuarial de Daños (expediente de prueba, folios 4305 a 4736).</w:t>
      </w:r>
    </w:p>
  </w:footnote>
  <w:footnote w:id="375">
    <w:p w14:paraId="75A37EB1" w14:textId="77777777" w:rsidR="006A0E1C" w:rsidRPr="00EF190F" w:rsidRDefault="006A0E1C" w:rsidP="006A0E1C">
      <w:pPr>
        <w:pStyle w:val="FootnoteText"/>
        <w:tabs>
          <w:tab w:val="left" w:pos="360"/>
        </w:tabs>
        <w:rPr>
          <w:sz w:val="16"/>
          <w:szCs w:val="16"/>
          <w:lang w:val="es-PR"/>
        </w:rPr>
      </w:pPr>
      <w:r w:rsidRPr="00EF190F">
        <w:rPr>
          <w:rStyle w:val="FootnoteReference"/>
          <w:sz w:val="16"/>
          <w:szCs w:val="16"/>
        </w:rPr>
        <w:footnoteRef/>
      </w:r>
      <w:r w:rsidRPr="00EF190F">
        <w:rPr>
          <w:sz w:val="16"/>
          <w:szCs w:val="16"/>
        </w:rPr>
        <w:t xml:space="preserve"> </w:t>
      </w:r>
      <w:r w:rsidRPr="00EF190F">
        <w:rPr>
          <w:sz w:val="16"/>
          <w:szCs w:val="16"/>
          <w:lang w:val="es-PR"/>
        </w:rPr>
        <w:tab/>
        <w:t xml:space="preserve">Lo anterior, con la excepción de que no se calculó lucro cesante a favor de las personas desaparecidas. </w:t>
      </w:r>
    </w:p>
  </w:footnote>
  <w:footnote w:id="376">
    <w:p w14:paraId="1C404145" w14:textId="77777777" w:rsidR="006A0E1C" w:rsidRPr="00EF190F" w:rsidRDefault="006A0E1C" w:rsidP="006A0E1C">
      <w:pPr>
        <w:widowControl/>
        <w:tabs>
          <w:tab w:val="left" w:pos="360"/>
        </w:tabs>
        <w:autoSpaceDE w:val="0"/>
        <w:autoSpaceDN w:val="0"/>
        <w:spacing w:line="240" w:lineRule="auto"/>
        <w:textAlignment w:val="auto"/>
        <w:rPr>
          <w:rFonts w:eastAsia="Calibri"/>
          <w:sz w:val="16"/>
          <w:szCs w:val="16"/>
          <w:lang w:eastAsia="en-US"/>
        </w:rPr>
      </w:pPr>
      <w:r w:rsidRPr="00EF190F">
        <w:rPr>
          <w:rStyle w:val="FootnoteReference"/>
          <w:sz w:val="16"/>
          <w:szCs w:val="16"/>
        </w:rPr>
        <w:footnoteRef/>
      </w:r>
      <w:r w:rsidRPr="00EF190F">
        <w:rPr>
          <w:sz w:val="16"/>
          <w:szCs w:val="16"/>
        </w:rPr>
        <w:t xml:space="preserve"> </w:t>
      </w:r>
      <w:r w:rsidRPr="00EF190F">
        <w:rPr>
          <w:sz w:val="16"/>
          <w:szCs w:val="16"/>
        </w:rPr>
        <w:tab/>
      </w:r>
      <w:r w:rsidRPr="00EF190F">
        <w:rPr>
          <w:i/>
          <w:sz w:val="16"/>
          <w:szCs w:val="16"/>
        </w:rPr>
        <w:t>Cfr.</w:t>
      </w:r>
      <w:r w:rsidRPr="00EF190F">
        <w:rPr>
          <w:sz w:val="16"/>
          <w:szCs w:val="16"/>
        </w:rPr>
        <w:t xml:space="preserve"> </w:t>
      </w:r>
      <w:r w:rsidRPr="00EF190F">
        <w:rPr>
          <w:rFonts w:eastAsia="Calibri"/>
          <w:sz w:val="16"/>
          <w:szCs w:val="16"/>
          <w:lang w:eastAsia="en-US"/>
        </w:rPr>
        <w:t>Copia de las actas de los pagos realizados a miembros de la aldea Chichupac por el Programa Nacional de Resarcimiento</w:t>
      </w:r>
      <w:r w:rsidRPr="00EF190F">
        <w:rPr>
          <w:sz w:val="16"/>
          <w:szCs w:val="16"/>
        </w:rPr>
        <w:t xml:space="preserve"> (expediente de prueba, folios 10189 a 10804). </w:t>
      </w:r>
    </w:p>
  </w:footnote>
  <w:footnote w:id="377">
    <w:p w14:paraId="6814ACEF" w14:textId="77777777" w:rsidR="006A0E1C" w:rsidRPr="00EF190F" w:rsidRDefault="006A0E1C" w:rsidP="006A0E1C">
      <w:pPr>
        <w:pStyle w:val="FootnoteText"/>
        <w:tabs>
          <w:tab w:val="left" w:pos="360"/>
        </w:tabs>
        <w:contextualSpacing/>
        <w:rPr>
          <w:sz w:val="16"/>
          <w:szCs w:val="16"/>
          <w:lang w:val="es-GT"/>
        </w:rPr>
      </w:pPr>
      <w:r w:rsidRPr="00EF190F">
        <w:rPr>
          <w:rStyle w:val="FootnoteReference"/>
          <w:sz w:val="16"/>
          <w:szCs w:val="16"/>
        </w:rPr>
        <w:footnoteRef/>
      </w:r>
      <w:r w:rsidRPr="00EF190F">
        <w:rPr>
          <w:sz w:val="16"/>
          <w:szCs w:val="16"/>
        </w:rPr>
        <w:t xml:space="preserve"> </w:t>
      </w:r>
      <w:r w:rsidRPr="00EF190F">
        <w:rPr>
          <w:sz w:val="16"/>
          <w:szCs w:val="16"/>
          <w:lang w:val="es-GT"/>
        </w:rPr>
        <w:tab/>
      </w:r>
      <w:r w:rsidRPr="00EF190F">
        <w:rPr>
          <w:i/>
          <w:sz w:val="16"/>
          <w:szCs w:val="16"/>
          <w:lang w:val="es-GT"/>
        </w:rPr>
        <w:t xml:space="preserve">Cfr. </w:t>
      </w:r>
      <w:r w:rsidRPr="00EF190F">
        <w:rPr>
          <w:rStyle w:val="Strong"/>
          <w:b w:val="0"/>
          <w:i/>
          <w:color w:val="000000"/>
          <w:sz w:val="16"/>
          <w:szCs w:val="16"/>
          <w:shd w:val="clear" w:color="auto" w:fill="FFFFFF"/>
        </w:rPr>
        <w:t>Caso Gudiel Álvarez y otros ("Diario Militar") Vs. Guatemala</w:t>
      </w:r>
      <w:r w:rsidRPr="00EF190F">
        <w:rPr>
          <w:rStyle w:val="Strong"/>
          <w:b w:val="0"/>
          <w:color w:val="000000"/>
          <w:sz w:val="16"/>
          <w:szCs w:val="16"/>
          <w:shd w:val="clear" w:color="auto" w:fill="FFFFFF"/>
        </w:rPr>
        <w:t xml:space="preserve">, párr. 389, y </w:t>
      </w:r>
      <w:r w:rsidRPr="00EF190F">
        <w:rPr>
          <w:i/>
          <w:sz w:val="16"/>
          <w:szCs w:val="16"/>
          <w:lang w:val="es-GT"/>
        </w:rPr>
        <w:t>Caso Masacres de Río Negro Vs. Guatemala</w:t>
      </w:r>
      <w:r w:rsidRPr="00EF190F">
        <w:rPr>
          <w:sz w:val="16"/>
          <w:szCs w:val="16"/>
          <w:lang w:val="es-GT"/>
        </w:rPr>
        <w:t>, párr. 304.</w:t>
      </w:r>
    </w:p>
  </w:footnote>
  <w:footnote w:id="378">
    <w:p w14:paraId="7C3B47DA" w14:textId="77777777" w:rsidR="006A0E1C" w:rsidRPr="00EF190F" w:rsidRDefault="006A0E1C" w:rsidP="006A0E1C">
      <w:pPr>
        <w:tabs>
          <w:tab w:val="left" w:pos="-540"/>
          <w:tab w:val="left" w:pos="360"/>
        </w:tabs>
        <w:spacing w:line="240" w:lineRule="auto"/>
        <w:contextualSpacing/>
        <w:rPr>
          <w:color w:val="000000"/>
          <w:sz w:val="16"/>
          <w:szCs w:val="16"/>
        </w:rPr>
      </w:pPr>
      <w:r w:rsidRPr="00EF190F">
        <w:rPr>
          <w:rStyle w:val="Caracteresdenotafinal"/>
          <w:sz w:val="16"/>
          <w:szCs w:val="16"/>
        </w:rPr>
        <w:footnoteRef/>
      </w:r>
      <w:r w:rsidRPr="00EF190F">
        <w:rPr>
          <w:sz w:val="16"/>
          <w:szCs w:val="16"/>
        </w:rPr>
        <w:tab/>
      </w:r>
      <w:r w:rsidRPr="00EF190F">
        <w:rPr>
          <w:i/>
          <w:sz w:val="16"/>
          <w:szCs w:val="16"/>
        </w:rPr>
        <w:t xml:space="preserve">Cfr. </w:t>
      </w:r>
      <w:r w:rsidRPr="00EF190F">
        <w:rPr>
          <w:bCs/>
          <w:i/>
          <w:color w:val="000000"/>
          <w:sz w:val="16"/>
          <w:szCs w:val="16"/>
        </w:rPr>
        <w:t>Caso Ticona Estrada y otros Vs. Bolivia</w:t>
      </w:r>
      <w:r w:rsidRPr="00EF190F">
        <w:rPr>
          <w:color w:val="000000"/>
          <w:sz w:val="16"/>
          <w:szCs w:val="16"/>
        </w:rPr>
        <w:t>, párr. 109</w:t>
      </w:r>
      <w:r w:rsidRPr="00EF190F">
        <w:rPr>
          <w:sz w:val="16"/>
          <w:szCs w:val="16"/>
        </w:rPr>
        <w:t xml:space="preserve">, y </w:t>
      </w:r>
      <w:r w:rsidRPr="00EF190F">
        <w:rPr>
          <w:bCs/>
          <w:i/>
          <w:color w:val="000000"/>
          <w:sz w:val="16"/>
          <w:szCs w:val="16"/>
        </w:rPr>
        <w:t>Caso Masacres de Río Negro Vs. Guatemala,</w:t>
      </w:r>
      <w:r w:rsidRPr="00EF190F">
        <w:rPr>
          <w:color w:val="000000"/>
          <w:sz w:val="16"/>
          <w:szCs w:val="16"/>
        </w:rPr>
        <w:t xml:space="preserve"> párr. 309.</w:t>
      </w:r>
    </w:p>
  </w:footnote>
  <w:footnote w:id="379">
    <w:p w14:paraId="09408024" w14:textId="77777777" w:rsidR="006A0E1C" w:rsidRPr="00EF190F" w:rsidRDefault="006A0E1C" w:rsidP="006A0E1C">
      <w:pPr>
        <w:pStyle w:val="FootnoteText"/>
        <w:contextualSpacing/>
        <w:rPr>
          <w:sz w:val="16"/>
          <w:szCs w:val="16"/>
          <w:lang w:val="es-GT"/>
        </w:rPr>
      </w:pPr>
      <w:r w:rsidRPr="00EF190F">
        <w:rPr>
          <w:rStyle w:val="FootnoteReference"/>
          <w:sz w:val="16"/>
          <w:szCs w:val="16"/>
        </w:rPr>
        <w:footnoteRef/>
      </w:r>
      <w:r w:rsidRPr="00EF190F">
        <w:rPr>
          <w:sz w:val="16"/>
          <w:szCs w:val="16"/>
        </w:rPr>
        <w:t xml:space="preserve"> </w:t>
      </w:r>
      <w:r w:rsidRPr="00EF190F">
        <w:rPr>
          <w:sz w:val="16"/>
          <w:szCs w:val="16"/>
          <w:lang w:val="es-GT"/>
        </w:rPr>
        <w:tab/>
      </w:r>
      <w:r w:rsidRPr="00EF190F">
        <w:rPr>
          <w:sz w:val="16"/>
          <w:szCs w:val="16"/>
        </w:rPr>
        <w:t xml:space="preserve">En sus alegatos finales escritos manifestó, en relación con la solicitud de los representantes del </w:t>
      </w:r>
      <w:r w:rsidRPr="00EF190F">
        <w:rPr>
          <w:rFonts w:eastAsia="Calibri"/>
          <w:sz w:val="16"/>
          <w:szCs w:val="16"/>
          <w:lang w:val="es-CR"/>
        </w:rPr>
        <w:t xml:space="preserve">pago de costas y gastos, </w:t>
      </w:r>
      <w:r w:rsidRPr="00EF190F">
        <w:rPr>
          <w:sz w:val="16"/>
          <w:szCs w:val="16"/>
        </w:rPr>
        <w:t>que</w:t>
      </w:r>
      <w:r w:rsidRPr="00EF190F">
        <w:rPr>
          <w:rFonts w:eastAsia="Calibri"/>
          <w:sz w:val="16"/>
          <w:szCs w:val="16"/>
          <w:lang w:val="es-CR"/>
        </w:rPr>
        <w:t xml:space="preserve"> estos se habrían presentado “de forma discrecional, toda vez que no se dem[ostraron] fehacientemente con documentos comprobables”. Igualmente solicitó a la Corte “tomar en consideración, que en ningún momento se ajusta a la realidad lo descrito de forma general por parte de los representantes, </w:t>
      </w:r>
      <w:r w:rsidRPr="00EF190F">
        <w:rPr>
          <w:rFonts w:eastAsia="Calibri" w:cs="Arial"/>
          <w:sz w:val="16"/>
          <w:szCs w:val="16"/>
          <w:lang w:val="es-CR"/>
        </w:rPr>
        <w:t xml:space="preserve">y </w:t>
      </w:r>
      <w:r w:rsidRPr="00EF190F">
        <w:rPr>
          <w:rFonts w:eastAsia="Calibri"/>
          <w:sz w:val="16"/>
          <w:szCs w:val="16"/>
          <w:lang w:val="es-CR"/>
        </w:rPr>
        <w:t xml:space="preserve">que al momento de emitir una resolución, también debe reconsiderarse la situación económica del país, </w:t>
      </w:r>
      <w:r w:rsidRPr="00EF190F">
        <w:rPr>
          <w:rFonts w:eastAsia="Calibri" w:cs="Arial"/>
          <w:sz w:val="16"/>
          <w:szCs w:val="16"/>
          <w:lang w:val="es-CR"/>
        </w:rPr>
        <w:t xml:space="preserve">y </w:t>
      </w:r>
      <w:r w:rsidRPr="00EF190F">
        <w:rPr>
          <w:rFonts w:eastAsia="Calibri"/>
          <w:sz w:val="16"/>
          <w:szCs w:val="16"/>
          <w:lang w:val="es-CR"/>
        </w:rPr>
        <w:t xml:space="preserve">el no enriquecimiento desproporcionado de las presuntas víctimas”. </w:t>
      </w:r>
    </w:p>
  </w:footnote>
  <w:footnote w:id="380">
    <w:p w14:paraId="0A80A7FE" w14:textId="77777777" w:rsidR="006A0E1C" w:rsidRPr="00EF190F" w:rsidRDefault="006A0E1C" w:rsidP="006A0E1C">
      <w:pPr>
        <w:pStyle w:val="FootnoteText"/>
        <w:rPr>
          <w:sz w:val="16"/>
          <w:szCs w:val="16"/>
          <w:lang w:val="es-CL"/>
        </w:rPr>
      </w:pPr>
      <w:r w:rsidRPr="00EF190F">
        <w:rPr>
          <w:rStyle w:val="FootnoteReference"/>
          <w:sz w:val="16"/>
          <w:szCs w:val="16"/>
        </w:rPr>
        <w:footnoteRef/>
      </w:r>
      <w:r w:rsidRPr="00EF190F">
        <w:rPr>
          <w:sz w:val="16"/>
          <w:szCs w:val="16"/>
          <w:lang w:val="es-ES"/>
        </w:rPr>
        <w:t xml:space="preserve"> </w:t>
      </w:r>
      <w:r w:rsidRPr="00EF190F">
        <w:rPr>
          <w:i/>
          <w:sz w:val="16"/>
          <w:szCs w:val="16"/>
          <w:lang w:val="es-ES"/>
        </w:rPr>
        <w:t>Cfr. Caso Garrido y Baigorria Vs. Argentina. Reparaciones y Costas</w:t>
      </w:r>
      <w:r w:rsidRPr="00EF190F">
        <w:rPr>
          <w:sz w:val="16"/>
          <w:szCs w:val="16"/>
          <w:lang w:val="es-ES"/>
        </w:rPr>
        <w:t xml:space="preserve">. Sentencia de 27 de agosto de 1998. Serie C No. 39, párrs. 79 y 82, y </w:t>
      </w:r>
      <w:r w:rsidRPr="00EF190F">
        <w:rPr>
          <w:i/>
          <w:sz w:val="16"/>
          <w:szCs w:val="16"/>
          <w:lang w:val="es-ES"/>
        </w:rPr>
        <w:t>Caso Herrera Espinoza y otros</w:t>
      </w:r>
      <w:r w:rsidRPr="00EF190F">
        <w:rPr>
          <w:sz w:val="16"/>
          <w:szCs w:val="16"/>
          <w:lang w:val="es-ES"/>
        </w:rPr>
        <w:t xml:space="preserve">, párrs. </w:t>
      </w:r>
      <w:r w:rsidRPr="00EF190F">
        <w:rPr>
          <w:sz w:val="16"/>
          <w:szCs w:val="16"/>
        </w:rPr>
        <w:t>248 y 249</w:t>
      </w:r>
      <w:r w:rsidRPr="00EF190F">
        <w:rPr>
          <w:sz w:val="16"/>
          <w:szCs w:val="16"/>
          <w:lang w:val="es-ES"/>
        </w:rPr>
        <w:t>.</w:t>
      </w:r>
    </w:p>
  </w:footnote>
  <w:footnote w:id="381">
    <w:p w14:paraId="04B9769F" w14:textId="77777777" w:rsidR="006A0E1C" w:rsidRPr="00EF190F" w:rsidRDefault="006A0E1C" w:rsidP="006A0E1C">
      <w:pPr>
        <w:pStyle w:val="FootnoteText"/>
        <w:rPr>
          <w:sz w:val="16"/>
          <w:szCs w:val="16"/>
          <w:lang w:val="es-CL"/>
        </w:rPr>
      </w:pPr>
      <w:r w:rsidRPr="00EF190F">
        <w:rPr>
          <w:rStyle w:val="FootnoteReference"/>
          <w:sz w:val="16"/>
          <w:szCs w:val="16"/>
        </w:rPr>
        <w:footnoteRef/>
      </w:r>
      <w:r w:rsidRPr="00EF190F">
        <w:rPr>
          <w:sz w:val="16"/>
          <w:szCs w:val="16"/>
          <w:lang w:val="es-ES"/>
        </w:rPr>
        <w:t xml:space="preserve"> </w:t>
      </w:r>
      <w:r w:rsidRPr="00EF190F">
        <w:rPr>
          <w:i/>
          <w:sz w:val="16"/>
          <w:szCs w:val="16"/>
          <w:lang w:val="es-ES"/>
        </w:rPr>
        <w:t>Cfr. Caso Chaparro Álvarez y Lapo Íñiguez. Vs. Ecuador. Excepciones Preliminares, Fondo, Reparaciones y Costas</w:t>
      </w:r>
      <w:r w:rsidRPr="00EF190F">
        <w:rPr>
          <w:sz w:val="16"/>
          <w:szCs w:val="16"/>
          <w:lang w:val="es-ES"/>
        </w:rPr>
        <w:t xml:space="preserve">. Sentencia de 21 de noviembre de 2007. Serie C No. 170, párr. 275, y </w:t>
      </w:r>
      <w:r w:rsidRPr="00EF190F">
        <w:rPr>
          <w:i/>
          <w:sz w:val="16"/>
          <w:szCs w:val="16"/>
          <w:lang w:val="es-ES"/>
        </w:rPr>
        <w:t>Caso Herrera Espinoza y otros</w:t>
      </w:r>
      <w:r w:rsidRPr="00EF190F">
        <w:rPr>
          <w:sz w:val="16"/>
          <w:szCs w:val="16"/>
          <w:lang w:val="es-ES"/>
        </w:rPr>
        <w:t xml:space="preserve">, párr. </w:t>
      </w:r>
      <w:r w:rsidRPr="00EF190F">
        <w:rPr>
          <w:sz w:val="16"/>
          <w:szCs w:val="16"/>
        </w:rPr>
        <w:t>248.</w:t>
      </w:r>
    </w:p>
  </w:footnote>
  <w:footnote w:id="382">
    <w:p w14:paraId="5A085FD7" w14:textId="77777777" w:rsidR="006A0E1C" w:rsidRPr="00EF190F" w:rsidRDefault="006A0E1C" w:rsidP="006A0E1C">
      <w:pPr>
        <w:pStyle w:val="FootnoteText"/>
        <w:contextualSpacing/>
        <w:rPr>
          <w:sz w:val="16"/>
          <w:szCs w:val="16"/>
        </w:rPr>
      </w:pPr>
      <w:r w:rsidRPr="00EF190F">
        <w:rPr>
          <w:rStyle w:val="FootnoteReference"/>
          <w:sz w:val="16"/>
          <w:szCs w:val="16"/>
        </w:rPr>
        <w:footnoteRef/>
      </w:r>
      <w:r w:rsidRPr="00EF190F">
        <w:rPr>
          <w:sz w:val="16"/>
          <w:szCs w:val="16"/>
        </w:rPr>
        <w:t xml:space="preserve"> </w:t>
      </w:r>
      <w:r w:rsidRPr="00EF190F">
        <w:rPr>
          <w:sz w:val="16"/>
          <w:szCs w:val="16"/>
        </w:rPr>
        <w:tab/>
        <w:t>Valuación actuarial de daños (expediente de prueba, folios 5397 a 5437).</w:t>
      </w:r>
    </w:p>
  </w:footnote>
  <w:footnote w:id="383">
    <w:p w14:paraId="0E51B026" w14:textId="77777777" w:rsidR="006A0E1C" w:rsidRPr="00EF190F" w:rsidRDefault="006A0E1C" w:rsidP="006A0E1C">
      <w:pPr>
        <w:pStyle w:val="FootnoteText"/>
        <w:contextualSpacing/>
        <w:rPr>
          <w:b/>
          <w:sz w:val="16"/>
          <w:szCs w:val="16"/>
          <w:lang w:val="es-GT"/>
        </w:rPr>
      </w:pPr>
      <w:r w:rsidRPr="00EF190F">
        <w:rPr>
          <w:rStyle w:val="FootnoteReference"/>
          <w:sz w:val="16"/>
          <w:szCs w:val="16"/>
        </w:rPr>
        <w:footnoteRef/>
      </w:r>
      <w:r w:rsidRPr="00EF190F">
        <w:rPr>
          <w:b/>
          <w:sz w:val="16"/>
          <w:szCs w:val="16"/>
        </w:rPr>
        <w:t xml:space="preserve"> </w:t>
      </w:r>
      <w:r w:rsidRPr="00EF190F">
        <w:rPr>
          <w:b/>
          <w:sz w:val="16"/>
          <w:szCs w:val="16"/>
          <w:lang w:val="es-GT"/>
        </w:rPr>
        <w:tab/>
      </w:r>
      <w:r w:rsidRPr="00EF190F">
        <w:rPr>
          <w:sz w:val="16"/>
          <w:szCs w:val="16"/>
          <w:lang w:val="es-GT"/>
        </w:rPr>
        <w:t>La prueba documental remitida por los representantes incluye pagos por: certificaciones extendidas por la municipalidad de Rabinal; cajas mortuorias; el alquiler del salón para una charla informativa; alimentación; transporte; fotocopias; combustible, y timbres notariales y fiscales, todos ellos en relación con la tramitación del presente caso entre los años 2007 a 2014.</w:t>
      </w:r>
      <w:r w:rsidRPr="00EF190F">
        <w:rPr>
          <w:b/>
          <w:sz w:val="16"/>
          <w:szCs w:val="16"/>
          <w:lang w:val="es-GT"/>
        </w:rPr>
        <w:t xml:space="preserve">   </w:t>
      </w:r>
    </w:p>
  </w:footnote>
  <w:footnote w:id="384">
    <w:p w14:paraId="6EDF4AA3" w14:textId="77777777" w:rsidR="006A0E1C" w:rsidRPr="00EF190F" w:rsidRDefault="006A0E1C" w:rsidP="006A0E1C">
      <w:pPr>
        <w:pStyle w:val="FootnoteText"/>
        <w:contextualSpacing/>
        <w:rPr>
          <w:sz w:val="16"/>
          <w:szCs w:val="16"/>
          <w:lang w:val="es-GT"/>
        </w:rPr>
      </w:pPr>
      <w:r w:rsidRPr="00EF190F">
        <w:rPr>
          <w:rStyle w:val="FootnoteReference"/>
          <w:sz w:val="16"/>
          <w:szCs w:val="16"/>
        </w:rPr>
        <w:footnoteRef/>
      </w:r>
      <w:r w:rsidRPr="00EF190F">
        <w:rPr>
          <w:b/>
          <w:sz w:val="16"/>
          <w:szCs w:val="16"/>
        </w:rPr>
        <w:t xml:space="preserve"> </w:t>
      </w:r>
      <w:r w:rsidRPr="00EF190F">
        <w:rPr>
          <w:b/>
          <w:sz w:val="16"/>
          <w:szCs w:val="16"/>
          <w:lang w:val="es-GT"/>
        </w:rPr>
        <w:tab/>
      </w:r>
      <w:r w:rsidRPr="00EF190F">
        <w:rPr>
          <w:sz w:val="16"/>
          <w:szCs w:val="16"/>
          <w:lang w:val="es-GT"/>
        </w:rPr>
        <w:t xml:space="preserve">Entre estos se encuentran: el pago de honorarios entre los años 2007 a 2014 a María Dolores Itzep Manuel; los pagos a Sandra López y Reina Isabel Osorio Tecú por servicios técnicos de investigación prestados entre los años 2007 a 2008; los pagos a Abelina Osorio Sis por concepto de servicios técnicos como procuradora entre los años 2007 a 2008, y los pagos a Carlos Enrique de Paz Alvarado por concepto de pasantía entre los años 2013 y 2014. De igual forma, no se pudo constatar el vínculo con el presente caso de determinados pagos de alimentación, transporte, fotocopias, impresiones y servicio de internet, así como el pago de registro de mandato judicial, todos ellos efectuados en el año 2011.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2DAF09" w14:textId="77777777" w:rsidR="00630EEC" w:rsidRDefault="00630EEC">
    <w:pPr>
      <w:pStyle w:val="Header"/>
      <w:jc w:val="center"/>
    </w:pPr>
    <w:r>
      <w:fldChar w:fldCharType="begin"/>
    </w:r>
    <w:r>
      <w:instrText xml:space="preserve"> PAGE   \* MERGEFORMAT </w:instrText>
    </w:r>
    <w:r>
      <w:fldChar w:fldCharType="separate"/>
    </w:r>
    <w:r w:rsidR="006A0E1C">
      <w:rPr>
        <w:noProof/>
      </w:rPr>
      <w:t>113</w:t>
    </w:r>
    <w:r>
      <w:rPr>
        <w:noProof/>
      </w:rPr>
      <w:fldChar w:fldCharType="end"/>
    </w:r>
  </w:p>
  <w:p w14:paraId="06A0B867" w14:textId="77777777" w:rsidR="00630EEC" w:rsidRDefault="00630E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E920ED" w14:textId="77777777" w:rsidR="00630EEC" w:rsidRPr="00C23ECA" w:rsidRDefault="00630EEC" w:rsidP="00C23ECA">
    <w:pPr>
      <w:pStyle w:val="Header"/>
      <w:jc w:val="right"/>
      <w:rPr>
        <w:i/>
        <w:sz w:val="16"/>
        <w:lang w:val="es-P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2D5791" w14:textId="77777777" w:rsidR="00630EEC" w:rsidRDefault="00630EEC" w:rsidP="00630EEC">
    <w:pPr>
      <w:tabs>
        <w:tab w:val="left" w:pos="5810"/>
      </w:tabs>
      <w:autoSpaceDE w:val="0"/>
      <w:autoSpaceDN w:val="0"/>
      <w:spacing w:line="200" w:lineRule="exact"/>
      <w:rPr>
        <w:rFonts w:ascii="Times New Roman" w:hAnsi="Times New Roman"/>
        <w:sz w:val="20"/>
        <w:szCs w:val="20"/>
      </w:rPr>
    </w:pPr>
    <w:r>
      <w:rPr>
        <w:noProof/>
        <w:lang w:val="es-ES" w:eastAsia="es-ES"/>
      </w:rPr>
      <mc:AlternateContent>
        <mc:Choice Requires="wps">
          <w:drawing>
            <wp:anchor distT="0" distB="0" distL="114300" distR="114300" simplePos="0" relativeHeight="251659264" behindDoc="1" locked="0" layoutInCell="0" allowOverlap="1" wp14:anchorId="47D08F12" wp14:editId="270D8DC4">
              <wp:simplePos x="0" y="0"/>
              <wp:positionH relativeFrom="page">
                <wp:posOffset>3478530</wp:posOffset>
              </wp:positionH>
              <wp:positionV relativeFrom="page">
                <wp:posOffset>300355</wp:posOffset>
              </wp:positionV>
              <wp:extent cx="802640" cy="203200"/>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640" cy="203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CDEDEF" w14:textId="77777777" w:rsidR="00630EEC" w:rsidRPr="00E51DCB" w:rsidRDefault="00630EEC">
                          <w:pPr>
                            <w:autoSpaceDE w:val="0"/>
                            <w:autoSpaceDN w:val="0"/>
                            <w:spacing w:line="307" w:lineRule="exact"/>
                            <w:ind w:left="20" w:right="-62"/>
                            <w:rPr>
                              <w:rFonts w:cs="Arial"/>
                              <w:sz w:val="20"/>
                              <w:szCs w:val="20"/>
                            </w:rPr>
                          </w:pPr>
                          <w:r w:rsidRPr="00E51DCB">
                            <w:rPr>
                              <w:rFonts w:cs="Arial"/>
                              <w:b/>
                              <w:bCs/>
                              <w:spacing w:val="-8"/>
                              <w:sz w:val="20"/>
                              <w:szCs w:val="20"/>
                            </w:rPr>
                            <w:t>A</w:t>
                          </w:r>
                          <w:r w:rsidRPr="00E51DCB">
                            <w:rPr>
                              <w:rFonts w:cs="Arial"/>
                              <w:b/>
                              <w:bCs/>
                              <w:spacing w:val="-1"/>
                              <w:sz w:val="20"/>
                              <w:szCs w:val="20"/>
                            </w:rPr>
                            <w:t>N</w:t>
                          </w:r>
                          <w:r w:rsidRPr="00E51DCB">
                            <w:rPr>
                              <w:rFonts w:cs="Arial"/>
                              <w:b/>
                              <w:bCs/>
                              <w:sz w:val="20"/>
                              <w:szCs w:val="20"/>
                            </w:rPr>
                            <w:t>EXO</w:t>
                          </w:r>
                          <w:r w:rsidRPr="00E51DCB">
                            <w:rPr>
                              <w:rFonts w:cs="Arial"/>
                              <w:b/>
                              <w:bCs/>
                              <w:spacing w:val="1"/>
                              <w:sz w:val="20"/>
                              <w:szCs w:val="20"/>
                            </w:rPr>
                            <w:t xml:space="preserve"> </w:t>
                          </w:r>
                          <w:r w:rsidRPr="00E51DCB">
                            <w:rPr>
                              <w:rFonts w:cs="Arial"/>
                              <w:b/>
                              <w:bCs/>
                              <w:sz w:val="20"/>
                              <w:szCs w:val="20"/>
                            </w:rPr>
                            <w:t>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3" o:spid="_x0000_s1026" type="#_x0000_t202" style="position:absolute;left:0;text-align:left;margin-left:273.9pt;margin-top:23.65pt;width:63.2pt;height:16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" o:allowincell="f" filled="f" stroked="f">
              <v:textbox inset="0,0,0,0">
                <w:txbxContent>
                  <w:p w:rsidR="00630EEC" w:rsidRPr="00E51DCB" w:rsidRDefault="00630EEC">
                    <w:pPr>
                      <w:autoSpaceDE w:val="0"/>
                      <w:autoSpaceDN w:val="0"/>
                      <w:spacing w:line="307" w:lineRule="exact"/>
                      <w:ind w:left="20" w:right="-62"/>
                      <w:rPr>
                        <w:rFonts w:cs="Arial"/>
                        <w:sz w:val="20"/>
                        <w:szCs w:val="20"/>
                      </w:rPr>
                    </w:pPr>
                    <w:r w:rsidRPr="00E51DCB">
                      <w:rPr>
                        <w:rFonts w:cs="Arial"/>
                        <w:b/>
                        <w:bCs/>
                        <w:spacing w:val="-8"/>
                        <w:sz w:val="20"/>
                        <w:szCs w:val="20"/>
                      </w:rPr>
                      <w:t>A</w:t>
                    </w:r>
                    <w:r w:rsidRPr="00E51DCB">
                      <w:rPr>
                        <w:rFonts w:cs="Arial"/>
                        <w:b/>
                        <w:bCs/>
                        <w:spacing w:val="-1"/>
                        <w:sz w:val="20"/>
                        <w:szCs w:val="20"/>
                      </w:rPr>
                      <w:t>N</w:t>
                    </w:r>
                    <w:r w:rsidRPr="00E51DCB">
                      <w:rPr>
                        <w:rFonts w:cs="Arial"/>
                        <w:b/>
                        <w:bCs/>
                        <w:sz w:val="20"/>
                        <w:szCs w:val="20"/>
                      </w:rPr>
                      <w:t>EXO</w:t>
                    </w:r>
                    <w:r w:rsidRPr="00E51DCB">
                      <w:rPr>
                        <w:rFonts w:cs="Arial"/>
                        <w:b/>
                        <w:bCs/>
                        <w:spacing w:val="1"/>
                        <w:sz w:val="20"/>
                        <w:szCs w:val="20"/>
                      </w:rPr>
                      <w:t xml:space="preserve"> </w:t>
                    </w:r>
                    <w:r w:rsidRPr="00E51DCB">
                      <w:rPr>
                        <w:rFonts w:cs="Arial"/>
                        <w:b/>
                        <w:bCs/>
                        <w:sz w:val="20"/>
                        <w:szCs w:val="20"/>
                      </w:rPr>
                      <w:t>I</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D8D400" w14:textId="77777777" w:rsidR="00630EEC" w:rsidRDefault="00630EEC" w:rsidP="00630EEC">
    <w:pPr>
      <w:autoSpaceDE w:val="0"/>
      <w:autoSpaceDN w:val="0"/>
      <w:spacing w:line="307" w:lineRule="exact"/>
      <w:ind w:right="-62"/>
      <w:rPr>
        <w:rFonts w:ascii="Arial" w:hAnsi="Arial" w:cs="Arial"/>
        <w:sz w:val="28"/>
        <w:szCs w:val="28"/>
      </w:rPr>
    </w:pPr>
  </w:p>
  <w:p w14:paraId="5049BBBF" w14:textId="77777777" w:rsidR="00630EEC" w:rsidRPr="0033060E" w:rsidRDefault="00630EEC" w:rsidP="00630EEC">
    <w:pPr>
      <w:autoSpaceDE w:val="0"/>
      <w:autoSpaceDN w:val="0"/>
      <w:spacing w:line="240" w:lineRule="auto"/>
      <w:jc w:val="center"/>
      <w:rPr>
        <w:rFonts w:cs="Arial"/>
        <w:b/>
        <w:sz w:val="20"/>
        <w:szCs w:val="28"/>
      </w:rPr>
    </w:pPr>
    <w:r w:rsidRPr="0033060E">
      <w:rPr>
        <w:rFonts w:cs="Arial"/>
        <w:b/>
        <w:sz w:val="20"/>
        <w:szCs w:val="28"/>
      </w:rPr>
      <w:t>ANEXO II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DE416F" w14:textId="77777777" w:rsidR="00630EEC" w:rsidRDefault="00630EEC">
    <w:pPr>
      <w:autoSpaceDE w:val="0"/>
      <w:autoSpaceDN w:val="0"/>
      <w:spacing w:line="240" w:lineRule="auto"/>
      <w:rPr>
        <w:rFonts w:ascii="Times New Roman" w:hAnsi="Times New Roman"/>
        <w:sz w:val="10"/>
        <w:szCs w:val="10"/>
      </w:rPr>
    </w:pPr>
  </w:p>
  <w:p w14:paraId="2C80FC8B" w14:textId="77777777" w:rsidR="00630EEC" w:rsidRDefault="00630EEC">
    <w:pPr>
      <w:autoSpaceDE w:val="0"/>
      <w:autoSpaceDN w:val="0"/>
      <w:spacing w:line="240" w:lineRule="auto"/>
      <w:rPr>
        <w:rFonts w:ascii="Times New Roman" w:hAnsi="Times New Roman"/>
        <w:sz w:val="10"/>
        <w:szCs w:val="10"/>
      </w:rPr>
    </w:pPr>
  </w:p>
  <w:p w14:paraId="6B652354" w14:textId="77777777" w:rsidR="00630EEC" w:rsidRDefault="00630EEC">
    <w:pPr>
      <w:autoSpaceDE w:val="0"/>
      <w:autoSpaceDN w:val="0"/>
      <w:spacing w:line="240" w:lineRule="auto"/>
      <w:rPr>
        <w:rFonts w:ascii="Times New Roman" w:hAnsi="Times New Roman"/>
        <w:sz w:val="10"/>
        <w:szCs w:val="10"/>
      </w:rPr>
    </w:pPr>
  </w:p>
  <w:p w14:paraId="22094E9F" w14:textId="77777777" w:rsidR="00630EEC" w:rsidRPr="0033060E" w:rsidRDefault="00630EEC" w:rsidP="00630EEC">
    <w:pPr>
      <w:autoSpaceDE w:val="0"/>
      <w:autoSpaceDN w:val="0"/>
      <w:spacing w:line="307" w:lineRule="exact"/>
      <w:ind w:left="20" w:right="-62"/>
      <w:jc w:val="center"/>
      <w:rPr>
        <w:rFonts w:cs="Arial"/>
        <w:b/>
        <w:sz w:val="20"/>
        <w:szCs w:val="20"/>
      </w:rPr>
    </w:pPr>
    <w:r w:rsidRPr="0033060E">
      <w:rPr>
        <w:rFonts w:cs="Arial"/>
        <w:b/>
        <w:bCs/>
        <w:spacing w:val="-8"/>
        <w:sz w:val="20"/>
        <w:szCs w:val="20"/>
      </w:rPr>
      <w:t>ANEXO</w:t>
    </w:r>
    <w:r w:rsidRPr="0033060E">
      <w:rPr>
        <w:rFonts w:cs="Arial"/>
        <w:b/>
        <w:sz w:val="20"/>
        <w:szCs w:val="20"/>
      </w:rPr>
      <w:t xml:space="preserve"> II</w:t>
    </w:r>
  </w:p>
  <w:p w14:paraId="5A19DC0A" w14:textId="77777777" w:rsidR="00630EEC" w:rsidRDefault="00630EEC">
    <w:pPr>
      <w:autoSpaceDE w:val="0"/>
      <w:autoSpaceDN w:val="0"/>
      <w:spacing w:line="240" w:lineRule="auto"/>
      <w:rPr>
        <w:rFonts w:ascii="Times New Roman" w:hAnsi="Times New Roman"/>
        <w:sz w:val="10"/>
        <w:szCs w:val="1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95AC85" w14:textId="77777777" w:rsidR="00630EEC" w:rsidRDefault="00630EEC">
    <w:pPr>
      <w:autoSpaceDE w:val="0"/>
      <w:autoSpaceDN w:val="0"/>
      <w:spacing w:line="240" w:lineRule="auto"/>
      <w:rPr>
        <w:rFonts w:ascii="Times New Roman" w:hAnsi="Times New Roman"/>
        <w:sz w:val="10"/>
        <w:szCs w:val="10"/>
      </w:rPr>
    </w:pPr>
  </w:p>
  <w:p w14:paraId="4E08328C" w14:textId="77777777" w:rsidR="00630EEC" w:rsidRDefault="00630EEC">
    <w:pPr>
      <w:autoSpaceDE w:val="0"/>
      <w:autoSpaceDN w:val="0"/>
      <w:spacing w:line="240" w:lineRule="auto"/>
      <w:rPr>
        <w:rFonts w:ascii="Times New Roman" w:hAnsi="Times New Roman"/>
        <w:sz w:val="10"/>
        <w:szCs w:val="10"/>
      </w:rPr>
    </w:pPr>
  </w:p>
  <w:p w14:paraId="2B880299" w14:textId="77777777" w:rsidR="00630EEC" w:rsidRDefault="00630EEC">
    <w:pPr>
      <w:autoSpaceDE w:val="0"/>
      <w:autoSpaceDN w:val="0"/>
      <w:spacing w:line="240" w:lineRule="auto"/>
      <w:rPr>
        <w:rFonts w:ascii="Times New Roman" w:hAnsi="Times New Roman"/>
        <w:sz w:val="10"/>
        <w:szCs w:val="10"/>
      </w:rPr>
    </w:pPr>
  </w:p>
  <w:p w14:paraId="1BD863FA" w14:textId="77777777" w:rsidR="00630EEC" w:rsidRPr="0033060E" w:rsidRDefault="00630EEC" w:rsidP="00630EEC">
    <w:pPr>
      <w:autoSpaceDE w:val="0"/>
      <w:autoSpaceDN w:val="0"/>
      <w:spacing w:line="240" w:lineRule="auto"/>
      <w:jc w:val="center"/>
      <w:rPr>
        <w:rFonts w:cs="Arial"/>
        <w:b/>
        <w:sz w:val="20"/>
        <w:szCs w:val="28"/>
      </w:rPr>
    </w:pPr>
    <w:r w:rsidRPr="0033060E">
      <w:rPr>
        <w:rFonts w:cs="Arial"/>
        <w:b/>
        <w:sz w:val="20"/>
        <w:szCs w:val="28"/>
      </w:rPr>
      <w:t>ANEXO II</w:t>
    </w:r>
  </w:p>
  <w:p w14:paraId="578030BB" w14:textId="77777777" w:rsidR="00630EEC" w:rsidRDefault="00630EEC">
    <w:pPr>
      <w:autoSpaceDE w:val="0"/>
      <w:autoSpaceDN w:val="0"/>
      <w:spacing w:line="240" w:lineRule="auto"/>
      <w:rPr>
        <w:rFonts w:ascii="Times New Roman" w:hAnsi="Times New Roman"/>
        <w:sz w:val="10"/>
        <w:szCs w:val="1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10306" w14:textId="77777777" w:rsidR="00630EEC" w:rsidRDefault="00630EEC">
    <w:pPr>
      <w:autoSpaceDE w:val="0"/>
      <w:autoSpaceDN w:val="0"/>
      <w:spacing w:line="240" w:lineRule="auto"/>
      <w:rPr>
        <w:rFonts w:ascii="Times New Roman" w:hAnsi="Times New Roman"/>
        <w:sz w:val="10"/>
        <w:szCs w:val="10"/>
      </w:rPr>
    </w:pPr>
  </w:p>
  <w:p w14:paraId="4EBDCBEE" w14:textId="77777777" w:rsidR="00630EEC" w:rsidRDefault="00630EEC">
    <w:pPr>
      <w:autoSpaceDE w:val="0"/>
      <w:autoSpaceDN w:val="0"/>
      <w:spacing w:line="240" w:lineRule="auto"/>
      <w:rPr>
        <w:rFonts w:ascii="Times New Roman" w:hAnsi="Times New Roman"/>
        <w:sz w:val="10"/>
        <w:szCs w:val="10"/>
      </w:rPr>
    </w:pPr>
  </w:p>
  <w:p w14:paraId="62453FA0" w14:textId="77777777" w:rsidR="00630EEC" w:rsidRDefault="00630EEC">
    <w:pPr>
      <w:autoSpaceDE w:val="0"/>
      <w:autoSpaceDN w:val="0"/>
      <w:spacing w:line="240" w:lineRule="auto"/>
      <w:rPr>
        <w:rFonts w:ascii="Times New Roman" w:hAnsi="Times New Roman"/>
        <w:sz w:val="10"/>
        <w:szCs w:val="10"/>
      </w:rPr>
    </w:pPr>
  </w:p>
  <w:p w14:paraId="15A6D8FC" w14:textId="77777777" w:rsidR="00630EEC" w:rsidRPr="0033060E" w:rsidRDefault="00630EEC" w:rsidP="00630EEC">
    <w:pPr>
      <w:autoSpaceDE w:val="0"/>
      <w:autoSpaceDN w:val="0"/>
      <w:spacing w:line="240" w:lineRule="auto"/>
      <w:jc w:val="center"/>
      <w:rPr>
        <w:rFonts w:cs="Arial"/>
        <w:b/>
        <w:sz w:val="20"/>
        <w:szCs w:val="28"/>
      </w:rPr>
    </w:pPr>
    <w:r w:rsidRPr="0033060E">
      <w:rPr>
        <w:rFonts w:cs="Arial"/>
        <w:b/>
        <w:sz w:val="20"/>
        <w:szCs w:val="28"/>
      </w:rPr>
      <w:t>ANEXO II</w:t>
    </w:r>
  </w:p>
  <w:p w14:paraId="3CDEF8B0" w14:textId="77777777" w:rsidR="00630EEC" w:rsidRDefault="00630EEC">
    <w:pPr>
      <w:autoSpaceDE w:val="0"/>
      <w:autoSpaceDN w:val="0"/>
      <w:spacing w:line="240" w:lineRule="auto"/>
      <w:rPr>
        <w:rFonts w:ascii="Times New Roman" w:hAnsi="Times New Roman"/>
        <w:sz w:val="10"/>
        <w:szCs w:val="1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4B027B" w14:textId="77777777" w:rsidR="00630EEC" w:rsidRDefault="00630EEC">
    <w:pPr>
      <w:autoSpaceDE w:val="0"/>
      <w:autoSpaceDN w:val="0"/>
      <w:spacing w:line="240" w:lineRule="auto"/>
      <w:rPr>
        <w:rFonts w:ascii="Times New Roman" w:hAnsi="Times New Roman"/>
        <w:sz w:val="10"/>
        <w:szCs w:val="10"/>
      </w:rPr>
    </w:pPr>
  </w:p>
  <w:p w14:paraId="24AB00E0" w14:textId="77777777" w:rsidR="00630EEC" w:rsidRDefault="00630EEC">
    <w:pPr>
      <w:autoSpaceDE w:val="0"/>
      <w:autoSpaceDN w:val="0"/>
      <w:spacing w:line="240" w:lineRule="auto"/>
      <w:rPr>
        <w:rFonts w:ascii="Times New Roman" w:hAnsi="Times New Roman"/>
        <w:sz w:val="10"/>
        <w:szCs w:val="10"/>
      </w:rPr>
    </w:pPr>
  </w:p>
  <w:p w14:paraId="4F4D6332" w14:textId="77777777" w:rsidR="00630EEC" w:rsidRDefault="00630EEC">
    <w:pPr>
      <w:autoSpaceDE w:val="0"/>
      <w:autoSpaceDN w:val="0"/>
      <w:spacing w:line="240" w:lineRule="auto"/>
      <w:rPr>
        <w:rFonts w:ascii="Times New Roman" w:hAnsi="Times New Roman"/>
        <w:sz w:val="10"/>
        <w:szCs w:val="10"/>
      </w:rPr>
    </w:pPr>
  </w:p>
  <w:p w14:paraId="66E35C7D" w14:textId="77777777" w:rsidR="00630EEC" w:rsidRDefault="00630EEC">
    <w:pPr>
      <w:autoSpaceDE w:val="0"/>
      <w:autoSpaceDN w:val="0"/>
      <w:spacing w:line="240" w:lineRule="auto"/>
      <w:rPr>
        <w:rFonts w:ascii="Times New Roman" w:hAnsi="Times New Roman"/>
        <w:sz w:val="10"/>
        <w:szCs w:val="10"/>
      </w:rPr>
    </w:pPr>
  </w:p>
  <w:p w14:paraId="3B6013C2" w14:textId="77777777" w:rsidR="00630EEC" w:rsidRDefault="00630EEC">
    <w:pPr>
      <w:autoSpaceDE w:val="0"/>
      <w:autoSpaceDN w:val="0"/>
      <w:spacing w:line="240" w:lineRule="auto"/>
      <w:rPr>
        <w:rFonts w:ascii="Times New Roman" w:hAnsi="Times New Roman"/>
        <w:sz w:val="10"/>
        <w:szCs w:val="10"/>
      </w:rPr>
    </w:pPr>
  </w:p>
  <w:p w14:paraId="6FE2C5FA" w14:textId="77777777" w:rsidR="00630EEC" w:rsidRDefault="00630EEC">
    <w:pPr>
      <w:autoSpaceDE w:val="0"/>
      <w:autoSpaceDN w:val="0"/>
      <w:spacing w:line="240" w:lineRule="auto"/>
      <w:rPr>
        <w:rFonts w:ascii="Times New Roman" w:hAnsi="Times New Roman"/>
        <w:sz w:val="10"/>
        <w:szCs w:val="10"/>
      </w:rPr>
    </w:pPr>
  </w:p>
  <w:p w14:paraId="69D1F31E" w14:textId="77777777" w:rsidR="00630EEC" w:rsidRDefault="00630EEC">
    <w:pPr>
      <w:autoSpaceDE w:val="0"/>
      <w:autoSpaceDN w:val="0"/>
      <w:spacing w:line="240" w:lineRule="auto"/>
      <w:rPr>
        <w:rFonts w:ascii="Times New Roman" w:hAnsi="Times New Roman"/>
        <w:sz w:val="10"/>
        <w:szCs w:val="10"/>
      </w:rPr>
    </w:pPr>
  </w:p>
  <w:p w14:paraId="3668A3EF" w14:textId="77777777" w:rsidR="00630EEC" w:rsidRPr="00C90724" w:rsidRDefault="00630EEC" w:rsidP="00630EEC">
    <w:pPr>
      <w:autoSpaceDE w:val="0"/>
      <w:autoSpaceDN w:val="0"/>
      <w:spacing w:line="240" w:lineRule="auto"/>
      <w:jc w:val="center"/>
      <w:rPr>
        <w:rFonts w:cs="Arial"/>
        <w:b/>
        <w:sz w:val="20"/>
        <w:szCs w:val="28"/>
      </w:rPr>
    </w:pPr>
    <w:r w:rsidRPr="00C90724">
      <w:rPr>
        <w:rFonts w:cs="Arial"/>
        <w:b/>
        <w:sz w:val="20"/>
        <w:szCs w:val="28"/>
      </w:rPr>
      <w:t>ANEXO III</w:t>
    </w:r>
  </w:p>
  <w:p w14:paraId="6765E016" w14:textId="77777777" w:rsidR="00630EEC" w:rsidRDefault="00630EEC">
    <w:pPr>
      <w:autoSpaceDE w:val="0"/>
      <w:autoSpaceDN w:val="0"/>
      <w:spacing w:line="240" w:lineRule="auto"/>
      <w:rPr>
        <w:rFonts w:ascii="Times New Roman" w:hAnsi="Times New Roman"/>
        <w:sz w:val="10"/>
        <w:szCs w:val="1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7C8DA5" w14:textId="77777777" w:rsidR="00630EEC" w:rsidRDefault="00630EEC">
    <w:pPr>
      <w:autoSpaceDE w:val="0"/>
      <w:autoSpaceDN w:val="0"/>
      <w:spacing w:line="240" w:lineRule="auto"/>
      <w:rPr>
        <w:rFonts w:ascii="Times New Roman" w:hAnsi="Times New Roman"/>
        <w:sz w:val="10"/>
        <w:szCs w:val="10"/>
      </w:rPr>
    </w:pPr>
  </w:p>
  <w:p w14:paraId="2552DFAA" w14:textId="77777777" w:rsidR="00630EEC" w:rsidRDefault="00630EEC">
    <w:pPr>
      <w:autoSpaceDE w:val="0"/>
      <w:autoSpaceDN w:val="0"/>
      <w:spacing w:line="240" w:lineRule="auto"/>
      <w:rPr>
        <w:rFonts w:ascii="Times New Roman" w:hAnsi="Times New Roman"/>
        <w:sz w:val="10"/>
        <w:szCs w:val="10"/>
      </w:rPr>
    </w:pPr>
  </w:p>
  <w:p w14:paraId="775B45BC" w14:textId="77777777" w:rsidR="00630EEC" w:rsidRDefault="00630EEC">
    <w:pPr>
      <w:autoSpaceDE w:val="0"/>
      <w:autoSpaceDN w:val="0"/>
      <w:spacing w:line="240" w:lineRule="auto"/>
      <w:rPr>
        <w:rFonts w:ascii="Times New Roman" w:hAnsi="Times New Roman"/>
        <w:sz w:val="10"/>
        <w:szCs w:val="10"/>
      </w:rPr>
    </w:pPr>
  </w:p>
  <w:p w14:paraId="038F3A5B" w14:textId="77777777" w:rsidR="00630EEC" w:rsidRDefault="00630EEC">
    <w:pPr>
      <w:autoSpaceDE w:val="0"/>
      <w:autoSpaceDN w:val="0"/>
      <w:spacing w:line="240" w:lineRule="auto"/>
      <w:rPr>
        <w:rFonts w:ascii="Times New Roman" w:hAnsi="Times New Roman"/>
        <w:sz w:val="10"/>
        <w:szCs w:val="10"/>
      </w:rPr>
    </w:pPr>
  </w:p>
  <w:p w14:paraId="28BE6EAE" w14:textId="77777777" w:rsidR="00630EEC" w:rsidRDefault="00630EEC">
    <w:pPr>
      <w:autoSpaceDE w:val="0"/>
      <w:autoSpaceDN w:val="0"/>
      <w:spacing w:line="240" w:lineRule="auto"/>
      <w:rPr>
        <w:rFonts w:ascii="Times New Roman" w:hAnsi="Times New Roman"/>
        <w:sz w:val="10"/>
        <w:szCs w:val="10"/>
      </w:rPr>
    </w:pPr>
  </w:p>
  <w:p w14:paraId="2CA8D6D7" w14:textId="77777777" w:rsidR="00630EEC" w:rsidRDefault="00630EEC">
    <w:pPr>
      <w:autoSpaceDE w:val="0"/>
      <w:autoSpaceDN w:val="0"/>
      <w:spacing w:line="240" w:lineRule="auto"/>
      <w:rPr>
        <w:rFonts w:ascii="Times New Roman" w:hAnsi="Times New Roman"/>
        <w:sz w:val="10"/>
        <w:szCs w:val="10"/>
      </w:rPr>
    </w:pPr>
  </w:p>
  <w:p w14:paraId="6446B079" w14:textId="77777777" w:rsidR="00630EEC" w:rsidRPr="00C90724" w:rsidRDefault="00630EEC" w:rsidP="00630EEC">
    <w:pPr>
      <w:autoSpaceDE w:val="0"/>
      <w:autoSpaceDN w:val="0"/>
      <w:spacing w:line="240" w:lineRule="auto"/>
      <w:jc w:val="center"/>
      <w:rPr>
        <w:rFonts w:cs="Arial"/>
        <w:b/>
        <w:sz w:val="20"/>
        <w:szCs w:val="28"/>
      </w:rPr>
    </w:pPr>
    <w:r w:rsidRPr="00C90724">
      <w:rPr>
        <w:rFonts w:cs="Arial"/>
        <w:b/>
        <w:sz w:val="20"/>
        <w:szCs w:val="28"/>
      </w:rPr>
      <w:t>ANEXO IV</w:t>
    </w:r>
  </w:p>
  <w:p w14:paraId="06ECFEE8" w14:textId="77777777" w:rsidR="00630EEC" w:rsidRDefault="00630EEC">
    <w:pPr>
      <w:autoSpaceDE w:val="0"/>
      <w:autoSpaceDN w:val="0"/>
      <w:spacing w:line="240" w:lineRule="auto"/>
      <w:rPr>
        <w:rFonts w:ascii="Times New Roman" w:hAnsi="Times New Roman"/>
        <w:sz w:val="10"/>
        <w:szCs w:val="1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146C62A" w14:textId="77777777" w:rsidR="00630EEC" w:rsidRDefault="00630EEC">
    <w:pPr>
      <w:autoSpaceDE w:val="0"/>
      <w:autoSpaceDN w:val="0"/>
      <w:spacing w:line="240" w:lineRule="auto"/>
      <w:rPr>
        <w:rFonts w:ascii="Times New Roman" w:hAnsi="Times New Roman"/>
        <w:sz w:val="10"/>
        <w:szCs w:val="10"/>
      </w:rPr>
    </w:pPr>
  </w:p>
  <w:p w14:paraId="432D1A4A" w14:textId="77777777" w:rsidR="00630EEC" w:rsidRDefault="00630EEC">
    <w:pPr>
      <w:autoSpaceDE w:val="0"/>
      <w:autoSpaceDN w:val="0"/>
      <w:spacing w:line="240" w:lineRule="auto"/>
      <w:rPr>
        <w:rFonts w:ascii="Times New Roman" w:hAnsi="Times New Roman"/>
        <w:sz w:val="10"/>
        <w:szCs w:val="10"/>
      </w:rPr>
    </w:pPr>
  </w:p>
  <w:p w14:paraId="34566B6A" w14:textId="77777777" w:rsidR="00630EEC" w:rsidRDefault="00630EEC">
    <w:pPr>
      <w:autoSpaceDE w:val="0"/>
      <w:autoSpaceDN w:val="0"/>
      <w:spacing w:line="240" w:lineRule="auto"/>
      <w:rPr>
        <w:rFonts w:ascii="Times New Roman" w:hAnsi="Times New Roman"/>
        <w:sz w:val="10"/>
        <w:szCs w:val="10"/>
      </w:rPr>
    </w:pPr>
  </w:p>
  <w:p w14:paraId="726395E0" w14:textId="77777777" w:rsidR="00630EEC" w:rsidRDefault="00630EEC">
    <w:pPr>
      <w:autoSpaceDE w:val="0"/>
      <w:autoSpaceDN w:val="0"/>
      <w:spacing w:line="240" w:lineRule="auto"/>
      <w:rPr>
        <w:rFonts w:ascii="Times New Roman" w:hAnsi="Times New Roman"/>
        <w:sz w:val="10"/>
        <w:szCs w:val="10"/>
      </w:rPr>
    </w:pPr>
  </w:p>
  <w:p w14:paraId="7179A071" w14:textId="77777777" w:rsidR="00630EEC" w:rsidRDefault="00630EEC">
    <w:pPr>
      <w:autoSpaceDE w:val="0"/>
      <w:autoSpaceDN w:val="0"/>
      <w:spacing w:line="240" w:lineRule="auto"/>
      <w:rPr>
        <w:rFonts w:ascii="Times New Roman" w:hAnsi="Times New Roman"/>
        <w:sz w:val="10"/>
        <w:szCs w:val="10"/>
      </w:rPr>
    </w:pPr>
  </w:p>
  <w:p w14:paraId="620D08CF" w14:textId="77777777" w:rsidR="00630EEC" w:rsidRDefault="00630EEC">
    <w:pPr>
      <w:autoSpaceDE w:val="0"/>
      <w:autoSpaceDN w:val="0"/>
      <w:spacing w:line="240" w:lineRule="auto"/>
      <w:rPr>
        <w:rFonts w:ascii="Times New Roman" w:hAnsi="Times New Roman"/>
        <w:sz w:val="10"/>
        <w:szCs w:val="10"/>
      </w:rPr>
    </w:pPr>
  </w:p>
  <w:p w14:paraId="2917CD7C" w14:textId="77777777" w:rsidR="00630EEC" w:rsidRDefault="00630EEC">
    <w:pPr>
      <w:autoSpaceDE w:val="0"/>
      <w:autoSpaceDN w:val="0"/>
      <w:spacing w:line="240" w:lineRule="auto"/>
      <w:rPr>
        <w:rFonts w:ascii="Times New Roman" w:hAnsi="Times New Roman"/>
        <w:sz w:val="10"/>
        <w:szCs w:val="10"/>
      </w:rPr>
    </w:pPr>
  </w:p>
  <w:p w14:paraId="1132D130" w14:textId="77777777" w:rsidR="00630EEC" w:rsidRDefault="00630EEC" w:rsidP="00630EEC">
    <w:pPr>
      <w:autoSpaceDE w:val="0"/>
      <w:autoSpaceDN w:val="0"/>
      <w:spacing w:line="240" w:lineRule="auto"/>
      <w:rPr>
        <w:rFonts w:ascii="Times New Roman" w:hAnsi="Times New Roman"/>
        <w:sz w:val="10"/>
        <w:szCs w:val="10"/>
      </w:rPr>
    </w:pPr>
  </w:p>
  <w:p w14:paraId="658FC852" w14:textId="77777777" w:rsidR="00630EEC" w:rsidRPr="00BD0C75" w:rsidRDefault="00630EEC" w:rsidP="00630EEC">
    <w:pPr>
      <w:autoSpaceDE w:val="0"/>
      <w:autoSpaceDN w:val="0"/>
      <w:spacing w:line="240" w:lineRule="auto"/>
      <w:jc w:val="center"/>
      <w:rPr>
        <w:rFonts w:cs="Arial"/>
        <w:b/>
        <w:sz w:val="20"/>
        <w:szCs w:val="28"/>
      </w:rPr>
    </w:pPr>
    <w:r w:rsidRPr="00BD0C75">
      <w:rPr>
        <w:rFonts w:cs="Arial"/>
        <w:b/>
        <w:sz w:val="20"/>
        <w:szCs w:val="28"/>
      </w:rPr>
      <w:t>ANEXO IV</w:t>
    </w:r>
  </w:p>
  <w:p w14:paraId="5804E03B" w14:textId="77777777" w:rsidR="00630EEC" w:rsidRDefault="00630EEC">
    <w:pPr>
      <w:autoSpaceDE w:val="0"/>
      <w:autoSpaceDN w:val="0"/>
      <w:spacing w:line="240" w:lineRule="auto"/>
      <w:rPr>
        <w:rFonts w:ascii="Times New Roman" w:hAnsi="Times New Roman"/>
        <w:sz w:val="10"/>
        <w:szCs w:val="1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3B10B38" w14:textId="77777777" w:rsidR="00630EEC" w:rsidRDefault="00630EEC">
    <w:pPr>
      <w:autoSpaceDE w:val="0"/>
      <w:autoSpaceDN w:val="0"/>
      <w:spacing w:line="240" w:lineRule="auto"/>
      <w:rPr>
        <w:rFonts w:ascii="Times New Roman" w:hAnsi="Times New Roman"/>
        <w:sz w:val="10"/>
        <w:szCs w:val="10"/>
      </w:rPr>
    </w:pPr>
  </w:p>
  <w:p w14:paraId="3A082582" w14:textId="77777777" w:rsidR="00630EEC" w:rsidRDefault="00630EEC">
    <w:pPr>
      <w:autoSpaceDE w:val="0"/>
      <w:autoSpaceDN w:val="0"/>
      <w:spacing w:line="240" w:lineRule="auto"/>
      <w:rPr>
        <w:rFonts w:ascii="Times New Roman" w:hAnsi="Times New Roman"/>
        <w:sz w:val="10"/>
        <w:szCs w:val="10"/>
      </w:rPr>
    </w:pPr>
  </w:p>
  <w:p w14:paraId="6593AE9C" w14:textId="77777777" w:rsidR="00630EEC" w:rsidRDefault="00630EEC">
    <w:pPr>
      <w:autoSpaceDE w:val="0"/>
      <w:autoSpaceDN w:val="0"/>
      <w:spacing w:line="240" w:lineRule="auto"/>
      <w:rPr>
        <w:rFonts w:ascii="Times New Roman" w:hAnsi="Times New Roman"/>
        <w:sz w:val="10"/>
        <w:szCs w:val="10"/>
      </w:rPr>
    </w:pPr>
  </w:p>
  <w:p w14:paraId="6D9E9453" w14:textId="77777777" w:rsidR="00630EEC" w:rsidRDefault="00630EEC">
    <w:pPr>
      <w:autoSpaceDE w:val="0"/>
      <w:autoSpaceDN w:val="0"/>
      <w:spacing w:line="240" w:lineRule="auto"/>
      <w:rPr>
        <w:rFonts w:ascii="Times New Roman" w:hAnsi="Times New Roman"/>
        <w:sz w:val="10"/>
        <w:szCs w:val="10"/>
      </w:rPr>
    </w:pPr>
  </w:p>
  <w:p w14:paraId="77AD2571" w14:textId="77777777" w:rsidR="00630EEC" w:rsidRDefault="00630EEC">
    <w:pPr>
      <w:autoSpaceDE w:val="0"/>
      <w:autoSpaceDN w:val="0"/>
      <w:spacing w:line="240" w:lineRule="auto"/>
      <w:rPr>
        <w:rFonts w:ascii="Times New Roman" w:hAnsi="Times New Roman"/>
        <w:sz w:val="10"/>
        <w:szCs w:val="10"/>
      </w:rPr>
    </w:pPr>
  </w:p>
  <w:p w14:paraId="48825277" w14:textId="77777777" w:rsidR="00630EEC" w:rsidRPr="006710E5" w:rsidRDefault="00630EEC" w:rsidP="00630EEC">
    <w:pPr>
      <w:autoSpaceDE w:val="0"/>
      <w:autoSpaceDN w:val="0"/>
      <w:spacing w:line="240" w:lineRule="auto"/>
      <w:jc w:val="center"/>
      <w:rPr>
        <w:sz w:val="20"/>
        <w:szCs w:val="28"/>
      </w:rPr>
    </w:pPr>
    <w:r w:rsidRPr="006710E5">
      <w:rPr>
        <w:rFonts w:cs="Arial"/>
        <w:b/>
        <w:color w:val="A6A6A6" w:themeColor="background1" w:themeShade="A6"/>
        <w:sz w:val="20"/>
        <w:szCs w:val="28"/>
      </w:rPr>
      <w:t>ANEXO IV</w:t>
    </w:r>
  </w:p>
  <w:p w14:paraId="4AA28728" w14:textId="77777777" w:rsidR="00630EEC" w:rsidRDefault="00630EEC">
    <w:pPr>
      <w:autoSpaceDE w:val="0"/>
      <w:autoSpaceDN w:val="0"/>
      <w:spacing w:line="240" w:lineRule="auto"/>
      <w:rPr>
        <w:rFonts w:ascii="Times New Roman" w:hAnsi="Times New Roman"/>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D"/>
    <w:multiLevelType w:val="multilevel"/>
    <w:tmpl w:val="F3C0D280"/>
    <w:lvl w:ilvl="0">
      <w:start w:val="297"/>
      <w:numFmt w:val="decimal"/>
      <w:lvlText w:val="%1."/>
      <w:lvlJc w:val="left"/>
      <w:pPr>
        <w:tabs>
          <w:tab w:val="num" w:pos="1276"/>
        </w:tabs>
        <w:ind w:left="1920" w:hanging="360"/>
      </w:pPr>
      <w:rPr>
        <w:rFonts w:ascii="Verdana" w:hAnsi="Verdana" w:hint="default"/>
        <w:b w:val="0"/>
        <w:i w:val="0"/>
        <w:strike w:val="0"/>
        <w:dstrike w:val="0"/>
        <w:color w:val="auto"/>
        <w:sz w:val="20"/>
      </w:rPr>
    </w:lvl>
    <w:lvl w:ilvl="1">
      <w:start w:val="1"/>
      <w:numFmt w:val="upperLetter"/>
      <w:lvlText w:val="%2."/>
      <w:lvlJc w:val="left"/>
      <w:pPr>
        <w:tabs>
          <w:tab w:val="num" w:pos="142"/>
        </w:tabs>
        <w:ind w:left="786" w:hanging="360"/>
      </w:pPr>
      <w:rPr>
        <w:rFonts w:ascii="Verdana" w:hAnsi="Verdana" w:hint="default"/>
        <w:b/>
        <w:i/>
        <w:strike w:val="0"/>
        <w:dstrike w:val="0"/>
        <w:color w:val="auto"/>
        <w:sz w:val="20"/>
      </w:rPr>
    </w:lvl>
    <w:lvl w:ilvl="2">
      <w:start w:val="1"/>
      <w:numFmt w:val="lowerRoman"/>
      <w:lvlText w:val="%3."/>
      <w:lvlJc w:val="left"/>
      <w:pPr>
        <w:tabs>
          <w:tab w:val="num" w:pos="0"/>
        </w:tabs>
        <w:ind w:left="2160" w:hanging="180"/>
      </w:pPr>
      <w:rPr>
        <w:rFonts w:hint="default"/>
      </w:rPr>
    </w:lvl>
    <w:lvl w:ilvl="3">
      <w:start w:val="266"/>
      <w:numFmt w:val="decimal"/>
      <w:lvlText w:val="%4."/>
      <w:lvlJc w:val="left"/>
      <w:pPr>
        <w:tabs>
          <w:tab w:val="num" w:pos="0"/>
        </w:tabs>
        <w:ind w:left="2880" w:hanging="360"/>
      </w:pPr>
      <w:rPr>
        <w:rFonts w:hint="default"/>
        <w:b w:val="0"/>
      </w:rPr>
    </w:lvl>
    <w:lvl w:ilvl="4">
      <w:start w:val="1"/>
      <w:numFmt w:val="lowerLetter"/>
      <w:lvlText w:val="%5."/>
      <w:lvlJc w:val="left"/>
      <w:pPr>
        <w:tabs>
          <w:tab w:val="num" w:pos="0"/>
        </w:tabs>
        <w:ind w:left="3600" w:hanging="360"/>
      </w:pPr>
      <w:rPr>
        <w:rFonts w:hint="default"/>
      </w:rPr>
    </w:lvl>
    <w:lvl w:ilvl="5">
      <w:start w:val="1"/>
      <w:numFmt w:val="lowerRoman"/>
      <w:lvlText w:val="%6."/>
      <w:lvlJc w:val="left"/>
      <w:pPr>
        <w:tabs>
          <w:tab w:val="num" w:pos="0"/>
        </w:tabs>
        <w:ind w:left="4320" w:hanging="180"/>
      </w:pPr>
      <w:rPr>
        <w:rFonts w:hint="default"/>
      </w:rPr>
    </w:lvl>
    <w:lvl w:ilvl="6">
      <w:start w:val="1"/>
      <w:numFmt w:val="decimal"/>
      <w:lvlText w:val="%7."/>
      <w:lvlJc w:val="left"/>
      <w:pPr>
        <w:tabs>
          <w:tab w:val="num" w:pos="0"/>
        </w:tabs>
        <w:ind w:left="5040" w:hanging="360"/>
      </w:pPr>
      <w:rPr>
        <w:rFonts w:hint="default"/>
      </w:rPr>
    </w:lvl>
    <w:lvl w:ilvl="7">
      <w:start w:val="1"/>
      <w:numFmt w:val="lowerLetter"/>
      <w:lvlText w:val="%8."/>
      <w:lvlJc w:val="left"/>
      <w:pPr>
        <w:tabs>
          <w:tab w:val="num" w:pos="0"/>
        </w:tabs>
        <w:ind w:left="5760" w:hanging="360"/>
      </w:pPr>
      <w:rPr>
        <w:rFonts w:hint="default"/>
      </w:rPr>
    </w:lvl>
    <w:lvl w:ilvl="8">
      <w:start w:val="1"/>
      <w:numFmt w:val="lowerRoman"/>
      <w:lvlText w:val="%9."/>
      <w:lvlJc w:val="left"/>
      <w:pPr>
        <w:tabs>
          <w:tab w:val="num" w:pos="0"/>
        </w:tabs>
        <w:ind w:left="6480" w:hanging="180"/>
      </w:pPr>
      <w:rPr>
        <w:rFonts w:hint="default"/>
      </w:rPr>
    </w:lvl>
  </w:abstractNum>
  <w:abstractNum w:abstractNumId="1" w15:restartNumberingAfterBreak="0">
    <w:nsid w:val="004221CF"/>
    <w:multiLevelType w:val="hybridMultilevel"/>
    <w:tmpl w:val="C59A1D4E"/>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04710019"/>
    <w:multiLevelType w:val="hybridMultilevel"/>
    <w:tmpl w:val="3D32FE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D738F0"/>
    <w:multiLevelType w:val="multilevel"/>
    <w:tmpl w:val="CF86E872"/>
    <w:lvl w:ilvl="0">
      <w:start w:val="132"/>
      <w:numFmt w:val="decimal"/>
      <w:lvlText w:val="%1."/>
      <w:lvlJc w:val="left"/>
      <w:pPr>
        <w:ind w:left="360" w:hanging="360"/>
      </w:pPr>
      <w:rPr>
        <w:rFonts w:ascii="Verdana" w:hAnsi="Verdana" w:hint="default"/>
        <w:color w:val="auto"/>
        <w:sz w:val="20"/>
        <w:szCs w:val="20"/>
      </w:rPr>
    </w:lvl>
    <w:lvl w:ilvl="1">
      <w:start w:val="2"/>
      <w:numFmt w:val="decimal"/>
      <w:isLgl/>
      <w:lvlText w:val="%1.%2"/>
      <w:lvlJc w:val="left"/>
      <w:pPr>
        <w:ind w:left="720" w:hanging="720"/>
      </w:pPr>
      <w:rPr>
        <w:rFonts w:hint="default"/>
        <w:i/>
      </w:rPr>
    </w:lvl>
    <w:lvl w:ilvl="2">
      <w:start w:val="1"/>
      <w:numFmt w:val="decimal"/>
      <w:isLgl/>
      <w:lvlText w:val="%1.%2.%3"/>
      <w:lvlJc w:val="left"/>
      <w:pPr>
        <w:ind w:left="720" w:hanging="720"/>
      </w:pPr>
      <w:rPr>
        <w:rFonts w:hint="default"/>
        <w:i/>
      </w:rPr>
    </w:lvl>
    <w:lvl w:ilvl="3">
      <w:start w:val="1"/>
      <w:numFmt w:val="decimal"/>
      <w:isLgl/>
      <w:lvlText w:val="%1.%2.%3.%4"/>
      <w:lvlJc w:val="left"/>
      <w:pPr>
        <w:ind w:left="1080" w:hanging="1080"/>
      </w:pPr>
      <w:rPr>
        <w:rFonts w:hint="default"/>
        <w:i/>
      </w:rPr>
    </w:lvl>
    <w:lvl w:ilvl="4">
      <w:start w:val="1"/>
      <w:numFmt w:val="decimal"/>
      <w:isLgl/>
      <w:lvlText w:val="%1.%2.%3.%4.%5"/>
      <w:lvlJc w:val="left"/>
      <w:pPr>
        <w:ind w:left="1440" w:hanging="1440"/>
      </w:pPr>
      <w:rPr>
        <w:rFonts w:hint="default"/>
        <w:i/>
      </w:rPr>
    </w:lvl>
    <w:lvl w:ilvl="5">
      <w:start w:val="1"/>
      <w:numFmt w:val="decimal"/>
      <w:isLgl/>
      <w:lvlText w:val="%1.%2.%3.%4.%5.%6"/>
      <w:lvlJc w:val="left"/>
      <w:pPr>
        <w:ind w:left="1440" w:hanging="1440"/>
      </w:pPr>
      <w:rPr>
        <w:rFonts w:hint="default"/>
        <w:i/>
      </w:rPr>
    </w:lvl>
    <w:lvl w:ilvl="6">
      <w:start w:val="1"/>
      <w:numFmt w:val="decimal"/>
      <w:isLgl/>
      <w:lvlText w:val="%1.%2.%3.%4.%5.%6.%7"/>
      <w:lvlJc w:val="left"/>
      <w:pPr>
        <w:ind w:left="1800" w:hanging="1800"/>
      </w:pPr>
      <w:rPr>
        <w:rFonts w:hint="default"/>
        <w:i/>
      </w:rPr>
    </w:lvl>
    <w:lvl w:ilvl="7">
      <w:start w:val="1"/>
      <w:numFmt w:val="decimal"/>
      <w:isLgl/>
      <w:lvlText w:val="%1.%2.%3.%4.%5.%6.%7.%8"/>
      <w:lvlJc w:val="left"/>
      <w:pPr>
        <w:ind w:left="2160" w:hanging="2160"/>
      </w:pPr>
      <w:rPr>
        <w:rFonts w:hint="default"/>
        <w:i/>
      </w:rPr>
    </w:lvl>
    <w:lvl w:ilvl="8">
      <w:start w:val="1"/>
      <w:numFmt w:val="decimal"/>
      <w:isLgl/>
      <w:lvlText w:val="%1.%2.%3.%4.%5.%6.%7.%8.%9"/>
      <w:lvlJc w:val="left"/>
      <w:pPr>
        <w:ind w:left="2160" w:hanging="2160"/>
      </w:pPr>
      <w:rPr>
        <w:rFonts w:hint="default"/>
        <w:i/>
      </w:rPr>
    </w:lvl>
  </w:abstractNum>
  <w:abstractNum w:abstractNumId="4" w15:restartNumberingAfterBreak="0">
    <w:nsid w:val="060B0FF4"/>
    <w:multiLevelType w:val="hybridMultilevel"/>
    <w:tmpl w:val="AAECB026"/>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07515E9E"/>
    <w:multiLevelType w:val="hybridMultilevel"/>
    <w:tmpl w:val="0F2C85A0"/>
    <w:lvl w:ilvl="0" w:tplc="D17E8D10">
      <w:start w:val="1"/>
      <w:numFmt w:val="decimal"/>
      <w:lvlText w:val="%1."/>
      <w:lvlJc w:val="left"/>
      <w:pPr>
        <w:ind w:left="720" w:hanging="360"/>
      </w:pPr>
      <w:rPr>
        <w:sz w:val="20"/>
        <w:szCs w:val="20"/>
        <w:lang w:val="es-ES_tradnl"/>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0BEB613D"/>
    <w:multiLevelType w:val="hybridMultilevel"/>
    <w:tmpl w:val="8EB654F0"/>
    <w:lvl w:ilvl="0" w:tplc="04090015">
      <w:start w:val="1"/>
      <w:numFmt w:val="upp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1204465A"/>
    <w:multiLevelType w:val="hybridMultilevel"/>
    <w:tmpl w:val="2C8AFF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BD08F0"/>
    <w:multiLevelType w:val="hybridMultilevel"/>
    <w:tmpl w:val="65AAAB00"/>
    <w:lvl w:ilvl="0" w:tplc="E4BA4460">
      <w:start w:val="1"/>
      <w:numFmt w:val="decimal"/>
      <w:lvlText w:val="%1."/>
      <w:lvlJc w:val="left"/>
      <w:pPr>
        <w:ind w:left="1211" w:hanging="360"/>
      </w:pPr>
      <w:rPr>
        <w:rFonts w:ascii="Verdana" w:hAnsi="Verdana" w:hint="default"/>
        <w:b w:val="0"/>
        <w:i w:val="0"/>
        <w:strike w:val="0"/>
        <w:color w:val="auto"/>
        <w:sz w:val="20"/>
        <w:szCs w:val="20"/>
      </w:rPr>
    </w:lvl>
    <w:lvl w:ilvl="1" w:tplc="CD862E20">
      <w:start w:val="1"/>
      <w:numFmt w:val="lowerLetter"/>
      <w:lvlText w:val="%2)"/>
      <w:lvlJc w:val="left"/>
      <w:pPr>
        <w:ind w:left="1440" w:hanging="360"/>
      </w:pPr>
      <w:rPr>
        <w:rFonts w:hint="default"/>
        <w:b w:val="0"/>
        <w:i/>
      </w:rPr>
    </w:lvl>
    <w:lvl w:ilvl="2" w:tplc="0409001B">
      <w:start w:val="1"/>
      <w:numFmt w:val="lowerRoman"/>
      <w:lvlText w:val="%3."/>
      <w:lvlJc w:val="right"/>
      <w:pPr>
        <w:ind w:left="2160" w:hanging="180"/>
      </w:pPr>
    </w:lvl>
    <w:lvl w:ilvl="3" w:tplc="99C8344C">
      <w:start w:val="1"/>
      <w:numFmt w:val="upperLetter"/>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4C0A2E"/>
    <w:multiLevelType w:val="hybridMultilevel"/>
    <w:tmpl w:val="384AB8CC"/>
    <w:lvl w:ilvl="0" w:tplc="02DE3FD4">
      <w:start w:val="1"/>
      <w:numFmt w:val="decimal"/>
      <w:lvlText w:val="%1."/>
      <w:lvlJc w:val="left"/>
      <w:pPr>
        <w:ind w:left="2345" w:hanging="360"/>
      </w:pPr>
      <w:rPr>
        <w:rFonts w:ascii="Verdana" w:hAnsi="Verdana" w:hint="default"/>
        <w:b w:val="0"/>
        <w:i w:val="0"/>
        <w:strike w:val="0"/>
        <w:dstrike w:val="0"/>
        <w:color w:val="auto"/>
        <w:sz w:val="20"/>
        <w:szCs w:val="20"/>
        <w:u w:val="none"/>
        <w:effect w:val="none"/>
        <w:lang w:val="es-MX"/>
      </w:rPr>
    </w:lvl>
    <w:lvl w:ilvl="1" w:tplc="445E5342">
      <w:start w:val="1"/>
      <w:numFmt w:val="lowerLetter"/>
      <w:lvlText w:val="%2)"/>
      <w:lvlJc w:val="left"/>
      <w:pPr>
        <w:ind w:left="1440" w:hanging="360"/>
      </w:pPr>
      <w:rPr>
        <w:b w:val="0"/>
        <w:i/>
      </w:rPr>
    </w:lvl>
    <w:lvl w:ilvl="2" w:tplc="0409001B">
      <w:start w:val="1"/>
      <w:numFmt w:val="lowerRoman"/>
      <w:lvlText w:val="%3."/>
      <w:lvlJc w:val="right"/>
      <w:pPr>
        <w:ind w:left="2160" w:hanging="180"/>
      </w:pPr>
    </w:lvl>
    <w:lvl w:ilvl="3" w:tplc="99C8344C">
      <w:start w:val="1"/>
      <w:numFmt w:val="upperLetter"/>
      <w:lvlText w:val="%4."/>
      <w:lvlJc w:val="left"/>
      <w:pPr>
        <w:ind w:left="3240" w:hanging="72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78B63A9"/>
    <w:multiLevelType w:val="hybridMultilevel"/>
    <w:tmpl w:val="C33C7068"/>
    <w:lvl w:ilvl="0" w:tplc="BA0AC742">
      <w:start w:val="4"/>
      <w:numFmt w:val="upperLetter"/>
      <w:lvlText w:val="%1."/>
      <w:lvlJc w:val="left"/>
      <w:pPr>
        <w:ind w:left="720" w:hanging="360"/>
      </w:pPr>
      <w:rPr>
        <w:rFonts w:eastAsia="Batang" w:cs="Time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CB3436"/>
    <w:multiLevelType w:val="hybridMultilevel"/>
    <w:tmpl w:val="82F67EE6"/>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2" w15:restartNumberingAfterBreak="0">
    <w:nsid w:val="1B6B0FF8"/>
    <w:multiLevelType w:val="hybridMultilevel"/>
    <w:tmpl w:val="0EB46236"/>
    <w:lvl w:ilvl="0" w:tplc="C55A862A">
      <w:start w:val="1"/>
      <w:numFmt w:val="decimal"/>
      <w:lvlText w:val="%1."/>
      <w:lvlJc w:val="left"/>
      <w:pPr>
        <w:tabs>
          <w:tab w:val="num" w:pos="14735"/>
        </w:tabs>
      </w:pPr>
      <w:rPr>
        <w:rFonts w:ascii="Verdana" w:eastAsia="Times New Roman" w:hAnsi="Verdana"/>
        <w:b w:val="0"/>
        <w:bCs w:val="0"/>
        <w:i w:val="0"/>
        <w:iCs w:val="0"/>
        <w:strike w:val="0"/>
        <w:color w:val="auto"/>
        <w:sz w:val="20"/>
        <w:szCs w:val="20"/>
        <w:lang w:val="es-CR"/>
      </w:rPr>
    </w:lvl>
    <w:lvl w:ilvl="1" w:tplc="C7D25ABE">
      <w:start w:val="1"/>
      <w:numFmt w:val="lowerLetter"/>
      <w:lvlText w:val="%2)"/>
      <w:lvlJc w:val="left"/>
      <w:pPr>
        <w:tabs>
          <w:tab w:val="num" w:pos="1080"/>
        </w:tabs>
        <w:ind w:left="1080" w:hanging="360"/>
      </w:pPr>
      <w:rPr>
        <w:rFonts w:hint="default"/>
        <w:b w:val="0"/>
        <w:bCs w:val="0"/>
        <w:i w:val="0"/>
        <w:iCs w:val="0"/>
        <w:sz w:val="20"/>
        <w:szCs w:val="20"/>
      </w:rPr>
    </w:lvl>
    <w:lvl w:ilvl="2" w:tplc="0409001B">
      <w:start w:val="1"/>
      <w:numFmt w:val="lowerRoman"/>
      <w:lvlText w:val="%3."/>
      <w:lvlJc w:val="right"/>
      <w:pPr>
        <w:tabs>
          <w:tab w:val="num" w:pos="1530"/>
        </w:tabs>
        <w:ind w:left="1530" w:hanging="180"/>
      </w:pPr>
      <w:rPr>
        <w:b w:val="0"/>
        <w:strike w:val="0"/>
      </w:rPr>
    </w:lvl>
    <w:lvl w:ilvl="3" w:tplc="140A001B">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24157F73"/>
    <w:multiLevelType w:val="hybridMultilevel"/>
    <w:tmpl w:val="9A0E73E0"/>
    <w:lvl w:ilvl="0" w:tplc="0756D680">
      <w:start w:val="207"/>
      <w:numFmt w:val="decimal"/>
      <w:suff w:val="space"/>
      <w:lvlText w:val="%1."/>
      <w:lvlJc w:val="left"/>
      <w:pPr>
        <w:ind w:left="0" w:firstLine="0"/>
      </w:pPr>
      <w:rPr>
        <w:rFonts w:ascii="Verdana" w:eastAsia="Times New Roman" w:hAnsi="Verdana" w:hint="default"/>
        <w:b w:val="0"/>
        <w:bCs w:val="0"/>
        <w:i w:val="0"/>
        <w:iCs w:val="0"/>
        <w:strike w:val="0"/>
        <w:color w:val="auto"/>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7941F5"/>
    <w:multiLevelType w:val="hybridMultilevel"/>
    <w:tmpl w:val="9E441A94"/>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5" w15:restartNumberingAfterBreak="0">
    <w:nsid w:val="29FE31DD"/>
    <w:multiLevelType w:val="hybridMultilevel"/>
    <w:tmpl w:val="EE1C5B86"/>
    <w:lvl w:ilvl="0" w:tplc="C414F514">
      <w:start w:val="1"/>
      <w:numFmt w:val="lowerLetter"/>
      <w:lvlText w:val="%1)"/>
      <w:lvlJc w:val="left"/>
      <w:pPr>
        <w:tabs>
          <w:tab w:val="num" w:pos="720"/>
        </w:tabs>
        <w:ind w:left="720" w:hanging="360"/>
      </w:pPr>
    </w:lvl>
    <w:lvl w:ilvl="1" w:tplc="00190409">
      <w:start w:val="1"/>
      <w:numFmt w:val="lowerLetter"/>
      <w:lvlText w:val="%2."/>
      <w:lvlJc w:val="left"/>
      <w:pPr>
        <w:tabs>
          <w:tab w:val="num" w:pos="1440"/>
        </w:tabs>
        <w:ind w:left="1440" w:hanging="360"/>
      </w:pPr>
    </w:lvl>
    <w:lvl w:ilvl="2" w:tplc="001B0409">
      <w:start w:val="1"/>
      <w:numFmt w:val="lowerRoman"/>
      <w:lvlText w:val="%3."/>
      <w:lvlJc w:val="right"/>
      <w:pPr>
        <w:tabs>
          <w:tab w:val="num" w:pos="2160"/>
        </w:tabs>
        <w:ind w:left="2160" w:hanging="180"/>
      </w:pPr>
    </w:lvl>
    <w:lvl w:ilvl="3" w:tplc="000F0409">
      <w:start w:val="1"/>
      <w:numFmt w:val="decimal"/>
      <w:lvlText w:val="%4."/>
      <w:lvlJc w:val="left"/>
      <w:pPr>
        <w:tabs>
          <w:tab w:val="num" w:pos="2880"/>
        </w:tabs>
        <w:ind w:left="2880" w:hanging="360"/>
      </w:pPr>
    </w:lvl>
    <w:lvl w:ilvl="4" w:tplc="00190409">
      <w:start w:val="1"/>
      <w:numFmt w:val="lowerLetter"/>
      <w:lvlText w:val="%5."/>
      <w:lvlJc w:val="left"/>
      <w:pPr>
        <w:tabs>
          <w:tab w:val="num" w:pos="3600"/>
        </w:tabs>
        <w:ind w:left="3600" w:hanging="360"/>
      </w:pPr>
    </w:lvl>
    <w:lvl w:ilvl="5" w:tplc="001B0409">
      <w:start w:val="1"/>
      <w:numFmt w:val="lowerRoman"/>
      <w:lvlText w:val="%6."/>
      <w:lvlJc w:val="right"/>
      <w:pPr>
        <w:tabs>
          <w:tab w:val="num" w:pos="4320"/>
        </w:tabs>
        <w:ind w:left="4320" w:hanging="180"/>
      </w:pPr>
    </w:lvl>
    <w:lvl w:ilvl="6" w:tplc="000F0409">
      <w:start w:val="1"/>
      <w:numFmt w:val="decimal"/>
      <w:lvlText w:val="%7."/>
      <w:lvlJc w:val="left"/>
      <w:pPr>
        <w:tabs>
          <w:tab w:val="num" w:pos="5040"/>
        </w:tabs>
        <w:ind w:left="5040" w:hanging="360"/>
      </w:pPr>
    </w:lvl>
    <w:lvl w:ilvl="7" w:tplc="00190409">
      <w:start w:val="1"/>
      <w:numFmt w:val="lowerLetter"/>
      <w:lvlText w:val="%8."/>
      <w:lvlJc w:val="left"/>
      <w:pPr>
        <w:tabs>
          <w:tab w:val="num" w:pos="5760"/>
        </w:tabs>
        <w:ind w:left="5760" w:hanging="360"/>
      </w:pPr>
    </w:lvl>
    <w:lvl w:ilvl="8" w:tplc="001B0409">
      <w:start w:val="1"/>
      <w:numFmt w:val="lowerRoman"/>
      <w:lvlText w:val="%9."/>
      <w:lvlJc w:val="right"/>
      <w:pPr>
        <w:tabs>
          <w:tab w:val="num" w:pos="6480"/>
        </w:tabs>
        <w:ind w:left="6480" w:hanging="180"/>
      </w:pPr>
    </w:lvl>
  </w:abstractNum>
  <w:abstractNum w:abstractNumId="16" w15:restartNumberingAfterBreak="0">
    <w:nsid w:val="2C6144C9"/>
    <w:multiLevelType w:val="hybridMultilevel"/>
    <w:tmpl w:val="8DFA204C"/>
    <w:lvl w:ilvl="0" w:tplc="12E8CDA4">
      <w:start w:val="1"/>
      <w:numFmt w:val="decimal"/>
      <w:lvlText w:val="%1."/>
      <w:lvlJc w:val="left"/>
      <w:pPr>
        <w:tabs>
          <w:tab w:val="num" w:pos="12305"/>
        </w:tabs>
        <w:ind w:left="0" w:firstLine="0"/>
      </w:pPr>
      <w:rPr>
        <w:rFonts w:ascii="Verdana" w:hAnsi="Verdana" w:hint="default"/>
        <w:b w:val="0"/>
        <w:bCs w:val="0"/>
        <w:i w:val="0"/>
        <w:iCs w:val="0"/>
        <w:strike w:val="0"/>
        <w:dstrike w:val="0"/>
        <w:color w:val="auto"/>
        <w:sz w:val="20"/>
        <w:szCs w:val="20"/>
        <w:u w:val="none"/>
        <w:effect w:val="none"/>
        <w:lang w:val="es-ES_tradnl"/>
      </w:rPr>
    </w:lvl>
    <w:lvl w:ilvl="1" w:tplc="B1FA6140">
      <w:start w:val="1"/>
      <w:numFmt w:val="lowerLetter"/>
      <w:lvlText w:val="%2)"/>
      <w:lvlJc w:val="left"/>
      <w:pPr>
        <w:tabs>
          <w:tab w:val="num" w:pos="1080"/>
        </w:tabs>
        <w:ind w:left="1080" w:hanging="360"/>
      </w:pPr>
      <w:rPr>
        <w:rFonts w:ascii="Verdana" w:eastAsia="Times New Roman" w:hAnsi="Verdana" w:cs="Arial"/>
        <w:b w:val="0"/>
        <w:bCs w:val="0"/>
        <w:i w:val="0"/>
        <w:iCs w:val="0"/>
        <w:sz w:val="20"/>
        <w:szCs w:val="20"/>
        <w:lang w:val="es-ES_tradnl"/>
      </w:rPr>
    </w:lvl>
    <w:lvl w:ilvl="2" w:tplc="0409001B">
      <w:start w:val="1"/>
      <w:numFmt w:val="lowerRoman"/>
      <w:lvlText w:val="%3."/>
      <w:lvlJc w:val="right"/>
      <w:pPr>
        <w:tabs>
          <w:tab w:val="num" w:pos="1530"/>
        </w:tabs>
        <w:ind w:left="1530" w:hanging="180"/>
      </w:pPr>
      <w:rPr>
        <w:b w:val="0"/>
        <w:strike w:val="0"/>
        <w:dstrike w:val="0"/>
        <w:u w:val="none"/>
        <w:effect w:val="none"/>
      </w:rPr>
    </w:lvl>
    <w:lvl w:ilvl="3" w:tplc="140A001B">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 w15:restartNumberingAfterBreak="0">
    <w:nsid w:val="2F4767F3"/>
    <w:multiLevelType w:val="hybridMultilevel"/>
    <w:tmpl w:val="BA04CB36"/>
    <w:lvl w:ilvl="0" w:tplc="EE1A0456">
      <w:start w:val="1"/>
      <w:numFmt w:val="decimal"/>
      <w:lvlText w:val="%1."/>
      <w:lvlJc w:val="left"/>
      <w:pPr>
        <w:ind w:left="450" w:hanging="360"/>
      </w:pPr>
      <w:rPr>
        <w:rFonts w:ascii="Verdana" w:hAnsi="Verdana" w:hint="default"/>
        <w:b w:val="0"/>
        <w:i w:val="0"/>
        <w:strike w:val="0"/>
        <w:color w:val="auto"/>
        <w:sz w:val="20"/>
        <w:szCs w:val="20"/>
        <w:lang w:val="es-MX"/>
      </w:rPr>
    </w:lvl>
    <w:lvl w:ilvl="1" w:tplc="3CA86E32">
      <w:start w:val="1"/>
      <w:numFmt w:val="lowerLetter"/>
      <w:lvlText w:val="%2)"/>
      <w:lvlJc w:val="left"/>
      <w:pPr>
        <w:ind w:left="900" w:hanging="360"/>
      </w:pPr>
      <w:rPr>
        <w:rFonts w:ascii="Verdana" w:hAnsi="Verdana" w:cs="Times New Roman" w:hint="default"/>
        <w:b w:val="0"/>
        <w:i w:val="0"/>
        <w:caps w:val="0"/>
        <w:strike w:val="0"/>
        <w:dstrike w:val="0"/>
        <w:vanish w:val="0"/>
        <w:color w:val="auto"/>
        <w:sz w:val="20"/>
        <w:vertAlign w:val="baseline"/>
      </w:rPr>
    </w:lvl>
    <w:lvl w:ilvl="2" w:tplc="AC3E3A68">
      <w:start w:val="1"/>
      <w:numFmt w:val="lowerRoman"/>
      <w:lvlText w:val="%3."/>
      <w:lvlJc w:val="right"/>
      <w:pPr>
        <w:ind w:left="2160" w:hanging="180"/>
      </w:pPr>
      <w:rPr>
        <w:rFonts w:ascii="Verdana" w:eastAsia="Times New Roman" w:hAnsi="Verdana" w:cs="Times New Roman"/>
        <w:b w:val="0"/>
      </w:rPr>
    </w:lvl>
    <w:lvl w:ilvl="3" w:tplc="140A000F">
      <w:start w:val="1"/>
      <w:numFmt w:val="decimal"/>
      <w:lvlText w:val="%4."/>
      <w:lvlJc w:val="left"/>
      <w:pPr>
        <w:ind w:left="2880" w:hanging="360"/>
      </w:pPr>
    </w:lvl>
    <w:lvl w:ilvl="4" w:tplc="606ED164">
      <w:start w:val="1"/>
      <w:numFmt w:val="lowerLetter"/>
      <w:lvlText w:val="%5)"/>
      <w:lvlJc w:val="left"/>
      <w:pPr>
        <w:ind w:left="3600" w:hanging="360"/>
      </w:pPr>
      <w:rPr>
        <w:rFonts w:hint="default"/>
        <w:b w:val="0"/>
        <w:i w:val="0"/>
      </w:rPr>
    </w:lvl>
    <w:lvl w:ilvl="5" w:tplc="726C26BC">
      <w:start w:val="1"/>
      <w:numFmt w:val="lowerRoman"/>
      <w:lvlText w:val="%6."/>
      <w:lvlJc w:val="right"/>
      <w:pPr>
        <w:ind w:left="4320" w:hanging="180"/>
      </w:pPr>
    </w:lvl>
    <w:lvl w:ilvl="6" w:tplc="46C8F0C2">
      <w:start w:val="1"/>
      <w:numFmt w:val="upperLetter"/>
      <w:lvlText w:val="%7)"/>
      <w:lvlJc w:val="left"/>
      <w:pPr>
        <w:ind w:left="5040" w:hanging="360"/>
      </w:pPr>
      <w:rPr>
        <w:rFonts w:hint="default"/>
      </w:rPr>
    </w:lvl>
    <w:lvl w:ilvl="7" w:tplc="63D0A284">
      <w:start w:val="1"/>
      <w:numFmt w:val="upperLetter"/>
      <w:lvlText w:val="%8."/>
      <w:lvlJc w:val="left"/>
      <w:pPr>
        <w:ind w:left="5760" w:hanging="360"/>
      </w:pPr>
      <w:rPr>
        <w:rFonts w:hint="default"/>
        <w:b/>
      </w:rPr>
    </w:lvl>
    <w:lvl w:ilvl="8" w:tplc="140A001B" w:tentative="1">
      <w:start w:val="1"/>
      <w:numFmt w:val="lowerRoman"/>
      <w:lvlText w:val="%9."/>
      <w:lvlJc w:val="right"/>
      <w:pPr>
        <w:ind w:left="6480" w:hanging="180"/>
      </w:pPr>
    </w:lvl>
  </w:abstractNum>
  <w:abstractNum w:abstractNumId="18" w15:restartNumberingAfterBreak="0">
    <w:nsid w:val="319D17A8"/>
    <w:multiLevelType w:val="hybridMultilevel"/>
    <w:tmpl w:val="A6DE27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E65AEE"/>
    <w:multiLevelType w:val="hybridMultilevel"/>
    <w:tmpl w:val="980ED25E"/>
    <w:lvl w:ilvl="0" w:tplc="7DD48D98">
      <w:start w:val="1"/>
      <w:numFmt w:val="upperLetter"/>
      <w:lvlText w:val="%1."/>
      <w:lvlJc w:val="left"/>
      <w:pPr>
        <w:ind w:left="1066" w:hanging="360"/>
      </w:pPr>
      <w:rPr>
        <w:rFonts w:hint="default"/>
      </w:rPr>
    </w:lvl>
    <w:lvl w:ilvl="1" w:tplc="04090019" w:tentative="1">
      <w:start w:val="1"/>
      <w:numFmt w:val="lowerLetter"/>
      <w:lvlText w:val="%2."/>
      <w:lvlJc w:val="left"/>
      <w:pPr>
        <w:ind w:left="1786" w:hanging="360"/>
      </w:pPr>
    </w:lvl>
    <w:lvl w:ilvl="2" w:tplc="0409001B" w:tentative="1">
      <w:start w:val="1"/>
      <w:numFmt w:val="lowerRoman"/>
      <w:lvlText w:val="%3."/>
      <w:lvlJc w:val="right"/>
      <w:pPr>
        <w:ind w:left="2506" w:hanging="180"/>
      </w:pPr>
    </w:lvl>
    <w:lvl w:ilvl="3" w:tplc="0409000F" w:tentative="1">
      <w:start w:val="1"/>
      <w:numFmt w:val="decimal"/>
      <w:lvlText w:val="%4."/>
      <w:lvlJc w:val="left"/>
      <w:pPr>
        <w:ind w:left="3226" w:hanging="360"/>
      </w:pPr>
    </w:lvl>
    <w:lvl w:ilvl="4" w:tplc="04090019" w:tentative="1">
      <w:start w:val="1"/>
      <w:numFmt w:val="lowerLetter"/>
      <w:lvlText w:val="%5."/>
      <w:lvlJc w:val="left"/>
      <w:pPr>
        <w:ind w:left="3946" w:hanging="360"/>
      </w:pPr>
    </w:lvl>
    <w:lvl w:ilvl="5" w:tplc="0409001B" w:tentative="1">
      <w:start w:val="1"/>
      <w:numFmt w:val="lowerRoman"/>
      <w:lvlText w:val="%6."/>
      <w:lvlJc w:val="right"/>
      <w:pPr>
        <w:ind w:left="4666" w:hanging="180"/>
      </w:pPr>
    </w:lvl>
    <w:lvl w:ilvl="6" w:tplc="0409000F" w:tentative="1">
      <w:start w:val="1"/>
      <w:numFmt w:val="decimal"/>
      <w:lvlText w:val="%7."/>
      <w:lvlJc w:val="left"/>
      <w:pPr>
        <w:ind w:left="5386" w:hanging="360"/>
      </w:pPr>
    </w:lvl>
    <w:lvl w:ilvl="7" w:tplc="04090019" w:tentative="1">
      <w:start w:val="1"/>
      <w:numFmt w:val="lowerLetter"/>
      <w:lvlText w:val="%8."/>
      <w:lvlJc w:val="left"/>
      <w:pPr>
        <w:ind w:left="6106" w:hanging="360"/>
      </w:pPr>
    </w:lvl>
    <w:lvl w:ilvl="8" w:tplc="0409001B" w:tentative="1">
      <w:start w:val="1"/>
      <w:numFmt w:val="lowerRoman"/>
      <w:lvlText w:val="%9."/>
      <w:lvlJc w:val="right"/>
      <w:pPr>
        <w:ind w:left="6826" w:hanging="180"/>
      </w:pPr>
    </w:lvl>
  </w:abstractNum>
  <w:abstractNum w:abstractNumId="20" w15:restartNumberingAfterBreak="0">
    <w:nsid w:val="3B51447E"/>
    <w:multiLevelType w:val="hybridMultilevel"/>
    <w:tmpl w:val="19EE00CE"/>
    <w:lvl w:ilvl="0" w:tplc="267CF046">
      <w:start w:val="1"/>
      <w:numFmt w:val="decimal"/>
      <w:pStyle w:val="Numbered"/>
      <w:lvlText w:val="%1."/>
      <w:lvlJc w:val="left"/>
      <w:pPr>
        <w:ind w:left="720" w:hanging="360"/>
      </w:pPr>
      <w:rPr>
        <w:rFonts w:hint="default"/>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ECE2E62"/>
    <w:multiLevelType w:val="hybridMultilevel"/>
    <w:tmpl w:val="FA483F12"/>
    <w:lvl w:ilvl="0" w:tplc="140A0015">
      <w:start w:val="1"/>
      <w:numFmt w:val="upperLetter"/>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2" w15:restartNumberingAfterBreak="0">
    <w:nsid w:val="3F9B713D"/>
    <w:multiLevelType w:val="hybridMultilevel"/>
    <w:tmpl w:val="9704209E"/>
    <w:lvl w:ilvl="0" w:tplc="7E8E8A74">
      <w:start w:val="1"/>
      <w:numFmt w:val="decimal"/>
      <w:pStyle w:val="NormalNumbered"/>
      <w:lvlText w:val="%1."/>
      <w:lvlJc w:val="left"/>
      <w:pPr>
        <w:ind w:left="720" w:hanging="720"/>
      </w:pPr>
      <w:rPr>
        <w:rFonts w:ascii="Verdana" w:hAnsi="Verdana" w:hint="default"/>
        <w:b w:val="0"/>
        <w:i w:val="0"/>
        <w:strike w:val="0"/>
        <w:color w:val="auto"/>
        <w:sz w:val="20"/>
        <w:szCs w:val="20"/>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CFAC7540">
      <w:start w:val="1"/>
      <w:numFmt w:val="decimal"/>
      <w:lvlText w:val="%4."/>
      <w:lvlJc w:val="left"/>
      <w:pPr>
        <w:ind w:left="2520" w:hanging="360"/>
      </w:pPr>
      <w:rPr>
        <w:b/>
        <w:i/>
      </w:rPr>
    </w:lvl>
    <w:lvl w:ilvl="4" w:tplc="0C0A0019">
      <w:start w:val="1"/>
      <w:numFmt w:val="lowerLetter"/>
      <w:lvlText w:val="%5."/>
      <w:lvlJc w:val="left"/>
      <w:pPr>
        <w:ind w:left="3240" w:hanging="360"/>
      </w:pPr>
    </w:lvl>
    <w:lvl w:ilvl="5" w:tplc="0C0A001B">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3" w15:restartNumberingAfterBreak="0">
    <w:nsid w:val="463B765B"/>
    <w:multiLevelType w:val="hybridMultilevel"/>
    <w:tmpl w:val="1DD4B5D6"/>
    <w:lvl w:ilvl="0" w:tplc="222EA00C">
      <w:start w:val="169"/>
      <w:numFmt w:val="decimal"/>
      <w:lvlText w:val="%1."/>
      <w:lvlJc w:val="left"/>
      <w:pPr>
        <w:ind w:left="1080" w:hanging="720"/>
      </w:pPr>
      <w:rPr>
        <w:rFonts w:ascii="Verdana" w:hAnsi="Verdana" w:cs="Times New Roman" w:hint="default"/>
        <w:b w:val="0"/>
        <w:i w:val="0"/>
        <w:strike w:val="0"/>
        <w:color w:val="auto"/>
        <w:sz w:val="20"/>
        <w:szCs w:val="2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76F2FE6"/>
    <w:multiLevelType w:val="hybridMultilevel"/>
    <w:tmpl w:val="FBCEA3C2"/>
    <w:lvl w:ilvl="0" w:tplc="C3760F02">
      <w:start w:val="2"/>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A5C681E"/>
    <w:multiLevelType w:val="hybridMultilevel"/>
    <w:tmpl w:val="F2F89A10"/>
    <w:lvl w:ilvl="0" w:tplc="EF7639DE">
      <w:start w:val="1"/>
      <w:numFmt w:val="upperLetter"/>
      <w:lvlText w:val="%1."/>
      <w:lvlJc w:val="left"/>
      <w:pPr>
        <w:ind w:left="720" w:hanging="360"/>
      </w:pPr>
      <w:rPr>
        <w:rFonts w:cs="Arial" w:hint="default"/>
        <w:lang w:val="es-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FC6A1E"/>
    <w:multiLevelType w:val="hybridMultilevel"/>
    <w:tmpl w:val="788647CE"/>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7" w15:restartNumberingAfterBreak="0">
    <w:nsid w:val="4BA54D95"/>
    <w:multiLevelType w:val="hybridMultilevel"/>
    <w:tmpl w:val="2BF843E4"/>
    <w:lvl w:ilvl="0" w:tplc="04090015">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F640A1"/>
    <w:multiLevelType w:val="hybridMultilevel"/>
    <w:tmpl w:val="B1BE7BB6"/>
    <w:lvl w:ilvl="0" w:tplc="1946D6F2">
      <w:start w:val="1"/>
      <w:numFmt w:val="upperLetter"/>
      <w:lvlText w:val="%1."/>
      <w:lvlJc w:val="left"/>
      <w:pPr>
        <w:ind w:left="720" w:hanging="360"/>
      </w:pPr>
      <w:rPr>
        <w:rFonts w:cs="Arial"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9" w15:restartNumberingAfterBreak="0">
    <w:nsid w:val="52B10462"/>
    <w:multiLevelType w:val="hybridMultilevel"/>
    <w:tmpl w:val="52608858"/>
    <w:lvl w:ilvl="0" w:tplc="140A0015">
      <w:start w:val="1"/>
      <w:numFmt w:val="upperLetter"/>
      <w:lvlText w:val="%1."/>
      <w:lvlJc w:val="left"/>
      <w:pPr>
        <w:ind w:left="720" w:hanging="360"/>
      </w:pPr>
      <w:rPr>
        <w:rFonts w:eastAsia="Times New Roman"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0" w15:restartNumberingAfterBreak="0">
    <w:nsid w:val="573B495A"/>
    <w:multiLevelType w:val="hybridMultilevel"/>
    <w:tmpl w:val="82C8978C"/>
    <w:lvl w:ilvl="0" w:tplc="0409000F">
      <w:start w:val="1"/>
      <w:numFmt w:val="decimal"/>
      <w:lvlText w:val="%1."/>
      <w:lvlJc w:val="left"/>
      <w:pPr>
        <w:ind w:left="1068" w:hanging="360"/>
      </w:pPr>
      <w:rPr>
        <w:rFonts w:hint="default"/>
        <w:u w:val="none"/>
      </w:rPr>
    </w:lvl>
    <w:lvl w:ilvl="1" w:tplc="140A0019">
      <w:start w:val="1"/>
      <w:numFmt w:val="lowerLetter"/>
      <w:lvlText w:val="%2."/>
      <w:lvlJc w:val="left"/>
      <w:pPr>
        <w:ind w:left="1788" w:hanging="360"/>
      </w:pPr>
      <w:rPr>
        <w:b w:val="0"/>
      </w:rPr>
    </w:lvl>
    <w:lvl w:ilvl="2" w:tplc="140A001B">
      <w:start w:val="1"/>
      <w:numFmt w:val="lowerRoman"/>
      <w:lvlText w:val="%3."/>
      <w:lvlJc w:val="right"/>
      <w:pPr>
        <w:ind w:left="2508" w:hanging="180"/>
      </w:pPr>
    </w:lvl>
    <w:lvl w:ilvl="3" w:tplc="0409000F">
      <w:start w:val="1"/>
      <w:numFmt w:val="decimal"/>
      <w:lvlText w:val="%4."/>
      <w:lvlJc w:val="left"/>
      <w:pPr>
        <w:ind w:left="3228" w:hanging="360"/>
      </w:pPr>
    </w:lvl>
    <w:lvl w:ilvl="4" w:tplc="140A0019">
      <w:start w:val="1"/>
      <w:numFmt w:val="lowerLetter"/>
      <w:lvlText w:val="%5."/>
      <w:lvlJc w:val="left"/>
      <w:pPr>
        <w:ind w:left="3948" w:hanging="360"/>
      </w:pPr>
    </w:lvl>
    <w:lvl w:ilvl="5" w:tplc="140A001B">
      <w:start w:val="1"/>
      <w:numFmt w:val="lowerRoman"/>
      <w:lvlText w:val="%6."/>
      <w:lvlJc w:val="right"/>
      <w:pPr>
        <w:ind w:left="4668" w:hanging="180"/>
      </w:pPr>
    </w:lvl>
    <w:lvl w:ilvl="6" w:tplc="140A000F">
      <w:start w:val="1"/>
      <w:numFmt w:val="decimal"/>
      <w:lvlText w:val="%7."/>
      <w:lvlJc w:val="left"/>
      <w:pPr>
        <w:ind w:left="5388" w:hanging="360"/>
      </w:pPr>
    </w:lvl>
    <w:lvl w:ilvl="7" w:tplc="140A0019">
      <w:start w:val="1"/>
      <w:numFmt w:val="lowerLetter"/>
      <w:lvlText w:val="%8."/>
      <w:lvlJc w:val="left"/>
      <w:pPr>
        <w:ind w:left="6108" w:hanging="360"/>
      </w:pPr>
    </w:lvl>
    <w:lvl w:ilvl="8" w:tplc="140A001B">
      <w:start w:val="1"/>
      <w:numFmt w:val="lowerRoman"/>
      <w:lvlText w:val="%9."/>
      <w:lvlJc w:val="right"/>
      <w:pPr>
        <w:ind w:left="6828" w:hanging="180"/>
      </w:pPr>
    </w:lvl>
  </w:abstractNum>
  <w:abstractNum w:abstractNumId="31" w15:restartNumberingAfterBreak="0">
    <w:nsid w:val="5819782D"/>
    <w:multiLevelType w:val="hybridMultilevel"/>
    <w:tmpl w:val="EAD23B52"/>
    <w:lvl w:ilvl="0" w:tplc="B37AF7BC">
      <w:start w:val="1"/>
      <w:numFmt w:val="decimal"/>
      <w:lvlText w:val="%1."/>
      <w:lvlJc w:val="left"/>
      <w:pPr>
        <w:ind w:left="1350" w:hanging="720"/>
      </w:pPr>
      <w:rPr>
        <w:rFonts w:ascii="Verdana" w:hAnsi="Verdana" w:cs="Times New Roman" w:hint="default"/>
        <w:b w:val="0"/>
        <w:i w:val="0"/>
        <w:strike w:val="0"/>
        <w:color w:val="auto"/>
        <w:sz w:val="20"/>
        <w:szCs w:val="20"/>
      </w:rPr>
    </w:lvl>
    <w:lvl w:ilvl="1" w:tplc="080A0019">
      <w:start w:val="1"/>
      <w:numFmt w:val="lowerLetter"/>
      <w:lvlText w:val="%2."/>
      <w:lvlJc w:val="left"/>
      <w:pPr>
        <w:ind w:left="1080" w:hanging="360"/>
      </w:pPr>
      <w:rPr>
        <w:rFonts w:cs="Times New Roman"/>
      </w:rPr>
    </w:lvl>
    <w:lvl w:ilvl="2" w:tplc="080A001B" w:tentative="1">
      <w:start w:val="1"/>
      <w:numFmt w:val="lowerRoman"/>
      <w:lvlText w:val="%3."/>
      <w:lvlJc w:val="right"/>
      <w:pPr>
        <w:ind w:left="1800" w:hanging="180"/>
      </w:pPr>
      <w:rPr>
        <w:rFonts w:cs="Times New Roman"/>
      </w:rPr>
    </w:lvl>
    <w:lvl w:ilvl="3" w:tplc="080A000F" w:tentative="1">
      <w:start w:val="1"/>
      <w:numFmt w:val="decimal"/>
      <w:lvlText w:val="%4."/>
      <w:lvlJc w:val="left"/>
      <w:pPr>
        <w:ind w:left="2520" w:hanging="360"/>
      </w:pPr>
      <w:rPr>
        <w:rFonts w:cs="Times New Roman"/>
      </w:rPr>
    </w:lvl>
    <w:lvl w:ilvl="4" w:tplc="080A0019" w:tentative="1">
      <w:start w:val="1"/>
      <w:numFmt w:val="lowerLetter"/>
      <w:lvlText w:val="%5."/>
      <w:lvlJc w:val="left"/>
      <w:pPr>
        <w:ind w:left="3240" w:hanging="360"/>
      </w:pPr>
      <w:rPr>
        <w:rFonts w:cs="Times New Roman"/>
      </w:rPr>
    </w:lvl>
    <w:lvl w:ilvl="5" w:tplc="080A001B" w:tentative="1">
      <w:start w:val="1"/>
      <w:numFmt w:val="lowerRoman"/>
      <w:lvlText w:val="%6."/>
      <w:lvlJc w:val="right"/>
      <w:pPr>
        <w:ind w:left="3960" w:hanging="180"/>
      </w:pPr>
      <w:rPr>
        <w:rFonts w:cs="Times New Roman"/>
      </w:rPr>
    </w:lvl>
    <w:lvl w:ilvl="6" w:tplc="080A000F" w:tentative="1">
      <w:start w:val="1"/>
      <w:numFmt w:val="decimal"/>
      <w:lvlText w:val="%7."/>
      <w:lvlJc w:val="left"/>
      <w:pPr>
        <w:ind w:left="4680" w:hanging="360"/>
      </w:pPr>
      <w:rPr>
        <w:rFonts w:cs="Times New Roman"/>
      </w:rPr>
    </w:lvl>
    <w:lvl w:ilvl="7" w:tplc="080A0019" w:tentative="1">
      <w:start w:val="1"/>
      <w:numFmt w:val="lowerLetter"/>
      <w:lvlText w:val="%8."/>
      <w:lvlJc w:val="left"/>
      <w:pPr>
        <w:ind w:left="5400" w:hanging="360"/>
      </w:pPr>
      <w:rPr>
        <w:rFonts w:cs="Times New Roman"/>
      </w:rPr>
    </w:lvl>
    <w:lvl w:ilvl="8" w:tplc="080A001B" w:tentative="1">
      <w:start w:val="1"/>
      <w:numFmt w:val="lowerRoman"/>
      <w:lvlText w:val="%9."/>
      <w:lvlJc w:val="right"/>
      <w:pPr>
        <w:ind w:left="6120" w:hanging="180"/>
      </w:pPr>
      <w:rPr>
        <w:rFonts w:cs="Times New Roman"/>
      </w:rPr>
    </w:lvl>
  </w:abstractNum>
  <w:abstractNum w:abstractNumId="32" w15:restartNumberingAfterBreak="0">
    <w:nsid w:val="588D6F84"/>
    <w:multiLevelType w:val="hybridMultilevel"/>
    <w:tmpl w:val="80C69F9E"/>
    <w:lvl w:ilvl="0" w:tplc="04090015">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C62525E"/>
    <w:multiLevelType w:val="hybridMultilevel"/>
    <w:tmpl w:val="D458E8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08B04DD"/>
    <w:multiLevelType w:val="hybridMultilevel"/>
    <w:tmpl w:val="78B64D4C"/>
    <w:lvl w:ilvl="0" w:tplc="0409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5" w15:restartNumberingAfterBreak="0">
    <w:nsid w:val="62412FDD"/>
    <w:multiLevelType w:val="hybridMultilevel"/>
    <w:tmpl w:val="CE506118"/>
    <w:lvl w:ilvl="0" w:tplc="140A0015">
      <w:start w:val="1"/>
      <w:numFmt w:val="upperLetter"/>
      <w:lvlText w:val="%1."/>
      <w:lvlJc w:val="left"/>
      <w:pPr>
        <w:ind w:left="2112" w:hanging="360"/>
      </w:pPr>
    </w:lvl>
    <w:lvl w:ilvl="1" w:tplc="140A0019">
      <w:start w:val="1"/>
      <w:numFmt w:val="lowerLetter"/>
      <w:lvlText w:val="%2."/>
      <w:lvlJc w:val="left"/>
      <w:pPr>
        <w:ind w:left="2832" w:hanging="360"/>
      </w:pPr>
    </w:lvl>
    <w:lvl w:ilvl="2" w:tplc="140A001B">
      <w:start w:val="1"/>
      <w:numFmt w:val="lowerRoman"/>
      <w:lvlText w:val="%3."/>
      <w:lvlJc w:val="right"/>
      <w:pPr>
        <w:ind w:left="3552" w:hanging="180"/>
      </w:pPr>
    </w:lvl>
    <w:lvl w:ilvl="3" w:tplc="140A000F">
      <w:start w:val="1"/>
      <w:numFmt w:val="decimal"/>
      <w:lvlText w:val="%4."/>
      <w:lvlJc w:val="left"/>
      <w:pPr>
        <w:ind w:left="4272" w:hanging="360"/>
      </w:pPr>
    </w:lvl>
    <w:lvl w:ilvl="4" w:tplc="140A0019">
      <w:start w:val="1"/>
      <w:numFmt w:val="lowerLetter"/>
      <w:lvlText w:val="%5."/>
      <w:lvlJc w:val="left"/>
      <w:pPr>
        <w:ind w:left="4992" w:hanging="360"/>
      </w:pPr>
    </w:lvl>
    <w:lvl w:ilvl="5" w:tplc="140A001B">
      <w:start w:val="1"/>
      <w:numFmt w:val="lowerRoman"/>
      <w:lvlText w:val="%6."/>
      <w:lvlJc w:val="right"/>
      <w:pPr>
        <w:ind w:left="5712" w:hanging="180"/>
      </w:pPr>
    </w:lvl>
    <w:lvl w:ilvl="6" w:tplc="140A000F">
      <w:start w:val="1"/>
      <w:numFmt w:val="decimal"/>
      <w:lvlText w:val="%7."/>
      <w:lvlJc w:val="left"/>
      <w:pPr>
        <w:ind w:left="6432" w:hanging="360"/>
      </w:pPr>
    </w:lvl>
    <w:lvl w:ilvl="7" w:tplc="140A0019">
      <w:start w:val="1"/>
      <w:numFmt w:val="lowerLetter"/>
      <w:lvlText w:val="%8."/>
      <w:lvlJc w:val="left"/>
      <w:pPr>
        <w:ind w:left="7152" w:hanging="360"/>
      </w:pPr>
    </w:lvl>
    <w:lvl w:ilvl="8" w:tplc="140A001B">
      <w:start w:val="1"/>
      <w:numFmt w:val="lowerRoman"/>
      <w:lvlText w:val="%9."/>
      <w:lvlJc w:val="right"/>
      <w:pPr>
        <w:ind w:left="7872" w:hanging="180"/>
      </w:pPr>
    </w:lvl>
  </w:abstractNum>
  <w:abstractNum w:abstractNumId="36" w15:restartNumberingAfterBreak="0">
    <w:nsid w:val="64902F18"/>
    <w:multiLevelType w:val="hybridMultilevel"/>
    <w:tmpl w:val="9770408C"/>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37" w15:restartNumberingAfterBreak="0">
    <w:nsid w:val="65C863E2"/>
    <w:multiLevelType w:val="hybridMultilevel"/>
    <w:tmpl w:val="9C2006FC"/>
    <w:lvl w:ilvl="0" w:tplc="17706D5A">
      <w:start w:val="2"/>
      <w:numFmt w:val="decimal"/>
      <w:lvlText w:val="%1."/>
      <w:lvlJc w:val="left"/>
      <w:pPr>
        <w:tabs>
          <w:tab w:val="num" w:pos="1152"/>
        </w:tabs>
        <w:ind w:left="360" w:firstLine="0"/>
      </w:pPr>
      <w:rPr>
        <w:rFonts w:ascii="Verdana" w:hAnsi="Verdana" w:hint="default"/>
        <w:b w:val="0"/>
        <w:sz w:val="20"/>
        <w:szCs w:val="20"/>
      </w:r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38" w15:restartNumberingAfterBreak="0">
    <w:nsid w:val="740A038D"/>
    <w:multiLevelType w:val="hybridMultilevel"/>
    <w:tmpl w:val="D822111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753A80"/>
    <w:multiLevelType w:val="hybridMultilevel"/>
    <w:tmpl w:val="EB466B26"/>
    <w:lvl w:ilvl="0" w:tplc="A9F24D46">
      <w:start w:val="1"/>
      <w:numFmt w:val="decimal"/>
      <w:lvlText w:val="%1."/>
      <w:lvlJc w:val="left"/>
      <w:pPr>
        <w:ind w:left="0" w:firstLine="0"/>
      </w:pPr>
      <w:rPr>
        <w:rFonts w:ascii="Verdana" w:hAnsi="Verdana" w:hint="default"/>
        <w:b w:val="0"/>
        <w:i w:val="0"/>
        <w:strike w:val="0"/>
        <w:color w:val="auto"/>
        <w:sz w:val="20"/>
        <w:szCs w:val="20"/>
        <w:lang w:val="es-AR"/>
      </w:rPr>
    </w:lvl>
    <w:lvl w:ilvl="1" w:tplc="2C0A0019">
      <w:start w:val="1"/>
      <w:numFmt w:val="lowerLetter"/>
      <w:lvlText w:val="%2."/>
      <w:lvlJc w:val="left"/>
      <w:pPr>
        <w:ind w:left="1353" w:hanging="360"/>
      </w:pPr>
      <w:rPr>
        <w:rFonts w:hint="default"/>
        <w:lang w:val="es-CR"/>
      </w:rPr>
    </w:lvl>
    <w:lvl w:ilvl="2" w:tplc="40823306">
      <w:start w:val="1"/>
      <w:numFmt w:val="lowerRoman"/>
      <w:lvlText w:val="%3."/>
      <w:lvlJc w:val="right"/>
      <w:pPr>
        <w:ind w:left="2018" w:hanging="180"/>
      </w:pPr>
      <w:rPr>
        <w:b w:val="0"/>
        <w:i w:val="0"/>
      </w:rPr>
    </w:lvl>
    <w:lvl w:ilvl="3" w:tplc="3F0893E6">
      <w:start w:val="1"/>
      <w:numFmt w:val="decimal"/>
      <w:lvlText w:val="%4."/>
      <w:lvlJc w:val="left"/>
      <w:pPr>
        <w:ind w:left="2738" w:hanging="360"/>
      </w:pPr>
    </w:lvl>
    <w:lvl w:ilvl="4" w:tplc="E7BA4BB6" w:tentative="1">
      <w:start w:val="1"/>
      <w:numFmt w:val="lowerLetter"/>
      <w:lvlText w:val="%5."/>
      <w:lvlJc w:val="left"/>
      <w:pPr>
        <w:ind w:left="3458" w:hanging="360"/>
      </w:pPr>
    </w:lvl>
    <w:lvl w:ilvl="5" w:tplc="2C0A001B" w:tentative="1">
      <w:start w:val="1"/>
      <w:numFmt w:val="lowerRoman"/>
      <w:lvlText w:val="%6."/>
      <w:lvlJc w:val="right"/>
      <w:pPr>
        <w:ind w:left="4178" w:hanging="180"/>
      </w:pPr>
    </w:lvl>
    <w:lvl w:ilvl="6" w:tplc="2C0A000F" w:tentative="1">
      <w:start w:val="1"/>
      <w:numFmt w:val="decimal"/>
      <w:lvlText w:val="%7."/>
      <w:lvlJc w:val="left"/>
      <w:pPr>
        <w:ind w:left="4898" w:hanging="360"/>
      </w:pPr>
    </w:lvl>
    <w:lvl w:ilvl="7" w:tplc="2C0A0019" w:tentative="1">
      <w:start w:val="1"/>
      <w:numFmt w:val="lowerLetter"/>
      <w:lvlText w:val="%8."/>
      <w:lvlJc w:val="left"/>
      <w:pPr>
        <w:ind w:left="5618" w:hanging="360"/>
      </w:pPr>
    </w:lvl>
    <w:lvl w:ilvl="8" w:tplc="2C0A001B" w:tentative="1">
      <w:start w:val="1"/>
      <w:numFmt w:val="lowerRoman"/>
      <w:lvlText w:val="%9."/>
      <w:lvlJc w:val="right"/>
      <w:pPr>
        <w:ind w:left="6338" w:hanging="180"/>
      </w:pPr>
    </w:lvl>
  </w:abstractNum>
  <w:abstractNum w:abstractNumId="40" w15:restartNumberingAfterBreak="0">
    <w:nsid w:val="773202E9"/>
    <w:multiLevelType w:val="hybridMultilevel"/>
    <w:tmpl w:val="789C96AC"/>
    <w:lvl w:ilvl="0" w:tplc="D892E114">
      <w:start w:val="1"/>
      <w:numFmt w:val="decimal"/>
      <w:lvlText w:val="%1."/>
      <w:lvlJc w:val="left"/>
      <w:pPr>
        <w:ind w:left="0" w:firstLine="0"/>
      </w:pPr>
      <w:rPr>
        <w:rFonts w:ascii="Verdana" w:eastAsia="Times New Roman" w:hAnsi="Verdana" w:hint="default"/>
        <w:b w:val="0"/>
        <w:bCs w:val="0"/>
        <w:i w:val="0"/>
        <w:iCs w:val="0"/>
        <w:strike w:val="0"/>
        <w:color w:val="auto"/>
        <w:sz w:val="20"/>
        <w:szCs w:val="20"/>
        <w:lang w:val="es-CR"/>
      </w:rPr>
    </w:lvl>
    <w:lvl w:ilvl="1" w:tplc="C7D25ABE">
      <w:start w:val="1"/>
      <w:numFmt w:val="lowerLetter"/>
      <w:lvlText w:val="%2)"/>
      <w:lvlJc w:val="left"/>
      <w:pPr>
        <w:tabs>
          <w:tab w:val="num" w:pos="1080"/>
        </w:tabs>
        <w:ind w:left="1080" w:hanging="360"/>
      </w:pPr>
      <w:rPr>
        <w:rFonts w:hint="default"/>
        <w:b w:val="0"/>
        <w:bCs w:val="0"/>
        <w:i w:val="0"/>
        <w:iCs w:val="0"/>
        <w:sz w:val="20"/>
        <w:szCs w:val="20"/>
      </w:rPr>
    </w:lvl>
    <w:lvl w:ilvl="2" w:tplc="0409001B">
      <w:start w:val="1"/>
      <w:numFmt w:val="lowerRoman"/>
      <w:lvlText w:val="%3."/>
      <w:lvlJc w:val="right"/>
      <w:pPr>
        <w:tabs>
          <w:tab w:val="num" w:pos="1530"/>
        </w:tabs>
        <w:ind w:left="1530" w:hanging="180"/>
      </w:pPr>
      <w:rPr>
        <w:b w:val="0"/>
        <w:strike w:val="0"/>
      </w:rPr>
    </w:lvl>
    <w:lvl w:ilvl="3" w:tplc="140A001B">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1" w15:restartNumberingAfterBreak="0">
    <w:nsid w:val="79BF696B"/>
    <w:multiLevelType w:val="multilevel"/>
    <w:tmpl w:val="E4A64E48"/>
    <w:lvl w:ilvl="0">
      <w:start w:val="1"/>
      <w:numFmt w:val="upperLetter"/>
      <w:lvlText w:val="%1."/>
      <w:lvlJc w:val="left"/>
      <w:pPr>
        <w:ind w:left="-630" w:firstLine="720"/>
      </w:pPr>
      <w:rPr>
        <w:b/>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42" w15:restartNumberingAfterBreak="0">
    <w:nsid w:val="7CE64D32"/>
    <w:multiLevelType w:val="hybridMultilevel"/>
    <w:tmpl w:val="1E248EDA"/>
    <w:lvl w:ilvl="0" w:tplc="C55A862A">
      <w:start w:val="1"/>
      <w:numFmt w:val="decimal"/>
      <w:lvlText w:val="%1."/>
      <w:lvlJc w:val="left"/>
      <w:pPr>
        <w:tabs>
          <w:tab w:val="num" w:pos="12305"/>
        </w:tabs>
      </w:pPr>
      <w:rPr>
        <w:rFonts w:ascii="Verdana" w:eastAsia="Times New Roman" w:hAnsi="Verdana"/>
        <w:b w:val="0"/>
        <w:bCs w:val="0"/>
        <w:i w:val="0"/>
        <w:iCs w:val="0"/>
        <w:strike w:val="0"/>
        <w:color w:val="auto"/>
        <w:sz w:val="20"/>
        <w:szCs w:val="20"/>
        <w:lang w:val="es-CR"/>
      </w:rPr>
    </w:lvl>
    <w:lvl w:ilvl="1" w:tplc="C7D25ABE">
      <w:start w:val="1"/>
      <w:numFmt w:val="lowerLetter"/>
      <w:lvlText w:val="%2)"/>
      <w:lvlJc w:val="left"/>
      <w:pPr>
        <w:tabs>
          <w:tab w:val="num" w:pos="1080"/>
        </w:tabs>
        <w:ind w:left="1080" w:hanging="360"/>
      </w:pPr>
      <w:rPr>
        <w:rFonts w:hint="default"/>
        <w:b w:val="0"/>
        <w:bCs w:val="0"/>
        <w:i w:val="0"/>
        <w:iCs w:val="0"/>
        <w:sz w:val="20"/>
        <w:szCs w:val="20"/>
      </w:rPr>
    </w:lvl>
    <w:lvl w:ilvl="2" w:tplc="0409001B">
      <w:start w:val="1"/>
      <w:numFmt w:val="lowerRoman"/>
      <w:lvlText w:val="%3."/>
      <w:lvlJc w:val="right"/>
      <w:pPr>
        <w:tabs>
          <w:tab w:val="num" w:pos="1530"/>
        </w:tabs>
        <w:ind w:left="1530" w:hanging="180"/>
      </w:pPr>
      <w:rPr>
        <w:b w:val="0"/>
        <w:strike w:val="0"/>
      </w:rPr>
    </w:lvl>
    <w:lvl w:ilvl="3" w:tplc="140A001B">
      <w:start w:val="1"/>
      <w:numFmt w:val="decimal"/>
      <w:lvlText w:val="%4."/>
      <w:lvlJc w:val="left"/>
      <w:pPr>
        <w:tabs>
          <w:tab w:val="num" w:pos="2880"/>
        </w:tabs>
        <w:ind w:left="2880" w:hanging="360"/>
      </w:pPr>
    </w:lvl>
    <w:lvl w:ilvl="4" w:tplc="04090019">
      <w:start w:val="1"/>
      <w:numFmt w:val="lowerLetter"/>
      <w:pStyle w:val="Heading6"/>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16cid:durableId="71247116">
    <w:abstractNumId w:val="42"/>
  </w:num>
  <w:num w:numId="2" w16cid:durableId="1883593989">
    <w:abstractNumId w:val="34"/>
  </w:num>
  <w:num w:numId="3" w16cid:durableId="1246576678">
    <w:abstractNumId w:val="22"/>
  </w:num>
  <w:num w:numId="4" w16cid:durableId="648630544">
    <w:abstractNumId w:val="20"/>
  </w:num>
  <w:num w:numId="5" w16cid:durableId="377049180">
    <w:abstractNumId w:val="30"/>
  </w:num>
  <w:num w:numId="6" w16cid:durableId="716970793">
    <w:abstractNumId w:val="40"/>
  </w:num>
  <w:num w:numId="7" w16cid:durableId="835649722">
    <w:abstractNumId w:val="6"/>
  </w:num>
  <w:num w:numId="8" w16cid:durableId="1545369672">
    <w:abstractNumId w:val="17"/>
  </w:num>
  <w:num w:numId="9" w16cid:durableId="40904653">
    <w:abstractNumId w:val="41"/>
  </w:num>
  <w:num w:numId="10" w16cid:durableId="71651434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2679577">
    <w:abstractNumId w:val="21"/>
  </w:num>
  <w:num w:numId="12" w16cid:durableId="1538273652">
    <w:abstractNumId w:val="9"/>
  </w:num>
  <w:num w:numId="13" w16cid:durableId="1895697899">
    <w:abstractNumId w:val="10"/>
  </w:num>
  <w:num w:numId="14" w16cid:durableId="1267537320">
    <w:abstractNumId w:val="24"/>
  </w:num>
  <w:num w:numId="15" w16cid:durableId="1017540023">
    <w:abstractNumId w:val="3"/>
  </w:num>
  <w:num w:numId="16" w16cid:durableId="754785825">
    <w:abstractNumId w:val="27"/>
  </w:num>
  <w:num w:numId="17" w16cid:durableId="2010132550">
    <w:abstractNumId w:val="38"/>
  </w:num>
  <w:num w:numId="18" w16cid:durableId="1649239250">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22784">
    <w:abstractNumId w:val="16"/>
  </w:num>
  <w:num w:numId="20" w16cid:durableId="1059473422">
    <w:abstractNumId w:val="19"/>
  </w:num>
  <w:num w:numId="21" w16cid:durableId="334037616">
    <w:abstractNumId w:val="2"/>
  </w:num>
  <w:num w:numId="22" w16cid:durableId="382098422">
    <w:abstractNumId w:val="25"/>
  </w:num>
  <w:num w:numId="23" w16cid:durableId="1848595448">
    <w:abstractNumId w:val="13"/>
  </w:num>
  <w:num w:numId="24" w16cid:durableId="2034112863">
    <w:abstractNumId w:val="34"/>
  </w:num>
  <w:num w:numId="25" w16cid:durableId="2111048259">
    <w:abstractNumId w:val="18"/>
  </w:num>
  <w:num w:numId="26" w16cid:durableId="181477763">
    <w:abstractNumId w:val="34"/>
  </w:num>
  <w:num w:numId="27" w16cid:durableId="222897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4750278">
    <w:abstractNumId w:val="3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16569053">
    <w:abstractNumId w:val="12"/>
  </w:num>
  <w:num w:numId="30" w16cid:durableId="798769559">
    <w:abstractNumId w:val="8"/>
  </w:num>
  <w:num w:numId="31" w16cid:durableId="2002149383">
    <w:abstractNumId w:val="31"/>
  </w:num>
  <w:num w:numId="32" w16cid:durableId="373696319">
    <w:abstractNumId w:val="23"/>
  </w:num>
  <w:num w:numId="33" w16cid:durableId="220333779">
    <w:abstractNumId w:val="36"/>
  </w:num>
  <w:num w:numId="34" w16cid:durableId="1774282887">
    <w:abstractNumId w:val="28"/>
  </w:num>
  <w:num w:numId="35" w16cid:durableId="283316526">
    <w:abstractNumId w:val="1"/>
  </w:num>
  <w:num w:numId="36" w16cid:durableId="1370301356">
    <w:abstractNumId w:val="26"/>
  </w:num>
  <w:num w:numId="37" w16cid:durableId="611285797">
    <w:abstractNumId w:val="4"/>
  </w:num>
  <w:num w:numId="38" w16cid:durableId="893740534">
    <w:abstractNumId w:val="29"/>
  </w:num>
  <w:num w:numId="39" w16cid:durableId="1212231033">
    <w:abstractNumId w:val="11"/>
  </w:num>
  <w:num w:numId="40" w16cid:durableId="1613240228">
    <w:abstractNumId w:val="14"/>
  </w:num>
  <w:num w:numId="41" w16cid:durableId="1680887477">
    <w:abstractNumId w:val="33"/>
  </w:num>
  <w:num w:numId="42" w16cid:durableId="1708220933">
    <w:abstractNumId w:val="7"/>
  </w:num>
  <w:num w:numId="43" w16cid:durableId="92752777">
    <w:abstractNumId w:val="32"/>
  </w:num>
  <w:num w:numId="44" w16cid:durableId="2127769379">
    <w:abstractNumId w:val="0"/>
  </w:num>
  <w:num w:numId="45" w16cid:durableId="1583375962">
    <w:abstractNumId w:val="3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hideGrammaticalError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Formatting/>
  <w:defaultTabStop w:val="708"/>
  <w:hyphenationZone w:val="425"/>
  <w:drawingGridHorizontalSpacing w:val="120"/>
  <w:displayHorizontalDrawingGridEvery w:val="2"/>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020A"/>
    <w:rsid w:val="00001160"/>
    <w:rsid w:val="00001DDB"/>
    <w:rsid w:val="00002E8E"/>
    <w:rsid w:val="00003352"/>
    <w:rsid w:val="000033C7"/>
    <w:rsid w:val="0000377C"/>
    <w:rsid w:val="0000377F"/>
    <w:rsid w:val="00003AD0"/>
    <w:rsid w:val="00003D5D"/>
    <w:rsid w:val="000040F1"/>
    <w:rsid w:val="000062DE"/>
    <w:rsid w:val="00006FDB"/>
    <w:rsid w:val="00007208"/>
    <w:rsid w:val="0000783B"/>
    <w:rsid w:val="000078A3"/>
    <w:rsid w:val="00007D98"/>
    <w:rsid w:val="00007E31"/>
    <w:rsid w:val="00010504"/>
    <w:rsid w:val="000112FE"/>
    <w:rsid w:val="00011747"/>
    <w:rsid w:val="00011A84"/>
    <w:rsid w:val="000122C9"/>
    <w:rsid w:val="00012817"/>
    <w:rsid w:val="00012BA2"/>
    <w:rsid w:val="00012F3E"/>
    <w:rsid w:val="00013132"/>
    <w:rsid w:val="000135D4"/>
    <w:rsid w:val="00013B34"/>
    <w:rsid w:val="00013FB4"/>
    <w:rsid w:val="000147CF"/>
    <w:rsid w:val="00014D6F"/>
    <w:rsid w:val="00014E83"/>
    <w:rsid w:val="00015EDD"/>
    <w:rsid w:val="00016435"/>
    <w:rsid w:val="00016570"/>
    <w:rsid w:val="00016ECE"/>
    <w:rsid w:val="000171E2"/>
    <w:rsid w:val="0001797B"/>
    <w:rsid w:val="000203B2"/>
    <w:rsid w:val="00020968"/>
    <w:rsid w:val="00020C98"/>
    <w:rsid w:val="00020D09"/>
    <w:rsid w:val="00020DC8"/>
    <w:rsid w:val="00021A2A"/>
    <w:rsid w:val="00021D4F"/>
    <w:rsid w:val="00022432"/>
    <w:rsid w:val="000235BE"/>
    <w:rsid w:val="000238CE"/>
    <w:rsid w:val="00024806"/>
    <w:rsid w:val="00024A3B"/>
    <w:rsid w:val="00024B71"/>
    <w:rsid w:val="00024B94"/>
    <w:rsid w:val="00024E50"/>
    <w:rsid w:val="00025599"/>
    <w:rsid w:val="000255D8"/>
    <w:rsid w:val="000273D6"/>
    <w:rsid w:val="0003025D"/>
    <w:rsid w:val="00030A04"/>
    <w:rsid w:val="00031599"/>
    <w:rsid w:val="00031753"/>
    <w:rsid w:val="00031C44"/>
    <w:rsid w:val="0003261F"/>
    <w:rsid w:val="00032783"/>
    <w:rsid w:val="00032E24"/>
    <w:rsid w:val="0003336D"/>
    <w:rsid w:val="0003379C"/>
    <w:rsid w:val="00033906"/>
    <w:rsid w:val="00033A5E"/>
    <w:rsid w:val="000343CF"/>
    <w:rsid w:val="000353A4"/>
    <w:rsid w:val="0003543C"/>
    <w:rsid w:val="00035707"/>
    <w:rsid w:val="0003576E"/>
    <w:rsid w:val="0003582C"/>
    <w:rsid w:val="00035B74"/>
    <w:rsid w:val="0003612C"/>
    <w:rsid w:val="00036348"/>
    <w:rsid w:val="00036589"/>
    <w:rsid w:val="00036C3C"/>
    <w:rsid w:val="00036CCB"/>
    <w:rsid w:val="00036ECB"/>
    <w:rsid w:val="00037120"/>
    <w:rsid w:val="0003747A"/>
    <w:rsid w:val="00037933"/>
    <w:rsid w:val="00040030"/>
    <w:rsid w:val="0004033B"/>
    <w:rsid w:val="00040DB8"/>
    <w:rsid w:val="00040E1D"/>
    <w:rsid w:val="00041157"/>
    <w:rsid w:val="0004172F"/>
    <w:rsid w:val="00043091"/>
    <w:rsid w:val="00043B3C"/>
    <w:rsid w:val="000444E4"/>
    <w:rsid w:val="00045752"/>
    <w:rsid w:val="00045DA1"/>
    <w:rsid w:val="00045FC5"/>
    <w:rsid w:val="000463F7"/>
    <w:rsid w:val="00046981"/>
    <w:rsid w:val="00050266"/>
    <w:rsid w:val="0005068C"/>
    <w:rsid w:val="00050A3A"/>
    <w:rsid w:val="000512ED"/>
    <w:rsid w:val="000515C3"/>
    <w:rsid w:val="00051C15"/>
    <w:rsid w:val="00051E99"/>
    <w:rsid w:val="0005256F"/>
    <w:rsid w:val="00052578"/>
    <w:rsid w:val="00052D93"/>
    <w:rsid w:val="00052E95"/>
    <w:rsid w:val="00053C7C"/>
    <w:rsid w:val="000545D4"/>
    <w:rsid w:val="00054689"/>
    <w:rsid w:val="000546CF"/>
    <w:rsid w:val="00054DEA"/>
    <w:rsid w:val="0005500C"/>
    <w:rsid w:val="00055128"/>
    <w:rsid w:val="0005539D"/>
    <w:rsid w:val="00056134"/>
    <w:rsid w:val="00056DD4"/>
    <w:rsid w:val="00057E22"/>
    <w:rsid w:val="00060245"/>
    <w:rsid w:val="00060264"/>
    <w:rsid w:val="00060A80"/>
    <w:rsid w:val="00060F2A"/>
    <w:rsid w:val="000611B0"/>
    <w:rsid w:val="00061AC9"/>
    <w:rsid w:val="00063767"/>
    <w:rsid w:val="00063875"/>
    <w:rsid w:val="00063DA9"/>
    <w:rsid w:val="000652C6"/>
    <w:rsid w:val="000652DA"/>
    <w:rsid w:val="00065F9A"/>
    <w:rsid w:val="0006699A"/>
    <w:rsid w:val="00066DC1"/>
    <w:rsid w:val="00066ED0"/>
    <w:rsid w:val="00067244"/>
    <w:rsid w:val="00070820"/>
    <w:rsid w:val="000708EF"/>
    <w:rsid w:val="000709F7"/>
    <w:rsid w:val="00071772"/>
    <w:rsid w:val="0007195F"/>
    <w:rsid w:val="00071BB8"/>
    <w:rsid w:val="000730E3"/>
    <w:rsid w:val="000730E5"/>
    <w:rsid w:val="0007413E"/>
    <w:rsid w:val="0007478F"/>
    <w:rsid w:val="00075000"/>
    <w:rsid w:val="000753F4"/>
    <w:rsid w:val="000760E1"/>
    <w:rsid w:val="0007633D"/>
    <w:rsid w:val="00076912"/>
    <w:rsid w:val="00077923"/>
    <w:rsid w:val="00081CFF"/>
    <w:rsid w:val="00081FD1"/>
    <w:rsid w:val="00082428"/>
    <w:rsid w:val="0008298A"/>
    <w:rsid w:val="00082DC6"/>
    <w:rsid w:val="000839ED"/>
    <w:rsid w:val="000845D9"/>
    <w:rsid w:val="00084B84"/>
    <w:rsid w:val="00084CE5"/>
    <w:rsid w:val="0008539F"/>
    <w:rsid w:val="00085460"/>
    <w:rsid w:val="00085645"/>
    <w:rsid w:val="00085947"/>
    <w:rsid w:val="00085E69"/>
    <w:rsid w:val="000861AA"/>
    <w:rsid w:val="00086D4D"/>
    <w:rsid w:val="000874DE"/>
    <w:rsid w:val="000876E3"/>
    <w:rsid w:val="00091855"/>
    <w:rsid w:val="0009196A"/>
    <w:rsid w:val="00091AEB"/>
    <w:rsid w:val="00092A0F"/>
    <w:rsid w:val="00092BE1"/>
    <w:rsid w:val="0009342E"/>
    <w:rsid w:val="00093910"/>
    <w:rsid w:val="00093C4F"/>
    <w:rsid w:val="00094F16"/>
    <w:rsid w:val="00095014"/>
    <w:rsid w:val="000956BE"/>
    <w:rsid w:val="00096039"/>
    <w:rsid w:val="0009605D"/>
    <w:rsid w:val="00096730"/>
    <w:rsid w:val="00096D23"/>
    <w:rsid w:val="00096DB4"/>
    <w:rsid w:val="00097218"/>
    <w:rsid w:val="00097806"/>
    <w:rsid w:val="00097823"/>
    <w:rsid w:val="000A0433"/>
    <w:rsid w:val="000A1361"/>
    <w:rsid w:val="000A14E4"/>
    <w:rsid w:val="000A1A11"/>
    <w:rsid w:val="000A1DDD"/>
    <w:rsid w:val="000A26CC"/>
    <w:rsid w:val="000A4A31"/>
    <w:rsid w:val="000A6207"/>
    <w:rsid w:val="000A684A"/>
    <w:rsid w:val="000A7226"/>
    <w:rsid w:val="000A7334"/>
    <w:rsid w:val="000A73B7"/>
    <w:rsid w:val="000A7F24"/>
    <w:rsid w:val="000B0171"/>
    <w:rsid w:val="000B0D58"/>
    <w:rsid w:val="000B10AF"/>
    <w:rsid w:val="000B147A"/>
    <w:rsid w:val="000B155C"/>
    <w:rsid w:val="000B161A"/>
    <w:rsid w:val="000B1C49"/>
    <w:rsid w:val="000B20B0"/>
    <w:rsid w:val="000B2235"/>
    <w:rsid w:val="000B2AA6"/>
    <w:rsid w:val="000B2F45"/>
    <w:rsid w:val="000B30B9"/>
    <w:rsid w:val="000B3121"/>
    <w:rsid w:val="000B37C4"/>
    <w:rsid w:val="000B3CD3"/>
    <w:rsid w:val="000B411C"/>
    <w:rsid w:val="000B47AC"/>
    <w:rsid w:val="000B5143"/>
    <w:rsid w:val="000B5FA7"/>
    <w:rsid w:val="000B61B4"/>
    <w:rsid w:val="000B63E7"/>
    <w:rsid w:val="000B65F0"/>
    <w:rsid w:val="000B6D6A"/>
    <w:rsid w:val="000B711A"/>
    <w:rsid w:val="000B736C"/>
    <w:rsid w:val="000B73DC"/>
    <w:rsid w:val="000C087F"/>
    <w:rsid w:val="000C0EE0"/>
    <w:rsid w:val="000C193E"/>
    <w:rsid w:val="000C1A23"/>
    <w:rsid w:val="000C2096"/>
    <w:rsid w:val="000C277B"/>
    <w:rsid w:val="000C3093"/>
    <w:rsid w:val="000C37A6"/>
    <w:rsid w:val="000C4559"/>
    <w:rsid w:val="000C5586"/>
    <w:rsid w:val="000C5DD3"/>
    <w:rsid w:val="000C5FFB"/>
    <w:rsid w:val="000C73B1"/>
    <w:rsid w:val="000C7A7B"/>
    <w:rsid w:val="000D03F6"/>
    <w:rsid w:val="000D0A01"/>
    <w:rsid w:val="000D0AB4"/>
    <w:rsid w:val="000D0BCE"/>
    <w:rsid w:val="000D20E5"/>
    <w:rsid w:val="000D2B35"/>
    <w:rsid w:val="000D2DCF"/>
    <w:rsid w:val="000D2FCA"/>
    <w:rsid w:val="000D408A"/>
    <w:rsid w:val="000D4D9C"/>
    <w:rsid w:val="000D55A4"/>
    <w:rsid w:val="000D5740"/>
    <w:rsid w:val="000D58E8"/>
    <w:rsid w:val="000D5946"/>
    <w:rsid w:val="000D5CEE"/>
    <w:rsid w:val="000D60A9"/>
    <w:rsid w:val="000D63CF"/>
    <w:rsid w:val="000D65DA"/>
    <w:rsid w:val="000E00E8"/>
    <w:rsid w:val="000E0E55"/>
    <w:rsid w:val="000E0ED2"/>
    <w:rsid w:val="000E16CA"/>
    <w:rsid w:val="000E16F1"/>
    <w:rsid w:val="000E1C75"/>
    <w:rsid w:val="000E1E52"/>
    <w:rsid w:val="000E297D"/>
    <w:rsid w:val="000E2B6E"/>
    <w:rsid w:val="000E2DA1"/>
    <w:rsid w:val="000E2F6E"/>
    <w:rsid w:val="000E37BF"/>
    <w:rsid w:val="000E4133"/>
    <w:rsid w:val="000E449E"/>
    <w:rsid w:val="000E4AF8"/>
    <w:rsid w:val="000E4B18"/>
    <w:rsid w:val="000E5816"/>
    <w:rsid w:val="000E6089"/>
    <w:rsid w:val="000E64ED"/>
    <w:rsid w:val="000E6899"/>
    <w:rsid w:val="000E6980"/>
    <w:rsid w:val="000E7F28"/>
    <w:rsid w:val="000F019D"/>
    <w:rsid w:val="000F0B41"/>
    <w:rsid w:val="000F1031"/>
    <w:rsid w:val="000F1E70"/>
    <w:rsid w:val="000F1F73"/>
    <w:rsid w:val="000F23E8"/>
    <w:rsid w:val="000F31A0"/>
    <w:rsid w:val="000F36C7"/>
    <w:rsid w:val="000F3CBE"/>
    <w:rsid w:val="000F4B50"/>
    <w:rsid w:val="000F4BC8"/>
    <w:rsid w:val="000F5A57"/>
    <w:rsid w:val="000F5AAC"/>
    <w:rsid w:val="000F644A"/>
    <w:rsid w:val="000F6715"/>
    <w:rsid w:val="000F6E28"/>
    <w:rsid w:val="000F7612"/>
    <w:rsid w:val="000F78CB"/>
    <w:rsid w:val="000F7947"/>
    <w:rsid w:val="000F7D1E"/>
    <w:rsid w:val="000F7E17"/>
    <w:rsid w:val="000F7FDC"/>
    <w:rsid w:val="00100499"/>
    <w:rsid w:val="0010055E"/>
    <w:rsid w:val="001006FC"/>
    <w:rsid w:val="00100EEE"/>
    <w:rsid w:val="0010113B"/>
    <w:rsid w:val="00101967"/>
    <w:rsid w:val="00101B9D"/>
    <w:rsid w:val="00101DF0"/>
    <w:rsid w:val="001026A8"/>
    <w:rsid w:val="00102ACC"/>
    <w:rsid w:val="00102DD0"/>
    <w:rsid w:val="00102EB1"/>
    <w:rsid w:val="00103A69"/>
    <w:rsid w:val="00104B1B"/>
    <w:rsid w:val="00104C72"/>
    <w:rsid w:val="001050C2"/>
    <w:rsid w:val="0010526C"/>
    <w:rsid w:val="00105A9D"/>
    <w:rsid w:val="001060EA"/>
    <w:rsid w:val="00106DC9"/>
    <w:rsid w:val="00106EE4"/>
    <w:rsid w:val="00110163"/>
    <w:rsid w:val="001106BE"/>
    <w:rsid w:val="0011080A"/>
    <w:rsid w:val="00110ED6"/>
    <w:rsid w:val="00111316"/>
    <w:rsid w:val="001115A1"/>
    <w:rsid w:val="001118E0"/>
    <w:rsid w:val="00112AFE"/>
    <w:rsid w:val="00113494"/>
    <w:rsid w:val="00113C54"/>
    <w:rsid w:val="0011498E"/>
    <w:rsid w:val="00114EC5"/>
    <w:rsid w:val="00116A60"/>
    <w:rsid w:val="00116DDC"/>
    <w:rsid w:val="001178B0"/>
    <w:rsid w:val="00117CD5"/>
    <w:rsid w:val="00120B7B"/>
    <w:rsid w:val="001215A8"/>
    <w:rsid w:val="00121C53"/>
    <w:rsid w:val="00122296"/>
    <w:rsid w:val="00122826"/>
    <w:rsid w:val="00122D01"/>
    <w:rsid w:val="00122D2E"/>
    <w:rsid w:val="001231F4"/>
    <w:rsid w:val="00123D0F"/>
    <w:rsid w:val="00123FB9"/>
    <w:rsid w:val="00124BF8"/>
    <w:rsid w:val="00125CC1"/>
    <w:rsid w:val="00126CE3"/>
    <w:rsid w:val="0012768C"/>
    <w:rsid w:val="00130174"/>
    <w:rsid w:val="00130645"/>
    <w:rsid w:val="00130ED5"/>
    <w:rsid w:val="001320C0"/>
    <w:rsid w:val="0013218C"/>
    <w:rsid w:val="001322E7"/>
    <w:rsid w:val="0013257A"/>
    <w:rsid w:val="00132887"/>
    <w:rsid w:val="0013373F"/>
    <w:rsid w:val="001337CF"/>
    <w:rsid w:val="00133A13"/>
    <w:rsid w:val="00133F6E"/>
    <w:rsid w:val="00134147"/>
    <w:rsid w:val="00134C4A"/>
    <w:rsid w:val="00135477"/>
    <w:rsid w:val="0013643E"/>
    <w:rsid w:val="001364CD"/>
    <w:rsid w:val="00136865"/>
    <w:rsid w:val="0013691E"/>
    <w:rsid w:val="00136A18"/>
    <w:rsid w:val="001376E2"/>
    <w:rsid w:val="0013772D"/>
    <w:rsid w:val="001403FC"/>
    <w:rsid w:val="001409A7"/>
    <w:rsid w:val="001409E2"/>
    <w:rsid w:val="00140C83"/>
    <w:rsid w:val="00141DFA"/>
    <w:rsid w:val="00142D79"/>
    <w:rsid w:val="00143A8F"/>
    <w:rsid w:val="00144519"/>
    <w:rsid w:val="00144B11"/>
    <w:rsid w:val="00144FAF"/>
    <w:rsid w:val="00145815"/>
    <w:rsid w:val="001467BE"/>
    <w:rsid w:val="00146BD7"/>
    <w:rsid w:val="00146F82"/>
    <w:rsid w:val="0014781F"/>
    <w:rsid w:val="001479E0"/>
    <w:rsid w:val="0015004D"/>
    <w:rsid w:val="00150386"/>
    <w:rsid w:val="001509B0"/>
    <w:rsid w:val="00150B80"/>
    <w:rsid w:val="001517A0"/>
    <w:rsid w:val="001519DF"/>
    <w:rsid w:val="00151F07"/>
    <w:rsid w:val="0015251E"/>
    <w:rsid w:val="00152DE6"/>
    <w:rsid w:val="00152FCF"/>
    <w:rsid w:val="001536DF"/>
    <w:rsid w:val="00155214"/>
    <w:rsid w:val="00155602"/>
    <w:rsid w:val="00156644"/>
    <w:rsid w:val="00157BCF"/>
    <w:rsid w:val="001603C9"/>
    <w:rsid w:val="0016055A"/>
    <w:rsid w:val="001606B9"/>
    <w:rsid w:val="00160B29"/>
    <w:rsid w:val="00160BEA"/>
    <w:rsid w:val="00160F18"/>
    <w:rsid w:val="0016128D"/>
    <w:rsid w:val="001615DA"/>
    <w:rsid w:val="00162AB2"/>
    <w:rsid w:val="00162D0D"/>
    <w:rsid w:val="00162D83"/>
    <w:rsid w:val="00162E5F"/>
    <w:rsid w:val="0016463D"/>
    <w:rsid w:val="00164793"/>
    <w:rsid w:val="00164B08"/>
    <w:rsid w:val="001662F3"/>
    <w:rsid w:val="00166682"/>
    <w:rsid w:val="00166957"/>
    <w:rsid w:val="001671CE"/>
    <w:rsid w:val="00167B2E"/>
    <w:rsid w:val="001706CE"/>
    <w:rsid w:val="00170853"/>
    <w:rsid w:val="00170AD1"/>
    <w:rsid w:val="00170FA8"/>
    <w:rsid w:val="00171803"/>
    <w:rsid w:val="00171DC6"/>
    <w:rsid w:val="00172734"/>
    <w:rsid w:val="00172834"/>
    <w:rsid w:val="001736EB"/>
    <w:rsid w:val="00173B22"/>
    <w:rsid w:val="00173DCF"/>
    <w:rsid w:val="001750ED"/>
    <w:rsid w:val="0017560C"/>
    <w:rsid w:val="001761A7"/>
    <w:rsid w:val="00176661"/>
    <w:rsid w:val="001767FE"/>
    <w:rsid w:val="00176888"/>
    <w:rsid w:val="00177701"/>
    <w:rsid w:val="00177DF2"/>
    <w:rsid w:val="00177F41"/>
    <w:rsid w:val="00181956"/>
    <w:rsid w:val="001820E3"/>
    <w:rsid w:val="001827AE"/>
    <w:rsid w:val="00182A73"/>
    <w:rsid w:val="00182A9B"/>
    <w:rsid w:val="00182E25"/>
    <w:rsid w:val="00183310"/>
    <w:rsid w:val="0018342C"/>
    <w:rsid w:val="00183879"/>
    <w:rsid w:val="00183F82"/>
    <w:rsid w:val="00184877"/>
    <w:rsid w:val="00184978"/>
    <w:rsid w:val="00184B48"/>
    <w:rsid w:val="00184BA5"/>
    <w:rsid w:val="00185369"/>
    <w:rsid w:val="001855C4"/>
    <w:rsid w:val="001858CF"/>
    <w:rsid w:val="00185A85"/>
    <w:rsid w:val="0018709A"/>
    <w:rsid w:val="00190435"/>
    <w:rsid w:val="001906C4"/>
    <w:rsid w:val="00190826"/>
    <w:rsid w:val="00190E82"/>
    <w:rsid w:val="001913E0"/>
    <w:rsid w:val="00191514"/>
    <w:rsid w:val="0019212A"/>
    <w:rsid w:val="001923DE"/>
    <w:rsid w:val="00192579"/>
    <w:rsid w:val="0019273C"/>
    <w:rsid w:val="00192FB4"/>
    <w:rsid w:val="001930CA"/>
    <w:rsid w:val="00193183"/>
    <w:rsid w:val="001931DC"/>
    <w:rsid w:val="0019496C"/>
    <w:rsid w:val="00194C95"/>
    <w:rsid w:val="00194CC0"/>
    <w:rsid w:val="00195387"/>
    <w:rsid w:val="00195CAD"/>
    <w:rsid w:val="001960C0"/>
    <w:rsid w:val="00196B2F"/>
    <w:rsid w:val="0019755F"/>
    <w:rsid w:val="00197FD7"/>
    <w:rsid w:val="001A0090"/>
    <w:rsid w:val="001A03AA"/>
    <w:rsid w:val="001A03AE"/>
    <w:rsid w:val="001A0570"/>
    <w:rsid w:val="001A098B"/>
    <w:rsid w:val="001A0B76"/>
    <w:rsid w:val="001A1041"/>
    <w:rsid w:val="001A1C41"/>
    <w:rsid w:val="001A1E13"/>
    <w:rsid w:val="001A1E42"/>
    <w:rsid w:val="001A209E"/>
    <w:rsid w:val="001A22E1"/>
    <w:rsid w:val="001A238F"/>
    <w:rsid w:val="001A23C1"/>
    <w:rsid w:val="001A2DAB"/>
    <w:rsid w:val="001A33CC"/>
    <w:rsid w:val="001A3A45"/>
    <w:rsid w:val="001A4922"/>
    <w:rsid w:val="001A4C1B"/>
    <w:rsid w:val="001A4C46"/>
    <w:rsid w:val="001A533C"/>
    <w:rsid w:val="001A5C85"/>
    <w:rsid w:val="001A695E"/>
    <w:rsid w:val="001A6F0B"/>
    <w:rsid w:val="001A71F9"/>
    <w:rsid w:val="001A7209"/>
    <w:rsid w:val="001A7523"/>
    <w:rsid w:val="001A7A48"/>
    <w:rsid w:val="001B0C9C"/>
    <w:rsid w:val="001B0F04"/>
    <w:rsid w:val="001B2164"/>
    <w:rsid w:val="001B242B"/>
    <w:rsid w:val="001B2475"/>
    <w:rsid w:val="001B252D"/>
    <w:rsid w:val="001B2A14"/>
    <w:rsid w:val="001B398D"/>
    <w:rsid w:val="001B3DDA"/>
    <w:rsid w:val="001B428F"/>
    <w:rsid w:val="001B4A5F"/>
    <w:rsid w:val="001B4ADD"/>
    <w:rsid w:val="001B5451"/>
    <w:rsid w:val="001B5559"/>
    <w:rsid w:val="001B62F5"/>
    <w:rsid w:val="001B631A"/>
    <w:rsid w:val="001B6CD9"/>
    <w:rsid w:val="001B6DD5"/>
    <w:rsid w:val="001B70BE"/>
    <w:rsid w:val="001B7B37"/>
    <w:rsid w:val="001B7E48"/>
    <w:rsid w:val="001C0918"/>
    <w:rsid w:val="001C2056"/>
    <w:rsid w:val="001C2486"/>
    <w:rsid w:val="001C25FE"/>
    <w:rsid w:val="001C279D"/>
    <w:rsid w:val="001C2B69"/>
    <w:rsid w:val="001C2C8A"/>
    <w:rsid w:val="001C3845"/>
    <w:rsid w:val="001C4425"/>
    <w:rsid w:val="001C4A55"/>
    <w:rsid w:val="001C4F9E"/>
    <w:rsid w:val="001C54A9"/>
    <w:rsid w:val="001C54B6"/>
    <w:rsid w:val="001C6762"/>
    <w:rsid w:val="001D004F"/>
    <w:rsid w:val="001D01E3"/>
    <w:rsid w:val="001D03B4"/>
    <w:rsid w:val="001D06BA"/>
    <w:rsid w:val="001D287F"/>
    <w:rsid w:val="001D330D"/>
    <w:rsid w:val="001D3AEA"/>
    <w:rsid w:val="001D3CEF"/>
    <w:rsid w:val="001D43E7"/>
    <w:rsid w:val="001D452D"/>
    <w:rsid w:val="001D4AA1"/>
    <w:rsid w:val="001D4C16"/>
    <w:rsid w:val="001D56D9"/>
    <w:rsid w:val="001D5978"/>
    <w:rsid w:val="001D59A8"/>
    <w:rsid w:val="001D5ADB"/>
    <w:rsid w:val="001D678B"/>
    <w:rsid w:val="001D6AD4"/>
    <w:rsid w:val="001D73C9"/>
    <w:rsid w:val="001D7467"/>
    <w:rsid w:val="001D76D8"/>
    <w:rsid w:val="001E00D3"/>
    <w:rsid w:val="001E036D"/>
    <w:rsid w:val="001E03A7"/>
    <w:rsid w:val="001E067C"/>
    <w:rsid w:val="001E086A"/>
    <w:rsid w:val="001E08B1"/>
    <w:rsid w:val="001E0FA1"/>
    <w:rsid w:val="001E1000"/>
    <w:rsid w:val="001E148B"/>
    <w:rsid w:val="001E1DC8"/>
    <w:rsid w:val="001E2A9A"/>
    <w:rsid w:val="001E309B"/>
    <w:rsid w:val="001E30CF"/>
    <w:rsid w:val="001E392F"/>
    <w:rsid w:val="001E3D46"/>
    <w:rsid w:val="001E44E9"/>
    <w:rsid w:val="001E5136"/>
    <w:rsid w:val="001E540B"/>
    <w:rsid w:val="001E5452"/>
    <w:rsid w:val="001E69C0"/>
    <w:rsid w:val="001E7B58"/>
    <w:rsid w:val="001E7F57"/>
    <w:rsid w:val="001F0366"/>
    <w:rsid w:val="001F09DB"/>
    <w:rsid w:val="001F144B"/>
    <w:rsid w:val="001F1962"/>
    <w:rsid w:val="001F1A9E"/>
    <w:rsid w:val="001F1EE8"/>
    <w:rsid w:val="001F2240"/>
    <w:rsid w:val="001F2306"/>
    <w:rsid w:val="001F27BE"/>
    <w:rsid w:val="001F34D8"/>
    <w:rsid w:val="001F3741"/>
    <w:rsid w:val="001F37AB"/>
    <w:rsid w:val="001F3E09"/>
    <w:rsid w:val="001F4095"/>
    <w:rsid w:val="001F49CE"/>
    <w:rsid w:val="001F4C54"/>
    <w:rsid w:val="001F5098"/>
    <w:rsid w:val="001F7BAC"/>
    <w:rsid w:val="001F7CB8"/>
    <w:rsid w:val="001F7F08"/>
    <w:rsid w:val="002009DA"/>
    <w:rsid w:val="00200C34"/>
    <w:rsid w:val="00201371"/>
    <w:rsid w:val="0020138C"/>
    <w:rsid w:val="002022E1"/>
    <w:rsid w:val="00202D8A"/>
    <w:rsid w:val="00203469"/>
    <w:rsid w:val="00203873"/>
    <w:rsid w:val="00203C0B"/>
    <w:rsid w:val="00204B25"/>
    <w:rsid w:val="0020559D"/>
    <w:rsid w:val="002056A5"/>
    <w:rsid w:val="00205C8C"/>
    <w:rsid w:val="00205E25"/>
    <w:rsid w:val="002063D0"/>
    <w:rsid w:val="00207460"/>
    <w:rsid w:val="00207875"/>
    <w:rsid w:val="00207BCA"/>
    <w:rsid w:val="00210C06"/>
    <w:rsid w:val="00210F15"/>
    <w:rsid w:val="00212EB1"/>
    <w:rsid w:val="00213205"/>
    <w:rsid w:val="00213698"/>
    <w:rsid w:val="002139F6"/>
    <w:rsid w:val="00213C93"/>
    <w:rsid w:val="00213EAA"/>
    <w:rsid w:val="00214CCF"/>
    <w:rsid w:val="00216062"/>
    <w:rsid w:val="0021616C"/>
    <w:rsid w:val="00217C11"/>
    <w:rsid w:val="00217E90"/>
    <w:rsid w:val="002202B3"/>
    <w:rsid w:val="00221138"/>
    <w:rsid w:val="00221466"/>
    <w:rsid w:val="00221B21"/>
    <w:rsid w:val="00222143"/>
    <w:rsid w:val="0022215A"/>
    <w:rsid w:val="0022233C"/>
    <w:rsid w:val="0022278E"/>
    <w:rsid w:val="00222CC5"/>
    <w:rsid w:val="00222CD5"/>
    <w:rsid w:val="00223380"/>
    <w:rsid w:val="00223500"/>
    <w:rsid w:val="002235C6"/>
    <w:rsid w:val="002244CD"/>
    <w:rsid w:val="002248DB"/>
    <w:rsid w:val="00225045"/>
    <w:rsid w:val="00226A33"/>
    <w:rsid w:val="00226FDF"/>
    <w:rsid w:val="0022708C"/>
    <w:rsid w:val="002273A4"/>
    <w:rsid w:val="0022794D"/>
    <w:rsid w:val="002279DE"/>
    <w:rsid w:val="00227DB7"/>
    <w:rsid w:val="00230173"/>
    <w:rsid w:val="00230965"/>
    <w:rsid w:val="00230AFC"/>
    <w:rsid w:val="00230F5C"/>
    <w:rsid w:val="00231E67"/>
    <w:rsid w:val="00232549"/>
    <w:rsid w:val="00233496"/>
    <w:rsid w:val="00233AF6"/>
    <w:rsid w:val="00233DF8"/>
    <w:rsid w:val="00234265"/>
    <w:rsid w:val="0023476E"/>
    <w:rsid w:val="0023482F"/>
    <w:rsid w:val="0023504E"/>
    <w:rsid w:val="002350E6"/>
    <w:rsid w:val="00236F09"/>
    <w:rsid w:val="0023787D"/>
    <w:rsid w:val="002404B2"/>
    <w:rsid w:val="00240DE6"/>
    <w:rsid w:val="00240ECF"/>
    <w:rsid w:val="002419A9"/>
    <w:rsid w:val="00241AF5"/>
    <w:rsid w:val="00241D16"/>
    <w:rsid w:val="002426B1"/>
    <w:rsid w:val="00242BC0"/>
    <w:rsid w:val="00242DF4"/>
    <w:rsid w:val="0024386B"/>
    <w:rsid w:val="002439E0"/>
    <w:rsid w:val="00243B6A"/>
    <w:rsid w:val="00243B90"/>
    <w:rsid w:val="00243E1F"/>
    <w:rsid w:val="00243ED1"/>
    <w:rsid w:val="00245029"/>
    <w:rsid w:val="0024585C"/>
    <w:rsid w:val="00245CAB"/>
    <w:rsid w:val="00246008"/>
    <w:rsid w:val="00246572"/>
    <w:rsid w:val="002466F8"/>
    <w:rsid w:val="0024682D"/>
    <w:rsid w:val="00246839"/>
    <w:rsid w:val="002505BA"/>
    <w:rsid w:val="002506FE"/>
    <w:rsid w:val="00250A45"/>
    <w:rsid w:val="00250C7C"/>
    <w:rsid w:val="00251394"/>
    <w:rsid w:val="00252123"/>
    <w:rsid w:val="0025267B"/>
    <w:rsid w:val="00252D61"/>
    <w:rsid w:val="00252F75"/>
    <w:rsid w:val="002531FA"/>
    <w:rsid w:val="002539B3"/>
    <w:rsid w:val="00253A57"/>
    <w:rsid w:val="0025402C"/>
    <w:rsid w:val="00254403"/>
    <w:rsid w:val="002544A1"/>
    <w:rsid w:val="00254603"/>
    <w:rsid w:val="00254DFA"/>
    <w:rsid w:val="002552CF"/>
    <w:rsid w:val="00255539"/>
    <w:rsid w:val="002558EC"/>
    <w:rsid w:val="00255BC5"/>
    <w:rsid w:val="00256580"/>
    <w:rsid w:val="00256627"/>
    <w:rsid w:val="00256D95"/>
    <w:rsid w:val="0026052A"/>
    <w:rsid w:val="002609E0"/>
    <w:rsid w:val="00260A5B"/>
    <w:rsid w:val="002613E0"/>
    <w:rsid w:val="002617CE"/>
    <w:rsid w:val="00262C5A"/>
    <w:rsid w:val="0026319B"/>
    <w:rsid w:val="00263FDC"/>
    <w:rsid w:val="00264092"/>
    <w:rsid w:val="00264151"/>
    <w:rsid w:val="0026567F"/>
    <w:rsid w:val="00266662"/>
    <w:rsid w:val="002666F5"/>
    <w:rsid w:val="00267906"/>
    <w:rsid w:val="00270639"/>
    <w:rsid w:val="00270BFD"/>
    <w:rsid w:val="002715A0"/>
    <w:rsid w:val="00271845"/>
    <w:rsid w:val="00271D0C"/>
    <w:rsid w:val="002724CB"/>
    <w:rsid w:val="00272672"/>
    <w:rsid w:val="0027279C"/>
    <w:rsid w:val="00272C21"/>
    <w:rsid w:val="0027324E"/>
    <w:rsid w:val="0027404C"/>
    <w:rsid w:val="002742D1"/>
    <w:rsid w:val="00274689"/>
    <w:rsid w:val="002751B9"/>
    <w:rsid w:val="00277A17"/>
    <w:rsid w:val="00277A5F"/>
    <w:rsid w:val="00277E44"/>
    <w:rsid w:val="00277F14"/>
    <w:rsid w:val="002802AF"/>
    <w:rsid w:val="00280891"/>
    <w:rsid w:val="0028266C"/>
    <w:rsid w:val="00282706"/>
    <w:rsid w:val="002836AE"/>
    <w:rsid w:val="0028405A"/>
    <w:rsid w:val="002856B1"/>
    <w:rsid w:val="00285C8E"/>
    <w:rsid w:val="00285EEF"/>
    <w:rsid w:val="00285F2F"/>
    <w:rsid w:val="00286559"/>
    <w:rsid w:val="002866AB"/>
    <w:rsid w:val="00286CE4"/>
    <w:rsid w:val="002873B1"/>
    <w:rsid w:val="00287623"/>
    <w:rsid w:val="002878DC"/>
    <w:rsid w:val="00287E77"/>
    <w:rsid w:val="002901E7"/>
    <w:rsid w:val="00290AB1"/>
    <w:rsid w:val="00290FD8"/>
    <w:rsid w:val="002910EC"/>
    <w:rsid w:val="002921CC"/>
    <w:rsid w:val="0029285B"/>
    <w:rsid w:val="0029301E"/>
    <w:rsid w:val="00293671"/>
    <w:rsid w:val="00293A54"/>
    <w:rsid w:val="00293A9B"/>
    <w:rsid w:val="00293CE4"/>
    <w:rsid w:val="00294314"/>
    <w:rsid w:val="00294838"/>
    <w:rsid w:val="00294E22"/>
    <w:rsid w:val="00295F51"/>
    <w:rsid w:val="00296753"/>
    <w:rsid w:val="00296911"/>
    <w:rsid w:val="00297135"/>
    <w:rsid w:val="00297459"/>
    <w:rsid w:val="00297D8D"/>
    <w:rsid w:val="002A0AC4"/>
    <w:rsid w:val="002A0DEF"/>
    <w:rsid w:val="002A1453"/>
    <w:rsid w:val="002A19C8"/>
    <w:rsid w:val="002A1F57"/>
    <w:rsid w:val="002A381F"/>
    <w:rsid w:val="002A468E"/>
    <w:rsid w:val="002A62FE"/>
    <w:rsid w:val="002A64E6"/>
    <w:rsid w:val="002A6812"/>
    <w:rsid w:val="002A6863"/>
    <w:rsid w:val="002A75DA"/>
    <w:rsid w:val="002A77DF"/>
    <w:rsid w:val="002A79C7"/>
    <w:rsid w:val="002B0E5A"/>
    <w:rsid w:val="002B0E9A"/>
    <w:rsid w:val="002B0F85"/>
    <w:rsid w:val="002B1031"/>
    <w:rsid w:val="002B1192"/>
    <w:rsid w:val="002B196B"/>
    <w:rsid w:val="002B1A1A"/>
    <w:rsid w:val="002B1BB5"/>
    <w:rsid w:val="002B1E75"/>
    <w:rsid w:val="002B1F3D"/>
    <w:rsid w:val="002B2B81"/>
    <w:rsid w:val="002B3421"/>
    <w:rsid w:val="002B363C"/>
    <w:rsid w:val="002B3AA3"/>
    <w:rsid w:val="002B3B7F"/>
    <w:rsid w:val="002B3DA2"/>
    <w:rsid w:val="002B3FAD"/>
    <w:rsid w:val="002B4009"/>
    <w:rsid w:val="002B428A"/>
    <w:rsid w:val="002B48DD"/>
    <w:rsid w:val="002B56E1"/>
    <w:rsid w:val="002B5C89"/>
    <w:rsid w:val="002B6198"/>
    <w:rsid w:val="002B670E"/>
    <w:rsid w:val="002B6911"/>
    <w:rsid w:val="002B6C94"/>
    <w:rsid w:val="002B73E7"/>
    <w:rsid w:val="002B7D91"/>
    <w:rsid w:val="002B7EA2"/>
    <w:rsid w:val="002B7F03"/>
    <w:rsid w:val="002C0144"/>
    <w:rsid w:val="002C03A9"/>
    <w:rsid w:val="002C0AC6"/>
    <w:rsid w:val="002C0B40"/>
    <w:rsid w:val="002C28DB"/>
    <w:rsid w:val="002C2ED9"/>
    <w:rsid w:val="002C3243"/>
    <w:rsid w:val="002C3A3D"/>
    <w:rsid w:val="002C3A76"/>
    <w:rsid w:val="002C3D5C"/>
    <w:rsid w:val="002C4243"/>
    <w:rsid w:val="002C4573"/>
    <w:rsid w:val="002C45C8"/>
    <w:rsid w:val="002C483E"/>
    <w:rsid w:val="002C4A0E"/>
    <w:rsid w:val="002C53AA"/>
    <w:rsid w:val="002C543F"/>
    <w:rsid w:val="002C569A"/>
    <w:rsid w:val="002C593C"/>
    <w:rsid w:val="002C6FCD"/>
    <w:rsid w:val="002C7E7D"/>
    <w:rsid w:val="002D0028"/>
    <w:rsid w:val="002D14CD"/>
    <w:rsid w:val="002D19DE"/>
    <w:rsid w:val="002D1D71"/>
    <w:rsid w:val="002D1D88"/>
    <w:rsid w:val="002D1E8D"/>
    <w:rsid w:val="002D2512"/>
    <w:rsid w:val="002D2F7A"/>
    <w:rsid w:val="002D2FB1"/>
    <w:rsid w:val="002D3045"/>
    <w:rsid w:val="002D3B49"/>
    <w:rsid w:val="002D3E8D"/>
    <w:rsid w:val="002D42B2"/>
    <w:rsid w:val="002D47D2"/>
    <w:rsid w:val="002D4BC8"/>
    <w:rsid w:val="002D4BF9"/>
    <w:rsid w:val="002D51CA"/>
    <w:rsid w:val="002D54EE"/>
    <w:rsid w:val="002D56D3"/>
    <w:rsid w:val="002D62B7"/>
    <w:rsid w:val="002D6813"/>
    <w:rsid w:val="002D6E1B"/>
    <w:rsid w:val="002D7193"/>
    <w:rsid w:val="002D71AD"/>
    <w:rsid w:val="002D7448"/>
    <w:rsid w:val="002E00E9"/>
    <w:rsid w:val="002E03E4"/>
    <w:rsid w:val="002E0765"/>
    <w:rsid w:val="002E077B"/>
    <w:rsid w:val="002E0795"/>
    <w:rsid w:val="002E1043"/>
    <w:rsid w:val="002E15BA"/>
    <w:rsid w:val="002E1687"/>
    <w:rsid w:val="002E19B6"/>
    <w:rsid w:val="002E22A8"/>
    <w:rsid w:val="002E3C04"/>
    <w:rsid w:val="002E3C7D"/>
    <w:rsid w:val="002E4596"/>
    <w:rsid w:val="002E478C"/>
    <w:rsid w:val="002E5798"/>
    <w:rsid w:val="002E6219"/>
    <w:rsid w:val="002E632F"/>
    <w:rsid w:val="002E683D"/>
    <w:rsid w:val="002E7257"/>
    <w:rsid w:val="002E7477"/>
    <w:rsid w:val="002E7B37"/>
    <w:rsid w:val="002F02CE"/>
    <w:rsid w:val="002F05A3"/>
    <w:rsid w:val="002F072F"/>
    <w:rsid w:val="002F0E47"/>
    <w:rsid w:val="002F1AFB"/>
    <w:rsid w:val="002F1CA6"/>
    <w:rsid w:val="002F27EA"/>
    <w:rsid w:val="002F3206"/>
    <w:rsid w:val="002F3328"/>
    <w:rsid w:val="002F3554"/>
    <w:rsid w:val="002F3DC9"/>
    <w:rsid w:val="002F49CE"/>
    <w:rsid w:val="002F5DD1"/>
    <w:rsid w:val="002F6476"/>
    <w:rsid w:val="002F6873"/>
    <w:rsid w:val="002F68FF"/>
    <w:rsid w:val="002F69A1"/>
    <w:rsid w:val="002F6C65"/>
    <w:rsid w:val="002F731B"/>
    <w:rsid w:val="002F7805"/>
    <w:rsid w:val="002F7821"/>
    <w:rsid w:val="002F7C37"/>
    <w:rsid w:val="002F7D4A"/>
    <w:rsid w:val="003007FA"/>
    <w:rsid w:val="00300C06"/>
    <w:rsid w:val="00300EB4"/>
    <w:rsid w:val="00300FC0"/>
    <w:rsid w:val="003015BE"/>
    <w:rsid w:val="00301A3F"/>
    <w:rsid w:val="00302048"/>
    <w:rsid w:val="0030283C"/>
    <w:rsid w:val="00302AF7"/>
    <w:rsid w:val="003034C4"/>
    <w:rsid w:val="00303EAC"/>
    <w:rsid w:val="00304043"/>
    <w:rsid w:val="003048E8"/>
    <w:rsid w:val="00304D25"/>
    <w:rsid w:val="00304D6F"/>
    <w:rsid w:val="00304F64"/>
    <w:rsid w:val="003053DA"/>
    <w:rsid w:val="0030579B"/>
    <w:rsid w:val="00306141"/>
    <w:rsid w:val="00307160"/>
    <w:rsid w:val="00307280"/>
    <w:rsid w:val="0030782C"/>
    <w:rsid w:val="00310731"/>
    <w:rsid w:val="00310852"/>
    <w:rsid w:val="00310EC6"/>
    <w:rsid w:val="00311296"/>
    <w:rsid w:val="0031163E"/>
    <w:rsid w:val="00312887"/>
    <w:rsid w:val="00312F33"/>
    <w:rsid w:val="0031395A"/>
    <w:rsid w:val="00313A3E"/>
    <w:rsid w:val="00314189"/>
    <w:rsid w:val="00315025"/>
    <w:rsid w:val="003150C2"/>
    <w:rsid w:val="003153AD"/>
    <w:rsid w:val="00315B06"/>
    <w:rsid w:val="003161AA"/>
    <w:rsid w:val="00316599"/>
    <w:rsid w:val="003165A4"/>
    <w:rsid w:val="0031679F"/>
    <w:rsid w:val="00317354"/>
    <w:rsid w:val="00317592"/>
    <w:rsid w:val="003207F9"/>
    <w:rsid w:val="00321917"/>
    <w:rsid w:val="00321D93"/>
    <w:rsid w:val="003220B2"/>
    <w:rsid w:val="00322398"/>
    <w:rsid w:val="003223F0"/>
    <w:rsid w:val="00322934"/>
    <w:rsid w:val="00323B83"/>
    <w:rsid w:val="00323BCB"/>
    <w:rsid w:val="00323E26"/>
    <w:rsid w:val="003245D3"/>
    <w:rsid w:val="00324C08"/>
    <w:rsid w:val="00324FD7"/>
    <w:rsid w:val="003252E2"/>
    <w:rsid w:val="003255E9"/>
    <w:rsid w:val="00325792"/>
    <w:rsid w:val="0032587A"/>
    <w:rsid w:val="00325B4A"/>
    <w:rsid w:val="00325DA4"/>
    <w:rsid w:val="003263CC"/>
    <w:rsid w:val="00326400"/>
    <w:rsid w:val="003271D7"/>
    <w:rsid w:val="003276F9"/>
    <w:rsid w:val="00327ECF"/>
    <w:rsid w:val="0033002E"/>
    <w:rsid w:val="003306E6"/>
    <w:rsid w:val="00330946"/>
    <w:rsid w:val="00330BD8"/>
    <w:rsid w:val="00330CED"/>
    <w:rsid w:val="0033107B"/>
    <w:rsid w:val="003316FE"/>
    <w:rsid w:val="0033228B"/>
    <w:rsid w:val="00332757"/>
    <w:rsid w:val="00332A75"/>
    <w:rsid w:val="00332B17"/>
    <w:rsid w:val="003331F2"/>
    <w:rsid w:val="00333727"/>
    <w:rsid w:val="00333C0B"/>
    <w:rsid w:val="00334315"/>
    <w:rsid w:val="00334D69"/>
    <w:rsid w:val="00335CAA"/>
    <w:rsid w:val="00335D1D"/>
    <w:rsid w:val="00335F41"/>
    <w:rsid w:val="00336951"/>
    <w:rsid w:val="00336E97"/>
    <w:rsid w:val="00337405"/>
    <w:rsid w:val="00337974"/>
    <w:rsid w:val="00340007"/>
    <w:rsid w:val="003417B7"/>
    <w:rsid w:val="003422B8"/>
    <w:rsid w:val="003426B3"/>
    <w:rsid w:val="00342746"/>
    <w:rsid w:val="0034350A"/>
    <w:rsid w:val="00343563"/>
    <w:rsid w:val="00344566"/>
    <w:rsid w:val="003456B4"/>
    <w:rsid w:val="0034573D"/>
    <w:rsid w:val="0034636D"/>
    <w:rsid w:val="00346582"/>
    <w:rsid w:val="00346C63"/>
    <w:rsid w:val="00346C7F"/>
    <w:rsid w:val="00346FF5"/>
    <w:rsid w:val="0034731D"/>
    <w:rsid w:val="003473F3"/>
    <w:rsid w:val="0034788A"/>
    <w:rsid w:val="0035032A"/>
    <w:rsid w:val="00351970"/>
    <w:rsid w:val="00351CFC"/>
    <w:rsid w:val="00351FA7"/>
    <w:rsid w:val="00352225"/>
    <w:rsid w:val="003523EB"/>
    <w:rsid w:val="00352C28"/>
    <w:rsid w:val="00353127"/>
    <w:rsid w:val="0035348A"/>
    <w:rsid w:val="003540C8"/>
    <w:rsid w:val="0035466F"/>
    <w:rsid w:val="00354B47"/>
    <w:rsid w:val="00354B86"/>
    <w:rsid w:val="00354E6A"/>
    <w:rsid w:val="00354EC5"/>
    <w:rsid w:val="00354FE7"/>
    <w:rsid w:val="00355521"/>
    <w:rsid w:val="00355770"/>
    <w:rsid w:val="00355CD6"/>
    <w:rsid w:val="00356317"/>
    <w:rsid w:val="0035762E"/>
    <w:rsid w:val="003605D3"/>
    <w:rsid w:val="00360682"/>
    <w:rsid w:val="003608C2"/>
    <w:rsid w:val="00360CC3"/>
    <w:rsid w:val="003611BA"/>
    <w:rsid w:val="00361230"/>
    <w:rsid w:val="0036157C"/>
    <w:rsid w:val="003639E6"/>
    <w:rsid w:val="00364A22"/>
    <w:rsid w:val="00364AFC"/>
    <w:rsid w:val="00364B3D"/>
    <w:rsid w:val="00364B72"/>
    <w:rsid w:val="00364E94"/>
    <w:rsid w:val="00365AF1"/>
    <w:rsid w:val="00365E79"/>
    <w:rsid w:val="00366175"/>
    <w:rsid w:val="003664A5"/>
    <w:rsid w:val="003676F9"/>
    <w:rsid w:val="003705A3"/>
    <w:rsid w:val="00370D56"/>
    <w:rsid w:val="00370D5D"/>
    <w:rsid w:val="003710DC"/>
    <w:rsid w:val="00372520"/>
    <w:rsid w:val="00372676"/>
    <w:rsid w:val="00372840"/>
    <w:rsid w:val="00372AE3"/>
    <w:rsid w:val="003731F1"/>
    <w:rsid w:val="00373220"/>
    <w:rsid w:val="00373B12"/>
    <w:rsid w:val="00373E94"/>
    <w:rsid w:val="00373F96"/>
    <w:rsid w:val="003740C0"/>
    <w:rsid w:val="00374FAE"/>
    <w:rsid w:val="0037552C"/>
    <w:rsid w:val="00375F72"/>
    <w:rsid w:val="003766AA"/>
    <w:rsid w:val="00376D3A"/>
    <w:rsid w:val="003801D2"/>
    <w:rsid w:val="0038023A"/>
    <w:rsid w:val="0038057A"/>
    <w:rsid w:val="00381419"/>
    <w:rsid w:val="0038203A"/>
    <w:rsid w:val="003823CC"/>
    <w:rsid w:val="003829C7"/>
    <w:rsid w:val="00382E30"/>
    <w:rsid w:val="00383496"/>
    <w:rsid w:val="0038375E"/>
    <w:rsid w:val="00383C18"/>
    <w:rsid w:val="00383E42"/>
    <w:rsid w:val="00383E63"/>
    <w:rsid w:val="00383F33"/>
    <w:rsid w:val="0038479F"/>
    <w:rsid w:val="00385BBA"/>
    <w:rsid w:val="00385F27"/>
    <w:rsid w:val="003864F3"/>
    <w:rsid w:val="00386702"/>
    <w:rsid w:val="0038691B"/>
    <w:rsid w:val="00386D1A"/>
    <w:rsid w:val="00386FCC"/>
    <w:rsid w:val="0038753B"/>
    <w:rsid w:val="00390959"/>
    <w:rsid w:val="00390C3D"/>
    <w:rsid w:val="0039115D"/>
    <w:rsid w:val="00392044"/>
    <w:rsid w:val="00392154"/>
    <w:rsid w:val="003922D9"/>
    <w:rsid w:val="0039231C"/>
    <w:rsid w:val="00392C00"/>
    <w:rsid w:val="00393430"/>
    <w:rsid w:val="0039399D"/>
    <w:rsid w:val="00393E33"/>
    <w:rsid w:val="00394249"/>
    <w:rsid w:val="0039479C"/>
    <w:rsid w:val="003966B6"/>
    <w:rsid w:val="00396C27"/>
    <w:rsid w:val="00396D08"/>
    <w:rsid w:val="0039721A"/>
    <w:rsid w:val="003A10C3"/>
    <w:rsid w:val="003A14A2"/>
    <w:rsid w:val="003A18AF"/>
    <w:rsid w:val="003A1A5C"/>
    <w:rsid w:val="003A2D9B"/>
    <w:rsid w:val="003A435E"/>
    <w:rsid w:val="003A4EF7"/>
    <w:rsid w:val="003A5274"/>
    <w:rsid w:val="003A52CE"/>
    <w:rsid w:val="003A6E96"/>
    <w:rsid w:val="003B00C3"/>
    <w:rsid w:val="003B0E7E"/>
    <w:rsid w:val="003B1488"/>
    <w:rsid w:val="003B1D58"/>
    <w:rsid w:val="003B2097"/>
    <w:rsid w:val="003B2EAA"/>
    <w:rsid w:val="003B3394"/>
    <w:rsid w:val="003B3981"/>
    <w:rsid w:val="003B4D08"/>
    <w:rsid w:val="003B53EE"/>
    <w:rsid w:val="003B5894"/>
    <w:rsid w:val="003B642A"/>
    <w:rsid w:val="003B690F"/>
    <w:rsid w:val="003B796D"/>
    <w:rsid w:val="003B7C79"/>
    <w:rsid w:val="003C0388"/>
    <w:rsid w:val="003C0753"/>
    <w:rsid w:val="003C0C7F"/>
    <w:rsid w:val="003C0CCA"/>
    <w:rsid w:val="003C1020"/>
    <w:rsid w:val="003C166E"/>
    <w:rsid w:val="003C18C7"/>
    <w:rsid w:val="003C1B13"/>
    <w:rsid w:val="003C2E52"/>
    <w:rsid w:val="003C344A"/>
    <w:rsid w:val="003C36F5"/>
    <w:rsid w:val="003C4650"/>
    <w:rsid w:val="003C47F2"/>
    <w:rsid w:val="003C51FD"/>
    <w:rsid w:val="003C574D"/>
    <w:rsid w:val="003C5C70"/>
    <w:rsid w:val="003C6053"/>
    <w:rsid w:val="003C637F"/>
    <w:rsid w:val="003C63C4"/>
    <w:rsid w:val="003C6561"/>
    <w:rsid w:val="003C656B"/>
    <w:rsid w:val="003C6624"/>
    <w:rsid w:val="003C68B0"/>
    <w:rsid w:val="003C754E"/>
    <w:rsid w:val="003C7ACC"/>
    <w:rsid w:val="003C7F88"/>
    <w:rsid w:val="003D098D"/>
    <w:rsid w:val="003D12AB"/>
    <w:rsid w:val="003D18CC"/>
    <w:rsid w:val="003D259A"/>
    <w:rsid w:val="003D2FA9"/>
    <w:rsid w:val="003D3694"/>
    <w:rsid w:val="003D3712"/>
    <w:rsid w:val="003D3B52"/>
    <w:rsid w:val="003D3F34"/>
    <w:rsid w:val="003D4B9A"/>
    <w:rsid w:val="003D4CE0"/>
    <w:rsid w:val="003D56A6"/>
    <w:rsid w:val="003D5856"/>
    <w:rsid w:val="003D5939"/>
    <w:rsid w:val="003D608C"/>
    <w:rsid w:val="003D668A"/>
    <w:rsid w:val="003D69EF"/>
    <w:rsid w:val="003D705E"/>
    <w:rsid w:val="003D77D9"/>
    <w:rsid w:val="003D7DD3"/>
    <w:rsid w:val="003E056E"/>
    <w:rsid w:val="003E05C9"/>
    <w:rsid w:val="003E09CA"/>
    <w:rsid w:val="003E19E7"/>
    <w:rsid w:val="003E1BBE"/>
    <w:rsid w:val="003E1C3A"/>
    <w:rsid w:val="003E2A9D"/>
    <w:rsid w:val="003E319F"/>
    <w:rsid w:val="003E3747"/>
    <w:rsid w:val="003E392A"/>
    <w:rsid w:val="003E412A"/>
    <w:rsid w:val="003E4CEE"/>
    <w:rsid w:val="003E5295"/>
    <w:rsid w:val="003E5F42"/>
    <w:rsid w:val="003E7F2E"/>
    <w:rsid w:val="003F0152"/>
    <w:rsid w:val="003F0638"/>
    <w:rsid w:val="003F16DC"/>
    <w:rsid w:val="003F1897"/>
    <w:rsid w:val="003F30F1"/>
    <w:rsid w:val="003F3320"/>
    <w:rsid w:val="003F3388"/>
    <w:rsid w:val="003F417E"/>
    <w:rsid w:val="003F4237"/>
    <w:rsid w:val="003F44C0"/>
    <w:rsid w:val="003F4B24"/>
    <w:rsid w:val="003F4DFD"/>
    <w:rsid w:val="003F50B4"/>
    <w:rsid w:val="003F5DE0"/>
    <w:rsid w:val="003F60A8"/>
    <w:rsid w:val="003F64E8"/>
    <w:rsid w:val="003F65F2"/>
    <w:rsid w:val="003F6950"/>
    <w:rsid w:val="003F7202"/>
    <w:rsid w:val="003F7491"/>
    <w:rsid w:val="00400988"/>
    <w:rsid w:val="00401357"/>
    <w:rsid w:val="00402284"/>
    <w:rsid w:val="0040296A"/>
    <w:rsid w:val="0040319F"/>
    <w:rsid w:val="00403253"/>
    <w:rsid w:val="004036D9"/>
    <w:rsid w:val="00403FE8"/>
    <w:rsid w:val="0040407E"/>
    <w:rsid w:val="004040C2"/>
    <w:rsid w:val="00404414"/>
    <w:rsid w:val="00404F34"/>
    <w:rsid w:val="004052E4"/>
    <w:rsid w:val="00405E37"/>
    <w:rsid w:val="00405F14"/>
    <w:rsid w:val="00406F58"/>
    <w:rsid w:val="004070AE"/>
    <w:rsid w:val="004078DA"/>
    <w:rsid w:val="00407F25"/>
    <w:rsid w:val="0041006E"/>
    <w:rsid w:val="00410138"/>
    <w:rsid w:val="004109A5"/>
    <w:rsid w:val="00411268"/>
    <w:rsid w:val="004123FE"/>
    <w:rsid w:val="004125BF"/>
    <w:rsid w:val="00412E2C"/>
    <w:rsid w:val="004130D3"/>
    <w:rsid w:val="00413C36"/>
    <w:rsid w:val="00413C3F"/>
    <w:rsid w:val="00413CC7"/>
    <w:rsid w:val="0041519C"/>
    <w:rsid w:val="00415AFF"/>
    <w:rsid w:val="0041648B"/>
    <w:rsid w:val="00416D53"/>
    <w:rsid w:val="00416FA2"/>
    <w:rsid w:val="00417001"/>
    <w:rsid w:val="0041783F"/>
    <w:rsid w:val="004178B8"/>
    <w:rsid w:val="00417FC5"/>
    <w:rsid w:val="00420606"/>
    <w:rsid w:val="00421FBC"/>
    <w:rsid w:val="004228A3"/>
    <w:rsid w:val="004229EB"/>
    <w:rsid w:val="00422CFD"/>
    <w:rsid w:val="004232FC"/>
    <w:rsid w:val="00423337"/>
    <w:rsid w:val="00423495"/>
    <w:rsid w:val="00423F0A"/>
    <w:rsid w:val="00424471"/>
    <w:rsid w:val="00424E25"/>
    <w:rsid w:val="00424E94"/>
    <w:rsid w:val="00425056"/>
    <w:rsid w:val="00425968"/>
    <w:rsid w:val="00425BB9"/>
    <w:rsid w:val="0042647D"/>
    <w:rsid w:val="004270C5"/>
    <w:rsid w:val="0043056A"/>
    <w:rsid w:val="00430672"/>
    <w:rsid w:val="00430810"/>
    <w:rsid w:val="004318CD"/>
    <w:rsid w:val="004322AA"/>
    <w:rsid w:val="004325EA"/>
    <w:rsid w:val="00432625"/>
    <w:rsid w:val="0043277F"/>
    <w:rsid w:val="00432D18"/>
    <w:rsid w:val="0043329B"/>
    <w:rsid w:val="00433E2E"/>
    <w:rsid w:val="00434961"/>
    <w:rsid w:val="00435261"/>
    <w:rsid w:val="004353E9"/>
    <w:rsid w:val="00435765"/>
    <w:rsid w:val="00436352"/>
    <w:rsid w:val="004364DE"/>
    <w:rsid w:val="00436A51"/>
    <w:rsid w:val="00436E06"/>
    <w:rsid w:val="00437738"/>
    <w:rsid w:val="00437741"/>
    <w:rsid w:val="004400D3"/>
    <w:rsid w:val="004405B6"/>
    <w:rsid w:val="0044083A"/>
    <w:rsid w:val="0044084D"/>
    <w:rsid w:val="00440FB9"/>
    <w:rsid w:val="00441058"/>
    <w:rsid w:val="00442113"/>
    <w:rsid w:val="0044218B"/>
    <w:rsid w:val="00442469"/>
    <w:rsid w:val="00442952"/>
    <w:rsid w:val="00442B96"/>
    <w:rsid w:val="00443F06"/>
    <w:rsid w:val="00443F27"/>
    <w:rsid w:val="00444745"/>
    <w:rsid w:val="004448F1"/>
    <w:rsid w:val="00444984"/>
    <w:rsid w:val="00444EA4"/>
    <w:rsid w:val="004450FB"/>
    <w:rsid w:val="004452E5"/>
    <w:rsid w:val="00445B14"/>
    <w:rsid w:val="004462BD"/>
    <w:rsid w:val="004468F2"/>
    <w:rsid w:val="0044697D"/>
    <w:rsid w:val="00446B57"/>
    <w:rsid w:val="00446D8A"/>
    <w:rsid w:val="0044704B"/>
    <w:rsid w:val="00447363"/>
    <w:rsid w:val="00447B12"/>
    <w:rsid w:val="0045025B"/>
    <w:rsid w:val="00450706"/>
    <w:rsid w:val="00450C4D"/>
    <w:rsid w:val="004512B8"/>
    <w:rsid w:val="0045201B"/>
    <w:rsid w:val="00452D26"/>
    <w:rsid w:val="00452E5B"/>
    <w:rsid w:val="004532AC"/>
    <w:rsid w:val="00453416"/>
    <w:rsid w:val="00453885"/>
    <w:rsid w:val="00453EA6"/>
    <w:rsid w:val="00454152"/>
    <w:rsid w:val="00454426"/>
    <w:rsid w:val="004549A9"/>
    <w:rsid w:val="004553BC"/>
    <w:rsid w:val="00455ABB"/>
    <w:rsid w:val="00455C9D"/>
    <w:rsid w:val="0045674C"/>
    <w:rsid w:val="00456B66"/>
    <w:rsid w:val="004573A8"/>
    <w:rsid w:val="00457AD3"/>
    <w:rsid w:val="00457BE1"/>
    <w:rsid w:val="004608FE"/>
    <w:rsid w:val="004620DB"/>
    <w:rsid w:val="004628FD"/>
    <w:rsid w:val="00462A09"/>
    <w:rsid w:val="00462C38"/>
    <w:rsid w:val="00462C8D"/>
    <w:rsid w:val="0046424B"/>
    <w:rsid w:val="00465292"/>
    <w:rsid w:val="0046537C"/>
    <w:rsid w:val="00466323"/>
    <w:rsid w:val="00466E08"/>
    <w:rsid w:val="0046748E"/>
    <w:rsid w:val="00467C66"/>
    <w:rsid w:val="00467EF1"/>
    <w:rsid w:val="00470BD0"/>
    <w:rsid w:val="00471BC3"/>
    <w:rsid w:val="00471F07"/>
    <w:rsid w:val="00471F38"/>
    <w:rsid w:val="004725AB"/>
    <w:rsid w:val="004730B0"/>
    <w:rsid w:val="00473126"/>
    <w:rsid w:val="00473618"/>
    <w:rsid w:val="004736BC"/>
    <w:rsid w:val="0047391A"/>
    <w:rsid w:val="004745E8"/>
    <w:rsid w:val="00475A51"/>
    <w:rsid w:val="0047615B"/>
    <w:rsid w:val="004762E8"/>
    <w:rsid w:val="00476880"/>
    <w:rsid w:val="004777EB"/>
    <w:rsid w:val="00477F1C"/>
    <w:rsid w:val="0048001D"/>
    <w:rsid w:val="004800EE"/>
    <w:rsid w:val="00480CED"/>
    <w:rsid w:val="004810A2"/>
    <w:rsid w:val="0048114B"/>
    <w:rsid w:val="004811FF"/>
    <w:rsid w:val="00481529"/>
    <w:rsid w:val="00481B65"/>
    <w:rsid w:val="004821AA"/>
    <w:rsid w:val="004827C2"/>
    <w:rsid w:val="00482BE4"/>
    <w:rsid w:val="00482F26"/>
    <w:rsid w:val="0048323F"/>
    <w:rsid w:val="00483520"/>
    <w:rsid w:val="004835A8"/>
    <w:rsid w:val="00483CF4"/>
    <w:rsid w:val="00484254"/>
    <w:rsid w:val="004845A4"/>
    <w:rsid w:val="004856E3"/>
    <w:rsid w:val="00485790"/>
    <w:rsid w:val="004858F9"/>
    <w:rsid w:val="00486192"/>
    <w:rsid w:val="00487918"/>
    <w:rsid w:val="00487E74"/>
    <w:rsid w:val="0049115C"/>
    <w:rsid w:val="004920A8"/>
    <w:rsid w:val="00492227"/>
    <w:rsid w:val="004929B2"/>
    <w:rsid w:val="00493938"/>
    <w:rsid w:val="00496398"/>
    <w:rsid w:val="004967BD"/>
    <w:rsid w:val="0049730F"/>
    <w:rsid w:val="00497BA6"/>
    <w:rsid w:val="004A0F81"/>
    <w:rsid w:val="004A1151"/>
    <w:rsid w:val="004A14FF"/>
    <w:rsid w:val="004A15BD"/>
    <w:rsid w:val="004A1DA5"/>
    <w:rsid w:val="004A205C"/>
    <w:rsid w:val="004A2C7D"/>
    <w:rsid w:val="004A2F11"/>
    <w:rsid w:val="004A3335"/>
    <w:rsid w:val="004A3456"/>
    <w:rsid w:val="004A4090"/>
    <w:rsid w:val="004A4744"/>
    <w:rsid w:val="004A4C86"/>
    <w:rsid w:val="004A4FDB"/>
    <w:rsid w:val="004A4FFA"/>
    <w:rsid w:val="004A568C"/>
    <w:rsid w:val="004A598C"/>
    <w:rsid w:val="004A607A"/>
    <w:rsid w:val="004A6157"/>
    <w:rsid w:val="004B0F71"/>
    <w:rsid w:val="004B1799"/>
    <w:rsid w:val="004B1F4D"/>
    <w:rsid w:val="004B1FD8"/>
    <w:rsid w:val="004B2979"/>
    <w:rsid w:val="004B2DE2"/>
    <w:rsid w:val="004B3503"/>
    <w:rsid w:val="004B3667"/>
    <w:rsid w:val="004B3A40"/>
    <w:rsid w:val="004B41E0"/>
    <w:rsid w:val="004B4AD8"/>
    <w:rsid w:val="004B4C43"/>
    <w:rsid w:val="004B51E1"/>
    <w:rsid w:val="004B5CF8"/>
    <w:rsid w:val="004B5E43"/>
    <w:rsid w:val="004B6584"/>
    <w:rsid w:val="004B6619"/>
    <w:rsid w:val="004B663E"/>
    <w:rsid w:val="004B718F"/>
    <w:rsid w:val="004C0261"/>
    <w:rsid w:val="004C0297"/>
    <w:rsid w:val="004C09EE"/>
    <w:rsid w:val="004C0A0F"/>
    <w:rsid w:val="004C0C14"/>
    <w:rsid w:val="004C186F"/>
    <w:rsid w:val="004C4262"/>
    <w:rsid w:val="004C43CD"/>
    <w:rsid w:val="004C468D"/>
    <w:rsid w:val="004C474B"/>
    <w:rsid w:val="004C4C17"/>
    <w:rsid w:val="004C5961"/>
    <w:rsid w:val="004C6217"/>
    <w:rsid w:val="004C69C1"/>
    <w:rsid w:val="004C6CFD"/>
    <w:rsid w:val="004C7BE8"/>
    <w:rsid w:val="004D0142"/>
    <w:rsid w:val="004D102D"/>
    <w:rsid w:val="004D2ECA"/>
    <w:rsid w:val="004D3592"/>
    <w:rsid w:val="004D3639"/>
    <w:rsid w:val="004D3E49"/>
    <w:rsid w:val="004D4325"/>
    <w:rsid w:val="004D4CB1"/>
    <w:rsid w:val="004D4D4E"/>
    <w:rsid w:val="004D6B8B"/>
    <w:rsid w:val="004D6CE1"/>
    <w:rsid w:val="004D716A"/>
    <w:rsid w:val="004D7B96"/>
    <w:rsid w:val="004E17DD"/>
    <w:rsid w:val="004E254F"/>
    <w:rsid w:val="004E272C"/>
    <w:rsid w:val="004E382D"/>
    <w:rsid w:val="004E3BE5"/>
    <w:rsid w:val="004E40BC"/>
    <w:rsid w:val="004E42A3"/>
    <w:rsid w:val="004E4B81"/>
    <w:rsid w:val="004E4CE9"/>
    <w:rsid w:val="004E4FE4"/>
    <w:rsid w:val="004E51B4"/>
    <w:rsid w:val="004E51DE"/>
    <w:rsid w:val="004E522A"/>
    <w:rsid w:val="004E525D"/>
    <w:rsid w:val="004E6861"/>
    <w:rsid w:val="004E752D"/>
    <w:rsid w:val="004E7862"/>
    <w:rsid w:val="004E7A19"/>
    <w:rsid w:val="004E7D4F"/>
    <w:rsid w:val="004F01AA"/>
    <w:rsid w:val="004F0343"/>
    <w:rsid w:val="004F0AE3"/>
    <w:rsid w:val="004F0B7C"/>
    <w:rsid w:val="004F11EB"/>
    <w:rsid w:val="004F1D25"/>
    <w:rsid w:val="004F239A"/>
    <w:rsid w:val="004F31B1"/>
    <w:rsid w:val="004F3D90"/>
    <w:rsid w:val="004F3FFF"/>
    <w:rsid w:val="004F4734"/>
    <w:rsid w:val="004F4791"/>
    <w:rsid w:val="004F48DB"/>
    <w:rsid w:val="004F49A9"/>
    <w:rsid w:val="004F4F76"/>
    <w:rsid w:val="004F5103"/>
    <w:rsid w:val="004F52DE"/>
    <w:rsid w:val="004F5602"/>
    <w:rsid w:val="004F5998"/>
    <w:rsid w:val="004F77BA"/>
    <w:rsid w:val="004F7BF2"/>
    <w:rsid w:val="004F7E44"/>
    <w:rsid w:val="004F7F77"/>
    <w:rsid w:val="00500BD8"/>
    <w:rsid w:val="00500C8B"/>
    <w:rsid w:val="005015F0"/>
    <w:rsid w:val="00501E99"/>
    <w:rsid w:val="0050210E"/>
    <w:rsid w:val="00502592"/>
    <w:rsid w:val="005025EC"/>
    <w:rsid w:val="00502F29"/>
    <w:rsid w:val="005036A9"/>
    <w:rsid w:val="00503852"/>
    <w:rsid w:val="00504DFF"/>
    <w:rsid w:val="00505084"/>
    <w:rsid w:val="00505273"/>
    <w:rsid w:val="00506379"/>
    <w:rsid w:val="005068E0"/>
    <w:rsid w:val="005069A3"/>
    <w:rsid w:val="00506B68"/>
    <w:rsid w:val="00506F04"/>
    <w:rsid w:val="00507001"/>
    <w:rsid w:val="0050786C"/>
    <w:rsid w:val="00507944"/>
    <w:rsid w:val="00507E63"/>
    <w:rsid w:val="00507F84"/>
    <w:rsid w:val="00510164"/>
    <w:rsid w:val="00510EED"/>
    <w:rsid w:val="00511223"/>
    <w:rsid w:val="00511885"/>
    <w:rsid w:val="00511C77"/>
    <w:rsid w:val="00512227"/>
    <w:rsid w:val="005129F2"/>
    <w:rsid w:val="005133AD"/>
    <w:rsid w:val="0051379C"/>
    <w:rsid w:val="00513B8E"/>
    <w:rsid w:val="00513FF6"/>
    <w:rsid w:val="00514410"/>
    <w:rsid w:val="00514B1C"/>
    <w:rsid w:val="0051558A"/>
    <w:rsid w:val="0051665B"/>
    <w:rsid w:val="005173B6"/>
    <w:rsid w:val="00517A6C"/>
    <w:rsid w:val="00520256"/>
    <w:rsid w:val="00521271"/>
    <w:rsid w:val="00521346"/>
    <w:rsid w:val="00521DC1"/>
    <w:rsid w:val="00521E23"/>
    <w:rsid w:val="005225C5"/>
    <w:rsid w:val="00522DAA"/>
    <w:rsid w:val="0052420D"/>
    <w:rsid w:val="005243AF"/>
    <w:rsid w:val="005247D6"/>
    <w:rsid w:val="0052538F"/>
    <w:rsid w:val="005254BC"/>
    <w:rsid w:val="005255F6"/>
    <w:rsid w:val="00526487"/>
    <w:rsid w:val="00526CB9"/>
    <w:rsid w:val="00527030"/>
    <w:rsid w:val="0052778C"/>
    <w:rsid w:val="005279BC"/>
    <w:rsid w:val="00530FD9"/>
    <w:rsid w:val="0053154C"/>
    <w:rsid w:val="005319E7"/>
    <w:rsid w:val="00532445"/>
    <w:rsid w:val="00533292"/>
    <w:rsid w:val="00533989"/>
    <w:rsid w:val="00533ECB"/>
    <w:rsid w:val="00534BD9"/>
    <w:rsid w:val="00534DB8"/>
    <w:rsid w:val="005352CB"/>
    <w:rsid w:val="0053544D"/>
    <w:rsid w:val="00535474"/>
    <w:rsid w:val="005356BF"/>
    <w:rsid w:val="00535B0D"/>
    <w:rsid w:val="00535F96"/>
    <w:rsid w:val="00536968"/>
    <w:rsid w:val="00536E94"/>
    <w:rsid w:val="00536EC0"/>
    <w:rsid w:val="00537112"/>
    <w:rsid w:val="00537437"/>
    <w:rsid w:val="005374F7"/>
    <w:rsid w:val="0053779F"/>
    <w:rsid w:val="005377C6"/>
    <w:rsid w:val="00537820"/>
    <w:rsid w:val="005379A7"/>
    <w:rsid w:val="00540211"/>
    <w:rsid w:val="005404B1"/>
    <w:rsid w:val="00540DEC"/>
    <w:rsid w:val="0054133F"/>
    <w:rsid w:val="0054188E"/>
    <w:rsid w:val="00541A7B"/>
    <w:rsid w:val="00541AF9"/>
    <w:rsid w:val="00541ECF"/>
    <w:rsid w:val="00542303"/>
    <w:rsid w:val="0054254F"/>
    <w:rsid w:val="005426BC"/>
    <w:rsid w:val="00542AFE"/>
    <w:rsid w:val="005434D5"/>
    <w:rsid w:val="0054416D"/>
    <w:rsid w:val="005441A5"/>
    <w:rsid w:val="005443BD"/>
    <w:rsid w:val="005447B7"/>
    <w:rsid w:val="0054501D"/>
    <w:rsid w:val="005452AA"/>
    <w:rsid w:val="00545F1D"/>
    <w:rsid w:val="00546BAF"/>
    <w:rsid w:val="00546C1F"/>
    <w:rsid w:val="00546D99"/>
    <w:rsid w:val="00547B24"/>
    <w:rsid w:val="00547BD3"/>
    <w:rsid w:val="005507C2"/>
    <w:rsid w:val="00550866"/>
    <w:rsid w:val="005515F9"/>
    <w:rsid w:val="005516DB"/>
    <w:rsid w:val="00551C67"/>
    <w:rsid w:val="00551E48"/>
    <w:rsid w:val="00551ED2"/>
    <w:rsid w:val="00551EDB"/>
    <w:rsid w:val="00552254"/>
    <w:rsid w:val="00552B37"/>
    <w:rsid w:val="00552C8E"/>
    <w:rsid w:val="00552DDE"/>
    <w:rsid w:val="00552FED"/>
    <w:rsid w:val="005536F4"/>
    <w:rsid w:val="00554819"/>
    <w:rsid w:val="00554E66"/>
    <w:rsid w:val="00555ACE"/>
    <w:rsid w:val="005560D2"/>
    <w:rsid w:val="0055634D"/>
    <w:rsid w:val="00557E36"/>
    <w:rsid w:val="0056062D"/>
    <w:rsid w:val="00560D01"/>
    <w:rsid w:val="00560FB7"/>
    <w:rsid w:val="005610C1"/>
    <w:rsid w:val="0056115B"/>
    <w:rsid w:val="005611A1"/>
    <w:rsid w:val="00561D21"/>
    <w:rsid w:val="00564330"/>
    <w:rsid w:val="00564449"/>
    <w:rsid w:val="00564FD8"/>
    <w:rsid w:val="005663E7"/>
    <w:rsid w:val="005668F1"/>
    <w:rsid w:val="00566CAC"/>
    <w:rsid w:val="00567443"/>
    <w:rsid w:val="00567D12"/>
    <w:rsid w:val="00567F00"/>
    <w:rsid w:val="00570383"/>
    <w:rsid w:val="00570A10"/>
    <w:rsid w:val="00570AFC"/>
    <w:rsid w:val="00570C19"/>
    <w:rsid w:val="00572013"/>
    <w:rsid w:val="0057201F"/>
    <w:rsid w:val="00572677"/>
    <w:rsid w:val="00572940"/>
    <w:rsid w:val="00572EFB"/>
    <w:rsid w:val="00573154"/>
    <w:rsid w:val="00573C9E"/>
    <w:rsid w:val="00573D46"/>
    <w:rsid w:val="005745DB"/>
    <w:rsid w:val="005749BA"/>
    <w:rsid w:val="00574BB7"/>
    <w:rsid w:val="0057532B"/>
    <w:rsid w:val="00575CFB"/>
    <w:rsid w:val="0057650D"/>
    <w:rsid w:val="0057669F"/>
    <w:rsid w:val="00576861"/>
    <w:rsid w:val="00576CA3"/>
    <w:rsid w:val="00576DC9"/>
    <w:rsid w:val="00576FAC"/>
    <w:rsid w:val="00577436"/>
    <w:rsid w:val="0057798C"/>
    <w:rsid w:val="005813CF"/>
    <w:rsid w:val="00581926"/>
    <w:rsid w:val="005837A4"/>
    <w:rsid w:val="00584194"/>
    <w:rsid w:val="00584940"/>
    <w:rsid w:val="005849DA"/>
    <w:rsid w:val="00584CE8"/>
    <w:rsid w:val="00585CBF"/>
    <w:rsid w:val="00585DC7"/>
    <w:rsid w:val="00586941"/>
    <w:rsid w:val="00586DCA"/>
    <w:rsid w:val="005872C0"/>
    <w:rsid w:val="005907AA"/>
    <w:rsid w:val="005907DB"/>
    <w:rsid w:val="005910BC"/>
    <w:rsid w:val="00591392"/>
    <w:rsid w:val="00591B8D"/>
    <w:rsid w:val="005920FF"/>
    <w:rsid w:val="00592636"/>
    <w:rsid w:val="005935E7"/>
    <w:rsid w:val="00593A06"/>
    <w:rsid w:val="005945E8"/>
    <w:rsid w:val="00594668"/>
    <w:rsid w:val="00594C2A"/>
    <w:rsid w:val="005951B8"/>
    <w:rsid w:val="005951B9"/>
    <w:rsid w:val="00595537"/>
    <w:rsid w:val="00595903"/>
    <w:rsid w:val="0059653D"/>
    <w:rsid w:val="005969A8"/>
    <w:rsid w:val="00596A6A"/>
    <w:rsid w:val="00597122"/>
    <w:rsid w:val="00597EEB"/>
    <w:rsid w:val="005A0231"/>
    <w:rsid w:val="005A047D"/>
    <w:rsid w:val="005A0543"/>
    <w:rsid w:val="005A094D"/>
    <w:rsid w:val="005A1B39"/>
    <w:rsid w:val="005A1E2A"/>
    <w:rsid w:val="005A2385"/>
    <w:rsid w:val="005A25D3"/>
    <w:rsid w:val="005A3531"/>
    <w:rsid w:val="005A35B1"/>
    <w:rsid w:val="005A37A2"/>
    <w:rsid w:val="005A431A"/>
    <w:rsid w:val="005A5AC0"/>
    <w:rsid w:val="005A5FEB"/>
    <w:rsid w:val="005A6072"/>
    <w:rsid w:val="005A6787"/>
    <w:rsid w:val="005A6DC5"/>
    <w:rsid w:val="005A7258"/>
    <w:rsid w:val="005A7641"/>
    <w:rsid w:val="005A7C9F"/>
    <w:rsid w:val="005A7E25"/>
    <w:rsid w:val="005B066C"/>
    <w:rsid w:val="005B076C"/>
    <w:rsid w:val="005B12B7"/>
    <w:rsid w:val="005B1A3D"/>
    <w:rsid w:val="005B1C72"/>
    <w:rsid w:val="005B1F64"/>
    <w:rsid w:val="005B237D"/>
    <w:rsid w:val="005B31BA"/>
    <w:rsid w:val="005B4962"/>
    <w:rsid w:val="005B4AAA"/>
    <w:rsid w:val="005B4C6B"/>
    <w:rsid w:val="005B4CA9"/>
    <w:rsid w:val="005B514F"/>
    <w:rsid w:val="005B5579"/>
    <w:rsid w:val="005B5EF9"/>
    <w:rsid w:val="005B5F03"/>
    <w:rsid w:val="005B66FE"/>
    <w:rsid w:val="005B6C23"/>
    <w:rsid w:val="005B6EAB"/>
    <w:rsid w:val="005B7660"/>
    <w:rsid w:val="005C0329"/>
    <w:rsid w:val="005C0542"/>
    <w:rsid w:val="005C1584"/>
    <w:rsid w:val="005C15FF"/>
    <w:rsid w:val="005C17AB"/>
    <w:rsid w:val="005C181A"/>
    <w:rsid w:val="005C1A30"/>
    <w:rsid w:val="005C1B6C"/>
    <w:rsid w:val="005C1DD0"/>
    <w:rsid w:val="005C2086"/>
    <w:rsid w:val="005C2C17"/>
    <w:rsid w:val="005C342D"/>
    <w:rsid w:val="005C3769"/>
    <w:rsid w:val="005C3EED"/>
    <w:rsid w:val="005C4376"/>
    <w:rsid w:val="005C47C6"/>
    <w:rsid w:val="005C5206"/>
    <w:rsid w:val="005C6C89"/>
    <w:rsid w:val="005C71D8"/>
    <w:rsid w:val="005C72EC"/>
    <w:rsid w:val="005C78F6"/>
    <w:rsid w:val="005C79FF"/>
    <w:rsid w:val="005C7D09"/>
    <w:rsid w:val="005D0043"/>
    <w:rsid w:val="005D0A44"/>
    <w:rsid w:val="005D10AB"/>
    <w:rsid w:val="005D166F"/>
    <w:rsid w:val="005D1CB4"/>
    <w:rsid w:val="005D23D2"/>
    <w:rsid w:val="005D2AF0"/>
    <w:rsid w:val="005D3153"/>
    <w:rsid w:val="005D34D7"/>
    <w:rsid w:val="005D38B8"/>
    <w:rsid w:val="005D49E2"/>
    <w:rsid w:val="005D58A8"/>
    <w:rsid w:val="005D595D"/>
    <w:rsid w:val="005D60CD"/>
    <w:rsid w:val="005D634C"/>
    <w:rsid w:val="005D68D4"/>
    <w:rsid w:val="005D73C2"/>
    <w:rsid w:val="005E00EC"/>
    <w:rsid w:val="005E0233"/>
    <w:rsid w:val="005E0CAF"/>
    <w:rsid w:val="005E0D96"/>
    <w:rsid w:val="005E10C3"/>
    <w:rsid w:val="005E12D1"/>
    <w:rsid w:val="005E1BEB"/>
    <w:rsid w:val="005E31E4"/>
    <w:rsid w:val="005E388C"/>
    <w:rsid w:val="005E4401"/>
    <w:rsid w:val="005E55AB"/>
    <w:rsid w:val="005E5C80"/>
    <w:rsid w:val="005E70FA"/>
    <w:rsid w:val="005E7267"/>
    <w:rsid w:val="005E76A2"/>
    <w:rsid w:val="005E7EC9"/>
    <w:rsid w:val="005F022B"/>
    <w:rsid w:val="005F086C"/>
    <w:rsid w:val="005F088A"/>
    <w:rsid w:val="005F0ED8"/>
    <w:rsid w:val="005F1928"/>
    <w:rsid w:val="005F223A"/>
    <w:rsid w:val="005F25F3"/>
    <w:rsid w:val="005F29F9"/>
    <w:rsid w:val="005F3217"/>
    <w:rsid w:val="005F3668"/>
    <w:rsid w:val="005F41BF"/>
    <w:rsid w:val="005F41DD"/>
    <w:rsid w:val="005F4481"/>
    <w:rsid w:val="005F460E"/>
    <w:rsid w:val="005F4D32"/>
    <w:rsid w:val="005F4D6A"/>
    <w:rsid w:val="005F4F52"/>
    <w:rsid w:val="005F554F"/>
    <w:rsid w:val="005F5D35"/>
    <w:rsid w:val="005F6217"/>
    <w:rsid w:val="005F7198"/>
    <w:rsid w:val="0060099E"/>
    <w:rsid w:val="00601737"/>
    <w:rsid w:val="006018AC"/>
    <w:rsid w:val="006028E7"/>
    <w:rsid w:val="00602A8A"/>
    <w:rsid w:val="00603282"/>
    <w:rsid w:val="00603686"/>
    <w:rsid w:val="00603CFB"/>
    <w:rsid w:val="00603D70"/>
    <w:rsid w:val="00604875"/>
    <w:rsid w:val="0060552A"/>
    <w:rsid w:val="00605BAC"/>
    <w:rsid w:val="00605BF4"/>
    <w:rsid w:val="00606AA7"/>
    <w:rsid w:val="0060780B"/>
    <w:rsid w:val="006101AD"/>
    <w:rsid w:val="006101E7"/>
    <w:rsid w:val="0061052B"/>
    <w:rsid w:val="0061252C"/>
    <w:rsid w:val="006133D0"/>
    <w:rsid w:val="00613904"/>
    <w:rsid w:val="00613B19"/>
    <w:rsid w:val="00613C81"/>
    <w:rsid w:val="006141B9"/>
    <w:rsid w:val="006143E6"/>
    <w:rsid w:val="00614F92"/>
    <w:rsid w:val="00615008"/>
    <w:rsid w:val="006155DB"/>
    <w:rsid w:val="00615601"/>
    <w:rsid w:val="00615F50"/>
    <w:rsid w:val="006160AE"/>
    <w:rsid w:val="006161D2"/>
    <w:rsid w:val="00616624"/>
    <w:rsid w:val="00616655"/>
    <w:rsid w:val="006169FB"/>
    <w:rsid w:val="00616B01"/>
    <w:rsid w:val="00616E60"/>
    <w:rsid w:val="00617581"/>
    <w:rsid w:val="00617921"/>
    <w:rsid w:val="00617EF6"/>
    <w:rsid w:val="006209FD"/>
    <w:rsid w:val="00620B49"/>
    <w:rsid w:val="00621134"/>
    <w:rsid w:val="00621AE2"/>
    <w:rsid w:val="00621B5E"/>
    <w:rsid w:val="00621EDD"/>
    <w:rsid w:val="0062218B"/>
    <w:rsid w:val="00622B8B"/>
    <w:rsid w:val="00624910"/>
    <w:rsid w:val="006265E4"/>
    <w:rsid w:val="00626870"/>
    <w:rsid w:val="00627367"/>
    <w:rsid w:val="00627931"/>
    <w:rsid w:val="00630EEC"/>
    <w:rsid w:val="0063124C"/>
    <w:rsid w:val="00631390"/>
    <w:rsid w:val="00631D27"/>
    <w:rsid w:val="006326A9"/>
    <w:rsid w:val="0063306C"/>
    <w:rsid w:val="00633642"/>
    <w:rsid w:val="006336C2"/>
    <w:rsid w:val="006336FA"/>
    <w:rsid w:val="00634110"/>
    <w:rsid w:val="00634406"/>
    <w:rsid w:val="00634507"/>
    <w:rsid w:val="00635313"/>
    <w:rsid w:val="00635583"/>
    <w:rsid w:val="00635726"/>
    <w:rsid w:val="00635F94"/>
    <w:rsid w:val="00636161"/>
    <w:rsid w:val="00636674"/>
    <w:rsid w:val="00636796"/>
    <w:rsid w:val="006372D4"/>
    <w:rsid w:val="00637C8C"/>
    <w:rsid w:val="006403BC"/>
    <w:rsid w:val="006404A4"/>
    <w:rsid w:val="0064144A"/>
    <w:rsid w:val="00641743"/>
    <w:rsid w:val="00642182"/>
    <w:rsid w:val="00642832"/>
    <w:rsid w:val="00642A51"/>
    <w:rsid w:val="00643948"/>
    <w:rsid w:val="00643DE5"/>
    <w:rsid w:val="0064413C"/>
    <w:rsid w:val="0064439A"/>
    <w:rsid w:val="00645044"/>
    <w:rsid w:val="00645563"/>
    <w:rsid w:val="006456E3"/>
    <w:rsid w:val="00645954"/>
    <w:rsid w:val="00645A96"/>
    <w:rsid w:val="00645F2D"/>
    <w:rsid w:val="00646AD2"/>
    <w:rsid w:val="00647618"/>
    <w:rsid w:val="0064776E"/>
    <w:rsid w:val="00647C88"/>
    <w:rsid w:val="00647D2D"/>
    <w:rsid w:val="00650227"/>
    <w:rsid w:val="00650EEC"/>
    <w:rsid w:val="00651064"/>
    <w:rsid w:val="00651555"/>
    <w:rsid w:val="00652EE3"/>
    <w:rsid w:val="006535E9"/>
    <w:rsid w:val="00653F2B"/>
    <w:rsid w:val="006541AB"/>
    <w:rsid w:val="00654370"/>
    <w:rsid w:val="006551DE"/>
    <w:rsid w:val="006555B3"/>
    <w:rsid w:val="00655AB6"/>
    <w:rsid w:val="00655AC3"/>
    <w:rsid w:val="00655F67"/>
    <w:rsid w:val="0065611F"/>
    <w:rsid w:val="00656524"/>
    <w:rsid w:val="0065654A"/>
    <w:rsid w:val="006570EA"/>
    <w:rsid w:val="006600B5"/>
    <w:rsid w:val="006603EE"/>
    <w:rsid w:val="00660742"/>
    <w:rsid w:val="006607A8"/>
    <w:rsid w:val="00660DC0"/>
    <w:rsid w:val="00660E05"/>
    <w:rsid w:val="00660F19"/>
    <w:rsid w:val="00660F1D"/>
    <w:rsid w:val="0066121C"/>
    <w:rsid w:val="0066145D"/>
    <w:rsid w:val="00661718"/>
    <w:rsid w:val="00662B9F"/>
    <w:rsid w:val="0066368B"/>
    <w:rsid w:val="00663A32"/>
    <w:rsid w:val="00663F5C"/>
    <w:rsid w:val="00663FEA"/>
    <w:rsid w:val="00664318"/>
    <w:rsid w:val="00664E24"/>
    <w:rsid w:val="006656E4"/>
    <w:rsid w:val="00665CC6"/>
    <w:rsid w:val="00665F06"/>
    <w:rsid w:val="00666ED9"/>
    <w:rsid w:val="00667E33"/>
    <w:rsid w:val="00667EEA"/>
    <w:rsid w:val="0067002C"/>
    <w:rsid w:val="00670AB3"/>
    <w:rsid w:val="00670ECC"/>
    <w:rsid w:val="006726FB"/>
    <w:rsid w:val="006727E6"/>
    <w:rsid w:val="00672855"/>
    <w:rsid w:val="00672CC6"/>
    <w:rsid w:val="00673D55"/>
    <w:rsid w:val="00673FFF"/>
    <w:rsid w:val="006743D5"/>
    <w:rsid w:val="006743FD"/>
    <w:rsid w:val="00674719"/>
    <w:rsid w:val="00674AF2"/>
    <w:rsid w:val="00674E96"/>
    <w:rsid w:val="0067542E"/>
    <w:rsid w:val="00675B2A"/>
    <w:rsid w:val="00675DA3"/>
    <w:rsid w:val="00676074"/>
    <w:rsid w:val="00676EB7"/>
    <w:rsid w:val="00676FC5"/>
    <w:rsid w:val="00677507"/>
    <w:rsid w:val="00680E44"/>
    <w:rsid w:val="00680F8A"/>
    <w:rsid w:val="00680FB1"/>
    <w:rsid w:val="0068106B"/>
    <w:rsid w:val="00681DF5"/>
    <w:rsid w:val="0068202D"/>
    <w:rsid w:val="006820A3"/>
    <w:rsid w:val="006826BA"/>
    <w:rsid w:val="0068284C"/>
    <w:rsid w:val="00683069"/>
    <w:rsid w:val="00683E21"/>
    <w:rsid w:val="006845E6"/>
    <w:rsid w:val="00684BCE"/>
    <w:rsid w:val="006851AA"/>
    <w:rsid w:val="0068556A"/>
    <w:rsid w:val="00685D0B"/>
    <w:rsid w:val="0068686A"/>
    <w:rsid w:val="00686ACF"/>
    <w:rsid w:val="00686DC2"/>
    <w:rsid w:val="006870B7"/>
    <w:rsid w:val="006871F3"/>
    <w:rsid w:val="006876EE"/>
    <w:rsid w:val="00687BCC"/>
    <w:rsid w:val="00690225"/>
    <w:rsid w:val="00690E93"/>
    <w:rsid w:val="00691133"/>
    <w:rsid w:val="00691320"/>
    <w:rsid w:val="00692182"/>
    <w:rsid w:val="006922A2"/>
    <w:rsid w:val="00692AEC"/>
    <w:rsid w:val="00692CEF"/>
    <w:rsid w:val="0069318B"/>
    <w:rsid w:val="00693904"/>
    <w:rsid w:val="00694339"/>
    <w:rsid w:val="00695018"/>
    <w:rsid w:val="006950BA"/>
    <w:rsid w:val="006955DF"/>
    <w:rsid w:val="00695B98"/>
    <w:rsid w:val="00695E90"/>
    <w:rsid w:val="00696086"/>
    <w:rsid w:val="0069643B"/>
    <w:rsid w:val="006971A4"/>
    <w:rsid w:val="006971E0"/>
    <w:rsid w:val="00697296"/>
    <w:rsid w:val="006A0E1C"/>
    <w:rsid w:val="006A104B"/>
    <w:rsid w:val="006A1283"/>
    <w:rsid w:val="006A28D0"/>
    <w:rsid w:val="006A2968"/>
    <w:rsid w:val="006A2F3B"/>
    <w:rsid w:val="006A30D0"/>
    <w:rsid w:val="006A4A08"/>
    <w:rsid w:val="006A4A15"/>
    <w:rsid w:val="006A4AF6"/>
    <w:rsid w:val="006A4DE9"/>
    <w:rsid w:val="006A5018"/>
    <w:rsid w:val="006A5C4D"/>
    <w:rsid w:val="006A5EAC"/>
    <w:rsid w:val="006A610A"/>
    <w:rsid w:val="006A6408"/>
    <w:rsid w:val="006A6FBB"/>
    <w:rsid w:val="006A7871"/>
    <w:rsid w:val="006A79BB"/>
    <w:rsid w:val="006A7A43"/>
    <w:rsid w:val="006A7D08"/>
    <w:rsid w:val="006A7FCF"/>
    <w:rsid w:val="006B0897"/>
    <w:rsid w:val="006B0BDB"/>
    <w:rsid w:val="006B0D44"/>
    <w:rsid w:val="006B0E04"/>
    <w:rsid w:val="006B118C"/>
    <w:rsid w:val="006B141E"/>
    <w:rsid w:val="006B23D8"/>
    <w:rsid w:val="006B2902"/>
    <w:rsid w:val="006B2BA1"/>
    <w:rsid w:val="006B47E7"/>
    <w:rsid w:val="006B4C3D"/>
    <w:rsid w:val="006B5A26"/>
    <w:rsid w:val="006B5C2C"/>
    <w:rsid w:val="006B62C2"/>
    <w:rsid w:val="006B6A73"/>
    <w:rsid w:val="006B7294"/>
    <w:rsid w:val="006B73CA"/>
    <w:rsid w:val="006B74C8"/>
    <w:rsid w:val="006B7593"/>
    <w:rsid w:val="006C0FAB"/>
    <w:rsid w:val="006C0FC7"/>
    <w:rsid w:val="006C1352"/>
    <w:rsid w:val="006C1824"/>
    <w:rsid w:val="006C1EEA"/>
    <w:rsid w:val="006C230E"/>
    <w:rsid w:val="006C3940"/>
    <w:rsid w:val="006C3A54"/>
    <w:rsid w:val="006C3FC9"/>
    <w:rsid w:val="006C45AC"/>
    <w:rsid w:val="006C4600"/>
    <w:rsid w:val="006C46CF"/>
    <w:rsid w:val="006C4B10"/>
    <w:rsid w:val="006C4D26"/>
    <w:rsid w:val="006C5187"/>
    <w:rsid w:val="006C5C1C"/>
    <w:rsid w:val="006C5C7A"/>
    <w:rsid w:val="006C60A7"/>
    <w:rsid w:val="006C60F4"/>
    <w:rsid w:val="006C6930"/>
    <w:rsid w:val="006C7097"/>
    <w:rsid w:val="006C75F3"/>
    <w:rsid w:val="006C7A05"/>
    <w:rsid w:val="006C7E4C"/>
    <w:rsid w:val="006D0053"/>
    <w:rsid w:val="006D0538"/>
    <w:rsid w:val="006D073F"/>
    <w:rsid w:val="006D1683"/>
    <w:rsid w:val="006D25E5"/>
    <w:rsid w:val="006D289D"/>
    <w:rsid w:val="006D29C1"/>
    <w:rsid w:val="006D29C6"/>
    <w:rsid w:val="006D4886"/>
    <w:rsid w:val="006D514C"/>
    <w:rsid w:val="006D51E0"/>
    <w:rsid w:val="006D572D"/>
    <w:rsid w:val="006D60DC"/>
    <w:rsid w:val="006D683E"/>
    <w:rsid w:val="006D688A"/>
    <w:rsid w:val="006D75A1"/>
    <w:rsid w:val="006D7B0D"/>
    <w:rsid w:val="006E0255"/>
    <w:rsid w:val="006E0336"/>
    <w:rsid w:val="006E0697"/>
    <w:rsid w:val="006E0987"/>
    <w:rsid w:val="006E0B00"/>
    <w:rsid w:val="006E1E4C"/>
    <w:rsid w:val="006E2817"/>
    <w:rsid w:val="006E3C0A"/>
    <w:rsid w:val="006E3C37"/>
    <w:rsid w:val="006E4A44"/>
    <w:rsid w:val="006E5C26"/>
    <w:rsid w:val="006E6427"/>
    <w:rsid w:val="006E68FB"/>
    <w:rsid w:val="006E707E"/>
    <w:rsid w:val="006F0375"/>
    <w:rsid w:val="006F049B"/>
    <w:rsid w:val="006F06D5"/>
    <w:rsid w:val="006F0BAF"/>
    <w:rsid w:val="006F0BB8"/>
    <w:rsid w:val="006F11F9"/>
    <w:rsid w:val="006F1802"/>
    <w:rsid w:val="006F1C74"/>
    <w:rsid w:val="006F1E1C"/>
    <w:rsid w:val="006F2328"/>
    <w:rsid w:val="006F2D53"/>
    <w:rsid w:val="006F2D9F"/>
    <w:rsid w:val="006F3189"/>
    <w:rsid w:val="006F3D03"/>
    <w:rsid w:val="006F3DD9"/>
    <w:rsid w:val="006F4389"/>
    <w:rsid w:val="006F48B6"/>
    <w:rsid w:val="006F4E93"/>
    <w:rsid w:val="006F55CB"/>
    <w:rsid w:val="006F568A"/>
    <w:rsid w:val="006F5C0F"/>
    <w:rsid w:val="006F6A95"/>
    <w:rsid w:val="006F6AEE"/>
    <w:rsid w:val="006F7078"/>
    <w:rsid w:val="006F78E8"/>
    <w:rsid w:val="006F797E"/>
    <w:rsid w:val="007013B3"/>
    <w:rsid w:val="007017E1"/>
    <w:rsid w:val="00702246"/>
    <w:rsid w:val="007023E7"/>
    <w:rsid w:val="00702DC4"/>
    <w:rsid w:val="007032D9"/>
    <w:rsid w:val="00703D0D"/>
    <w:rsid w:val="00703E24"/>
    <w:rsid w:val="00704101"/>
    <w:rsid w:val="0070413C"/>
    <w:rsid w:val="00704C25"/>
    <w:rsid w:val="00704C8F"/>
    <w:rsid w:val="00704DB8"/>
    <w:rsid w:val="0070509E"/>
    <w:rsid w:val="007057F4"/>
    <w:rsid w:val="00705860"/>
    <w:rsid w:val="00705B9F"/>
    <w:rsid w:val="00705CB8"/>
    <w:rsid w:val="007060EC"/>
    <w:rsid w:val="00706334"/>
    <w:rsid w:val="007072EE"/>
    <w:rsid w:val="00707471"/>
    <w:rsid w:val="00707C41"/>
    <w:rsid w:val="007103D0"/>
    <w:rsid w:val="007105DC"/>
    <w:rsid w:val="007107AC"/>
    <w:rsid w:val="0071090B"/>
    <w:rsid w:val="00710BAD"/>
    <w:rsid w:val="0071123E"/>
    <w:rsid w:val="00711696"/>
    <w:rsid w:val="00711BC9"/>
    <w:rsid w:val="00712F44"/>
    <w:rsid w:val="0071418B"/>
    <w:rsid w:val="00714CBB"/>
    <w:rsid w:val="00714FD7"/>
    <w:rsid w:val="007151E9"/>
    <w:rsid w:val="007159DB"/>
    <w:rsid w:val="00715E74"/>
    <w:rsid w:val="0071629F"/>
    <w:rsid w:val="00716B2D"/>
    <w:rsid w:val="00716BA8"/>
    <w:rsid w:val="00716E51"/>
    <w:rsid w:val="00716F3A"/>
    <w:rsid w:val="00717297"/>
    <w:rsid w:val="007174BD"/>
    <w:rsid w:val="00720E1F"/>
    <w:rsid w:val="00721872"/>
    <w:rsid w:val="0072214C"/>
    <w:rsid w:val="00722ACD"/>
    <w:rsid w:val="00722ACE"/>
    <w:rsid w:val="00722D4D"/>
    <w:rsid w:val="00723628"/>
    <w:rsid w:val="00724002"/>
    <w:rsid w:val="00724408"/>
    <w:rsid w:val="007251C5"/>
    <w:rsid w:val="007265EE"/>
    <w:rsid w:val="007270FC"/>
    <w:rsid w:val="00727712"/>
    <w:rsid w:val="00727E3B"/>
    <w:rsid w:val="0073008C"/>
    <w:rsid w:val="0073018C"/>
    <w:rsid w:val="00730F3E"/>
    <w:rsid w:val="0073156A"/>
    <w:rsid w:val="00731E91"/>
    <w:rsid w:val="0073218C"/>
    <w:rsid w:val="00732546"/>
    <w:rsid w:val="00732943"/>
    <w:rsid w:val="00732EE5"/>
    <w:rsid w:val="00733144"/>
    <w:rsid w:val="0073320F"/>
    <w:rsid w:val="007334D1"/>
    <w:rsid w:val="007339D7"/>
    <w:rsid w:val="00733ACA"/>
    <w:rsid w:val="00733E7A"/>
    <w:rsid w:val="00734C81"/>
    <w:rsid w:val="00734E2B"/>
    <w:rsid w:val="00734FA5"/>
    <w:rsid w:val="007356AE"/>
    <w:rsid w:val="00735AB0"/>
    <w:rsid w:val="0073629A"/>
    <w:rsid w:val="00737B22"/>
    <w:rsid w:val="0074106F"/>
    <w:rsid w:val="00741914"/>
    <w:rsid w:val="0074222F"/>
    <w:rsid w:val="00742983"/>
    <w:rsid w:val="00742B4B"/>
    <w:rsid w:val="00743101"/>
    <w:rsid w:val="00743F0E"/>
    <w:rsid w:val="0074409E"/>
    <w:rsid w:val="00744739"/>
    <w:rsid w:val="007449C5"/>
    <w:rsid w:val="00744F51"/>
    <w:rsid w:val="00745211"/>
    <w:rsid w:val="007453DB"/>
    <w:rsid w:val="007455EE"/>
    <w:rsid w:val="00745BFE"/>
    <w:rsid w:val="00745CB2"/>
    <w:rsid w:val="00745D69"/>
    <w:rsid w:val="00746697"/>
    <w:rsid w:val="00746AA2"/>
    <w:rsid w:val="007477F6"/>
    <w:rsid w:val="0074786F"/>
    <w:rsid w:val="00747AC2"/>
    <w:rsid w:val="00750A15"/>
    <w:rsid w:val="00750B03"/>
    <w:rsid w:val="00751767"/>
    <w:rsid w:val="00751959"/>
    <w:rsid w:val="00751D39"/>
    <w:rsid w:val="00753941"/>
    <w:rsid w:val="00753DFD"/>
    <w:rsid w:val="00753E33"/>
    <w:rsid w:val="00753E5A"/>
    <w:rsid w:val="00753F1A"/>
    <w:rsid w:val="007542BE"/>
    <w:rsid w:val="00754B2D"/>
    <w:rsid w:val="00754DDA"/>
    <w:rsid w:val="007551A1"/>
    <w:rsid w:val="007563DD"/>
    <w:rsid w:val="0075693A"/>
    <w:rsid w:val="0075731E"/>
    <w:rsid w:val="0075779B"/>
    <w:rsid w:val="00757A5E"/>
    <w:rsid w:val="00760598"/>
    <w:rsid w:val="007608B8"/>
    <w:rsid w:val="00761079"/>
    <w:rsid w:val="00761B87"/>
    <w:rsid w:val="007626F4"/>
    <w:rsid w:val="00762D8E"/>
    <w:rsid w:val="00763015"/>
    <w:rsid w:val="0076396D"/>
    <w:rsid w:val="007641A9"/>
    <w:rsid w:val="007641C7"/>
    <w:rsid w:val="007647BB"/>
    <w:rsid w:val="00764C2D"/>
    <w:rsid w:val="00764E48"/>
    <w:rsid w:val="0076503E"/>
    <w:rsid w:val="00765B11"/>
    <w:rsid w:val="00766985"/>
    <w:rsid w:val="00766B33"/>
    <w:rsid w:val="00770222"/>
    <w:rsid w:val="0077022F"/>
    <w:rsid w:val="00770A7B"/>
    <w:rsid w:val="00770D9C"/>
    <w:rsid w:val="00771545"/>
    <w:rsid w:val="00771588"/>
    <w:rsid w:val="0077281B"/>
    <w:rsid w:val="007733C8"/>
    <w:rsid w:val="007738C6"/>
    <w:rsid w:val="0077395D"/>
    <w:rsid w:val="00774891"/>
    <w:rsid w:val="00774D59"/>
    <w:rsid w:val="00774E3C"/>
    <w:rsid w:val="00775061"/>
    <w:rsid w:val="007752EC"/>
    <w:rsid w:val="00775CFE"/>
    <w:rsid w:val="00775DDD"/>
    <w:rsid w:val="00776A62"/>
    <w:rsid w:val="00777113"/>
    <w:rsid w:val="0077742F"/>
    <w:rsid w:val="00777E3F"/>
    <w:rsid w:val="00780C04"/>
    <w:rsid w:val="007812DE"/>
    <w:rsid w:val="007814B1"/>
    <w:rsid w:val="007824E5"/>
    <w:rsid w:val="00782A05"/>
    <w:rsid w:val="00783108"/>
    <w:rsid w:val="0078337E"/>
    <w:rsid w:val="0078341E"/>
    <w:rsid w:val="0078479F"/>
    <w:rsid w:val="007850E4"/>
    <w:rsid w:val="007855D7"/>
    <w:rsid w:val="00785A3B"/>
    <w:rsid w:val="00785A63"/>
    <w:rsid w:val="00785D56"/>
    <w:rsid w:val="007864ED"/>
    <w:rsid w:val="00786765"/>
    <w:rsid w:val="007869CD"/>
    <w:rsid w:val="00786AD2"/>
    <w:rsid w:val="00786CE6"/>
    <w:rsid w:val="00786E1A"/>
    <w:rsid w:val="00786F6B"/>
    <w:rsid w:val="0078787D"/>
    <w:rsid w:val="00787E56"/>
    <w:rsid w:val="00787E66"/>
    <w:rsid w:val="007906E4"/>
    <w:rsid w:val="00790993"/>
    <w:rsid w:val="00790A9C"/>
    <w:rsid w:val="00790E57"/>
    <w:rsid w:val="007916E9"/>
    <w:rsid w:val="00791F71"/>
    <w:rsid w:val="007924E8"/>
    <w:rsid w:val="00792550"/>
    <w:rsid w:val="0079364C"/>
    <w:rsid w:val="0079395B"/>
    <w:rsid w:val="007955DF"/>
    <w:rsid w:val="00795F24"/>
    <w:rsid w:val="0079665C"/>
    <w:rsid w:val="00797500"/>
    <w:rsid w:val="00797947"/>
    <w:rsid w:val="00797CF8"/>
    <w:rsid w:val="007A01FC"/>
    <w:rsid w:val="007A08F5"/>
    <w:rsid w:val="007A13C5"/>
    <w:rsid w:val="007A1696"/>
    <w:rsid w:val="007A2E23"/>
    <w:rsid w:val="007A35F9"/>
    <w:rsid w:val="007A39BD"/>
    <w:rsid w:val="007A3BCC"/>
    <w:rsid w:val="007A3CF8"/>
    <w:rsid w:val="007A51E0"/>
    <w:rsid w:val="007A5741"/>
    <w:rsid w:val="007A6620"/>
    <w:rsid w:val="007A6AFC"/>
    <w:rsid w:val="007A6EB0"/>
    <w:rsid w:val="007A76B0"/>
    <w:rsid w:val="007B0050"/>
    <w:rsid w:val="007B09E4"/>
    <w:rsid w:val="007B0BC5"/>
    <w:rsid w:val="007B0C46"/>
    <w:rsid w:val="007B0D28"/>
    <w:rsid w:val="007B10D3"/>
    <w:rsid w:val="007B1281"/>
    <w:rsid w:val="007B1AFF"/>
    <w:rsid w:val="007B28EA"/>
    <w:rsid w:val="007B3D82"/>
    <w:rsid w:val="007B441A"/>
    <w:rsid w:val="007B4CDB"/>
    <w:rsid w:val="007B565A"/>
    <w:rsid w:val="007B56DD"/>
    <w:rsid w:val="007B577D"/>
    <w:rsid w:val="007B57B7"/>
    <w:rsid w:val="007B5E00"/>
    <w:rsid w:val="007B5E2E"/>
    <w:rsid w:val="007B6313"/>
    <w:rsid w:val="007B6609"/>
    <w:rsid w:val="007B780D"/>
    <w:rsid w:val="007C030A"/>
    <w:rsid w:val="007C0673"/>
    <w:rsid w:val="007C07D3"/>
    <w:rsid w:val="007C0A00"/>
    <w:rsid w:val="007C1179"/>
    <w:rsid w:val="007C11A3"/>
    <w:rsid w:val="007C1735"/>
    <w:rsid w:val="007C1E6B"/>
    <w:rsid w:val="007C2398"/>
    <w:rsid w:val="007C27DB"/>
    <w:rsid w:val="007C2A5B"/>
    <w:rsid w:val="007C2FAA"/>
    <w:rsid w:val="007C2FF8"/>
    <w:rsid w:val="007C4B16"/>
    <w:rsid w:val="007C4E2E"/>
    <w:rsid w:val="007C4FB3"/>
    <w:rsid w:val="007C5EB3"/>
    <w:rsid w:val="007C6202"/>
    <w:rsid w:val="007C6242"/>
    <w:rsid w:val="007C63FD"/>
    <w:rsid w:val="007C65D3"/>
    <w:rsid w:val="007C6776"/>
    <w:rsid w:val="007C688C"/>
    <w:rsid w:val="007C689E"/>
    <w:rsid w:val="007C76DE"/>
    <w:rsid w:val="007C76E1"/>
    <w:rsid w:val="007C79A2"/>
    <w:rsid w:val="007C7A22"/>
    <w:rsid w:val="007C7BE5"/>
    <w:rsid w:val="007D01C2"/>
    <w:rsid w:val="007D0739"/>
    <w:rsid w:val="007D0A1D"/>
    <w:rsid w:val="007D104C"/>
    <w:rsid w:val="007D17AD"/>
    <w:rsid w:val="007D2676"/>
    <w:rsid w:val="007D27A3"/>
    <w:rsid w:val="007D2AD6"/>
    <w:rsid w:val="007D3349"/>
    <w:rsid w:val="007D33EE"/>
    <w:rsid w:val="007D443E"/>
    <w:rsid w:val="007D49B7"/>
    <w:rsid w:val="007D628A"/>
    <w:rsid w:val="007D6B9E"/>
    <w:rsid w:val="007D77C3"/>
    <w:rsid w:val="007D7C03"/>
    <w:rsid w:val="007E0969"/>
    <w:rsid w:val="007E122B"/>
    <w:rsid w:val="007E225A"/>
    <w:rsid w:val="007E2283"/>
    <w:rsid w:val="007E24AD"/>
    <w:rsid w:val="007E2821"/>
    <w:rsid w:val="007E3520"/>
    <w:rsid w:val="007E3B0B"/>
    <w:rsid w:val="007E4841"/>
    <w:rsid w:val="007E487F"/>
    <w:rsid w:val="007E57C4"/>
    <w:rsid w:val="007E5D97"/>
    <w:rsid w:val="007E5E7B"/>
    <w:rsid w:val="007E5FA9"/>
    <w:rsid w:val="007E637C"/>
    <w:rsid w:val="007E7BB0"/>
    <w:rsid w:val="007F0D8B"/>
    <w:rsid w:val="007F1E2F"/>
    <w:rsid w:val="007F261F"/>
    <w:rsid w:val="007F2C6C"/>
    <w:rsid w:val="007F422D"/>
    <w:rsid w:val="007F4B19"/>
    <w:rsid w:val="007F4BD8"/>
    <w:rsid w:val="007F546F"/>
    <w:rsid w:val="007F66AC"/>
    <w:rsid w:val="007F6A79"/>
    <w:rsid w:val="00801379"/>
    <w:rsid w:val="0080154A"/>
    <w:rsid w:val="008016B9"/>
    <w:rsid w:val="00801B5A"/>
    <w:rsid w:val="00801D55"/>
    <w:rsid w:val="008027EE"/>
    <w:rsid w:val="00802AEC"/>
    <w:rsid w:val="00802CE7"/>
    <w:rsid w:val="00802F17"/>
    <w:rsid w:val="008031A4"/>
    <w:rsid w:val="008036C2"/>
    <w:rsid w:val="00803FC4"/>
    <w:rsid w:val="008049C3"/>
    <w:rsid w:val="00805677"/>
    <w:rsid w:val="00806EB1"/>
    <w:rsid w:val="00807712"/>
    <w:rsid w:val="00810AA5"/>
    <w:rsid w:val="00811F12"/>
    <w:rsid w:val="0081200E"/>
    <w:rsid w:val="00812283"/>
    <w:rsid w:val="00812863"/>
    <w:rsid w:val="0081299C"/>
    <w:rsid w:val="00812C5C"/>
    <w:rsid w:val="008143EE"/>
    <w:rsid w:val="008148B0"/>
    <w:rsid w:val="00814A38"/>
    <w:rsid w:val="00815971"/>
    <w:rsid w:val="00815A3C"/>
    <w:rsid w:val="00815AC8"/>
    <w:rsid w:val="00815C03"/>
    <w:rsid w:val="00815C2D"/>
    <w:rsid w:val="008160D1"/>
    <w:rsid w:val="00816FB4"/>
    <w:rsid w:val="0081713C"/>
    <w:rsid w:val="008175E6"/>
    <w:rsid w:val="00820D09"/>
    <w:rsid w:val="00820F1D"/>
    <w:rsid w:val="008214FD"/>
    <w:rsid w:val="00821837"/>
    <w:rsid w:val="0082196B"/>
    <w:rsid w:val="00822174"/>
    <w:rsid w:val="00824071"/>
    <w:rsid w:val="008240BE"/>
    <w:rsid w:val="00824DBF"/>
    <w:rsid w:val="0082545D"/>
    <w:rsid w:val="0082603D"/>
    <w:rsid w:val="008268EA"/>
    <w:rsid w:val="0082752D"/>
    <w:rsid w:val="008277E1"/>
    <w:rsid w:val="00827834"/>
    <w:rsid w:val="00827DBA"/>
    <w:rsid w:val="00830672"/>
    <w:rsid w:val="00830E5A"/>
    <w:rsid w:val="00830E97"/>
    <w:rsid w:val="00831110"/>
    <w:rsid w:val="008311D5"/>
    <w:rsid w:val="00831806"/>
    <w:rsid w:val="00831ACB"/>
    <w:rsid w:val="0083267C"/>
    <w:rsid w:val="00832C49"/>
    <w:rsid w:val="008330A7"/>
    <w:rsid w:val="00833789"/>
    <w:rsid w:val="00834311"/>
    <w:rsid w:val="008357C4"/>
    <w:rsid w:val="00835AF3"/>
    <w:rsid w:val="00835B70"/>
    <w:rsid w:val="00835C3E"/>
    <w:rsid w:val="0083605A"/>
    <w:rsid w:val="008368DA"/>
    <w:rsid w:val="008402FF"/>
    <w:rsid w:val="0084076F"/>
    <w:rsid w:val="00841DC9"/>
    <w:rsid w:val="00841F53"/>
    <w:rsid w:val="00842F11"/>
    <w:rsid w:val="0084369F"/>
    <w:rsid w:val="008438D1"/>
    <w:rsid w:val="00843B16"/>
    <w:rsid w:val="00843DFC"/>
    <w:rsid w:val="0084410A"/>
    <w:rsid w:val="008446ED"/>
    <w:rsid w:val="00846164"/>
    <w:rsid w:val="008467FB"/>
    <w:rsid w:val="008503B9"/>
    <w:rsid w:val="00850907"/>
    <w:rsid w:val="0085250E"/>
    <w:rsid w:val="00852DFF"/>
    <w:rsid w:val="008530F3"/>
    <w:rsid w:val="008547D0"/>
    <w:rsid w:val="008569B8"/>
    <w:rsid w:val="00856B5F"/>
    <w:rsid w:val="00856F59"/>
    <w:rsid w:val="008573FF"/>
    <w:rsid w:val="00857977"/>
    <w:rsid w:val="00857C01"/>
    <w:rsid w:val="00857C50"/>
    <w:rsid w:val="008605C5"/>
    <w:rsid w:val="00860A27"/>
    <w:rsid w:val="00860C90"/>
    <w:rsid w:val="00860FAC"/>
    <w:rsid w:val="00861842"/>
    <w:rsid w:val="00861A26"/>
    <w:rsid w:val="0086256A"/>
    <w:rsid w:val="008627A3"/>
    <w:rsid w:val="00862AE2"/>
    <w:rsid w:val="00862BD7"/>
    <w:rsid w:val="008634AB"/>
    <w:rsid w:val="0086380C"/>
    <w:rsid w:val="00863B79"/>
    <w:rsid w:val="008648CC"/>
    <w:rsid w:val="00864F0D"/>
    <w:rsid w:val="00864FC9"/>
    <w:rsid w:val="0086515C"/>
    <w:rsid w:val="0086606C"/>
    <w:rsid w:val="00867D49"/>
    <w:rsid w:val="008704EA"/>
    <w:rsid w:val="00870758"/>
    <w:rsid w:val="00870B1E"/>
    <w:rsid w:val="00871001"/>
    <w:rsid w:val="00871081"/>
    <w:rsid w:val="00871F70"/>
    <w:rsid w:val="00872072"/>
    <w:rsid w:val="0087218E"/>
    <w:rsid w:val="008735AE"/>
    <w:rsid w:val="00873B44"/>
    <w:rsid w:val="0087483E"/>
    <w:rsid w:val="00874B57"/>
    <w:rsid w:val="00874EB3"/>
    <w:rsid w:val="00875737"/>
    <w:rsid w:val="00875827"/>
    <w:rsid w:val="00875E8F"/>
    <w:rsid w:val="008767DC"/>
    <w:rsid w:val="00876D7A"/>
    <w:rsid w:val="008770B8"/>
    <w:rsid w:val="00877491"/>
    <w:rsid w:val="0087758B"/>
    <w:rsid w:val="00880588"/>
    <w:rsid w:val="00880613"/>
    <w:rsid w:val="00880F49"/>
    <w:rsid w:val="00881017"/>
    <w:rsid w:val="008825BF"/>
    <w:rsid w:val="00882D08"/>
    <w:rsid w:val="00882DA9"/>
    <w:rsid w:val="008837C6"/>
    <w:rsid w:val="00883992"/>
    <w:rsid w:val="00883A87"/>
    <w:rsid w:val="00884439"/>
    <w:rsid w:val="00884449"/>
    <w:rsid w:val="00884600"/>
    <w:rsid w:val="008846BF"/>
    <w:rsid w:val="00884AAA"/>
    <w:rsid w:val="008854E2"/>
    <w:rsid w:val="00885C5A"/>
    <w:rsid w:val="0088607C"/>
    <w:rsid w:val="008866E5"/>
    <w:rsid w:val="00886B12"/>
    <w:rsid w:val="008877F6"/>
    <w:rsid w:val="00887C3B"/>
    <w:rsid w:val="00890088"/>
    <w:rsid w:val="008906E3"/>
    <w:rsid w:val="00890BC2"/>
    <w:rsid w:val="00891376"/>
    <w:rsid w:val="00891B8A"/>
    <w:rsid w:val="00891E94"/>
    <w:rsid w:val="00892272"/>
    <w:rsid w:val="00893DA0"/>
    <w:rsid w:val="008941D1"/>
    <w:rsid w:val="00894337"/>
    <w:rsid w:val="00894ED0"/>
    <w:rsid w:val="00895CA2"/>
    <w:rsid w:val="0089648E"/>
    <w:rsid w:val="00896C2A"/>
    <w:rsid w:val="008976E6"/>
    <w:rsid w:val="00897974"/>
    <w:rsid w:val="008A008E"/>
    <w:rsid w:val="008A0558"/>
    <w:rsid w:val="008A05AC"/>
    <w:rsid w:val="008A0F4C"/>
    <w:rsid w:val="008A1B40"/>
    <w:rsid w:val="008A1DE0"/>
    <w:rsid w:val="008A2577"/>
    <w:rsid w:val="008A2F8F"/>
    <w:rsid w:val="008A3F49"/>
    <w:rsid w:val="008A4056"/>
    <w:rsid w:val="008A44BF"/>
    <w:rsid w:val="008A5C7F"/>
    <w:rsid w:val="008A5FE9"/>
    <w:rsid w:val="008A659C"/>
    <w:rsid w:val="008A6C5B"/>
    <w:rsid w:val="008A6E9A"/>
    <w:rsid w:val="008A7B54"/>
    <w:rsid w:val="008A7E15"/>
    <w:rsid w:val="008B015C"/>
    <w:rsid w:val="008B0773"/>
    <w:rsid w:val="008B10B5"/>
    <w:rsid w:val="008B1270"/>
    <w:rsid w:val="008B2499"/>
    <w:rsid w:val="008B2B0F"/>
    <w:rsid w:val="008B31E0"/>
    <w:rsid w:val="008B3265"/>
    <w:rsid w:val="008B3B2E"/>
    <w:rsid w:val="008B4D51"/>
    <w:rsid w:val="008B4D5E"/>
    <w:rsid w:val="008B52BA"/>
    <w:rsid w:val="008B53B8"/>
    <w:rsid w:val="008B5ED9"/>
    <w:rsid w:val="008B6DD0"/>
    <w:rsid w:val="008B6F48"/>
    <w:rsid w:val="008B6F9B"/>
    <w:rsid w:val="008B6FE8"/>
    <w:rsid w:val="008B7543"/>
    <w:rsid w:val="008B7563"/>
    <w:rsid w:val="008B7C83"/>
    <w:rsid w:val="008B7CC8"/>
    <w:rsid w:val="008C0351"/>
    <w:rsid w:val="008C059B"/>
    <w:rsid w:val="008C0D0C"/>
    <w:rsid w:val="008C1276"/>
    <w:rsid w:val="008C18ED"/>
    <w:rsid w:val="008C1C5F"/>
    <w:rsid w:val="008C1F60"/>
    <w:rsid w:val="008C241F"/>
    <w:rsid w:val="008C24E6"/>
    <w:rsid w:val="008C2736"/>
    <w:rsid w:val="008C38A7"/>
    <w:rsid w:val="008C440B"/>
    <w:rsid w:val="008C61AD"/>
    <w:rsid w:val="008C69F5"/>
    <w:rsid w:val="008C6B86"/>
    <w:rsid w:val="008C6E92"/>
    <w:rsid w:val="008C7093"/>
    <w:rsid w:val="008C74AD"/>
    <w:rsid w:val="008C7769"/>
    <w:rsid w:val="008C7CB6"/>
    <w:rsid w:val="008D05C4"/>
    <w:rsid w:val="008D0D9C"/>
    <w:rsid w:val="008D1E8A"/>
    <w:rsid w:val="008D1EB8"/>
    <w:rsid w:val="008D2727"/>
    <w:rsid w:val="008D3036"/>
    <w:rsid w:val="008D463A"/>
    <w:rsid w:val="008D4B40"/>
    <w:rsid w:val="008D51ED"/>
    <w:rsid w:val="008D5D14"/>
    <w:rsid w:val="008D5E9D"/>
    <w:rsid w:val="008D67AB"/>
    <w:rsid w:val="008D6A5F"/>
    <w:rsid w:val="008D726E"/>
    <w:rsid w:val="008D781E"/>
    <w:rsid w:val="008D7A73"/>
    <w:rsid w:val="008E040E"/>
    <w:rsid w:val="008E0C7A"/>
    <w:rsid w:val="008E1141"/>
    <w:rsid w:val="008E18E0"/>
    <w:rsid w:val="008E1DC2"/>
    <w:rsid w:val="008E336B"/>
    <w:rsid w:val="008E3713"/>
    <w:rsid w:val="008E4283"/>
    <w:rsid w:val="008E442F"/>
    <w:rsid w:val="008E4E2E"/>
    <w:rsid w:val="008E55E2"/>
    <w:rsid w:val="008E5992"/>
    <w:rsid w:val="008E6675"/>
    <w:rsid w:val="008E6BBF"/>
    <w:rsid w:val="008E6BFC"/>
    <w:rsid w:val="008E78AE"/>
    <w:rsid w:val="008E7B68"/>
    <w:rsid w:val="008F1376"/>
    <w:rsid w:val="008F2059"/>
    <w:rsid w:val="008F269E"/>
    <w:rsid w:val="008F2BAB"/>
    <w:rsid w:val="008F3F4F"/>
    <w:rsid w:val="008F4618"/>
    <w:rsid w:val="008F50EE"/>
    <w:rsid w:val="008F5863"/>
    <w:rsid w:val="008F5CF6"/>
    <w:rsid w:val="008F602E"/>
    <w:rsid w:val="008F61B2"/>
    <w:rsid w:val="008F76AA"/>
    <w:rsid w:val="008F782C"/>
    <w:rsid w:val="008F7EB2"/>
    <w:rsid w:val="008F7FC2"/>
    <w:rsid w:val="00900167"/>
    <w:rsid w:val="0090080D"/>
    <w:rsid w:val="00900A38"/>
    <w:rsid w:val="00900B91"/>
    <w:rsid w:val="00901557"/>
    <w:rsid w:val="00901767"/>
    <w:rsid w:val="00901A26"/>
    <w:rsid w:val="00902088"/>
    <w:rsid w:val="009020C5"/>
    <w:rsid w:val="00902C2A"/>
    <w:rsid w:val="0090336C"/>
    <w:rsid w:val="00903750"/>
    <w:rsid w:val="00903D81"/>
    <w:rsid w:val="00904195"/>
    <w:rsid w:val="00904468"/>
    <w:rsid w:val="00906191"/>
    <w:rsid w:val="0090636E"/>
    <w:rsid w:val="00906571"/>
    <w:rsid w:val="0090659F"/>
    <w:rsid w:val="0090705B"/>
    <w:rsid w:val="00907420"/>
    <w:rsid w:val="00907AA5"/>
    <w:rsid w:val="00907C8B"/>
    <w:rsid w:val="0091088D"/>
    <w:rsid w:val="00911EFD"/>
    <w:rsid w:val="009123E7"/>
    <w:rsid w:val="00912500"/>
    <w:rsid w:val="0091266F"/>
    <w:rsid w:val="009129D6"/>
    <w:rsid w:val="00913043"/>
    <w:rsid w:val="00913F68"/>
    <w:rsid w:val="0091405E"/>
    <w:rsid w:val="00914AF0"/>
    <w:rsid w:val="0091526E"/>
    <w:rsid w:val="00915300"/>
    <w:rsid w:val="00915E05"/>
    <w:rsid w:val="009162B4"/>
    <w:rsid w:val="009162C5"/>
    <w:rsid w:val="00917188"/>
    <w:rsid w:val="00917531"/>
    <w:rsid w:val="00917625"/>
    <w:rsid w:val="00917CD8"/>
    <w:rsid w:val="009209FC"/>
    <w:rsid w:val="009220EA"/>
    <w:rsid w:val="00922138"/>
    <w:rsid w:val="009224A2"/>
    <w:rsid w:val="009229AA"/>
    <w:rsid w:val="00922C89"/>
    <w:rsid w:val="00923082"/>
    <w:rsid w:val="009230C4"/>
    <w:rsid w:val="00924034"/>
    <w:rsid w:val="00924E20"/>
    <w:rsid w:val="00925006"/>
    <w:rsid w:val="009252C0"/>
    <w:rsid w:val="009253AB"/>
    <w:rsid w:val="00925937"/>
    <w:rsid w:val="0092772E"/>
    <w:rsid w:val="00927CE2"/>
    <w:rsid w:val="00930594"/>
    <w:rsid w:val="00930EE1"/>
    <w:rsid w:val="00930F40"/>
    <w:rsid w:val="00930FF1"/>
    <w:rsid w:val="00931444"/>
    <w:rsid w:val="00931BD0"/>
    <w:rsid w:val="00932CEE"/>
    <w:rsid w:val="00933248"/>
    <w:rsid w:val="00933290"/>
    <w:rsid w:val="00933551"/>
    <w:rsid w:val="00933EAA"/>
    <w:rsid w:val="009346E4"/>
    <w:rsid w:val="00937017"/>
    <w:rsid w:val="00937239"/>
    <w:rsid w:val="00937A4A"/>
    <w:rsid w:val="00940218"/>
    <w:rsid w:val="009406D7"/>
    <w:rsid w:val="009418DA"/>
    <w:rsid w:val="00943736"/>
    <w:rsid w:val="009439E8"/>
    <w:rsid w:val="00943F16"/>
    <w:rsid w:val="009447AD"/>
    <w:rsid w:val="009447EA"/>
    <w:rsid w:val="009449F1"/>
    <w:rsid w:val="00944A3C"/>
    <w:rsid w:val="00944E03"/>
    <w:rsid w:val="00944F0A"/>
    <w:rsid w:val="00945330"/>
    <w:rsid w:val="0094587B"/>
    <w:rsid w:val="00945BC3"/>
    <w:rsid w:val="00946195"/>
    <w:rsid w:val="0094642A"/>
    <w:rsid w:val="0094667E"/>
    <w:rsid w:val="009467DA"/>
    <w:rsid w:val="00950EB9"/>
    <w:rsid w:val="00951704"/>
    <w:rsid w:val="0095238E"/>
    <w:rsid w:val="0095383A"/>
    <w:rsid w:val="00953D4A"/>
    <w:rsid w:val="00954072"/>
    <w:rsid w:val="00954F66"/>
    <w:rsid w:val="00955386"/>
    <w:rsid w:val="00955470"/>
    <w:rsid w:val="00956B4C"/>
    <w:rsid w:val="00957630"/>
    <w:rsid w:val="00957C10"/>
    <w:rsid w:val="00960D68"/>
    <w:rsid w:val="00961548"/>
    <w:rsid w:val="0096338A"/>
    <w:rsid w:val="0096414A"/>
    <w:rsid w:val="00964659"/>
    <w:rsid w:val="009648C2"/>
    <w:rsid w:val="00965B7D"/>
    <w:rsid w:val="009669D6"/>
    <w:rsid w:val="00966AA0"/>
    <w:rsid w:val="00967142"/>
    <w:rsid w:val="00967705"/>
    <w:rsid w:val="00970007"/>
    <w:rsid w:val="009707A8"/>
    <w:rsid w:val="009708DD"/>
    <w:rsid w:val="00970F67"/>
    <w:rsid w:val="00972295"/>
    <w:rsid w:val="00972350"/>
    <w:rsid w:val="009729EB"/>
    <w:rsid w:val="0097302F"/>
    <w:rsid w:val="00973A91"/>
    <w:rsid w:val="00973CD1"/>
    <w:rsid w:val="00974040"/>
    <w:rsid w:val="00974487"/>
    <w:rsid w:val="00974D2D"/>
    <w:rsid w:val="00974D4E"/>
    <w:rsid w:val="00974E88"/>
    <w:rsid w:val="00975984"/>
    <w:rsid w:val="00975CD5"/>
    <w:rsid w:val="00975EE6"/>
    <w:rsid w:val="00976469"/>
    <w:rsid w:val="009765B4"/>
    <w:rsid w:val="00976792"/>
    <w:rsid w:val="00976B91"/>
    <w:rsid w:val="009776EB"/>
    <w:rsid w:val="00977C37"/>
    <w:rsid w:val="00977DA3"/>
    <w:rsid w:val="00980828"/>
    <w:rsid w:val="0098145A"/>
    <w:rsid w:val="0098153C"/>
    <w:rsid w:val="009823C1"/>
    <w:rsid w:val="0098281D"/>
    <w:rsid w:val="00982C7E"/>
    <w:rsid w:val="00982F7C"/>
    <w:rsid w:val="00984D32"/>
    <w:rsid w:val="00985820"/>
    <w:rsid w:val="009869C0"/>
    <w:rsid w:val="00987710"/>
    <w:rsid w:val="00987F08"/>
    <w:rsid w:val="009900E9"/>
    <w:rsid w:val="00991526"/>
    <w:rsid w:val="009916DB"/>
    <w:rsid w:val="009929A8"/>
    <w:rsid w:val="00992D6E"/>
    <w:rsid w:val="00993125"/>
    <w:rsid w:val="00993BE8"/>
    <w:rsid w:val="009940E3"/>
    <w:rsid w:val="0099419C"/>
    <w:rsid w:val="00994448"/>
    <w:rsid w:val="00994C18"/>
    <w:rsid w:val="00995291"/>
    <w:rsid w:val="00996666"/>
    <w:rsid w:val="00996D34"/>
    <w:rsid w:val="00996DCE"/>
    <w:rsid w:val="00996E72"/>
    <w:rsid w:val="00997304"/>
    <w:rsid w:val="00997B77"/>
    <w:rsid w:val="009A1030"/>
    <w:rsid w:val="009A1C10"/>
    <w:rsid w:val="009A1CB1"/>
    <w:rsid w:val="009A2F85"/>
    <w:rsid w:val="009A35D9"/>
    <w:rsid w:val="009A39E2"/>
    <w:rsid w:val="009A3D54"/>
    <w:rsid w:val="009A4552"/>
    <w:rsid w:val="009A505C"/>
    <w:rsid w:val="009A5D43"/>
    <w:rsid w:val="009A5F0A"/>
    <w:rsid w:val="009A6717"/>
    <w:rsid w:val="009A6958"/>
    <w:rsid w:val="009B2188"/>
    <w:rsid w:val="009B2A92"/>
    <w:rsid w:val="009B376F"/>
    <w:rsid w:val="009B4134"/>
    <w:rsid w:val="009B58A5"/>
    <w:rsid w:val="009B5B08"/>
    <w:rsid w:val="009B5C59"/>
    <w:rsid w:val="009B5EF9"/>
    <w:rsid w:val="009B6870"/>
    <w:rsid w:val="009B6C0E"/>
    <w:rsid w:val="009B7037"/>
    <w:rsid w:val="009B7191"/>
    <w:rsid w:val="009C0073"/>
    <w:rsid w:val="009C02F5"/>
    <w:rsid w:val="009C0721"/>
    <w:rsid w:val="009C0976"/>
    <w:rsid w:val="009C0FD2"/>
    <w:rsid w:val="009C129E"/>
    <w:rsid w:val="009C1430"/>
    <w:rsid w:val="009C1522"/>
    <w:rsid w:val="009C1646"/>
    <w:rsid w:val="009C356E"/>
    <w:rsid w:val="009C3A40"/>
    <w:rsid w:val="009C3B90"/>
    <w:rsid w:val="009C4730"/>
    <w:rsid w:val="009C4D29"/>
    <w:rsid w:val="009C50C9"/>
    <w:rsid w:val="009C5A57"/>
    <w:rsid w:val="009C6E42"/>
    <w:rsid w:val="009C70F9"/>
    <w:rsid w:val="009C7EA0"/>
    <w:rsid w:val="009D0225"/>
    <w:rsid w:val="009D08D9"/>
    <w:rsid w:val="009D09BB"/>
    <w:rsid w:val="009D1304"/>
    <w:rsid w:val="009D14C6"/>
    <w:rsid w:val="009D1C32"/>
    <w:rsid w:val="009D1DB7"/>
    <w:rsid w:val="009D2E95"/>
    <w:rsid w:val="009D4E0E"/>
    <w:rsid w:val="009D6ABE"/>
    <w:rsid w:val="009D789B"/>
    <w:rsid w:val="009D7ECD"/>
    <w:rsid w:val="009E058D"/>
    <w:rsid w:val="009E0F33"/>
    <w:rsid w:val="009E16B7"/>
    <w:rsid w:val="009E188C"/>
    <w:rsid w:val="009E3F48"/>
    <w:rsid w:val="009E41C9"/>
    <w:rsid w:val="009E41F3"/>
    <w:rsid w:val="009E47FD"/>
    <w:rsid w:val="009E49C3"/>
    <w:rsid w:val="009E601C"/>
    <w:rsid w:val="009E6235"/>
    <w:rsid w:val="009E6992"/>
    <w:rsid w:val="009E6BB4"/>
    <w:rsid w:val="009E6ED7"/>
    <w:rsid w:val="009E7205"/>
    <w:rsid w:val="009E7AA7"/>
    <w:rsid w:val="009F074A"/>
    <w:rsid w:val="009F0C43"/>
    <w:rsid w:val="009F10E9"/>
    <w:rsid w:val="009F1220"/>
    <w:rsid w:val="009F12DA"/>
    <w:rsid w:val="009F15B3"/>
    <w:rsid w:val="009F2041"/>
    <w:rsid w:val="009F2170"/>
    <w:rsid w:val="009F21FA"/>
    <w:rsid w:val="009F237D"/>
    <w:rsid w:val="009F2502"/>
    <w:rsid w:val="009F291D"/>
    <w:rsid w:val="009F30A4"/>
    <w:rsid w:val="009F383A"/>
    <w:rsid w:val="009F4580"/>
    <w:rsid w:val="009F4BA7"/>
    <w:rsid w:val="009F4C52"/>
    <w:rsid w:val="009F4EC7"/>
    <w:rsid w:val="009F5444"/>
    <w:rsid w:val="009F5621"/>
    <w:rsid w:val="009F5EDF"/>
    <w:rsid w:val="009F6869"/>
    <w:rsid w:val="009F6CF0"/>
    <w:rsid w:val="009F7725"/>
    <w:rsid w:val="009F7A10"/>
    <w:rsid w:val="009F7B41"/>
    <w:rsid w:val="009F7B83"/>
    <w:rsid w:val="009F7E8B"/>
    <w:rsid w:val="00A0011A"/>
    <w:rsid w:val="00A00B4D"/>
    <w:rsid w:val="00A00FD5"/>
    <w:rsid w:val="00A01084"/>
    <w:rsid w:val="00A015D7"/>
    <w:rsid w:val="00A02366"/>
    <w:rsid w:val="00A0429F"/>
    <w:rsid w:val="00A043B2"/>
    <w:rsid w:val="00A046AD"/>
    <w:rsid w:val="00A04B4A"/>
    <w:rsid w:val="00A054E4"/>
    <w:rsid w:val="00A05553"/>
    <w:rsid w:val="00A05920"/>
    <w:rsid w:val="00A05B6E"/>
    <w:rsid w:val="00A06B73"/>
    <w:rsid w:val="00A06E14"/>
    <w:rsid w:val="00A070DC"/>
    <w:rsid w:val="00A07759"/>
    <w:rsid w:val="00A07ABE"/>
    <w:rsid w:val="00A10027"/>
    <w:rsid w:val="00A106BE"/>
    <w:rsid w:val="00A10B6B"/>
    <w:rsid w:val="00A1147E"/>
    <w:rsid w:val="00A11940"/>
    <w:rsid w:val="00A11F2D"/>
    <w:rsid w:val="00A12105"/>
    <w:rsid w:val="00A12325"/>
    <w:rsid w:val="00A12F3C"/>
    <w:rsid w:val="00A141E0"/>
    <w:rsid w:val="00A14320"/>
    <w:rsid w:val="00A14F8F"/>
    <w:rsid w:val="00A15748"/>
    <w:rsid w:val="00A168A3"/>
    <w:rsid w:val="00A168DA"/>
    <w:rsid w:val="00A16CB5"/>
    <w:rsid w:val="00A16E13"/>
    <w:rsid w:val="00A17056"/>
    <w:rsid w:val="00A1746E"/>
    <w:rsid w:val="00A17954"/>
    <w:rsid w:val="00A17E61"/>
    <w:rsid w:val="00A20F84"/>
    <w:rsid w:val="00A21387"/>
    <w:rsid w:val="00A2145B"/>
    <w:rsid w:val="00A216F5"/>
    <w:rsid w:val="00A2180A"/>
    <w:rsid w:val="00A21BD6"/>
    <w:rsid w:val="00A222E7"/>
    <w:rsid w:val="00A2297D"/>
    <w:rsid w:val="00A22E0D"/>
    <w:rsid w:val="00A232C8"/>
    <w:rsid w:val="00A23854"/>
    <w:rsid w:val="00A23CB2"/>
    <w:rsid w:val="00A23E10"/>
    <w:rsid w:val="00A2402E"/>
    <w:rsid w:val="00A24498"/>
    <w:rsid w:val="00A246E0"/>
    <w:rsid w:val="00A247E2"/>
    <w:rsid w:val="00A24C51"/>
    <w:rsid w:val="00A25474"/>
    <w:rsid w:val="00A25693"/>
    <w:rsid w:val="00A256E7"/>
    <w:rsid w:val="00A2575B"/>
    <w:rsid w:val="00A27199"/>
    <w:rsid w:val="00A2785B"/>
    <w:rsid w:val="00A279DB"/>
    <w:rsid w:val="00A300E1"/>
    <w:rsid w:val="00A30682"/>
    <w:rsid w:val="00A310D5"/>
    <w:rsid w:val="00A31A5D"/>
    <w:rsid w:val="00A321FA"/>
    <w:rsid w:val="00A32B88"/>
    <w:rsid w:val="00A32E1D"/>
    <w:rsid w:val="00A33F0A"/>
    <w:rsid w:val="00A34464"/>
    <w:rsid w:val="00A34D88"/>
    <w:rsid w:val="00A35035"/>
    <w:rsid w:val="00A37095"/>
    <w:rsid w:val="00A3765E"/>
    <w:rsid w:val="00A41057"/>
    <w:rsid w:val="00A410C4"/>
    <w:rsid w:val="00A41B19"/>
    <w:rsid w:val="00A41B50"/>
    <w:rsid w:val="00A41CCD"/>
    <w:rsid w:val="00A42375"/>
    <w:rsid w:val="00A424CA"/>
    <w:rsid w:val="00A42678"/>
    <w:rsid w:val="00A42F4D"/>
    <w:rsid w:val="00A430BC"/>
    <w:rsid w:val="00A432B0"/>
    <w:rsid w:val="00A435D0"/>
    <w:rsid w:val="00A43987"/>
    <w:rsid w:val="00A44977"/>
    <w:rsid w:val="00A44C1D"/>
    <w:rsid w:val="00A45246"/>
    <w:rsid w:val="00A4596E"/>
    <w:rsid w:val="00A45F02"/>
    <w:rsid w:val="00A471E3"/>
    <w:rsid w:val="00A474C2"/>
    <w:rsid w:val="00A47B93"/>
    <w:rsid w:val="00A47D83"/>
    <w:rsid w:val="00A5013F"/>
    <w:rsid w:val="00A50618"/>
    <w:rsid w:val="00A51408"/>
    <w:rsid w:val="00A53519"/>
    <w:rsid w:val="00A5383A"/>
    <w:rsid w:val="00A542E0"/>
    <w:rsid w:val="00A5460F"/>
    <w:rsid w:val="00A548E0"/>
    <w:rsid w:val="00A54BA4"/>
    <w:rsid w:val="00A55307"/>
    <w:rsid w:val="00A55920"/>
    <w:rsid w:val="00A55D57"/>
    <w:rsid w:val="00A56394"/>
    <w:rsid w:val="00A5647E"/>
    <w:rsid w:val="00A5657F"/>
    <w:rsid w:val="00A600A3"/>
    <w:rsid w:val="00A60675"/>
    <w:rsid w:val="00A61903"/>
    <w:rsid w:val="00A625AD"/>
    <w:rsid w:val="00A6314B"/>
    <w:rsid w:val="00A632D8"/>
    <w:rsid w:val="00A637B6"/>
    <w:rsid w:val="00A637D5"/>
    <w:rsid w:val="00A63EF0"/>
    <w:rsid w:val="00A64300"/>
    <w:rsid w:val="00A644C0"/>
    <w:rsid w:val="00A648BF"/>
    <w:rsid w:val="00A64E64"/>
    <w:rsid w:val="00A6553C"/>
    <w:rsid w:val="00A6617E"/>
    <w:rsid w:val="00A667BF"/>
    <w:rsid w:val="00A669E0"/>
    <w:rsid w:val="00A66AD3"/>
    <w:rsid w:val="00A66BE8"/>
    <w:rsid w:val="00A67859"/>
    <w:rsid w:val="00A70F4D"/>
    <w:rsid w:val="00A71F00"/>
    <w:rsid w:val="00A72393"/>
    <w:rsid w:val="00A7246E"/>
    <w:rsid w:val="00A7265B"/>
    <w:rsid w:val="00A72D7B"/>
    <w:rsid w:val="00A73968"/>
    <w:rsid w:val="00A74602"/>
    <w:rsid w:val="00A74612"/>
    <w:rsid w:val="00A74F39"/>
    <w:rsid w:val="00A75CAE"/>
    <w:rsid w:val="00A75EA9"/>
    <w:rsid w:val="00A76187"/>
    <w:rsid w:val="00A761E4"/>
    <w:rsid w:val="00A7671C"/>
    <w:rsid w:val="00A774C8"/>
    <w:rsid w:val="00A77712"/>
    <w:rsid w:val="00A77C9B"/>
    <w:rsid w:val="00A801C6"/>
    <w:rsid w:val="00A80AA6"/>
    <w:rsid w:val="00A81763"/>
    <w:rsid w:val="00A81CD1"/>
    <w:rsid w:val="00A81ECC"/>
    <w:rsid w:val="00A82432"/>
    <w:rsid w:val="00A8286C"/>
    <w:rsid w:val="00A82A5C"/>
    <w:rsid w:val="00A82D82"/>
    <w:rsid w:val="00A82F77"/>
    <w:rsid w:val="00A83945"/>
    <w:rsid w:val="00A8411C"/>
    <w:rsid w:val="00A845CE"/>
    <w:rsid w:val="00A84C85"/>
    <w:rsid w:val="00A84CAC"/>
    <w:rsid w:val="00A85991"/>
    <w:rsid w:val="00A85A3B"/>
    <w:rsid w:val="00A85D51"/>
    <w:rsid w:val="00A86DAE"/>
    <w:rsid w:val="00A872ED"/>
    <w:rsid w:val="00A87ABE"/>
    <w:rsid w:val="00A87B40"/>
    <w:rsid w:val="00A904DE"/>
    <w:rsid w:val="00A908C4"/>
    <w:rsid w:val="00A90A2C"/>
    <w:rsid w:val="00A921DC"/>
    <w:rsid w:val="00A9269C"/>
    <w:rsid w:val="00A93188"/>
    <w:rsid w:val="00A94BFF"/>
    <w:rsid w:val="00A95DE2"/>
    <w:rsid w:val="00A95F96"/>
    <w:rsid w:val="00A966C7"/>
    <w:rsid w:val="00A96B2C"/>
    <w:rsid w:val="00A96B6E"/>
    <w:rsid w:val="00A971CB"/>
    <w:rsid w:val="00A97398"/>
    <w:rsid w:val="00A9766A"/>
    <w:rsid w:val="00AA032C"/>
    <w:rsid w:val="00AA0B09"/>
    <w:rsid w:val="00AA0B82"/>
    <w:rsid w:val="00AA1394"/>
    <w:rsid w:val="00AA142B"/>
    <w:rsid w:val="00AA2335"/>
    <w:rsid w:val="00AA29B2"/>
    <w:rsid w:val="00AA2EA4"/>
    <w:rsid w:val="00AA34D6"/>
    <w:rsid w:val="00AA3F57"/>
    <w:rsid w:val="00AA4810"/>
    <w:rsid w:val="00AA4F1A"/>
    <w:rsid w:val="00AA52EF"/>
    <w:rsid w:val="00AA65F2"/>
    <w:rsid w:val="00AA6608"/>
    <w:rsid w:val="00AA6F9C"/>
    <w:rsid w:val="00AA72E1"/>
    <w:rsid w:val="00AA7828"/>
    <w:rsid w:val="00AA7B67"/>
    <w:rsid w:val="00AB0613"/>
    <w:rsid w:val="00AB0F64"/>
    <w:rsid w:val="00AB1DB8"/>
    <w:rsid w:val="00AB28CA"/>
    <w:rsid w:val="00AB3757"/>
    <w:rsid w:val="00AB3FCC"/>
    <w:rsid w:val="00AB47D8"/>
    <w:rsid w:val="00AB480D"/>
    <w:rsid w:val="00AB482F"/>
    <w:rsid w:val="00AB50D5"/>
    <w:rsid w:val="00AB572B"/>
    <w:rsid w:val="00AB6E4B"/>
    <w:rsid w:val="00AB7182"/>
    <w:rsid w:val="00AB78EA"/>
    <w:rsid w:val="00AB7C80"/>
    <w:rsid w:val="00AC01F0"/>
    <w:rsid w:val="00AC024C"/>
    <w:rsid w:val="00AC0496"/>
    <w:rsid w:val="00AC064C"/>
    <w:rsid w:val="00AC11D4"/>
    <w:rsid w:val="00AC17E3"/>
    <w:rsid w:val="00AC18DB"/>
    <w:rsid w:val="00AC1A4E"/>
    <w:rsid w:val="00AC1AF6"/>
    <w:rsid w:val="00AC224E"/>
    <w:rsid w:val="00AC3337"/>
    <w:rsid w:val="00AC35CC"/>
    <w:rsid w:val="00AC381E"/>
    <w:rsid w:val="00AC4B42"/>
    <w:rsid w:val="00AC4E32"/>
    <w:rsid w:val="00AC5525"/>
    <w:rsid w:val="00AC5645"/>
    <w:rsid w:val="00AC5EAB"/>
    <w:rsid w:val="00AC5F53"/>
    <w:rsid w:val="00AC66BB"/>
    <w:rsid w:val="00AC672F"/>
    <w:rsid w:val="00AC6E21"/>
    <w:rsid w:val="00AC6F6D"/>
    <w:rsid w:val="00AC73BD"/>
    <w:rsid w:val="00AC7409"/>
    <w:rsid w:val="00AC75C3"/>
    <w:rsid w:val="00AD045E"/>
    <w:rsid w:val="00AD06A0"/>
    <w:rsid w:val="00AD0907"/>
    <w:rsid w:val="00AD1689"/>
    <w:rsid w:val="00AD1B5B"/>
    <w:rsid w:val="00AD22B0"/>
    <w:rsid w:val="00AD2B61"/>
    <w:rsid w:val="00AD2CEB"/>
    <w:rsid w:val="00AD335D"/>
    <w:rsid w:val="00AD43FE"/>
    <w:rsid w:val="00AD523F"/>
    <w:rsid w:val="00AD539C"/>
    <w:rsid w:val="00AD57D1"/>
    <w:rsid w:val="00AD5D51"/>
    <w:rsid w:val="00AD61DB"/>
    <w:rsid w:val="00AD6F20"/>
    <w:rsid w:val="00AD7450"/>
    <w:rsid w:val="00AD753B"/>
    <w:rsid w:val="00AD7689"/>
    <w:rsid w:val="00AD786A"/>
    <w:rsid w:val="00AD7B3B"/>
    <w:rsid w:val="00AE02E6"/>
    <w:rsid w:val="00AE0325"/>
    <w:rsid w:val="00AE101E"/>
    <w:rsid w:val="00AE14FB"/>
    <w:rsid w:val="00AE160F"/>
    <w:rsid w:val="00AE1A8F"/>
    <w:rsid w:val="00AE2626"/>
    <w:rsid w:val="00AE2788"/>
    <w:rsid w:val="00AE2E6F"/>
    <w:rsid w:val="00AE31E3"/>
    <w:rsid w:val="00AE3692"/>
    <w:rsid w:val="00AE3FF4"/>
    <w:rsid w:val="00AE4195"/>
    <w:rsid w:val="00AE44B6"/>
    <w:rsid w:val="00AE4768"/>
    <w:rsid w:val="00AE4875"/>
    <w:rsid w:val="00AE4953"/>
    <w:rsid w:val="00AE49D7"/>
    <w:rsid w:val="00AE4F7B"/>
    <w:rsid w:val="00AE52C7"/>
    <w:rsid w:val="00AE5D17"/>
    <w:rsid w:val="00AE61FD"/>
    <w:rsid w:val="00AE64AC"/>
    <w:rsid w:val="00AE6920"/>
    <w:rsid w:val="00AE78B0"/>
    <w:rsid w:val="00AE7D44"/>
    <w:rsid w:val="00AF0700"/>
    <w:rsid w:val="00AF0BE5"/>
    <w:rsid w:val="00AF173A"/>
    <w:rsid w:val="00AF17B3"/>
    <w:rsid w:val="00AF1DD1"/>
    <w:rsid w:val="00AF25AA"/>
    <w:rsid w:val="00AF3A78"/>
    <w:rsid w:val="00AF3B45"/>
    <w:rsid w:val="00AF3BFD"/>
    <w:rsid w:val="00AF4193"/>
    <w:rsid w:val="00AF4615"/>
    <w:rsid w:val="00AF5959"/>
    <w:rsid w:val="00AF5AA0"/>
    <w:rsid w:val="00AF6150"/>
    <w:rsid w:val="00AF65E4"/>
    <w:rsid w:val="00AF7E03"/>
    <w:rsid w:val="00AF7E57"/>
    <w:rsid w:val="00B00A51"/>
    <w:rsid w:val="00B00C4F"/>
    <w:rsid w:val="00B010DE"/>
    <w:rsid w:val="00B014F3"/>
    <w:rsid w:val="00B023E8"/>
    <w:rsid w:val="00B02C74"/>
    <w:rsid w:val="00B042F8"/>
    <w:rsid w:val="00B049AC"/>
    <w:rsid w:val="00B04C29"/>
    <w:rsid w:val="00B0734B"/>
    <w:rsid w:val="00B07851"/>
    <w:rsid w:val="00B07943"/>
    <w:rsid w:val="00B11251"/>
    <w:rsid w:val="00B114AE"/>
    <w:rsid w:val="00B11B41"/>
    <w:rsid w:val="00B123F3"/>
    <w:rsid w:val="00B1284C"/>
    <w:rsid w:val="00B12B55"/>
    <w:rsid w:val="00B12CF3"/>
    <w:rsid w:val="00B13843"/>
    <w:rsid w:val="00B13901"/>
    <w:rsid w:val="00B14ECD"/>
    <w:rsid w:val="00B151E2"/>
    <w:rsid w:val="00B152CE"/>
    <w:rsid w:val="00B15999"/>
    <w:rsid w:val="00B16A9B"/>
    <w:rsid w:val="00B16B1E"/>
    <w:rsid w:val="00B2065C"/>
    <w:rsid w:val="00B20AD7"/>
    <w:rsid w:val="00B212AF"/>
    <w:rsid w:val="00B212D8"/>
    <w:rsid w:val="00B21EA4"/>
    <w:rsid w:val="00B22C2D"/>
    <w:rsid w:val="00B23BA4"/>
    <w:rsid w:val="00B23CC1"/>
    <w:rsid w:val="00B24230"/>
    <w:rsid w:val="00B24726"/>
    <w:rsid w:val="00B255D0"/>
    <w:rsid w:val="00B2594C"/>
    <w:rsid w:val="00B26A80"/>
    <w:rsid w:val="00B275AD"/>
    <w:rsid w:val="00B277D7"/>
    <w:rsid w:val="00B27A79"/>
    <w:rsid w:val="00B27E29"/>
    <w:rsid w:val="00B30033"/>
    <w:rsid w:val="00B304FD"/>
    <w:rsid w:val="00B309C6"/>
    <w:rsid w:val="00B30B7D"/>
    <w:rsid w:val="00B30B98"/>
    <w:rsid w:val="00B30E0A"/>
    <w:rsid w:val="00B3101F"/>
    <w:rsid w:val="00B31C8F"/>
    <w:rsid w:val="00B31F4F"/>
    <w:rsid w:val="00B32A98"/>
    <w:rsid w:val="00B33286"/>
    <w:rsid w:val="00B33F6B"/>
    <w:rsid w:val="00B3421F"/>
    <w:rsid w:val="00B346DB"/>
    <w:rsid w:val="00B3489B"/>
    <w:rsid w:val="00B35738"/>
    <w:rsid w:val="00B3642F"/>
    <w:rsid w:val="00B36C0D"/>
    <w:rsid w:val="00B37CFF"/>
    <w:rsid w:val="00B404F0"/>
    <w:rsid w:val="00B41647"/>
    <w:rsid w:val="00B41711"/>
    <w:rsid w:val="00B419BE"/>
    <w:rsid w:val="00B41F22"/>
    <w:rsid w:val="00B42138"/>
    <w:rsid w:val="00B42628"/>
    <w:rsid w:val="00B42B65"/>
    <w:rsid w:val="00B42EDE"/>
    <w:rsid w:val="00B43056"/>
    <w:rsid w:val="00B43CCA"/>
    <w:rsid w:val="00B44868"/>
    <w:rsid w:val="00B44E76"/>
    <w:rsid w:val="00B4604A"/>
    <w:rsid w:val="00B465DE"/>
    <w:rsid w:val="00B46A77"/>
    <w:rsid w:val="00B47491"/>
    <w:rsid w:val="00B477E0"/>
    <w:rsid w:val="00B47A8F"/>
    <w:rsid w:val="00B5020A"/>
    <w:rsid w:val="00B5030B"/>
    <w:rsid w:val="00B5032E"/>
    <w:rsid w:val="00B50859"/>
    <w:rsid w:val="00B509F5"/>
    <w:rsid w:val="00B51A7E"/>
    <w:rsid w:val="00B5200B"/>
    <w:rsid w:val="00B52720"/>
    <w:rsid w:val="00B52854"/>
    <w:rsid w:val="00B536F2"/>
    <w:rsid w:val="00B54395"/>
    <w:rsid w:val="00B54876"/>
    <w:rsid w:val="00B548B7"/>
    <w:rsid w:val="00B55160"/>
    <w:rsid w:val="00B55C3E"/>
    <w:rsid w:val="00B56523"/>
    <w:rsid w:val="00B56C2C"/>
    <w:rsid w:val="00B56D52"/>
    <w:rsid w:val="00B57339"/>
    <w:rsid w:val="00B57480"/>
    <w:rsid w:val="00B57944"/>
    <w:rsid w:val="00B602BC"/>
    <w:rsid w:val="00B60932"/>
    <w:rsid w:val="00B60937"/>
    <w:rsid w:val="00B61658"/>
    <w:rsid w:val="00B616D2"/>
    <w:rsid w:val="00B6285C"/>
    <w:rsid w:val="00B62B33"/>
    <w:rsid w:val="00B63F61"/>
    <w:rsid w:val="00B6411F"/>
    <w:rsid w:val="00B64564"/>
    <w:rsid w:val="00B64639"/>
    <w:rsid w:val="00B64817"/>
    <w:rsid w:val="00B661E0"/>
    <w:rsid w:val="00B6675E"/>
    <w:rsid w:val="00B66861"/>
    <w:rsid w:val="00B677FF"/>
    <w:rsid w:val="00B6789D"/>
    <w:rsid w:val="00B67B4C"/>
    <w:rsid w:val="00B67E5F"/>
    <w:rsid w:val="00B700DA"/>
    <w:rsid w:val="00B705A7"/>
    <w:rsid w:val="00B70614"/>
    <w:rsid w:val="00B70D2D"/>
    <w:rsid w:val="00B71251"/>
    <w:rsid w:val="00B712AB"/>
    <w:rsid w:val="00B71355"/>
    <w:rsid w:val="00B71C55"/>
    <w:rsid w:val="00B72F32"/>
    <w:rsid w:val="00B734DD"/>
    <w:rsid w:val="00B74499"/>
    <w:rsid w:val="00B74EFD"/>
    <w:rsid w:val="00B757CE"/>
    <w:rsid w:val="00B757E2"/>
    <w:rsid w:val="00B75F55"/>
    <w:rsid w:val="00B7608E"/>
    <w:rsid w:val="00B7611E"/>
    <w:rsid w:val="00B76BCA"/>
    <w:rsid w:val="00B76D5E"/>
    <w:rsid w:val="00B77023"/>
    <w:rsid w:val="00B77448"/>
    <w:rsid w:val="00B802EF"/>
    <w:rsid w:val="00B81B0E"/>
    <w:rsid w:val="00B81CBA"/>
    <w:rsid w:val="00B820D0"/>
    <w:rsid w:val="00B8292A"/>
    <w:rsid w:val="00B82D29"/>
    <w:rsid w:val="00B82D4E"/>
    <w:rsid w:val="00B836CD"/>
    <w:rsid w:val="00B836DA"/>
    <w:rsid w:val="00B83869"/>
    <w:rsid w:val="00B83AC4"/>
    <w:rsid w:val="00B83D2A"/>
    <w:rsid w:val="00B849C4"/>
    <w:rsid w:val="00B8507C"/>
    <w:rsid w:val="00B8563D"/>
    <w:rsid w:val="00B85773"/>
    <w:rsid w:val="00B85B3F"/>
    <w:rsid w:val="00B85C18"/>
    <w:rsid w:val="00B85F67"/>
    <w:rsid w:val="00B86432"/>
    <w:rsid w:val="00B869BA"/>
    <w:rsid w:val="00B87126"/>
    <w:rsid w:val="00B873B5"/>
    <w:rsid w:val="00B908F5"/>
    <w:rsid w:val="00B91906"/>
    <w:rsid w:val="00B91F2D"/>
    <w:rsid w:val="00B92F29"/>
    <w:rsid w:val="00B9411F"/>
    <w:rsid w:val="00B9432B"/>
    <w:rsid w:val="00B9436D"/>
    <w:rsid w:val="00B94774"/>
    <w:rsid w:val="00B94AE0"/>
    <w:rsid w:val="00B94BDC"/>
    <w:rsid w:val="00B95475"/>
    <w:rsid w:val="00B95997"/>
    <w:rsid w:val="00B96287"/>
    <w:rsid w:val="00B9655D"/>
    <w:rsid w:val="00B96575"/>
    <w:rsid w:val="00B96D64"/>
    <w:rsid w:val="00B97E81"/>
    <w:rsid w:val="00BA0329"/>
    <w:rsid w:val="00BA1456"/>
    <w:rsid w:val="00BA1804"/>
    <w:rsid w:val="00BA1CE8"/>
    <w:rsid w:val="00BA1EA3"/>
    <w:rsid w:val="00BA25CE"/>
    <w:rsid w:val="00BA3660"/>
    <w:rsid w:val="00BA4084"/>
    <w:rsid w:val="00BA482B"/>
    <w:rsid w:val="00BA4F8C"/>
    <w:rsid w:val="00BA54DE"/>
    <w:rsid w:val="00BA5DB0"/>
    <w:rsid w:val="00BA610A"/>
    <w:rsid w:val="00BA6510"/>
    <w:rsid w:val="00BA70DA"/>
    <w:rsid w:val="00BA74BA"/>
    <w:rsid w:val="00BB0765"/>
    <w:rsid w:val="00BB0D72"/>
    <w:rsid w:val="00BB2637"/>
    <w:rsid w:val="00BB2694"/>
    <w:rsid w:val="00BB2B37"/>
    <w:rsid w:val="00BB2E06"/>
    <w:rsid w:val="00BB2F32"/>
    <w:rsid w:val="00BB32AF"/>
    <w:rsid w:val="00BB4463"/>
    <w:rsid w:val="00BB4754"/>
    <w:rsid w:val="00BB4AF9"/>
    <w:rsid w:val="00BB5E39"/>
    <w:rsid w:val="00BB5F02"/>
    <w:rsid w:val="00BB7446"/>
    <w:rsid w:val="00BB7867"/>
    <w:rsid w:val="00BB7A2F"/>
    <w:rsid w:val="00BB7D3A"/>
    <w:rsid w:val="00BB7FD3"/>
    <w:rsid w:val="00BC0971"/>
    <w:rsid w:val="00BC0A78"/>
    <w:rsid w:val="00BC0DDD"/>
    <w:rsid w:val="00BC0E7C"/>
    <w:rsid w:val="00BC21D4"/>
    <w:rsid w:val="00BC2F77"/>
    <w:rsid w:val="00BC305E"/>
    <w:rsid w:val="00BC3137"/>
    <w:rsid w:val="00BC31C0"/>
    <w:rsid w:val="00BC32D6"/>
    <w:rsid w:val="00BC35B0"/>
    <w:rsid w:val="00BC4233"/>
    <w:rsid w:val="00BC470B"/>
    <w:rsid w:val="00BC48FC"/>
    <w:rsid w:val="00BC49FD"/>
    <w:rsid w:val="00BC4E99"/>
    <w:rsid w:val="00BC5027"/>
    <w:rsid w:val="00BC51DE"/>
    <w:rsid w:val="00BC520E"/>
    <w:rsid w:val="00BC5A5B"/>
    <w:rsid w:val="00BC5FF7"/>
    <w:rsid w:val="00BC6284"/>
    <w:rsid w:val="00BC62F9"/>
    <w:rsid w:val="00BC641F"/>
    <w:rsid w:val="00BD0A78"/>
    <w:rsid w:val="00BD0CE4"/>
    <w:rsid w:val="00BD0E36"/>
    <w:rsid w:val="00BD0F85"/>
    <w:rsid w:val="00BD1099"/>
    <w:rsid w:val="00BD10C2"/>
    <w:rsid w:val="00BD15CF"/>
    <w:rsid w:val="00BD21DC"/>
    <w:rsid w:val="00BD24C8"/>
    <w:rsid w:val="00BD2670"/>
    <w:rsid w:val="00BD29D8"/>
    <w:rsid w:val="00BD2B41"/>
    <w:rsid w:val="00BD3E03"/>
    <w:rsid w:val="00BD4E6C"/>
    <w:rsid w:val="00BD4EE2"/>
    <w:rsid w:val="00BD4F57"/>
    <w:rsid w:val="00BD533B"/>
    <w:rsid w:val="00BD55CE"/>
    <w:rsid w:val="00BD5D2D"/>
    <w:rsid w:val="00BD5ED8"/>
    <w:rsid w:val="00BD61AD"/>
    <w:rsid w:val="00BD6950"/>
    <w:rsid w:val="00BD6D8D"/>
    <w:rsid w:val="00BD6D8F"/>
    <w:rsid w:val="00BD6DD9"/>
    <w:rsid w:val="00BD70A1"/>
    <w:rsid w:val="00BD76A7"/>
    <w:rsid w:val="00BD7FF9"/>
    <w:rsid w:val="00BE0004"/>
    <w:rsid w:val="00BE0209"/>
    <w:rsid w:val="00BE1EA2"/>
    <w:rsid w:val="00BE2354"/>
    <w:rsid w:val="00BE235B"/>
    <w:rsid w:val="00BE3B44"/>
    <w:rsid w:val="00BE4843"/>
    <w:rsid w:val="00BE4A55"/>
    <w:rsid w:val="00BE4BC5"/>
    <w:rsid w:val="00BE5303"/>
    <w:rsid w:val="00BE58F2"/>
    <w:rsid w:val="00BE5DAD"/>
    <w:rsid w:val="00BE622C"/>
    <w:rsid w:val="00BE650D"/>
    <w:rsid w:val="00BE7867"/>
    <w:rsid w:val="00BE7FF8"/>
    <w:rsid w:val="00BF01DE"/>
    <w:rsid w:val="00BF057E"/>
    <w:rsid w:val="00BF0CD1"/>
    <w:rsid w:val="00BF1BD3"/>
    <w:rsid w:val="00BF1EC3"/>
    <w:rsid w:val="00BF2A10"/>
    <w:rsid w:val="00BF418C"/>
    <w:rsid w:val="00BF429B"/>
    <w:rsid w:val="00BF4713"/>
    <w:rsid w:val="00BF4ED6"/>
    <w:rsid w:val="00BF5116"/>
    <w:rsid w:val="00BF524E"/>
    <w:rsid w:val="00BF52E0"/>
    <w:rsid w:val="00BF5928"/>
    <w:rsid w:val="00BF5A09"/>
    <w:rsid w:val="00BF6B96"/>
    <w:rsid w:val="00C001C1"/>
    <w:rsid w:val="00C01378"/>
    <w:rsid w:val="00C01AF6"/>
    <w:rsid w:val="00C01E28"/>
    <w:rsid w:val="00C027F9"/>
    <w:rsid w:val="00C0314A"/>
    <w:rsid w:val="00C03238"/>
    <w:rsid w:val="00C03528"/>
    <w:rsid w:val="00C0388A"/>
    <w:rsid w:val="00C04549"/>
    <w:rsid w:val="00C04B89"/>
    <w:rsid w:val="00C05677"/>
    <w:rsid w:val="00C05995"/>
    <w:rsid w:val="00C05DF1"/>
    <w:rsid w:val="00C06188"/>
    <w:rsid w:val="00C0660C"/>
    <w:rsid w:val="00C06D80"/>
    <w:rsid w:val="00C0718C"/>
    <w:rsid w:val="00C102D0"/>
    <w:rsid w:val="00C1046B"/>
    <w:rsid w:val="00C11381"/>
    <w:rsid w:val="00C120B7"/>
    <w:rsid w:val="00C1224F"/>
    <w:rsid w:val="00C125AB"/>
    <w:rsid w:val="00C134EC"/>
    <w:rsid w:val="00C13789"/>
    <w:rsid w:val="00C13B2E"/>
    <w:rsid w:val="00C13DD1"/>
    <w:rsid w:val="00C14BE7"/>
    <w:rsid w:val="00C15261"/>
    <w:rsid w:val="00C154AC"/>
    <w:rsid w:val="00C15638"/>
    <w:rsid w:val="00C159C7"/>
    <w:rsid w:val="00C15A59"/>
    <w:rsid w:val="00C16729"/>
    <w:rsid w:val="00C17BF6"/>
    <w:rsid w:val="00C17C45"/>
    <w:rsid w:val="00C17DC9"/>
    <w:rsid w:val="00C203D9"/>
    <w:rsid w:val="00C20417"/>
    <w:rsid w:val="00C20664"/>
    <w:rsid w:val="00C213CB"/>
    <w:rsid w:val="00C21493"/>
    <w:rsid w:val="00C21B95"/>
    <w:rsid w:val="00C22299"/>
    <w:rsid w:val="00C22A1A"/>
    <w:rsid w:val="00C22A76"/>
    <w:rsid w:val="00C231BC"/>
    <w:rsid w:val="00C23E1D"/>
    <w:rsid w:val="00C23ECA"/>
    <w:rsid w:val="00C24290"/>
    <w:rsid w:val="00C24B9A"/>
    <w:rsid w:val="00C24BAA"/>
    <w:rsid w:val="00C251F0"/>
    <w:rsid w:val="00C2522C"/>
    <w:rsid w:val="00C260B0"/>
    <w:rsid w:val="00C2692F"/>
    <w:rsid w:val="00C26CAC"/>
    <w:rsid w:val="00C26E69"/>
    <w:rsid w:val="00C273C2"/>
    <w:rsid w:val="00C27E5E"/>
    <w:rsid w:val="00C31136"/>
    <w:rsid w:val="00C319E3"/>
    <w:rsid w:val="00C31DC3"/>
    <w:rsid w:val="00C325D0"/>
    <w:rsid w:val="00C32730"/>
    <w:rsid w:val="00C32A51"/>
    <w:rsid w:val="00C32A8D"/>
    <w:rsid w:val="00C33453"/>
    <w:rsid w:val="00C3388C"/>
    <w:rsid w:val="00C34AB3"/>
    <w:rsid w:val="00C35434"/>
    <w:rsid w:val="00C35DFD"/>
    <w:rsid w:val="00C366D8"/>
    <w:rsid w:val="00C36A22"/>
    <w:rsid w:val="00C36B41"/>
    <w:rsid w:val="00C36FBA"/>
    <w:rsid w:val="00C37DCB"/>
    <w:rsid w:val="00C37F73"/>
    <w:rsid w:val="00C400A4"/>
    <w:rsid w:val="00C4074C"/>
    <w:rsid w:val="00C40C01"/>
    <w:rsid w:val="00C40F67"/>
    <w:rsid w:val="00C41034"/>
    <w:rsid w:val="00C410BB"/>
    <w:rsid w:val="00C423AB"/>
    <w:rsid w:val="00C423B1"/>
    <w:rsid w:val="00C4280B"/>
    <w:rsid w:val="00C42B57"/>
    <w:rsid w:val="00C4367E"/>
    <w:rsid w:val="00C43ED4"/>
    <w:rsid w:val="00C442C6"/>
    <w:rsid w:val="00C452A6"/>
    <w:rsid w:val="00C45F14"/>
    <w:rsid w:val="00C4611E"/>
    <w:rsid w:val="00C469D7"/>
    <w:rsid w:val="00C472D3"/>
    <w:rsid w:val="00C477FA"/>
    <w:rsid w:val="00C47805"/>
    <w:rsid w:val="00C47948"/>
    <w:rsid w:val="00C479EB"/>
    <w:rsid w:val="00C47E38"/>
    <w:rsid w:val="00C51496"/>
    <w:rsid w:val="00C516A7"/>
    <w:rsid w:val="00C51CE6"/>
    <w:rsid w:val="00C51FBA"/>
    <w:rsid w:val="00C52080"/>
    <w:rsid w:val="00C52D25"/>
    <w:rsid w:val="00C53815"/>
    <w:rsid w:val="00C53EBD"/>
    <w:rsid w:val="00C5452A"/>
    <w:rsid w:val="00C54531"/>
    <w:rsid w:val="00C55450"/>
    <w:rsid w:val="00C55C17"/>
    <w:rsid w:val="00C56F96"/>
    <w:rsid w:val="00C5797D"/>
    <w:rsid w:val="00C57AEB"/>
    <w:rsid w:val="00C57F97"/>
    <w:rsid w:val="00C605C8"/>
    <w:rsid w:val="00C60775"/>
    <w:rsid w:val="00C611CD"/>
    <w:rsid w:val="00C6162A"/>
    <w:rsid w:val="00C61833"/>
    <w:rsid w:val="00C618B3"/>
    <w:rsid w:val="00C618DE"/>
    <w:rsid w:val="00C61F31"/>
    <w:rsid w:val="00C627C9"/>
    <w:rsid w:val="00C62F5E"/>
    <w:rsid w:val="00C6352A"/>
    <w:rsid w:val="00C64356"/>
    <w:rsid w:val="00C64581"/>
    <w:rsid w:val="00C64BEA"/>
    <w:rsid w:val="00C658D3"/>
    <w:rsid w:val="00C66B8A"/>
    <w:rsid w:val="00C66C61"/>
    <w:rsid w:val="00C66C9D"/>
    <w:rsid w:val="00C672D3"/>
    <w:rsid w:val="00C6737F"/>
    <w:rsid w:val="00C67531"/>
    <w:rsid w:val="00C67631"/>
    <w:rsid w:val="00C676A9"/>
    <w:rsid w:val="00C67DE9"/>
    <w:rsid w:val="00C700D5"/>
    <w:rsid w:val="00C70FB0"/>
    <w:rsid w:val="00C7119B"/>
    <w:rsid w:val="00C71424"/>
    <w:rsid w:val="00C7145A"/>
    <w:rsid w:val="00C71726"/>
    <w:rsid w:val="00C71CB6"/>
    <w:rsid w:val="00C72063"/>
    <w:rsid w:val="00C727DE"/>
    <w:rsid w:val="00C72AEA"/>
    <w:rsid w:val="00C72CF8"/>
    <w:rsid w:val="00C7304B"/>
    <w:rsid w:val="00C73073"/>
    <w:rsid w:val="00C73800"/>
    <w:rsid w:val="00C73993"/>
    <w:rsid w:val="00C746D3"/>
    <w:rsid w:val="00C7567C"/>
    <w:rsid w:val="00C759C4"/>
    <w:rsid w:val="00C759FF"/>
    <w:rsid w:val="00C75BE5"/>
    <w:rsid w:val="00C760CA"/>
    <w:rsid w:val="00C760E1"/>
    <w:rsid w:val="00C76243"/>
    <w:rsid w:val="00C76405"/>
    <w:rsid w:val="00C76536"/>
    <w:rsid w:val="00C76B40"/>
    <w:rsid w:val="00C77568"/>
    <w:rsid w:val="00C77E0E"/>
    <w:rsid w:val="00C8035F"/>
    <w:rsid w:val="00C80DD1"/>
    <w:rsid w:val="00C80FCC"/>
    <w:rsid w:val="00C820E1"/>
    <w:rsid w:val="00C830A5"/>
    <w:rsid w:val="00C83AE0"/>
    <w:rsid w:val="00C83FCF"/>
    <w:rsid w:val="00C84351"/>
    <w:rsid w:val="00C8465C"/>
    <w:rsid w:val="00C85095"/>
    <w:rsid w:val="00C851A9"/>
    <w:rsid w:val="00C8689B"/>
    <w:rsid w:val="00C86D85"/>
    <w:rsid w:val="00C87D50"/>
    <w:rsid w:val="00C9041A"/>
    <w:rsid w:val="00C90516"/>
    <w:rsid w:val="00C90959"/>
    <w:rsid w:val="00C90D9E"/>
    <w:rsid w:val="00C919DE"/>
    <w:rsid w:val="00C91FFF"/>
    <w:rsid w:val="00C92332"/>
    <w:rsid w:val="00C925AE"/>
    <w:rsid w:val="00C932AB"/>
    <w:rsid w:val="00C93B16"/>
    <w:rsid w:val="00C94455"/>
    <w:rsid w:val="00C95101"/>
    <w:rsid w:val="00C95759"/>
    <w:rsid w:val="00C95CEF"/>
    <w:rsid w:val="00C960F7"/>
    <w:rsid w:val="00C967DB"/>
    <w:rsid w:val="00C969C0"/>
    <w:rsid w:val="00C969EE"/>
    <w:rsid w:val="00C96BCD"/>
    <w:rsid w:val="00C97735"/>
    <w:rsid w:val="00CA07C3"/>
    <w:rsid w:val="00CA07D6"/>
    <w:rsid w:val="00CA136D"/>
    <w:rsid w:val="00CA13A0"/>
    <w:rsid w:val="00CA176B"/>
    <w:rsid w:val="00CA2852"/>
    <w:rsid w:val="00CA2A83"/>
    <w:rsid w:val="00CA378B"/>
    <w:rsid w:val="00CA3B7C"/>
    <w:rsid w:val="00CA3DC5"/>
    <w:rsid w:val="00CA41B5"/>
    <w:rsid w:val="00CA4703"/>
    <w:rsid w:val="00CA4A4C"/>
    <w:rsid w:val="00CA4F2D"/>
    <w:rsid w:val="00CA505B"/>
    <w:rsid w:val="00CA5550"/>
    <w:rsid w:val="00CA578E"/>
    <w:rsid w:val="00CA633B"/>
    <w:rsid w:val="00CA64ED"/>
    <w:rsid w:val="00CA6CDF"/>
    <w:rsid w:val="00CA6DA4"/>
    <w:rsid w:val="00CA716A"/>
    <w:rsid w:val="00CA7F43"/>
    <w:rsid w:val="00CB0977"/>
    <w:rsid w:val="00CB0F02"/>
    <w:rsid w:val="00CB1DE1"/>
    <w:rsid w:val="00CB2123"/>
    <w:rsid w:val="00CB2EB4"/>
    <w:rsid w:val="00CB4128"/>
    <w:rsid w:val="00CB4780"/>
    <w:rsid w:val="00CB5268"/>
    <w:rsid w:val="00CB535D"/>
    <w:rsid w:val="00CB5493"/>
    <w:rsid w:val="00CB6359"/>
    <w:rsid w:val="00CB63BF"/>
    <w:rsid w:val="00CB6706"/>
    <w:rsid w:val="00CB6838"/>
    <w:rsid w:val="00CB733F"/>
    <w:rsid w:val="00CB7848"/>
    <w:rsid w:val="00CC0190"/>
    <w:rsid w:val="00CC055F"/>
    <w:rsid w:val="00CC088A"/>
    <w:rsid w:val="00CC0EE3"/>
    <w:rsid w:val="00CC104C"/>
    <w:rsid w:val="00CC13E0"/>
    <w:rsid w:val="00CC14C1"/>
    <w:rsid w:val="00CC1BD5"/>
    <w:rsid w:val="00CC285B"/>
    <w:rsid w:val="00CC2AA6"/>
    <w:rsid w:val="00CC2D6F"/>
    <w:rsid w:val="00CC36CC"/>
    <w:rsid w:val="00CC37BD"/>
    <w:rsid w:val="00CC406D"/>
    <w:rsid w:val="00CC478F"/>
    <w:rsid w:val="00CC5083"/>
    <w:rsid w:val="00CC58A1"/>
    <w:rsid w:val="00CC6336"/>
    <w:rsid w:val="00CC6AF3"/>
    <w:rsid w:val="00CC6C75"/>
    <w:rsid w:val="00CC6CA6"/>
    <w:rsid w:val="00CC712E"/>
    <w:rsid w:val="00CC7953"/>
    <w:rsid w:val="00CC7CF1"/>
    <w:rsid w:val="00CC7FB8"/>
    <w:rsid w:val="00CD06EB"/>
    <w:rsid w:val="00CD06F0"/>
    <w:rsid w:val="00CD0918"/>
    <w:rsid w:val="00CD09B9"/>
    <w:rsid w:val="00CD0E24"/>
    <w:rsid w:val="00CD17ED"/>
    <w:rsid w:val="00CD1B72"/>
    <w:rsid w:val="00CD210F"/>
    <w:rsid w:val="00CD29C4"/>
    <w:rsid w:val="00CD2E08"/>
    <w:rsid w:val="00CD384E"/>
    <w:rsid w:val="00CD425B"/>
    <w:rsid w:val="00CD440B"/>
    <w:rsid w:val="00CD4B47"/>
    <w:rsid w:val="00CD4CAE"/>
    <w:rsid w:val="00CD5CF9"/>
    <w:rsid w:val="00CD6688"/>
    <w:rsid w:val="00CD79FF"/>
    <w:rsid w:val="00CD7C7B"/>
    <w:rsid w:val="00CE15E9"/>
    <w:rsid w:val="00CE1D66"/>
    <w:rsid w:val="00CE1FCA"/>
    <w:rsid w:val="00CE29C2"/>
    <w:rsid w:val="00CE3274"/>
    <w:rsid w:val="00CE42F3"/>
    <w:rsid w:val="00CE45B8"/>
    <w:rsid w:val="00CE59B1"/>
    <w:rsid w:val="00CE5DC8"/>
    <w:rsid w:val="00CE5F9E"/>
    <w:rsid w:val="00CE6240"/>
    <w:rsid w:val="00CE69DC"/>
    <w:rsid w:val="00CE6BC1"/>
    <w:rsid w:val="00CE711F"/>
    <w:rsid w:val="00CE752C"/>
    <w:rsid w:val="00CF09AC"/>
    <w:rsid w:val="00CF0B38"/>
    <w:rsid w:val="00CF0C02"/>
    <w:rsid w:val="00CF1417"/>
    <w:rsid w:val="00CF20E6"/>
    <w:rsid w:val="00CF2445"/>
    <w:rsid w:val="00CF28E1"/>
    <w:rsid w:val="00CF318E"/>
    <w:rsid w:val="00CF3439"/>
    <w:rsid w:val="00CF37E1"/>
    <w:rsid w:val="00CF3FF6"/>
    <w:rsid w:val="00CF5797"/>
    <w:rsid w:val="00CF58A3"/>
    <w:rsid w:val="00CF5999"/>
    <w:rsid w:val="00CF7314"/>
    <w:rsid w:val="00CF7DEC"/>
    <w:rsid w:val="00D003CB"/>
    <w:rsid w:val="00D00D7C"/>
    <w:rsid w:val="00D00FBC"/>
    <w:rsid w:val="00D0135B"/>
    <w:rsid w:val="00D01EBE"/>
    <w:rsid w:val="00D01F97"/>
    <w:rsid w:val="00D0204B"/>
    <w:rsid w:val="00D02769"/>
    <w:rsid w:val="00D02FE0"/>
    <w:rsid w:val="00D041DD"/>
    <w:rsid w:val="00D045DF"/>
    <w:rsid w:val="00D04613"/>
    <w:rsid w:val="00D05036"/>
    <w:rsid w:val="00D054C3"/>
    <w:rsid w:val="00D057A2"/>
    <w:rsid w:val="00D06868"/>
    <w:rsid w:val="00D068E6"/>
    <w:rsid w:val="00D10385"/>
    <w:rsid w:val="00D107D2"/>
    <w:rsid w:val="00D119A3"/>
    <w:rsid w:val="00D11FC7"/>
    <w:rsid w:val="00D120BC"/>
    <w:rsid w:val="00D124E2"/>
    <w:rsid w:val="00D129D0"/>
    <w:rsid w:val="00D13792"/>
    <w:rsid w:val="00D14120"/>
    <w:rsid w:val="00D14201"/>
    <w:rsid w:val="00D14604"/>
    <w:rsid w:val="00D1489D"/>
    <w:rsid w:val="00D149F7"/>
    <w:rsid w:val="00D14A69"/>
    <w:rsid w:val="00D1529B"/>
    <w:rsid w:val="00D1540C"/>
    <w:rsid w:val="00D160A5"/>
    <w:rsid w:val="00D16789"/>
    <w:rsid w:val="00D16B53"/>
    <w:rsid w:val="00D16CF6"/>
    <w:rsid w:val="00D1715E"/>
    <w:rsid w:val="00D173BB"/>
    <w:rsid w:val="00D174CE"/>
    <w:rsid w:val="00D174EE"/>
    <w:rsid w:val="00D1752A"/>
    <w:rsid w:val="00D17E01"/>
    <w:rsid w:val="00D20A48"/>
    <w:rsid w:val="00D20CE5"/>
    <w:rsid w:val="00D210B6"/>
    <w:rsid w:val="00D21A03"/>
    <w:rsid w:val="00D21F11"/>
    <w:rsid w:val="00D220AA"/>
    <w:rsid w:val="00D224EA"/>
    <w:rsid w:val="00D2269A"/>
    <w:rsid w:val="00D2361D"/>
    <w:rsid w:val="00D23BE1"/>
    <w:rsid w:val="00D25046"/>
    <w:rsid w:val="00D2527B"/>
    <w:rsid w:val="00D25A78"/>
    <w:rsid w:val="00D25E24"/>
    <w:rsid w:val="00D26361"/>
    <w:rsid w:val="00D2640E"/>
    <w:rsid w:val="00D27A6E"/>
    <w:rsid w:val="00D3018E"/>
    <w:rsid w:val="00D310E2"/>
    <w:rsid w:val="00D31C38"/>
    <w:rsid w:val="00D321A2"/>
    <w:rsid w:val="00D32B0A"/>
    <w:rsid w:val="00D33207"/>
    <w:rsid w:val="00D33AA9"/>
    <w:rsid w:val="00D33FF3"/>
    <w:rsid w:val="00D340E4"/>
    <w:rsid w:val="00D34454"/>
    <w:rsid w:val="00D3523B"/>
    <w:rsid w:val="00D36008"/>
    <w:rsid w:val="00D3600F"/>
    <w:rsid w:val="00D36130"/>
    <w:rsid w:val="00D368EE"/>
    <w:rsid w:val="00D369AB"/>
    <w:rsid w:val="00D37672"/>
    <w:rsid w:val="00D376F0"/>
    <w:rsid w:val="00D406EB"/>
    <w:rsid w:val="00D40A17"/>
    <w:rsid w:val="00D40A59"/>
    <w:rsid w:val="00D40ABA"/>
    <w:rsid w:val="00D40B3C"/>
    <w:rsid w:val="00D425C8"/>
    <w:rsid w:val="00D426D0"/>
    <w:rsid w:val="00D42C16"/>
    <w:rsid w:val="00D42D32"/>
    <w:rsid w:val="00D42DAD"/>
    <w:rsid w:val="00D43A42"/>
    <w:rsid w:val="00D43D2B"/>
    <w:rsid w:val="00D44DE6"/>
    <w:rsid w:val="00D46861"/>
    <w:rsid w:val="00D46C73"/>
    <w:rsid w:val="00D46CE5"/>
    <w:rsid w:val="00D47945"/>
    <w:rsid w:val="00D50AD1"/>
    <w:rsid w:val="00D50E81"/>
    <w:rsid w:val="00D50FA9"/>
    <w:rsid w:val="00D513B3"/>
    <w:rsid w:val="00D515B1"/>
    <w:rsid w:val="00D5240B"/>
    <w:rsid w:val="00D53517"/>
    <w:rsid w:val="00D53571"/>
    <w:rsid w:val="00D53710"/>
    <w:rsid w:val="00D5386F"/>
    <w:rsid w:val="00D53F96"/>
    <w:rsid w:val="00D547AF"/>
    <w:rsid w:val="00D54C80"/>
    <w:rsid w:val="00D5538B"/>
    <w:rsid w:val="00D556A3"/>
    <w:rsid w:val="00D55A4E"/>
    <w:rsid w:val="00D55F2F"/>
    <w:rsid w:val="00D565EC"/>
    <w:rsid w:val="00D577C0"/>
    <w:rsid w:val="00D60210"/>
    <w:rsid w:val="00D609A9"/>
    <w:rsid w:val="00D60C98"/>
    <w:rsid w:val="00D6135C"/>
    <w:rsid w:val="00D6141B"/>
    <w:rsid w:val="00D61433"/>
    <w:rsid w:val="00D6185A"/>
    <w:rsid w:val="00D61932"/>
    <w:rsid w:val="00D61ADB"/>
    <w:rsid w:val="00D61CED"/>
    <w:rsid w:val="00D62072"/>
    <w:rsid w:val="00D636B7"/>
    <w:rsid w:val="00D643DE"/>
    <w:rsid w:val="00D647BD"/>
    <w:rsid w:val="00D6490B"/>
    <w:rsid w:val="00D652CC"/>
    <w:rsid w:val="00D652D7"/>
    <w:rsid w:val="00D65CC5"/>
    <w:rsid w:val="00D65E74"/>
    <w:rsid w:val="00D70DE6"/>
    <w:rsid w:val="00D710CB"/>
    <w:rsid w:val="00D7120E"/>
    <w:rsid w:val="00D71234"/>
    <w:rsid w:val="00D7150D"/>
    <w:rsid w:val="00D71B38"/>
    <w:rsid w:val="00D72462"/>
    <w:rsid w:val="00D72537"/>
    <w:rsid w:val="00D72997"/>
    <w:rsid w:val="00D73A64"/>
    <w:rsid w:val="00D73BA8"/>
    <w:rsid w:val="00D74068"/>
    <w:rsid w:val="00D74757"/>
    <w:rsid w:val="00D74ACB"/>
    <w:rsid w:val="00D74ACD"/>
    <w:rsid w:val="00D74D61"/>
    <w:rsid w:val="00D750AA"/>
    <w:rsid w:val="00D758EB"/>
    <w:rsid w:val="00D759F3"/>
    <w:rsid w:val="00D75B5E"/>
    <w:rsid w:val="00D75F49"/>
    <w:rsid w:val="00D777C0"/>
    <w:rsid w:val="00D77A20"/>
    <w:rsid w:val="00D77A53"/>
    <w:rsid w:val="00D77C2F"/>
    <w:rsid w:val="00D802A6"/>
    <w:rsid w:val="00D8031F"/>
    <w:rsid w:val="00D808AC"/>
    <w:rsid w:val="00D8191B"/>
    <w:rsid w:val="00D83A0A"/>
    <w:rsid w:val="00D83E3F"/>
    <w:rsid w:val="00D84330"/>
    <w:rsid w:val="00D84350"/>
    <w:rsid w:val="00D846F0"/>
    <w:rsid w:val="00D84F7C"/>
    <w:rsid w:val="00D85893"/>
    <w:rsid w:val="00D8696E"/>
    <w:rsid w:val="00D86A0F"/>
    <w:rsid w:val="00D86F52"/>
    <w:rsid w:val="00D87319"/>
    <w:rsid w:val="00D87F8E"/>
    <w:rsid w:val="00D904F2"/>
    <w:rsid w:val="00D90614"/>
    <w:rsid w:val="00D90CE7"/>
    <w:rsid w:val="00D90F1E"/>
    <w:rsid w:val="00D927CA"/>
    <w:rsid w:val="00D92B84"/>
    <w:rsid w:val="00D92FB5"/>
    <w:rsid w:val="00D93A01"/>
    <w:rsid w:val="00D93CAD"/>
    <w:rsid w:val="00D93E79"/>
    <w:rsid w:val="00D94080"/>
    <w:rsid w:val="00D943F4"/>
    <w:rsid w:val="00D94445"/>
    <w:rsid w:val="00D949A3"/>
    <w:rsid w:val="00D9555C"/>
    <w:rsid w:val="00D95EED"/>
    <w:rsid w:val="00D96072"/>
    <w:rsid w:val="00D96374"/>
    <w:rsid w:val="00D97F06"/>
    <w:rsid w:val="00D97F75"/>
    <w:rsid w:val="00DA0416"/>
    <w:rsid w:val="00DA1042"/>
    <w:rsid w:val="00DA1140"/>
    <w:rsid w:val="00DA1D42"/>
    <w:rsid w:val="00DA1E61"/>
    <w:rsid w:val="00DA21AD"/>
    <w:rsid w:val="00DA21C6"/>
    <w:rsid w:val="00DA256C"/>
    <w:rsid w:val="00DA3E7B"/>
    <w:rsid w:val="00DA46D8"/>
    <w:rsid w:val="00DA47C2"/>
    <w:rsid w:val="00DA4C0E"/>
    <w:rsid w:val="00DA5087"/>
    <w:rsid w:val="00DA508A"/>
    <w:rsid w:val="00DA5CB9"/>
    <w:rsid w:val="00DA6B2A"/>
    <w:rsid w:val="00DA70B4"/>
    <w:rsid w:val="00DA7154"/>
    <w:rsid w:val="00DA7E94"/>
    <w:rsid w:val="00DB023A"/>
    <w:rsid w:val="00DB10A9"/>
    <w:rsid w:val="00DB15CF"/>
    <w:rsid w:val="00DB1DDD"/>
    <w:rsid w:val="00DB2930"/>
    <w:rsid w:val="00DB2CDC"/>
    <w:rsid w:val="00DB3021"/>
    <w:rsid w:val="00DB42C3"/>
    <w:rsid w:val="00DB4BFA"/>
    <w:rsid w:val="00DB4F16"/>
    <w:rsid w:val="00DB5529"/>
    <w:rsid w:val="00DB5C31"/>
    <w:rsid w:val="00DB5C9C"/>
    <w:rsid w:val="00DB6346"/>
    <w:rsid w:val="00DB6650"/>
    <w:rsid w:val="00DB7B1D"/>
    <w:rsid w:val="00DC06BB"/>
    <w:rsid w:val="00DC0E09"/>
    <w:rsid w:val="00DC13B3"/>
    <w:rsid w:val="00DC1766"/>
    <w:rsid w:val="00DC19D8"/>
    <w:rsid w:val="00DC1AA9"/>
    <w:rsid w:val="00DC1B28"/>
    <w:rsid w:val="00DC1CC6"/>
    <w:rsid w:val="00DC2337"/>
    <w:rsid w:val="00DC2779"/>
    <w:rsid w:val="00DC3C7C"/>
    <w:rsid w:val="00DC4177"/>
    <w:rsid w:val="00DC4D8E"/>
    <w:rsid w:val="00DC54D9"/>
    <w:rsid w:val="00DC5725"/>
    <w:rsid w:val="00DC59B6"/>
    <w:rsid w:val="00DC59FC"/>
    <w:rsid w:val="00DC621A"/>
    <w:rsid w:val="00DC6BA8"/>
    <w:rsid w:val="00DC7268"/>
    <w:rsid w:val="00DC72C0"/>
    <w:rsid w:val="00DC7EAC"/>
    <w:rsid w:val="00DD030E"/>
    <w:rsid w:val="00DD084D"/>
    <w:rsid w:val="00DD11B8"/>
    <w:rsid w:val="00DD129B"/>
    <w:rsid w:val="00DD1588"/>
    <w:rsid w:val="00DD1651"/>
    <w:rsid w:val="00DD1657"/>
    <w:rsid w:val="00DD1931"/>
    <w:rsid w:val="00DD196D"/>
    <w:rsid w:val="00DD1C22"/>
    <w:rsid w:val="00DD26D0"/>
    <w:rsid w:val="00DD27C1"/>
    <w:rsid w:val="00DD2FAF"/>
    <w:rsid w:val="00DD31F0"/>
    <w:rsid w:val="00DD33A5"/>
    <w:rsid w:val="00DD3B7C"/>
    <w:rsid w:val="00DD4531"/>
    <w:rsid w:val="00DD5000"/>
    <w:rsid w:val="00DD6880"/>
    <w:rsid w:val="00DD71C4"/>
    <w:rsid w:val="00DD7509"/>
    <w:rsid w:val="00DD7CEC"/>
    <w:rsid w:val="00DE0012"/>
    <w:rsid w:val="00DE012E"/>
    <w:rsid w:val="00DE0337"/>
    <w:rsid w:val="00DE11D4"/>
    <w:rsid w:val="00DE1E3D"/>
    <w:rsid w:val="00DE2006"/>
    <w:rsid w:val="00DE240F"/>
    <w:rsid w:val="00DE355F"/>
    <w:rsid w:val="00DE3563"/>
    <w:rsid w:val="00DE390D"/>
    <w:rsid w:val="00DE46DD"/>
    <w:rsid w:val="00DE4747"/>
    <w:rsid w:val="00DE541A"/>
    <w:rsid w:val="00DE5835"/>
    <w:rsid w:val="00DE5ACA"/>
    <w:rsid w:val="00DE6364"/>
    <w:rsid w:val="00DE6624"/>
    <w:rsid w:val="00DE6DB1"/>
    <w:rsid w:val="00DE6F1C"/>
    <w:rsid w:val="00DE721D"/>
    <w:rsid w:val="00DE7B57"/>
    <w:rsid w:val="00DF0EC3"/>
    <w:rsid w:val="00DF19AE"/>
    <w:rsid w:val="00DF1E7F"/>
    <w:rsid w:val="00DF24CF"/>
    <w:rsid w:val="00DF414C"/>
    <w:rsid w:val="00DF44CA"/>
    <w:rsid w:val="00DF4625"/>
    <w:rsid w:val="00DF4D11"/>
    <w:rsid w:val="00DF512A"/>
    <w:rsid w:val="00DF5168"/>
    <w:rsid w:val="00DF69CC"/>
    <w:rsid w:val="00DF7BEE"/>
    <w:rsid w:val="00DF7C36"/>
    <w:rsid w:val="00E00150"/>
    <w:rsid w:val="00E007DC"/>
    <w:rsid w:val="00E009C9"/>
    <w:rsid w:val="00E00D9A"/>
    <w:rsid w:val="00E01F36"/>
    <w:rsid w:val="00E02865"/>
    <w:rsid w:val="00E028B4"/>
    <w:rsid w:val="00E02F1B"/>
    <w:rsid w:val="00E02F59"/>
    <w:rsid w:val="00E03767"/>
    <w:rsid w:val="00E03A29"/>
    <w:rsid w:val="00E040D9"/>
    <w:rsid w:val="00E04287"/>
    <w:rsid w:val="00E04925"/>
    <w:rsid w:val="00E0528A"/>
    <w:rsid w:val="00E056B5"/>
    <w:rsid w:val="00E0596E"/>
    <w:rsid w:val="00E05CA1"/>
    <w:rsid w:val="00E064F2"/>
    <w:rsid w:val="00E0699C"/>
    <w:rsid w:val="00E071F6"/>
    <w:rsid w:val="00E07435"/>
    <w:rsid w:val="00E0795E"/>
    <w:rsid w:val="00E10155"/>
    <w:rsid w:val="00E1026B"/>
    <w:rsid w:val="00E10EBC"/>
    <w:rsid w:val="00E11483"/>
    <w:rsid w:val="00E11528"/>
    <w:rsid w:val="00E11A3E"/>
    <w:rsid w:val="00E11FDB"/>
    <w:rsid w:val="00E12926"/>
    <w:rsid w:val="00E139EA"/>
    <w:rsid w:val="00E13E00"/>
    <w:rsid w:val="00E14974"/>
    <w:rsid w:val="00E15126"/>
    <w:rsid w:val="00E15280"/>
    <w:rsid w:val="00E153C9"/>
    <w:rsid w:val="00E1541E"/>
    <w:rsid w:val="00E15BF5"/>
    <w:rsid w:val="00E16616"/>
    <w:rsid w:val="00E16DF0"/>
    <w:rsid w:val="00E171CA"/>
    <w:rsid w:val="00E1735A"/>
    <w:rsid w:val="00E17CCB"/>
    <w:rsid w:val="00E200A3"/>
    <w:rsid w:val="00E2112A"/>
    <w:rsid w:val="00E21680"/>
    <w:rsid w:val="00E21D54"/>
    <w:rsid w:val="00E22225"/>
    <w:rsid w:val="00E2295A"/>
    <w:rsid w:val="00E229D9"/>
    <w:rsid w:val="00E22C18"/>
    <w:rsid w:val="00E23145"/>
    <w:rsid w:val="00E23350"/>
    <w:rsid w:val="00E23536"/>
    <w:rsid w:val="00E23764"/>
    <w:rsid w:val="00E23921"/>
    <w:rsid w:val="00E23C1D"/>
    <w:rsid w:val="00E24386"/>
    <w:rsid w:val="00E24B7B"/>
    <w:rsid w:val="00E257F6"/>
    <w:rsid w:val="00E2794B"/>
    <w:rsid w:val="00E3029C"/>
    <w:rsid w:val="00E319BE"/>
    <w:rsid w:val="00E31D54"/>
    <w:rsid w:val="00E3216E"/>
    <w:rsid w:val="00E32248"/>
    <w:rsid w:val="00E32A3A"/>
    <w:rsid w:val="00E32AAE"/>
    <w:rsid w:val="00E33A60"/>
    <w:rsid w:val="00E340F7"/>
    <w:rsid w:val="00E35583"/>
    <w:rsid w:val="00E35B3E"/>
    <w:rsid w:val="00E35DB8"/>
    <w:rsid w:val="00E3648A"/>
    <w:rsid w:val="00E36999"/>
    <w:rsid w:val="00E36DA2"/>
    <w:rsid w:val="00E36EC3"/>
    <w:rsid w:val="00E375CC"/>
    <w:rsid w:val="00E40A71"/>
    <w:rsid w:val="00E4108A"/>
    <w:rsid w:val="00E412BE"/>
    <w:rsid w:val="00E41453"/>
    <w:rsid w:val="00E417D2"/>
    <w:rsid w:val="00E41C97"/>
    <w:rsid w:val="00E420A4"/>
    <w:rsid w:val="00E42BA7"/>
    <w:rsid w:val="00E42D1F"/>
    <w:rsid w:val="00E433E1"/>
    <w:rsid w:val="00E43819"/>
    <w:rsid w:val="00E43B77"/>
    <w:rsid w:val="00E43ED8"/>
    <w:rsid w:val="00E44010"/>
    <w:rsid w:val="00E44841"/>
    <w:rsid w:val="00E44D78"/>
    <w:rsid w:val="00E44F1A"/>
    <w:rsid w:val="00E45487"/>
    <w:rsid w:val="00E45AA4"/>
    <w:rsid w:val="00E46B36"/>
    <w:rsid w:val="00E46C5C"/>
    <w:rsid w:val="00E478C1"/>
    <w:rsid w:val="00E47A06"/>
    <w:rsid w:val="00E50338"/>
    <w:rsid w:val="00E50623"/>
    <w:rsid w:val="00E507B3"/>
    <w:rsid w:val="00E519FE"/>
    <w:rsid w:val="00E51FFF"/>
    <w:rsid w:val="00E520EB"/>
    <w:rsid w:val="00E524DE"/>
    <w:rsid w:val="00E52891"/>
    <w:rsid w:val="00E52D4F"/>
    <w:rsid w:val="00E5372F"/>
    <w:rsid w:val="00E546B7"/>
    <w:rsid w:val="00E5485D"/>
    <w:rsid w:val="00E54C51"/>
    <w:rsid w:val="00E5576C"/>
    <w:rsid w:val="00E56BC6"/>
    <w:rsid w:val="00E56C84"/>
    <w:rsid w:val="00E57047"/>
    <w:rsid w:val="00E570B8"/>
    <w:rsid w:val="00E57E9A"/>
    <w:rsid w:val="00E60614"/>
    <w:rsid w:val="00E6089F"/>
    <w:rsid w:val="00E60B8B"/>
    <w:rsid w:val="00E61901"/>
    <w:rsid w:val="00E61930"/>
    <w:rsid w:val="00E61D2F"/>
    <w:rsid w:val="00E62112"/>
    <w:rsid w:val="00E621F0"/>
    <w:rsid w:val="00E62310"/>
    <w:rsid w:val="00E63E30"/>
    <w:rsid w:val="00E640E9"/>
    <w:rsid w:val="00E64FC8"/>
    <w:rsid w:val="00E652C3"/>
    <w:rsid w:val="00E6545F"/>
    <w:rsid w:val="00E65571"/>
    <w:rsid w:val="00E662E9"/>
    <w:rsid w:val="00E66C9E"/>
    <w:rsid w:val="00E66E68"/>
    <w:rsid w:val="00E67393"/>
    <w:rsid w:val="00E67714"/>
    <w:rsid w:val="00E67FA1"/>
    <w:rsid w:val="00E70026"/>
    <w:rsid w:val="00E70821"/>
    <w:rsid w:val="00E72099"/>
    <w:rsid w:val="00E725CB"/>
    <w:rsid w:val="00E73818"/>
    <w:rsid w:val="00E73A70"/>
    <w:rsid w:val="00E73F4F"/>
    <w:rsid w:val="00E7477A"/>
    <w:rsid w:val="00E74976"/>
    <w:rsid w:val="00E74B50"/>
    <w:rsid w:val="00E75451"/>
    <w:rsid w:val="00E757A1"/>
    <w:rsid w:val="00E75982"/>
    <w:rsid w:val="00E75DF4"/>
    <w:rsid w:val="00E75FBC"/>
    <w:rsid w:val="00E7611E"/>
    <w:rsid w:val="00E764C8"/>
    <w:rsid w:val="00E764FA"/>
    <w:rsid w:val="00E7657D"/>
    <w:rsid w:val="00E76BF4"/>
    <w:rsid w:val="00E76F4D"/>
    <w:rsid w:val="00E80384"/>
    <w:rsid w:val="00E80615"/>
    <w:rsid w:val="00E808EA"/>
    <w:rsid w:val="00E80E6A"/>
    <w:rsid w:val="00E80F13"/>
    <w:rsid w:val="00E813DF"/>
    <w:rsid w:val="00E81861"/>
    <w:rsid w:val="00E81A1D"/>
    <w:rsid w:val="00E8203B"/>
    <w:rsid w:val="00E824DE"/>
    <w:rsid w:val="00E825B3"/>
    <w:rsid w:val="00E826D5"/>
    <w:rsid w:val="00E82CE3"/>
    <w:rsid w:val="00E844E5"/>
    <w:rsid w:val="00E84533"/>
    <w:rsid w:val="00E84F86"/>
    <w:rsid w:val="00E854B4"/>
    <w:rsid w:val="00E8595F"/>
    <w:rsid w:val="00E86F06"/>
    <w:rsid w:val="00E876DD"/>
    <w:rsid w:val="00E91A1A"/>
    <w:rsid w:val="00E91E88"/>
    <w:rsid w:val="00E926C8"/>
    <w:rsid w:val="00E92950"/>
    <w:rsid w:val="00E93D7B"/>
    <w:rsid w:val="00E9445B"/>
    <w:rsid w:val="00E9463A"/>
    <w:rsid w:val="00E94AAB"/>
    <w:rsid w:val="00E94D5A"/>
    <w:rsid w:val="00E94E62"/>
    <w:rsid w:val="00E94FD8"/>
    <w:rsid w:val="00E95A2B"/>
    <w:rsid w:val="00E95DEF"/>
    <w:rsid w:val="00E96358"/>
    <w:rsid w:val="00E964AA"/>
    <w:rsid w:val="00E967F8"/>
    <w:rsid w:val="00E97CA8"/>
    <w:rsid w:val="00EA0894"/>
    <w:rsid w:val="00EA08C2"/>
    <w:rsid w:val="00EA0F3B"/>
    <w:rsid w:val="00EA0F4E"/>
    <w:rsid w:val="00EA1203"/>
    <w:rsid w:val="00EA1A9D"/>
    <w:rsid w:val="00EA1E9A"/>
    <w:rsid w:val="00EA1EA5"/>
    <w:rsid w:val="00EA2E89"/>
    <w:rsid w:val="00EA32E1"/>
    <w:rsid w:val="00EA36E3"/>
    <w:rsid w:val="00EA3D2F"/>
    <w:rsid w:val="00EA4097"/>
    <w:rsid w:val="00EA509B"/>
    <w:rsid w:val="00EA66D9"/>
    <w:rsid w:val="00EB08EE"/>
    <w:rsid w:val="00EB15CC"/>
    <w:rsid w:val="00EB161A"/>
    <w:rsid w:val="00EB177B"/>
    <w:rsid w:val="00EB227F"/>
    <w:rsid w:val="00EB2E43"/>
    <w:rsid w:val="00EB2F5D"/>
    <w:rsid w:val="00EB4306"/>
    <w:rsid w:val="00EB4AFE"/>
    <w:rsid w:val="00EB5480"/>
    <w:rsid w:val="00EB57F9"/>
    <w:rsid w:val="00EB6874"/>
    <w:rsid w:val="00EB6A2D"/>
    <w:rsid w:val="00EB6C72"/>
    <w:rsid w:val="00EB6DEB"/>
    <w:rsid w:val="00EB720D"/>
    <w:rsid w:val="00EB7363"/>
    <w:rsid w:val="00EC02CA"/>
    <w:rsid w:val="00EC148C"/>
    <w:rsid w:val="00EC1999"/>
    <w:rsid w:val="00EC2222"/>
    <w:rsid w:val="00EC3F87"/>
    <w:rsid w:val="00EC40E1"/>
    <w:rsid w:val="00EC4532"/>
    <w:rsid w:val="00EC5232"/>
    <w:rsid w:val="00EC59FA"/>
    <w:rsid w:val="00EC5F8F"/>
    <w:rsid w:val="00EC6417"/>
    <w:rsid w:val="00EC676C"/>
    <w:rsid w:val="00EC6FE9"/>
    <w:rsid w:val="00EC7D72"/>
    <w:rsid w:val="00ED0050"/>
    <w:rsid w:val="00ED02AF"/>
    <w:rsid w:val="00ED129F"/>
    <w:rsid w:val="00ED16E6"/>
    <w:rsid w:val="00ED1C02"/>
    <w:rsid w:val="00ED211B"/>
    <w:rsid w:val="00ED260F"/>
    <w:rsid w:val="00ED2759"/>
    <w:rsid w:val="00ED2E63"/>
    <w:rsid w:val="00ED5715"/>
    <w:rsid w:val="00ED57ED"/>
    <w:rsid w:val="00ED59F9"/>
    <w:rsid w:val="00ED5A5A"/>
    <w:rsid w:val="00ED5B7E"/>
    <w:rsid w:val="00ED5DB6"/>
    <w:rsid w:val="00ED609B"/>
    <w:rsid w:val="00ED6191"/>
    <w:rsid w:val="00ED65B2"/>
    <w:rsid w:val="00ED7AD8"/>
    <w:rsid w:val="00ED7E8F"/>
    <w:rsid w:val="00EE0077"/>
    <w:rsid w:val="00EE016F"/>
    <w:rsid w:val="00EE0477"/>
    <w:rsid w:val="00EE0555"/>
    <w:rsid w:val="00EE0E0B"/>
    <w:rsid w:val="00EE100C"/>
    <w:rsid w:val="00EE123B"/>
    <w:rsid w:val="00EE1305"/>
    <w:rsid w:val="00EE2994"/>
    <w:rsid w:val="00EE338E"/>
    <w:rsid w:val="00EE3CF9"/>
    <w:rsid w:val="00EE4535"/>
    <w:rsid w:val="00EE4B95"/>
    <w:rsid w:val="00EE5D94"/>
    <w:rsid w:val="00EE5F91"/>
    <w:rsid w:val="00EE641F"/>
    <w:rsid w:val="00EE723C"/>
    <w:rsid w:val="00EF014D"/>
    <w:rsid w:val="00EF09B5"/>
    <w:rsid w:val="00EF142E"/>
    <w:rsid w:val="00EF190F"/>
    <w:rsid w:val="00EF1C3F"/>
    <w:rsid w:val="00EF2284"/>
    <w:rsid w:val="00EF22D9"/>
    <w:rsid w:val="00EF36D5"/>
    <w:rsid w:val="00EF44A8"/>
    <w:rsid w:val="00EF477B"/>
    <w:rsid w:val="00EF49CF"/>
    <w:rsid w:val="00EF4D5F"/>
    <w:rsid w:val="00EF573B"/>
    <w:rsid w:val="00EF6142"/>
    <w:rsid w:val="00EF68A1"/>
    <w:rsid w:val="00EF75A1"/>
    <w:rsid w:val="00EF75E7"/>
    <w:rsid w:val="00F002DE"/>
    <w:rsid w:val="00F00E66"/>
    <w:rsid w:val="00F010AB"/>
    <w:rsid w:val="00F011C2"/>
    <w:rsid w:val="00F0179D"/>
    <w:rsid w:val="00F01FD6"/>
    <w:rsid w:val="00F02AF2"/>
    <w:rsid w:val="00F02BCD"/>
    <w:rsid w:val="00F04BA2"/>
    <w:rsid w:val="00F050BF"/>
    <w:rsid w:val="00F05117"/>
    <w:rsid w:val="00F051AA"/>
    <w:rsid w:val="00F05FF1"/>
    <w:rsid w:val="00F067DD"/>
    <w:rsid w:val="00F07137"/>
    <w:rsid w:val="00F073E2"/>
    <w:rsid w:val="00F07B01"/>
    <w:rsid w:val="00F07F10"/>
    <w:rsid w:val="00F101A4"/>
    <w:rsid w:val="00F1034A"/>
    <w:rsid w:val="00F10C6A"/>
    <w:rsid w:val="00F11AA5"/>
    <w:rsid w:val="00F11B0B"/>
    <w:rsid w:val="00F11C3C"/>
    <w:rsid w:val="00F12555"/>
    <w:rsid w:val="00F1293F"/>
    <w:rsid w:val="00F13153"/>
    <w:rsid w:val="00F1355D"/>
    <w:rsid w:val="00F1377C"/>
    <w:rsid w:val="00F14F2B"/>
    <w:rsid w:val="00F15192"/>
    <w:rsid w:val="00F15224"/>
    <w:rsid w:val="00F1552E"/>
    <w:rsid w:val="00F15B60"/>
    <w:rsid w:val="00F15C8E"/>
    <w:rsid w:val="00F16384"/>
    <w:rsid w:val="00F16AA6"/>
    <w:rsid w:val="00F16E96"/>
    <w:rsid w:val="00F16F1A"/>
    <w:rsid w:val="00F17BDB"/>
    <w:rsid w:val="00F17C77"/>
    <w:rsid w:val="00F17F4A"/>
    <w:rsid w:val="00F20022"/>
    <w:rsid w:val="00F207AB"/>
    <w:rsid w:val="00F208D6"/>
    <w:rsid w:val="00F21570"/>
    <w:rsid w:val="00F21A33"/>
    <w:rsid w:val="00F21A77"/>
    <w:rsid w:val="00F22580"/>
    <w:rsid w:val="00F229DF"/>
    <w:rsid w:val="00F22CF8"/>
    <w:rsid w:val="00F23E87"/>
    <w:rsid w:val="00F23FF2"/>
    <w:rsid w:val="00F258DF"/>
    <w:rsid w:val="00F26DA9"/>
    <w:rsid w:val="00F27111"/>
    <w:rsid w:val="00F271AD"/>
    <w:rsid w:val="00F2738C"/>
    <w:rsid w:val="00F273A2"/>
    <w:rsid w:val="00F300D0"/>
    <w:rsid w:val="00F30154"/>
    <w:rsid w:val="00F30516"/>
    <w:rsid w:val="00F30B09"/>
    <w:rsid w:val="00F30CCB"/>
    <w:rsid w:val="00F32499"/>
    <w:rsid w:val="00F325BE"/>
    <w:rsid w:val="00F32C47"/>
    <w:rsid w:val="00F33263"/>
    <w:rsid w:val="00F33F8A"/>
    <w:rsid w:val="00F34E85"/>
    <w:rsid w:val="00F35741"/>
    <w:rsid w:val="00F35D5A"/>
    <w:rsid w:val="00F35EAF"/>
    <w:rsid w:val="00F37624"/>
    <w:rsid w:val="00F37714"/>
    <w:rsid w:val="00F37989"/>
    <w:rsid w:val="00F4093B"/>
    <w:rsid w:val="00F40D74"/>
    <w:rsid w:val="00F41039"/>
    <w:rsid w:val="00F415B0"/>
    <w:rsid w:val="00F4195E"/>
    <w:rsid w:val="00F41E2F"/>
    <w:rsid w:val="00F41E87"/>
    <w:rsid w:val="00F42BE0"/>
    <w:rsid w:val="00F43443"/>
    <w:rsid w:val="00F44136"/>
    <w:rsid w:val="00F4494C"/>
    <w:rsid w:val="00F44BE7"/>
    <w:rsid w:val="00F44BF5"/>
    <w:rsid w:val="00F45244"/>
    <w:rsid w:val="00F45756"/>
    <w:rsid w:val="00F45E50"/>
    <w:rsid w:val="00F45FB0"/>
    <w:rsid w:val="00F503B3"/>
    <w:rsid w:val="00F50C2C"/>
    <w:rsid w:val="00F5154D"/>
    <w:rsid w:val="00F5162D"/>
    <w:rsid w:val="00F5227D"/>
    <w:rsid w:val="00F52551"/>
    <w:rsid w:val="00F534B4"/>
    <w:rsid w:val="00F53513"/>
    <w:rsid w:val="00F5362D"/>
    <w:rsid w:val="00F53840"/>
    <w:rsid w:val="00F53A20"/>
    <w:rsid w:val="00F54982"/>
    <w:rsid w:val="00F55393"/>
    <w:rsid w:val="00F56256"/>
    <w:rsid w:val="00F567E4"/>
    <w:rsid w:val="00F5727E"/>
    <w:rsid w:val="00F575CE"/>
    <w:rsid w:val="00F57F98"/>
    <w:rsid w:val="00F611B9"/>
    <w:rsid w:val="00F61352"/>
    <w:rsid w:val="00F618B6"/>
    <w:rsid w:val="00F61C91"/>
    <w:rsid w:val="00F62231"/>
    <w:rsid w:val="00F62B0C"/>
    <w:rsid w:val="00F637B4"/>
    <w:rsid w:val="00F6515B"/>
    <w:rsid w:val="00F661FF"/>
    <w:rsid w:val="00F66AE3"/>
    <w:rsid w:val="00F66FA6"/>
    <w:rsid w:val="00F67CB3"/>
    <w:rsid w:val="00F708FE"/>
    <w:rsid w:val="00F70FEF"/>
    <w:rsid w:val="00F711F5"/>
    <w:rsid w:val="00F71260"/>
    <w:rsid w:val="00F7163C"/>
    <w:rsid w:val="00F71F6B"/>
    <w:rsid w:val="00F7241A"/>
    <w:rsid w:val="00F725EB"/>
    <w:rsid w:val="00F7267D"/>
    <w:rsid w:val="00F72BB4"/>
    <w:rsid w:val="00F73255"/>
    <w:rsid w:val="00F73861"/>
    <w:rsid w:val="00F7388B"/>
    <w:rsid w:val="00F73EB0"/>
    <w:rsid w:val="00F74158"/>
    <w:rsid w:val="00F74645"/>
    <w:rsid w:val="00F749CC"/>
    <w:rsid w:val="00F74AB7"/>
    <w:rsid w:val="00F75420"/>
    <w:rsid w:val="00F76018"/>
    <w:rsid w:val="00F7646E"/>
    <w:rsid w:val="00F76A09"/>
    <w:rsid w:val="00F76E2D"/>
    <w:rsid w:val="00F7792C"/>
    <w:rsid w:val="00F80147"/>
    <w:rsid w:val="00F80B47"/>
    <w:rsid w:val="00F80E0E"/>
    <w:rsid w:val="00F80F48"/>
    <w:rsid w:val="00F819BB"/>
    <w:rsid w:val="00F82011"/>
    <w:rsid w:val="00F821B5"/>
    <w:rsid w:val="00F826F9"/>
    <w:rsid w:val="00F82798"/>
    <w:rsid w:val="00F84188"/>
    <w:rsid w:val="00F845B5"/>
    <w:rsid w:val="00F84D5F"/>
    <w:rsid w:val="00F8614B"/>
    <w:rsid w:val="00F86F74"/>
    <w:rsid w:val="00F87110"/>
    <w:rsid w:val="00F87539"/>
    <w:rsid w:val="00F876D7"/>
    <w:rsid w:val="00F9026C"/>
    <w:rsid w:val="00F905C0"/>
    <w:rsid w:val="00F908FF"/>
    <w:rsid w:val="00F90D9F"/>
    <w:rsid w:val="00F90E46"/>
    <w:rsid w:val="00F91B0D"/>
    <w:rsid w:val="00F92A91"/>
    <w:rsid w:val="00F93E65"/>
    <w:rsid w:val="00F94323"/>
    <w:rsid w:val="00F94777"/>
    <w:rsid w:val="00F9495F"/>
    <w:rsid w:val="00F94E95"/>
    <w:rsid w:val="00F957D3"/>
    <w:rsid w:val="00F9597B"/>
    <w:rsid w:val="00F95E26"/>
    <w:rsid w:val="00F96772"/>
    <w:rsid w:val="00F96914"/>
    <w:rsid w:val="00F97E7A"/>
    <w:rsid w:val="00FA07F5"/>
    <w:rsid w:val="00FA1076"/>
    <w:rsid w:val="00FA114E"/>
    <w:rsid w:val="00FA1519"/>
    <w:rsid w:val="00FA16C4"/>
    <w:rsid w:val="00FA17B3"/>
    <w:rsid w:val="00FA23BF"/>
    <w:rsid w:val="00FA289F"/>
    <w:rsid w:val="00FA2E6E"/>
    <w:rsid w:val="00FA350F"/>
    <w:rsid w:val="00FA3AB8"/>
    <w:rsid w:val="00FA4A42"/>
    <w:rsid w:val="00FA535E"/>
    <w:rsid w:val="00FA65DA"/>
    <w:rsid w:val="00FA680F"/>
    <w:rsid w:val="00FA6A18"/>
    <w:rsid w:val="00FA7D8E"/>
    <w:rsid w:val="00FA7F7D"/>
    <w:rsid w:val="00FB049C"/>
    <w:rsid w:val="00FB0C09"/>
    <w:rsid w:val="00FB151B"/>
    <w:rsid w:val="00FB1ED8"/>
    <w:rsid w:val="00FB2076"/>
    <w:rsid w:val="00FB20DF"/>
    <w:rsid w:val="00FB22A8"/>
    <w:rsid w:val="00FB25E3"/>
    <w:rsid w:val="00FB3D11"/>
    <w:rsid w:val="00FB50DD"/>
    <w:rsid w:val="00FB52B8"/>
    <w:rsid w:val="00FB58CA"/>
    <w:rsid w:val="00FB6027"/>
    <w:rsid w:val="00FB6034"/>
    <w:rsid w:val="00FB6998"/>
    <w:rsid w:val="00FB70AD"/>
    <w:rsid w:val="00FB7208"/>
    <w:rsid w:val="00FB7B62"/>
    <w:rsid w:val="00FC0900"/>
    <w:rsid w:val="00FC281A"/>
    <w:rsid w:val="00FC3209"/>
    <w:rsid w:val="00FC374D"/>
    <w:rsid w:val="00FC3D11"/>
    <w:rsid w:val="00FC4279"/>
    <w:rsid w:val="00FC4A53"/>
    <w:rsid w:val="00FC51CD"/>
    <w:rsid w:val="00FC5412"/>
    <w:rsid w:val="00FC5965"/>
    <w:rsid w:val="00FC7035"/>
    <w:rsid w:val="00FC7055"/>
    <w:rsid w:val="00FC764E"/>
    <w:rsid w:val="00FC7AA6"/>
    <w:rsid w:val="00FC7BF7"/>
    <w:rsid w:val="00FC7F1B"/>
    <w:rsid w:val="00FD0899"/>
    <w:rsid w:val="00FD0F06"/>
    <w:rsid w:val="00FD1A21"/>
    <w:rsid w:val="00FD1ED5"/>
    <w:rsid w:val="00FD21C4"/>
    <w:rsid w:val="00FD2810"/>
    <w:rsid w:val="00FD29E8"/>
    <w:rsid w:val="00FD3048"/>
    <w:rsid w:val="00FD30C5"/>
    <w:rsid w:val="00FD35D0"/>
    <w:rsid w:val="00FD3A54"/>
    <w:rsid w:val="00FD3C63"/>
    <w:rsid w:val="00FD48CA"/>
    <w:rsid w:val="00FD5464"/>
    <w:rsid w:val="00FD5BAB"/>
    <w:rsid w:val="00FD68B1"/>
    <w:rsid w:val="00FD746E"/>
    <w:rsid w:val="00FE0263"/>
    <w:rsid w:val="00FE1170"/>
    <w:rsid w:val="00FE1559"/>
    <w:rsid w:val="00FE17D3"/>
    <w:rsid w:val="00FE183E"/>
    <w:rsid w:val="00FE1C69"/>
    <w:rsid w:val="00FE1DC2"/>
    <w:rsid w:val="00FE25B0"/>
    <w:rsid w:val="00FE2AF5"/>
    <w:rsid w:val="00FE3B9D"/>
    <w:rsid w:val="00FE4DED"/>
    <w:rsid w:val="00FE568C"/>
    <w:rsid w:val="00FE6093"/>
    <w:rsid w:val="00FE6435"/>
    <w:rsid w:val="00FE6530"/>
    <w:rsid w:val="00FE68C1"/>
    <w:rsid w:val="00FE6B88"/>
    <w:rsid w:val="00FE77AA"/>
    <w:rsid w:val="00FF0297"/>
    <w:rsid w:val="00FF034C"/>
    <w:rsid w:val="00FF0E84"/>
    <w:rsid w:val="00FF1C79"/>
    <w:rsid w:val="00FF22B8"/>
    <w:rsid w:val="00FF3A14"/>
    <w:rsid w:val="00FF4F74"/>
    <w:rsid w:val="00FF6525"/>
    <w:rsid w:val="00FF73CE"/>
    <w:rsid w:val="00FF7486"/>
    <w:rsid w:val="00FF7B0D"/>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DD24658"/>
  <w15:docId w15:val="{B7CC09EC-9B2D-40AF-9A24-9F784A431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Verdana" w:eastAsia="Calibri" w:hAnsi="Verdan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72"/>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10E7"/>
    <w:pPr>
      <w:widowControl w:val="0"/>
      <w:adjustRightInd w:val="0"/>
      <w:spacing w:line="360" w:lineRule="atLeast"/>
      <w:jc w:val="both"/>
      <w:textAlignment w:val="baseline"/>
    </w:pPr>
    <w:rPr>
      <w:rFonts w:eastAsia="Times New Roman"/>
      <w:sz w:val="24"/>
      <w:szCs w:val="24"/>
      <w:lang w:val="es-CR" w:eastAsia="es-CR"/>
    </w:rPr>
  </w:style>
  <w:style w:type="paragraph" w:styleId="Heading1">
    <w:name w:val="heading 1"/>
    <w:aliases w:val="Título Verdana"/>
    <w:basedOn w:val="Normal"/>
    <w:next w:val="Normal"/>
    <w:link w:val="Heading1Char"/>
    <w:qFormat/>
    <w:rsid w:val="00B77BF4"/>
    <w:pPr>
      <w:keepNext/>
      <w:keepLines/>
      <w:tabs>
        <w:tab w:val="left" w:pos="720"/>
      </w:tabs>
      <w:spacing w:line="240" w:lineRule="auto"/>
      <w:jc w:val="center"/>
      <w:outlineLvl w:val="0"/>
    </w:pPr>
    <w:rPr>
      <w:rFonts w:eastAsia="MS ????"/>
      <w:b/>
      <w:bCs/>
      <w:caps/>
      <w:snapToGrid w:val="0"/>
      <w:spacing w:val="-2"/>
      <w:sz w:val="20"/>
      <w:szCs w:val="20"/>
      <w:lang w:val="x-none" w:eastAsia="es-ES"/>
    </w:rPr>
  </w:style>
  <w:style w:type="paragraph" w:styleId="Heading2">
    <w:name w:val="heading 2"/>
    <w:basedOn w:val="ColorfulShading-Accent31"/>
    <w:next w:val="Normal"/>
    <w:link w:val="Heading2Char"/>
    <w:qFormat/>
    <w:rsid w:val="00B77BF4"/>
    <w:pPr>
      <w:tabs>
        <w:tab w:val="left" w:pos="720"/>
      </w:tabs>
      <w:spacing w:line="240" w:lineRule="auto"/>
      <w:ind w:left="0"/>
      <w:outlineLvl w:val="1"/>
    </w:pPr>
    <w:rPr>
      <w:b/>
      <w:i/>
      <w:spacing w:val="-2"/>
      <w:lang w:eastAsia="es-MX"/>
    </w:rPr>
  </w:style>
  <w:style w:type="paragraph" w:styleId="Heading3">
    <w:name w:val="heading 3"/>
    <w:basedOn w:val="Normal"/>
    <w:next w:val="Normal"/>
    <w:link w:val="Heading3Char"/>
    <w:qFormat/>
    <w:rsid w:val="00E23853"/>
    <w:pPr>
      <w:widowControl/>
      <w:tabs>
        <w:tab w:val="left" w:pos="567"/>
      </w:tabs>
      <w:autoSpaceDE w:val="0"/>
      <w:autoSpaceDN w:val="0"/>
      <w:adjustRightInd/>
      <w:spacing w:line="240" w:lineRule="auto"/>
      <w:ind w:left="1416"/>
      <w:contextualSpacing/>
      <w:textAlignment w:val="auto"/>
      <w:outlineLvl w:val="2"/>
    </w:pPr>
    <w:rPr>
      <w:rFonts w:eastAsia="Calibri"/>
      <w:b/>
      <w:spacing w:val="-2"/>
      <w:sz w:val="20"/>
      <w:szCs w:val="20"/>
      <w:lang w:val="es-ES" w:eastAsia="x-none"/>
    </w:rPr>
  </w:style>
  <w:style w:type="paragraph" w:styleId="Heading4">
    <w:name w:val="heading 4"/>
    <w:basedOn w:val="Normal"/>
    <w:next w:val="Normal"/>
    <w:link w:val="Heading4Char"/>
    <w:qFormat/>
    <w:rsid w:val="006C6B60"/>
    <w:pPr>
      <w:spacing w:line="240" w:lineRule="auto"/>
      <w:ind w:left="708" w:firstLine="708"/>
      <w:outlineLvl w:val="3"/>
    </w:pPr>
    <w:rPr>
      <w:i/>
      <w:spacing w:val="-2"/>
      <w:sz w:val="20"/>
      <w:szCs w:val="20"/>
      <w:lang w:val="es-VE"/>
    </w:rPr>
  </w:style>
  <w:style w:type="paragraph" w:styleId="Heading5">
    <w:name w:val="heading 5"/>
    <w:basedOn w:val="ColorfulShading-Accent31"/>
    <w:next w:val="Normal"/>
    <w:link w:val="Heading5Char"/>
    <w:qFormat/>
    <w:rsid w:val="009662BC"/>
    <w:pPr>
      <w:widowControl/>
      <w:adjustRightInd/>
      <w:spacing w:line="240" w:lineRule="auto"/>
      <w:ind w:left="2160"/>
      <w:contextualSpacing w:val="0"/>
      <w:textAlignment w:val="auto"/>
      <w:outlineLvl w:val="4"/>
    </w:pPr>
    <w:rPr>
      <w:spacing w:val="-2"/>
      <w:u w:val="single"/>
      <w:lang w:val="es-ES_tradnl"/>
    </w:rPr>
  </w:style>
  <w:style w:type="paragraph" w:styleId="Heading6">
    <w:name w:val="heading 6"/>
    <w:basedOn w:val="Heading5"/>
    <w:next w:val="Normal"/>
    <w:link w:val="Heading6Char"/>
    <w:qFormat/>
    <w:rsid w:val="009662BC"/>
    <w:pPr>
      <w:numPr>
        <w:ilvl w:val="4"/>
        <w:numId w:val="1"/>
      </w:numPr>
      <w:outlineLvl w:val="5"/>
    </w:pPr>
    <w:rPr>
      <w:u w:val="none"/>
      <w:lang w:eastAsia="x-none"/>
    </w:rPr>
  </w:style>
  <w:style w:type="paragraph" w:styleId="Heading7">
    <w:name w:val="heading 7"/>
    <w:basedOn w:val="Normal"/>
    <w:next w:val="Normal"/>
    <w:link w:val="Heading7Char"/>
    <w:uiPriority w:val="9"/>
    <w:qFormat/>
    <w:rsid w:val="00332FAD"/>
    <w:pPr>
      <w:widowControl/>
      <w:adjustRightInd/>
      <w:spacing w:line="276" w:lineRule="auto"/>
      <w:jc w:val="left"/>
      <w:textAlignment w:val="auto"/>
      <w:outlineLvl w:val="6"/>
    </w:pPr>
    <w:rPr>
      <w:rFonts w:ascii="Cambria" w:eastAsia="MS Gothic" w:hAnsi="Cambria"/>
      <w:i/>
      <w:iCs/>
      <w:sz w:val="22"/>
      <w:szCs w:val="22"/>
      <w:lang w:val="en-US" w:eastAsia="x-none" w:bidi="en-US"/>
    </w:rPr>
  </w:style>
  <w:style w:type="paragraph" w:styleId="Heading8">
    <w:name w:val="heading 8"/>
    <w:basedOn w:val="Normal"/>
    <w:next w:val="Normal"/>
    <w:link w:val="Heading8Char"/>
    <w:uiPriority w:val="9"/>
    <w:qFormat/>
    <w:rsid w:val="00332FAD"/>
    <w:pPr>
      <w:widowControl/>
      <w:adjustRightInd/>
      <w:spacing w:line="276" w:lineRule="auto"/>
      <w:jc w:val="left"/>
      <w:textAlignment w:val="auto"/>
      <w:outlineLvl w:val="7"/>
    </w:pPr>
    <w:rPr>
      <w:rFonts w:ascii="Cambria" w:eastAsia="MS Gothic" w:hAnsi="Cambria"/>
      <w:sz w:val="20"/>
      <w:szCs w:val="20"/>
      <w:lang w:val="en-US" w:eastAsia="x-none" w:bidi="en-US"/>
    </w:rPr>
  </w:style>
  <w:style w:type="paragraph" w:styleId="Heading9">
    <w:name w:val="heading 9"/>
    <w:basedOn w:val="Normal"/>
    <w:next w:val="Normal"/>
    <w:link w:val="Heading9Char"/>
    <w:uiPriority w:val="9"/>
    <w:qFormat/>
    <w:rsid w:val="00332FAD"/>
    <w:pPr>
      <w:widowControl/>
      <w:adjustRightInd/>
      <w:spacing w:line="276" w:lineRule="auto"/>
      <w:jc w:val="left"/>
      <w:textAlignment w:val="auto"/>
      <w:outlineLvl w:val="8"/>
    </w:pPr>
    <w:rPr>
      <w:rFonts w:ascii="Cambria" w:eastAsia="MS Gothic" w:hAnsi="Cambria"/>
      <w:i/>
      <w:iCs/>
      <w:spacing w:val="5"/>
      <w:sz w:val="20"/>
      <w:szCs w:val="20"/>
      <w:lang w:val="en-US" w:eastAsia="x-none" w:bidi="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lorfulShading-Accent31">
    <w:name w:val="Colorful Shading - Accent 31"/>
    <w:basedOn w:val="Normal"/>
    <w:link w:val="ColorfulShading-Accent3Char"/>
    <w:uiPriority w:val="99"/>
    <w:qFormat/>
    <w:rsid w:val="00B5020A"/>
    <w:pPr>
      <w:ind w:left="720"/>
      <w:contextualSpacing/>
    </w:pPr>
    <w:rPr>
      <w:sz w:val="20"/>
      <w:szCs w:val="20"/>
      <w:lang w:val="x-none"/>
    </w:rPr>
  </w:style>
  <w:style w:type="paragraph" w:styleId="NormalWeb">
    <w:name w:val="Normal (Web)"/>
    <w:basedOn w:val="Normal"/>
    <w:uiPriority w:val="99"/>
    <w:unhideWhenUsed/>
    <w:rsid w:val="00B5020A"/>
  </w:style>
  <w:style w:type="paragraph" w:styleId="BodyTextIndent">
    <w:name w:val="Body Text Indent"/>
    <w:basedOn w:val="Normal"/>
    <w:link w:val="BodyTextIndentChar"/>
    <w:unhideWhenUsed/>
    <w:rsid w:val="00B5020A"/>
    <w:pPr>
      <w:spacing w:after="120"/>
      <w:ind w:left="283"/>
    </w:pPr>
  </w:style>
  <w:style w:type="character" w:customStyle="1" w:styleId="BodyTextIndentChar">
    <w:name w:val="Body Text Indent Char"/>
    <w:basedOn w:val="DefaultParagraphFont"/>
    <w:link w:val="BodyTextIndent"/>
    <w:rsid w:val="00B5020A"/>
  </w:style>
  <w:style w:type="character" w:styleId="FootnoteReference">
    <w:name w:val="footnote reference"/>
    <w:aliases w:val="Appel note de bas de page,Footnotes refss,Footnote number,referencia nota al pie,BVI fnr,f,4_G,16 Point,Superscript 6 Point,Texto nota al pie,Footnote Reference Char3,Footnote Reference Char1 Char,Ref. de nota al,Ref. de nota al pi"/>
    <w:link w:val="4GChar"/>
    <w:qFormat/>
    <w:rsid w:val="00B5020A"/>
    <w:rPr>
      <w:vertAlign w:val="superscript"/>
    </w:rPr>
  </w:style>
  <w:style w:type="character" w:customStyle="1" w:styleId="apple-converted-space">
    <w:name w:val="apple-converted-space"/>
    <w:basedOn w:val="DefaultParagraphFont"/>
    <w:rsid w:val="00B5020A"/>
  </w:style>
  <w:style w:type="paragraph" w:styleId="FootnoteText">
    <w:name w:val="footnote text"/>
    <w:aliases w:val="Footnote Text Char Char Char Char Char,Footnote Text Char Char Char Char,Footnote reference,FA Fu,Footnote Text Char Char Char,Footnote Text Cha,FA Fußnotentext,FA Fuﬂnotentext,Footnote Text Char Char,FA Fu?notente,Ca,FA Fu?notentext,C,ft"/>
    <w:basedOn w:val="Normal"/>
    <w:link w:val="FootnoteTextChar"/>
    <w:uiPriority w:val="99"/>
    <w:qFormat/>
    <w:rsid w:val="00B5020A"/>
    <w:pPr>
      <w:spacing w:line="240" w:lineRule="auto"/>
    </w:pPr>
    <w:rPr>
      <w:sz w:val="20"/>
      <w:szCs w:val="20"/>
      <w:lang w:val="es-ES_tradnl" w:eastAsia="x-none"/>
    </w:rPr>
  </w:style>
  <w:style w:type="character" w:customStyle="1" w:styleId="FootnoteTextChar">
    <w:name w:val="Footnote Text Char"/>
    <w:aliases w:val="Footnote Text Char Char Char Char Char Char,Footnote Text Char Char Char Char Char1,Footnote reference Char,FA Fu Char,Footnote Text Char Char Char Char1,Footnote Text Cha Char,FA Fußnotentext Char,FA Fuﬂnotentext Char,Ca Char,C Char"/>
    <w:link w:val="FootnoteText"/>
    <w:uiPriority w:val="99"/>
    <w:rsid w:val="00B5020A"/>
    <w:rPr>
      <w:rFonts w:eastAsia="Times New Roman" w:cs="Verdana"/>
      <w:spacing w:val="0"/>
      <w:lang w:val="es-ES_tradnl"/>
    </w:rPr>
  </w:style>
  <w:style w:type="paragraph" w:customStyle="1" w:styleId="Body1">
    <w:name w:val="Body 1"/>
    <w:link w:val="Body1Char"/>
    <w:rsid w:val="00B5020A"/>
    <w:pPr>
      <w:widowControl w:val="0"/>
      <w:adjustRightInd w:val="0"/>
      <w:jc w:val="both"/>
      <w:textAlignment w:val="baseline"/>
      <w:outlineLvl w:val="0"/>
    </w:pPr>
    <w:rPr>
      <w:rFonts w:ascii="Helvetica" w:eastAsia="ヒラギノ角ゴ Pro W3" w:hAnsi="Helvetica"/>
      <w:color w:val="000000"/>
      <w:sz w:val="22"/>
      <w:szCs w:val="22"/>
      <w:lang w:eastAsia="es-CR"/>
    </w:rPr>
  </w:style>
  <w:style w:type="character" w:customStyle="1" w:styleId="Body1Char">
    <w:name w:val="Body 1 Char"/>
    <w:link w:val="Body1"/>
    <w:locked/>
    <w:rsid w:val="00B5020A"/>
    <w:rPr>
      <w:rFonts w:ascii="Helvetica" w:eastAsia="ヒラギノ角ゴ Pro W3" w:hAnsi="Helvetica"/>
      <w:color w:val="000000"/>
      <w:sz w:val="22"/>
      <w:szCs w:val="22"/>
      <w:lang w:val="en-US" w:eastAsia="es-CR" w:bidi="ar-SA"/>
    </w:rPr>
  </w:style>
  <w:style w:type="character" w:styleId="Hyperlink">
    <w:name w:val="Hyperlink"/>
    <w:uiPriority w:val="99"/>
    <w:rsid w:val="00B5020A"/>
    <w:rPr>
      <w:color w:val="0000FF"/>
      <w:u w:val="single"/>
    </w:rPr>
  </w:style>
  <w:style w:type="paragraph" w:customStyle="1" w:styleId="Default">
    <w:name w:val="Default"/>
    <w:rsid w:val="00BA1783"/>
    <w:pPr>
      <w:autoSpaceDE w:val="0"/>
      <w:autoSpaceDN w:val="0"/>
      <w:adjustRightInd w:val="0"/>
    </w:pPr>
    <w:rPr>
      <w:rFonts w:cs="Verdana"/>
      <w:color w:val="000000"/>
      <w:spacing w:val="-4"/>
      <w:sz w:val="24"/>
      <w:szCs w:val="24"/>
      <w:lang w:val="es-CR"/>
    </w:rPr>
  </w:style>
  <w:style w:type="character" w:styleId="FollowedHyperlink">
    <w:name w:val="FollowedHyperlink"/>
    <w:uiPriority w:val="99"/>
    <w:semiHidden/>
    <w:unhideWhenUsed/>
    <w:rsid w:val="007E06A9"/>
    <w:rPr>
      <w:color w:val="800080"/>
      <w:u w:val="single"/>
    </w:rPr>
  </w:style>
  <w:style w:type="character" w:customStyle="1" w:styleId="FootnoteTextChar3">
    <w:name w:val="Footnote Text Char3"/>
    <w:aliases w:val="Footnote Text Char Char Char Char Char Char3,Footnote Text Char Char Char Char Char4,Footnote reference Char3,FA Fu Char3,Footnote Text Char Char Char Char4,Footnote Text Cha Char3,FA Fußnotentext Char3,FA Fuﬂnotentext Char3,Ca Char3"/>
    <w:uiPriority w:val="99"/>
    <w:rsid w:val="00152FE9"/>
    <w:rPr>
      <w:rFonts w:ascii="Verdana" w:eastAsia="Times New Roman" w:hAnsi="Verdana" w:cs="Verdana"/>
      <w:sz w:val="16"/>
      <w:szCs w:val="16"/>
      <w:lang w:val="es-ES_tradnl"/>
    </w:rPr>
  </w:style>
  <w:style w:type="paragraph" w:customStyle="1" w:styleId="ListParagraph11">
    <w:name w:val="List Paragraph11"/>
    <w:basedOn w:val="Normal"/>
    <w:uiPriority w:val="99"/>
    <w:rsid w:val="00152FE9"/>
    <w:pPr>
      <w:widowControl/>
      <w:adjustRightInd/>
      <w:spacing w:after="200" w:line="276" w:lineRule="auto"/>
      <w:ind w:left="720"/>
      <w:jc w:val="left"/>
      <w:textAlignment w:val="auto"/>
    </w:pPr>
    <w:rPr>
      <w:rFonts w:ascii="Times New Roman" w:hAnsi="Times New Roman"/>
      <w:lang w:val="en-US" w:eastAsia="en-US"/>
    </w:rPr>
  </w:style>
  <w:style w:type="paragraph" w:customStyle="1" w:styleId="PrrafodeSentencia">
    <w:name w:val="*. Párrafo de Sentencia"/>
    <w:basedOn w:val="Body1"/>
    <w:link w:val="PrrafodeSentenciaChar"/>
    <w:autoRedefine/>
    <w:qFormat/>
    <w:rsid w:val="00364A22"/>
    <w:pPr>
      <w:widowControl/>
      <w:adjustRightInd/>
      <w:spacing w:after="200"/>
      <w:jc w:val="center"/>
      <w:textAlignment w:val="auto"/>
      <w:outlineLvl w:val="9"/>
    </w:pPr>
    <w:rPr>
      <w:rFonts w:ascii="Verdana" w:eastAsia="Batang" w:hAnsi="Verdana"/>
      <w:b/>
      <w:i/>
      <w:color w:val="auto"/>
      <w:sz w:val="20"/>
      <w:szCs w:val="20"/>
      <w:lang w:val="es-ES_tradnl" w:eastAsia="es-MX"/>
    </w:rPr>
  </w:style>
  <w:style w:type="paragraph" w:customStyle="1" w:styleId="Estilo1">
    <w:name w:val="Estilo1"/>
    <w:basedOn w:val="Normal"/>
    <w:link w:val="Estilo1Car"/>
    <w:qFormat/>
    <w:rsid w:val="0069536D"/>
    <w:pPr>
      <w:widowControl/>
      <w:tabs>
        <w:tab w:val="left" w:pos="567"/>
        <w:tab w:val="left" w:pos="1134"/>
        <w:tab w:val="num" w:pos="6042"/>
      </w:tabs>
      <w:adjustRightInd/>
      <w:spacing w:after="120" w:line="240" w:lineRule="auto"/>
      <w:textAlignment w:val="auto"/>
    </w:pPr>
    <w:rPr>
      <w:rFonts w:eastAsia="Calibri"/>
      <w:sz w:val="20"/>
      <w:szCs w:val="20"/>
      <w:lang w:val="es-ES" w:eastAsia="x-none"/>
    </w:rPr>
  </w:style>
  <w:style w:type="paragraph" w:customStyle="1" w:styleId="Estilo2">
    <w:name w:val="Estilo2"/>
    <w:basedOn w:val="Normal"/>
    <w:link w:val="Estilo2Car"/>
    <w:qFormat/>
    <w:rsid w:val="0069536D"/>
    <w:pPr>
      <w:widowControl/>
      <w:tabs>
        <w:tab w:val="left" w:pos="567"/>
        <w:tab w:val="left" w:pos="1134"/>
        <w:tab w:val="num" w:pos="4767"/>
      </w:tabs>
      <w:adjustRightInd/>
      <w:spacing w:after="120" w:line="240" w:lineRule="auto"/>
      <w:ind w:firstLine="357"/>
      <w:textAlignment w:val="auto"/>
    </w:pPr>
    <w:rPr>
      <w:rFonts w:eastAsia="Calibri"/>
      <w:lang w:val="x-none" w:eastAsia="x-none"/>
    </w:rPr>
  </w:style>
  <w:style w:type="character" w:customStyle="1" w:styleId="Estilo1Car">
    <w:name w:val="Estilo1 Car"/>
    <w:link w:val="Estilo1"/>
    <w:rsid w:val="0069536D"/>
    <w:rPr>
      <w:rFonts w:eastAsia="Calibri"/>
      <w:spacing w:val="0"/>
      <w:lang w:val="es-ES"/>
    </w:rPr>
  </w:style>
  <w:style w:type="table" w:styleId="MediumList2-Accent4">
    <w:name w:val="Medium List 2 Accent 4"/>
    <w:basedOn w:val="TableNormal"/>
    <w:uiPriority w:val="72"/>
    <w:rsid w:val="0069536D"/>
    <w:rPr>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character" w:customStyle="1" w:styleId="ColorfulShading-Accent3Char">
    <w:name w:val="Colorful Shading - Accent 3 Char"/>
    <w:link w:val="ColorfulShading-Accent31"/>
    <w:uiPriority w:val="99"/>
    <w:rsid w:val="00ED7665"/>
    <w:rPr>
      <w:rFonts w:eastAsia="Times New Roman"/>
      <w:spacing w:val="0"/>
      <w:lang w:eastAsia="es-CR"/>
    </w:rPr>
  </w:style>
  <w:style w:type="paragraph" w:customStyle="1" w:styleId="Estilo7">
    <w:name w:val="Estilo7"/>
    <w:basedOn w:val="Normal"/>
    <w:qFormat/>
    <w:rsid w:val="007A5386"/>
    <w:pPr>
      <w:widowControl/>
      <w:tabs>
        <w:tab w:val="left" w:pos="567"/>
        <w:tab w:val="left" w:pos="851"/>
        <w:tab w:val="num" w:pos="2160"/>
      </w:tabs>
      <w:adjustRightInd/>
      <w:spacing w:before="120" w:after="120" w:line="240" w:lineRule="auto"/>
      <w:ind w:left="2160" w:hanging="180"/>
      <w:textAlignment w:val="auto"/>
    </w:pPr>
    <w:rPr>
      <w:rFonts w:eastAsia="Batang"/>
      <w:b/>
      <w:i/>
      <w:sz w:val="20"/>
      <w:szCs w:val="20"/>
      <w:lang w:val="es-ES_tradnl" w:eastAsia="es-MX"/>
    </w:rPr>
  </w:style>
  <w:style w:type="paragraph" w:styleId="Header">
    <w:name w:val="header"/>
    <w:basedOn w:val="Normal"/>
    <w:link w:val="HeaderChar"/>
    <w:unhideWhenUsed/>
    <w:rsid w:val="008624F5"/>
    <w:pPr>
      <w:tabs>
        <w:tab w:val="center" w:pos="4320"/>
        <w:tab w:val="right" w:pos="8640"/>
      </w:tabs>
      <w:spacing w:line="240" w:lineRule="auto"/>
    </w:pPr>
    <w:rPr>
      <w:sz w:val="20"/>
      <w:szCs w:val="20"/>
      <w:lang w:val="x-none"/>
    </w:rPr>
  </w:style>
  <w:style w:type="character" w:customStyle="1" w:styleId="HeaderChar">
    <w:name w:val="Header Char"/>
    <w:link w:val="Header"/>
    <w:uiPriority w:val="99"/>
    <w:rsid w:val="008624F5"/>
    <w:rPr>
      <w:rFonts w:eastAsia="Times New Roman"/>
      <w:spacing w:val="0"/>
      <w:lang w:eastAsia="es-CR"/>
    </w:rPr>
  </w:style>
  <w:style w:type="character" w:styleId="PageNumber">
    <w:name w:val="page number"/>
    <w:basedOn w:val="DefaultParagraphFont"/>
    <w:uiPriority w:val="99"/>
    <w:semiHidden/>
    <w:unhideWhenUsed/>
    <w:rsid w:val="008624F5"/>
  </w:style>
  <w:style w:type="paragraph" w:styleId="Footer">
    <w:name w:val="footer"/>
    <w:basedOn w:val="Normal"/>
    <w:link w:val="FooterChar"/>
    <w:uiPriority w:val="99"/>
    <w:unhideWhenUsed/>
    <w:rsid w:val="008624F5"/>
    <w:pPr>
      <w:tabs>
        <w:tab w:val="center" w:pos="4320"/>
        <w:tab w:val="right" w:pos="8640"/>
      </w:tabs>
      <w:spacing w:line="240" w:lineRule="auto"/>
    </w:pPr>
    <w:rPr>
      <w:sz w:val="20"/>
      <w:szCs w:val="20"/>
      <w:lang w:val="x-none"/>
    </w:rPr>
  </w:style>
  <w:style w:type="character" w:customStyle="1" w:styleId="FooterChar">
    <w:name w:val="Footer Char"/>
    <w:link w:val="Footer"/>
    <w:uiPriority w:val="99"/>
    <w:rsid w:val="008624F5"/>
    <w:rPr>
      <w:rFonts w:eastAsia="Times New Roman"/>
      <w:spacing w:val="0"/>
      <w:lang w:eastAsia="es-CR"/>
    </w:rPr>
  </w:style>
  <w:style w:type="numbering" w:customStyle="1" w:styleId="NoList1">
    <w:name w:val="No List1"/>
    <w:next w:val="NoList"/>
    <w:uiPriority w:val="99"/>
    <w:semiHidden/>
    <w:unhideWhenUsed/>
    <w:rsid w:val="00673492"/>
  </w:style>
  <w:style w:type="character" w:styleId="CommentReference">
    <w:name w:val="annotation reference"/>
    <w:uiPriority w:val="99"/>
    <w:semiHidden/>
    <w:unhideWhenUsed/>
    <w:rsid w:val="00673492"/>
    <w:rPr>
      <w:sz w:val="16"/>
      <w:szCs w:val="16"/>
    </w:rPr>
  </w:style>
  <w:style w:type="paragraph" w:styleId="CommentText">
    <w:name w:val="annotation text"/>
    <w:basedOn w:val="Normal"/>
    <w:link w:val="CommentTextChar"/>
    <w:uiPriority w:val="99"/>
    <w:unhideWhenUsed/>
    <w:rsid w:val="00673492"/>
    <w:pPr>
      <w:widowControl/>
      <w:adjustRightInd/>
      <w:spacing w:after="200" w:line="240" w:lineRule="auto"/>
      <w:jc w:val="left"/>
      <w:textAlignment w:val="auto"/>
    </w:pPr>
    <w:rPr>
      <w:rFonts w:ascii="Calibri" w:eastAsia="Calibri" w:hAnsi="Calibri"/>
      <w:sz w:val="20"/>
      <w:szCs w:val="20"/>
      <w:lang w:val="x-none" w:eastAsia="x-none"/>
    </w:rPr>
  </w:style>
  <w:style w:type="character" w:customStyle="1" w:styleId="CommentTextChar">
    <w:name w:val="Comment Text Char"/>
    <w:link w:val="CommentText"/>
    <w:uiPriority w:val="99"/>
    <w:rsid w:val="00673492"/>
    <w:rPr>
      <w:rFonts w:ascii="Calibri" w:hAnsi="Calibri" w:cs="Times New Roman"/>
      <w:spacing w:val="0"/>
      <w:sz w:val="20"/>
      <w:szCs w:val="20"/>
    </w:rPr>
  </w:style>
  <w:style w:type="paragraph" w:styleId="CommentSubject">
    <w:name w:val="annotation subject"/>
    <w:basedOn w:val="CommentText"/>
    <w:next w:val="CommentText"/>
    <w:link w:val="CommentSubjectChar"/>
    <w:uiPriority w:val="99"/>
    <w:semiHidden/>
    <w:unhideWhenUsed/>
    <w:rsid w:val="00673492"/>
    <w:rPr>
      <w:b/>
      <w:bCs/>
    </w:rPr>
  </w:style>
  <w:style w:type="character" w:customStyle="1" w:styleId="CommentSubjectChar">
    <w:name w:val="Comment Subject Char"/>
    <w:link w:val="CommentSubject"/>
    <w:uiPriority w:val="99"/>
    <w:semiHidden/>
    <w:rsid w:val="00673492"/>
    <w:rPr>
      <w:rFonts w:ascii="Calibri" w:hAnsi="Calibri" w:cs="Times New Roman"/>
      <w:b/>
      <w:bCs/>
      <w:spacing w:val="0"/>
      <w:sz w:val="20"/>
      <w:szCs w:val="20"/>
    </w:rPr>
  </w:style>
  <w:style w:type="paragraph" w:styleId="BalloonText">
    <w:name w:val="Balloon Text"/>
    <w:basedOn w:val="Normal"/>
    <w:link w:val="BalloonTextChar"/>
    <w:uiPriority w:val="99"/>
    <w:semiHidden/>
    <w:unhideWhenUsed/>
    <w:rsid w:val="00673492"/>
    <w:pPr>
      <w:widowControl/>
      <w:adjustRightInd/>
      <w:spacing w:line="240" w:lineRule="auto"/>
      <w:jc w:val="left"/>
      <w:textAlignment w:val="auto"/>
    </w:pPr>
    <w:rPr>
      <w:rFonts w:ascii="Tahoma" w:eastAsia="Calibri" w:hAnsi="Tahoma"/>
      <w:sz w:val="16"/>
      <w:szCs w:val="16"/>
      <w:lang w:val="x-none" w:eastAsia="x-none"/>
    </w:rPr>
  </w:style>
  <w:style w:type="character" w:customStyle="1" w:styleId="BalloonTextChar">
    <w:name w:val="Balloon Text Char"/>
    <w:link w:val="BalloonText"/>
    <w:uiPriority w:val="99"/>
    <w:semiHidden/>
    <w:rsid w:val="00673492"/>
    <w:rPr>
      <w:rFonts w:ascii="Tahoma" w:hAnsi="Tahoma" w:cs="Tahoma"/>
      <w:spacing w:val="0"/>
      <w:sz w:val="16"/>
      <w:szCs w:val="16"/>
    </w:rPr>
  </w:style>
  <w:style w:type="paragraph" w:styleId="Title">
    <w:name w:val="Title"/>
    <w:basedOn w:val="Default"/>
    <w:next w:val="Default"/>
    <w:link w:val="TitleChar"/>
    <w:qFormat/>
    <w:rsid w:val="00673492"/>
    <w:rPr>
      <w:rFonts w:ascii="Times New Roman" w:hAnsi="Times New Roman" w:cs="Times New Roman"/>
      <w:color w:val="auto"/>
      <w:spacing w:val="0"/>
      <w:sz w:val="20"/>
      <w:szCs w:val="20"/>
      <w:lang w:val="en-US" w:eastAsia="x-none"/>
    </w:rPr>
  </w:style>
  <w:style w:type="character" w:customStyle="1" w:styleId="TitleChar">
    <w:name w:val="Title Char"/>
    <w:link w:val="Title"/>
    <w:rsid w:val="00673492"/>
    <w:rPr>
      <w:rFonts w:ascii="Times New Roman" w:hAnsi="Times New Roman"/>
      <w:spacing w:val="0"/>
      <w:lang w:val="en-US"/>
    </w:rPr>
  </w:style>
  <w:style w:type="paragraph" w:customStyle="1" w:styleId="PrrafoCVRNormal">
    <w:name w:val="Párrafo CVR Normal"/>
    <w:basedOn w:val="Default"/>
    <w:next w:val="Default"/>
    <w:uiPriority w:val="99"/>
    <w:rsid w:val="00673492"/>
    <w:rPr>
      <w:rFonts w:ascii="Times New Roman" w:hAnsi="Times New Roman" w:cs="Times New Roman"/>
      <w:color w:val="auto"/>
      <w:spacing w:val="0"/>
    </w:rPr>
  </w:style>
  <w:style w:type="character" w:customStyle="1" w:styleId="Heading2Char">
    <w:name w:val="Heading 2 Char"/>
    <w:link w:val="Heading2"/>
    <w:rsid w:val="00B77BF4"/>
    <w:rPr>
      <w:rFonts w:eastAsia="Times New Roman"/>
      <w:b/>
      <w:i/>
      <w:spacing w:val="-2"/>
      <w:lang w:val="x-none" w:eastAsia="es-MX"/>
    </w:rPr>
  </w:style>
  <w:style w:type="character" w:customStyle="1" w:styleId="Heading3Char">
    <w:name w:val="Heading 3 Char"/>
    <w:link w:val="Heading3"/>
    <w:rsid w:val="00E23853"/>
    <w:rPr>
      <w:rFonts w:cs="Verdana"/>
      <w:b/>
      <w:spacing w:val="-2"/>
      <w:sz w:val="20"/>
      <w:szCs w:val="20"/>
      <w:lang w:val="es-ES"/>
    </w:rPr>
  </w:style>
  <w:style w:type="paragraph" w:customStyle="1" w:styleId="s30eec3f8">
    <w:name w:val="s30eec3f8"/>
    <w:basedOn w:val="Normal"/>
    <w:rsid w:val="00164FEB"/>
    <w:pPr>
      <w:widowControl/>
      <w:adjustRightInd/>
      <w:spacing w:before="100" w:beforeAutospacing="1" w:after="100" w:afterAutospacing="1" w:line="240" w:lineRule="auto"/>
      <w:jc w:val="left"/>
      <w:textAlignment w:val="auto"/>
    </w:pPr>
    <w:rPr>
      <w:rFonts w:ascii="Times New Roman" w:hAnsi="Times New Roman"/>
    </w:rPr>
  </w:style>
  <w:style w:type="character" w:customStyle="1" w:styleId="sb8d990e2">
    <w:name w:val="sb8d990e2"/>
    <w:basedOn w:val="DefaultParagraphFont"/>
    <w:rsid w:val="00164FEB"/>
  </w:style>
  <w:style w:type="character" w:customStyle="1" w:styleId="s6b621b36">
    <w:name w:val="s6b621b36"/>
    <w:basedOn w:val="DefaultParagraphFont"/>
    <w:rsid w:val="00164FEB"/>
  </w:style>
  <w:style w:type="character" w:customStyle="1" w:styleId="sea881cdf">
    <w:name w:val="sea881cdf"/>
    <w:basedOn w:val="DefaultParagraphFont"/>
    <w:rsid w:val="00164FEB"/>
  </w:style>
  <w:style w:type="paragraph" w:customStyle="1" w:styleId="se5d6d4c3">
    <w:name w:val="se5d6d4c3"/>
    <w:basedOn w:val="Normal"/>
    <w:rsid w:val="00164FEB"/>
    <w:pPr>
      <w:widowControl/>
      <w:adjustRightInd/>
      <w:spacing w:before="100" w:beforeAutospacing="1" w:after="100" w:afterAutospacing="1" w:line="240" w:lineRule="auto"/>
      <w:jc w:val="left"/>
      <w:textAlignment w:val="auto"/>
    </w:pPr>
    <w:rPr>
      <w:rFonts w:ascii="Times New Roman" w:hAnsi="Times New Roman"/>
    </w:rPr>
  </w:style>
  <w:style w:type="character" w:customStyle="1" w:styleId="sdfc50a6a">
    <w:name w:val="sdfc50a6a"/>
    <w:basedOn w:val="DefaultParagraphFont"/>
    <w:rsid w:val="00164FEB"/>
  </w:style>
  <w:style w:type="character" w:customStyle="1" w:styleId="column01">
    <w:name w:val="column01"/>
    <w:basedOn w:val="DefaultParagraphFont"/>
    <w:rsid w:val="00164FEB"/>
  </w:style>
  <w:style w:type="character" w:customStyle="1" w:styleId="column02">
    <w:name w:val="column02"/>
    <w:basedOn w:val="DefaultParagraphFont"/>
    <w:rsid w:val="00164FEB"/>
  </w:style>
  <w:style w:type="character" w:customStyle="1" w:styleId="column03">
    <w:name w:val="column03"/>
    <w:basedOn w:val="DefaultParagraphFont"/>
    <w:rsid w:val="00164FEB"/>
  </w:style>
  <w:style w:type="character" w:customStyle="1" w:styleId="column04">
    <w:name w:val="column04"/>
    <w:basedOn w:val="DefaultParagraphFont"/>
    <w:rsid w:val="00164FEB"/>
  </w:style>
  <w:style w:type="character" w:customStyle="1" w:styleId="branchname">
    <w:name w:val="branchname"/>
    <w:basedOn w:val="DefaultParagraphFont"/>
    <w:rsid w:val="00164FEB"/>
  </w:style>
  <w:style w:type="character" w:customStyle="1" w:styleId="branchcount">
    <w:name w:val="branchcount"/>
    <w:basedOn w:val="DefaultParagraphFont"/>
    <w:rsid w:val="00164FEB"/>
  </w:style>
  <w:style w:type="character" w:customStyle="1" w:styleId="helpiconplaceholder">
    <w:name w:val="helpiconplaceholder"/>
    <w:basedOn w:val="DefaultParagraphFont"/>
    <w:rsid w:val="00164FEB"/>
  </w:style>
  <w:style w:type="character" w:customStyle="1" w:styleId="expanderandcheckbox">
    <w:name w:val="expanderandcheckbox"/>
    <w:basedOn w:val="DefaultParagraphFont"/>
    <w:rsid w:val="00164FEB"/>
  </w:style>
  <w:style w:type="character" w:customStyle="1" w:styleId="heading-text">
    <w:name w:val="heading-text"/>
    <w:basedOn w:val="DefaultParagraphFont"/>
    <w:rsid w:val="00164FEB"/>
  </w:style>
  <w:style w:type="character" w:customStyle="1" w:styleId="resultnumber">
    <w:name w:val="resultnumber"/>
    <w:basedOn w:val="DefaultParagraphFont"/>
    <w:rsid w:val="00164FEB"/>
  </w:style>
  <w:style w:type="character" w:customStyle="1" w:styleId="resultsfoundtext">
    <w:name w:val="resultsfoundtext"/>
    <w:basedOn w:val="DefaultParagraphFont"/>
    <w:rsid w:val="00164FEB"/>
  </w:style>
  <w:style w:type="character" w:customStyle="1" w:styleId="icontext">
    <w:name w:val="icontext"/>
    <w:basedOn w:val="DefaultParagraphFont"/>
    <w:rsid w:val="00164FEB"/>
  </w:style>
  <w:style w:type="character" w:customStyle="1" w:styleId="summarytext">
    <w:name w:val="summarytext"/>
    <w:basedOn w:val="DefaultParagraphFont"/>
    <w:rsid w:val="00164FEB"/>
  </w:style>
  <w:style w:type="character" w:customStyle="1" w:styleId="textcolumn">
    <w:name w:val="textcolumn"/>
    <w:basedOn w:val="DefaultParagraphFont"/>
    <w:rsid w:val="00164FEB"/>
  </w:style>
  <w:style w:type="character" w:customStyle="1" w:styleId="more">
    <w:name w:val="more"/>
    <w:basedOn w:val="DefaultParagraphFont"/>
    <w:rsid w:val="00164FEB"/>
  </w:style>
  <w:style w:type="character" w:customStyle="1" w:styleId="typedescriptioncolumn">
    <w:name w:val="typedescriptioncolumn"/>
    <w:basedOn w:val="DefaultParagraphFont"/>
    <w:rsid w:val="00164FEB"/>
  </w:style>
  <w:style w:type="character" w:customStyle="1" w:styleId="originatingbody">
    <w:name w:val="originatingbody"/>
    <w:basedOn w:val="DefaultParagraphFont"/>
    <w:rsid w:val="00164FEB"/>
  </w:style>
  <w:style w:type="character" w:customStyle="1" w:styleId="datecolumn">
    <w:name w:val="datecolumn"/>
    <w:basedOn w:val="DefaultParagraphFont"/>
    <w:rsid w:val="00164FEB"/>
  </w:style>
  <w:style w:type="character" w:customStyle="1" w:styleId="notranslate">
    <w:name w:val="notranslate"/>
    <w:basedOn w:val="DefaultParagraphFont"/>
    <w:rsid w:val="00164FEB"/>
  </w:style>
  <w:style w:type="paragraph" w:customStyle="1" w:styleId="NotasProyectos">
    <w:name w:val="***. Notas Proyectos"/>
    <w:basedOn w:val="Normal"/>
    <w:link w:val="NotasProyectosChar"/>
    <w:autoRedefine/>
    <w:qFormat/>
    <w:rsid w:val="00164FEB"/>
    <w:pPr>
      <w:widowControl/>
      <w:adjustRightInd/>
      <w:spacing w:before="120" w:line="240" w:lineRule="auto"/>
      <w:ind w:left="720"/>
      <w:textAlignment w:val="auto"/>
    </w:pPr>
    <w:rPr>
      <w:sz w:val="20"/>
      <w:szCs w:val="20"/>
      <w:lang w:val="es-ES_tradnl" w:eastAsia="es-ES"/>
    </w:rPr>
  </w:style>
  <w:style w:type="character" w:customStyle="1" w:styleId="NotasProyectosChar">
    <w:name w:val="***. Notas Proyectos Char"/>
    <w:link w:val="NotasProyectos"/>
    <w:rsid w:val="00164FEB"/>
    <w:rPr>
      <w:rFonts w:eastAsia="Times New Roman"/>
      <w:spacing w:val="0"/>
      <w:sz w:val="20"/>
      <w:szCs w:val="20"/>
      <w:lang w:val="es-ES_tradnl" w:eastAsia="es-ES"/>
    </w:rPr>
  </w:style>
  <w:style w:type="paragraph" w:customStyle="1" w:styleId="DarkList-Accent31">
    <w:name w:val="Dark List - Accent 31"/>
    <w:hidden/>
    <w:uiPriority w:val="99"/>
    <w:semiHidden/>
    <w:rsid w:val="00164FEB"/>
    <w:rPr>
      <w:szCs w:val="22"/>
      <w:lang w:val="es-CR"/>
    </w:rPr>
  </w:style>
  <w:style w:type="paragraph" w:customStyle="1" w:styleId="Sinespaciado1">
    <w:name w:val="Sin espaciado1"/>
    <w:uiPriority w:val="1"/>
    <w:qFormat/>
    <w:rsid w:val="00164FEB"/>
    <w:rPr>
      <w:spacing w:val="-4"/>
      <w:lang w:val="es-ES_tradnl"/>
    </w:rPr>
  </w:style>
  <w:style w:type="character" w:customStyle="1" w:styleId="Hyperlink1">
    <w:name w:val="Hyperlink1"/>
    <w:uiPriority w:val="99"/>
    <w:unhideWhenUsed/>
    <w:rsid w:val="00164FEB"/>
    <w:rPr>
      <w:color w:val="0000FF"/>
      <w:u w:val="single"/>
    </w:rPr>
  </w:style>
  <w:style w:type="paragraph" w:styleId="EndnoteText">
    <w:name w:val="endnote text"/>
    <w:basedOn w:val="Normal"/>
    <w:link w:val="EndnoteTextChar"/>
    <w:unhideWhenUsed/>
    <w:rsid w:val="00164FEB"/>
    <w:pPr>
      <w:widowControl/>
      <w:adjustRightInd/>
      <w:spacing w:line="240" w:lineRule="auto"/>
      <w:jc w:val="left"/>
      <w:textAlignment w:val="auto"/>
    </w:pPr>
    <w:rPr>
      <w:rFonts w:ascii="Calibri" w:eastAsia="Calibri" w:hAnsi="Calibri"/>
      <w:sz w:val="20"/>
      <w:szCs w:val="20"/>
      <w:lang w:val="en-US" w:eastAsia="x-none"/>
    </w:rPr>
  </w:style>
  <w:style w:type="character" w:customStyle="1" w:styleId="EndnoteTextChar">
    <w:name w:val="Endnote Text Char"/>
    <w:link w:val="EndnoteText"/>
    <w:rsid w:val="00164FEB"/>
    <w:rPr>
      <w:rFonts w:ascii="Calibri" w:hAnsi="Calibri" w:cs="Times New Roman"/>
      <w:spacing w:val="0"/>
      <w:sz w:val="20"/>
      <w:szCs w:val="20"/>
      <w:lang w:val="en-US"/>
    </w:rPr>
  </w:style>
  <w:style w:type="character" w:customStyle="1" w:styleId="ListParagraphChar1">
    <w:name w:val="List Paragraph Char1"/>
    <w:aliases w:val="Colorful List - Accent 11 Char1,Párrafo de lista1 Char1,Footnote Char1,List Paragraph1 Char1"/>
    <w:uiPriority w:val="99"/>
    <w:locked/>
    <w:rsid w:val="00164FEB"/>
    <w:rPr>
      <w:rFonts w:ascii="Verdana" w:eastAsia="Times New Roman" w:hAnsi="Verdana" w:cs="Times New Roman"/>
      <w:sz w:val="16"/>
      <w:szCs w:val="20"/>
      <w:lang w:val="es-ES_tradnl"/>
    </w:rPr>
  </w:style>
  <w:style w:type="character" w:customStyle="1" w:styleId="Heading1Char">
    <w:name w:val="Heading 1 Char"/>
    <w:aliases w:val="Título Verdana Char"/>
    <w:link w:val="Heading1"/>
    <w:rsid w:val="00B77BF4"/>
    <w:rPr>
      <w:rFonts w:eastAsia="MS ????" w:cs="Verdana"/>
      <w:b/>
      <w:bCs/>
      <w:caps/>
      <w:snapToGrid w:val="0"/>
      <w:spacing w:val="-2"/>
      <w:sz w:val="20"/>
      <w:szCs w:val="20"/>
      <w:lang w:eastAsia="es-ES"/>
    </w:rPr>
  </w:style>
  <w:style w:type="character" w:customStyle="1" w:styleId="Heading4Char">
    <w:name w:val="Heading 4 Char"/>
    <w:link w:val="Heading4"/>
    <w:rsid w:val="006C6B60"/>
    <w:rPr>
      <w:rFonts w:eastAsia="Times New Roman"/>
      <w:i/>
      <w:spacing w:val="-2"/>
      <w:sz w:val="20"/>
      <w:szCs w:val="20"/>
      <w:lang w:val="es-VE" w:eastAsia="es-CR"/>
    </w:rPr>
  </w:style>
  <w:style w:type="character" w:customStyle="1" w:styleId="Heading5Char">
    <w:name w:val="Heading 5 Char"/>
    <w:link w:val="Heading5"/>
    <w:rsid w:val="009662BC"/>
    <w:rPr>
      <w:rFonts w:eastAsia="Times New Roman"/>
      <w:spacing w:val="-2"/>
      <w:sz w:val="20"/>
      <w:szCs w:val="20"/>
      <w:u w:val="single"/>
      <w:lang w:val="es-ES_tradnl" w:eastAsia="es-CR"/>
    </w:rPr>
  </w:style>
  <w:style w:type="character" w:customStyle="1" w:styleId="Heading6Char">
    <w:name w:val="Heading 6 Char"/>
    <w:link w:val="Heading6"/>
    <w:rsid w:val="009662BC"/>
    <w:rPr>
      <w:rFonts w:eastAsia="Times New Roman"/>
      <w:spacing w:val="-2"/>
      <w:lang w:val="es-ES_tradnl" w:eastAsia="x-none"/>
    </w:rPr>
  </w:style>
  <w:style w:type="character" w:customStyle="1" w:styleId="Heading7Char">
    <w:name w:val="Heading 7 Char"/>
    <w:link w:val="Heading7"/>
    <w:uiPriority w:val="9"/>
    <w:rsid w:val="00332FAD"/>
    <w:rPr>
      <w:rFonts w:ascii="Cambria" w:eastAsia="MS Gothic" w:hAnsi="Cambria" w:cs="Times New Roman"/>
      <w:i/>
      <w:iCs/>
      <w:spacing w:val="0"/>
      <w:sz w:val="22"/>
      <w:szCs w:val="22"/>
      <w:lang w:val="en-US" w:bidi="en-US"/>
    </w:rPr>
  </w:style>
  <w:style w:type="character" w:customStyle="1" w:styleId="Heading8Char">
    <w:name w:val="Heading 8 Char"/>
    <w:link w:val="Heading8"/>
    <w:uiPriority w:val="9"/>
    <w:rsid w:val="00332FAD"/>
    <w:rPr>
      <w:rFonts w:ascii="Cambria" w:eastAsia="MS Gothic" w:hAnsi="Cambria" w:cs="Times New Roman"/>
      <w:spacing w:val="0"/>
      <w:sz w:val="20"/>
      <w:szCs w:val="20"/>
      <w:lang w:val="en-US" w:bidi="en-US"/>
    </w:rPr>
  </w:style>
  <w:style w:type="character" w:customStyle="1" w:styleId="Heading9Char">
    <w:name w:val="Heading 9 Char"/>
    <w:link w:val="Heading9"/>
    <w:uiPriority w:val="9"/>
    <w:rsid w:val="00332FAD"/>
    <w:rPr>
      <w:rFonts w:ascii="Cambria" w:eastAsia="MS Gothic" w:hAnsi="Cambria" w:cs="Times New Roman"/>
      <w:i/>
      <w:iCs/>
      <w:spacing w:val="5"/>
      <w:sz w:val="20"/>
      <w:szCs w:val="20"/>
      <w:lang w:val="en-US" w:bidi="en-US"/>
    </w:rPr>
  </w:style>
  <w:style w:type="paragraph" w:customStyle="1" w:styleId="NormalNumbered">
    <w:name w:val="Normal Numbered"/>
    <w:basedOn w:val="Normal"/>
    <w:link w:val="NormalNumberedChar"/>
    <w:rsid w:val="00332FAD"/>
    <w:pPr>
      <w:widowControl/>
      <w:numPr>
        <w:numId w:val="3"/>
      </w:numPr>
      <w:adjustRightInd/>
      <w:spacing w:line="240" w:lineRule="auto"/>
      <w:ind w:left="0" w:firstLine="0"/>
      <w:textAlignment w:val="auto"/>
    </w:pPr>
    <w:rPr>
      <w:sz w:val="20"/>
      <w:szCs w:val="20"/>
      <w:lang w:val="en-US" w:eastAsia="x-none" w:bidi="en-US"/>
    </w:rPr>
  </w:style>
  <w:style w:type="character" w:customStyle="1" w:styleId="NormalNumberedChar">
    <w:name w:val="Normal Numbered Char"/>
    <w:link w:val="NormalNumbered"/>
    <w:rsid w:val="00332FAD"/>
    <w:rPr>
      <w:rFonts w:eastAsia="Times New Roman"/>
      <w:lang w:eastAsia="x-none" w:bidi="en-US"/>
    </w:rPr>
  </w:style>
  <w:style w:type="character" w:customStyle="1" w:styleId="PrrafodeSentenciaChar">
    <w:name w:val="*. Párrafo de Sentencia Char"/>
    <w:link w:val="PrrafodeSentencia"/>
    <w:rsid w:val="00364A22"/>
    <w:rPr>
      <w:rFonts w:eastAsia="Batang"/>
      <w:b/>
      <w:i/>
      <w:lang w:val="es-ES_tradnl" w:eastAsia="es-MX"/>
    </w:rPr>
  </w:style>
  <w:style w:type="paragraph" w:customStyle="1" w:styleId="Footnotes">
    <w:name w:val="**. Footnotes"/>
    <w:basedOn w:val="FootnoteText"/>
    <w:link w:val="FootnotesChar"/>
    <w:autoRedefine/>
    <w:qFormat/>
    <w:rsid w:val="00332FAD"/>
    <w:pPr>
      <w:widowControl/>
      <w:adjustRightInd/>
      <w:spacing w:before="120" w:after="120"/>
      <w:jc w:val="center"/>
      <w:textAlignment w:val="auto"/>
    </w:pPr>
    <w:rPr>
      <w:rFonts w:cs="Palatino-Italic"/>
      <w:iCs/>
      <w:sz w:val="16"/>
      <w:szCs w:val="18"/>
      <w:lang w:val="es-ES" w:bidi="en-US"/>
    </w:rPr>
  </w:style>
  <w:style w:type="character" w:customStyle="1" w:styleId="FootnotesChar">
    <w:name w:val="**. Footnotes Char"/>
    <w:link w:val="Footnotes"/>
    <w:rsid w:val="00332FAD"/>
    <w:rPr>
      <w:rFonts w:eastAsia="Times New Roman" w:cs="Palatino-Italic"/>
      <w:iCs/>
      <w:spacing w:val="0"/>
      <w:sz w:val="16"/>
      <w:szCs w:val="18"/>
      <w:lang w:val="es-ES" w:bidi="en-US"/>
    </w:rPr>
  </w:style>
  <w:style w:type="paragraph" w:customStyle="1" w:styleId="Prrafodelista2">
    <w:name w:val="Párrafo de lista2"/>
    <w:basedOn w:val="Normal"/>
    <w:uiPriority w:val="99"/>
    <w:rsid w:val="00332FAD"/>
    <w:pPr>
      <w:widowControl/>
      <w:adjustRightInd/>
      <w:spacing w:line="240" w:lineRule="auto"/>
      <w:ind w:left="720"/>
      <w:jc w:val="left"/>
      <w:textAlignment w:val="auto"/>
    </w:pPr>
    <w:rPr>
      <w:rFonts w:eastAsia="MS Mincho"/>
      <w:sz w:val="20"/>
      <w:szCs w:val="20"/>
      <w:lang w:val="es-ES_tradnl" w:eastAsia="en-US" w:bidi="en-US"/>
    </w:rPr>
  </w:style>
  <w:style w:type="paragraph" w:styleId="Subtitle">
    <w:name w:val="Subtitle"/>
    <w:basedOn w:val="Normal"/>
    <w:next w:val="Normal"/>
    <w:link w:val="SubtitleChar"/>
    <w:qFormat/>
    <w:rsid w:val="00332FAD"/>
    <w:pPr>
      <w:widowControl/>
      <w:adjustRightInd/>
      <w:spacing w:after="600" w:line="276" w:lineRule="auto"/>
      <w:jc w:val="left"/>
      <w:textAlignment w:val="auto"/>
    </w:pPr>
    <w:rPr>
      <w:rFonts w:ascii="Cambria" w:eastAsia="MS Gothic" w:hAnsi="Cambria"/>
      <w:i/>
      <w:iCs/>
      <w:spacing w:val="13"/>
      <w:sz w:val="20"/>
      <w:szCs w:val="20"/>
      <w:lang w:val="en-US" w:eastAsia="x-none" w:bidi="en-US"/>
    </w:rPr>
  </w:style>
  <w:style w:type="character" w:customStyle="1" w:styleId="SubtitleChar">
    <w:name w:val="Subtitle Char"/>
    <w:link w:val="Subtitle"/>
    <w:rsid w:val="00332FAD"/>
    <w:rPr>
      <w:rFonts w:ascii="Cambria" w:eastAsia="MS Gothic" w:hAnsi="Cambria" w:cs="Times New Roman"/>
      <w:i/>
      <w:iCs/>
      <w:spacing w:val="13"/>
      <w:lang w:val="en-US" w:bidi="en-US"/>
    </w:rPr>
  </w:style>
  <w:style w:type="character" w:styleId="Strong">
    <w:name w:val="Strong"/>
    <w:uiPriority w:val="22"/>
    <w:qFormat/>
    <w:rsid w:val="00332FAD"/>
    <w:rPr>
      <w:b/>
      <w:bCs/>
    </w:rPr>
  </w:style>
  <w:style w:type="character" w:styleId="Emphasis">
    <w:name w:val="Emphasis"/>
    <w:uiPriority w:val="20"/>
    <w:qFormat/>
    <w:rsid w:val="00332FAD"/>
    <w:rPr>
      <w:b/>
      <w:bCs/>
      <w:i/>
      <w:iCs/>
      <w:spacing w:val="10"/>
      <w:bdr w:val="none" w:sz="0" w:space="0" w:color="auto"/>
      <w:shd w:val="clear" w:color="auto" w:fill="auto"/>
    </w:rPr>
  </w:style>
  <w:style w:type="paragraph" w:customStyle="1" w:styleId="ColorfulList-Accent31">
    <w:name w:val="Colorful List - Accent 31"/>
    <w:basedOn w:val="Normal"/>
    <w:next w:val="Normal"/>
    <w:link w:val="ColorfulList-Accent3Char"/>
    <w:uiPriority w:val="29"/>
    <w:qFormat/>
    <w:rsid w:val="00332FAD"/>
    <w:pPr>
      <w:widowControl/>
      <w:adjustRightInd/>
      <w:spacing w:before="200" w:line="276" w:lineRule="auto"/>
      <w:ind w:left="360" w:right="360"/>
      <w:jc w:val="left"/>
      <w:textAlignment w:val="auto"/>
    </w:pPr>
    <w:rPr>
      <w:rFonts w:ascii="Calibri" w:eastAsia="MS Mincho" w:hAnsi="Calibri"/>
      <w:i/>
      <w:iCs/>
      <w:sz w:val="22"/>
      <w:szCs w:val="22"/>
      <w:lang w:val="en-US" w:eastAsia="x-none" w:bidi="en-US"/>
    </w:rPr>
  </w:style>
  <w:style w:type="character" w:customStyle="1" w:styleId="ColorfulList-Accent3Char">
    <w:name w:val="Colorful List - Accent 3 Char"/>
    <w:link w:val="ColorfulList-Accent31"/>
    <w:uiPriority w:val="29"/>
    <w:rsid w:val="00332FAD"/>
    <w:rPr>
      <w:rFonts w:ascii="Calibri" w:eastAsia="MS Mincho" w:hAnsi="Calibri" w:cs="Times New Roman"/>
      <w:i/>
      <w:iCs/>
      <w:spacing w:val="0"/>
      <w:sz w:val="22"/>
      <w:szCs w:val="22"/>
      <w:lang w:val="en-US" w:bidi="en-US"/>
    </w:rPr>
  </w:style>
  <w:style w:type="paragraph" w:customStyle="1" w:styleId="ColorfulGrid-Accent31">
    <w:name w:val="Colorful Grid - Accent 31"/>
    <w:basedOn w:val="Normal"/>
    <w:next w:val="Normal"/>
    <w:link w:val="ColorfulGrid-Accent3Char"/>
    <w:uiPriority w:val="30"/>
    <w:qFormat/>
    <w:rsid w:val="00332FAD"/>
    <w:pPr>
      <w:widowControl/>
      <w:pBdr>
        <w:bottom w:val="single" w:sz="4" w:space="1" w:color="auto"/>
      </w:pBdr>
      <w:adjustRightInd/>
      <w:spacing w:before="200" w:after="280" w:line="276" w:lineRule="auto"/>
      <w:ind w:left="1008" w:right="1152"/>
      <w:textAlignment w:val="auto"/>
    </w:pPr>
    <w:rPr>
      <w:rFonts w:ascii="Calibri" w:eastAsia="MS Mincho" w:hAnsi="Calibri"/>
      <w:b/>
      <w:bCs/>
      <w:i/>
      <w:iCs/>
      <w:sz w:val="22"/>
      <w:szCs w:val="22"/>
      <w:lang w:val="en-US" w:eastAsia="x-none" w:bidi="en-US"/>
    </w:rPr>
  </w:style>
  <w:style w:type="character" w:customStyle="1" w:styleId="ColorfulGrid-Accent3Char">
    <w:name w:val="Colorful Grid - Accent 3 Char"/>
    <w:link w:val="ColorfulGrid-Accent31"/>
    <w:uiPriority w:val="30"/>
    <w:rsid w:val="00332FAD"/>
    <w:rPr>
      <w:rFonts w:ascii="Calibri" w:eastAsia="MS Mincho" w:hAnsi="Calibri" w:cs="Times New Roman"/>
      <w:b/>
      <w:bCs/>
      <w:i/>
      <w:iCs/>
      <w:spacing w:val="0"/>
      <w:sz w:val="22"/>
      <w:szCs w:val="22"/>
      <w:lang w:val="en-US" w:bidi="en-US"/>
    </w:rPr>
  </w:style>
  <w:style w:type="character" w:customStyle="1" w:styleId="nfasissutil1">
    <w:name w:val="Énfasis sutil1"/>
    <w:uiPriority w:val="19"/>
    <w:qFormat/>
    <w:rsid w:val="00332FAD"/>
    <w:rPr>
      <w:i/>
      <w:iCs/>
    </w:rPr>
  </w:style>
  <w:style w:type="character" w:customStyle="1" w:styleId="nfasisintenso1">
    <w:name w:val="Énfasis intenso1"/>
    <w:uiPriority w:val="21"/>
    <w:qFormat/>
    <w:rsid w:val="00332FAD"/>
    <w:rPr>
      <w:b/>
      <w:bCs/>
    </w:rPr>
  </w:style>
  <w:style w:type="character" w:customStyle="1" w:styleId="Referenciasutil1">
    <w:name w:val="Referencia sutil1"/>
    <w:uiPriority w:val="31"/>
    <w:qFormat/>
    <w:rsid w:val="00332FAD"/>
    <w:rPr>
      <w:smallCaps/>
    </w:rPr>
  </w:style>
  <w:style w:type="character" w:customStyle="1" w:styleId="Referenciaintensa1">
    <w:name w:val="Referencia intensa1"/>
    <w:uiPriority w:val="32"/>
    <w:qFormat/>
    <w:rsid w:val="00332FAD"/>
    <w:rPr>
      <w:smallCaps/>
      <w:spacing w:val="5"/>
      <w:u w:val="single"/>
    </w:rPr>
  </w:style>
  <w:style w:type="character" w:customStyle="1" w:styleId="Ttulodelibro">
    <w:name w:val="Título de libro"/>
    <w:uiPriority w:val="33"/>
    <w:qFormat/>
    <w:rsid w:val="00332FAD"/>
    <w:rPr>
      <w:i/>
      <w:iCs/>
      <w:smallCaps/>
      <w:spacing w:val="5"/>
    </w:rPr>
  </w:style>
  <w:style w:type="paragraph" w:customStyle="1" w:styleId="Encabezadodetabladecontenido">
    <w:name w:val="Encabezado de tabla de contenido"/>
    <w:basedOn w:val="Heading1"/>
    <w:next w:val="Normal"/>
    <w:uiPriority w:val="39"/>
    <w:semiHidden/>
    <w:unhideWhenUsed/>
    <w:qFormat/>
    <w:rsid w:val="00332FAD"/>
    <w:pPr>
      <w:outlineLvl w:val="9"/>
    </w:pPr>
  </w:style>
  <w:style w:type="character" w:customStyle="1" w:styleId="shorttext">
    <w:name w:val="shorttext"/>
    <w:basedOn w:val="DefaultParagraphFont"/>
    <w:rsid w:val="00332FAD"/>
  </w:style>
  <w:style w:type="character" w:customStyle="1" w:styleId="shorttext0">
    <w:name w:val="short_text"/>
    <w:basedOn w:val="DefaultParagraphFont"/>
    <w:rsid w:val="00332FAD"/>
  </w:style>
  <w:style w:type="paragraph" w:styleId="BodyText2">
    <w:name w:val="Body Text 2"/>
    <w:basedOn w:val="Normal"/>
    <w:link w:val="BodyText2Char"/>
    <w:rsid w:val="00332FAD"/>
    <w:pPr>
      <w:widowControl/>
      <w:adjustRightInd/>
      <w:spacing w:after="120" w:line="480" w:lineRule="auto"/>
      <w:jc w:val="left"/>
      <w:textAlignment w:val="auto"/>
    </w:pPr>
    <w:rPr>
      <w:rFonts w:ascii="Times New Roman" w:hAnsi="Times New Roman"/>
      <w:sz w:val="20"/>
      <w:szCs w:val="20"/>
      <w:lang w:val="es-ES_tradnl" w:eastAsia="x-none"/>
    </w:rPr>
  </w:style>
  <w:style w:type="character" w:customStyle="1" w:styleId="BodyText2Char">
    <w:name w:val="Body Text 2 Char"/>
    <w:link w:val="BodyText2"/>
    <w:rsid w:val="00332FAD"/>
    <w:rPr>
      <w:rFonts w:ascii="Times New Roman" w:eastAsia="Times New Roman" w:hAnsi="Times New Roman"/>
      <w:spacing w:val="0"/>
      <w:lang w:val="es-ES_tradnl"/>
    </w:rPr>
  </w:style>
  <w:style w:type="paragraph" w:customStyle="1" w:styleId="Textomacro1">
    <w:name w:val="Texto macro1"/>
    <w:basedOn w:val="Normal"/>
    <w:rsid w:val="00332FAD"/>
    <w:pPr>
      <w:widowControl/>
      <w:adjustRightInd/>
      <w:spacing w:line="240" w:lineRule="auto"/>
      <w:jc w:val="left"/>
      <w:textAlignment w:val="auto"/>
    </w:pPr>
    <w:rPr>
      <w:szCs w:val="20"/>
      <w:lang w:val="es-ES_tradnl" w:eastAsia="es-ES"/>
    </w:rPr>
  </w:style>
  <w:style w:type="character" w:customStyle="1" w:styleId="Caracteresdenotafinal">
    <w:name w:val="Caracteres de nota final"/>
    <w:rsid w:val="001A5CA7"/>
    <w:rPr>
      <w:vertAlign w:val="superscript"/>
    </w:rPr>
  </w:style>
  <w:style w:type="character" w:styleId="LineNumber">
    <w:name w:val="line number"/>
    <w:uiPriority w:val="99"/>
    <w:semiHidden/>
    <w:unhideWhenUsed/>
    <w:rsid w:val="008E3D5E"/>
    <w:rPr>
      <w:rFonts w:ascii="Verdana" w:hAnsi="Verdana"/>
      <w:sz w:val="20"/>
    </w:rPr>
  </w:style>
  <w:style w:type="paragraph" w:styleId="DocumentMap">
    <w:name w:val="Document Map"/>
    <w:basedOn w:val="Normal"/>
    <w:link w:val="DocumentMapChar"/>
    <w:uiPriority w:val="99"/>
    <w:semiHidden/>
    <w:unhideWhenUsed/>
    <w:rsid w:val="00B77BF4"/>
    <w:pPr>
      <w:spacing w:line="240" w:lineRule="auto"/>
    </w:pPr>
    <w:rPr>
      <w:rFonts w:ascii="Tahoma" w:hAnsi="Tahoma"/>
      <w:sz w:val="16"/>
      <w:szCs w:val="16"/>
      <w:lang w:val="x-none"/>
    </w:rPr>
  </w:style>
  <w:style w:type="character" w:customStyle="1" w:styleId="DocumentMapChar">
    <w:name w:val="Document Map Char"/>
    <w:link w:val="DocumentMap"/>
    <w:uiPriority w:val="99"/>
    <w:semiHidden/>
    <w:rsid w:val="00B77BF4"/>
    <w:rPr>
      <w:rFonts w:ascii="Tahoma" w:eastAsia="Times New Roman" w:hAnsi="Tahoma" w:cs="Tahoma"/>
      <w:spacing w:val="0"/>
      <w:sz w:val="16"/>
      <w:szCs w:val="16"/>
      <w:lang w:eastAsia="es-CR"/>
    </w:rPr>
  </w:style>
  <w:style w:type="paragraph" w:styleId="TOC2">
    <w:name w:val="toc 2"/>
    <w:basedOn w:val="Normal"/>
    <w:next w:val="Normal"/>
    <w:autoRedefine/>
    <w:uiPriority w:val="39"/>
    <w:unhideWhenUsed/>
    <w:qFormat/>
    <w:rsid w:val="00BC21D4"/>
    <w:pPr>
      <w:tabs>
        <w:tab w:val="left" w:pos="540"/>
        <w:tab w:val="right" w:leader="dot" w:pos="9638"/>
      </w:tabs>
      <w:spacing w:line="240" w:lineRule="auto"/>
      <w:ind w:left="240"/>
      <w:jc w:val="left"/>
    </w:pPr>
    <w:rPr>
      <w:sz w:val="20"/>
    </w:rPr>
  </w:style>
  <w:style w:type="paragraph" w:styleId="TOC1">
    <w:name w:val="toc 1"/>
    <w:basedOn w:val="Normal"/>
    <w:next w:val="Normal"/>
    <w:autoRedefine/>
    <w:uiPriority w:val="39"/>
    <w:unhideWhenUsed/>
    <w:qFormat/>
    <w:rsid w:val="009020C5"/>
    <w:pPr>
      <w:tabs>
        <w:tab w:val="right" w:leader="dot" w:pos="9639"/>
      </w:tabs>
      <w:spacing w:line="240" w:lineRule="auto"/>
    </w:pPr>
    <w:rPr>
      <w:rFonts w:eastAsia="ヒラギノ角ゴ Pro W3"/>
      <w:b/>
      <w:noProof/>
      <w:sz w:val="20"/>
      <w:szCs w:val="18"/>
      <w:lang w:val="es-PR" w:eastAsia="x-none"/>
    </w:rPr>
  </w:style>
  <w:style w:type="paragraph" w:styleId="TOC3">
    <w:name w:val="toc 3"/>
    <w:basedOn w:val="Normal"/>
    <w:next w:val="Normal"/>
    <w:autoRedefine/>
    <w:uiPriority w:val="39"/>
    <w:unhideWhenUsed/>
    <w:qFormat/>
    <w:rsid w:val="00452519"/>
    <w:pPr>
      <w:spacing w:line="240" w:lineRule="auto"/>
      <w:ind w:left="480"/>
    </w:pPr>
    <w:rPr>
      <w:sz w:val="20"/>
    </w:rPr>
  </w:style>
  <w:style w:type="paragraph" w:styleId="TOC4">
    <w:name w:val="toc 4"/>
    <w:basedOn w:val="Normal"/>
    <w:next w:val="Normal"/>
    <w:autoRedefine/>
    <w:uiPriority w:val="39"/>
    <w:unhideWhenUsed/>
    <w:rsid w:val="00452519"/>
    <w:pPr>
      <w:spacing w:line="240" w:lineRule="auto"/>
      <w:ind w:left="720"/>
    </w:pPr>
    <w:rPr>
      <w:sz w:val="20"/>
    </w:rPr>
  </w:style>
  <w:style w:type="paragraph" w:styleId="TOC5">
    <w:name w:val="toc 5"/>
    <w:basedOn w:val="Normal"/>
    <w:next w:val="Normal"/>
    <w:autoRedefine/>
    <w:uiPriority w:val="39"/>
    <w:unhideWhenUsed/>
    <w:rsid w:val="00444B5F"/>
    <w:pPr>
      <w:widowControl/>
      <w:adjustRightInd/>
      <w:spacing w:after="100" w:line="240" w:lineRule="auto"/>
      <w:ind w:left="880"/>
      <w:jc w:val="left"/>
      <w:textAlignment w:val="auto"/>
    </w:pPr>
    <w:rPr>
      <w:rFonts w:eastAsia="MS Mincho"/>
      <w:sz w:val="20"/>
      <w:szCs w:val="22"/>
    </w:rPr>
  </w:style>
  <w:style w:type="paragraph" w:styleId="TOC6">
    <w:name w:val="toc 6"/>
    <w:basedOn w:val="Normal"/>
    <w:next w:val="Normal"/>
    <w:autoRedefine/>
    <w:uiPriority w:val="39"/>
    <w:unhideWhenUsed/>
    <w:rsid w:val="002B7BCA"/>
    <w:pPr>
      <w:widowControl/>
      <w:adjustRightInd/>
      <w:spacing w:after="100" w:line="276" w:lineRule="auto"/>
      <w:ind w:left="1100"/>
      <w:jc w:val="left"/>
      <w:textAlignment w:val="auto"/>
    </w:pPr>
    <w:rPr>
      <w:rFonts w:ascii="Calibri" w:eastAsia="MS Mincho" w:hAnsi="Calibri"/>
      <w:sz w:val="22"/>
      <w:szCs w:val="22"/>
    </w:rPr>
  </w:style>
  <w:style w:type="paragraph" w:styleId="TOC7">
    <w:name w:val="toc 7"/>
    <w:basedOn w:val="Normal"/>
    <w:next w:val="Normal"/>
    <w:autoRedefine/>
    <w:uiPriority w:val="39"/>
    <w:unhideWhenUsed/>
    <w:rsid w:val="002B7BCA"/>
    <w:pPr>
      <w:widowControl/>
      <w:adjustRightInd/>
      <w:spacing w:after="100" w:line="276" w:lineRule="auto"/>
      <w:ind w:left="1320"/>
      <w:jc w:val="left"/>
      <w:textAlignment w:val="auto"/>
    </w:pPr>
    <w:rPr>
      <w:rFonts w:ascii="Calibri" w:eastAsia="MS Mincho" w:hAnsi="Calibri"/>
      <w:sz w:val="22"/>
      <w:szCs w:val="22"/>
    </w:rPr>
  </w:style>
  <w:style w:type="paragraph" w:styleId="TOC8">
    <w:name w:val="toc 8"/>
    <w:basedOn w:val="Normal"/>
    <w:next w:val="Normal"/>
    <w:autoRedefine/>
    <w:uiPriority w:val="39"/>
    <w:unhideWhenUsed/>
    <w:rsid w:val="002B7BCA"/>
    <w:pPr>
      <w:widowControl/>
      <w:adjustRightInd/>
      <w:spacing w:after="100" w:line="276" w:lineRule="auto"/>
      <w:ind w:left="1540"/>
      <w:jc w:val="left"/>
      <w:textAlignment w:val="auto"/>
    </w:pPr>
    <w:rPr>
      <w:rFonts w:ascii="Calibri" w:eastAsia="MS Mincho" w:hAnsi="Calibri"/>
      <w:sz w:val="22"/>
      <w:szCs w:val="22"/>
    </w:rPr>
  </w:style>
  <w:style w:type="paragraph" w:styleId="TOC9">
    <w:name w:val="toc 9"/>
    <w:basedOn w:val="Normal"/>
    <w:next w:val="Normal"/>
    <w:autoRedefine/>
    <w:uiPriority w:val="39"/>
    <w:unhideWhenUsed/>
    <w:rsid w:val="002B7BCA"/>
    <w:pPr>
      <w:widowControl/>
      <w:adjustRightInd/>
      <w:spacing w:after="100" w:line="276" w:lineRule="auto"/>
      <w:ind w:left="1760"/>
      <w:jc w:val="left"/>
      <w:textAlignment w:val="auto"/>
    </w:pPr>
    <w:rPr>
      <w:rFonts w:ascii="Calibri" w:eastAsia="MS Mincho" w:hAnsi="Calibri"/>
      <w:sz w:val="22"/>
      <w:szCs w:val="22"/>
    </w:rPr>
  </w:style>
  <w:style w:type="table" w:styleId="TableGrid">
    <w:name w:val="Table Grid"/>
    <w:basedOn w:val="TableNormal"/>
    <w:uiPriority w:val="59"/>
    <w:rsid w:val="00B44A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uiPriority w:val="99"/>
    <w:unhideWhenUsed/>
    <w:rsid w:val="00074F11"/>
    <w:rPr>
      <w:vertAlign w:val="superscript"/>
    </w:rPr>
  </w:style>
  <w:style w:type="paragraph" w:customStyle="1" w:styleId="LightGrid-Accent31">
    <w:name w:val="Light Grid - Accent 31"/>
    <w:aliases w:val="Párrafo de lista1,Footnote,Colorful List - Accent 11,List Paragraph1,Lista Colorida - Ênfase 11"/>
    <w:basedOn w:val="Normal"/>
    <w:link w:val="LightGrid-Accent3Char"/>
    <w:uiPriority w:val="34"/>
    <w:qFormat/>
    <w:rsid w:val="00294925"/>
    <w:pPr>
      <w:widowControl/>
      <w:adjustRightInd/>
      <w:spacing w:after="200" w:line="276" w:lineRule="auto"/>
      <w:ind w:left="720"/>
      <w:contextualSpacing/>
      <w:jc w:val="left"/>
      <w:textAlignment w:val="auto"/>
    </w:pPr>
    <w:rPr>
      <w:rFonts w:ascii="Calibri" w:eastAsia="Calibri" w:hAnsi="Calibri"/>
      <w:sz w:val="22"/>
      <w:szCs w:val="22"/>
      <w:lang w:val="es-CO" w:eastAsia="en-US"/>
    </w:rPr>
  </w:style>
  <w:style w:type="character" w:customStyle="1" w:styleId="LightGrid-Accent3Char">
    <w:name w:val="Light Grid - Accent 3 Char"/>
    <w:aliases w:val="Párrafo de lista1 Char,Footnote Char,Colorful List - Accent 11 Char,List Paragraph1 Char,Lista Colorida - Ênfase 11 Char,List Paragraph Char,List Paragraph2 Char,Lista vistosa - Énfasis 11 Char"/>
    <w:link w:val="LightGrid-Accent31"/>
    <w:uiPriority w:val="34"/>
    <w:locked/>
    <w:rsid w:val="00294925"/>
    <w:rPr>
      <w:rFonts w:ascii="Calibri" w:eastAsia="Calibri" w:hAnsi="Calibri" w:cs="Times New Roman"/>
      <w:sz w:val="22"/>
      <w:szCs w:val="22"/>
      <w:lang w:val="es-CO" w:eastAsia="en-US"/>
    </w:rPr>
  </w:style>
  <w:style w:type="paragraph" w:styleId="BodyTextIndent2">
    <w:name w:val="Body Text Indent 2"/>
    <w:basedOn w:val="Normal"/>
    <w:link w:val="BodyTextIndent2Char"/>
    <w:uiPriority w:val="99"/>
    <w:unhideWhenUsed/>
    <w:rsid w:val="006E0CAD"/>
    <w:pPr>
      <w:spacing w:after="120" w:line="480" w:lineRule="auto"/>
      <w:ind w:left="283"/>
    </w:pPr>
    <w:rPr>
      <w:lang w:val="x-none" w:eastAsia="x-none"/>
    </w:rPr>
  </w:style>
  <w:style w:type="character" w:customStyle="1" w:styleId="BodyTextIndent2Char">
    <w:name w:val="Body Text Indent 2 Char"/>
    <w:link w:val="BodyTextIndent2"/>
    <w:uiPriority w:val="99"/>
    <w:rsid w:val="006E0CAD"/>
    <w:rPr>
      <w:rFonts w:eastAsia="Times New Roman"/>
      <w:sz w:val="24"/>
      <w:szCs w:val="24"/>
    </w:rPr>
  </w:style>
  <w:style w:type="paragraph" w:customStyle="1" w:styleId="PargrafodaLista">
    <w:name w:val="Parágrafo da Lista"/>
    <w:basedOn w:val="Normal"/>
    <w:uiPriority w:val="34"/>
    <w:qFormat/>
    <w:rsid w:val="006E0CAD"/>
    <w:pPr>
      <w:widowControl/>
      <w:adjustRightInd/>
      <w:spacing w:line="240" w:lineRule="auto"/>
      <w:ind w:left="708"/>
      <w:jc w:val="left"/>
      <w:textAlignment w:val="auto"/>
    </w:pPr>
    <w:rPr>
      <w:rFonts w:ascii="Times New Roman" w:hAnsi="Times New Roman"/>
      <w:lang w:val="en-US" w:eastAsia="en-US"/>
    </w:rPr>
  </w:style>
  <w:style w:type="character" w:customStyle="1" w:styleId="s7d2086b4">
    <w:name w:val="s7d2086b4"/>
    <w:basedOn w:val="DefaultParagraphFont"/>
    <w:rsid w:val="008A0B10"/>
  </w:style>
  <w:style w:type="paragraph" w:customStyle="1" w:styleId="JuPara">
    <w:name w:val="Ju_Para"/>
    <w:basedOn w:val="Normal"/>
    <w:link w:val="JuParaCar"/>
    <w:rsid w:val="008A0B10"/>
    <w:pPr>
      <w:widowControl/>
      <w:suppressAutoHyphens/>
      <w:adjustRightInd/>
      <w:spacing w:line="240" w:lineRule="auto"/>
      <w:ind w:firstLine="284"/>
      <w:textAlignment w:val="auto"/>
    </w:pPr>
    <w:rPr>
      <w:rFonts w:ascii="Times New Roman" w:hAnsi="Times New Roman"/>
      <w:szCs w:val="20"/>
      <w:lang w:val="en-GB" w:eastAsia="fr-FR"/>
    </w:rPr>
  </w:style>
  <w:style w:type="character" w:customStyle="1" w:styleId="JuParaCar">
    <w:name w:val="Ju_Para Car"/>
    <w:link w:val="JuPara"/>
    <w:rsid w:val="008A0B10"/>
    <w:rPr>
      <w:rFonts w:ascii="Times New Roman" w:eastAsia="Times New Roman" w:hAnsi="Times New Roman"/>
      <w:sz w:val="24"/>
      <w:lang w:val="en-GB" w:eastAsia="fr-FR"/>
    </w:rPr>
  </w:style>
  <w:style w:type="paragraph" w:customStyle="1" w:styleId="Encabezadodetabladecontenido1">
    <w:name w:val="Encabezado de tabla de contenido1"/>
    <w:basedOn w:val="Heading1"/>
    <w:next w:val="Normal"/>
    <w:uiPriority w:val="39"/>
    <w:semiHidden/>
    <w:unhideWhenUsed/>
    <w:qFormat/>
    <w:rsid w:val="00BA62DD"/>
    <w:pPr>
      <w:widowControl/>
      <w:tabs>
        <w:tab w:val="clear" w:pos="720"/>
      </w:tabs>
      <w:adjustRightInd/>
      <w:spacing w:before="480" w:line="276" w:lineRule="auto"/>
      <w:jc w:val="left"/>
      <w:textAlignment w:val="auto"/>
      <w:outlineLvl w:val="9"/>
    </w:pPr>
    <w:rPr>
      <w:rFonts w:ascii="Cambria" w:eastAsia="Times New Roman" w:hAnsi="Cambria"/>
      <w:caps w:val="0"/>
      <w:snapToGrid/>
      <w:color w:val="365F91"/>
      <w:spacing w:val="0"/>
      <w:sz w:val="28"/>
      <w:szCs w:val="28"/>
      <w:lang w:val="en-US" w:eastAsia="en-US"/>
    </w:rPr>
  </w:style>
  <w:style w:type="character" w:customStyle="1" w:styleId="Estilo2Car">
    <w:name w:val="Estilo2 Car"/>
    <w:link w:val="Estilo2"/>
    <w:rsid w:val="00DC1FEB"/>
    <w:rPr>
      <w:sz w:val="24"/>
      <w:szCs w:val="24"/>
    </w:rPr>
  </w:style>
  <w:style w:type="character" w:customStyle="1" w:styleId="ListParagraphChar2">
    <w:name w:val="List Paragraph Char2"/>
    <w:locked/>
    <w:rsid w:val="00463A67"/>
    <w:rPr>
      <w:rFonts w:ascii="Verdana" w:eastAsia="Times New Roman" w:hAnsi="Verdana"/>
      <w:szCs w:val="24"/>
      <w:lang w:val="es-ES_tradnl" w:eastAsia="en-US"/>
    </w:rPr>
  </w:style>
  <w:style w:type="paragraph" w:customStyle="1" w:styleId="MediumGrid1-Accent21">
    <w:name w:val="Medium Grid 1 - Accent 21"/>
    <w:basedOn w:val="Normal"/>
    <w:uiPriority w:val="34"/>
    <w:qFormat/>
    <w:rsid w:val="00DB6650"/>
    <w:pPr>
      <w:ind w:left="708"/>
    </w:pPr>
  </w:style>
  <w:style w:type="paragraph" w:customStyle="1" w:styleId="Estilo3">
    <w:name w:val="Estilo3"/>
    <w:basedOn w:val="MediumGrid1-Accent21"/>
    <w:qFormat/>
    <w:rsid w:val="007C030A"/>
    <w:pPr>
      <w:spacing w:after="120"/>
      <w:ind w:left="0" w:firstLine="1559"/>
    </w:pPr>
    <w:rPr>
      <w:lang w:val="es-PR"/>
    </w:rPr>
  </w:style>
  <w:style w:type="character" w:customStyle="1" w:styleId="Heading3Char1">
    <w:name w:val="Heading 3 Char1"/>
    <w:uiPriority w:val="9"/>
    <w:rsid w:val="007C030A"/>
    <w:rPr>
      <w:rFonts w:ascii="Verdana" w:eastAsia="Calibri" w:hAnsi="Verdana" w:cs="Times New Roman"/>
      <w:b/>
      <w:spacing w:val="-2"/>
      <w:sz w:val="20"/>
      <w:szCs w:val="20"/>
      <w:lang w:val="es-ES" w:eastAsia="x-none"/>
    </w:rPr>
  </w:style>
  <w:style w:type="character" w:customStyle="1" w:styleId="Heading4Char1">
    <w:name w:val="Heading 4 Char1"/>
    <w:uiPriority w:val="9"/>
    <w:rsid w:val="007C030A"/>
    <w:rPr>
      <w:rFonts w:ascii="Verdana" w:eastAsia="Times New Roman" w:hAnsi="Verdana" w:cs="Times New Roman"/>
      <w:i/>
      <w:spacing w:val="-2"/>
      <w:sz w:val="20"/>
      <w:szCs w:val="20"/>
      <w:lang w:val="es-VE" w:eastAsia="es-CR"/>
    </w:rPr>
  </w:style>
  <w:style w:type="character" w:customStyle="1" w:styleId="Heading6Char1">
    <w:name w:val="Heading 6 Char1"/>
    <w:uiPriority w:val="9"/>
    <w:rsid w:val="007C030A"/>
    <w:rPr>
      <w:rFonts w:ascii="Verdana" w:eastAsia="Times New Roman" w:hAnsi="Verdana" w:cs="Times New Roman"/>
      <w:spacing w:val="-2"/>
      <w:sz w:val="20"/>
      <w:szCs w:val="20"/>
      <w:lang w:val="es-ES_tradnl" w:eastAsia="x-none"/>
    </w:rPr>
  </w:style>
  <w:style w:type="character" w:customStyle="1" w:styleId="HeaderChar1">
    <w:name w:val="Header Char1"/>
    <w:uiPriority w:val="99"/>
    <w:rsid w:val="007C030A"/>
  </w:style>
  <w:style w:type="character" w:customStyle="1" w:styleId="FooterChar1">
    <w:name w:val="Footer Char1"/>
    <w:uiPriority w:val="99"/>
    <w:rsid w:val="007C030A"/>
  </w:style>
  <w:style w:type="character" w:customStyle="1" w:styleId="FootnoteTextChar1">
    <w:name w:val="Footnote Text Char1"/>
    <w:aliases w:val="Footnote Text Char Char Char Char Char Char1,Footnote Text Char Char Char Char Char2,Footnote reference Char1,FA Fu Char1,Footnote Text Char Char Char Char2,Footnote Text Cha Char1,FA Fußnotentext Char1,FA Fuﬂnotentext Char1,Ca Char1"/>
    <w:rsid w:val="007C030A"/>
    <w:rPr>
      <w:sz w:val="20"/>
      <w:szCs w:val="20"/>
    </w:rPr>
  </w:style>
  <w:style w:type="paragraph" w:customStyle="1" w:styleId="s269b7f08">
    <w:name w:val="s269b7f08"/>
    <w:basedOn w:val="Normal"/>
    <w:rsid w:val="007C030A"/>
    <w:pPr>
      <w:widowControl/>
      <w:adjustRightInd/>
      <w:spacing w:before="100" w:beforeAutospacing="1" w:after="100" w:afterAutospacing="1" w:line="240" w:lineRule="auto"/>
      <w:jc w:val="left"/>
      <w:textAlignment w:val="auto"/>
    </w:pPr>
    <w:rPr>
      <w:rFonts w:ascii="Times New Roman" w:hAnsi="Times New Roman"/>
      <w:lang w:val="es-MX" w:eastAsia="es-MX"/>
    </w:rPr>
  </w:style>
  <w:style w:type="character" w:customStyle="1" w:styleId="sf6541cea">
    <w:name w:val="sf6541cea"/>
    <w:rsid w:val="007C030A"/>
  </w:style>
  <w:style w:type="character" w:customStyle="1" w:styleId="wordhighlighted">
    <w:name w:val="wordhighlighted"/>
    <w:rsid w:val="007C030A"/>
  </w:style>
  <w:style w:type="paragraph" w:customStyle="1" w:styleId="s8b146764">
    <w:name w:val="s8b146764"/>
    <w:basedOn w:val="Normal"/>
    <w:rsid w:val="007C030A"/>
    <w:pPr>
      <w:widowControl/>
      <w:adjustRightInd/>
      <w:spacing w:before="100" w:beforeAutospacing="1" w:after="100" w:afterAutospacing="1" w:line="240" w:lineRule="auto"/>
      <w:jc w:val="left"/>
      <w:textAlignment w:val="auto"/>
    </w:pPr>
    <w:rPr>
      <w:rFonts w:ascii="Times New Roman" w:hAnsi="Times New Roman"/>
      <w:lang w:val="es-MX" w:eastAsia="es-MX"/>
    </w:rPr>
  </w:style>
  <w:style w:type="paragraph" w:customStyle="1" w:styleId="MediumList2-Accent21">
    <w:name w:val="Medium List 2 - Accent 21"/>
    <w:hidden/>
    <w:uiPriority w:val="99"/>
    <w:semiHidden/>
    <w:rsid w:val="007C030A"/>
    <w:rPr>
      <w:rFonts w:ascii="Calibri" w:hAnsi="Calibri"/>
      <w:sz w:val="22"/>
      <w:szCs w:val="22"/>
      <w:lang w:val="es-MX"/>
    </w:rPr>
  </w:style>
  <w:style w:type="paragraph" w:customStyle="1" w:styleId="s32b251d">
    <w:name w:val="s32b251d"/>
    <w:basedOn w:val="Normal"/>
    <w:rsid w:val="007C030A"/>
    <w:pPr>
      <w:widowControl/>
      <w:adjustRightInd/>
      <w:spacing w:before="100" w:beforeAutospacing="1" w:after="100" w:afterAutospacing="1" w:line="240" w:lineRule="auto"/>
      <w:jc w:val="left"/>
      <w:textAlignment w:val="auto"/>
    </w:pPr>
    <w:rPr>
      <w:rFonts w:ascii="Times" w:eastAsia="Calibri" w:hAnsi="Times"/>
      <w:sz w:val="20"/>
      <w:szCs w:val="20"/>
      <w:lang w:val="es-ES_tradnl" w:eastAsia="es-ES"/>
    </w:rPr>
  </w:style>
  <w:style w:type="character" w:customStyle="1" w:styleId="sae070d1d">
    <w:name w:val="sae070d1d"/>
    <w:rsid w:val="007C030A"/>
  </w:style>
  <w:style w:type="character" w:customStyle="1" w:styleId="EndnoteTextChar1">
    <w:name w:val="Endnote Text Char1"/>
    <w:uiPriority w:val="99"/>
    <w:rsid w:val="007C030A"/>
    <w:rPr>
      <w:sz w:val="24"/>
      <w:szCs w:val="24"/>
    </w:rPr>
  </w:style>
  <w:style w:type="character" w:customStyle="1" w:styleId="Cuadrculamediana1-nfasis2Car">
    <w:name w:val="Cuadrícula mediana 1 - Énfasis 2 Car"/>
    <w:uiPriority w:val="99"/>
    <w:rsid w:val="007C030A"/>
    <w:rPr>
      <w:rFonts w:eastAsia="Times New Roman"/>
      <w:spacing w:val="0"/>
      <w:lang w:eastAsia="es-CR"/>
    </w:rPr>
  </w:style>
  <w:style w:type="paragraph" w:customStyle="1" w:styleId="AutoCorrect">
    <w:name w:val="AutoCorrect"/>
    <w:rsid w:val="007C030A"/>
    <w:pPr>
      <w:spacing w:after="200" w:line="276" w:lineRule="auto"/>
    </w:pPr>
    <w:rPr>
      <w:rFonts w:ascii="Calibri" w:eastAsia="MS Mincho" w:hAnsi="Calibri"/>
      <w:sz w:val="22"/>
      <w:szCs w:val="22"/>
      <w:lang w:val="es-CR" w:eastAsia="es-CR"/>
    </w:rPr>
  </w:style>
  <w:style w:type="paragraph" w:customStyle="1" w:styleId="Numbered">
    <w:name w:val="Numbered"/>
    <w:basedOn w:val="MediumGrid1-Accent21"/>
    <w:link w:val="NumberedChar"/>
    <w:qFormat/>
    <w:rsid w:val="004B4C43"/>
    <w:pPr>
      <w:widowControl/>
      <w:numPr>
        <w:numId w:val="4"/>
      </w:numPr>
      <w:adjustRightInd/>
      <w:spacing w:after="160" w:line="240" w:lineRule="auto"/>
      <w:ind w:left="0" w:firstLine="0"/>
      <w:contextualSpacing/>
      <w:textAlignment w:val="auto"/>
    </w:pPr>
    <w:rPr>
      <w:rFonts w:eastAsia="Verdana"/>
      <w:sz w:val="20"/>
      <w:szCs w:val="20"/>
      <w:lang w:val="pt-BR" w:eastAsia="en-US"/>
    </w:rPr>
  </w:style>
  <w:style w:type="character" w:customStyle="1" w:styleId="NumberedChar">
    <w:name w:val="Numbered Char"/>
    <w:link w:val="Numbered"/>
    <w:rsid w:val="004B4C43"/>
    <w:rPr>
      <w:rFonts w:eastAsia="Verdana"/>
      <w:lang w:val="pt-BR"/>
    </w:rPr>
  </w:style>
  <w:style w:type="paragraph" w:customStyle="1" w:styleId="ColorfulList-Accent12">
    <w:name w:val="Colorful List - Accent 12"/>
    <w:basedOn w:val="Normal"/>
    <w:uiPriority w:val="34"/>
    <w:qFormat/>
    <w:rsid w:val="00EC148C"/>
    <w:pPr>
      <w:ind w:left="708"/>
    </w:pPr>
  </w:style>
  <w:style w:type="character" w:customStyle="1" w:styleId="apple-style-span">
    <w:name w:val="apple-style-span"/>
    <w:rsid w:val="006C60A7"/>
    <w:rPr>
      <w:rFonts w:cs="Times New Roman"/>
    </w:rPr>
  </w:style>
  <w:style w:type="paragraph" w:styleId="ListParagraph">
    <w:name w:val="List Paragraph"/>
    <w:aliases w:val="List Paragraph2,Lista vistosa - Énfasis 11"/>
    <w:basedOn w:val="Normal"/>
    <w:uiPriority w:val="34"/>
    <w:qFormat/>
    <w:rsid w:val="00B07851"/>
    <w:pPr>
      <w:widowControl/>
      <w:adjustRightInd/>
      <w:spacing w:after="200" w:line="276" w:lineRule="auto"/>
      <w:ind w:left="720"/>
      <w:contextualSpacing/>
      <w:jc w:val="left"/>
      <w:textAlignment w:val="auto"/>
    </w:pPr>
    <w:rPr>
      <w:rFonts w:ascii="Calibri" w:hAnsi="Calibri"/>
      <w:sz w:val="22"/>
      <w:szCs w:val="22"/>
      <w:lang w:val="es-MX" w:eastAsia="es-MX"/>
    </w:rPr>
  </w:style>
  <w:style w:type="paragraph" w:styleId="Revision">
    <w:name w:val="Revision"/>
    <w:hidden/>
    <w:uiPriority w:val="99"/>
    <w:semiHidden/>
    <w:rsid w:val="00621AE2"/>
    <w:rPr>
      <w:rFonts w:eastAsia="Times New Roman"/>
      <w:sz w:val="24"/>
      <w:szCs w:val="24"/>
      <w:lang w:val="es-CR" w:eastAsia="es-CR"/>
    </w:rPr>
  </w:style>
  <w:style w:type="paragraph" w:customStyle="1" w:styleId="4GChar">
    <w:name w:val="4_G Char"/>
    <w:aliases w:val="Appel note de bas de page Char,Appel note de bas de page Char Char Char Char Char Char Char Char Char Char Char Char Char Char Char Char Char Char Char,Appel note de bas de page Char Char Char Char"/>
    <w:basedOn w:val="Normal"/>
    <w:link w:val="FootnoteReference"/>
    <w:rsid w:val="00B74499"/>
    <w:pPr>
      <w:widowControl/>
      <w:adjustRightInd/>
      <w:spacing w:line="240" w:lineRule="auto"/>
      <w:textAlignment w:val="auto"/>
    </w:pPr>
    <w:rPr>
      <w:rFonts w:eastAsia="Calibri"/>
      <w:sz w:val="20"/>
      <w:szCs w:val="20"/>
      <w:vertAlign w:val="superscript"/>
      <w:lang w:val="en-US" w:eastAsia="en-US"/>
    </w:rPr>
  </w:style>
  <w:style w:type="paragraph" w:customStyle="1" w:styleId="Estilo5">
    <w:name w:val="Estilo5"/>
    <w:basedOn w:val="ListParagraph"/>
    <w:rsid w:val="00EB161A"/>
    <w:pPr>
      <w:tabs>
        <w:tab w:val="num" w:pos="360"/>
      </w:tabs>
      <w:spacing w:after="120" w:line="216" w:lineRule="auto"/>
      <w:ind w:right="18"/>
      <w:contextualSpacing w:val="0"/>
      <w:jc w:val="both"/>
    </w:pPr>
    <w:rPr>
      <w:rFonts w:ascii="Verdana" w:hAnsi="Verdana"/>
      <w:spacing w:val="-2"/>
      <w:sz w:val="20"/>
      <w:szCs w:val="20"/>
      <w:lang w:eastAsia="x-none"/>
    </w:rPr>
  </w:style>
  <w:style w:type="paragraph" w:customStyle="1" w:styleId="Estilo8">
    <w:name w:val="Estilo8"/>
    <w:basedOn w:val="Estilo3"/>
    <w:qFormat/>
    <w:rsid w:val="00EB161A"/>
    <w:pPr>
      <w:widowControl/>
      <w:tabs>
        <w:tab w:val="num" w:pos="360"/>
      </w:tabs>
      <w:adjustRightInd/>
      <w:spacing w:line="216" w:lineRule="auto"/>
      <w:ind w:left="1080" w:right="17" w:hanging="358"/>
      <w:textAlignment w:val="auto"/>
    </w:pPr>
    <w:rPr>
      <w:rFonts w:eastAsia="Calibri"/>
      <w:spacing w:val="-2"/>
      <w:sz w:val="20"/>
      <w:szCs w:val="20"/>
      <w:lang w:val="es-CR" w:eastAsia="en-US"/>
    </w:rPr>
  </w:style>
  <w:style w:type="paragraph" w:customStyle="1" w:styleId="Sentencia1">
    <w:name w:val="Sentencia 1"/>
    <w:basedOn w:val="Heading1"/>
    <w:qFormat/>
    <w:rsid w:val="00EB161A"/>
    <w:pPr>
      <w:widowControl/>
      <w:tabs>
        <w:tab w:val="clear" w:pos="720"/>
      </w:tabs>
      <w:adjustRightInd/>
      <w:textAlignment w:val="auto"/>
    </w:pPr>
    <w:rPr>
      <w:rFonts w:eastAsia="Times New Roman"/>
      <w:caps w:val="0"/>
      <w:snapToGrid/>
      <w:spacing w:val="0"/>
      <w:lang w:eastAsia="x-none"/>
    </w:rPr>
  </w:style>
  <w:style w:type="paragraph" w:customStyle="1" w:styleId="Sentencia2">
    <w:name w:val="Sentencia 2"/>
    <w:basedOn w:val="Heading2"/>
    <w:qFormat/>
    <w:rsid w:val="00EB161A"/>
    <w:pPr>
      <w:keepNext/>
      <w:keepLines/>
      <w:widowControl/>
      <w:tabs>
        <w:tab w:val="clear" w:pos="720"/>
      </w:tabs>
      <w:adjustRightInd/>
      <w:spacing w:line="276" w:lineRule="auto"/>
      <w:contextualSpacing w:val="0"/>
      <w:jc w:val="left"/>
      <w:textAlignment w:val="auto"/>
    </w:pPr>
    <w:rPr>
      <w:bCs/>
      <w:i w:val="0"/>
      <w:spacing w:val="0"/>
      <w:szCs w:val="26"/>
      <w:lang w:val="es-CR" w:eastAsia="x-none"/>
    </w:rPr>
  </w:style>
  <w:style w:type="paragraph" w:customStyle="1" w:styleId="Sentencia3">
    <w:name w:val="Sentencia 3"/>
    <w:basedOn w:val="Heading3"/>
    <w:qFormat/>
    <w:rsid w:val="00EB161A"/>
    <w:pPr>
      <w:keepNext/>
      <w:keepLines/>
      <w:tabs>
        <w:tab w:val="clear" w:pos="567"/>
      </w:tabs>
      <w:autoSpaceDE/>
      <w:autoSpaceDN/>
      <w:spacing w:line="276" w:lineRule="auto"/>
      <w:ind w:left="720"/>
      <w:contextualSpacing w:val="0"/>
      <w:jc w:val="left"/>
    </w:pPr>
    <w:rPr>
      <w:rFonts w:eastAsia="Times New Roman"/>
      <w:b w:val="0"/>
      <w:bCs/>
      <w:i/>
      <w:color w:val="000000"/>
      <w:spacing w:val="0"/>
      <w:lang w:val="x-none"/>
    </w:rPr>
  </w:style>
  <w:style w:type="paragraph" w:customStyle="1" w:styleId="PiedepginasCorteIDH">
    <w:name w:val="Pie de páginas Corte IDH"/>
    <w:basedOn w:val="Footer"/>
    <w:link w:val="PiedepginasCorteIDHCar"/>
    <w:autoRedefine/>
    <w:qFormat/>
    <w:rsid w:val="000B20B0"/>
    <w:pPr>
      <w:widowControl/>
      <w:tabs>
        <w:tab w:val="clear" w:pos="4320"/>
        <w:tab w:val="clear" w:pos="8640"/>
      </w:tabs>
      <w:adjustRightInd/>
      <w:spacing w:after="60"/>
      <w:ind w:hanging="11"/>
      <w:textAlignment w:val="auto"/>
    </w:pPr>
    <w:rPr>
      <w:rFonts w:cs="Verdana"/>
      <w:sz w:val="16"/>
      <w:szCs w:val="16"/>
      <w:lang w:val="es-ES" w:eastAsia="en-US" w:bidi="en-US"/>
    </w:rPr>
  </w:style>
  <w:style w:type="character" w:customStyle="1" w:styleId="PiedepginasCorteIDHCar">
    <w:name w:val="Pie de páginas Corte IDH Car"/>
    <w:link w:val="PiedepginasCorteIDH"/>
    <w:rsid w:val="000B20B0"/>
    <w:rPr>
      <w:rFonts w:eastAsia="Times New Roman" w:cs="Verdana"/>
      <w:sz w:val="16"/>
      <w:szCs w:val="16"/>
      <w:lang w:val="es-ES" w:bidi="en-US"/>
    </w:rPr>
  </w:style>
  <w:style w:type="paragraph" w:customStyle="1" w:styleId="Prrafodelista3">
    <w:name w:val="Párrafo de lista3"/>
    <w:basedOn w:val="Normal"/>
    <w:qFormat/>
    <w:rsid w:val="000B20B0"/>
    <w:pPr>
      <w:widowControl/>
      <w:adjustRightInd/>
      <w:spacing w:after="200" w:line="240" w:lineRule="auto"/>
      <w:ind w:left="720"/>
      <w:contextualSpacing/>
      <w:textAlignment w:val="auto"/>
    </w:pPr>
    <w:rPr>
      <w:rFonts w:ascii="Calibri" w:eastAsia="Calibri" w:hAnsi="Calibri"/>
      <w:sz w:val="22"/>
      <w:szCs w:val="22"/>
      <w:lang w:eastAsia="en-US"/>
    </w:rPr>
  </w:style>
  <w:style w:type="paragraph" w:styleId="NoSpacing">
    <w:name w:val="No Spacing"/>
    <w:uiPriority w:val="1"/>
    <w:qFormat/>
    <w:rsid w:val="00CB535D"/>
    <w:pPr>
      <w:jc w:val="both"/>
    </w:pPr>
    <w:rPr>
      <w:rFonts w:cs="Calibri"/>
      <w:szCs w:val="22"/>
      <w:lang w:val="es-MX"/>
    </w:rPr>
  </w:style>
  <w:style w:type="numbering" w:customStyle="1" w:styleId="NoList2">
    <w:name w:val="No List2"/>
    <w:next w:val="NoList"/>
    <w:uiPriority w:val="99"/>
    <w:semiHidden/>
    <w:unhideWhenUsed/>
    <w:rsid w:val="000C193E"/>
  </w:style>
  <w:style w:type="character" w:customStyle="1" w:styleId="TextonotapieCar">
    <w:name w:val="Texto nota pie Car"/>
    <w:uiPriority w:val="99"/>
    <w:semiHidden/>
    <w:rsid w:val="000C193E"/>
    <w:rPr>
      <w:rFonts w:ascii="Verdana" w:eastAsia="Batang" w:hAnsi="Verdana" w:cs="Times"/>
      <w:sz w:val="20"/>
      <w:szCs w:val="20"/>
      <w:lang w:val="es-ES_tradnl"/>
    </w:rPr>
  </w:style>
  <w:style w:type="character" w:customStyle="1" w:styleId="TextonotaalfinalCar">
    <w:name w:val="Texto nota al final Car"/>
    <w:semiHidden/>
    <w:rsid w:val="000C193E"/>
    <w:rPr>
      <w:rFonts w:ascii="Verdana" w:eastAsia="Batang" w:hAnsi="Verdana" w:cs="Times"/>
      <w:sz w:val="20"/>
      <w:szCs w:val="20"/>
      <w:lang w:val="es-ES_tradnl"/>
    </w:rPr>
  </w:style>
  <w:style w:type="character" w:customStyle="1" w:styleId="st">
    <w:name w:val="st"/>
    <w:rsid w:val="000C193E"/>
    <w:rPr>
      <w:rFonts w:cs="Times New Roman"/>
    </w:rPr>
  </w:style>
  <w:style w:type="numbering" w:customStyle="1" w:styleId="NoList3">
    <w:name w:val="No List3"/>
    <w:next w:val="NoList"/>
    <w:uiPriority w:val="99"/>
    <w:semiHidden/>
    <w:unhideWhenUsed/>
    <w:rsid w:val="00046981"/>
  </w:style>
  <w:style w:type="paragraph" w:styleId="TOCHeading">
    <w:name w:val="TOC Heading"/>
    <w:basedOn w:val="Heading1"/>
    <w:next w:val="Normal"/>
    <w:uiPriority w:val="39"/>
    <w:semiHidden/>
    <w:unhideWhenUsed/>
    <w:qFormat/>
    <w:rsid w:val="00373E94"/>
    <w:pPr>
      <w:widowControl/>
      <w:tabs>
        <w:tab w:val="clear" w:pos="720"/>
      </w:tabs>
      <w:adjustRightInd/>
      <w:spacing w:before="480" w:line="276" w:lineRule="auto"/>
      <w:jc w:val="left"/>
      <w:textAlignment w:val="auto"/>
      <w:outlineLvl w:val="9"/>
    </w:pPr>
    <w:rPr>
      <w:rFonts w:ascii="Cambria" w:eastAsia="MS Gothic" w:hAnsi="Cambria"/>
      <w:caps w:val="0"/>
      <w:snapToGrid/>
      <w:color w:val="365F91"/>
      <w:spacing w:val="0"/>
      <w:sz w:val="28"/>
      <w:szCs w:val="28"/>
      <w:lang w:val="en-US" w:eastAsia="ja-JP"/>
    </w:rPr>
  </w:style>
  <w:style w:type="paragraph" w:styleId="BodyText">
    <w:name w:val="Body Text"/>
    <w:basedOn w:val="Normal"/>
    <w:link w:val="BodyTextChar"/>
    <w:uiPriority w:val="99"/>
    <w:unhideWhenUsed/>
    <w:rsid w:val="00586941"/>
    <w:pPr>
      <w:spacing w:after="120"/>
    </w:pPr>
  </w:style>
  <w:style w:type="character" w:customStyle="1" w:styleId="BodyTextChar">
    <w:name w:val="Body Text Char"/>
    <w:link w:val="BodyText"/>
    <w:uiPriority w:val="99"/>
    <w:rsid w:val="00586941"/>
    <w:rPr>
      <w:rFonts w:eastAsia="Times New Roman"/>
      <w:sz w:val="24"/>
      <w:szCs w:val="24"/>
      <w:lang w:val="es-CR" w:eastAsia="es-CR"/>
    </w:rPr>
  </w:style>
  <w:style w:type="numbering" w:customStyle="1" w:styleId="NoList4">
    <w:name w:val="No List4"/>
    <w:next w:val="NoList"/>
    <w:uiPriority w:val="99"/>
    <w:semiHidden/>
    <w:unhideWhenUsed/>
    <w:rsid w:val="005371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032662">
      <w:bodyDiv w:val="1"/>
      <w:marLeft w:val="0"/>
      <w:marRight w:val="0"/>
      <w:marTop w:val="0"/>
      <w:marBottom w:val="0"/>
      <w:divBdr>
        <w:top w:val="none" w:sz="0" w:space="0" w:color="auto"/>
        <w:left w:val="none" w:sz="0" w:space="0" w:color="auto"/>
        <w:bottom w:val="none" w:sz="0" w:space="0" w:color="auto"/>
        <w:right w:val="none" w:sz="0" w:space="0" w:color="auto"/>
      </w:divBdr>
    </w:div>
    <w:div w:id="58140428">
      <w:bodyDiv w:val="1"/>
      <w:marLeft w:val="0"/>
      <w:marRight w:val="0"/>
      <w:marTop w:val="0"/>
      <w:marBottom w:val="0"/>
      <w:divBdr>
        <w:top w:val="none" w:sz="0" w:space="0" w:color="auto"/>
        <w:left w:val="none" w:sz="0" w:space="0" w:color="auto"/>
        <w:bottom w:val="none" w:sz="0" w:space="0" w:color="auto"/>
        <w:right w:val="none" w:sz="0" w:space="0" w:color="auto"/>
      </w:divBdr>
      <w:divsChild>
        <w:div w:id="1038241894">
          <w:marLeft w:val="0"/>
          <w:marRight w:val="0"/>
          <w:marTop w:val="0"/>
          <w:marBottom w:val="0"/>
          <w:divBdr>
            <w:top w:val="none" w:sz="0" w:space="0" w:color="auto"/>
            <w:left w:val="none" w:sz="0" w:space="0" w:color="auto"/>
            <w:bottom w:val="none" w:sz="0" w:space="0" w:color="auto"/>
            <w:right w:val="none" w:sz="0" w:space="0" w:color="auto"/>
          </w:divBdr>
          <w:divsChild>
            <w:div w:id="815923955">
              <w:marLeft w:val="0"/>
              <w:marRight w:val="0"/>
              <w:marTop w:val="0"/>
              <w:marBottom w:val="0"/>
              <w:divBdr>
                <w:top w:val="none" w:sz="0" w:space="0" w:color="auto"/>
                <w:left w:val="none" w:sz="0" w:space="0" w:color="auto"/>
                <w:bottom w:val="none" w:sz="0" w:space="0" w:color="auto"/>
                <w:right w:val="none" w:sz="0" w:space="0" w:color="auto"/>
              </w:divBdr>
              <w:divsChild>
                <w:div w:id="82359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6930">
      <w:bodyDiv w:val="1"/>
      <w:marLeft w:val="0"/>
      <w:marRight w:val="0"/>
      <w:marTop w:val="0"/>
      <w:marBottom w:val="0"/>
      <w:divBdr>
        <w:top w:val="none" w:sz="0" w:space="0" w:color="auto"/>
        <w:left w:val="none" w:sz="0" w:space="0" w:color="auto"/>
        <w:bottom w:val="none" w:sz="0" w:space="0" w:color="auto"/>
        <w:right w:val="none" w:sz="0" w:space="0" w:color="auto"/>
      </w:divBdr>
    </w:div>
    <w:div w:id="128012820">
      <w:bodyDiv w:val="1"/>
      <w:marLeft w:val="0"/>
      <w:marRight w:val="0"/>
      <w:marTop w:val="0"/>
      <w:marBottom w:val="0"/>
      <w:divBdr>
        <w:top w:val="none" w:sz="0" w:space="0" w:color="auto"/>
        <w:left w:val="none" w:sz="0" w:space="0" w:color="auto"/>
        <w:bottom w:val="none" w:sz="0" w:space="0" w:color="auto"/>
        <w:right w:val="none" w:sz="0" w:space="0" w:color="auto"/>
      </w:divBdr>
    </w:div>
    <w:div w:id="184171687">
      <w:bodyDiv w:val="1"/>
      <w:marLeft w:val="0"/>
      <w:marRight w:val="0"/>
      <w:marTop w:val="0"/>
      <w:marBottom w:val="0"/>
      <w:divBdr>
        <w:top w:val="none" w:sz="0" w:space="0" w:color="auto"/>
        <w:left w:val="none" w:sz="0" w:space="0" w:color="auto"/>
        <w:bottom w:val="none" w:sz="0" w:space="0" w:color="auto"/>
        <w:right w:val="none" w:sz="0" w:space="0" w:color="auto"/>
      </w:divBdr>
      <w:divsChild>
        <w:div w:id="1476409862">
          <w:marLeft w:val="0"/>
          <w:marRight w:val="0"/>
          <w:marTop w:val="0"/>
          <w:marBottom w:val="0"/>
          <w:divBdr>
            <w:top w:val="none" w:sz="0" w:space="0" w:color="auto"/>
            <w:left w:val="none" w:sz="0" w:space="0" w:color="auto"/>
            <w:bottom w:val="none" w:sz="0" w:space="0" w:color="auto"/>
            <w:right w:val="none" w:sz="0" w:space="0" w:color="auto"/>
          </w:divBdr>
          <w:divsChild>
            <w:div w:id="1115369628">
              <w:marLeft w:val="0"/>
              <w:marRight w:val="0"/>
              <w:marTop w:val="0"/>
              <w:marBottom w:val="0"/>
              <w:divBdr>
                <w:top w:val="none" w:sz="0" w:space="0" w:color="auto"/>
                <w:left w:val="none" w:sz="0" w:space="0" w:color="auto"/>
                <w:bottom w:val="none" w:sz="0" w:space="0" w:color="auto"/>
                <w:right w:val="none" w:sz="0" w:space="0" w:color="auto"/>
              </w:divBdr>
              <w:divsChild>
                <w:div w:id="30127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644887">
      <w:bodyDiv w:val="1"/>
      <w:marLeft w:val="0"/>
      <w:marRight w:val="0"/>
      <w:marTop w:val="0"/>
      <w:marBottom w:val="0"/>
      <w:divBdr>
        <w:top w:val="none" w:sz="0" w:space="0" w:color="auto"/>
        <w:left w:val="none" w:sz="0" w:space="0" w:color="auto"/>
        <w:bottom w:val="none" w:sz="0" w:space="0" w:color="auto"/>
        <w:right w:val="none" w:sz="0" w:space="0" w:color="auto"/>
      </w:divBdr>
    </w:div>
    <w:div w:id="237710341">
      <w:bodyDiv w:val="1"/>
      <w:marLeft w:val="0"/>
      <w:marRight w:val="0"/>
      <w:marTop w:val="0"/>
      <w:marBottom w:val="0"/>
      <w:divBdr>
        <w:top w:val="none" w:sz="0" w:space="0" w:color="auto"/>
        <w:left w:val="none" w:sz="0" w:space="0" w:color="auto"/>
        <w:bottom w:val="none" w:sz="0" w:space="0" w:color="auto"/>
        <w:right w:val="none" w:sz="0" w:space="0" w:color="auto"/>
      </w:divBdr>
    </w:div>
    <w:div w:id="291401026">
      <w:bodyDiv w:val="1"/>
      <w:marLeft w:val="0"/>
      <w:marRight w:val="0"/>
      <w:marTop w:val="0"/>
      <w:marBottom w:val="0"/>
      <w:divBdr>
        <w:top w:val="none" w:sz="0" w:space="0" w:color="auto"/>
        <w:left w:val="none" w:sz="0" w:space="0" w:color="auto"/>
        <w:bottom w:val="none" w:sz="0" w:space="0" w:color="auto"/>
        <w:right w:val="none" w:sz="0" w:space="0" w:color="auto"/>
      </w:divBdr>
    </w:div>
    <w:div w:id="318731090">
      <w:bodyDiv w:val="1"/>
      <w:marLeft w:val="0"/>
      <w:marRight w:val="0"/>
      <w:marTop w:val="0"/>
      <w:marBottom w:val="0"/>
      <w:divBdr>
        <w:top w:val="none" w:sz="0" w:space="0" w:color="auto"/>
        <w:left w:val="none" w:sz="0" w:space="0" w:color="auto"/>
        <w:bottom w:val="none" w:sz="0" w:space="0" w:color="auto"/>
        <w:right w:val="none" w:sz="0" w:space="0" w:color="auto"/>
      </w:divBdr>
    </w:div>
    <w:div w:id="347563837">
      <w:bodyDiv w:val="1"/>
      <w:marLeft w:val="0"/>
      <w:marRight w:val="0"/>
      <w:marTop w:val="0"/>
      <w:marBottom w:val="0"/>
      <w:divBdr>
        <w:top w:val="none" w:sz="0" w:space="0" w:color="auto"/>
        <w:left w:val="none" w:sz="0" w:space="0" w:color="auto"/>
        <w:bottom w:val="none" w:sz="0" w:space="0" w:color="auto"/>
        <w:right w:val="none" w:sz="0" w:space="0" w:color="auto"/>
      </w:divBdr>
    </w:div>
    <w:div w:id="373307977">
      <w:bodyDiv w:val="1"/>
      <w:marLeft w:val="0"/>
      <w:marRight w:val="0"/>
      <w:marTop w:val="0"/>
      <w:marBottom w:val="0"/>
      <w:divBdr>
        <w:top w:val="none" w:sz="0" w:space="0" w:color="auto"/>
        <w:left w:val="none" w:sz="0" w:space="0" w:color="auto"/>
        <w:bottom w:val="none" w:sz="0" w:space="0" w:color="auto"/>
        <w:right w:val="none" w:sz="0" w:space="0" w:color="auto"/>
      </w:divBdr>
    </w:div>
    <w:div w:id="471680608">
      <w:bodyDiv w:val="1"/>
      <w:marLeft w:val="0"/>
      <w:marRight w:val="0"/>
      <w:marTop w:val="0"/>
      <w:marBottom w:val="0"/>
      <w:divBdr>
        <w:top w:val="none" w:sz="0" w:space="0" w:color="auto"/>
        <w:left w:val="none" w:sz="0" w:space="0" w:color="auto"/>
        <w:bottom w:val="none" w:sz="0" w:space="0" w:color="auto"/>
        <w:right w:val="none" w:sz="0" w:space="0" w:color="auto"/>
      </w:divBdr>
    </w:div>
    <w:div w:id="529608891">
      <w:bodyDiv w:val="1"/>
      <w:marLeft w:val="0"/>
      <w:marRight w:val="0"/>
      <w:marTop w:val="0"/>
      <w:marBottom w:val="0"/>
      <w:divBdr>
        <w:top w:val="none" w:sz="0" w:space="0" w:color="auto"/>
        <w:left w:val="none" w:sz="0" w:space="0" w:color="auto"/>
        <w:bottom w:val="none" w:sz="0" w:space="0" w:color="auto"/>
        <w:right w:val="none" w:sz="0" w:space="0" w:color="auto"/>
      </w:divBdr>
    </w:div>
    <w:div w:id="543248420">
      <w:bodyDiv w:val="1"/>
      <w:marLeft w:val="0"/>
      <w:marRight w:val="0"/>
      <w:marTop w:val="0"/>
      <w:marBottom w:val="0"/>
      <w:divBdr>
        <w:top w:val="none" w:sz="0" w:space="0" w:color="auto"/>
        <w:left w:val="none" w:sz="0" w:space="0" w:color="auto"/>
        <w:bottom w:val="none" w:sz="0" w:space="0" w:color="auto"/>
        <w:right w:val="none" w:sz="0" w:space="0" w:color="auto"/>
      </w:divBdr>
    </w:div>
    <w:div w:id="565452584">
      <w:bodyDiv w:val="1"/>
      <w:marLeft w:val="0"/>
      <w:marRight w:val="0"/>
      <w:marTop w:val="0"/>
      <w:marBottom w:val="0"/>
      <w:divBdr>
        <w:top w:val="none" w:sz="0" w:space="0" w:color="auto"/>
        <w:left w:val="none" w:sz="0" w:space="0" w:color="auto"/>
        <w:bottom w:val="none" w:sz="0" w:space="0" w:color="auto"/>
        <w:right w:val="none" w:sz="0" w:space="0" w:color="auto"/>
      </w:divBdr>
    </w:div>
    <w:div w:id="569770470">
      <w:bodyDiv w:val="1"/>
      <w:marLeft w:val="0"/>
      <w:marRight w:val="0"/>
      <w:marTop w:val="0"/>
      <w:marBottom w:val="0"/>
      <w:divBdr>
        <w:top w:val="none" w:sz="0" w:space="0" w:color="auto"/>
        <w:left w:val="none" w:sz="0" w:space="0" w:color="auto"/>
        <w:bottom w:val="none" w:sz="0" w:space="0" w:color="auto"/>
        <w:right w:val="none" w:sz="0" w:space="0" w:color="auto"/>
      </w:divBdr>
    </w:div>
    <w:div w:id="605504403">
      <w:bodyDiv w:val="1"/>
      <w:marLeft w:val="0"/>
      <w:marRight w:val="0"/>
      <w:marTop w:val="0"/>
      <w:marBottom w:val="0"/>
      <w:divBdr>
        <w:top w:val="none" w:sz="0" w:space="0" w:color="auto"/>
        <w:left w:val="none" w:sz="0" w:space="0" w:color="auto"/>
        <w:bottom w:val="none" w:sz="0" w:space="0" w:color="auto"/>
        <w:right w:val="none" w:sz="0" w:space="0" w:color="auto"/>
      </w:divBdr>
    </w:div>
    <w:div w:id="670723621">
      <w:bodyDiv w:val="1"/>
      <w:marLeft w:val="0"/>
      <w:marRight w:val="0"/>
      <w:marTop w:val="0"/>
      <w:marBottom w:val="0"/>
      <w:divBdr>
        <w:top w:val="none" w:sz="0" w:space="0" w:color="auto"/>
        <w:left w:val="none" w:sz="0" w:space="0" w:color="auto"/>
        <w:bottom w:val="none" w:sz="0" w:space="0" w:color="auto"/>
        <w:right w:val="none" w:sz="0" w:space="0" w:color="auto"/>
      </w:divBdr>
    </w:div>
    <w:div w:id="685598990">
      <w:bodyDiv w:val="1"/>
      <w:marLeft w:val="0"/>
      <w:marRight w:val="0"/>
      <w:marTop w:val="0"/>
      <w:marBottom w:val="0"/>
      <w:divBdr>
        <w:top w:val="none" w:sz="0" w:space="0" w:color="auto"/>
        <w:left w:val="none" w:sz="0" w:space="0" w:color="auto"/>
        <w:bottom w:val="none" w:sz="0" w:space="0" w:color="auto"/>
        <w:right w:val="none" w:sz="0" w:space="0" w:color="auto"/>
      </w:divBdr>
    </w:div>
    <w:div w:id="694044689">
      <w:bodyDiv w:val="1"/>
      <w:marLeft w:val="0"/>
      <w:marRight w:val="0"/>
      <w:marTop w:val="0"/>
      <w:marBottom w:val="0"/>
      <w:divBdr>
        <w:top w:val="none" w:sz="0" w:space="0" w:color="auto"/>
        <w:left w:val="none" w:sz="0" w:space="0" w:color="auto"/>
        <w:bottom w:val="none" w:sz="0" w:space="0" w:color="auto"/>
        <w:right w:val="none" w:sz="0" w:space="0" w:color="auto"/>
      </w:divBdr>
    </w:div>
    <w:div w:id="798914398">
      <w:bodyDiv w:val="1"/>
      <w:marLeft w:val="0"/>
      <w:marRight w:val="0"/>
      <w:marTop w:val="0"/>
      <w:marBottom w:val="0"/>
      <w:divBdr>
        <w:top w:val="none" w:sz="0" w:space="0" w:color="auto"/>
        <w:left w:val="none" w:sz="0" w:space="0" w:color="auto"/>
        <w:bottom w:val="none" w:sz="0" w:space="0" w:color="auto"/>
        <w:right w:val="none" w:sz="0" w:space="0" w:color="auto"/>
      </w:divBdr>
    </w:div>
    <w:div w:id="851185808">
      <w:bodyDiv w:val="1"/>
      <w:marLeft w:val="0"/>
      <w:marRight w:val="0"/>
      <w:marTop w:val="0"/>
      <w:marBottom w:val="0"/>
      <w:divBdr>
        <w:top w:val="none" w:sz="0" w:space="0" w:color="auto"/>
        <w:left w:val="none" w:sz="0" w:space="0" w:color="auto"/>
        <w:bottom w:val="none" w:sz="0" w:space="0" w:color="auto"/>
        <w:right w:val="none" w:sz="0" w:space="0" w:color="auto"/>
      </w:divBdr>
    </w:div>
    <w:div w:id="854465209">
      <w:bodyDiv w:val="1"/>
      <w:marLeft w:val="0"/>
      <w:marRight w:val="0"/>
      <w:marTop w:val="0"/>
      <w:marBottom w:val="0"/>
      <w:divBdr>
        <w:top w:val="none" w:sz="0" w:space="0" w:color="auto"/>
        <w:left w:val="none" w:sz="0" w:space="0" w:color="auto"/>
        <w:bottom w:val="none" w:sz="0" w:space="0" w:color="auto"/>
        <w:right w:val="none" w:sz="0" w:space="0" w:color="auto"/>
      </w:divBdr>
    </w:div>
    <w:div w:id="859052679">
      <w:bodyDiv w:val="1"/>
      <w:marLeft w:val="0"/>
      <w:marRight w:val="0"/>
      <w:marTop w:val="0"/>
      <w:marBottom w:val="0"/>
      <w:divBdr>
        <w:top w:val="none" w:sz="0" w:space="0" w:color="auto"/>
        <w:left w:val="none" w:sz="0" w:space="0" w:color="auto"/>
        <w:bottom w:val="none" w:sz="0" w:space="0" w:color="auto"/>
        <w:right w:val="none" w:sz="0" w:space="0" w:color="auto"/>
      </w:divBdr>
    </w:div>
    <w:div w:id="932860996">
      <w:bodyDiv w:val="1"/>
      <w:marLeft w:val="0"/>
      <w:marRight w:val="0"/>
      <w:marTop w:val="0"/>
      <w:marBottom w:val="0"/>
      <w:divBdr>
        <w:top w:val="none" w:sz="0" w:space="0" w:color="auto"/>
        <w:left w:val="none" w:sz="0" w:space="0" w:color="auto"/>
        <w:bottom w:val="none" w:sz="0" w:space="0" w:color="auto"/>
        <w:right w:val="none" w:sz="0" w:space="0" w:color="auto"/>
      </w:divBdr>
    </w:div>
    <w:div w:id="1010107963">
      <w:bodyDiv w:val="1"/>
      <w:marLeft w:val="0"/>
      <w:marRight w:val="0"/>
      <w:marTop w:val="0"/>
      <w:marBottom w:val="0"/>
      <w:divBdr>
        <w:top w:val="none" w:sz="0" w:space="0" w:color="auto"/>
        <w:left w:val="none" w:sz="0" w:space="0" w:color="auto"/>
        <w:bottom w:val="none" w:sz="0" w:space="0" w:color="auto"/>
        <w:right w:val="none" w:sz="0" w:space="0" w:color="auto"/>
      </w:divBdr>
    </w:div>
    <w:div w:id="1167987394">
      <w:bodyDiv w:val="1"/>
      <w:marLeft w:val="0"/>
      <w:marRight w:val="0"/>
      <w:marTop w:val="0"/>
      <w:marBottom w:val="0"/>
      <w:divBdr>
        <w:top w:val="none" w:sz="0" w:space="0" w:color="auto"/>
        <w:left w:val="none" w:sz="0" w:space="0" w:color="auto"/>
        <w:bottom w:val="none" w:sz="0" w:space="0" w:color="auto"/>
        <w:right w:val="none" w:sz="0" w:space="0" w:color="auto"/>
      </w:divBdr>
    </w:div>
    <w:div w:id="1229076929">
      <w:bodyDiv w:val="1"/>
      <w:marLeft w:val="0"/>
      <w:marRight w:val="0"/>
      <w:marTop w:val="0"/>
      <w:marBottom w:val="0"/>
      <w:divBdr>
        <w:top w:val="none" w:sz="0" w:space="0" w:color="auto"/>
        <w:left w:val="none" w:sz="0" w:space="0" w:color="auto"/>
        <w:bottom w:val="none" w:sz="0" w:space="0" w:color="auto"/>
        <w:right w:val="none" w:sz="0" w:space="0" w:color="auto"/>
      </w:divBdr>
      <w:divsChild>
        <w:div w:id="483082343">
          <w:marLeft w:val="0"/>
          <w:marRight w:val="0"/>
          <w:marTop w:val="0"/>
          <w:marBottom w:val="0"/>
          <w:divBdr>
            <w:top w:val="none" w:sz="0" w:space="0" w:color="auto"/>
            <w:left w:val="none" w:sz="0" w:space="0" w:color="auto"/>
            <w:bottom w:val="none" w:sz="0" w:space="0" w:color="auto"/>
            <w:right w:val="none" w:sz="0" w:space="0" w:color="auto"/>
          </w:divBdr>
          <w:divsChild>
            <w:div w:id="1704016837">
              <w:marLeft w:val="0"/>
              <w:marRight w:val="0"/>
              <w:marTop w:val="0"/>
              <w:marBottom w:val="0"/>
              <w:divBdr>
                <w:top w:val="none" w:sz="0" w:space="0" w:color="auto"/>
                <w:left w:val="none" w:sz="0" w:space="0" w:color="auto"/>
                <w:bottom w:val="none" w:sz="0" w:space="0" w:color="auto"/>
                <w:right w:val="none" w:sz="0" w:space="0" w:color="auto"/>
              </w:divBdr>
              <w:divsChild>
                <w:div w:id="206255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367710">
      <w:bodyDiv w:val="1"/>
      <w:marLeft w:val="0"/>
      <w:marRight w:val="0"/>
      <w:marTop w:val="0"/>
      <w:marBottom w:val="0"/>
      <w:divBdr>
        <w:top w:val="none" w:sz="0" w:space="0" w:color="auto"/>
        <w:left w:val="none" w:sz="0" w:space="0" w:color="auto"/>
        <w:bottom w:val="none" w:sz="0" w:space="0" w:color="auto"/>
        <w:right w:val="none" w:sz="0" w:space="0" w:color="auto"/>
      </w:divBdr>
    </w:div>
    <w:div w:id="1293752727">
      <w:bodyDiv w:val="1"/>
      <w:marLeft w:val="0"/>
      <w:marRight w:val="0"/>
      <w:marTop w:val="0"/>
      <w:marBottom w:val="0"/>
      <w:divBdr>
        <w:top w:val="none" w:sz="0" w:space="0" w:color="auto"/>
        <w:left w:val="none" w:sz="0" w:space="0" w:color="auto"/>
        <w:bottom w:val="none" w:sz="0" w:space="0" w:color="auto"/>
        <w:right w:val="none" w:sz="0" w:space="0" w:color="auto"/>
      </w:divBdr>
    </w:div>
    <w:div w:id="1355573152">
      <w:bodyDiv w:val="1"/>
      <w:marLeft w:val="0"/>
      <w:marRight w:val="0"/>
      <w:marTop w:val="0"/>
      <w:marBottom w:val="0"/>
      <w:divBdr>
        <w:top w:val="none" w:sz="0" w:space="0" w:color="auto"/>
        <w:left w:val="none" w:sz="0" w:space="0" w:color="auto"/>
        <w:bottom w:val="none" w:sz="0" w:space="0" w:color="auto"/>
        <w:right w:val="none" w:sz="0" w:space="0" w:color="auto"/>
      </w:divBdr>
    </w:div>
    <w:div w:id="1548837122">
      <w:bodyDiv w:val="1"/>
      <w:marLeft w:val="0"/>
      <w:marRight w:val="0"/>
      <w:marTop w:val="0"/>
      <w:marBottom w:val="0"/>
      <w:divBdr>
        <w:top w:val="none" w:sz="0" w:space="0" w:color="auto"/>
        <w:left w:val="none" w:sz="0" w:space="0" w:color="auto"/>
        <w:bottom w:val="none" w:sz="0" w:space="0" w:color="auto"/>
        <w:right w:val="none" w:sz="0" w:space="0" w:color="auto"/>
      </w:divBdr>
    </w:div>
    <w:div w:id="1554930347">
      <w:bodyDiv w:val="1"/>
      <w:marLeft w:val="0"/>
      <w:marRight w:val="0"/>
      <w:marTop w:val="0"/>
      <w:marBottom w:val="0"/>
      <w:divBdr>
        <w:top w:val="none" w:sz="0" w:space="0" w:color="auto"/>
        <w:left w:val="none" w:sz="0" w:space="0" w:color="auto"/>
        <w:bottom w:val="none" w:sz="0" w:space="0" w:color="auto"/>
        <w:right w:val="none" w:sz="0" w:space="0" w:color="auto"/>
      </w:divBdr>
      <w:divsChild>
        <w:div w:id="293603497">
          <w:marLeft w:val="0"/>
          <w:marRight w:val="0"/>
          <w:marTop w:val="0"/>
          <w:marBottom w:val="0"/>
          <w:divBdr>
            <w:top w:val="none" w:sz="0" w:space="0" w:color="auto"/>
            <w:left w:val="none" w:sz="0" w:space="0" w:color="auto"/>
            <w:bottom w:val="none" w:sz="0" w:space="0" w:color="auto"/>
            <w:right w:val="none" w:sz="0" w:space="0" w:color="auto"/>
          </w:divBdr>
        </w:div>
        <w:div w:id="345718998">
          <w:marLeft w:val="0"/>
          <w:marRight w:val="0"/>
          <w:marTop w:val="0"/>
          <w:marBottom w:val="0"/>
          <w:divBdr>
            <w:top w:val="none" w:sz="0" w:space="0" w:color="auto"/>
            <w:left w:val="none" w:sz="0" w:space="0" w:color="auto"/>
            <w:bottom w:val="none" w:sz="0" w:space="0" w:color="auto"/>
            <w:right w:val="none" w:sz="0" w:space="0" w:color="auto"/>
          </w:divBdr>
        </w:div>
        <w:div w:id="1324314958">
          <w:marLeft w:val="0"/>
          <w:marRight w:val="0"/>
          <w:marTop w:val="0"/>
          <w:marBottom w:val="0"/>
          <w:divBdr>
            <w:top w:val="none" w:sz="0" w:space="0" w:color="auto"/>
            <w:left w:val="none" w:sz="0" w:space="0" w:color="auto"/>
            <w:bottom w:val="none" w:sz="0" w:space="0" w:color="auto"/>
            <w:right w:val="none" w:sz="0" w:space="0" w:color="auto"/>
          </w:divBdr>
        </w:div>
        <w:div w:id="1607033659">
          <w:marLeft w:val="0"/>
          <w:marRight w:val="0"/>
          <w:marTop w:val="0"/>
          <w:marBottom w:val="0"/>
          <w:divBdr>
            <w:top w:val="none" w:sz="0" w:space="0" w:color="auto"/>
            <w:left w:val="none" w:sz="0" w:space="0" w:color="auto"/>
            <w:bottom w:val="none" w:sz="0" w:space="0" w:color="auto"/>
            <w:right w:val="none" w:sz="0" w:space="0" w:color="auto"/>
          </w:divBdr>
        </w:div>
        <w:div w:id="1921480706">
          <w:marLeft w:val="0"/>
          <w:marRight w:val="0"/>
          <w:marTop w:val="0"/>
          <w:marBottom w:val="0"/>
          <w:divBdr>
            <w:top w:val="none" w:sz="0" w:space="0" w:color="auto"/>
            <w:left w:val="none" w:sz="0" w:space="0" w:color="auto"/>
            <w:bottom w:val="none" w:sz="0" w:space="0" w:color="auto"/>
            <w:right w:val="none" w:sz="0" w:space="0" w:color="auto"/>
          </w:divBdr>
        </w:div>
      </w:divsChild>
    </w:div>
    <w:div w:id="1560752061">
      <w:bodyDiv w:val="1"/>
      <w:marLeft w:val="0"/>
      <w:marRight w:val="0"/>
      <w:marTop w:val="0"/>
      <w:marBottom w:val="0"/>
      <w:divBdr>
        <w:top w:val="none" w:sz="0" w:space="0" w:color="auto"/>
        <w:left w:val="none" w:sz="0" w:space="0" w:color="auto"/>
        <w:bottom w:val="none" w:sz="0" w:space="0" w:color="auto"/>
        <w:right w:val="none" w:sz="0" w:space="0" w:color="auto"/>
      </w:divBdr>
    </w:div>
    <w:div w:id="1567371784">
      <w:bodyDiv w:val="1"/>
      <w:marLeft w:val="0"/>
      <w:marRight w:val="0"/>
      <w:marTop w:val="0"/>
      <w:marBottom w:val="0"/>
      <w:divBdr>
        <w:top w:val="none" w:sz="0" w:space="0" w:color="auto"/>
        <w:left w:val="none" w:sz="0" w:space="0" w:color="auto"/>
        <w:bottom w:val="none" w:sz="0" w:space="0" w:color="auto"/>
        <w:right w:val="none" w:sz="0" w:space="0" w:color="auto"/>
      </w:divBdr>
    </w:div>
    <w:div w:id="1571961969">
      <w:bodyDiv w:val="1"/>
      <w:marLeft w:val="0"/>
      <w:marRight w:val="0"/>
      <w:marTop w:val="0"/>
      <w:marBottom w:val="0"/>
      <w:divBdr>
        <w:top w:val="none" w:sz="0" w:space="0" w:color="auto"/>
        <w:left w:val="none" w:sz="0" w:space="0" w:color="auto"/>
        <w:bottom w:val="none" w:sz="0" w:space="0" w:color="auto"/>
        <w:right w:val="none" w:sz="0" w:space="0" w:color="auto"/>
      </w:divBdr>
    </w:div>
    <w:div w:id="1577352639">
      <w:bodyDiv w:val="1"/>
      <w:marLeft w:val="0"/>
      <w:marRight w:val="0"/>
      <w:marTop w:val="0"/>
      <w:marBottom w:val="0"/>
      <w:divBdr>
        <w:top w:val="none" w:sz="0" w:space="0" w:color="auto"/>
        <w:left w:val="none" w:sz="0" w:space="0" w:color="auto"/>
        <w:bottom w:val="none" w:sz="0" w:space="0" w:color="auto"/>
        <w:right w:val="none" w:sz="0" w:space="0" w:color="auto"/>
      </w:divBdr>
    </w:div>
    <w:div w:id="1644654016">
      <w:bodyDiv w:val="1"/>
      <w:marLeft w:val="0"/>
      <w:marRight w:val="0"/>
      <w:marTop w:val="0"/>
      <w:marBottom w:val="0"/>
      <w:divBdr>
        <w:top w:val="none" w:sz="0" w:space="0" w:color="auto"/>
        <w:left w:val="none" w:sz="0" w:space="0" w:color="auto"/>
        <w:bottom w:val="none" w:sz="0" w:space="0" w:color="auto"/>
        <w:right w:val="none" w:sz="0" w:space="0" w:color="auto"/>
      </w:divBdr>
    </w:div>
    <w:div w:id="1713919802">
      <w:bodyDiv w:val="1"/>
      <w:marLeft w:val="0"/>
      <w:marRight w:val="0"/>
      <w:marTop w:val="0"/>
      <w:marBottom w:val="0"/>
      <w:divBdr>
        <w:top w:val="none" w:sz="0" w:space="0" w:color="auto"/>
        <w:left w:val="none" w:sz="0" w:space="0" w:color="auto"/>
        <w:bottom w:val="none" w:sz="0" w:space="0" w:color="auto"/>
        <w:right w:val="none" w:sz="0" w:space="0" w:color="auto"/>
      </w:divBdr>
      <w:divsChild>
        <w:div w:id="805202851">
          <w:marLeft w:val="0"/>
          <w:marRight w:val="0"/>
          <w:marTop w:val="0"/>
          <w:marBottom w:val="0"/>
          <w:divBdr>
            <w:top w:val="none" w:sz="0" w:space="0" w:color="auto"/>
            <w:left w:val="none" w:sz="0" w:space="0" w:color="auto"/>
            <w:bottom w:val="none" w:sz="0" w:space="0" w:color="auto"/>
            <w:right w:val="none" w:sz="0" w:space="0" w:color="auto"/>
          </w:divBdr>
          <w:divsChild>
            <w:div w:id="2044479771">
              <w:marLeft w:val="0"/>
              <w:marRight w:val="0"/>
              <w:marTop w:val="0"/>
              <w:marBottom w:val="0"/>
              <w:divBdr>
                <w:top w:val="none" w:sz="0" w:space="0" w:color="auto"/>
                <w:left w:val="none" w:sz="0" w:space="0" w:color="auto"/>
                <w:bottom w:val="none" w:sz="0" w:space="0" w:color="auto"/>
                <w:right w:val="none" w:sz="0" w:space="0" w:color="auto"/>
              </w:divBdr>
              <w:divsChild>
                <w:div w:id="1125660222">
                  <w:marLeft w:val="0"/>
                  <w:marRight w:val="0"/>
                  <w:marTop w:val="0"/>
                  <w:marBottom w:val="0"/>
                  <w:divBdr>
                    <w:top w:val="none" w:sz="0" w:space="0" w:color="auto"/>
                    <w:left w:val="none" w:sz="0" w:space="0" w:color="auto"/>
                    <w:bottom w:val="none" w:sz="0" w:space="0" w:color="auto"/>
                    <w:right w:val="none" w:sz="0" w:space="0" w:color="auto"/>
                  </w:divBdr>
                  <w:divsChild>
                    <w:div w:id="1572276213">
                      <w:marLeft w:val="0"/>
                      <w:marRight w:val="0"/>
                      <w:marTop w:val="0"/>
                      <w:marBottom w:val="0"/>
                      <w:divBdr>
                        <w:top w:val="none" w:sz="0" w:space="0" w:color="auto"/>
                        <w:left w:val="none" w:sz="0" w:space="0" w:color="auto"/>
                        <w:bottom w:val="none" w:sz="0" w:space="0" w:color="auto"/>
                        <w:right w:val="none" w:sz="0" w:space="0" w:color="auto"/>
                      </w:divBdr>
                      <w:divsChild>
                        <w:div w:id="752774017">
                          <w:marLeft w:val="0"/>
                          <w:marRight w:val="0"/>
                          <w:marTop w:val="0"/>
                          <w:marBottom w:val="0"/>
                          <w:divBdr>
                            <w:top w:val="none" w:sz="0" w:space="0" w:color="auto"/>
                            <w:left w:val="none" w:sz="0" w:space="0" w:color="auto"/>
                            <w:bottom w:val="none" w:sz="0" w:space="0" w:color="auto"/>
                            <w:right w:val="none" w:sz="0" w:space="0" w:color="auto"/>
                          </w:divBdr>
                          <w:divsChild>
                            <w:div w:id="1148204577">
                              <w:marLeft w:val="0"/>
                              <w:marRight w:val="0"/>
                              <w:marTop w:val="0"/>
                              <w:marBottom w:val="0"/>
                              <w:divBdr>
                                <w:top w:val="none" w:sz="0" w:space="0" w:color="auto"/>
                                <w:left w:val="none" w:sz="0" w:space="0" w:color="auto"/>
                                <w:bottom w:val="none" w:sz="0" w:space="0" w:color="auto"/>
                                <w:right w:val="none" w:sz="0" w:space="0" w:color="auto"/>
                              </w:divBdr>
                              <w:divsChild>
                                <w:div w:id="2119448575">
                                  <w:marLeft w:val="0"/>
                                  <w:marRight w:val="0"/>
                                  <w:marTop w:val="0"/>
                                  <w:marBottom w:val="0"/>
                                  <w:divBdr>
                                    <w:top w:val="none" w:sz="0" w:space="0" w:color="auto"/>
                                    <w:left w:val="none" w:sz="0" w:space="0" w:color="auto"/>
                                    <w:bottom w:val="none" w:sz="0" w:space="0" w:color="auto"/>
                                    <w:right w:val="none" w:sz="0" w:space="0" w:color="auto"/>
                                  </w:divBdr>
                                  <w:divsChild>
                                    <w:div w:id="1960451147">
                                      <w:marLeft w:val="0"/>
                                      <w:marRight w:val="0"/>
                                      <w:marTop w:val="0"/>
                                      <w:marBottom w:val="0"/>
                                      <w:divBdr>
                                        <w:top w:val="none" w:sz="0" w:space="0" w:color="auto"/>
                                        <w:left w:val="none" w:sz="0" w:space="0" w:color="auto"/>
                                        <w:bottom w:val="none" w:sz="0" w:space="0" w:color="auto"/>
                                        <w:right w:val="none" w:sz="0" w:space="0" w:color="auto"/>
                                      </w:divBdr>
                                      <w:divsChild>
                                        <w:div w:id="1046223723">
                                          <w:marLeft w:val="0"/>
                                          <w:marRight w:val="0"/>
                                          <w:marTop w:val="0"/>
                                          <w:marBottom w:val="0"/>
                                          <w:divBdr>
                                            <w:top w:val="none" w:sz="0" w:space="0" w:color="auto"/>
                                            <w:left w:val="none" w:sz="0" w:space="0" w:color="auto"/>
                                            <w:bottom w:val="none" w:sz="0" w:space="0" w:color="auto"/>
                                            <w:right w:val="none" w:sz="0" w:space="0" w:color="auto"/>
                                          </w:divBdr>
                                          <w:divsChild>
                                            <w:div w:id="831026196">
                                              <w:marLeft w:val="0"/>
                                              <w:marRight w:val="0"/>
                                              <w:marTop w:val="0"/>
                                              <w:marBottom w:val="0"/>
                                              <w:divBdr>
                                                <w:top w:val="none" w:sz="0" w:space="0" w:color="auto"/>
                                                <w:left w:val="none" w:sz="0" w:space="0" w:color="auto"/>
                                                <w:bottom w:val="none" w:sz="0" w:space="0" w:color="auto"/>
                                                <w:right w:val="none" w:sz="0" w:space="0" w:color="auto"/>
                                              </w:divBdr>
                                              <w:divsChild>
                                                <w:div w:id="1734697952">
                                                  <w:marLeft w:val="0"/>
                                                  <w:marRight w:val="0"/>
                                                  <w:marTop w:val="0"/>
                                                  <w:marBottom w:val="0"/>
                                                  <w:divBdr>
                                                    <w:top w:val="none" w:sz="0" w:space="0" w:color="auto"/>
                                                    <w:left w:val="none" w:sz="0" w:space="0" w:color="auto"/>
                                                    <w:bottom w:val="none" w:sz="0" w:space="0" w:color="auto"/>
                                                    <w:right w:val="none" w:sz="0" w:space="0" w:color="auto"/>
                                                  </w:divBdr>
                                                  <w:divsChild>
                                                    <w:div w:id="701905420">
                                                      <w:marLeft w:val="0"/>
                                                      <w:marRight w:val="0"/>
                                                      <w:marTop w:val="0"/>
                                                      <w:marBottom w:val="0"/>
                                                      <w:divBdr>
                                                        <w:top w:val="none" w:sz="0" w:space="0" w:color="auto"/>
                                                        <w:left w:val="none" w:sz="0" w:space="0" w:color="auto"/>
                                                        <w:bottom w:val="none" w:sz="0" w:space="0" w:color="auto"/>
                                                        <w:right w:val="none" w:sz="0" w:space="0" w:color="auto"/>
                                                      </w:divBdr>
                                                      <w:divsChild>
                                                        <w:div w:id="940916795">
                                                          <w:marLeft w:val="0"/>
                                                          <w:marRight w:val="0"/>
                                                          <w:marTop w:val="0"/>
                                                          <w:marBottom w:val="450"/>
                                                          <w:divBdr>
                                                            <w:top w:val="none" w:sz="0" w:space="0" w:color="auto"/>
                                                            <w:left w:val="none" w:sz="0" w:space="0" w:color="auto"/>
                                                            <w:bottom w:val="none" w:sz="0" w:space="0" w:color="auto"/>
                                                            <w:right w:val="none" w:sz="0" w:space="0" w:color="auto"/>
                                                          </w:divBdr>
                                                          <w:divsChild>
                                                            <w:div w:id="693263635">
                                                              <w:marLeft w:val="0"/>
                                                              <w:marRight w:val="0"/>
                                                              <w:marTop w:val="0"/>
                                                              <w:marBottom w:val="0"/>
                                                              <w:divBdr>
                                                                <w:top w:val="none" w:sz="0" w:space="0" w:color="auto"/>
                                                                <w:left w:val="none" w:sz="0" w:space="0" w:color="auto"/>
                                                                <w:bottom w:val="none" w:sz="0" w:space="0" w:color="auto"/>
                                                                <w:right w:val="none" w:sz="0" w:space="0" w:color="auto"/>
                                                              </w:divBdr>
                                                              <w:divsChild>
                                                                <w:div w:id="2006543589">
                                                                  <w:marLeft w:val="0"/>
                                                                  <w:marRight w:val="0"/>
                                                                  <w:marTop w:val="0"/>
                                                                  <w:marBottom w:val="0"/>
                                                                  <w:divBdr>
                                                                    <w:top w:val="none" w:sz="0" w:space="0" w:color="auto"/>
                                                                    <w:left w:val="none" w:sz="0" w:space="0" w:color="auto"/>
                                                                    <w:bottom w:val="none" w:sz="0" w:space="0" w:color="auto"/>
                                                                    <w:right w:val="none" w:sz="0" w:space="0" w:color="auto"/>
                                                                  </w:divBdr>
                                                                  <w:divsChild>
                                                                    <w:div w:id="2025547269">
                                                                      <w:marLeft w:val="0"/>
                                                                      <w:marRight w:val="0"/>
                                                                      <w:marTop w:val="0"/>
                                                                      <w:marBottom w:val="0"/>
                                                                      <w:divBdr>
                                                                        <w:top w:val="none" w:sz="0" w:space="0" w:color="auto"/>
                                                                        <w:left w:val="none" w:sz="0" w:space="0" w:color="auto"/>
                                                                        <w:bottom w:val="none" w:sz="0" w:space="0" w:color="auto"/>
                                                                        <w:right w:val="none" w:sz="0" w:space="0" w:color="auto"/>
                                                                      </w:divBdr>
                                                                      <w:divsChild>
                                                                        <w:div w:id="1637418958">
                                                                          <w:marLeft w:val="0"/>
                                                                          <w:marRight w:val="0"/>
                                                                          <w:marTop w:val="0"/>
                                                                          <w:marBottom w:val="0"/>
                                                                          <w:divBdr>
                                                                            <w:top w:val="none" w:sz="0" w:space="0" w:color="auto"/>
                                                                            <w:left w:val="none" w:sz="0" w:space="0" w:color="auto"/>
                                                                            <w:bottom w:val="none" w:sz="0" w:space="0" w:color="auto"/>
                                                                            <w:right w:val="none" w:sz="0" w:space="0" w:color="auto"/>
                                                                          </w:divBdr>
                                                                          <w:divsChild>
                                                                            <w:div w:id="1427187223">
                                                                              <w:marLeft w:val="0"/>
                                                                              <w:marRight w:val="0"/>
                                                                              <w:marTop w:val="0"/>
                                                                              <w:marBottom w:val="0"/>
                                                                              <w:divBdr>
                                                                                <w:top w:val="none" w:sz="0" w:space="0" w:color="auto"/>
                                                                                <w:left w:val="none" w:sz="0" w:space="0" w:color="auto"/>
                                                                                <w:bottom w:val="none" w:sz="0" w:space="0" w:color="auto"/>
                                                                                <w:right w:val="none" w:sz="0" w:space="0" w:color="auto"/>
                                                                              </w:divBdr>
                                                                              <w:divsChild>
                                                                                <w:div w:id="1468863615">
                                                                                  <w:marLeft w:val="0"/>
                                                                                  <w:marRight w:val="0"/>
                                                                                  <w:marTop w:val="0"/>
                                                                                  <w:marBottom w:val="0"/>
                                                                                  <w:divBdr>
                                                                                    <w:top w:val="none" w:sz="0" w:space="0" w:color="auto"/>
                                                                                    <w:left w:val="none" w:sz="0" w:space="0" w:color="auto"/>
                                                                                    <w:bottom w:val="none" w:sz="0" w:space="0" w:color="auto"/>
                                                                                    <w:right w:val="none" w:sz="0" w:space="0" w:color="auto"/>
                                                                                  </w:divBdr>
                                                                                  <w:divsChild>
                                                                                    <w:div w:id="504513953">
                                                                                      <w:marLeft w:val="0"/>
                                                                                      <w:marRight w:val="0"/>
                                                                                      <w:marTop w:val="0"/>
                                                                                      <w:marBottom w:val="0"/>
                                                                                      <w:divBdr>
                                                                                        <w:top w:val="none" w:sz="0" w:space="0" w:color="auto"/>
                                                                                        <w:left w:val="none" w:sz="0" w:space="0" w:color="auto"/>
                                                                                        <w:bottom w:val="none" w:sz="0" w:space="0" w:color="auto"/>
                                                                                        <w:right w:val="none" w:sz="0" w:space="0" w:color="auto"/>
                                                                                      </w:divBdr>
                                                                                      <w:divsChild>
                                                                                        <w:div w:id="187735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4588420">
      <w:bodyDiv w:val="1"/>
      <w:marLeft w:val="0"/>
      <w:marRight w:val="0"/>
      <w:marTop w:val="0"/>
      <w:marBottom w:val="0"/>
      <w:divBdr>
        <w:top w:val="none" w:sz="0" w:space="0" w:color="auto"/>
        <w:left w:val="none" w:sz="0" w:space="0" w:color="auto"/>
        <w:bottom w:val="none" w:sz="0" w:space="0" w:color="auto"/>
        <w:right w:val="none" w:sz="0" w:space="0" w:color="auto"/>
      </w:divBdr>
    </w:div>
    <w:div w:id="1775595443">
      <w:bodyDiv w:val="1"/>
      <w:marLeft w:val="0"/>
      <w:marRight w:val="0"/>
      <w:marTop w:val="0"/>
      <w:marBottom w:val="0"/>
      <w:divBdr>
        <w:top w:val="none" w:sz="0" w:space="0" w:color="auto"/>
        <w:left w:val="none" w:sz="0" w:space="0" w:color="auto"/>
        <w:bottom w:val="none" w:sz="0" w:space="0" w:color="auto"/>
        <w:right w:val="none" w:sz="0" w:space="0" w:color="auto"/>
      </w:divBdr>
    </w:div>
    <w:div w:id="1775633366">
      <w:bodyDiv w:val="1"/>
      <w:marLeft w:val="0"/>
      <w:marRight w:val="0"/>
      <w:marTop w:val="0"/>
      <w:marBottom w:val="0"/>
      <w:divBdr>
        <w:top w:val="none" w:sz="0" w:space="0" w:color="auto"/>
        <w:left w:val="none" w:sz="0" w:space="0" w:color="auto"/>
        <w:bottom w:val="none" w:sz="0" w:space="0" w:color="auto"/>
        <w:right w:val="none" w:sz="0" w:space="0" w:color="auto"/>
      </w:divBdr>
    </w:div>
    <w:div w:id="1848253407">
      <w:bodyDiv w:val="1"/>
      <w:marLeft w:val="0"/>
      <w:marRight w:val="0"/>
      <w:marTop w:val="0"/>
      <w:marBottom w:val="0"/>
      <w:divBdr>
        <w:top w:val="none" w:sz="0" w:space="0" w:color="auto"/>
        <w:left w:val="none" w:sz="0" w:space="0" w:color="auto"/>
        <w:bottom w:val="none" w:sz="0" w:space="0" w:color="auto"/>
        <w:right w:val="none" w:sz="0" w:space="0" w:color="auto"/>
      </w:divBdr>
      <w:divsChild>
        <w:div w:id="17413697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1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697227">
      <w:bodyDiv w:val="1"/>
      <w:marLeft w:val="0"/>
      <w:marRight w:val="0"/>
      <w:marTop w:val="0"/>
      <w:marBottom w:val="0"/>
      <w:divBdr>
        <w:top w:val="none" w:sz="0" w:space="0" w:color="auto"/>
        <w:left w:val="none" w:sz="0" w:space="0" w:color="auto"/>
        <w:bottom w:val="none" w:sz="0" w:space="0" w:color="auto"/>
        <w:right w:val="none" w:sz="0" w:space="0" w:color="auto"/>
      </w:divBdr>
    </w:div>
    <w:div w:id="1962296089">
      <w:bodyDiv w:val="1"/>
      <w:marLeft w:val="0"/>
      <w:marRight w:val="0"/>
      <w:marTop w:val="0"/>
      <w:marBottom w:val="0"/>
      <w:divBdr>
        <w:top w:val="none" w:sz="0" w:space="0" w:color="auto"/>
        <w:left w:val="none" w:sz="0" w:space="0" w:color="auto"/>
        <w:bottom w:val="none" w:sz="0" w:space="0" w:color="auto"/>
        <w:right w:val="none" w:sz="0" w:space="0" w:color="auto"/>
      </w:divBdr>
    </w:div>
    <w:div w:id="2028169738">
      <w:bodyDiv w:val="1"/>
      <w:marLeft w:val="0"/>
      <w:marRight w:val="0"/>
      <w:marTop w:val="0"/>
      <w:marBottom w:val="0"/>
      <w:divBdr>
        <w:top w:val="none" w:sz="0" w:space="0" w:color="auto"/>
        <w:left w:val="none" w:sz="0" w:space="0" w:color="auto"/>
        <w:bottom w:val="none" w:sz="0" w:space="0" w:color="auto"/>
        <w:right w:val="none" w:sz="0" w:space="0" w:color="auto"/>
      </w:divBdr>
    </w:div>
    <w:div w:id="2033873842">
      <w:bodyDiv w:val="1"/>
      <w:marLeft w:val="0"/>
      <w:marRight w:val="0"/>
      <w:marTop w:val="0"/>
      <w:marBottom w:val="0"/>
      <w:divBdr>
        <w:top w:val="none" w:sz="0" w:space="0" w:color="auto"/>
        <w:left w:val="none" w:sz="0" w:space="0" w:color="auto"/>
        <w:bottom w:val="none" w:sz="0" w:space="0" w:color="auto"/>
        <w:right w:val="none" w:sz="0" w:space="0" w:color="auto"/>
      </w:divBdr>
    </w:div>
    <w:div w:id="2081556058">
      <w:bodyDiv w:val="1"/>
      <w:marLeft w:val="0"/>
      <w:marRight w:val="0"/>
      <w:marTop w:val="0"/>
      <w:marBottom w:val="0"/>
      <w:divBdr>
        <w:top w:val="none" w:sz="0" w:space="0" w:color="auto"/>
        <w:left w:val="none" w:sz="0" w:space="0" w:color="auto"/>
        <w:bottom w:val="none" w:sz="0" w:space="0" w:color="auto"/>
        <w:right w:val="none" w:sz="0" w:space="0" w:color="auto"/>
      </w:divBdr>
    </w:div>
    <w:div w:id="2112895552">
      <w:bodyDiv w:val="1"/>
      <w:marLeft w:val="0"/>
      <w:marRight w:val="0"/>
      <w:marTop w:val="0"/>
      <w:marBottom w:val="0"/>
      <w:divBdr>
        <w:top w:val="none" w:sz="0" w:space="0" w:color="auto"/>
        <w:left w:val="none" w:sz="0" w:space="0" w:color="auto"/>
        <w:bottom w:val="none" w:sz="0" w:space="0" w:color="auto"/>
        <w:right w:val="none" w:sz="0" w:space="0" w:color="auto"/>
      </w:divBdr>
    </w:div>
    <w:div w:id="2135102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header" Target="header10.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header" Target="header9.xml"/></Relationships>
</file>

<file path=word/_rels/footnotes.xml.rels><?xml version="1.0" encoding="UTF-8" standalone="yes"?>
<Relationships xmlns="http://schemas.openxmlformats.org/package/2006/relationships"><Relationship Id="rId8" Type="http://schemas.openxmlformats.org/officeDocument/2006/relationships/hyperlink" Target="http://www.derechoshumanos.net/lesahumanidad/informes/guatemala/informeREMHI-Tomo1.htm" TargetMode="External"/><Relationship Id="rId3" Type="http://schemas.openxmlformats.org/officeDocument/2006/relationships/hyperlink" Target="http://www.unhcr.org/4ae9bede9.html" TargetMode="External"/><Relationship Id="rId7" Type="http://schemas.openxmlformats.org/officeDocument/2006/relationships/hyperlink" Target="http://www.derechoshumanos.net/lesahumanidad/informes/guatemala/informeREMHI-Tomo1.htm" TargetMode="External"/><Relationship Id="rId2" Type="http://schemas.openxmlformats.org/officeDocument/2006/relationships/hyperlink" Target="http://www.hchr.org.co/documentoseinformes/documentos/html/informes/onu/resdi/E-CN-4-1998-53-ADD-2.html" TargetMode="External"/><Relationship Id="rId1" Type="http://schemas.openxmlformats.org/officeDocument/2006/relationships/hyperlink" Target="http://www.fundacionpdh.org/lesahumanidad/informes/guatemala/informeREMHI-Tomo1.htm%22http://www.fundacionpdh.org/lesahumanidad/informes/guatemala/informeREMHI-Tomo1.ht%22http://www.fundacionpdh.org/lesahumanidad/informes/guatemala/informeREMHI-Tomo1.ht" TargetMode="External"/><Relationship Id="rId6" Type="http://schemas.openxmlformats.org/officeDocument/2006/relationships/hyperlink" Target="https://www.icrc.org/spa/resources/documents/faq/sexual-violence-questions-and-answers.htm" TargetMode="External"/><Relationship Id="rId11" Type="http://schemas.openxmlformats.org/officeDocument/2006/relationships/hyperlink" Target="http://w.unictr.org/sites/unictr.org/files/legal-library/140130_prosecution_of_sexual_violence.pdf" TargetMode="External"/><Relationship Id="rId5" Type="http://schemas.openxmlformats.org/officeDocument/2006/relationships/hyperlink" Target="http://www.derechoshumanos.net/lesahumanidad/informes/guatemala/informeREMHI-Tomo1.htm" TargetMode="External"/><Relationship Id="rId10" Type="http://schemas.openxmlformats.org/officeDocument/2006/relationships/hyperlink" Target="https://www.icc-cpi.int/iccdocs/otp/OTP-Policy-Paper-on-Sexual-and-Gender-Based-Crimes--June-2014.pdf" TargetMode="External"/><Relationship Id="rId4" Type="http://schemas.openxmlformats.org/officeDocument/2006/relationships/hyperlink" Target="http://www.oas.org/dil/esp/AG-RES_2508-2009.doc" TargetMode="External"/><Relationship Id="rId9" Type="http://schemas.openxmlformats.org/officeDocument/2006/relationships/hyperlink" Target="https://www.icc-cpi.int/CourtRecords/CR2016_0223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9C65DE0E31EAF2439D287EEF21B08142" ma:contentTypeVersion="0" ma:contentTypeDescription="Create a new document." ma:contentTypeScope="" ma:versionID="01638f88f95378e84390226ee62acf88">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F128601-5F02-4545-B0A6-B53674DB3D94}">
  <ds:schemaRefs>
    <ds:schemaRef ds:uri="http://schemas.microsoft.com/sharepoint/v3/contenttype/forms"/>
  </ds:schemaRefs>
</ds:datastoreItem>
</file>

<file path=customXml/itemProps2.xml><?xml version="1.0" encoding="utf-8"?>
<ds:datastoreItem xmlns:ds="http://schemas.openxmlformats.org/officeDocument/2006/customXml" ds:itemID="{890B6067-4B00-4188-A690-8478B7865D91}">
  <ds:schemaRefs>
    <ds:schemaRef ds:uri="http://schemas.microsoft.com/office/2006/metadata/longProperties"/>
  </ds:schemaRefs>
</ds:datastoreItem>
</file>

<file path=customXml/itemProps3.xml><?xml version="1.0" encoding="utf-8"?>
<ds:datastoreItem xmlns:ds="http://schemas.openxmlformats.org/officeDocument/2006/customXml" ds:itemID="{AD17CD66-C270-48DD-AE3C-C3B924D60ACF}">
  <ds:schemaRefs>
    <ds:schemaRef ds:uri="http://schemas.openxmlformats.org/officeDocument/2006/bibliography"/>
  </ds:schemaRefs>
</ds:datastoreItem>
</file>

<file path=customXml/itemProps4.xml><?xml version="1.0" encoding="utf-8"?>
<ds:datastoreItem xmlns:ds="http://schemas.openxmlformats.org/officeDocument/2006/customXml" ds:itemID="{5CBA8FFF-66CD-430B-A374-0B2EB147AB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5.xml><?xml version="1.0" encoding="utf-8"?>
<ds:datastoreItem xmlns:ds="http://schemas.openxmlformats.org/officeDocument/2006/customXml" ds:itemID="{02A79169-DB9C-459A-A197-9595DB51F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58133</Words>
  <Characters>331363</Characters>
  <Application>Microsoft Office Word</Application>
  <DocSecurity>0</DocSecurity>
  <Lines>2761</Lines>
  <Paragraphs>777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 Company</Company>
  <LinksUpToDate>false</LinksUpToDate>
  <CharactersWithSpaces>388719</CharactersWithSpaces>
  <SharedDoc>false</SharedDoc>
  <HLinks>
    <vt:vector size="150" baseType="variant">
      <vt:variant>
        <vt:i4>1114160</vt:i4>
      </vt:variant>
      <vt:variant>
        <vt:i4>80</vt:i4>
      </vt:variant>
      <vt:variant>
        <vt:i4>0</vt:i4>
      </vt:variant>
      <vt:variant>
        <vt:i4>5</vt:i4>
      </vt:variant>
      <vt:variant>
        <vt:lpwstr/>
      </vt:variant>
      <vt:variant>
        <vt:lpwstr>_Toc455631243</vt:lpwstr>
      </vt:variant>
      <vt:variant>
        <vt:i4>1441840</vt:i4>
      </vt:variant>
      <vt:variant>
        <vt:i4>74</vt:i4>
      </vt:variant>
      <vt:variant>
        <vt:i4>0</vt:i4>
      </vt:variant>
      <vt:variant>
        <vt:i4>5</vt:i4>
      </vt:variant>
      <vt:variant>
        <vt:lpwstr/>
      </vt:variant>
      <vt:variant>
        <vt:lpwstr>_Toc455631234</vt:lpwstr>
      </vt:variant>
      <vt:variant>
        <vt:i4>1441840</vt:i4>
      </vt:variant>
      <vt:variant>
        <vt:i4>68</vt:i4>
      </vt:variant>
      <vt:variant>
        <vt:i4>0</vt:i4>
      </vt:variant>
      <vt:variant>
        <vt:i4>5</vt:i4>
      </vt:variant>
      <vt:variant>
        <vt:lpwstr/>
      </vt:variant>
      <vt:variant>
        <vt:lpwstr>_Toc455631233</vt:lpwstr>
      </vt:variant>
      <vt:variant>
        <vt:i4>1441840</vt:i4>
      </vt:variant>
      <vt:variant>
        <vt:i4>62</vt:i4>
      </vt:variant>
      <vt:variant>
        <vt:i4>0</vt:i4>
      </vt:variant>
      <vt:variant>
        <vt:i4>5</vt:i4>
      </vt:variant>
      <vt:variant>
        <vt:lpwstr/>
      </vt:variant>
      <vt:variant>
        <vt:lpwstr>_Toc455631231</vt:lpwstr>
      </vt:variant>
      <vt:variant>
        <vt:i4>1507376</vt:i4>
      </vt:variant>
      <vt:variant>
        <vt:i4>56</vt:i4>
      </vt:variant>
      <vt:variant>
        <vt:i4>0</vt:i4>
      </vt:variant>
      <vt:variant>
        <vt:i4>5</vt:i4>
      </vt:variant>
      <vt:variant>
        <vt:lpwstr/>
      </vt:variant>
      <vt:variant>
        <vt:lpwstr>_Toc455631227</vt:lpwstr>
      </vt:variant>
      <vt:variant>
        <vt:i4>1507376</vt:i4>
      </vt:variant>
      <vt:variant>
        <vt:i4>50</vt:i4>
      </vt:variant>
      <vt:variant>
        <vt:i4>0</vt:i4>
      </vt:variant>
      <vt:variant>
        <vt:i4>5</vt:i4>
      </vt:variant>
      <vt:variant>
        <vt:lpwstr/>
      </vt:variant>
      <vt:variant>
        <vt:lpwstr>_Toc455631225</vt:lpwstr>
      </vt:variant>
      <vt:variant>
        <vt:i4>1507376</vt:i4>
      </vt:variant>
      <vt:variant>
        <vt:i4>44</vt:i4>
      </vt:variant>
      <vt:variant>
        <vt:i4>0</vt:i4>
      </vt:variant>
      <vt:variant>
        <vt:i4>5</vt:i4>
      </vt:variant>
      <vt:variant>
        <vt:lpwstr/>
      </vt:variant>
      <vt:variant>
        <vt:lpwstr>_Toc455631221</vt:lpwstr>
      </vt:variant>
      <vt:variant>
        <vt:i4>1310768</vt:i4>
      </vt:variant>
      <vt:variant>
        <vt:i4>38</vt:i4>
      </vt:variant>
      <vt:variant>
        <vt:i4>0</vt:i4>
      </vt:variant>
      <vt:variant>
        <vt:i4>5</vt:i4>
      </vt:variant>
      <vt:variant>
        <vt:lpwstr/>
      </vt:variant>
      <vt:variant>
        <vt:lpwstr>_Toc455631215</vt:lpwstr>
      </vt:variant>
      <vt:variant>
        <vt:i4>1310768</vt:i4>
      </vt:variant>
      <vt:variant>
        <vt:i4>32</vt:i4>
      </vt:variant>
      <vt:variant>
        <vt:i4>0</vt:i4>
      </vt:variant>
      <vt:variant>
        <vt:i4>5</vt:i4>
      </vt:variant>
      <vt:variant>
        <vt:lpwstr/>
      </vt:variant>
      <vt:variant>
        <vt:lpwstr>_Toc455631214</vt:lpwstr>
      </vt:variant>
      <vt:variant>
        <vt:i4>1376304</vt:i4>
      </vt:variant>
      <vt:variant>
        <vt:i4>26</vt:i4>
      </vt:variant>
      <vt:variant>
        <vt:i4>0</vt:i4>
      </vt:variant>
      <vt:variant>
        <vt:i4>5</vt:i4>
      </vt:variant>
      <vt:variant>
        <vt:lpwstr/>
      </vt:variant>
      <vt:variant>
        <vt:lpwstr>_Toc455631202</vt:lpwstr>
      </vt:variant>
      <vt:variant>
        <vt:i4>1376304</vt:i4>
      </vt:variant>
      <vt:variant>
        <vt:i4>20</vt:i4>
      </vt:variant>
      <vt:variant>
        <vt:i4>0</vt:i4>
      </vt:variant>
      <vt:variant>
        <vt:i4>5</vt:i4>
      </vt:variant>
      <vt:variant>
        <vt:lpwstr/>
      </vt:variant>
      <vt:variant>
        <vt:lpwstr>_Toc455631201</vt:lpwstr>
      </vt:variant>
      <vt:variant>
        <vt:i4>1376304</vt:i4>
      </vt:variant>
      <vt:variant>
        <vt:i4>14</vt:i4>
      </vt:variant>
      <vt:variant>
        <vt:i4>0</vt:i4>
      </vt:variant>
      <vt:variant>
        <vt:i4>5</vt:i4>
      </vt:variant>
      <vt:variant>
        <vt:lpwstr/>
      </vt:variant>
      <vt:variant>
        <vt:lpwstr>_Toc455631200</vt:lpwstr>
      </vt:variant>
      <vt:variant>
        <vt:i4>1835059</vt:i4>
      </vt:variant>
      <vt:variant>
        <vt:i4>8</vt:i4>
      </vt:variant>
      <vt:variant>
        <vt:i4>0</vt:i4>
      </vt:variant>
      <vt:variant>
        <vt:i4>5</vt:i4>
      </vt:variant>
      <vt:variant>
        <vt:lpwstr/>
      </vt:variant>
      <vt:variant>
        <vt:lpwstr>_Toc455631199</vt:lpwstr>
      </vt:variant>
      <vt:variant>
        <vt:i4>1835059</vt:i4>
      </vt:variant>
      <vt:variant>
        <vt:i4>2</vt:i4>
      </vt:variant>
      <vt:variant>
        <vt:i4>0</vt:i4>
      </vt:variant>
      <vt:variant>
        <vt:i4>5</vt:i4>
      </vt:variant>
      <vt:variant>
        <vt:lpwstr/>
      </vt:variant>
      <vt:variant>
        <vt:lpwstr>_Toc455631198</vt:lpwstr>
      </vt:variant>
      <vt:variant>
        <vt:i4>1769559</vt:i4>
      </vt:variant>
      <vt:variant>
        <vt:i4>30</vt:i4>
      </vt:variant>
      <vt:variant>
        <vt:i4>0</vt:i4>
      </vt:variant>
      <vt:variant>
        <vt:i4>5</vt:i4>
      </vt:variant>
      <vt:variant>
        <vt:lpwstr>http://w.unictr.org/sites/unictr.org/files/legal-library/140130_prosecution_of_sexual_violence.pdf</vt:lpwstr>
      </vt:variant>
      <vt:variant>
        <vt:lpwstr/>
      </vt:variant>
      <vt:variant>
        <vt:i4>5898249</vt:i4>
      </vt:variant>
      <vt:variant>
        <vt:i4>27</vt:i4>
      </vt:variant>
      <vt:variant>
        <vt:i4>0</vt:i4>
      </vt:variant>
      <vt:variant>
        <vt:i4>5</vt:i4>
      </vt:variant>
      <vt:variant>
        <vt:lpwstr>http://www.acnur.org/biblioteca/pdf/6981.pdf</vt:lpwstr>
      </vt:variant>
      <vt:variant>
        <vt:lpwstr/>
      </vt:variant>
      <vt:variant>
        <vt:i4>1704060</vt:i4>
      </vt:variant>
      <vt:variant>
        <vt:i4>24</vt:i4>
      </vt:variant>
      <vt:variant>
        <vt:i4>0</vt:i4>
      </vt:variant>
      <vt:variant>
        <vt:i4>5</vt:i4>
      </vt:variant>
      <vt:variant>
        <vt:lpwstr>http://www.oas.org/dil/esp/AG-RES_2508-2009.doc</vt:lpwstr>
      </vt:variant>
      <vt:variant>
        <vt:lpwstr/>
      </vt:variant>
      <vt:variant>
        <vt:i4>4128875</vt:i4>
      </vt:variant>
      <vt:variant>
        <vt:i4>21</vt:i4>
      </vt:variant>
      <vt:variant>
        <vt:i4>0</vt:i4>
      </vt:variant>
      <vt:variant>
        <vt:i4>5</vt:i4>
      </vt:variant>
      <vt:variant>
        <vt:lpwstr>http://www2.ohchr.org/english/bodies/hrcouncil/docs/13session/A-HRC-13-21-Add.3.pdf</vt:lpwstr>
      </vt:variant>
      <vt:variant>
        <vt:lpwstr/>
      </vt:variant>
      <vt:variant>
        <vt:i4>2555948</vt:i4>
      </vt:variant>
      <vt:variant>
        <vt:i4>18</vt:i4>
      </vt:variant>
      <vt:variant>
        <vt:i4>0</vt:i4>
      </vt:variant>
      <vt:variant>
        <vt:i4>5</vt:i4>
      </vt:variant>
      <vt:variant>
        <vt:lpwstr>http://www.unhcr.org/4ae9bede9.html</vt:lpwstr>
      </vt:variant>
      <vt:variant>
        <vt:lpwstr/>
      </vt:variant>
      <vt:variant>
        <vt:i4>7602239</vt:i4>
      </vt:variant>
      <vt:variant>
        <vt:i4>15</vt:i4>
      </vt:variant>
      <vt:variant>
        <vt:i4>0</vt:i4>
      </vt:variant>
      <vt:variant>
        <vt:i4>5</vt:i4>
      </vt:variant>
      <vt:variant>
        <vt:lpwstr>http://daccess-dds-ny.un.org/doc/UNDOC/GEN/N09/471/58/PDF/N0947158.pdf?OpenElement</vt:lpwstr>
      </vt:variant>
      <vt:variant>
        <vt:lpwstr/>
      </vt:variant>
      <vt:variant>
        <vt:i4>7340153</vt:i4>
      </vt:variant>
      <vt:variant>
        <vt:i4>12</vt:i4>
      </vt:variant>
      <vt:variant>
        <vt:i4>0</vt:i4>
      </vt:variant>
      <vt:variant>
        <vt:i4>5</vt:i4>
      </vt:variant>
      <vt:variant>
        <vt:lpwstr>http://www.hchr.org.co/documentoseinformes/documentos/html/informes/onu/resdi/E-CN-4-1998-53-ADD-2.html</vt:lpwstr>
      </vt:variant>
      <vt:variant>
        <vt:lpwstr/>
      </vt:variant>
      <vt:variant>
        <vt:i4>5111879</vt:i4>
      </vt:variant>
      <vt:variant>
        <vt:i4>9</vt:i4>
      </vt:variant>
      <vt:variant>
        <vt:i4>0</vt:i4>
      </vt:variant>
      <vt:variant>
        <vt:i4>5</vt:i4>
      </vt:variant>
      <vt:variant>
        <vt:lpwstr>http://www.fundacionpdh.org/lesahumanidad/informes/guatemala/informeREMHI-Tomo1.htm%22http://www.fundacionpdh.org/lesahumanidad/informes/guatemala/informeREMHI-Tomo1.ht%22http://www.fundacionpdh.org/lesahumanidad/informes/guatemala/informeREMHI-Tomo1.ht</vt:lpwstr>
      </vt:variant>
      <vt:variant>
        <vt:lpwstr/>
      </vt:variant>
      <vt:variant>
        <vt:i4>458767</vt:i4>
      </vt:variant>
      <vt:variant>
        <vt:i4>6</vt:i4>
      </vt:variant>
      <vt:variant>
        <vt:i4>0</vt:i4>
      </vt:variant>
      <vt:variant>
        <vt:i4>5</vt:i4>
      </vt:variant>
      <vt:variant>
        <vt:lpwstr>https://www.cidh.oas.org/Basicos/Basicos3.htm</vt:lpwstr>
      </vt:variant>
      <vt:variant>
        <vt:lpwstr/>
      </vt:variant>
      <vt:variant>
        <vt:i4>458767</vt:i4>
      </vt:variant>
      <vt:variant>
        <vt:i4>3</vt:i4>
      </vt:variant>
      <vt:variant>
        <vt:i4>0</vt:i4>
      </vt:variant>
      <vt:variant>
        <vt:i4>5</vt:i4>
      </vt:variant>
      <vt:variant>
        <vt:lpwstr>https://www.cidh.oas.org/Basicos/Basicos3.htm</vt:lpwstr>
      </vt:variant>
      <vt:variant>
        <vt:lpwstr/>
      </vt:variant>
      <vt:variant>
        <vt:i4>458767</vt:i4>
      </vt:variant>
      <vt:variant>
        <vt:i4>0</vt:i4>
      </vt:variant>
      <vt:variant>
        <vt:i4>0</vt:i4>
      </vt:variant>
      <vt:variant>
        <vt:i4>5</vt:i4>
      </vt:variant>
      <vt:variant>
        <vt:lpwstr>https://www.cidh.oas.org/Basicos/Basicos3.htm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Corteidh</dc:creator>
  <cp:lastModifiedBy>fabian balmaceda</cp:lastModifiedBy>
  <cp:revision>9</cp:revision>
  <cp:lastPrinted>2024-09-01T22:52:00Z</cp:lastPrinted>
  <dcterms:created xsi:type="dcterms:W3CDTF">2016-12-21T19:07:00Z</dcterms:created>
  <dcterms:modified xsi:type="dcterms:W3CDTF">2024-09-01T22:52:00Z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Subject">
    <vt:lpwstr/>
  </property>
  <property fmtid="{D5CDD505-2E9C-101B-9397-08002B2CF9AE}" pid="4" name="Keywords">
    <vt:lpwstr/>
  </property>
  <property fmtid="{D5CDD505-2E9C-101B-9397-08002B2CF9AE}" pid="5" name="_Author">
    <vt:lpwstr>Corteidh</vt:lpwstr>
  </property>
  <property fmtid="{D5CDD505-2E9C-101B-9397-08002B2CF9AE}" pid="6" name="_Category">
    <vt:lpwstr/>
  </property>
  <property fmtid="{D5CDD505-2E9C-101B-9397-08002B2CF9AE}" pid="7" name="Categories">
    <vt:lpwstr/>
  </property>
  <property fmtid="{D5CDD505-2E9C-101B-9397-08002B2CF9AE}" pid="8" name="Approval Level">
    <vt:lpwstr/>
  </property>
  <property fmtid="{D5CDD505-2E9C-101B-9397-08002B2CF9AE}" pid="9" name="_Comments">
    <vt:lpwstr/>
  </property>
  <property fmtid="{D5CDD505-2E9C-101B-9397-08002B2CF9AE}" pid="10" name="Assigned To">
    <vt:lpwstr/>
  </property>
  <property fmtid="{D5CDD505-2E9C-101B-9397-08002B2CF9AE}" pid="11" name="ContentTypeId">
    <vt:lpwstr>0x0101009C65DE0E31EAF2439D287EEF21B08142</vt:lpwstr>
  </property>
</Properties>
</file>